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8A116" w14:textId="05737725" w:rsidR="00851A85" w:rsidRPr="008037F3" w:rsidRDefault="00851A85" w:rsidP="00C52822">
      <w:pPr>
        <w:pStyle w:val="BlackTriangletext"/>
        <w:spacing w:after="440"/>
        <w:rPr>
          <w:sz w:val="24"/>
        </w:rPr>
      </w:pPr>
      <w:r w:rsidRPr="008037F3">
        <w:rPr>
          <w:noProof/>
          <w:sz w:val="24"/>
        </w:rPr>
        <mc:AlternateContent>
          <mc:Choice Requires="wps">
            <w:drawing>
              <wp:inline distT="0" distB="0" distL="0" distR="0" wp14:anchorId="1478A2D6" wp14:editId="3845F5F2">
                <wp:extent cx="252095" cy="252095"/>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1FC1C" w14:textId="77777777" w:rsidR="00851A85" w:rsidRPr="003E7F03" w:rsidRDefault="00851A85" w:rsidP="003E7F03">
                            <w:pPr>
                              <w:pStyle w:val="BlackTriangle"/>
                            </w:pPr>
                            <w:r w:rsidRPr="003E7F03">
                              <w:rPr>
                                <w:rFonts w:hint="eastAsia"/>
                              </w:rPr>
                              <w:t>▼</w:t>
                            </w:r>
                          </w:p>
                        </w:txbxContent>
                      </wps:txbx>
                      <wps:bodyPr rot="0" vert="horz" wrap="square" lIns="0" tIns="0" rIns="0" bIns="0" anchor="t" anchorCtr="0" upright="1">
                        <a:noAutofit/>
                      </wps:bodyPr>
                    </wps:wsp>
                  </a:graphicData>
                </a:graphic>
              </wp:inline>
            </w:drawing>
          </mc:Choice>
          <mc:Fallback>
            <w:pict>
              <v:shapetype w14:anchorId="1478A2D6" id="_x0000_t202" coordsize="21600,21600" o:spt="202" path="m,l,21600r21600,l21600,xe">
                <v:stroke joinstyle="miter"/>
                <v:path gradientshapeok="t" o:connecttype="rect"/>
              </v:shapetype>
              <v:shape id="Text Box 3"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" stroked="f">
                <v:textbox inset="0,0,0,0">
                  <w:txbxContent>
                    <w:p w14:paraId="63E1FC1C" w14:textId="77777777" w:rsidR="00851A85" w:rsidRPr="003E7F03" w:rsidRDefault="00851A85" w:rsidP="003E7F03">
                      <w:pPr>
                        <w:pStyle w:val="BlackTriangle"/>
                      </w:pPr>
                      <w:r w:rsidRPr="003E7F03">
                        <w:rPr>
                          <w:rFonts w:hint="eastAsia"/>
                        </w:rPr>
                        <w:t>▼</w:t>
                      </w:r>
                    </w:p>
                  </w:txbxContent>
                </v:textbox>
                <w10:anchorlock/>
              </v:shape>
            </w:pict>
          </mc:Fallback>
        </mc:AlternateContent>
      </w:r>
      <w:r w:rsidRPr="008037F3">
        <w:t xml:space="preserve">This medicinal product is subject to additional monitoring in Australia. This will allow quick identification of new safety information. Healthcare professionals are asked to report any suspected adverse events at </w:t>
      </w:r>
      <w:hyperlink r:id="rId11" w:history="1">
        <w:r w:rsidRPr="008037F3">
          <w:rPr>
            <w:rStyle w:val="Hyperlink"/>
          </w:rPr>
          <w:t>https://www.tga.gov.au/reporting-problems</w:t>
        </w:r>
      </w:hyperlink>
      <w:r w:rsidRPr="008037F3">
        <w:t>.</w:t>
      </w:r>
      <w:r w:rsidR="003E7F03" w:rsidRPr="008037F3">
        <w:t xml:space="preserve"> </w:t>
      </w:r>
    </w:p>
    <w:p w14:paraId="6FCC3FCE" w14:textId="63F43578" w:rsidR="008C3E31" w:rsidRPr="008037F3" w:rsidRDefault="00A74E71" w:rsidP="00C52822">
      <w:pPr>
        <w:pStyle w:val="0MainTitle"/>
      </w:pPr>
      <w:r w:rsidRPr="008037F3">
        <w:t xml:space="preserve">AUSTRALIAN PRODUCT INFORMATION </w:t>
      </w:r>
      <w:r w:rsidR="00137443" w:rsidRPr="008037F3">
        <w:t>–</w:t>
      </w:r>
      <w:r w:rsidRPr="008037F3">
        <w:t xml:space="preserve"> </w:t>
      </w:r>
      <w:r w:rsidR="00137443" w:rsidRPr="008037F3">
        <w:t xml:space="preserve">DOPTELET </w:t>
      </w:r>
      <w:r w:rsidRPr="008037F3">
        <w:t xml:space="preserve"> </w:t>
      </w:r>
    </w:p>
    <w:p w14:paraId="7D8D0D90" w14:textId="257EDEE3" w:rsidR="00A74E71" w:rsidRPr="008037F3" w:rsidRDefault="00A74E71" w:rsidP="00C52822">
      <w:pPr>
        <w:pStyle w:val="Subtitle-activeingredient"/>
        <w:rPr>
          <w:lang w:val="en-AU"/>
        </w:rPr>
      </w:pPr>
      <w:r w:rsidRPr="008037F3">
        <w:rPr>
          <w:lang w:val="en-AU"/>
        </w:rPr>
        <w:t>(</w:t>
      </w:r>
      <w:r w:rsidR="00137443" w:rsidRPr="008037F3">
        <w:rPr>
          <w:caps w:val="0"/>
          <w:lang w:val="en-AU"/>
        </w:rPr>
        <w:t>avatrombopag</w:t>
      </w:r>
      <w:r w:rsidRPr="008037F3">
        <w:rPr>
          <w:lang w:val="en-AU"/>
        </w:rPr>
        <w:t>)</w:t>
      </w:r>
      <w:r w:rsidR="00121D88" w:rsidRPr="008037F3">
        <w:rPr>
          <w:lang w:val="en-AU"/>
        </w:rPr>
        <w:t xml:space="preserve"> </w:t>
      </w:r>
      <w:r w:rsidR="00121D88" w:rsidRPr="008037F3">
        <w:rPr>
          <w:caps w:val="0"/>
          <w:lang w:val="en-AU"/>
        </w:rPr>
        <w:t>film coated tablets</w:t>
      </w:r>
    </w:p>
    <w:p w14:paraId="29AFB28B" w14:textId="483C9F67" w:rsidR="004A6F6E" w:rsidRPr="008037F3" w:rsidRDefault="004637A9" w:rsidP="00C52822">
      <w:pPr>
        <w:pStyle w:val="Heading1"/>
      </w:pPr>
      <w:r w:rsidRPr="008037F3">
        <w:t xml:space="preserve">1. </w:t>
      </w:r>
      <w:r w:rsidR="004A6F6E" w:rsidRPr="008037F3">
        <w:t>Name</w:t>
      </w:r>
      <w:r w:rsidR="00C372C1" w:rsidRPr="008037F3">
        <w:t xml:space="preserve"> of the Medicine</w:t>
      </w:r>
    </w:p>
    <w:p w14:paraId="5461405B" w14:textId="69D37C48" w:rsidR="00242B21" w:rsidRPr="008037F3" w:rsidRDefault="00137443" w:rsidP="00C52822">
      <w:pPr>
        <w:pStyle w:val="BodyText1"/>
        <w:jc w:val="left"/>
      </w:pPr>
      <w:r w:rsidRPr="008037F3">
        <w:t xml:space="preserve">avatrombopag </w:t>
      </w:r>
      <w:r w:rsidR="000A315E" w:rsidRPr="008037F3">
        <w:t>maleate</w:t>
      </w:r>
    </w:p>
    <w:p w14:paraId="31EED64D" w14:textId="2E34F1E2" w:rsidR="004A6F6E" w:rsidRPr="008037F3" w:rsidRDefault="008450DE" w:rsidP="00C52822">
      <w:pPr>
        <w:pStyle w:val="Heading1"/>
      </w:pPr>
      <w:r w:rsidRPr="008037F3">
        <w:t xml:space="preserve">2. </w:t>
      </w:r>
      <w:r w:rsidR="004A6F6E" w:rsidRPr="008037F3">
        <w:t>Qualitative and Quantitative Composition</w:t>
      </w:r>
      <w:r w:rsidR="002B3978" w:rsidRPr="008037F3">
        <w:t xml:space="preserve"> </w:t>
      </w:r>
    </w:p>
    <w:p w14:paraId="0D27B0BE" w14:textId="43A73C3A" w:rsidR="00C372C1" w:rsidRPr="008037F3" w:rsidRDefault="00DA1B5E" w:rsidP="00C52822">
      <w:pPr>
        <w:pStyle w:val="BodyText1"/>
        <w:jc w:val="left"/>
      </w:pPr>
      <w:r w:rsidRPr="008037F3">
        <w:t>Each DOPTELET tablet contains 2</w:t>
      </w:r>
      <w:r w:rsidR="00AA2072" w:rsidRPr="008037F3">
        <w:t>3</w:t>
      </w:r>
      <w:r w:rsidR="00982436" w:rsidRPr="008037F3">
        <w:t>.6</w:t>
      </w:r>
      <w:r w:rsidRPr="008037F3">
        <w:t xml:space="preserve"> mg avatrombopag </w:t>
      </w:r>
      <w:r w:rsidR="00982436" w:rsidRPr="008037F3">
        <w:t xml:space="preserve">maleate </w:t>
      </w:r>
      <w:r w:rsidRPr="008037F3">
        <w:t>(equivalent to 2</w:t>
      </w:r>
      <w:r w:rsidR="00AA2072" w:rsidRPr="008037F3">
        <w:t>0</w:t>
      </w:r>
      <w:r w:rsidRPr="008037F3">
        <w:t xml:space="preserve"> mg of avatrombopag)</w:t>
      </w:r>
      <w:r w:rsidR="00C372C1" w:rsidRPr="008037F3">
        <w:t>.</w:t>
      </w:r>
    </w:p>
    <w:p w14:paraId="7A2B2693" w14:textId="77777777" w:rsidR="00DA1B5E" w:rsidRPr="008037F3" w:rsidRDefault="00DA1B5E" w:rsidP="00C52822">
      <w:pPr>
        <w:pStyle w:val="BodyText1"/>
        <w:jc w:val="left"/>
      </w:pPr>
      <w:r w:rsidRPr="008037F3">
        <w:t>E</w:t>
      </w:r>
      <w:r w:rsidR="00C372C1" w:rsidRPr="008037F3">
        <w:t>xcipients with known effect</w:t>
      </w:r>
      <w:r w:rsidRPr="008037F3">
        <w:t xml:space="preserve">: sugars as lactose. </w:t>
      </w:r>
    </w:p>
    <w:p w14:paraId="4094E465" w14:textId="5F498977" w:rsidR="00242B21" w:rsidRPr="008037F3" w:rsidRDefault="00C372C1" w:rsidP="00C52822">
      <w:pPr>
        <w:pStyle w:val="BodyText1"/>
        <w:jc w:val="left"/>
      </w:pPr>
      <w:r w:rsidRPr="008037F3">
        <w:t xml:space="preserve">For the full list of excipients, see </w:t>
      </w:r>
      <w:hyperlink w:anchor="_6.1_List_of" w:history="1">
        <w:r w:rsidR="00DA1B5E" w:rsidRPr="008037F3">
          <w:rPr>
            <w:rStyle w:val="Hyperlink"/>
          </w:rPr>
          <w:t>s</w:t>
        </w:r>
        <w:r w:rsidRPr="008037F3">
          <w:rPr>
            <w:rStyle w:val="Hyperlink"/>
          </w:rPr>
          <w:t>ection 6.1 List of excipients</w:t>
        </w:r>
      </w:hyperlink>
      <w:r w:rsidRPr="008037F3">
        <w:t xml:space="preserve">. </w:t>
      </w:r>
    </w:p>
    <w:p w14:paraId="4D92A334" w14:textId="1D700173" w:rsidR="004A6F6E" w:rsidRPr="008037F3" w:rsidRDefault="008450DE" w:rsidP="00C52822">
      <w:pPr>
        <w:pStyle w:val="Heading1"/>
      </w:pPr>
      <w:r w:rsidRPr="008037F3">
        <w:t xml:space="preserve">3. </w:t>
      </w:r>
      <w:r w:rsidR="00242B21" w:rsidRPr="008037F3">
        <w:t>Pharmaceutical Form</w:t>
      </w:r>
      <w:r w:rsidR="002B3978" w:rsidRPr="008037F3">
        <w:t xml:space="preserve"> </w:t>
      </w:r>
    </w:p>
    <w:p w14:paraId="3D2CDC71" w14:textId="77777777" w:rsidR="00582F62" w:rsidRPr="008037F3" w:rsidRDefault="00582F62" w:rsidP="00C52822">
      <w:pPr>
        <w:pStyle w:val="BodyText1"/>
        <w:jc w:val="left"/>
      </w:pPr>
      <w:r w:rsidRPr="008037F3">
        <w:t>Film coated t</w:t>
      </w:r>
      <w:r w:rsidR="0001275D" w:rsidRPr="008037F3">
        <w:t>ablet</w:t>
      </w:r>
      <w:r w:rsidRPr="008037F3">
        <w:t xml:space="preserve">. </w:t>
      </w:r>
    </w:p>
    <w:p w14:paraId="629F0C52" w14:textId="4CB48859" w:rsidR="00C372C1" w:rsidRPr="008037F3" w:rsidRDefault="00062AFD" w:rsidP="00C52822">
      <w:pPr>
        <w:pStyle w:val="BodyText1"/>
        <w:jc w:val="left"/>
        <w:rPr>
          <w:highlight w:val="yellow"/>
        </w:rPr>
      </w:pPr>
      <w:proofErr w:type="gramStart"/>
      <w:r w:rsidRPr="008037F3">
        <w:t>Pale yellow, round biconvex, film-coated tablet</w:t>
      </w:r>
      <w:r w:rsidR="007A232A" w:rsidRPr="008037F3">
        <w:t>,</w:t>
      </w:r>
      <w:proofErr w:type="gramEnd"/>
      <w:r w:rsidR="0001275D" w:rsidRPr="008037F3">
        <w:t xml:space="preserve"> debossed with “AVA” on one side and “20” on the other side. </w:t>
      </w:r>
    </w:p>
    <w:p w14:paraId="4C4DC604" w14:textId="44C55D74" w:rsidR="00242B21" w:rsidRPr="008037F3" w:rsidRDefault="008450DE" w:rsidP="00C52822">
      <w:pPr>
        <w:pStyle w:val="Heading1"/>
      </w:pPr>
      <w:r w:rsidRPr="008037F3">
        <w:t xml:space="preserve">4. </w:t>
      </w:r>
      <w:r w:rsidR="00242B21" w:rsidRPr="008037F3">
        <w:t>Clinical Particulars</w:t>
      </w:r>
    </w:p>
    <w:p w14:paraId="5EB25E25" w14:textId="27419CA8" w:rsidR="00242B21" w:rsidRPr="008037F3" w:rsidRDefault="008450DE" w:rsidP="00C52822">
      <w:pPr>
        <w:pStyle w:val="Heading2"/>
      </w:pPr>
      <w:r w:rsidRPr="008037F3">
        <w:t xml:space="preserve">4.1 </w:t>
      </w:r>
      <w:r w:rsidR="00B959F0" w:rsidRPr="008037F3">
        <w:t>Therapeutic i</w:t>
      </w:r>
      <w:r w:rsidR="00242B21" w:rsidRPr="008037F3">
        <w:t>ndications</w:t>
      </w:r>
      <w:r w:rsidR="006107B2" w:rsidRPr="008037F3">
        <w:t xml:space="preserve"> </w:t>
      </w:r>
      <w:r w:rsidR="00DC0EDC" w:rsidRPr="008037F3">
        <w:t xml:space="preserve"> </w:t>
      </w:r>
    </w:p>
    <w:p w14:paraId="7447CB41" w14:textId="28A04B3B" w:rsidR="00744668" w:rsidRPr="008037F3" w:rsidRDefault="00744668" w:rsidP="00C52822">
      <w:pPr>
        <w:pStyle w:val="BodyText1"/>
        <w:jc w:val="left"/>
      </w:pPr>
      <w:r w:rsidRPr="008037F3">
        <w:t>DOPTELET is indicated for the treatment of thrombocytopenia in adult patients with chronic liver disease who are scheduled to undergo a procedure.</w:t>
      </w:r>
      <w:r w:rsidR="00EA0631" w:rsidRPr="008037F3">
        <w:t xml:space="preserve"> </w:t>
      </w:r>
      <w:r w:rsidRPr="008037F3">
        <w:t xml:space="preserve"> </w:t>
      </w:r>
    </w:p>
    <w:p w14:paraId="2C985E0C" w14:textId="743ABEBE" w:rsidR="00744668" w:rsidRPr="008037F3" w:rsidRDefault="00744668" w:rsidP="00C52822">
      <w:pPr>
        <w:pStyle w:val="BodyText1"/>
        <w:jc w:val="left"/>
      </w:pPr>
      <w:r w:rsidRPr="008037F3">
        <w:t xml:space="preserve">DOPTELET is indicated for the treatment of thrombocytopenia in adult patients with chronic immune thrombocytopenia </w:t>
      </w:r>
      <w:r w:rsidR="00103894" w:rsidRPr="008037F3">
        <w:t xml:space="preserve">(ITP) </w:t>
      </w:r>
      <w:r w:rsidRPr="008037F3">
        <w:t xml:space="preserve">who have had an insufficient response to a previous treatment. </w:t>
      </w:r>
    </w:p>
    <w:p w14:paraId="416C8B42" w14:textId="1B4B235D" w:rsidR="00242B21" w:rsidRPr="008037F3" w:rsidRDefault="008450DE" w:rsidP="00C52822">
      <w:pPr>
        <w:pStyle w:val="Heading2"/>
      </w:pPr>
      <w:r w:rsidRPr="008037F3">
        <w:t xml:space="preserve">4.2 </w:t>
      </w:r>
      <w:r w:rsidR="00D86907" w:rsidRPr="008037F3">
        <w:t xml:space="preserve">Dose and </w:t>
      </w:r>
      <w:r w:rsidR="00B959F0" w:rsidRPr="008037F3">
        <w:t xml:space="preserve">method of </w:t>
      </w:r>
      <w:r w:rsidR="009F0747" w:rsidRPr="008037F3">
        <w:t>administration</w:t>
      </w:r>
    </w:p>
    <w:p w14:paraId="7442F89C" w14:textId="08CA9AD2" w:rsidR="005243C7" w:rsidRPr="008037F3" w:rsidRDefault="005243C7" w:rsidP="00C52822">
      <w:pPr>
        <w:pStyle w:val="Heading3"/>
      </w:pPr>
      <w:r w:rsidRPr="008037F3">
        <w:t xml:space="preserve">Recommended Dosage for Patients with Chronic Liver Disease </w:t>
      </w:r>
    </w:p>
    <w:p w14:paraId="0F252318" w14:textId="4FBE2020" w:rsidR="003D7193" w:rsidRPr="00CB5B02" w:rsidRDefault="003D7193" w:rsidP="00C52822">
      <w:pPr>
        <w:pStyle w:val="BodyText1"/>
        <w:jc w:val="left"/>
      </w:pPr>
      <w:r w:rsidRPr="00CB5B02">
        <w:t>Obtain a platelet count prior to administration of DOPTELET therapy and on the day of a procedure to ensure an adequate increase in platelet count.</w:t>
      </w:r>
      <w:r w:rsidR="00E5524B" w:rsidRPr="00CB5B02">
        <w:t xml:space="preserve"> </w:t>
      </w:r>
      <w:r w:rsidR="003D79EF" w:rsidRPr="00CB5B02">
        <w:t xml:space="preserve">DOPTELET should only be used for procedures </w:t>
      </w:r>
      <w:r w:rsidR="002B76C0" w:rsidRPr="00CB5B02">
        <w:t xml:space="preserve">for </w:t>
      </w:r>
      <w:r w:rsidR="003D79EF" w:rsidRPr="00CB5B02">
        <w:t xml:space="preserve">which an adequate platelet count is required to </w:t>
      </w:r>
      <w:r w:rsidR="00A33CC3" w:rsidRPr="00CB5B02">
        <w:t>reduce</w:t>
      </w:r>
      <w:r w:rsidR="002B76C0" w:rsidRPr="00CB5B02">
        <w:t xml:space="preserve"> the </w:t>
      </w:r>
      <w:r w:rsidR="003D79EF" w:rsidRPr="00CB5B02">
        <w:t xml:space="preserve">risk of bleeding. </w:t>
      </w:r>
    </w:p>
    <w:p w14:paraId="48487DD2" w14:textId="1EC0FCAD" w:rsidR="005243C7" w:rsidRPr="008037F3" w:rsidRDefault="005243C7" w:rsidP="00C52822">
      <w:pPr>
        <w:pStyle w:val="BodyText1"/>
        <w:jc w:val="left"/>
      </w:pPr>
      <w:r w:rsidRPr="008037F3">
        <w:t xml:space="preserve">Begin DOPTELET dosing 10 to 13 days prior to the scheduled procedure. The recommended daily dose of DOPTELET is based on the patient’s platelet count prior to the scheduled procedure (see </w:t>
      </w:r>
      <w:r w:rsidR="00A67F31" w:rsidRPr="008037F3">
        <w:rPr>
          <w:rStyle w:val="Hyperlink"/>
        </w:rPr>
        <w:fldChar w:fldCharType="begin"/>
      </w:r>
      <w:r w:rsidR="00A67F31" w:rsidRPr="008037F3">
        <w:rPr>
          <w:rStyle w:val="Hyperlink"/>
        </w:rPr>
        <w:instrText xml:space="preserve"> REF _Ref77167386 \h </w:instrText>
      </w:r>
      <w:r w:rsidR="00A67F31" w:rsidRPr="008037F3">
        <w:rPr>
          <w:rStyle w:val="Hyperlink"/>
        </w:rPr>
      </w:r>
      <w:r w:rsidR="00C52822">
        <w:rPr>
          <w:rStyle w:val="Hyperlink"/>
        </w:rPr>
        <w:instrText xml:space="preserve"> \* MERGEFORMAT </w:instrText>
      </w:r>
      <w:r w:rsidR="00A67F31" w:rsidRPr="008037F3">
        <w:rPr>
          <w:rStyle w:val="Hyperlink"/>
        </w:rPr>
        <w:fldChar w:fldCharType="separate"/>
      </w:r>
      <w:r w:rsidR="00A67F31" w:rsidRPr="008037F3">
        <w:rPr>
          <w:rStyle w:val="Hyperlink"/>
        </w:rPr>
        <w:t>Table 1</w:t>
      </w:r>
      <w:r w:rsidR="00A67F31" w:rsidRPr="008037F3">
        <w:rPr>
          <w:rStyle w:val="Hyperlink"/>
        </w:rPr>
        <w:fldChar w:fldCharType="end"/>
      </w:r>
      <w:r w:rsidRPr="008037F3">
        <w:t xml:space="preserve">). Patients should undergo their procedure 5 to 8 days after the last dose of DOPTELET. </w:t>
      </w:r>
    </w:p>
    <w:p w14:paraId="1A49700A" w14:textId="767F33A6" w:rsidR="005243C7" w:rsidRPr="008037F3" w:rsidRDefault="005243C7" w:rsidP="00C52822">
      <w:pPr>
        <w:pStyle w:val="BodyText1"/>
        <w:jc w:val="left"/>
      </w:pPr>
      <w:r w:rsidRPr="008037F3">
        <w:t xml:space="preserve">DOPTELET should be taken orally once daily for 5 consecutive days with food. In the case of a missed dose, patients should take the next dose of DOPTELET as soon as they remember. Patients should not take two doses at one time to make up for a missed </w:t>
      </w:r>
      <w:proofErr w:type="gramStart"/>
      <w:r w:rsidRPr="008037F3">
        <w:t>dose, and</w:t>
      </w:r>
      <w:proofErr w:type="gramEnd"/>
      <w:r w:rsidRPr="008037F3">
        <w:t xml:space="preserve"> should take the next dose at the usual time the next day; all 5 days of dosing should be completed.</w:t>
      </w:r>
    </w:p>
    <w:tbl>
      <w:tblPr>
        <w:tblStyle w:val="TableGrid"/>
        <w:tblW w:w="0" w:type="auto"/>
        <w:tblLook w:val="04A0" w:firstRow="1" w:lastRow="0" w:firstColumn="1" w:lastColumn="0" w:noHBand="0" w:noVBand="1"/>
      </w:tblPr>
      <w:tblGrid>
        <w:gridCol w:w="9016"/>
      </w:tblGrid>
      <w:tr w:rsidR="005243C7" w:rsidRPr="008037F3" w14:paraId="69777F1D" w14:textId="77777777" w:rsidTr="005243C7">
        <w:tc>
          <w:tcPr>
            <w:tcW w:w="9016" w:type="dxa"/>
            <w:tcMar>
              <w:left w:w="57" w:type="dxa"/>
              <w:right w:w="57" w:type="dxa"/>
            </w:tcMar>
          </w:tcPr>
          <w:p w14:paraId="38211D8D" w14:textId="71055F5F" w:rsidR="005243C7" w:rsidRPr="008037F3" w:rsidRDefault="005243C7" w:rsidP="00C52822">
            <w:pPr>
              <w:pStyle w:val="Table-MainTitle"/>
            </w:pPr>
            <w:bookmarkStart w:id="0" w:name="_Ref77167386"/>
            <w:r w:rsidRPr="008037F3">
              <w:t xml:space="preserve">Table </w:t>
            </w:r>
            <w:r w:rsidR="00FD1B09">
              <w:fldChar w:fldCharType="begin"/>
            </w:r>
            <w:r w:rsidR="00FD1B09">
              <w:instrText xml:space="preserve"> SEQ Table \* ARABIC </w:instrText>
            </w:r>
            <w:r w:rsidR="00FD1B09">
              <w:fldChar w:fldCharType="separate"/>
            </w:r>
            <w:r w:rsidR="009344F9" w:rsidRPr="008037F3">
              <w:t>1</w:t>
            </w:r>
            <w:r w:rsidR="00FD1B09">
              <w:fldChar w:fldCharType="end"/>
            </w:r>
            <w:bookmarkEnd w:id="0"/>
            <w:r w:rsidRPr="008037F3">
              <w:t xml:space="preserve">: </w:t>
            </w:r>
            <w:r w:rsidR="00CB6FF1" w:rsidRPr="008037F3">
              <w:tab/>
              <w:t>Recommended Dose and Duration in Patients with Chronic Liver Disease Scheduled to Undergo a Procedure</w:t>
            </w:r>
          </w:p>
        </w:tc>
      </w:tr>
    </w:tbl>
    <w:p w14:paraId="3A767393" w14:textId="6D20752D" w:rsidR="005243C7" w:rsidRPr="008037F3" w:rsidRDefault="005243C7" w:rsidP="00C52822">
      <w:pPr>
        <w:pStyle w:val="Table-space"/>
      </w:pPr>
    </w:p>
    <w:tbl>
      <w:tblPr>
        <w:tblStyle w:val="TableGrid"/>
        <w:tblW w:w="0" w:type="auto"/>
        <w:tblLook w:val="04A0" w:firstRow="1" w:lastRow="0" w:firstColumn="1" w:lastColumn="0" w:noHBand="0" w:noVBand="1"/>
      </w:tblPr>
      <w:tblGrid>
        <w:gridCol w:w="3005"/>
        <w:gridCol w:w="3005"/>
        <w:gridCol w:w="3006"/>
      </w:tblGrid>
      <w:tr w:rsidR="005243C7" w:rsidRPr="008037F3" w14:paraId="2DCE7561" w14:textId="77777777" w:rsidTr="00E0523B">
        <w:tc>
          <w:tcPr>
            <w:tcW w:w="3005" w:type="dxa"/>
            <w:tcMar>
              <w:top w:w="28" w:type="dxa"/>
              <w:left w:w="57" w:type="dxa"/>
              <w:bottom w:w="28" w:type="dxa"/>
              <w:right w:w="57" w:type="dxa"/>
            </w:tcMar>
          </w:tcPr>
          <w:p w14:paraId="45FD0C2D" w14:textId="68BCD6C3" w:rsidR="005243C7" w:rsidRPr="008037F3" w:rsidRDefault="00CB6FF1" w:rsidP="00C52822">
            <w:pPr>
              <w:pStyle w:val="Table-Heading1"/>
            </w:pPr>
            <w:r w:rsidRPr="008037F3">
              <w:t>Platelet Count (x10</w:t>
            </w:r>
            <w:r w:rsidR="008D30E5" w:rsidRPr="008037F3">
              <w:rPr>
                <w:vertAlign w:val="superscript"/>
              </w:rPr>
              <w:t>9</w:t>
            </w:r>
            <w:r w:rsidRPr="008037F3">
              <w:t>/L)</w:t>
            </w:r>
          </w:p>
        </w:tc>
        <w:tc>
          <w:tcPr>
            <w:tcW w:w="3005" w:type="dxa"/>
            <w:tcMar>
              <w:top w:w="28" w:type="dxa"/>
              <w:left w:w="57" w:type="dxa"/>
              <w:bottom w:w="28" w:type="dxa"/>
              <w:right w:w="57" w:type="dxa"/>
            </w:tcMar>
          </w:tcPr>
          <w:p w14:paraId="17C8FA7C" w14:textId="5D82BD07" w:rsidR="005243C7" w:rsidRPr="008037F3" w:rsidRDefault="00CB6FF1" w:rsidP="00C52822">
            <w:pPr>
              <w:pStyle w:val="Table-Heading1"/>
            </w:pPr>
            <w:r w:rsidRPr="008037F3">
              <w:t>Once Daily Dose</w:t>
            </w:r>
          </w:p>
        </w:tc>
        <w:tc>
          <w:tcPr>
            <w:tcW w:w="3006" w:type="dxa"/>
            <w:tcMar>
              <w:top w:w="28" w:type="dxa"/>
              <w:left w:w="57" w:type="dxa"/>
              <w:bottom w:w="28" w:type="dxa"/>
              <w:right w:w="57" w:type="dxa"/>
            </w:tcMar>
          </w:tcPr>
          <w:p w14:paraId="143E1C40" w14:textId="45144DF7" w:rsidR="005243C7" w:rsidRPr="008037F3" w:rsidRDefault="00CB6FF1" w:rsidP="00C52822">
            <w:pPr>
              <w:pStyle w:val="Table-Heading1"/>
            </w:pPr>
            <w:r w:rsidRPr="008037F3">
              <w:t>Duration</w:t>
            </w:r>
          </w:p>
        </w:tc>
      </w:tr>
      <w:tr w:rsidR="005243C7" w:rsidRPr="008037F3" w14:paraId="4498EDE8" w14:textId="77777777" w:rsidTr="005243C7">
        <w:tc>
          <w:tcPr>
            <w:tcW w:w="3005" w:type="dxa"/>
            <w:tcMar>
              <w:left w:w="57" w:type="dxa"/>
              <w:right w:w="57" w:type="dxa"/>
            </w:tcMar>
          </w:tcPr>
          <w:p w14:paraId="6479D191" w14:textId="1734596B" w:rsidR="005243C7" w:rsidRPr="008037F3" w:rsidRDefault="00CB6FF1" w:rsidP="00C52822">
            <w:pPr>
              <w:pStyle w:val="Table-text"/>
            </w:pPr>
            <w:r w:rsidRPr="008037F3">
              <w:t>Less than 40</w:t>
            </w:r>
          </w:p>
        </w:tc>
        <w:tc>
          <w:tcPr>
            <w:tcW w:w="3005" w:type="dxa"/>
            <w:tcMar>
              <w:left w:w="57" w:type="dxa"/>
              <w:right w:w="57" w:type="dxa"/>
            </w:tcMar>
          </w:tcPr>
          <w:p w14:paraId="3069A4E2" w14:textId="6324A8B0" w:rsidR="005243C7" w:rsidRPr="008037F3" w:rsidRDefault="00CB6FF1" w:rsidP="00C52822">
            <w:pPr>
              <w:pStyle w:val="Table-text"/>
            </w:pPr>
            <w:r w:rsidRPr="008037F3">
              <w:t>60 mg (3 tablets)</w:t>
            </w:r>
          </w:p>
        </w:tc>
        <w:tc>
          <w:tcPr>
            <w:tcW w:w="3006" w:type="dxa"/>
            <w:tcMar>
              <w:left w:w="57" w:type="dxa"/>
              <w:right w:w="57" w:type="dxa"/>
            </w:tcMar>
          </w:tcPr>
          <w:p w14:paraId="5FE73995" w14:textId="20031B2F" w:rsidR="005243C7" w:rsidRPr="008037F3" w:rsidRDefault="00CB6FF1" w:rsidP="00C52822">
            <w:pPr>
              <w:pStyle w:val="Table-text"/>
            </w:pPr>
            <w:r w:rsidRPr="008037F3">
              <w:t>5 days</w:t>
            </w:r>
          </w:p>
        </w:tc>
      </w:tr>
      <w:tr w:rsidR="005243C7" w:rsidRPr="008037F3" w14:paraId="0732370B" w14:textId="77777777" w:rsidTr="005243C7">
        <w:tc>
          <w:tcPr>
            <w:tcW w:w="3005" w:type="dxa"/>
            <w:tcMar>
              <w:left w:w="57" w:type="dxa"/>
              <w:right w:w="57" w:type="dxa"/>
            </w:tcMar>
          </w:tcPr>
          <w:p w14:paraId="39EBC2E2" w14:textId="07F2E3BD" w:rsidR="005243C7" w:rsidRPr="008037F3" w:rsidRDefault="00CB6FF1" w:rsidP="00C52822">
            <w:pPr>
              <w:pStyle w:val="Table-text"/>
            </w:pPr>
            <w:r w:rsidRPr="008037F3">
              <w:t>40 to less than 50</w:t>
            </w:r>
          </w:p>
        </w:tc>
        <w:tc>
          <w:tcPr>
            <w:tcW w:w="3005" w:type="dxa"/>
            <w:tcMar>
              <w:left w:w="57" w:type="dxa"/>
              <w:right w:w="57" w:type="dxa"/>
            </w:tcMar>
          </w:tcPr>
          <w:p w14:paraId="24A03DA2" w14:textId="0CA85C84" w:rsidR="005243C7" w:rsidRPr="008037F3" w:rsidRDefault="00CB6FF1" w:rsidP="00C52822">
            <w:pPr>
              <w:pStyle w:val="Table-text"/>
            </w:pPr>
            <w:r w:rsidRPr="008037F3">
              <w:t>40 mg (2 tablets)</w:t>
            </w:r>
          </w:p>
        </w:tc>
        <w:tc>
          <w:tcPr>
            <w:tcW w:w="3006" w:type="dxa"/>
            <w:tcMar>
              <w:left w:w="57" w:type="dxa"/>
              <w:right w:w="57" w:type="dxa"/>
            </w:tcMar>
          </w:tcPr>
          <w:p w14:paraId="3269280D" w14:textId="0D78A6C4" w:rsidR="005243C7" w:rsidRPr="008037F3" w:rsidRDefault="00CB6FF1" w:rsidP="00C52822">
            <w:pPr>
              <w:pStyle w:val="Table-text"/>
            </w:pPr>
            <w:r w:rsidRPr="008037F3">
              <w:t>5 days</w:t>
            </w:r>
          </w:p>
        </w:tc>
      </w:tr>
    </w:tbl>
    <w:p w14:paraId="2B752B28" w14:textId="5B522AE4" w:rsidR="00937F9F" w:rsidRPr="008037F3" w:rsidRDefault="00937F9F" w:rsidP="00C52822">
      <w:pPr>
        <w:pStyle w:val="BodyText1"/>
        <w:spacing w:before="120"/>
        <w:jc w:val="left"/>
      </w:pPr>
      <w:r w:rsidRPr="008037F3">
        <w:lastRenderedPageBreak/>
        <w:t xml:space="preserve">DOPTELET has been investigated only as a single 5-day once daily dosing regimen in clinical trials in patients with chronic liver disease (see </w:t>
      </w:r>
      <w:hyperlink w:anchor="_Clinical_trials" w:history="1">
        <w:r w:rsidRPr="008037F3">
          <w:rPr>
            <w:rStyle w:val="Hyperlink"/>
          </w:rPr>
          <w:t>section 5.1 Ph</w:t>
        </w:r>
        <w:r w:rsidR="00EE4980" w:rsidRPr="008037F3">
          <w:rPr>
            <w:rStyle w:val="Hyperlink"/>
          </w:rPr>
          <w:t>a</w:t>
        </w:r>
        <w:r w:rsidRPr="008037F3">
          <w:rPr>
            <w:rStyle w:val="Hyperlink"/>
          </w:rPr>
          <w:t>rmacodynamic Properties – Clinical trials</w:t>
        </w:r>
      </w:hyperlink>
      <w:r w:rsidRPr="008037F3">
        <w:t xml:space="preserve">). DOPTELET should not be administered to patients with chronic liver disease </w:t>
      </w:r>
      <w:proofErr w:type="gramStart"/>
      <w:r w:rsidRPr="008037F3">
        <w:t>in an attempt to</w:t>
      </w:r>
      <w:proofErr w:type="gramEnd"/>
      <w:r w:rsidRPr="008037F3">
        <w:t xml:space="preserve"> normali</w:t>
      </w:r>
      <w:r w:rsidR="00A3266D">
        <w:t>s</w:t>
      </w:r>
      <w:r w:rsidRPr="008037F3">
        <w:t xml:space="preserve">e platelet counts. </w:t>
      </w:r>
    </w:p>
    <w:p w14:paraId="0C8B81CE" w14:textId="77777777" w:rsidR="00A67F31" w:rsidRPr="008037F3" w:rsidRDefault="00A67F31" w:rsidP="00C52822">
      <w:pPr>
        <w:pStyle w:val="Heading3"/>
      </w:pPr>
      <w:bookmarkStart w:id="1" w:name="_Monitoring:"/>
      <w:bookmarkEnd w:id="1"/>
      <w:r w:rsidRPr="008037F3">
        <w:t xml:space="preserve">Recommended Dosage for Patients with Chronic Immune Thrombocytopenia </w:t>
      </w:r>
    </w:p>
    <w:p w14:paraId="5EFF85DD" w14:textId="0A344448" w:rsidR="00A67F31" w:rsidRPr="008037F3" w:rsidRDefault="00A67F31" w:rsidP="00C52822">
      <w:pPr>
        <w:pStyle w:val="BodyText1"/>
        <w:jc w:val="left"/>
      </w:pPr>
      <w:r w:rsidRPr="008037F3">
        <w:t>Use the lowest dose of DOPTELET needed to achieve and maintain a platelet count greater than or equal to 50</w:t>
      </w:r>
      <w:r w:rsidR="00DF5A54" w:rsidRPr="008037F3">
        <w:t>x</w:t>
      </w:r>
      <w:r w:rsidRPr="008037F3">
        <w:t>10</w:t>
      </w:r>
      <w:r w:rsidRPr="008037F3">
        <w:rPr>
          <w:vertAlign w:val="superscript"/>
        </w:rPr>
        <w:t>9</w:t>
      </w:r>
      <w:r w:rsidRPr="008037F3">
        <w:t xml:space="preserve">/L as necessary to reduce the risk for bleeding. Dose adjustments are based on platelet count response. </w:t>
      </w:r>
    </w:p>
    <w:p w14:paraId="0BBF5AD0" w14:textId="16C004AC" w:rsidR="00A67F31" w:rsidRPr="008037F3" w:rsidRDefault="00A67F31" w:rsidP="00C52822">
      <w:pPr>
        <w:pStyle w:val="BodyText1"/>
        <w:jc w:val="left"/>
      </w:pPr>
      <w:r w:rsidRPr="008037F3">
        <w:t>Do not use DOPTELET to normali</w:t>
      </w:r>
      <w:r w:rsidR="00315428">
        <w:t>s</w:t>
      </w:r>
      <w:r w:rsidRPr="008037F3">
        <w:t xml:space="preserve">e platelet counts. </w:t>
      </w:r>
    </w:p>
    <w:p w14:paraId="555B6D9E" w14:textId="77777777" w:rsidR="00A67F31" w:rsidRPr="008037F3" w:rsidRDefault="00A67F31" w:rsidP="00C52822">
      <w:pPr>
        <w:pStyle w:val="Heading4"/>
      </w:pPr>
      <w:r w:rsidRPr="008037F3">
        <w:t xml:space="preserve">Initial Dose Regimen: </w:t>
      </w:r>
    </w:p>
    <w:p w14:paraId="470B83C7" w14:textId="3AAB36A0" w:rsidR="00A67F31" w:rsidRPr="008037F3" w:rsidRDefault="00A67F31" w:rsidP="00C52822">
      <w:pPr>
        <w:pStyle w:val="BodyText1"/>
        <w:jc w:val="left"/>
      </w:pPr>
      <w:r w:rsidRPr="008037F3">
        <w:t xml:space="preserve">Begin DOPTELET at a starting dose of 20 mg (1 tablet) once daily with food. </w:t>
      </w:r>
    </w:p>
    <w:p w14:paraId="3C196526" w14:textId="67156F96" w:rsidR="00A67F31" w:rsidRPr="008037F3" w:rsidRDefault="00A67F31" w:rsidP="00C52822">
      <w:pPr>
        <w:pStyle w:val="Heading4"/>
      </w:pPr>
      <w:bookmarkStart w:id="2" w:name="_Monitoring_and_dose"/>
      <w:bookmarkEnd w:id="2"/>
      <w:r w:rsidRPr="008037F3">
        <w:t>Monitoring</w:t>
      </w:r>
      <w:r w:rsidR="00753449" w:rsidRPr="008037F3">
        <w:t xml:space="preserve"> and dose adjustment</w:t>
      </w:r>
      <w:r w:rsidRPr="008037F3">
        <w:t xml:space="preserve">: </w:t>
      </w:r>
    </w:p>
    <w:p w14:paraId="50DE5075" w14:textId="18E91C39" w:rsidR="007A7E71" w:rsidRPr="008037F3" w:rsidRDefault="00A67F31" w:rsidP="00C52822">
      <w:pPr>
        <w:pStyle w:val="BodyText1"/>
        <w:jc w:val="left"/>
      </w:pPr>
      <w:r w:rsidRPr="008037F3">
        <w:t>After initiating therapy with DOPTELET, assess platelet counts weekly until a stable platelet count greater than or equal to 50</w:t>
      </w:r>
      <w:r w:rsidR="00531CD2" w:rsidRPr="008037F3">
        <w:t>x</w:t>
      </w:r>
      <w:r w:rsidRPr="008037F3">
        <w:t>10</w:t>
      </w:r>
      <w:r w:rsidRPr="008037F3">
        <w:rPr>
          <w:vertAlign w:val="superscript"/>
        </w:rPr>
        <w:t>9</w:t>
      </w:r>
      <w:r w:rsidRPr="008037F3">
        <w:t xml:space="preserve">/L has been achieved, and then obtain platelet counts monthly thereafter. </w:t>
      </w:r>
    </w:p>
    <w:p w14:paraId="51C49914" w14:textId="3A36516B" w:rsidR="00A67F31" w:rsidRPr="008037F3" w:rsidRDefault="00A67F31" w:rsidP="00C52822">
      <w:pPr>
        <w:pStyle w:val="BodyText1"/>
        <w:jc w:val="left"/>
      </w:pPr>
      <w:r w:rsidRPr="008037F3">
        <w:t xml:space="preserve">Obtain platelet counts weekly for at least 4 weeks following discontinuation of DOPTELET. </w:t>
      </w:r>
    </w:p>
    <w:p w14:paraId="796DB391" w14:textId="57539F3F" w:rsidR="004920DB" w:rsidRPr="008037F3" w:rsidRDefault="00A67F31" w:rsidP="00C52822">
      <w:pPr>
        <w:pStyle w:val="BodyText1"/>
        <w:jc w:val="left"/>
      </w:pPr>
      <w:r w:rsidRPr="008037F3">
        <w:t xml:space="preserve">Dose adjustments (see </w:t>
      </w:r>
      <w:r w:rsidRPr="008037F3">
        <w:rPr>
          <w:color w:val="0000FF"/>
        </w:rPr>
        <w:fldChar w:fldCharType="begin"/>
      </w:r>
      <w:r w:rsidRPr="008037F3">
        <w:instrText xml:space="preserve"> REF _Ref77167374 \h </w:instrText>
      </w:r>
      <w:r w:rsidRPr="008037F3">
        <w:rPr>
          <w:color w:val="0000FF"/>
        </w:rPr>
      </w:r>
      <w:r w:rsidR="00C52822">
        <w:rPr>
          <w:color w:val="0000FF"/>
        </w:rPr>
        <w:instrText xml:space="preserve"> \* MERGEFORMAT </w:instrText>
      </w:r>
      <w:r w:rsidRPr="008037F3">
        <w:rPr>
          <w:color w:val="0000FF"/>
        </w:rPr>
        <w:fldChar w:fldCharType="separate"/>
      </w:r>
      <w:r w:rsidRPr="008037F3">
        <w:t>Table 2</w:t>
      </w:r>
      <w:r w:rsidRPr="008037F3">
        <w:rPr>
          <w:color w:val="0000FF"/>
        </w:rPr>
        <w:fldChar w:fldCharType="end"/>
      </w:r>
      <w:r w:rsidRPr="008037F3">
        <w:rPr>
          <w:color w:val="0000FF"/>
        </w:rPr>
        <w:t xml:space="preserve"> </w:t>
      </w:r>
      <w:r w:rsidRPr="008037F3">
        <w:t xml:space="preserve">and </w:t>
      </w:r>
      <w:r w:rsidR="00B23251" w:rsidRPr="008037F3">
        <w:fldChar w:fldCharType="begin"/>
      </w:r>
      <w:r w:rsidR="00B23251" w:rsidRPr="008037F3">
        <w:instrText xml:space="preserve"> REF _Ref77168059 \h </w:instrText>
      </w:r>
      <w:r w:rsidR="00C52822">
        <w:instrText xml:space="preserve"> \* MERGEFORMAT </w:instrText>
      </w:r>
      <w:r w:rsidR="00B23251" w:rsidRPr="008037F3">
        <w:fldChar w:fldCharType="separate"/>
      </w:r>
      <w:r w:rsidR="00B23251" w:rsidRPr="008037F3">
        <w:t>Table 3</w:t>
      </w:r>
      <w:r w:rsidR="00B23251" w:rsidRPr="008037F3">
        <w:fldChar w:fldCharType="end"/>
      </w:r>
      <w:r w:rsidRPr="008037F3">
        <w:t xml:space="preserve">) are based on the platelet count response. </w:t>
      </w:r>
    </w:p>
    <w:p w14:paraId="4A4E8CDC" w14:textId="19C01837" w:rsidR="005243C7" w:rsidRPr="008037F3" w:rsidRDefault="00A67F31" w:rsidP="00C52822">
      <w:pPr>
        <w:pStyle w:val="BodyText1"/>
        <w:jc w:val="left"/>
      </w:pPr>
      <w:r w:rsidRPr="008037F3">
        <w:t xml:space="preserve">Do not exceed a daily dose of 40 mg (2 tablets). </w:t>
      </w:r>
    </w:p>
    <w:tbl>
      <w:tblPr>
        <w:tblStyle w:val="TableGrid"/>
        <w:tblW w:w="0" w:type="auto"/>
        <w:tblLook w:val="04A0" w:firstRow="1" w:lastRow="0" w:firstColumn="1" w:lastColumn="0" w:noHBand="0" w:noVBand="1"/>
      </w:tblPr>
      <w:tblGrid>
        <w:gridCol w:w="9016"/>
      </w:tblGrid>
      <w:tr w:rsidR="00A67F31" w:rsidRPr="008037F3" w14:paraId="264F1146" w14:textId="77777777" w:rsidTr="002F37DA">
        <w:tc>
          <w:tcPr>
            <w:tcW w:w="9016" w:type="dxa"/>
            <w:tcMar>
              <w:left w:w="57" w:type="dxa"/>
              <w:right w:w="57" w:type="dxa"/>
            </w:tcMar>
          </w:tcPr>
          <w:p w14:paraId="25C8E03B" w14:textId="6FC07303" w:rsidR="00A67F31" w:rsidRPr="008037F3" w:rsidRDefault="00A67F31" w:rsidP="00C52822">
            <w:pPr>
              <w:pStyle w:val="Table-MainTitle"/>
            </w:pPr>
            <w:bookmarkStart w:id="3" w:name="_Ref77167374"/>
            <w:r w:rsidRPr="008037F3">
              <w:t xml:space="preserve">Table </w:t>
            </w:r>
            <w:r w:rsidR="00FD1B09">
              <w:fldChar w:fldCharType="begin"/>
            </w:r>
            <w:r w:rsidR="00FD1B09">
              <w:instrText xml:space="preserve"> SEQ Table \* ARABIC </w:instrText>
            </w:r>
            <w:r w:rsidR="00FD1B09">
              <w:fldChar w:fldCharType="separate"/>
            </w:r>
            <w:r w:rsidR="009344F9" w:rsidRPr="008037F3">
              <w:t>2</w:t>
            </w:r>
            <w:r w:rsidR="00FD1B09">
              <w:fldChar w:fldCharType="end"/>
            </w:r>
            <w:bookmarkEnd w:id="3"/>
            <w:r w:rsidRPr="008037F3">
              <w:t xml:space="preserve">: </w:t>
            </w:r>
            <w:r w:rsidRPr="008037F3">
              <w:tab/>
            </w:r>
            <w:r w:rsidR="00DE018D" w:rsidRPr="008037F3">
              <w:t>DOPTELET Dose Adjustments for Patients with Chronic Immune Thrombocytopenia</w:t>
            </w:r>
          </w:p>
        </w:tc>
      </w:tr>
    </w:tbl>
    <w:p w14:paraId="42567C1A" w14:textId="77777777" w:rsidR="00A67F31" w:rsidRPr="008037F3" w:rsidRDefault="00A67F31" w:rsidP="00C52822">
      <w:pPr>
        <w:pStyle w:val="Table-space"/>
      </w:pPr>
    </w:p>
    <w:tbl>
      <w:tblPr>
        <w:tblStyle w:val="TableGrid"/>
        <w:tblW w:w="0" w:type="auto"/>
        <w:tblLook w:val="04A0" w:firstRow="1" w:lastRow="0" w:firstColumn="1" w:lastColumn="0" w:noHBand="0" w:noVBand="1"/>
      </w:tblPr>
      <w:tblGrid>
        <w:gridCol w:w="3539"/>
        <w:gridCol w:w="5477"/>
      </w:tblGrid>
      <w:tr w:rsidR="00DE018D" w:rsidRPr="008037F3" w14:paraId="68D25ACF" w14:textId="77777777" w:rsidTr="00E0523B">
        <w:tc>
          <w:tcPr>
            <w:tcW w:w="3539" w:type="dxa"/>
            <w:tcMar>
              <w:top w:w="28" w:type="dxa"/>
              <w:left w:w="57" w:type="dxa"/>
              <w:bottom w:w="28" w:type="dxa"/>
              <w:right w:w="57" w:type="dxa"/>
            </w:tcMar>
          </w:tcPr>
          <w:p w14:paraId="0AE3CAD7" w14:textId="77777777" w:rsidR="00DE018D" w:rsidRPr="008037F3" w:rsidRDefault="00DE018D" w:rsidP="00C52822">
            <w:pPr>
              <w:pStyle w:val="Table-Heading1"/>
            </w:pPr>
            <w:r w:rsidRPr="008037F3">
              <w:t>Platelet Count (x10</w:t>
            </w:r>
            <w:r w:rsidRPr="008037F3">
              <w:rPr>
                <w:vertAlign w:val="superscript"/>
              </w:rPr>
              <w:t>9</w:t>
            </w:r>
            <w:r w:rsidRPr="008037F3">
              <w:t>/L)</w:t>
            </w:r>
          </w:p>
        </w:tc>
        <w:tc>
          <w:tcPr>
            <w:tcW w:w="5477" w:type="dxa"/>
            <w:tcMar>
              <w:top w:w="28" w:type="dxa"/>
              <w:left w:w="57" w:type="dxa"/>
              <w:bottom w:w="28" w:type="dxa"/>
              <w:right w:w="57" w:type="dxa"/>
            </w:tcMar>
          </w:tcPr>
          <w:p w14:paraId="129492D9" w14:textId="04566261" w:rsidR="00DE018D" w:rsidRPr="008037F3" w:rsidRDefault="00DE018D" w:rsidP="00C52822">
            <w:pPr>
              <w:pStyle w:val="Table-Heading1"/>
            </w:pPr>
            <w:r w:rsidRPr="008037F3">
              <w:t>Dose Adjustment or Action</w:t>
            </w:r>
          </w:p>
        </w:tc>
      </w:tr>
      <w:tr w:rsidR="00DE018D" w:rsidRPr="008037F3" w14:paraId="1D7D53DC" w14:textId="77777777" w:rsidTr="00FB293B">
        <w:tc>
          <w:tcPr>
            <w:tcW w:w="3539" w:type="dxa"/>
            <w:tcMar>
              <w:left w:w="57" w:type="dxa"/>
              <w:right w:w="57" w:type="dxa"/>
            </w:tcMar>
          </w:tcPr>
          <w:p w14:paraId="68F29814" w14:textId="5FDF0957" w:rsidR="00DE018D" w:rsidRPr="008037F3" w:rsidRDefault="00DE018D" w:rsidP="00C52822">
            <w:pPr>
              <w:pStyle w:val="Table-text"/>
            </w:pPr>
            <w:r w:rsidRPr="008037F3">
              <w:t xml:space="preserve">Less than </w:t>
            </w:r>
            <w:r w:rsidR="00787E23" w:rsidRPr="008037F3">
              <w:t>5</w:t>
            </w:r>
            <w:r w:rsidRPr="008037F3">
              <w:t>0</w:t>
            </w:r>
            <w:r w:rsidR="00787E23" w:rsidRPr="008037F3">
              <w:t xml:space="preserve"> after at least 2 weeks of DOPTELET </w:t>
            </w:r>
          </w:p>
        </w:tc>
        <w:tc>
          <w:tcPr>
            <w:tcW w:w="5477" w:type="dxa"/>
            <w:tcMar>
              <w:left w:w="57" w:type="dxa"/>
              <w:right w:w="57" w:type="dxa"/>
            </w:tcMar>
          </w:tcPr>
          <w:p w14:paraId="7165AC84" w14:textId="3E111452" w:rsidR="002C29F6" w:rsidRPr="008037F3" w:rsidRDefault="001B586D" w:rsidP="00C52822">
            <w:pPr>
              <w:pStyle w:val="Table-text"/>
              <w:numPr>
                <w:ilvl w:val="0"/>
                <w:numId w:val="36"/>
              </w:numPr>
              <w:ind w:left="196" w:hanging="196"/>
            </w:pPr>
            <w:r w:rsidRPr="008037F3">
              <w:t xml:space="preserve">Increase </w:t>
            </w:r>
            <w:r w:rsidRPr="008037F3">
              <w:rPr>
                <w:i/>
                <w:iCs/>
              </w:rPr>
              <w:t>One Dose Level</w:t>
            </w:r>
            <w:r w:rsidRPr="008037F3">
              <w:t xml:space="preserve"> per </w:t>
            </w:r>
            <w:r w:rsidR="00B23251" w:rsidRPr="008037F3">
              <w:fldChar w:fldCharType="begin"/>
            </w:r>
            <w:r w:rsidR="00B23251" w:rsidRPr="008037F3">
              <w:instrText xml:space="preserve"> REF _Ref77168059 \h </w:instrText>
            </w:r>
            <w:r w:rsidR="00C52822">
              <w:instrText xml:space="preserve"> \* MERGEFORMAT </w:instrText>
            </w:r>
            <w:r w:rsidR="00B23251" w:rsidRPr="008037F3">
              <w:fldChar w:fldCharType="separate"/>
            </w:r>
            <w:r w:rsidR="00B23251" w:rsidRPr="008037F3">
              <w:t>Table 3</w:t>
            </w:r>
            <w:r w:rsidR="00B23251" w:rsidRPr="008037F3">
              <w:fldChar w:fldCharType="end"/>
            </w:r>
            <w:r w:rsidRPr="008037F3">
              <w:t xml:space="preserve">. </w:t>
            </w:r>
          </w:p>
          <w:p w14:paraId="37ADB173" w14:textId="603521FC" w:rsidR="00DE018D" w:rsidRPr="008037F3" w:rsidRDefault="001B586D" w:rsidP="00C52822">
            <w:pPr>
              <w:pStyle w:val="Table-text"/>
              <w:numPr>
                <w:ilvl w:val="0"/>
                <w:numId w:val="36"/>
              </w:numPr>
              <w:ind w:left="196" w:hanging="196"/>
            </w:pPr>
            <w:r w:rsidRPr="008037F3">
              <w:t xml:space="preserve">Wait 2 weeks to assess the effects of this regimen and any subsequent dose adjustments. </w:t>
            </w:r>
          </w:p>
        </w:tc>
      </w:tr>
      <w:tr w:rsidR="001B586D" w:rsidRPr="008037F3" w14:paraId="22E2301A" w14:textId="77777777" w:rsidTr="00FB293B">
        <w:tc>
          <w:tcPr>
            <w:tcW w:w="3539" w:type="dxa"/>
            <w:tcMar>
              <w:left w:w="57" w:type="dxa"/>
              <w:right w:w="57" w:type="dxa"/>
            </w:tcMar>
          </w:tcPr>
          <w:p w14:paraId="535D8224" w14:textId="1B2033AA" w:rsidR="001B586D" w:rsidRPr="008037F3" w:rsidRDefault="001B586D" w:rsidP="00C52822">
            <w:pPr>
              <w:pStyle w:val="Table-text"/>
            </w:pPr>
            <w:r w:rsidRPr="008037F3">
              <w:t xml:space="preserve">Between </w:t>
            </w:r>
            <w:r w:rsidR="00801AE6" w:rsidRPr="008037F3">
              <w:t>200</w:t>
            </w:r>
            <w:r w:rsidR="007D1940" w:rsidRPr="008037F3">
              <w:t xml:space="preserve"> </w:t>
            </w:r>
            <w:r w:rsidRPr="008037F3">
              <w:t xml:space="preserve">and </w:t>
            </w:r>
            <w:r w:rsidR="007D1940" w:rsidRPr="008037F3">
              <w:t xml:space="preserve">400 </w:t>
            </w:r>
            <w:r w:rsidRPr="008037F3">
              <w:t xml:space="preserve"> </w:t>
            </w:r>
          </w:p>
        </w:tc>
        <w:tc>
          <w:tcPr>
            <w:tcW w:w="5477" w:type="dxa"/>
            <w:tcMar>
              <w:left w:w="57" w:type="dxa"/>
              <w:right w:w="57" w:type="dxa"/>
            </w:tcMar>
          </w:tcPr>
          <w:p w14:paraId="05936220" w14:textId="30455EDD" w:rsidR="00FD3263" w:rsidRPr="008037F3" w:rsidRDefault="001B586D" w:rsidP="00C52822">
            <w:pPr>
              <w:pStyle w:val="Table-text"/>
              <w:numPr>
                <w:ilvl w:val="0"/>
                <w:numId w:val="36"/>
              </w:numPr>
              <w:ind w:left="196" w:hanging="196"/>
            </w:pPr>
            <w:r w:rsidRPr="008037F3">
              <w:t xml:space="preserve">Decrease </w:t>
            </w:r>
            <w:r w:rsidRPr="008037F3">
              <w:rPr>
                <w:i/>
                <w:iCs/>
              </w:rPr>
              <w:t>One Dose Level</w:t>
            </w:r>
            <w:r w:rsidRPr="008037F3">
              <w:t xml:space="preserve"> per </w:t>
            </w:r>
            <w:r w:rsidR="00B23251" w:rsidRPr="008037F3">
              <w:fldChar w:fldCharType="begin"/>
            </w:r>
            <w:r w:rsidR="00B23251" w:rsidRPr="008037F3">
              <w:instrText xml:space="preserve"> REF _Ref77168059 \h </w:instrText>
            </w:r>
            <w:r w:rsidR="00C52822">
              <w:instrText xml:space="preserve"> \* MERGEFORMAT </w:instrText>
            </w:r>
            <w:r w:rsidR="00B23251" w:rsidRPr="008037F3">
              <w:fldChar w:fldCharType="separate"/>
            </w:r>
            <w:r w:rsidR="00B23251" w:rsidRPr="008037F3">
              <w:t>Table 3</w:t>
            </w:r>
            <w:r w:rsidR="00B23251" w:rsidRPr="008037F3">
              <w:fldChar w:fldCharType="end"/>
            </w:r>
            <w:r w:rsidRPr="008037F3">
              <w:t xml:space="preserve">. </w:t>
            </w:r>
          </w:p>
          <w:p w14:paraId="455682BC" w14:textId="1695A2CD" w:rsidR="001B586D" w:rsidRPr="008037F3" w:rsidRDefault="001B586D" w:rsidP="00C52822">
            <w:pPr>
              <w:pStyle w:val="Table-text"/>
              <w:numPr>
                <w:ilvl w:val="0"/>
                <w:numId w:val="36"/>
              </w:numPr>
              <w:ind w:left="196" w:hanging="196"/>
            </w:pPr>
            <w:r w:rsidRPr="008037F3">
              <w:t xml:space="preserve">Wait 2 weeks to assess the effects of this regimen and any subsequent dose adjustments. </w:t>
            </w:r>
          </w:p>
        </w:tc>
      </w:tr>
      <w:tr w:rsidR="001B586D" w:rsidRPr="008037F3" w14:paraId="379951C5" w14:textId="77777777" w:rsidTr="00FB293B">
        <w:tc>
          <w:tcPr>
            <w:tcW w:w="3539" w:type="dxa"/>
            <w:tcMar>
              <w:left w:w="57" w:type="dxa"/>
              <w:right w:w="57" w:type="dxa"/>
            </w:tcMar>
          </w:tcPr>
          <w:p w14:paraId="68F01502" w14:textId="3D6AB8CE" w:rsidR="001B586D" w:rsidRPr="008037F3" w:rsidRDefault="001B586D" w:rsidP="00C52822">
            <w:pPr>
              <w:pStyle w:val="Table-text"/>
            </w:pPr>
            <w:r w:rsidRPr="008037F3">
              <w:t xml:space="preserve">Greater than </w:t>
            </w:r>
            <w:r w:rsidR="007D1940" w:rsidRPr="008037F3">
              <w:t xml:space="preserve">400 </w:t>
            </w:r>
            <w:r w:rsidRPr="008037F3">
              <w:t xml:space="preserve"> </w:t>
            </w:r>
          </w:p>
        </w:tc>
        <w:tc>
          <w:tcPr>
            <w:tcW w:w="5477" w:type="dxa"/>
            <w:tcMar>
              <w:left w:w="57" w:type="dxa"/>
              <w:right w:w="57" w:type="dxa"/>
            </w:tcMar>
          </w:tcPr>
          <w:p w14:paraId="382B4129" w14:textId="77777777" w:rsidR="001B586D" w:rsidRPr="008037F3" w:rsidRDefault="001B586D" w:rsidP="00C52822">
            <w:pPr>
              <w:pStyle w:val="Table-text"/>
              <w:numPr>
                <w:ilvl w:val="0"/>
                <w:numId w:val="36"/>
              </w:numPr>
              <w:ind w:left="196" w:hanging="196"/>
            </w:pPr>
            <w:r w:rsidRPr="008037F3">
              <w:t xml:space="preserve">Stop DOPTELET. </w:t>
            </w:r>
          </w:p>
          <w:p w14:paraId="269BFAF5" w14:textId="77777777" w:rsidR="00FD3263" w:rsidRPr="008037F3" w:rsidRDefault="001B586D" w:rsidP="00C52822">
            <w:pPr>
              <w:pStyle w:val="Table-text"/>
              <w:numPr>
                <w:ilvl w:val="0"/>
                <w:numId w:val="36"/>
              </w:numPr>
              <w:ind w:left="196" w:hanging="196"/>
            </w:pPr>
            <w:r w:rsidRPr="008037F3">
              <w:t xml:space="preserve">Increase platelet monitoring </w:t>
            </w:r>
            <w:proofErr w:type="gramStart"/>
            <w:r w:rsidRPr="008037F3">
              <w:t>to</w:t>
            </w:r>
            <w:proofErr w:type="gramEnd"/>
            <w:r w:rsidRPr="008037F3">
              <w:t xml:space="preserve"> twice weekly. </w:t>
            </w:r>
          </w:p>
          <w:p w14:paraId="5D62EFE0" w14:textId="70550C4A" w:rsidR="001B586D" w:rsidRPr="008037F3" w:rsidRDefault="001B586D" w:rsidP="00C52822">
            <w:pPr>
              <w:pStyle w:val="Table-text"/>
              <w:numPr>
                <w:ilvl w:val="0"/>
                <w:numId w:val="36"/>
              </w:numPr>
              <w:ind w:left="196" w:hanging="196"/>
            </w:pPr>
            <w:r w:rsidRPr="008037F3">
              <w:t xml:space="preserve">When platelet count is less than </w:t>
            </w:r>
            <w:r w:rsidR="007D1940" w:rsidRPr="008037F3">
              <w:t>150</w:t>
            </w:r>
            <w:r w:rsidRPr="008037F3">
              <w:t xml:space="preserve"> </w:t>
            </w:r>
            <w:r w:rsidR="007B270A" w:rsidRPr="008037F3">
              <w:t>x</w:t>
            </w:r>
            <w:r w:rsidRPr="008037F3">
              <w:t>10</w:t>
            </w:r>
            <w:r w:rsidRPr="008037F3">
              <w:rPr>
                <w:vertAlign w:val="superscript"/>
              </w:rPr>
              <w:t>9</w:t>
            </w:r>
            <w:r w:rsidRPr="008037F3">
              <w:t xml:space="preserve">/L, decrease </w:t>
            </w:r>
            <w:r w:rsidRPr="008037F3">
              <w:rPr>
                <w:i/>
                <w:iCs/>
              </w:rPr>
              <w:t>One Dose Level</w:t>
            </w:r>
            <w:r w:rsidRPr="008037F3">
              <w:t xml:space="preserve"> per </w:t>
            </w:r>
            <w:r w:rsidR="00B23251" w:rsidRPr="008037F3">
              <w:fldChar w:fldCharType="begin"/>
            </w:r>
            <w:r w:rsidR="00B23251" w:rsidRPr="008037F3">
              <w:instrText xml:space="preserve"> REF _Ref77168059 \h </w:instrText>
            </w:r>
            <w:r w:rsidR="00C52822">
              <w:instrText xml:space="preserve"> \* MERGEFORMAT </w:instrText>
            </w:r>
            <w:r w:rsidR="00B23251" w:rsidRPr="008037F3">
              <w:fldChar w:fldCharType="separate"/>
            </w:r>
            <w:r w:rsidR="00B23251" w:rsidRPr="008037F3">
              <w:t>Table 3</w:t>
            </w:r>
            <w:r w:rsidR="00B23251" w:rsidRPr="008037F3">
              <w:fldChar w:fldCharType="end"/>
            </w:r>
            <w:r w:rsidRPr="008037F3">
              <w:t xml:space="preserve"> and reinitiate therapy. </w:t>
            </w:r>
          </w:p>
        </w:tc>
      </w:tr>
      <w:tr w:rsidR="001B586D" w:rsidRPr="008037F3" w14:paraId="735706BB" w14:textId="77777777" w:rsidTr="00FB293B">
        <w:tc>
          <w:tcPr>
            <w:tcW w:w="3539" w:type="dxa"/>
            <w:tcMar>
              <w:left w:w="57" w:type="dxa"/>
              <w:right w:w="57" w:type="dxa"/>
            </w:tcMar>
          </w:tcPr>
          <w:p w14:paraId="0621D608" w14:textId="6F69C896" w:rsidR="001B586D" w:rsidRPr="008037F3" w:rsidRDefault="005B382F" w:rsidP="00C52822">
            <w:pPr>
              <w:pStyle w:val="Table-text"/>
            </w:pPr>
            <w:r w:rsidRPr="008037F3">
              <w:t xml:space="preserve">Less than 50 after 4 weeks of DOPTELET 40 mg once daily </w:t>
            </w:r>
          </w:p>
        </w:tc>
        <w:tc>
          <w:tcPr>
            <w:tcW w:w="5477" w:type="dxa"/>
            <w:tcMar>
              <w:left w:w="57" w:type="dxa"/>
              <w:right w:w="57" w:type="dxa"/>
            </w:tcMar>
          </w:tcPr>
          <w:p w14:paraId="5B1C9A44" w14:textId="2060EB33" w:rsidR="001B586D" w:rsidRPr="008037F3" w:rsidRDefault="005B382F" w:rsidP="00C52822">
            <w:pPr>
              <w:pStyle w:val="Table-text"/>
              <w:numPr>
                <w:ilvl w:val="0"/>
                <w:numId w:val="36"/>
              </w:numPr>
              <w:ind w:left="196" w:hanging="196"/>
            </w:pPr>
            <w:r w:rsidRPr="008037F3">
              <w:t xml:space="preserve">Discontinue DOPTELET. </w:t>
            </w:r>
          </w:p>
        </w:tc>
      </w:tr>
      <w:tr w:rsidR="005B382F" w:rsidRPr="008037F3" w14:paraId="3D43A02D" w14:textId="77777777" w:rsidTr="00FB293B">
        <w:tc>
          <w:tcPr>
            <w:tcW w:w="3539" w:type="dxa"/>
            <w:tcMar>
              <w:left w:w="57" w:type="dxa"/>
              <w:right w:w="57" w:type="dxa"/>
            </w:tcMar>
          </w:tcPr>
          <w:p w14:paraId="477FA4D0" w14:textId="12A6D1D9" w:rsidR="005B382F" w:rsidRPr="008037F3" w:rsidRDefault="005B382F" w:rsidP="00C52822">
            <w:pPr>
              <w:pStyle w:val="Table-text"/>
            </w:pPr>
            <w:r w:rsidRPr="008037F3">
              <w:t xml:space="preserve">Greater than </w:t>
            </w:r>
            <w:r w:rsidR="007D1940" w:rsidRPr="008037F3">
              <w:t xml:space="preserve">400 </w:t>
            </w:r>
            <w:r w:rsidRPr="008037F3">
              <w:t xml:space="preserve">after 2 weeks of DOPTELET 20 mg weekly </w:t>
            </w:r>
          </w:p>
        </w:tc>
        <w:tc>
          <w:tcPr>
            <w:tcW w:w="5477" w:type="dxa"/>
            <w:tcMar>
              <w:left w:w="57" w:type="dxa"/>
              <w:right w:w="57" w:type="dxa"/>
            </w:tcMar>
          </w:tcPr>
          <w:p w14:paraId="06E29390" w14:textId="7DB52917" w:rsidR="005B382F" w:rsidRPr="008037F3" w:rsidRDefault="005B382F" w:rsidP="00C52822">
            <w:pPr>
              <w:pStyle w:val="Table-text"/>
              <w:numPr>
                <w:ilvl w:val="0"/>
                <w:numId w:val="36"/>
              </w:numPr>
              <w:ind w:left="196" w:hanging="196"/>
            </w:pPr>
            <w:r w:rsidRPr="008037F3">
              <w:t xml:space="preserve">Discontinue DOPTELET. </w:t>
            </w:r>
          </w:p>
        </w:tc>
      </w:tr>
    </w:tbl>
    <w:p w14:paraId="770C1685" w14:textId="1639B3EA" w:rsidR="00A67F31" w:rsidRPr="008037F3" w:rsidRDefault="00A67F31" w:rsidP="00C52822">
      <w:pPr>
        <w:pStyle w:val="BodyText1"/>
        <w:spacing w:before="0" w:after="0"/>
        <w:jc w:val="left"/>
        <w:rPr>
          <w:highlight w:val="yellow"/>
        </w:rPr>
      </w:pPr>
    </w:p>
    <w:tbl>
      <w:tblPr>
        <w:tblStyle w:val="TableGrid"/>
        <w:tblW w:w="0" w:type="auto"/>
        <w:tblLook w:val="04A0" w:firstRow="1" w:lastRow="0" w:firstColumn="1" w:lastColumn="0" w:noHBand="0" w:noVBand="1"/>
      </w:tblPr>
      <w:tblGrid>
        <w:gridCol w:w="9016"/>
      </w:tblGrid>
      <w:tr w:rsidR="007E14C0" w:rsidRPr="008037F3" w14:paraId="3180279F" w14:textId="77777777" w:rsidTr="002F37DA">
        <w:tc>
          <w:tcPr>
            <w:tcW w:w="9016" w:type="dxa"/>
            <w:tcMar>
              <w:left w:w="57" w:type="dxa"/>
              <w:right w:w="57" w:type="dxa"/>
            </w:tcMar>
          </w:tcPr>
          <w:p w14:paraId="2FE2F93B" w14:textId="140114C1" w:rsidR="007E14C0" w:rsidRPr="008037F3" w:rsidRDefault="007E14C0" w:rsidP="00C52822">
            <w:pPr>
              <w:pStyle w:val="Table-MainTitle"/>
            </w:pPr>
            <w:bookmarkStart w:id="4" w:name="_Ref77168059"/>
            <w:r w:rsidRPr="008037F3">
              <w:t xml:space="preserve">Table </w:t>
            </w:r>
            <w:r w:rsidR="00FD1B09">
              <w:fldChar w:fldCharType="begin"/>
            </w:r>
            <w:r w:rsidR="00FD1B09">
              <w:instrText xml:space="preserve"> SEQ Table \* ARABIC </w:instrText>
            </w:r>
            <w:r w:rsidR="00FD1B09">
              <w:fldChar w:fldCharType="separate"/>
            </w:r>
            <w:r w:rsidR="009344F9" w:rsidRPr="008037F3">
              <w:t>3</w:t>
            </w:r>
            <w:r w:rsidR="00FD1B09">
              <w:fldChar w:fldCharType="end"/>
            </w:r>
            <w:bookmarkEnd w:id="4"/>
            <w:r w:rsidRPr="008037F3">
              <w:t xml:space="preserve">: </w:t>
            </w:r>
            <w:r w:rsidRPr="008037F3">
              <w:tab/>
            </w:r>
            <w:r w:rsidR="00A844C7" w:rsidRPr="008037F3">
              <w:t>DOPTELET Dose Levels for Titration in Patients with Chronic Immune Thrombocytopenia</w:t>
            </w:r>
          </w:p>
        </w:tc>
      </w:tr>
    </w:tbl>
    <w:p w14:paraId="1C7CDAC7" w14:textId="77777777" w:rsidR="007E14C0" w:rsidRPr="008037F3" w:rsidRDefault="007E14C0" w:rsidP="00C52822">
      <w:pPr>
        <w:pStyle w:val="Table-space"/>
      </w:pPr>
    </w:p>
    <w:tbl>
      <w:tblPr>
        <w:tblStyle w:val="TableGrid"/>
        <w:tblW w:w="0" w:type="auto"/>
        <w:tblLook w:val="04A0" w:firstRow="1" w:lastRow="0" w:firstColumn="1" w:lastColumn="0" w:noHBand="0" w:noVBand="1"/>
      </w:tblPr>
      <w:tblGrid>
        <w:gridCol w:w="7650"/>
        <w:gridCol w:w="1366"/>
      </w:tblGrid>
      <w:tr w:rsidR="007E14C0" w:rsidRPr="008037F3" w14:paraId="0C68DCA4" w14:textId="77777777" w:rsidTr="5B85C621">
        <w:tc>
          <w:tcPr>
            <w:tcW w:w="7650" w:type="dxa"/>
            <w:tcMar>
              <w:top w:w="28" w:type="dxa"/>
              <w:left w:w="57" w:type="dxa"/>
              <w:bottom w:w="28" w:type="dxa"/>
              <w:right w:w="57" w:type="dxa"/>
            </w:tcMar>
          </w:tcPr>
          <w:p w14:paraId="7CE1B9DD" w14:textId="737AF821" w:rsidR="007E14C0" w:rsidRPr="008037F3" w:rsidRDefault="00A844C7" w:rsidP="00C52822">
            <w:pPr>
              <w:pStyle w:val="Table-Heading1"/>
              <w:rPr>
                <w:rFonts w:ascii="MS Shell Dlg 2" w:hAnsi="MS Shell Dlg 2" w:cs="MS Shell Dlg 2"/>
                <w:sz w:val="17"/>
                <w:szCs w:val="17"/>
              </w:rPr>
            </w:pPr>
            <w:r w:rsidRPr="008037F3">
              <w:t>Dose</w:t>
            </w:r>
            <w:r w:rsidR="002B7AC9" w:rsidRPr="008037F3">
              <w:rPr>
                <w:rFonts w:cs="Arial Narrow"/>
                <w:sz w:val="21"/>
                <w:szCs w:val="21"/>
                <w:vertAlign w:val="superscript"/>
              </w:rPr>
              <w:t>§</w:t>
            </w:r>
          </w:p>
        </w:tc>
        <w:tc>
          <w:tcPr>
            <w:tcW w:w="1366" w:type="dxa"/>
            <w:tcMar>
              <w:top w:w="28" w:type="dxa"/>
              <w:left w:w="57" w:type="dxa"/>
              <w:bottom w:w="28" w:type="dxa"/>
              <w:right w:w="57" w:type="dxa"/>
            </w:tcMar>
          </w:tcPr>
          <w:p w14:paraId="7AA44E9D" w14:textId="1FCD780E" w:rsidR="007E14C0" w:rsidRPr="008037F3" w:rsidRDefault="00A844C7" w:rsidP="00C52822">
            <w:pPr>
              <w:pStyle w:val="Table-Heading1"/>
            </w:pPr>
            <w:r w:rsidRPr="008037F3">
              <w:t>Dose Level</w:t>
            </w:r>
          </w:p>
        </w:tc>
      </w:tr>
      <w:tr w:rsidR="007E14C0" w:rsidRPr="008037F3" w14:paraId="3F5A0DC0" w14:textId="77777777" w:rsidTr="5B85C621">
        <w:tc>
          <w:tcPr>
            <w:tcW w:w="7650" w:type="dxa"/>
            <w:tcMar>
              <w:left w:w="57" w:type="dxa"/>
              <w:right w:w="57" w:type="dxa"/>
            </w:tcMar>
          </w:tcPr>
          <w:p w14:paraId="2DE53FF1" w14:textId="14976ACE" w:rsidR="007E14C0" w:rsidRPr="008037F3" w:rsidRDefault="00A844C7" w:rsidP="00C52822">
            <w:pPr>
              <w:pStyle w:val="Table-text"/>
            </w:pPr>
            <w:r w:rsidRPr="008037F3">
              <w:t>40 mg Once Daily</w:t>
            </w:r>
          </w:p>
        </w:tc>
        <w:tc>
          <w:tcPr>
            <w:tcW w:w="1366" w:type="dxa"/>
            <w:tcMar>
              <w:left w:w="57" w:type="dxa"/>
              <w:right w:w="57" w:type="dxa"/>
            </w:tcMar>
          </w:tcPr>
          <w:p w14:paraId="0A3C1E10" w14:textId="72FA3CC6" w:rsidR="007E14C0" w:rsidRPr="008037F3" w:rsidRDefault="00A844C7" w:rsidP="00C52822">
            <w:pPr>
              <w:pStyle w:val="Table-text"/>
            </w:pPr>
            <w:r w:rsidRPr="008037F3">
              <w:t>6</w:t>
            </w:r>
          </w:p>
        </w:tc>
      </w:tr>
      <w:tr w:rsidR="007E14C0" w:rsidRPr="008037F3" w14:paraId="0C0C9E13" w14:textId="77777777" w:rsidTr="5B85C621">
        <w:tc>
          <w:tcPr>
            <w:tcW w:w="7650" w:type="dxa"/>
            <w:tcMar>
              <w:left w:w="57" w:type="dxa"/>
              <w:right w:w="57" w:type="dxa"/>
            </w:tcMar>
          </w:tcPr>
          <w:p w14:paraId="7CCE5297" w14:textId="6B235869" w:rsidR="007E14C0" w:rsidRPr="008037F3" w:rsidRDefault="00A844C7" w:rsidP="00C52822">
            <w:pPr>
              <w:pStyle w:val="Table-text"/>
            </w:pPr>
            <w:r w:rsidRPr="008037F3">
              <w:t xml:space="preserve">40 mg Three Times a Week </w:t>
            </w:r>
            <w:r w:rsidRPr="008037F3">
              <w:rPr>
                <w:i/>
                <w:iCs/>
              </w:rPr>
              <w:t>AND</w:t>
            </w:r>
            <w:r w:rsidRPr="008037F3">
              <w:t xml:space="preserve"> </w:t>
            </w:r>
            <w:r w:rsidR="004247EE" w:rsidRPr="008037F3">
              <w:t xml:space="preserve">20 mg on the Four Remaining Days of Each Week </w:t>
            </w:r>
          </w:p>
        </w:tc>
        <w:tc>
          <w:tcPr>
            <w:tcW w:w="1366" w:type="dxa"/>
            <w:tcMar>
              <w:left w:w="57" w:type="dxa"/>
              <w:right w:w="57" w:type="dxa"/>
            </w:tcMar>
          </w:tcPr>
          <w:p w14:paraId="40E77F54" w14:textId="220A9025" w:rsidR="007E14C0" w:rsidRPr="008037F3" w:rsidRDefault="004247EE" w:rsidP="00C52822">
            <w:pPr>
              <w:pStyle w:val="Table-text"/>
            </w:pPr>
            <w:r w:rsidRPr="008037F3">
              <w:t>5</w:t>
            </w:r>
          </w:p>
        </w:tc>
      </w:tr>
      <w:tr w:rsidR="004247EE" w:rsidRPr="008037F3" w14:paraId="28EFF797" w14:textId="77777777" w:rsidTr="5B85C621">
        <w:tc>
          <w:tcPr>
            <w:tcW w:w="7650" w:type="dxa"/>
            <w:tcMar>
              <w:left w:w="57" w:type="dxa"/>
              <w:right w:w="57" w:type="dxa"/>
            </w:tcMar>
          </w:tcPr>
          <w:p w14:paraId="05A5B4A8" w14:textId="423654E8" w:rsidR="004247EE" w:rsidRPr="008037F3" w:rsidRDefault="004247EE" w:rsidP="00C52822">
            <w:pPr>
              <w:pStyle w:val="Table-text"/>
              <w:rPr>
                <w:b/>
                <w:bCs/>
              </w:rPr>
            </w:pPr>
            <w:r w:rsidRPr="008037F3">
              <w:rPr>
                <w:b/>
                <w:bCs/>
              </w:rPr>
              <w:t xml:space="preserve">20 mg Once Daily* </w:t>
            </w:r>
          </w:p>
        </w:tc>
        <w:tc>
          <w:tcPr>
            <w:tcW w:w="1366" w:type="dxa"/>
            <w:tcMar>
              <w:left w:w="57" w:type="dxa"/>
              <w:right w:w="57" w:type="dxa"/>
            </w:tcMar>
          </w:tcPr>
          <w:p w14:paraId="411049E7" w14:textId="39642040" w:rsidR="004247EE" w:rsidRPr="008037F3" w:rsidRDefault="004247EE" w:rsidP="00C52822">
            <w:pPr>
              <w:pStyle w:val="Table-text"/>
              <w:rPr>
                <w:b/>
                <w:bCs/>
              </w:rPr>
            </w:pPr>
            <w:r w:rsidRPr="008037F3">
              <w:rPr>
                <w:b/>
                <w:bCs/>
              </w:rPr>
              <w:t>4</w:t>
            </w:r>
          </w:p>
        </w:tc>
      </w:tr>
      <w:tr w:rsidR="004247EE" w:rsidRPr="008037F3" w14:paraId="7C547E7F" w14:textId="77777777" w:rsidTr="5B85C621">
        <w:tc>
          <w:tcPr>
            <w:tcW w:w="7650" w:type="dxa"/>
            <w:tcMar>
              <w:left w:w="57" w:type="dxa"/>
              <w:right w:w="57" w:type="dxa"/>
            </w:tcMar>
          </w:tcPr>
          <w:p w14:paraId="58F89268" w14:textId="67DDBF62" w:rsidR="004247EE" w:rsidRPr="008037F3" w:rsidRDefault="00806B77" w:rsidP="00C52822">
            <w:pPr>
              <w:pStyle w:val="Table-text"/>
            </w:pPr>
            <w:r w:rsidRPr="008037F3">
              <w:t xml:space="preserve">20 mg Three Times a Week </w:t>
            </w:r>
          </w:p>
        </w:tc>
        <w:tc>
          <w:tcPr>
            <w:tcW w:w="1366" w:type="dxa"/>
            <w:tcMar>
              <w:left w:w="57" w:type="dxa"/>
              <w:right w:w="57" w:type="dxa"/>
            </w:tcMar>
          </w:tcPr>
          <w:p w14:paraId="531589CE" w14:textId="41040F49" w:rsidR="004247EE" w:rsidRPr="008037F3" w:rsidRDefault="00806B77" w:rsidP="00C52822">
            <w:pPr>
              <w:pStyle w:val="Table-text"/>
            </w:pPr>
            <w:r w:rsidRPr="008037F3">
              <w:t>3</w:t>
            </w:r>
          </w:p>
        </w:tc>
      </w:tr>
      <w:tr w:rsidR="00806B77" w:rsidRPr="008037F3" w14:paraId="4A10A365" w14:textId="77777777" w:rsidTr="5B85C621">
        <w:tc>
          <w:tcPr>
            <w:tcW w:w="7650" w:type="dxa"/>
            <w:tcMar>
              <w:left w:w="57" w:type="dxa"/>
              <w:right w:w="57" w:type="dxa"/>
            </w:tcMar>
          </w:tcPr>
          <w:p w14:paraId="152ACC88" w14:textId="0134D7D0" w:rsidR="00806B77" w:rsidRPr="008037F3" w:rsidRDefault="00806B77" w:rsidP="00C52822">
            <w:pPr>
              <w:pStyle w:val="Table-text"/>
            </w:pPr>
            <w:r w:rsidRPr="008037F3">
              <w:t xml:space="preserve">20 mg Twice a Week </w:t>
            </w:r>
            <w:r w:rsidRPr="008037F3">
              <w:rPr>
                <w:i/>
                <w:iCs/>
              </w:rPr>
              <w:t>OR</w:t>
            </w:r>
            <w:r w:rsidRPr="008037F3">
              <w:t xml:space="preserve"> 40 mg Once Weekly </w:t>
            </w:r>
          </w:p>
        </w:tc>
        <w:tc>
          <w:tcPr>
            <w:tcW w:w="1366" w:type="dxa"/>
            <w:tcMar>
              <w:left w:w="57" w:type="dxa"/>
              <w:right w:w="57" w:type="dxa"/>
            </w:tcMar>
          </w:tcPr>
          <w:p w14:paraId="25F52EC9" w14:textId="634809FF" w:rsidR="00806B77" w:rsidRPr="008037F3" w:rsidRDefault="00806B77" w:rsidP="00C52822">
            <w:pPr>
              <w:pStyle w:val="Table-text"/>
            </w:pPr>
            <w:r w:rsidRPr="008037F3">
              <w:t>2</w:t>
            </w:r>
          </w:p>
        </w:tc>
      </w:tr>
      <w:tr w:rsidR="00806B77" w:rsidRPr="008037F3" w14:paraId="55212219" w14:textId="77777777" w:rsidTr="5B85C621">
        <w:tc>
          <w:tcPr>
            <w:tcW w:w="7650" w:type="dxa"/>
            <w:tcMar>
              <w:left w:w="57" w:type="dxa"/>
              <w:right w:w="57" w:type="dxa"/>
            </w:tcMar>
          </w:tcPr>
          <w:p w14:paraId="50617532" w14:textId="7AC7BEBD" w:rsidR="00806B77" w:rsidRPr="008037F3" w:rsidRDefault="00806B77" w:rsidP="00C52822">
            <w:pPr>
              <w:pStyle w:val="Table-text"/>
            </w:pPr>
            <w:r w:rsidRPr="008037F3">
              <w:t xml:space="preserve">20 mg Once Weekly </w:t>
            </w:r>
          </w:p>
        </w:tc>
        <w:tc>
          <w:tcPr>
            <w:tcW w:w="1366" w:type="dxa"/>
            <w:tcMar>
              <w:left w:w="57" w:type="dxa"/>
              <w:right w:w="57" w:type="dxa"/>
            </w:tcMar>
          </w:tcPr>
          <w:p w14:paraId="45D9F1E1" w14:textId="5BED5FAF" w:rsidR="00806B77" w:rsidRPr="008037F3" w:rsidRDefault="00806B77" w:rsidP="00C52822">
            <w:pPr>
              <w:pStyle w:val="Table-text"/>
            </w:pPr>
            <w:r w:rsidRPr="008037F3">
              <w:t>1</w:t>
            </w:r>
          </w:p>
        </w:tc>
      </w:tr>
      <w:tr w:rsidR="00806B77" w:rsidRPr="008037F3" w14:paraId="7E6C6BBD" w14:textId="77777777" w:rsidTr="5B85C621">
        <w:tc>
          <w:tcPr>
            <w:tcW w:w="9016" w:type="dxa"/>
            <w:gridSpan w:val="2"/>
            <w:tcMar>
              <w:left w:w="57" w:type="dxa"/>
              <w:right w:w="57" w:type="dxa"/>
            </w:tcMar>
          </w:tcPr>
          <w:p w14:paraId="7F39E659" w14:textId="77777777" w:rsidR="00D76105" w:rsidRDefault="00806B77" w:rsidP="00C52822">
            <w:pPr>
              <w:pStyle w:val="Table-Footertext"/>
              <w:jc w:val="left"/>
            </w:pPr>
            <w:r w:rsidRPr="008037F3">
              <w:t>*</w:t>
            </w:r>
            <w:r w:rsidR="00801A1A" w:rsidRPr="008037F3">
              <w:t> </w:t>
            </w:r>
            <w:r w:rsidRPr="008037F3">
              <w:t xml:space="preserve">Initial dose regimen for all patients </w:t>
            </w:r>
            <w:r w:rsidRPr="008037F3">
              <w:rPr>
                <w:i/>
                <w:iCs/>
              </w:rPr>
              <w:t xml:space="preserve">except </w:t>
            </w:r>
            <w:r w:rsidRPr="008037F3">
              <w:t xml:space="preserve">those taking </w:t>
            </w:r>
            <w:r w:rsidRPr="008037F3">
              <w:rPr>
                <w:i/>
                <w:iCs/>
              </w:rPr>
              <w:t xml:space="preserve">Moderate or Strong Dual Inducers </w:t>
            </w:r>
            <w:r w:rsidRPr="008037F3">
              <w:t xml:space="preserve">or </w:t>
            </w:r>
            <w:r w:rsidRPr="008037F3">
              <w:rPr>
                <w:i/>
                <w:iCs/>
              </w:rPr>
              <w:t xml:space="preserve">Moderate or Strong Dual Inhibitors </w:t>
            </w:r>
            <w:r w:rsidRPr="008037F3">
              <w:t xml:space="preserve">of CYP2C9 and CYP3A4. </w:t>
            </w:r>
          </w:p>
          <w:p w14:paraId="7ABB8ECF" w14:textId="146FDD53" w:rsidR="006609AA" w:rsidRPr="006609AA" w:rsidRDefault="00262031" w:rsidP="00C52822">
            <w:pPr>
              <w:pStyle w:val="Default"/>
              <w:rPr>
                <w:rFonts w:ascii="Arial Narrow" w:eastAsiaTheme="minorHAnsi" w:hAnsi="Arial Narrow" w:cs="Times New Roman"/>
                <w:color w:val="auto"/>
                <w:sz w:val="20"/>
                <w:szCs w:val="20"/>
                <w:lang w:eastAsia="en-US"/>
              </w:rPr>
            </w:pPr>
            <w:r w:rsidRPr="008037F3">
              <w:rPr>
                <w:rFonts w:cs="Arial Narrow"/>
                <w:sz w:val="21"/>
                <w:szCs w:val="21"/>
                <w:vertAlign w:val="superscript"/>
              </w:rPr>
              <w:t>§</w:t>
            </w:r>
            <w:r>
              <w:rPr>
                <w:rFonts w:cs="Arial Narrow"/>
                <w:sz w:val="21"/>
                <w:szCs w:val="21"/>
                <w:vertAlign w:val="superscript"/>
              </w:rPr>
              <w:t xml:space="preserve"> </w:t>
            </w:r>
            <w:r w:rsidR="006609AA" w:rsidRPr="006609AA">
              <w:rPr>
                <w:rFonts w:ascii="Arial Narrow" w:eastAsiaTheme="minorHAnsi" w:hAnsi="Arial Narrow" w:cs="Times New Roman"/>
                <w:color w:val="auto"/>
                <w:sz w:val="20"/>
                <w:szCs w:val="20"/>
                <w:lang w:eastAsia="en-US"/>
              </w:rPr>
              <w:t xml:space="preserve">Patients taking </w:t>
            </w:r>
            <w:r w:rsidR="00985541">
              <w:rPr>
                <w:rFonts w:ascii="Arial Narrow" w:eastAsiaTheme="minorHAnsi" w:hAnsi="Arial Narrow" w:cs="Times New Roman"/>
                <w:color w:val="auto"/>
                <w:sz w:val="20"/>
                <w:szCs w:val="20"/>
                <w:lang w:eastAsia="en-US"/>
              </w:rPr>
              <w:t>DOPTELET</w:t>
            </w:r>
            <w:r w:rsidR="006609AA" w:rsidRPr="006609AA">
              <w:rPr>
                <w:rFonts w:ascii="Arial Narrow" w:eastAsiaTheme="minorHAnsi" w:hAnsi="Arial Narrow" w:cs="Times New Roman"/>
                <w:color w:val="auto"/>
                <w:sz w:val="20"/>
                <w:szCs w:val="20"/>
                <w:lang w:eastAsia="en-US"/>
              </w:rPr>
              <w:t xml:space="preserve"> less frequently than once daily should take the medication in a consistent manner from week to week. </w:t>
            </w:r>
          </w:p>
          <w:p w14:paraId="08629629" w14:textId="4EFCBE97" w:rsidR="006609AA" w:rsidRPr="006609AA" w:rsidRDefault="006609AA" w:rsidP="00C52822">
            <w:pPr>
              <w:autoSpaceDE w:val="0"/>
              <w:autoSpaceDN w:val="0"/>
              <w:adjustRightInd w:val="0"/>
              <w:ind w:left="363"/>
              <w:rPr>
                <w:sz w:val="20"/>
              </w:rPr>
            </w:pPr>
            <w:r w:rsidRPr="006609AA">
              <w:rPr>
                <w:sz w:val="20"/>
              </w:rPr>
              <w:t>Dose Level 3: Three non-consecutive days a week, e.g.</w:t>
            </w:r>
            <w:r w:rsidR="00414E93">
              <w:rPr>
                <w:sz w:val="20"/>
              </w:rPr>
              <w:t>,</w:t>
            </w:r>
            <w:r w:rsidRPr="006609AA">
              <w:rPr>
                <w:sz w:val="20"/>
              </w:rPr>
              <w:t xml:space="preserve"> Monday, </w:t>
            </w:r>
            <w:proofErr w:type="gramStart"/>
            <w:r w:rsidRPr="006609AA">
              <w:rPr>
                <w:sz w:val="20"/>
              </w:rPr>
              <w:t>Wednesday</w:t>
            </w:r>
            <w:proofErr w:type="gramEnd"/>
            <w:r w:rsidRPr="006609AA">
              <w:rPr>
                <w:sz w:val="20"/>
              </w:rPr>
              <w:t xml:space="preserve"> and Friday </w:t>
            </w:r>
          </w:p>
          <w:p w14:paraId="44463914" w14:textId="1C15D3E6" w:rsidR="006609AA" w:rsidRDefault="006609AA" w:rsidP="00C52822">
            <w:pPr>
              <w:pStyle w:val="Table-Footertext"/>
              <w:ind w:left="363"/>
              <w:jc w:val="left"/>
            </w:pPr>
            <w:r w:rsidRPr="006609AA">
              <w:t>Dose Level 2: Two non-consecutive days a week, e.g.</w:t>
            </w:r>
            <w:r w:rsidR="00414E93">
              <w:t>,</w:t>
            </w:r>
            <w:r w:rsidRPr="006609AA">
              <w:t xml:space="preserve"> Monday and Friday </w:t>
            </w:r>
          </w:p>
          <w:p w14:paraId="40F7D328" w14:textId="06287896" w:rsidR="00262031" w:rsidRPr="008037F3" w:rsidRDefault="006609AA" w:rsidP="00C52822">
            <w:pPr>
              <w:pStyle w:val="Table-Footertext"/>
              <w:ind w:left="363"/>
              <w:jc w:val="left"/>
            </w:pPr>
            <w:r w:rsidRPr="006609AA">
              <w:t>Dose Level 1: The same day each week, e.g.</w:t>
            </w:r>
            <w:r w:rsidR="00414E93">
              <w:t>,</w:t>
            </w:r>
            <w:r w:rsidRPr="006609AA">
              <w:t xml:space="preserve"> Monday</w:t>
            </w:r>
          </w:p>
        </w:tc>
      </w:tr>
    </w:tbl>
    <w:p w14:paraId="3EB7E542" w14:textId="0B9A2819" w:rsidR="007E14C0" w:rsidRPr="008037F3" w:rsidRDefault="007E14C0" w:rsidP="00C52822">
      <w:pPr>
        <w:pStyle w:val="BodyText1"/>
        <w:jc w:val="left"/>
        <w:rPr>
          <w:highlight w:val="yellow"/>
        </w:rPr>
      </w:pPr>
    </w:p>
    <w:p w14:paraId="77305E9D" w14:textId="77777777" w:rsidR="003B3EFF" w:rsidRPr="008037F3" w:rsidRDefault="003B3EFF" w:rsidP="00C52822">
      <w:pPr>
        <w:pStyle w:val="BodyText1"/>
        <w:jc w:val="left"/>
      </w:pPr>
      <w:r w:rsidRPr="008037F3">
        <w:t xml:space="preserve">In the case of a missed dose, patients should take the missed dose of DOPTELET as soon as they remember. Patients should not take two doses at one time to make up for a missed dose and should take the next dose per the current regimen. </w:t>
      </w:r>
    </w:p>
    <w:p w14:paraId="5D979A85" w14:textId="77777777" w:rsidR="00B430F4" w:rsidRPr="008037F3" w:rsidRDefault="003B3EFF" w:rsidP="00C52822">
      <w:pPr>
        <w:pStyle w:val="Heading4"/>
        <w:keepNext/>
      </w:pPr>
      <w:r w:rsidRPr="008037F3">
        <w:t xml:space="preserve">Discontinuation: </w:t>
      </w:r>
    </w:p>
    <w:p w14:paraId="15AA9D95" w14:textId="12F9B7A3" w:rsidR="003B3EFF" w:rsidRPr="008037F3" w:rsidRDefault="003B3EFF" w:rsidP="00C52822">
      <w:pPr>
        <w:pStyle w:val="BodyText1"/>
        <w:keepNext/>
        <w:jc w:val="left"/>
      </w:pPr>
      <w:r w:rsidRPr="008037F3">
        <w:t>Discontinue DOPTELET if the platelet count does not increase to greater than or equal to 50</w:t>
      </w:r>
      <w:r w:rsidR="004E319C" w:rsidRPr="008037F3">
        <w:t>x</w:t>
      </w:r>
      <w:r w:rsidRPr="008037F3">
        <w:t>10</w:t>
      </w:r>
      <w:r w:rsidRPr="008037F3">
        <w:rPr>
          <w:vertAlign w:val="superscript"/>
        </w:rPr>
        <w:t>9</w:t>
      </w:r>
      <w:r w:rsidRPr="008037F3">
        <w:t xml:space="preserve">/L after 4 weeks of dosing at the maximum dose of 40 mg once daily. Discontinue DOPTELET if the platelet count is greater than </w:t>
      </w:r>
      <w:r w:rsidR="007B270A" w:rsidRPr="008037F3">
        <w:t xml:space="preserve">400 </w:t>
      </w:r>
      <w:r w:rsidR="00531CD2" w:rsidRPr="008037F3">
        <w:t>x</w:t>
      </w:r>
      <w:r w:rsidRPr="008037F3">
        <w:t>10</w:t>
      </w:r>
      <w:r w:rsidRPr="008037F3">
        <w:rPr>
          <w:vertAlign w:val="superscript"/>
        </w:rPr>
        <w:t>9</w:t>
      </w:r>
      <w:r w:rsidRPr="008037F3">
        <w:t xml:space="preserve">/L after 2 weeks of dosing at 20 mg once weekly. </w:t>
      </w:r>
    </w:p>
    <w:p w14:paraId="4D6C0A03" w14:textId="6988221D" w:rsidR="003B3EFF" w:rsidRPr="008037F3" w:rsidRDefault="003B3EFF" w:rsidP="00C52822">
      <w:pPr>
        <w:pStyle w:val="Heading3"/>
      </w:pPr>
      <w:bookmarkStart w:id="5" w:name="_Recommended_Dosage_with"/>
      <w:bookmarkEnd w:id="5"/>
      <w:r w:rsidRPr="008037F3">
        <w:t xml:space="preserve">Recommended Dosage with Concomitant Moderate or Strong Dual Inducers or Inhibitors of CYP2C9 and CYP3A4 in Patients with Chronic Immune Thrombocytopenia </w:t>
      </w:r>
    </w:p>
    <w:p w14:paraId="3400FD68" w14:textId="09C56214" w:rsidR="003B3EFF" w:rsidRPr="008037F3" w:rsidRDefault="003B3EFF" w:rsidP="00C52822">
      <w:pPr>
        <w:pStyle w:val="BodyText1"/>
        <w:jc w:val="left"/>
      </w:pPr>
      <w:r w:rsidRPr="008037F3">
        <w:t>The recommended starting doses of DOPTELET in patients with chronic immune thrombocytopenia receiving concomitant medications are summari</w:t>
      </w:r>
      <w:r w:rsidR="006E3334" w:rsidRPr="008037F3">
        <w:t>s</w:t>
      </w:r>
      <w:r w:rsidRPr="008037F3">
        <w:t xml:space="preserve">ed in </w:t>
      </w:r>
      <w:r w:rsidR="00B23251" w:rsidRPr="008037F3">
        <w:fldChar w:fldCharType="begin"/>
      </w:r>
      <w:r w:rsidR="00B23251" w:rsidRPr="008037F3">
        <w:instrText xml:space="preserve"> REF _Ref77168042 \h </w:instrText>
      </w:r>
      <w:r w:rsidR="00C52822">
        <w:instrText xml:space="preserve"> \* MERGEFORMAT </w:instrText>
      </w:r>
      <w:r w:rsidR="00B23251" w:rsidRPr="008037F3">
        <w:fldChar w:fldCharType="separate"/>
      </w:r>
      <w:r w:rsidR="00B23251" w:rsidRPr="008037F3">
        <w:t>Table 4</w:t>
      </w:r>
      <w:r w:rsidR="00B23251" w:rsidRPr="008037F3">
        <w:fldChar w:fldCharType="end"/>
      </w:r>
      <w:r w:rsidRPr="008037F3">
        <w:t xml:space="preserve">. </w:t>
      </w:r>
    </w:p>
    <w:tbl>
      <w:tblPr>
        <w:tblStyle w:val="TableGrid"/>
        <w:tblW w:w="0" w:type="auto"/>
        <w:tblLook w:val="04A0" w:firstRow="1" w:lastRow="0" w:firstColumn="1" w:lastColumn="0" w:noHBand="0" w:noVBand="1"/>
      </w:tblPr>
      <w:tblGrid>
        <w:gridCol w:w="9016"/>
      </w:tblGrid>
      <w:tr w:rsidR="00B430F4" w:rsidRPr="008037F3" w14:paraId="1C0FBAFA" w14:textId="77777777" w:rsidTr="002F37DA">
        <w:tc>
          <w:tcPr>
            <w:tcW w:w="9016" w:type="dxa"/>
            <w:tcMar>
              <w:left w:w="57" w:type="dxa"/>
              <w:right w:w="57" w:type="dxa"/>
            </w:tcMar>
          </w:tcPr>
          <w:p w14:paraId="5A58CF26" w14:textId="14EA997B" w:rsidR="00B430F4" w:rsidRPr="008037F3" w:rsidRDefault="00B430F4" w:rsidP="00C52822">
            <w:pPr>
              <w:pStyle w:val="Table-MainTitle"/>
            </w:pPr>
            <w:bookmarkStart w:id="6" w:name="_Ref77168042"/>
            <w:r w:rsidRPr="008037F3">
              <w:t xml:space="preserve">Table </w:t>
            </w:r>
            <w:r w:rsidR="00FD1B09">
              <w:fldChar w:fldCharType="begin"/>
            </w:r>
            <w:r w:rsidR="00FD1B09">
              <w:instrText xml:space="preserve"> SEQ Table \* ARABIC </w:instrText>
            </w:r>
            <w:r w:rsidR="00FD1B09">
              <w:fldChar w:fldCharType="separate"/>
            </w:r>
            <w:r w:rsidR="009344F9" w:rsidRPr="008037F3">
              <w:t>4</w:t>
            </w:r>
            <w:r w:rsidR="00FD1B09">
              <w:fldChar w:fldCharType="end"/>
            </w:r>
            <w:bookmarkEnd w:id="6"/>
            <w:r w:rsidRPr="008037F3">
              <w:t xml:space="preserve">: </w:t>
            </w:r>
            <w:r w:rsidRPr="008037F3">
              <w:tab/>
            </w:r>
            <w:r w:rsidR="00D00095" w:rsidRPr="008037F3">
              <w:t>DOPTELET Recommended Starting Dose for Patients with Chronic Immune Thrombocytopenia Based on Concomitant Medications</w:t>
            </w:r>
          </w:p>
        </w:tc>
      </w:tr>
    </w:tbl>
    <w:p w14:paraId="2284B7F4" w14:textId="77777777" w:rsidR="00B430F4" w:rsidRPr="008037F3" w:rsidRDefault="00B430F4" w:rsidP="00C52822">
      <w:pPr>
        <w:pStyle w:val="Table-space"/>
      </w:pPr>
    </w:p>
    <w:tbl>
      <w:tblPr>
        <w:tblStyle w:val="TableGrid"/>
        <w:tblW w:w="0" w:type="auto"/>
        <w:tblLook w:val="04A0" w:firstRow="1" w:lastRow="0" w:firstColumn="1" w:lastColumn="0" w:noHBand="0" w:noVBand="1"/>
      </w:tblPr>
      <w:tblGrid>
        <w:gridCol w:w="5382"/>
        <w:gridCol w:w="3634"/>
      </w:tblGrid>
      <w:tr w:rsidR="00B430F4" w:rsidRPr="008037F3" w14:paraId="393A1D53" w14:textId="77777777" w:rsidTr="00E0523B">
        <w:tc>
          <w:tcPr>
            <w:tcW w:w="5382" w:type="dxa"/>
            <w:tcMar>
              <w:top w:w="28" w:type="dxa"/>
              <w:left w:w="57" w:type="dxa"/>
              <w:bottom w:w="28" w:type="dxa"/>
              <w:right w:w="57" w:type="dxa"/>
            </w:tcMar>
          </w:tcPr>
          <w:p w14:paraId="5891C8C8" w14:textId="05A1E751" w:rsidR="00B430F4" w:rsidRPr="008037F3" w:rsidRDefault="00D00095" w:rsidP="00C52822">
            <w:pPr>
              <w:pStyle w:val="Table-Heading1"/>
            </w:pPr>
            <w:r w:rsidRPr="008037F3">
              <w:t>Concomitant Medications</w:t>
            </w:r>
          </w:p>
        </w:tc>
        <w:tc>
          <w:tcPr>
            <w:tcW w:w="3634" w:type="dxa"/>
            <w:tcMar>
              <w:top w:w="28" w:type="dxa"/>
              <w:left w:w="57" w:type="dxa"/>
              <w:bottom w:w="28" w:type="dxa"/>
              <w:right w:w="57" w:type="dxa"/>
            </w:tcMar>
          </w:tcPr>
          <w:p w14:paraId="6BD082E3" w14:textId="6588171D" w:rsidR="00B430F4" w:rsidRPr="008037F3" w:rsidRDefault="00D00095" w:rsidP="00C52822">
            <w:pPr>
              <w:pStyle w:val="Table-Heading1"/>
            </w:pPr>
            <w:r w:rsidRPr="008037F3">
              <w:t>Recommended Starting dose</w:t>
            </w:r>
          </w:p>
        </w:tc>
      </w:tr>
      <w:tr w:rsidR="00B430F4" w:rsidRPr="008037F3" w14:paraId="7BFA8681" w14:textId="77777777" w:rsidTr="00B23251">
        <w:tc>
          <w:tcPr>
            <w:tcW w:w="5382" w:type="dxa"/>
            <w:tcMar>
              <w:left w:w="57" w:type="dxa"/>
              <w:right w:w="57" w:type="dxa"/>
            </w:tcMar>
          </w:tcPr>
          <w:p w14:paraId="7229CB3A" w14:textId="77777777" w:rsidR="00E151D4" w:rsidRPr="008037F3" w:rsidRDefault="00B23251" w:rsidP="00C52822">
            <w:pPr>
              <w:pStyle w:val="Table-text"/>
            </w:pPr>
            <w:r w:rsidRPr="008037F3">
              <w:t>Moderate or strong dual inhibitors of CYP2C9 and CYP3A4</w:t>
            </w:r>
            <w:r w:rsidR="00E151D4" w:rsidRPr="008037F3">
              <w:t xml:space="preserve"> </w:t>
            </w:r>
          </w:p>
          <w:p w14:paraId="0583D17F" w14:textId="581D2BE5" w:rsidR="00B430F4" w:rsidRPr="008037F3" w:rsidRDefault="00E151D4" w:rsidP="00C52822">
            <w:pPr>
              <w:pStyle w:val="Table-text"/>
            </w:pPr>
            <w:r w:rsidRPr="008037F3">
              <w:t>(</w:t>
            </w:r>
            <w:proofErr w:type="gramStart"/>
            <w:r w:rsidRPr="008037F3">
              <w:t>e.g.</w:t>
            </w:r>
            <w:proofErr w:type="gramEnd"/>
            <w:r w:rsidRPr="008037F3">
              <w:t xml:space="preserve"> fluconazole)</w:t>
            </w:r>
          </w:p>
        </w:tc>
        <w:tc>
          <w:tcPr>
            <w:tcW w:w="3634" w:type="dxa"/>
            <w:tcMar>
              <w:left w:w="57" w:type="dxa"/>
              <w:right w:w="57" w:type="dxa"/>
            </w:tcMar>
          </w:tcPr>
          <w:p w14:paraId="411C767E" w14:textId="59DB2B81" w:rsidR="00B430F4" w:rsidRPr="008037F3" w:rsidRDefault="00B23251" w:rsidP="00C52822">
            <w:pPr>
              <w:pStyle w:val="Table-text"/>
            </w:pPr>
            <w:r w:rsidRPr="008037F3">
              <w:t>20 mg (1 tablet) three times a week</w:t>
            </w:r>
          </w:p>
        </w:tc>
      </w:tr>
      <w:tr w:rsidR="00B23251" w:rsidRPr="008037F3" w14:paraId="28308B94" w14:textId="77777777" w:rsidTr="00B23251">
        <w:tc>
          <w:tcPr>
            <w:tcW w:w="5382" w:type="dxa"/>
            <w:tcMar>
              <w:left w:w="57" w:type="dxa"/>
              <w:right w:w="57" w:type="dxa"/>
            </w:tcMar>
          </w:tcPr>
          <w:p w14:paraId="503730BE" w14:textId="77777777" w:rsidR="00B23251" w:rsidRPr="008037F3" w:rsidRDefault="00B23251" w:rsidP="00C52822">
            <w:pPr>
              <w:pStyle w:val="Table-text"/>
            </w:pPr>
            <w:r w:rsidRPr="008037F3">
              <w:t>Moderate or strong dual inducers of CYP2C9 and CYP3A4</w:t>
            </w:r>
            <w:r w:rsidR="00E151D4" w:rsidRPr="008037F3">
              <w:t xml:space="preserve"> </w:t>
            </w:r>
          </w:p>
          <w:p w14:paraId="42754730" w14:textId="7C6BA43D" w:rsidR="00E151D4" w:rsidRPr="008037F3" w:rsidRDefault="00E151D4" w:rsidP="00C52822">
            <w:pPr>
              <w:pStyle w:val="Table-text"/>
            </w:pPr>
            <w:r w:rsidRPr="008037F3">
              <w:t>(</w:t>
            </w:r>
            <w:proofErr w:type="gramStart"/>
            <w:r w:rsidRPr="008037F3">
              <w:t>e.g.</w:t>
            </w:r>
            <w:proofErr w:type="gramEnd"/>
            <w:r w:rsidRPr="008037F3">
              <w:t xml:space="preserve"> rifampicin)</w:t>
            </w:r>
          </w:p>
        </w:tc>
        <w:tc>
          <w:tcPr>
            <w:tcW w:w="3634" w:type="dxa"/>
            <w:tcMar>
              <w:left w:w="57" w:type="dxa"/>
              <w:right w:w="57" w:type="dxa"/>
            </w:tcMar>
          </w:tcPr>
          <w:p w14:paraId="2838DAD9" w14:textId="2E5D9A1B" w:rsidR="00B23251" w:rsidRPr="008037F3" w:rsidRDefault="00B23251" w:rsidP="00C52822">
            <w:pPr>
              <w:pStyle w:val="Table-text"/>
            </w:pPr>
            <w:r w:rsidRPr="008037F3">
              <w:t>40 mg (2 tablets) once daily</w:t>
            </w:r>
          </w:p>
        </w:tc>
      </w:tr>
    </w:tbl>
    <w:p w14:paraId="2AA711BA" w14:textId="2D82B70D" w:rsidR="005A211D" w:rsidRPr="008037F3" w:rsidRDefault="00472B35" w:rsidP="00C52822">
      <w:pPr>
        <w:pStyle w:val="Heading3"/>
      </w:pPr>
      <w:r w:rsidRPr="008037F3">
        <w:t>Special populations</w:t>
      </w:r>
    </w:p>
    <w:p w14:paraId="0AB5459E" w14:textId="5A1A15F6" w:rsidR="00472B35" w:rsidRPr="008037F3" w:rsidRDefault="00472B35" w:rsidP="00C52822">
      <w:pPr>
        <w:pStyle w:val="Heading4"/>
      </w:pPr>
      <w:r w:rsidRPr="008037F3">
        <w:t>Hepatic impairment</w:t>
      </w:r>
    </w:p>
    <w:p w14:paraId="5A019F41" w14:textId="77777777" w:rsidR="00D42FCB" w:rsidRPr="008037F3" w:rsidRDefault="00D42FCB" w:rsidP="00C52822">
      <w:pPr>
        <w:pStyle w:val="BodyText1"/>
        <w:jc w:val="left"/>
        <w:rPr>
          <w:lang w:eastAsia="en-AU"/>
        </w:rPr>
      </w:pPr>
      <w:r w:rsidRPr="008037F3">
        <w:rPr>
          <w:lang w:eastAsia="en-AU"/>
        </w:rPr>
        <w:t>No dosage adjustment is necessary for patients with mild (Child-Pugh class A) to moderate (Child-Pugh class B) hepatic impairment.</w:t>
      </w:r>
    </w:p>
    <w:p w14:paraId="0B475C41" w14:textId="016E422D" w:rsidR="00D42FCB" w:rsidRPr="008037F3" w:rsidRDefault="00D42FCB" w:rsidP="00C52822">
      <w:pPr>
        <w:pStyle w:val="BodyText1"/>
        <w:jc w:val="left"/>
        <w:rPr>
          <w:lang w:eastAsia="en-AU"/>
        </w:rPr>
      </w:pPr>
      <w:r w:rsidRPr="008037F3">
        <w:rPr>
          <w:lang w:eastAsia="en-AU"/>
        </w:rPr>
        <w:t xml:space="preserve">Due to limited information available, the safety and efficacy of avatrombopag in patients with severe hepatic impairment (Child-Pugh class C, MELD score &gt; 24) have not been established (see section 4.4). No dosage adjustment is expected for these patients. Avatrombopag therapy should only be initiated in patients with severe hepatic impairment if the expected benefit outweighs the expected risks (see </w:t>
      </w:r>
      <w:hyperlink w:anchor="_Use_in_hepatic" w:history="1">
        <w:r w:rsidRPr="008037F3">
          <w:rPr>
            <w:rStyle w:val="Hyperlink"/>
            <w:lang w:eastAsia="en-AU"/>
          </w:rPr>
          <w:t>section 4.4 Special warnings and precautions for use</w:t>
        </w:r>
      </w:hyperlink>
      <w:r w:rsidRPr="008037F3">
        <w:rPr>
          <w:lang w:eastAsia="en-AU"/>
        </w:rPr>
        <w:t xml:space="preserve"> and </w:t>
      </w:r>
      <w:hyperlink w:anchor="_Specific_Populations_1" w:history="1">
        <w:r w:rsidRPr="008037F3">
          <w:rPr>
            <w:rStyle w:val="Hyperlink"/>
            <w:lang w:eastAsia="en-AU"/>
          </w:rPr>
          <w:t>section 5.2</w:t>
        </w:r>
        <w:r w:rsidR="0075758F" w:rsidRPr="008037F3">
          <w:rPr>
            <w:rStyle w:val="Hyperlink"/>
            <w:lang w:eastAsia="en-AU"/>
          </w:rPr>
          <w:t xml:space="preserve"> Pharmacokinetic properties</w:t>
        </w:r>
      </w:hyperlink>
      <w:r w:rsidRPr="008037F3">
        <w:rPr>
          <w:lang w:eastAsia="en-AU"/>
        </w:rPr>
        <w:t>).</w:t>
      </w:r>
    </w:p>
    <w:p w14:paraId="4EBBB6E0" w14:textId="7E2C4415" w:rsidR="009F0747" w:rsidRPr="008037F3" w:rsidRDefault="008450DE" w:rsidP="00C52822">
      <w:pPr>
        <w:pStyle w:val="Heading2"/>
      </w:pPr>
      <w:r w:rsidRPr="008037F3">
        <w:t xml:space="preserve">4.3 </w:t>
      </w:r>
      <w:r w:rsidR="008E17DD" w:rsidRPr="008037F3">
        <w:t>Contraindications</w:t>
      </w:r>
    </w:p>
    <w:p w14:paraId="547B90E1" w14:textId="1976A2AC" w:rsidR="00D621B2" w:rsidRPr="008037F3" w:rsidRDefault="00E34974" w:rsidP="00C52822">
      <w:pPr>
        <w:pStyle w:val="BodyText1"/>
        <w:jc w:val="left"/>
      </w:pPr>
      <w:bookmarkStart w:id="7" w:name="_Ref471291968"/>
      <w:r w:rsidRPr="008037F3">
        <w:t xml:space="preserve">Known hypersensitivity to </w:t>
      </w:r>
      <w:r w:rsidR="008E1AA1" w:rsidRPr="008037F3">
        <w:t xml:space="preserve">avatrombopag or to </w:t>
      </w:r>
      <w:r w:rsidRPr="008037F3">
        <w:t xml:space="preserve">any of the inactive ingredients (see </w:t>
      </w:r>
      <w:hyperlink w:anchor="_6.1_List_of" w:history="1">
        <w:r w:rsidRPr="008037F3">
          <w:rPr>
            <w:rStyle w:val="Hyperlink"/>
          </w:rPr>
          <w:t>section 6.1 List of excipients</w:t>
        </w:r>
      </w:hyperlink>
      <w:r w:rsidRPr="008037F3">
        <w:t xml:space="preserve">). </w:t>
      </w:r>
    </w:p>
    <w:p w14:paraId="3F94A771" w14:textId="160A9A5E" w:rsidR="008E17DD" w:rsidRPr="008037F3" w:rsidRDefault="008450DE" w:rsidP="00C52822">
      <w:pPr>
        <w:pStyle w:val="Heading2"/>
      </w:pPr>
      <w:r w:rsidRPr="008037F3">
        <w:t xml:space="preserve">4.4 </w:t>
      </w:r>
      <w:bookmarkEnd w:id="7"/>
      <w:r w:rsidR="00B959F0" w:rsidRPr="008037F3">
        <w:t>Special warnings and p</w:t>
      </w:r>
      <w:r w:rsidR="00D86907" w:rsidRPr="008037F3">
        <w:t>recautions</w:t>
      </w:r>
      <w:r w:rsidR="00B959F0" w:rsidRPr="008037F3">
        <w:t xml:space="preserve"> for use</w:t>
      </w:r>
    </w:p>
    <w:p w14:paraId="3B725D5D" w14:textId="7CD5F715" w:rsidR="00731AC4" w:rsidRPr="008037F3" w:rsidRDefault="00731AC4" w:rsidP="00C52822">
      <w:pPr>
        <w:pStyle w:val="Heading3"/>
      </w:pPr>
      <w:bookmarkStart w:id="8" w:name="_Thrombotic/thromboembolic_events"/>
      <w:bookmarkStart w:id="9" w:name="_Thrombotic/Thromboembolic_Complicat"/>
      <w:bookmarkStart w:id="10" w:name="_Hlk496086231"/>
      <w:bookmarkEnd w:id="8"/>
      <w:bookmarkEnd w:id="9"/>
      <w:r w:rsidRPr="008037F3">
        <w:t>Thrombotic/</w:t>
      </w:r>
      <w:r w:rsidR="00B93A71" w:rsidRPr="008037F3">
        <w:t>T</w:t>
      </w:r>
      <w:r w:rsidRPr="008037F3">
        <w:t xml:space="preserve">hromboembolic </w:t>
      </w:r>
      <w:r w:rsidR="007048E7" w:rsidRPr="008037F3">
        <w:t>Events</w:t>
      </w:r>
      <w:r w:rsidR="00A9454C" w:rsidRPr="008037F3">
        <w:t xml:space="preserve"> </w:t>
      </w:r>
      <w:r w:rsidRPr="008037F3">
        <w:t xml:space="preserve"> </w:t>
      </w:r>
    </w:p>
    <w:p w14:paraId="4057DB4A" w14:textId="1C63CB13" w:rsidR="00600BE8" w:rsidRPr="008037F3" w:rsidRDefault="00600BE8" w:rsidP="00C52822">
      <w:pPr>
        <w:pStyle w:val="BodyText1"/>
        <w:jc w:val="left"/>
      </w:pPr>
      <w:r w:rsidRPr="008037F3">
        <w:t xml:space="preserve">DOPTELET is a thrombopoietin (TPO) receptor agonist and TPO receptor agonists have been associated with thrombotic and thromboembolic complications in patients with chronic liver disease or chronic immune thrombocytopenia. In patients with chronic liver disease, thromboembolic events (portal vein thrombosis) occurred in 0.4% (1/274) of patients receiving DOPTELET. In patients with chronic immune thrombocytopenia, thromboembolic events (arterial or venous) occurred in 7% (9/128) of patients receiving DOPTELET. </w:t>
      </w:r>
    </w:p>
    <w:p w14:paraId="058482B9" w14:textId="77777777" w:rsidR="00600BE8" w:rsidRPr="008037F3" w:rsidRDefault="00600BE8" w:rsidP="00C52822">
      <w:pPr>
        <w:pStyle w:val="BodyText1"/>
        <w:jc w:val="left"/>
      </w:pPr>
      <w:r w:rsidRPr="008037F3">
        <w:t xml:space="preserve">Consider the potential increased thrombotic risk when administering DOPTELET to patients with known risk factors for thromboembolism, including genetic prothrombotic conditions (e.g., Factor V Leiden, Prothrombin 20210A, Antithrombin deficiency or Protein C or S deficiency). </w:t>
      </w:r>
    </w:p>
    <w:p w14:paraId="63FF39C1" w14:textId="5F7FF1EE" w:rsidR="00851A85" w:rsidRPr="008037F3" w:rsidRDefault="00600BE8" w:rsidP="00C52822">
      <w:pPr>
        <w:pStyle w:val="BodyText1"/>
        <w:jc w:val="left"/>
      </w:pPr>
      <w:r w:rsidRPr="008037F3">
        <w:t xml:space="preserve">DOPTELET should not be administered to patients with chronic liver disease or chronic immune thrombocytopenia </w:t>
      </w:r>
      <w:proofErr w:type="gramStart"/>
      <w:r w:rsidRPr="008037F3">
        <w:t>in an attempt to</w:t>
      </w:r>
      <w:proofErr w:type="gramEnd"/>
      <w:r w:rsidRPr="008037F3">
        <w:t xml:space="preserve"> normali</w:t>
      </w:r>
      <w:r w:rsidR="00315428">
        <w:t>s</w:t>
      </w:r>
      <w:r w:rsidRPr="008037F3">
        <w:t xml:space="preserve">e platelet counts. Follow the dosing guidelines to achieve target platelet counts. Monitor patients receiving DOPTELET for signs and symptoms of thromboembolic events and institute treatment promptly. </w:t>
      </w:r>
    </w:p>
    <w:p w14:paraId="0B09A9AB" w14:textId="177F0092" w:rsidR="00CB3B05" w:rsidRPr="008037F3" w:rsidRDefault="00CB3B05" w:rsidP="00C52822">
      <w:pPr>
        <w:pStyle w:val="Heading3"/>
        <w:keepNext/>
        <w:rPr>
          <w:lang w:eastAsia="en-AU"/>
        </w:rPr>
      </w:pPr>
      <w:r w:rsidRPr="008037F3">
        <w:rPr>
          <w:lang w:eastAsia="en-AU"/>
        </w:rPr>
        <w:lastRenderedPageBreak/>
        <w:t xml:space="preserve">Use in patients with chronic liver disease undergoing invasive procedures </w:t>
      </w:r>
    </w:p>
    <w:p w14:paraId="2401A44A" w14:textId="7762240C" w:rsidR="00DF122A" w:rsidRDefault="00CB3B05" w:rsidP="00C52822">
      <w:pPr>
        <w:pStyle w:val="BodyText1"/>
        <w:jc w:val="left"/>
        <w:rPr>
          <w:lang w:eastAsia="en-AU"/>
        </w:rPr>
      </w:pPr>
      <w:r w:rsidRPr="008037F3">
        <w:rPr>
          <w:lang w:eastAsia="en-AU"/>
        </w:rPr>
        <w:t xml:space="preserve">The objective of treatment with DOPTELET is to increase platelet counts. </w:t>
      </w:r>
      <w:r w:rsidR="00C95613">
        <w:rPr>
          <w:lang w:eastAsia="en-AU"/>
        </w:rPr>
        <w:t>DOPTELET is not expected to correct coagulation factor deficiencies.</w:t>
      </w:r>
      <w:r w:rsidR="00A14C39">
        <w:rPr>
          <w:lang w:eastAsia="en-AU"/>
        </w:rPr>
        <w:t xml:space="preserve"> </w:t>
      </w:r>
    </w:p>
    <w:p w14:paraId="385A2AEB" w14:textId="7112ED3A" w:rsidR="00CB3B05" w:rsidRPr="008037F3" w:rsidRDefault="00DF122A" w:rsidP="00C52822">
      <w:pPr>
        <w:pStyle w:val="BodyText1"/>
        <w:jc w:val="left"/>
        <w:rPr>
          <w:lang w:eastAsia="en-AU"/>
        </w:rPr>
      </w:pPr>
      <w:r w:rsidRPr="00DF122A">
        <w:rPr>
          <w:lang w:eastAsia="en-AU"/>
        </w:rPr>
        <w:t xml:space="preserve">The DOPTELET clinical studies did not include major surgeries such as laparotomy, thoracotomy, open-heart surgery, </w:t>
      </w:r>
      <w:proofErr w:type="gramStart"/>
      <w:r w:rsidRPr="00DF122A">
        <w:rPr>
          <w:lang w:eastAsia="en-AU"/>
        </w:rPr>
        <w:t>craniotomy</w:t>
      </w:r>
      <w:proofErr w:type="gramEnd"/>
      <w:r w:rsidRPr="00DF122A">
        <w:rPr>
          <w:lang w:eastAsia="en-AU"/>
        </w:rPr>
        <w:t xml:space="preserve"> or excision of organs (see </w:t>
      </w:r>
      <w:hyperlink w:anchor="_Clinical_trials" w:history="1">
        <w:r w:rsidR="000B5510" w:rsidRPr="008037F3">
          <w:rPr>
            <w:rStyle w:val="Hyperlink"/>
          </w:rPr>
          <w:t>section 5.1 Pharmacodynamic Properties – Clinical trials</w:t>
        </w:r>
      </w:hyperlink>
      <w:r w:rsidR="000B5510">
        <w:rPr>
          <w:lang w:eastAsia="en-AU"/>
        </w:rPr>
        <w:t xml:space="preserve"> </w:t>
      </w:r>
      <w:r w:rsidR="000B5510" w:rsidRPr="000A4252">
        <w:rPr>
          <w:i/>
          <w:iCs/>
          <w:lang w:eastAsia="en-AU"/>
        </w:rPr>
        <w:t xml:space="preserve">– </w:t>
      </w:r>
      <w:r w:rsidRPr="000A4252">
        <w:rPr>
          <w:i/>
          <w:iCs/>
          <w:lang w:eastAsia="en-AU"/>
        </w:rPr>
        <w:t>Patients with Chronic Liver Disease</w:t>
      </w:r>
      <w:r w:rsidRPr="00DF122A">
        <w:rPr>
          <w:lang w:eastAsia="en-AU"/>
        </w:rPr>
        <w:t>). The safety and efficacy of DOPTELET has not been established for these procedures.</w:t>
      </w:r>
      <w:r w:rsidR="005A36C2">
        <w:rPr>
          <w:lang w:eastAsia="en-AU"/>
        </w:rPr>
        <w:t xml:space="preserve"> </w:t>
      </w:r>
      <w:r w:rsidR="00832A73" w:rsidRPr="008037F3">
        <w:rPr>
          <w:lang w:eastAsia="en-AU"/>
        </w:rPr>
        <w:t xml:space="preserve"> </w:t>
      </w:r>
    </w:p>
    <w:p w14:paraId="0AD12754" w14:textId="362A9271" w:rsidR="00B73B50" w:rsidRPr="008037F3" w:rsidRDefault="00B73B50" w:rsidP="00C52822">
      <w:pPr>
        <w:pStyle w:val="Heading3"/>
        <w:rPr>
          <w:lang w:eastAsia="en-AU"/>
        </w:rPr>
      </w:pPr>
      <w:r w:rsidRPr="008037F3">
        <w:rPr>
          <w:lang w:eastAsia="en-AU"/>
        </w:rPr>
        <w:t>Reoccurrence of thrombocytopenia and bleeding after cessation of treatment in patients with chronic immune thrombocytopenia</w:t>
      </w:r>
      <w:r w:rsidR="0091640F" w:rsidRPr="008037F3">
        <w:rPr>
          <w:lang w:eastAsia="en-AU"/>
        </w:rPr>
        <w:t xml:space="preserve"> </w:t>
      </w:r>
    </w:p>
    <w:p w14:paraId="14DE6D94" w14:textId="77777777" w:rsidR="00B73B50" w:rsidRPr="008037F3" w:rsidRDefault="00B73B50" w:rsidP="00C52822">
      <w:pPr>
        <w:pStyle w:val="BodyText1"/>
        <w:jc w:val="left"/>
        <w:rPr>
          <w:lang w:eastAsia="en-AU"/>
        </w:rPr>
      </w:pPr>
      <w:r w:rsidRPr="008037F3">
        <w:rPr>
          <w:lang w:eastAsia="en-AU"/>
        </w:rPr>
        <w:t xml:space="preserve">Thrombocytopenia is likely to reoccur in ITP patients upon discontinuation of treatment with avatrombopag. Following discontinuation of avatrombopag, platelet counts return to baseline levels within 2 weeks in the majority of patients, which increases the bleeding risk </w:t>
      </w:r>
      <w:proofErr w:type="gramStart"/>
      <w:r w:rsidRPr="008037F3">
        <w:rPr>
          <w:lang w:eastAsia="en-AU"/>
        </w:rPr>
        <w:t>and in some cases</w:t>
      </w:r>
      <w:proofErr w:type="gramEnd"/>
      <w:r w:rsidRPr="008037F3">
        <w:rPr>
          <w:lang w:eastAsia="en-AU"/>
        </w:rPr>
        <w:t xml:space="preserve"> may lead to bleeding. There is an increased risk of bleeding if avatrombopag treatment is discontinued in the presence of anticoagulants or anti-platelet agents. Patients should be closely monitored for a decrease in platelet count and medically managed to avoid bleeding upon discontinuation of treatment with avatrombopag. It is recommended that, if treatment with avatrombopag is discontinued, ITP treatment be restarted according to current treatment guidelines. Additional medical management may include cessation of anticoagulant and/or antiplatelet therapy, reversal of anticoagulation, or platelet support.</w:t>
      </w:r>
    </w:p>
    <w:p w14:paraId="341E72C0" w14:textId="539944EA" w:rsidR="00B73B50" w:rsidRPr="008037F3" w:rsidRDefault="00B73B50" w:rsidP="00C52822">
      <w:pPr>
        <w:pStyle w:val="Heading3"/>
        <w:rPr>
          <w:lang w:eastAsia="en-AU"/>
        </w:rPr>
      </w:pPr>
      <w:r w:rsidRPr="008037F3">
        <w:rPr>
          <w:lang w:eastAsia="en-AU"/>
        </w:rPr>
        <w:t>Increased bone marrow reticulin</w:t>
      </w:r>
      <w:r w:rsidR="0091640F" w:rsidRPr="008037F3">
        <w:rPr>
          <w:lang w:eastAsia="en-AU"/>
        </w:rPr>
        <w:t xml:space="preserve"> </w:t>
      </w:r>
    </w:p>
    <w:p w14:paraId="0F24FB22" w14:textId="77777777" w:rsidR="00B73B50" w:rsidRPr="008037F3" w:rsidRDefault="00B73B50" w:rsidP="00C52822">
      <w:pPr>
        <w:pStyle w:val="BodyText1"/>
        <w:jc w:val="left"/>
        <w:rPr>
          <w:lang w:eastAsia="en-AU"/>
        </w:rPr>
      </w:pPr>
      <w:r w:rsidRPr="008037F3">
        <w:rPr>
          <w:lang w:eastAsia="en-AU"/>
        </w:rPr>
        <w:t>Increased bone marrow reticulin is believed to be a result of TPO receptor stimulation, leading to an increased number of megakaryocytes in the bone marrow, which may subsequently release cytokines. Increased reticulin may be suggested by morphological changes in the peripheral blood cells and can be detected through bone marrow biopsy. Therefore, examinations for cellular morphological abnormalities using peripheral blood smear and complete blood count (CBC) prior to and during treatment with avatrombopag are recommended.</w:t>
      </w:r>
    </w:p>
    <w:p w14:paraId="18C2F07D" w14:textId="77777777" w:rsidR="00B73B50" w:rsidRPr="008037F3" w:rsidRDefault="00B73B50" w:rsidP="00C52822">
      <w:pPr>
        <w:pStyle w:val="BodyText1"/>
        <w:jc w:val="left"/>
        <w:rPr>
          <w:lang w:eastAsia="en-AU"/>
        </w:rPr>
      </w:pPr>
      <w:r w:rsidRPr="008037F3">
        <w:rPr>
          <w:lang w:eastAsia="en-AU"/>
        </w:rPr>
        <w:t>If a loss of efficacy and abnormal peripheral blood smear are observed in patients, administration of avatrombopag should be discontinued, a physical examination should be performed, and a bone marrow biopsy with appropriate staining for reticulin should be considered. If available, comparison to a prior bone marrow biopsy should be made. If efficacy is maintained and abnormal peripheral blood smear is observed in patients, the physician should follow appropriate clinical judgment, including consideration of a bone marrow biopsy, and the risk-benefit of avatrombopag and alternative ITP treatment options should be re-assessed.</w:t>
      </w:r>
    </w:p>
    <w:p w14:paraId="0990BA8A" w14:textId="61E03F86" w:rsidR="00B73B50" w:rsidRPr="008037F3" w:rsidRDefault="00B73B50" w:rsidP="00C52822">
      <w:pPr>
        <w:pStyle w:val="Heading3"/>
        <w:rPr>
          <w:lang w:eastAsia="en-AU"/>
        </w:rPr>
      </w:pPr>
      <w:r w:rsidRPr="008037F3">
        <w:rPr>
          <w:lang w:eastAsia="en-AU"/>
        </w:rPr>
        <w:t>Progression of existing myelodysplastic syndrome (MDS)</w:t>
      </w:r>
      <w:r w:rsidR="008414FA" w:rsidRPr="008037F3">
        <w:rPr>
          <w:lang w:eastAsia="en-AU"/>
        </w:rPr>
        <w:t xml:space="preserve"> </w:t>
      </w:r>
    </w:p>
    <w:p w14:paraId="1050EC6B" w14:textId="59FAE694" w:rsidR="00B73B50" w:rsidRPr="008037F3" w:rsidRDefault="00B73B50" w:rsidP="00C52822">
      <w:pPr>
        <w:pStyle w:val="BodyText1"/>
        <w:jc w:val="left"/>
        <w:rPr>
          <w:lang w:eastAsia="en-AU"/>
        </w:rPr>
      </w:pPr>
      <w:r w:rsidRPr="008037F3">
        <w:rPr>
          <w:lang w:eastAsia="en-AU"/>
        </w:rPr>
        <w:t xml:space="preserve">The effectiveness and safety of </w:t>
      </w:r>
      <w:r w:rsidR="00DC56FF" w:rsidRPr="008037F3">
        <w:t xml:space="preserve">DOPTELET </w:t>
      </w:r>
      <w:r w:rsidRPr="008037F3">
        <w:rPr>
          <w:lang w:eastAsia="en-AU"/>
        </w:rPr>
        <w:t xml:space="preserve">have not been established for the treatment of thrombocytopenia due to MDS. </w:t>
      </w:r>
      <w:r w:rsidR="00DC56FF" w:rsidRPr="008037F3">
        <w:t xml:space="preserve">DOPTELET </w:t>
      </w:r>
      <w:r w:rsidRPr="008037F3">
        <w:rPr>
          <w:lang w:eastAsia="en-AU"/>
        </w:rPr>
        <w:t>should not be used outside of clinical studies for the treatment of thrombocytopenia due to MDS.</w:t>
      </w:r>
    </w:p>
    <w:p w14:paraId="0B8A85C3" w14:textId="77777777" w:rsidR="00B73B50" w:rsidRPr="008037F3" w:rsidRDefault="00B73B50" w:rsidP="00C52822">
      <w:pPr>
        <w:pStyle w:val="BodyText1"/>
        <w:jc w:val="left"/>
        <w:rPr>
          <w:lang w:eastAsia="en-AU"/>
        </w:rPr>
      </w:pPr>
      <w:r w:rsidRPr="008037F3">
        <w:rPr>
          <w:lang w:eastAsia="en-AU"/>
        </w:rPr>
        <w:t xml:space="preserve">There is a theoretical concern that TPO-R agonists may stimulate the progression of existing haematological malignancies such as MDS. TPO-R agonists are growth factors that lead to thrombopoietic progenitor cell expansion, </w:t>
      </w:r>
      <w:proofErr w:type="gramStart"/>
      <w:r w:rsidRPr="008037F3">
        <w:rPr>
          <w:lang w:eastAsia="en-AU"/>
        </w:rPr>
        <w:t>differentiation</w:t>
      </w:r>
      <w:proofErr w:type="gramEnd"/>
      <w:r w:rsidRPr="008037F3">
        <w:rPr>
          <w:lang w:eastAsia="en-AU"/>
        </w:rPr>
        <w:t xml:space="preserve"> and platelet production. The TPO-R is predominantly expressed on the surface of cells of the myeloid lineage. For TPO-R agonists there is a concern that they may stimulate the progression of existing haematopoietic malignancies such as MDS.</w:t>
      </w:r>
    </w:p>
    <w:p w14:paraId="5C3A48DA" w14:textId="77777777" w:rsidR="00B73B50" w:rsidRPr="008037F3" w:rsidRDefault="00B73B50" w:rsidP="00C52822">
      <w:pPr>
        <w:pStyle w:val="BodyText1"/>
        <w:jc w:val="left"/>
        <w:rPr>
          <w:lang w:eastAsia="en-AU"/>
        </w:rPr>
      </w:pPr>
      <w:r w:rsidRPr="008037F3">
        <w:rPr>
          <w:lang w:eastAsia="en-AU"/>
        </w:rPr>
        <w:t>The diagnosis of ITP in adults and elderly patients should have been confirmed by the exclusion of other clinical entities presenting with thrombocytopenia, in particular the diagnosis of MDS must be excluded. Consideration should be given to performing a bone marrow aspirate and biopsy over the course of the disease and treatment, particularly in patients over 60 years of age, for those with systemic symptoms or abnormal signs such as increased peripheral blast cells.</w:t>
      </w:r>
    </w:p>
    <w:p w14:paraId="0C0E15AF" w14:textId="52DDCF17" w:rsidR="00B73B50" w:rsidRPr="008037F3" w:rsidRDefault="00B73B50" w:rsidP="00C52822">
      <w:pPr>
        <w:pStyle w:val="Heading3"/>
        <w:rPr>
          <w:lang w:eastAsia="en-AU"/>
        </w:rPr>
      </w:pPr>
      <w:r w:rsidRPr="008037F3">
        <w:rPr>
          <w:lang w:eastAsia="en-AU"/>
        </w:rPr>
        <w:t>Co-administration with interferon preparations</w:t>
      </w:r>
      <w:r w:rsidR="009C4B95" w:rsidRPr="008037F3">
        <w:rPr>
          <w:lang w:eastAsia="en-AU"/>
        </w:rPr>
        <w:t xml:space="preserve"> </w:t>
      </w:r>
    </w:p>
    <w:p w14:paraId="13628BCE" w14:textId="77777777" w:rsidR="00B73B50" w:rsidRPr="008037F3" w:rsidRDefault="00B73B50" w:rsidP="00C52822">
      <w:pPr>
        <w:pStyle w:val="BodyText1"/>
        <w:jc w:val="left"/>
        <w:rPr>
          <w:lang w:eastAsia="en-AU"/>
        </w:rPr>
      </w:pPr>
      <w:r w:rsidRPr="008037F3">
        <w:rPr>
          <w:lang w:eastAsia="en-AU"/>
        </w:rPr>
        <w:t xml:space="preserve">Interferon preparations have been known to reduce platelet </w:t>
      </w:r>
      <w:proofErr w:type="gramStart"/>
      <w:r w:rsidRPr="008037F3">
        <w:rPr>
          <w:lang w:eastAsia="en-AU"/>
        </w:rPr>
        <w:t>counts,</w:t>
      </w:r>
      <w:proofErr w:type="gramEnd"/>
      <w:r w:rsidRPr="008037F3">
        <w:rPr>
          <w:lang w:eastAsia="en-AU"/>
        </w:rPr>
        <w:t xml:space="preserve"> therefore, this should be considered when co-administering avatrombopag with interferon preparations.</w:t>
      </w:r>
    </w:p>
    <w:p w14:paraId="07EE950D" w14:textId="01F08420" w:rsidR="00F04DB5" w:rsidRPr="008037F3" w:rsidRDefault="00F04DB5" w:rsidP="00C52822">
      <w:pPr>
        <w:pStyle w:val="Heading3"/>
        <w:keepNext/>
        <w:rPr>
          <w:lang w:eastAsia="en-AU"/>
        </w:rPr>
      </w:pPr>
      <w:bookmarkStart w:id="11" w:name="_Use_in_hepatic"/>
      <w:bookmarkEnd w:id="11"/>
      <w:r w:rsidRPr="008037F3">
        <w:rPr>
          <w:lang w:eastAsia="en-AU"/>
        </w:rPr>
        <w:lastRenderedPageBreak/>
        <w:t>Use in hepatic impairment</w:t>
      </w:r>
      <w:r w:rsidR="0091640F" w:rsidRPr="008037F3">
        <w:rPr>
          <w:lang w:eastAsia="en-AU"/>
        </w:rPr>
        <w:t xml:space="preserve"> </w:t>
      </w:r>
    </w:p>
    <w:p w14:paraId="66D8CBC4" w14:textId="20611276" w:rsidR="00F04DB5" w:rsidRPr="008037F3" w:rsidRDefault="00F04DB5" w:rsidP="00C52822">
      <w:pPr>
        <w:pStyle w:val="BodyText1"/>
        <w:keepNext/>
        <w:jc w:val="left"/>
        <w:rPr>
          <w:lang w:eastAsia="en-AU"/>
        </w:rPr>
      </w:pPr>
      <w:r w:rsidRPr="008037F3">
        <w:rPr>
          <w:lang w:eastAsia="en-AU"/>
        </w:rPr>
        <w:t xml:space="preserve">There is limited information on the use of avatrombopag in patients with severe (Child-Pugh class C, MELD score &gt; 24) hepatic impairment. Avatrombopag should only be used in such patients if the expected benefit outweighs the expected risks (see </w:t>
      </w:r>
      <w:hyperlink w:anchor="_Specific_Populations" w:history="1">
        <w:r w:rsidRPr="008037F3">
          <w:rPr>
            <w:rStyle w:val="Hyperlink"/>
            <w:lang w:eastAsia="en-AU"/>
          </w:rPr>
          <w:t>section</w:t>
        </w:r>
        <w:r w:rsidR="009F2F11" w:rsidRPr="008037F3">
          <w:rPr>
            <w:rStyle w:val="Hyperlink"/>
            <w:lang w:eastAsia="en-AU"/>
          </w:rPr>
          <w:t xml:space="preserve"> </w:t>
        </w:r>
        <w:r w:rsidRPr="008037F3">
          <w:rPr>
            <w:rStyle w:val="Hyperlink"/>
            <w:lang w:eastAsia="en-AU"/>
          </w:rPr>
          <w:t>5.2</w:t>
        </w:r>
        <w:r w:rsidR="009F2F11" w:rsidRPr="008037F3">
          <w:rPr>
            <w:rStyle w:val="Hyperlink"/>
            <w:lang w:eastAsia="en-AU"/>
          </w:rPr>
          <w:t xml:space="preserve"> Pharmac</w:t>
        </w:r>
        <w:r w:rsidR="00547119" w:rsidRPr="008037F3">
          <w:rPr>
            <w:rStyle w:val="Hyperlink"/>
            <w:lang w:eastAsia="en-AU"/>
          </w:rPr>
          <w:t>okinetic properties</w:t>
        </w:r>
      </w:hyperlink>
      <w:r w:rsidRPr="008037F3">
        <w:rPr>
          <w:lang w:eastAsia="en-AU"/>
        </w:rPr>
        <w:t>).</w:t>
      </w:r>
    </w:p>
    <w:p w14:paraId="260E1950" w14:textId="77777777" w:rsidR="00F04DB5" w:rsidRPr="008037F3" w:rsidRDefault="00F04DB5" w:rsidP="00C52822">
      <w:pPr>
        <w:pStyle w:val="BodyText1"/>
        <w:jc w:val="left"/>
        <w:rPr>
          <w:lang w:eastAsia="en-AU"/>
        </w:rPr>
      </w:pPr>
      <w:r w:rsidRPr="008037F3">
        <w:rPr>
          <w:lang w:eastAsia="en-AU"/>
        </w:rPr>
        <w:t>Patients with severe hepatic impairment should be supported in line with clinical practice by close monitoring for early signs of worsening or new onset hepatic encephalopathy, ascites, and thrombotic or bleeding tendency, through monitoring of liver function tests, tests used for assessing clotting status and through imaging of portal vasculature as needed.</w:t>
      </w:r>
    </w:p>
    <w:p w14:paraId="05EDD640" w14:textId="77777777" w:rsidR="00F04DB5" w:rsidRPr="008037F3" w:rsidRDefault="00F04DB5" w:rsidP="00C52822">
      <w:pPr>
        <w:pStyle w:val="BodyText1"/>
        <w:jc w:val="left"/>
        <w:rPr>
          <w:lang w:eastAsia="en-AU"/>
        </w:rPr>
      </w:pPr>
      <w:r w:rsidRPr="008037F3">
        <w:rPr>
          <w:lang w:eastAsia="en-AU"/>
        </w:rPr>
        <w:t>Patients with Child-Pugh class C liver disease who take avatrombopag prior to an invasive procedure, should be evaluated on the day of the procedure for an unexpectedly high increase in platelet count.</w:t>
      </w:r>
    </w:p>
    <w:p w14:paraId="1D6FEF09" w14:textId="3C9F29BE" w:rsidR="00B959F0" w:rsidRPr="008037F3" w:rsidRDefault="00B959F0" w:rsidP="00C52822">
      <w:pPr>
        <w:pStyle w:val="Heading3"/>
      </w:pPr>
      <w:r w:rsidRPr="008037F3">
        <w:t>Use in the elderly</w:t>
      </w:r>
      <w:r w:rsidR="00CF0A22" w:rsidRPr="008037F3">
        <w:t xml:space="preserve"> </w:t>
      </w:r>
    </w:p>
    <w:p w14:paraId="017BE433" w14:textId="5FA96257" w:rsidR="00851A85" w:rsidRPr="008037F3" w:rsidRDefault="001E5699" w:rsidP="00C52822">
      <w:pPr>
        <w:pStyle w:val="BodyText1"/>
        <w:jc w:val="left"/>
      </w:pPr>
      <w:r w:rsidRPr="008037F3">
        <w:t xml:space="preserve">Clinical studies of DOPTELET did not include </w:t>
      </w:r>
      <w:proofErr w:type="gramStart"/>
      <w:r w:rsidRPr="008037F3">
        <w:t>sufficient numbers of</w:t>
      </w:r>
      <w:proofErr w:type="gramEnd"/>
      <w:r w:rsidRPr="008037F3">
        <w:t xml:space="preserve"> subjects aged 65 and over to determine whether they respond differently from younger subjects. Other reported clinical experience has not identified differences in responses between the elderly and younger patients. </w:t>
      </w:r>
    </w:p>
    <w:p w14:paraId="517428ED" w14:textId="719C8A5C" w:rsidR="00D86907" w:rsidRPr="008037F3" w:rsidRDefault="00D86907" w:rsidP="00C52822">
      <w:pPr>
        <w:pStyle w:val="Heading3"/>
      </w:pPr>
      <w:r w:rsidRPr="008037F3">
        <w:t>Paediatric use</w:t>
      </w:r>
      <w:r w:rsidR="002F6459" w:rsidRPr="008037F3">
        <w:t xml:space="preserve"> </w:t>
      </w:r>
    </w:p>
    <w:p w14:paraId="2005766D" w14:textId="77112FA9" w:rsidR="00851A85" w:rsidRPr="008037F3" w:rsidRDefault="006A27CF" w:rsidP="00C52822">
      <w:pPr>
        <w:pStyle w:val="BodyText1"/>
        <w:jc w:val="left"/>
      </w:pPr>
      <w:r w:rsidRPr="008037F3">
        <w:t>Safety and efficacy in children have not been established</w:t>
      </w:r>
      <w:r w:rsidR="005D6825" w:rsidRPr="008037F3">
        <w:t xml:space="preserve"> (see </w:t>
      </w:r>
      <w:hyperlink w:anchor="_Reproductive_and_developmental" w:history="1">
        <w:r w:rsidR="005D6825" w:rsidRPr="008037F3">
          <w:rPr>
            <w:rStyle w:val="Hyperlink"/>
          </w:rPr>
          <w:t xml:space="preserve">section </w:t>
        </w:r>
        <w:r w:rsidR="00591EDE" w:rsidRPr="008037F3">
          <w:rPr>
            <w:rStyle w:val="Hyperlink"/>
          </w:rPr>
          <w:t xml:space="preserve">5.3 </w:t>
        </w:r>
        <w:r w:rsidR="00727185" w:rsidRPr="008037F3">
          <w:rPr>
            <w:rStyle w:val="Hyperlink"/>
          </w:rPr>
          <w:t>Preclinical safety data</w:t>
        </w:r>
      </w:hyperlink>
      <w:r w:rsidR="00727185" w:rsidRPr="008037F3">
        <w:t>)</w:t>
      </w:r>
      <w:r w:rsidR="00851A85" w:rsidRPr="008037F3">
        <w:t>.</w:t>
      </w:r>
    </w:p>
    <w:p w14:paraId="39AA7E93" w14:textId="4DEC2935" w:rsidR="00D86907" w:rsidRPr="008037F3" w:rsidRDefault="00D86907" w:rsidP="00C52822">
      <w:pPr>
        <w:pStyle w:val="Heading3"/>
      </w:pPr>
      <w:r w:rsidRPr="008037F3">
        <w:t>Effects on</w:t>
      </w:r>
      <w:r w:rsidR="00B959F0" w:rsidRPr="008037F3">
        <w:t xml:space="preserve"> </w:t>
      </w:r>
      <w:r w:rsidRPr="008037F3">
        <w:t>laboratory tests</w:t>
      </w:r>
    </w:p>
    <w:bookmarkEnd w:id="10"/>
    <w:p w14:paraId="4F7B2457" w14:textId="512E8574" w:rsidR="00851A85" w:rsidRPr="008037F3" w:rsidRDefault="00851A85" w:rsidP="00C52822">
      <w:pPr>
        <w:pStyle w:val="BodyText1"/>
        <w:jc w:val="left"/>
      </w:pPr>
      <w:r w:rsidRPr="008037F3">
        <w:t>No data available.</w:t>
      </w:r>
    </w:p>
    <w:p w14:paraId="31DE62E8" w14:textId="24789153" w:rsidR="008E17DD" w:rsidRPr="008037F3" w:rsidRDefault="008450DE" w:rsidP="00C52822">
      <w:pPr>
        <w:pStyle w:val="Heading2"/>
        <w:keepNext/>
      </w:pPr>
      <w:r w:rsidRPr="008037F3">
        <w:t xml:space="preserve">4.5 </w:t>
      </w:r>
      <w:r w:rsidR="00746D0B" w:rsidRPr="008037F3">
        <w:t>Interactions with other medicines and other forms of interaction</w:t>
      </w:r>
      <w:r w:rsidR="00DF3D6B" w:rsidRPr="008037F3">
        <w:t>s</w:t>
      </w:r>
    </w:p>
    <w:p w14:paraId="7E1977D4" w14:textId="77777777" w:rsidR="00DF77A2" w:rsidRPr="008037F3" w:rsidRDefault="00DF77A2" w:rsidP="00C52822">
      <w:pPr>
        <w:pStyle w:val="Heading3"/>
        <w:keepNext/>
      </w:pPr>
      <w:r w:rsidRPr="008037F3">
        <w:t xml:space="preserve">Patients with Chronic Liver Disease </w:t>
      </w:r>
    </w:p>
    <w:p w14:paraId="3216FDD2" w14:textId="31D3E1F1" w:rsidR="00DF77A2" w:rsidRPr="008037F3" w:rsidRDefault="00DF77A2" w:rsidP="00C52822">
      <w:pPr>
        <w:pStyle w:val="BodyText1"/>
        <w:keepNext/>
        <w:jc w:val="left"/>
      </w:pPr>
      <w:r w:rsidRPr="008037F3">
        <w:t xml:space="preserve">No dosage adjustments are required for patients with chronic liver disease </w:t>
      </w:r>
    </w:p>
    <w:p w14:paraId="37143A3B" w14:textId="77777777" w:rsidR="00DF77A2" w:rsidRPr="008037F3" w:rsidRDefault="00DF77A2" w:rsidP="00C52822">
      <w:pPr>
        <w:pStyle w:val="Heading3"/>
      </w:pPr>
      <w:r w:rsidRPr="008037F3">
        <w:t xml:space="preserve">Effect of Other Drugs on DOPTELET in Patients with Chronic Immune Thrombocytopenia </w:t>
      </w:r>
    </w:p>
    <w:p w14:paraId="1E0AB437" w14:textId="77777777" w:rsidR="00DF77A2" w:rsidRPr="008037F3" w:rsidRDefault="00DF77A2" w:rsidP="00C52822">
      <w:pPr>
        <w:pStyle w:val="Heading4"/>
      </w:pPr>
      <w:r w:rsidRPr="008037F3">
        <w:t xml:space="preserve">Moderate or Strong Dual Inhibitors of CYP2C9 and CYP3A4 </w:t>
      </w:r>
    </w:p>
    <w:p w14:paraId="1BB06019" w14:textId="74506205" w:rsidR="00DF77A2" w:rsidRPr="008037F3" w:rsidRDefault="00DF77A2" w:rsidP="00C52822">
      <w:pPr>
        <w:pStyle w:val="BodyText1"/>
        <w:jc w:val="left"/>
      </w:pPr>
      <w:r w:rsidRPr="008037F3">
        <w:t xml:space="preserve">Concomitant use with a moderate or strong dual inhibitor of CYP2C9 and CYP3A4 </w:t>
      </w:r>
      <w:r w:rsidR="00AE36A7" w:rsidRPr="008037F3">
        <w:t>(</w:t>
      </w:r>
      <w:proofErr w:type="gramStart"/>
      <w:r w:rsidR="00AE36A7" w:rsidRPr="008037F3">
        <w:t>e.g.</w:t>
      </w:r>
      <w:proofErr w:type="gramEnd"/>
      <w:r w:rsidR="00AE36A7" w:rsidRPr="008037F3">
        <w:t xml:space="preserve"> fluconazole) </w:t>
      </w:r>
      <w:r w:rsidRPr="008037F3">
        <w:t xml:space="preserve">increases avatrombopag AUC </w:t>
      </w:r>
      <w:r w:rsidR="000F0DED" w:rsidRPr="008037F3">
        <w:t>(</w:t>
      </w:r>
      <w:r w:rsidRPr="008037F3">
        <w:t xml:space="preserve">see </w:t>
      </w:r>
      <w:hyperlink w:anchor="_Drug_Interactions" w:history="1">
        <w:r w:rsidR="000F0DED" w:rsidRPr="008037F3">
          <w:rPr>
            <w:rStyle w:val="Hyperlink"/>
          </w:rPr>
          <w:t xml:space="preserve">section 5.2 </w:t>
        </w:r>
        <w:r w:rsidRPr="008037F3">
          <w:rPr>
            <w:rStyle w:val="Hyperlink"/>
          </w:rPr>
          <w:t>Pharmacokinetic Properties</w:t>
        </w:r>
      </w:hyperlink>
      <w:r w:rsidRPr="008037F3">
        <w:t xml:space="preserve">), which may increase the risk of DOPTELET toxicities. Reduce the starting dosage of DOPTELET when used concomitantly with a moderate or strong dual inhibitor of CYP2C9 and CYP3A4 (see </w:t>
      </w:r>
      <w:r w:rsidR="00353737" w:rsidRPr="008037F3">
        <w:fldChar w:fldCharType="begin"/>
      </w:r>
      <w:r w:rsidR="00353737" w:rsidRPr="008037F3">
        <w:instrText xml:space="preserve"> REF _Ref77168042 \h </w:instrText>
      </w:r>
      <w:r w:rsidR="00C52822">
        <w:instrText xml:space="preserve"> \* MERGEFORMAT </w:instrText>
      </w:r>
      <w:r w:rsidR="00353737" w:rsidRPr="008037F3">
        <w:fldChar w:fldCharType="separate"/>
      </w:r>
      <w:r w:rsidR="00353737" w:rsidRPr="008037F3">
        <w:t>Table 4</w:t>
      </w:r>
      <w:r w:rsidR="00353737" w:rsidRPr="008037F3">
        <w:fldChar w:fldCharType="end"/>
      </w:r>
      <w:r w:rsidRPr="008037F3">
        <w:t xml:space="preserve">) </w:t>
      </w:r>
      <w:r w:rsidR="0087611B" w:rsidRPr="008037F3">
        <w:t>(</w:t>
      </w:r>
      <w:r w:rsidRPr="008037F3">
        <w:t xml:space="preserve">see </w:t>
      </w:r>
      <w:hyperlink w:anchor="_Recommended_Dosage_with" w:history="1">
        <w:r w:rsidR="0087611B" w:rsidRPr="008037F3">
          <w:rPr>
            <w:rStyle w:val="Hyperlink"/>
          </w:rPr>
          <w:t>section 4.2 Dose and method of administration</w:t>
        </w:r>
      </w:hyperlink>
      <w:r w:rsidRPr="008037F3">
        <w:t xml:space="preserve">). </w:t>
      </w:r>
    </w:p>
    <w:p w14:paraId="586368CF" w14:textId="4ACD41F7" w:rsidR="00DF77A2" w:rsidRPr="008037F3" w:rsidRDefault="00DF77A2" w:rsidP="00C52822">
      <w:pPr>
        <w:pStyle w:val="BodyText1"/>
        <w:jc w:val="left"/>
      </w:pPr>
      <w:r w:rsidRPr="008037F3">
        <w:t xml:space="preserve">In patients starting moderate or strong dual inhibitors of CYP2C9 and CYP3A4 while receiving DOPTELET, monitor platelet counts and adjust DOPTELET dose as necessary (see </w:t>
      </w:r>
      <w:r w:rsidR="0038171E" w:rsidRPr="008037F3">
        <w:fldChar w:fldCharType="begin"/>
      </w:r>
      <w:r w:rsidR="0038171E" w:rsidRPr="008037F3">
        <w:instrText xml:space="preserve"> REF _Ref77168059 \h </w:instrText>
      </w:r>
      <w:r w:rsidR="00C52822">
        <w:instrText xml:space="preserve"> \* MERGEFORMAT </w:instrText>
      </w:r>
      <w:r w:rsidR="0038171E" w:rsidRPr="008037F3">
        <w:fldChar w:fldCharType="separate"/>
      </w:r>
      <w:r w:rsidR="0038171E" w:rsidRPr="008037F3">
        <w:t>Table 3</w:t>
      </w:r>
      <w:r w:rsidR="0038171E" w:rsidRPr="008037F3">
        <w:fldChar w:fldCharType="end"/>
      </w:r>
      <w:r w:rsidR="0087611B" w:rsidRPr="008037F3">
        <w:t xml:space="preserve">) (see </w:t>
      </w:r>
      <w:hyperlink w:anchor="_Monitoring_and_dose" w:history="1">
        <w:r w:rsidR="0087611B" w:rsidRPr="008037F3">
          <w:rPr>
            <w:rStyle w:val="Hyperlink"/>
          </w:rPr>
          <w:t>section 4.2 Dose and method of administration</w:t>
        </w:r>
      </w:hyperlink>
      <w:r w:rsidR="0087611B" w:rsidRPr="008037F3">
        <w:t xml:space="preserve">). </w:t>
      </w:r>
      <w:r w:rsidRPr="008037F3">
        <w:t xml:space="preserve"> </w:t>
      </w:r>
    </w:p>
    <w:p w14:paraId="78B8C335" w14:textId="77777777" w:rsidR="00DF77A2" w:rsidRPr="008037F3" w:rsidRDefault="00DF77A2" w:rsidP="00C52822">
      <w:pPr>
        <w:pStyle w:val="Heading4"/>
      </w:pPr>
      <w:r w:rsidRPr="008037F3">
        <w:t xml:space="preserve">Moderate or Strong Dual Inducers of CYP2C9 and CYP3A4 </w:t>
      </w:r>
    </w:p>
    <w:p w14:paraId="6325CBAD" w14:textId="3F688D27" w:rsidR="00DF77A2" w:rsidRPr="008037F3" w:rsidRDefault="00DF77A2" w:rsidP="00C52822">
      <w:pPr>
        <w:pStyle w:val="BodyText1"/>
        <w:jc w:val="left"/>
      </w:pPr>
      <w:r w:rsidRPr="008037F3">
        <w:t xml:space="preserve">Concomitant use with a moderate or strong dual inducer of CYP2C9 and CYP3A4 </w:t>
      </w:r>
      <w:r w:rsidR="0000134F" w:rsidRPr="008037F3">
        <w:t>(</w:t>
      </w:r>
      <w:proofErr w:type="gramStart"/>
      <w:r w:rsidR="0000134F" w:rsidRPr="008037F3">
        <w:t>e.g.</w:t>
      </w:r>
      <w:proofErr w:type="gramEnd"/>
      <w:r w:rsidR="0000134F" w:rsidRPr="008037F3">
        <w:t xml:space="preserve"> rifampicin) </w:t>
      </w:r>
      <w:r w:rsidRPr="008037F3">
        <w:t xml:space="preserve">decreases avatrombopag AUC </w:t>
      </w:r>
      <w:r w:rsidR="00A661A5" w:rsidRPr="008037F3">
        <w:t xml:space="preserve">(see </w:t>
      </w:r>
      <w:hyperlink w:anchor="_Recommended_Dosage_with" w:history="1">
        <w:r w:rsidR="00A661A5" w:rsidRPr="008037F3">
          <w:rPr>
            <w:rStyle w:val="Hyperlink"/>
          </w:rPr>
          <w:t>section 4.2 Dose and method of administration</w:t>
        </w:r>
      </w:hyperlink>
      <w:r w:rsidR="00A661A5" w:rsidRPr="008037F3">
        <w:t>)</w:t>
      </w:r>
      <w:r w:rsidR="00F97217" w:rsidRPr="008037F3">
        <w:t xml:space="preserve"> </w:t>
      </w:r>
      <w:r w:rsidRPr="008037F3">
        <w:t xml:space="preserve">which may reduce DOPTELET efficacy. Increase the recommended starting dosage of DOPTELET when used concomitantly with a moderate or strong dual inducer of CYP2C9 and CYP3A4 (see </w:t>
      </w:r>
      <w:r w:rsidR="0038171E" w:rsidRPr="008037F3">
        <w:fldChar w:fldCharType="begin"/>
      </w:r>
      <w:r w:rsidR="0038171E" w:rsidRPr="008037F3">
        <w:instrText xml:space="preserve"> REF _Ref77168042 \h </w:instrText>
      </w:r>
      <w:r w:rsidR="00C52822">
        <w:instrText xml:space="preserve"> \* MERGEFORMAT </w:instrText>
      </w:r>
      <w:r w:rsidR="0038171E" w:rsidRPr="008037F3">
        <w:fldChar w:fldCharType="separate"/>
      </w:r>
      <w:r w:rsidR="0038171E" w:rsidRPr="008037F3">
        <w:t>Table 4</w:t>
      </w:r>
      <w:r w:rsidR="0038171E" w:rsidRPr="008037F3">
        <w:fldChar w:fldCharType="end"/>
      </w:r>
      <w:r w:rsidRPr="008037F3">
        <w:t xml:space="preserve">) </w:t>
      </w:r>
      <w:r w:rsidR="00A661A5" w:rsidRPr="008037F3">
        <w:t xml:space="preserve">(see </w:t>
      </w:r>
      <w:hyperlink w:anchor="_Recommended_Dosage_with" w:history="1">
        <w:r w:rsidR="00A661A5" w:rsidRPr="008037F3">
          <w:rPr>
            <w:rStyle w:val="Hyperlink"/>
          </w:rPr>
          <w:t>section 4.2 Dose and method of administration</w:t>
        </w:r>
      </w:hyperlink>
      <w:r w:rsidR="00A661A5" w:rsidRPr="008037F3">
        <w:t>)</w:t>
      </w:r>
      <w:r w:rsidRPr="008037F3">
        <w:t xml:space="preserve">. </w:t>
      </w:r>
    </w:p>
    <w:p w14:paraId="7AE70DA6" w14:textId="135B69FB" w:rsidR="00746D0B" w:rsidRPr="008037F3" w:rsidRDefault="00DF77A2" w:rsidP="00C52822">
      <w:pPr>
        <w:pStyle w:val="BodyText1"/>
        <w:jc w:val="left"/>
      </w:pPr>
      <w:r w:rsidRPr="008037F3">
        <w:t>In patients starting moderate or strong dual inducers of CYP2C9 and CYP3A4 while receiving DOPTELET, monitor platelet counts and adjust dose as necessary (see Table 3</w:t>
      </w:r>
      <w:r w:rsidR="00F77095" w:rsidRPr="008037F3">
        <w:t xml:space="preserve">) (see </w:t>
      </w:r>
      <w:hyperlink w:anchor="_Monitoring_and_dose" w:history="1">
        <w:r w:rsidR="00F77095" w:rsidRPr="008037F3">
          <w:rPr>
            <w:rStyle w:val="Hyperlink"/>
          </w:rPr>
          <w:t>section 4.2 Dose and method of administration</w:t>
        </w:r>
      </w:hyperlink>
      <w:r w:rsidR="00F77095" w:rsidRPr="008037F3">
        <w:t xml:space="preserve">). </w:t>
      </w:r>
    </w:p>
    <w:p w14:paraId="5D2D1991" w14:textId="77777777" w:rsidR="004D7453" w:rsidRPr="008037F3" w:rsidRDefault="004D7453" w:rsidP="00C52822">
      <w:pPr>
        <w:pStyle w:val="Heading4"/>
      </w:pPr>
      <w:r w:rsidRPr="008037F3">
        <w:t xml:space="preserve">In Vitro Studies Where Drug Interaction Potential Was Not Further Evaluated Clinically </w:t>
      </w:r>
    </w:p>
    <w:p w14:paraId="4BEE5AA5" w14:textId="5332DE03" w:rsidR="004D7453" w:rsidRPr="008037F3" w:rsidRDefault="00AC39C8" w:rsidP="00C52822">
      <w:pPr>
        <w:pStyle w:val="BodyText1"/>
        <w:jc w:val="left"/>
      </w:pPr>
      <w:r w:rsidRPr="008037F3">
        <w:rPr>
          <w:i/>
          <w:iCs/>
        </w:rPr>
        <w:t xml:space="preserve">In vitro </w:t>
      </w:r>
      <w:r w:rsidRPr="008037F3">
        <w:t>cy</w:t>
      </w:r>
      <w:r w:rsidR="0043052A" w:rsidRPr="008037F3">
        <w:t xml:space="preserve">tochrome P450 (CYP) inhibition and induction studies indicated that avatrombopag </w:t>
      </w:r>
      <w:r w:rsidR="00A4679B">
        <w:t>does</w:t>
      </w:r>
      <w:r w:rsidR="007C0D04">
        <w:t xml:space="preserve"> </w:t>
      </w:r>
      <w:r w:rsidR="004D7453" w:rsidRPr="008037F3">
        <w:t>not inhibit CYP</w:t>
      </w:r>
      <w:r w:rsidR="00F24E58" w:rsidRPr="008037F3">
        <w:t xml:space="preserve"> </w:t>
      </w:r>
      <w:r w:rsidR="004D7453" w:rsidRPr="008037F3">
        <w:t xml:space="preserve">1A, 2B6, 2C8, 2C9, 2C19, 2D6, 2E1 or 3A, </w:t>
      </w:r>
      <w:r w:rsidR="00F24E58" w:rsidRPr="008037F3">
        <w:t xml:space="preserve">nor </w:t>
      </w:r>
      <w:r w:rsidR="004D7453" w:rsidRPr="008037F3">
        <w:t>induce CYP</w:t>
      </w:r>
      <w:r w:rsidR="00F24E58" w:rsidRPr="008037F3">
        <w:t xml:space="preserve"> </w:t>
      </w:r>
      <w:r w:rsidR="004D7453" w:rsidRPr="008037F3">
        <w:t>1A, 2B6, 2C or 3A</w:t>
      </w:r>
      <w:r w:rsidR="00F24E58" w:rsidRPr="008037F3">
        <w:t xml:space="preserve"> at clinically relevant concentrations. Avatrombo</w:t>
      </w:r>
      <w:r w:rsidR="007C0D04">
        <w:t>p</w:t>
      </w:r>
      <w:r w:rsidR="00F24E58" w:rsidRPr="008037F3">
        <w:t xml:space="preserve">ag </w:t>
      </w:r>
      <w:r w:rsidR="004D7453" w:rsidRPr="008037F3">
        <w:t xml:space="preserve">weakly induces CYP2C8 and CYP2C9. </w:t>
      </w:r>
      <w:r w:rsidR="00494235" w:rsidRPr="008037F3">
        <w:rPr>
          <w:i/>
          <w:iCs/>
        </w:rPr>
        <w:t>In vitro</w:t>
      </w:r>
      <w:r w:rsidR="00494235" w:rsidRPr="008037F3">
        <w:t>, a</w:t>
      </w:r>
      <w:r w:rsidR="004D7453" w:rsidRPr="008037F3">
        <w:t xml:space="preserve">vatrombopag inhibits organic </w:t>
      </w:r>
      <w:r w:rsidR="004D7453" w:rsidRPr="008037F3">
        <w:lastRenderedPageBreak/>
        <w:t>anion transporter (OAT)</w:t>
      </w:r>
      <w:r w:rsidR="00BB69F2" w:rsidRPr="008037F3">
        <w:t>1, OAT</w:t>
      </w:r>
      <w:r w:rsidR="004D7453" w:rsidRPr="008037F3">
        <w:t>3</w:t>
      </w:r>
      <w:r w:rsidR="00AA10A2" w:rsidRPr="008037F3">
        <w:t xml:space="preserve">, organic cation transporter (OCT)1, </w:t>
      </w:r>
      <w:r w:rsidR="004D7453" w:rsidRPr="008037F3">
        <w:t xml:space="preserve">breast cancer resistance protein (BCRP), </w:t>
      </w:r>
      <w:r w:rsidR="00AA10A2" w:rsidRPr="008037F3">
        <w:t xml:space="preserve">MRP2, </w:t>
      </w:r>
      <w:r w:rsidR="004D7453" w:rsidRPr="008037F3">
        <w:t>organic anion transporter polypeptide (OATP) 1B3</w:t>
      </w:r>
      <w:r w:rsidR="00EF5A0E" w:rsidRPr="008037F3">
        <w:t xml:space="preserve"> and P-</w:t>
      </w:r>
      <w:proofErr w:type="spellStart"/>
      <w:r w:rsidR="00EF5A0E" w:rsidRPr="008037F3">
        <w:t>gp</w:t>
      </w:r>
      <w:proofErr w:type="spellEnd"/>
      <w:r w:rsidR="00EF5A0E" w:rsidRPr="008037F3">
        <w:t xml:space="preserve"> (intestinal), </w:t>
      </w:r>
      <w:r w:rsidR="006813DC" w:rsidRPr="008037F3">
        <w:t xml:space="preserve">but is not an inhibitor of </w:t>
      </w:r>
      <w:r w:rsidR="004D7453" w:rsidRPr="008037F3">
        <w:t>OATP1B1</w:t>
      </w:r>
      <w:r w:rsidR="006813DC" w:rsidRPr="008037F3">
        <w:t xml:space="preserve">, bile salt export </w:t>
      </w:r>
      <w:r w:rsidR="004C0C17" w:rsidRPr="008037F3">
        <w:t>pump (BSEP), multidrug and toxin compound extrusion protein (MATE)1/2K or OCT2 at clinically meaningful concentrations</w:t>
      </w:r>
      <w:r w:rsidR="004D7453" w:rsidRPr="008037F3">
        <w:t xml:space="preserve">. </w:t>
      </w:r>
    </w:p>
    <w:p w14:paraId="0D038488" w14:textId="4CACF287" w:rsidR="00746D0B" w:rsidRPr="008037F3" w:rsidRDefault="008450DE" w:rsidP="00C52822">
      <w:pPr>
        <w:pStyle w:val="Heading2"/>
      </w:pPr>
      <w:r w:rsidRPr="008037F3">
        <w:t xml:space="preserve">4.6 </w:t>
      </w:r>
      <w:r w:rsidR="00287AFF" w:rsidRPr="008037F3">
        <w:t>Fertility, pregnancy and lactation</w:t>
      </w:r>
    </w:p>
    <w:p w14:paraId="4C7C0B02" w14:textId="688C4E0D" w:rsidR="00D86907" w:rsidRPr="008037F3" w:rsidRDefault="00D86907" w:rsidP="00C52822">
      <w:pPr>
        <w:pStyle w:val="Heading3"/>
      </w:pPr>
      <w:r w:rsidRPr="008037F3">
        <w:t>Effects on fertility</w:t>
      </w:r>
      <w:r w:rsidR="003A29F8" w:rsidRPr="008037F3">
        <w:t xml:space="preserve"> </w:t>
      </w:r>
    </w:p>
    <w:p w14:paraId="699B30B9" w14:textId="64BA0C02" w:rsidR="003A29F8" w:rsidRPr="008037F3" w:rsidRDefault="00496FD8" w:rsidP="00C52822">
      <w:pPr>
        <w:pStyle w:val="BodyText1"/>
        <w:jc w:val="left"/>
      </w:pPr>
      <w:r w:rsidRPr="008037F3">
        <w:rPr>
          <w:shd w:val="clear" w:color="auto" w:fill="FFFFFF"/>
        </w:rPr>
        <w:t xml:space="preserve">The effect of avatrombopag on human fertility has not been established, and a risk cannot be ruled out. </w:t>
      </w:r>
      <w:r w:rsidR="00A66497" w:rsidRPr="008037F3">
        <w:rPr>
          <w:shd w:val="clear" w:color="auto" w:fill="FFFFFF"/>
        </w:rPr>
        <w:t>Fertility was unaffected in male rats treated</w:t>
      </w:r>
      <w:r w:rsidR="00D04DDE" w:rsidRPr="008037F3">
        <w:rPr>
          <w:shd w:val="clear" w:color="auto" w:fill="FFFFFF"/>
        </w:rPr>
        <w:t xml:space="preserve"> orally with 100 mg/kg/day avatrombopag (15 times the exposure at the clinical dose for ITP) or in female rats at oral doses of 1000 mg/kg/day (79 times the exposure at the clinical dose for ITP)</w:t>
      </w:r>
      <w:r w:rsidR="00443F23" w:rsidRPr="008037F3">
        <w:rPr>
          <w:shd w:val="clear" w:color="auto" w:fill="FFFFFF"/>
        </w:rPr>
        <w:t xml:space="preserve">. However, due to differences in TPO receptor specificity, data from nonclinical species do not fully model effects in humans. </w:t>
      </w:r>
    </w:p>
    <w:p w14:paraId="1BFAE536" w14:textId="4499352C" w:rsidR="00126740" w:rsidRPr="008037F3" w:rsidRDefault="00D86907" w:rsidP="00C52822">
      <w:pPr>
        <w:pStyle w:val="Heading3"/>
        <w:keepNext/>
      </w:pPr>
      <w:r w:rsidRPr="008037F3">
        <w:t>Use in pregnancy</w:t>
      </w:r>
      <w:r w:rsidR="00732AA6" w:rsidRPr="008037F3">
        <w:t xml:space="preserve"> </w:t>
      </w:r>
      <w:r w:rsidR="00D621B2" w:rsidRPr="008037F3">
        <w:t xml:space="preserve"> </w:t>
      </w:r>
    </w:p>
    <w:p w14:paraId="0F286504" w14:textId="79B94B6F" w:rsidR="001E1110" w:rsidRPr="008037F3" w:rsidRDefault="00D621B2" w:rsidP="00C52822">
      <w:pPr>
        <w:pStyle w:val="BodyText1"/>
        <w:keepNext/>
        <w:jc w:val="left"/>
        <w:rPr>
          <w:b/>
          <w:bCs/>
        </w:rPr>
      </w:pPr>
      <w:r w:rsidRPr="008037F3">
        <w:rPr>
          <w:b/>
          <w:bCs/>
        </w:rPr>
        <w:t xml:space="preserve">Category </w:t>
      </w:r>
      <w:r w:rsidR="00543310" w:rsidRPr="008037F3">
        <w:rPr>
          <w:b/>
          <w:bCs/>
        </w:rPr>
        <w:t>B3</w:t>
      </w:r>
      <w:r w:rsidR="00BD406F" w:rsidRPr="008037F3">
        <w:rPr>
          <w:rStyle w:val="FootnoteReference"/>
          <w:b/>
          <w:bCs/>
        </w:rPr>
        <w:footnoteReference w:id="2"/>
      </w:r>
    </w:p>
    <w:p w14:paraId="0C45A70F" w14:textId="27C6F67F" w:rsidR="00862783" w:rsidRPr="008037F3" w:rsidRDefault="00862783" w:rsidP="00C52822">
      <w:pPr>
        <w:pStyle w:val="BodyText1"/>
        <w:jc w:val="left"/>
      </w:pPr>
      <w:r w:rsidRPr="008037F3">
        <w:t xml:space="preserve">There are no adequate or well-controlled studies with avatrombopag in pregnant women. The effect of DOPTELET on human pregnancy is unknown. DOPTELET should not be used during pregnancy unless the expected benefit clearly outweighs the potential risk to the </w:t>
      </w:r>
      <w:proofErr w:type="spellStart"/>
      <w:r w:rsidRPr="008037F3">
        <w:t>fetus</w:t>
      </w:r>
      <w:proofErr w:type="spellEnd"/>
      <w:r w:rsidRPr="008037F3">
        <w:t xml:space="preserve">. </w:t>
      </w:r>
    </w:p>
    <w:p w14:paraId="6726AEB5" w14:textId="77777777" w:rsidR="00862783" w:rsidRPr="008037F3" w:rsidRDefault="00862783" w:rsidP="00C52822">
      <w:pPr>
        <w:pStyle w:val="BodyText1"/>
        <w:jc w:val="left"/>
      </w:pPr>
      <w:r w:rsidRPr="008037F3">
        <w:t xml:space="preserve">In embryofetal development studies in rats, an increased incidence of fetal skeletal variations was observed at doses of 300 mg/kg/day and decreased fetal weight were observed at ≥1000 mg/kg/day. Spontaneous abortions were observed in rabbits at doses of 100 mg/kg/day. There were no embryofetal effects in rabbits at doses up to 600 mg/kg/day. Findings in both rats and rabbits were associated with maternal toxicity. Plasma exposures (AUC) at the no observed adverse effect level (100 mg/kg/day in rats and 600 mg/kg/day in rabbits) were approximately 37 and 24 times those in humans at the maximum recommended human dose (MRHD) in rats and rabbits, respectively. </w:t>
      </w:r>
    </w:p>
    <w:p w14:paraId="305DF25D" w14:textId="77777777" w:rsidR="00596F88" w:rsidRPr="008037F3" w:rsidRDefault="00862783" w:rsidP="00C52822">
      <w:pPr>
        <w:pStyle w:val="BodyText1"/>
        <w:jc w:val="left"/>
      </w:pPr>
      <w:r w:rsidRPr="008037F3">
        <w:t xml:space="preserve">In pre- and postnatal development studies in pregnant rats, avatrombopag was administered during both the organogenesis and lactation periods where maternal toxicity leading to total litter loss, decreased body weight in pups, and increased pup mortality was observed at ≥ 100 mg/kg/day. At a dose of 50 mg/kg/day, decreased body weight gain was observed in pups, resulting in a delay in sexual maturation and increased pup mortality from postnatal days 4 to 21, which continued until postnatal day 25. There were no effects on behavioural or reproductive function in the offspring. The effects in pups at 50 mg/kg/day were observed in the absence of maternal toxicity. Plasma exposures (AUC) at the no observed adverse level (15 mg/kg/day) were approximately 9 times the those in humans at the MRHD. </w:t>
      </w:r>
    </w:p>
    <w:p w14:paraId="0D6C6F15" w14:textId="0A8BCDAC" w:rsidR="001E1110" w:rsidRPr="008037F3" w:rsidRDefault="00D86907" w:rsidP="00C52822">
      <w:pPr>
        <w:pStyle w:val="Heading3"/>
      </w:pPr>
      <w:r w:rsidRPr="008037F3">
        <w:t>Use in lactation</w:t>
      </w:r>
      <w:r w:rsidR="00A22D01" w:rsidRPr="008037F3">
        <w:t xml:space="preserve"> </w:t>
      </w:r>
    </w:p>
    <w:p w14:paraId="635CDE98" w14:textId="20A8B17C" w:rsidR="002B2F01" w:rsidRPr="008037F3" w:rsidRDefault="002B2F01" w:rsidP="00C52822">
      <w:pPr>
        <w:pStyle w:val="BodyText1"/>
        <w:keepNext/>
        <w:jc w:val="left"/>
      </w:pPr>
      <w:r w:rsidRPr="008037F3">
        <w:t xml:space="preserve">There is no information regarding the presence of avatrombopag in human milk, the effects on the breastfed child, or the effects on milk production. Avatrombopag was </w:t>
      </w:r>
      <w:r w:rsidR="00C630E3" w:rsidRPr="008037F3">
        <w:t xml:space="preserve">detected </w:t>
      </w:r>
      <w:r w:rsidRPr="008037F3">
        <w:t xml:space="preserve">in the milk of lactating rats. </w:t>
      </w:r>
      <w:r w:rsidR="00C630E3" w:rsidRPr="008037F3">
        <w:t xml:space="preserve">A risk to newborns/infants cannot be excluded and </w:t>
      </w:r>
      <w:r w:rsidRPr="008037F3">
        <w:t xml:space="preserve">breastfeeding is not recommended during treatment with DOPTELET and for at least 2 weeks after the last dose. </w:t>
      </w:r>
    </w:p>
    <w:p w14:paraId="5D136C0C" w14:textId="02ADB3F3" w:rsidR="00126740" w:rsidRPr="008037F3" w:rsidRDefault="002B2F01" w:rsidP="00C52822">
      <w:pPr>
        <w:pStyle w:val="BodyText1"/>
        <w:jc w:val="left"/>
      </w:pPr>
      <w:r w:rsidRPr="008037F3">
        <w:t xml:space="preserve">A lactating woman receiving DOPTELET for brief periods, such as prior to an invasive procedure, should interrupt breastfeeding and pump and discard breastmilk during treatment and for two weeks after the last dose of DOPTELET </w:t>
      </w:r>
      <w:proofErr w:type="gramStart"/>
      <w:r w:rsidRPr="008037F3">
        <w:t>in order to</w:t>
      </w:r>
      <w:proofErr w:type="gramEnd"/>
      <w:r w:rsidRPr="008037F3">
        <w:t xml:space="preserve"> minimi</w:t>
      </w:r>
      <w:r w:rsidR="00315428">
        <w:t>s</w:t>
      </w:r>
      <w:r w:rsidRPr="008037F3">
        <w:t>e exposure to a breastfed child. Advise lactating women receiving chronic DOPTELET therapy not to breastfeed during treatment with DOPTELET and for at least 2 weeks after the last dose</w:t>
      </w:r>
      <w:r w:rsidR="00126740" w:rsidRPr="008037F3">
        <w:t>.</w:t>
      </w:r>
    </w:p>
    <w:p w14:paraId="2F0C3147" w14:textId="5B30C0D5" w:rsidR="00007085" w:rsidRPr="008037F3" w:rsidRDefault="008450DE" w:rsidP="00C52822">
      <w:pPr>
        <w:pStyle w:val="Heading2"/>
      </w:pPr>
      <w:r w:rsidRPr="008037F3">
        <w:lastRenderedPageBreak/>
        <w:t xml:space="preserve">4.7 </w:t>
      </w:r>
      <w:r w:rsidR="00007085" w:rsidRPr="008037F3">
        <w:t>Effects on ability to drive and use machines</w:t>
      </w:r>
      <w:r w:rsidR="00073D1E" w:rsidRPr="008037F3">
        <w:t xml:space="preserve"> </w:t>
      </w:r>
    </w:p>
    <w:p w14:paraId="7D4D6D22" w14:textId="5A7766C4" w:rsidR="00287AFF" w:rsidRPr="008037F3" w:rsidRDefault="00F5026A" w:rsidP="00C52822">
      <w:pPr>
        <w:pStyle w:val="BodyText1"/>
        <w:jc w:val="left"/>
        <w:rPr>
          <w:highlight w:val="yellow"/>
        </w:rPr>
      </w:pPr>
      <w:r w:rsidRPr="008037F3">
        <w:t>DOPTELET</w:t>
      </w:r>
      <w:r w:rsidR="002B2F01" w:rsidRPr="008037F3">
        <w:t xml:space="preserve"> has no or negligible influence on the ability to drive and use machines. </w:t>
      </w:r>
    </w:p>
    <w:p w14:paraId="7D4F8A00" w14:textId="214C561C" w:rsidR="00994C1D" w:rsidRPr="008037F3" w:rsidRDefault="008450DE" w:rsidP="00C52822">
      <w:pPr>
        <w:pStyle w:val="Heading2"/>
        <w:keepNext/>
        <w:keepLines/>
      </w:pPr>
      <w:r w:rsidRPr="008037F3">
        <w:t xml:space="preserve">4.8 </w:t>
      </w:r>
      <w:r w:rsidR="00D86907" w:rsidRPr="008037F3">
        <w:t>Adverse</w:t>
      </w:r>
      <w:r w:rsidR="00994C1D" w:rsidRPr="008037F3">
        <w:t xml:space="preserve"> effects</w:t>
      </w:r>
      <w:r w:rsidR="00B959F0" w:rsidRPr="008037F3">
        <w:t xml:space="preserve"> (Undesirable effects)</w:t>
      </w:r>
    </w:p>
    <w:p w14:paraId="3EDA96FB" w14:textId="5CDD12D8" w:rsidR="00FC5FEF" w:rsidRPr="008037F3" w:rsidRDefault="00FC5FEF" w:rsidP="00C52822">
      <w:pPr>
        <w:pStyle w:val="BodyText1"/>
        <w:jc w:val="left"/>
      </w:pPr>
      <w:r w:rsidRPr="008037F3">
        <w:t xml:space="preserve">The following clinically significant adverse </w:t>
      </w:r>
      <w:r w:rsidR="009629A1">
        <w:t xml:space="preserve">events </w:t>
      </w:r>
      <w:r w:rsidRPr="008037F3">
        <w:t xml:space="preserve">are discussed in detail in other sections of the labelling: </w:t>
      </w:r>
    </w:p>
    <w:p w14:paraId="62DF0189" w14:textId="35957C41" w:rsidR="00FC5FEF" w:rsidRPr="008037F3" w:rsidRDefault="00FC5FEF" w:rsidP="00C52822">
      <w:pPr>
        <w:pStyle w:val="BodyText1"/>
        <w:numPr>
          <w:ilvl w:val="0"/>
          <w:numId w:val="36"/>
        </w:numPr>
        <w:jc w:val="left"/>
      </w:pPr>
      <w:r w:rsidRPr="008037F3">
        <w:t xml:space="preserve">Thrombotic/Thromboembolic Complications </w:t>
      </w:r>
      <w:r w:rsidR="00A91C02" w:rsidRPr="008037F3">
        <w:t>(</w:t>
      </w:r>
      <w:r w:rsidRPr="008037F3">
        <w:t xml:space="preserve">see </w:t>
      </w:r>
      <w:hyperlink w:anchor="_Thrombotic/Thromboembolic_Complicat" w:history="1">
        <w:r w:rsidRPr="008037F3">
          <w:rPr>
            <w:rStyle w:val="Hyperlink"/>
          </w:rPr>
          <w:t>section 4.4 Special warnings and precautions for use</w:t>
        </w:r>
      </w:hyperlink>
      <w:r w:rsidRPr="008037F3">
        <w:t xml:space="preserve">) </w:t>
      </w:r>
    </w:p>
    <w:p w14:paraId="6F317053" w14:textId="77777777" w:rsidR="00FC5FEF" w:rsidRPr="008037F3" w:rsidRDefault="00FC5FEF" w:rsidP="00C52822">
      <w:pPr>
        <w:pStyle w:val="Heading3"/>
      </w:pPr>
      <w:r w:rsidRPr="008037F3">
        <w:t xml:space="preserve">Clinical Trial Experience </w:t>
      </w:r>
    </w:p>
    <w:p w14:paraId="56AF0694" w14:textId="40DB208B" w:rsidR="00FC5FEF" w:rsidRPr="008037F3" w:rsidRDefault="00FC5FEF" w:rsidP="00C52822">
      <w:pPr>
        <w:pStyle w:val="BodyText1"/>
        <w:jc w:val="left"/>
      </w:pPr>
      <w:r w:rsidRPr="008037F3">
        <w:t xml:space="preserve">Because clinical trials are conducted under widely varying conditions, adverse </w:t>
      </w:r>
      <w:r w:rsidR="00852401">
        <w:t xml:space="preserve">event </w:t>
      </w:r>
      <w:r w:rsidRPr="008037F3">
        <w:t xml:space="preserve">rates observed in the clinical trials of a drug cannot be directly compared to rates in the clinical trials of another drug and may not reflect the rates observed in practice. </w:t>
      </w:r>
    </w:p>
    <w:p w14:paraId="139C414C" w14:textId="77777777" w:rsidR="00FC5FEF" w:rsidRPr="008037F3" w:rsidRDefault="00FC5FEF" w:rsidP="00C52822">
      <w:pPr>
        <w:pStyle w:val="Heading4"/>
      </w:pPr>
      <w:r w:rsidRPr="008037F3">
        <w:t xml:space="preserve">Patients with Chronic Liver Disease </w:t>
      </w:r>
    </w:p>
    <w:p w14:paraId="467807BE" w14:textId="317C5335" w:rsidR="00D420F3" w:rsidRPr="008037F3" w:rsidRDefault="00FC5FEF" w:rsidP="00C52822">
      <w:pPr>
        <w:pStyle w:val="BodyText1"/>
        <w:jc w:val="left"/>
      </w:pPr>
      <w:r w:rsidRPr="008037F3">
        <w:t xml:space="preserve">The safety of DOPTELET was evaluated in two </w:t>
      </w:r>
      <w:proofErr w:type="gramStart"/>
      <w:r w:rsidRPr="008037F3">
        <w:t>international</w:t>
      </w:r>
      <w:proofErr w:type="gramEnd"/>
      <w:r w:rsidRPr="008037F3">
        <w:t>, identically designed, randomi</w:t>
      </w:r>
      <w:r w:rsidR="002841C3">
        <w:t>s</w:t>
      </w:r>
      <w:r w:rsidRPr="008037F3">
        <w:t xml:space="preserve">ed, double-blind, placebo-controlled trials, ADAPT-1 and ADAPT-2, in which 430 patients with chronic liver disease and thrombocytopenia received either DOPTELET (n=274) or placebo (n=156) daily for 5 days prior to a scheduled procedure, and had 1 post-dose safety assessment. </w:t>
      </w:r>
    </w:p>
    <w:p w14:paraId="1FF8AA83" w14:textId="36A55CE6" w:rsidR="001F34B8" w:rsidRPr="008037F3" w:rsidRDefault="001F34B8" w:rsidP="00C52822">
      <w:pPr>
        <w:pStyle w:val="BodyText1"/>
        <w:numPr>
          <w:ilvl w:val="0"/>
          <w:numId w:val="36"/>
        </w:numPr>
        <w:jc w:val="left"/>
      </w:pPr>
      <w:r w:rsidRPr="008037F3">
        <w:t>Low Baseline Platelet Count Cohort (less than 40</w:t>
      </w:r>
      <w:r w:rsidR="006F0353" w:rsidRPr="008037F3">
        <w:t>x</w:t>
      </w:r>
      <w:r w:rsidRPr="008037F3">
        <w:t>10</w:t>
      </w:r>
      <w:r w:rsidRPr="008037F3">
        <w:rPr>
          <w:vertAlign w:val="superscript"/>
        </w:rPr>
        <w:t>9</w:t>
      </w:r>
      <w:r w:rsidRPr="008037F3">
        <w:t xml:space="preserve">/L) who received DOPTELET 60 mg once daily for 5 days </w:t>
      </w:r>
    </w:p>
    <w:p w14:paraId="21B22AC6" w14:textId="233E8FEA" w:rsidR="001F34B8" w:rsidRPr="008037F3" w:rsidRDefault="001F34B8" w:rsidP="00C52822">
      <w:pPr>
        <w:pStyle w:val="BodyText1"/>
        <w:numPr>
          <w:ilvl w:val="0"/>
          <w:numId w:val="36"/>
        </w:numPr>
        <w:jc w:val="left"/>
      </w:pPr>
      <w:r w:rsidRPr="008037F3">
        <w:t>High Baseline Platelet Count Cohort (40 to less than 50</w:t>
      </w:r>
      <w:r w:rsidR="006F0353" w:rsidRPr="008037F3">
        <w:t>x</w:t>
      </w:r>
      <w:r w:rsidRPr="008037F3">
        <w:t>10</w:t>
      </w:r>
      <w:r w:rsidRPr="008037F3">
        <w:rPr>
          <w:vertAlign w:val="superscript"/>
        </w:rPr>
        <w:t>9</w:t>
      </w:r>
      <w:r w:rsidRPr="008037F3">
        <w:t xml:space="preserve">/L) who received DOPTELET 40 mg once daily for 5 days </w:t>
      </w:r>
    </w:p>
    <w:p w14:paraId="3F962B97" w14:textId="1BDE3CA0" w:rsidR="00A91C02" w:rsidRPr="008037F3" w:rsidRDefault="001F34B8" w:rsidP="00C52822">
      <w:pPr>
        <w:pStyle w:val="BodyText1"/>
        <w:jc w:val="left"/>
      </w:pPr>
      <w:r w:rsidRPr="008037F3">
        <w:t>The majority of patients were males (65%</w:t>
      </w:r>
      <w:proofErr w:type="gramStart"/>
      <w:r w:rsidRPr="008037F3">
        <w:t>)</w:t>
      </w:r>
      <w:proofErr w:type="gramEnd"/>
      <w:r w:rsidRPr="008037F3">
        <w:t xml:space="preserve"> and median subject age was 58 years (ranging from 19-86 years of age). The racial and ethnic distribution was White (60%), Asian (33%), Black (3%), and Other (3%).</w:t>
      </w:r>
    </w:p>
    <w:p w14:paraId="37C88823" w14:textId="28FBE4A4" w:rsidR="001F34B8" w:rsidRPr="008037F3" w:rsidRDefault="001F34B8" w:rsidP="00C52822">
      <w:pPr>
        <w:pStyle w:val="BodyText1"/>
        <w:jc w:val="left"/>
      </w:pPr>
      <w:r w:rsidRPr="008037F3">
        <w:t xml:space="preserve">The most common adverse </w:t>
      </w:r>
      <w:r w:rsidR="001E6C3F">
        <w:t xml:space="preserve">events </w:t>
      </w:r>
      <w:r w:rsidRPr="008037F3">
        <w:t>(those occurring in ≥3% of patients) in the DOPTELET-treated groups (60 mg or 40 mg) across the pooled data from the two trials are summari</w:t>
      </w:r>
      <w:r w:rsidR="00DD6F84">
        <w:t>s</w:t>
      </w:r>
      <w:r w:rsidRPr="008037F3">
        <w:t xml:space="preserve">ed in </w:t>
      </w:r>
      <w:r w:rsidRPr="008037F3">
        <w:fldChar w:fldCharType="begin"/>
      </w:r>
      <w:r w:rsidRPr="008037F3">
        <w:instrText xml:space="preserve"> REF _Ref80866647 \h </w:instrText>
      </w:r>
      <w:r w:rsidR="00C52822">
        <w:instrText xml:space="preserve"> \* MERGEFORMAT </w:instrText>
      </w:r>
      <w:r w:rsidRPr="008037F3">
        <w:fldChar w:fldCharType="separate"/>
      </w:r>
      <w:r w:rsidRPr="008037F3">
        <w:t>Table 5</w:t>
      </w:r>
      <w:r w:rsidRPr="008037F3">
        <w:fldChar w:fldCharType="end"/>
      </w:r>
      <w:r w:rsidRPr="008037F3">
        <w:t>.</w:t>
      </w:r>
    </w:p>
    <w:tbl>
      <w:tblPr>
        <w:tblStyle w:val="TableGrid"/>
        <w:tblW w:w="0" w:type="auto"/>
        <w:tblLook w:val="04A0" w:firstRow="1" w:lastRow="0" w:firstColumn="1" w:lastColumn="0" w:noHBand="0" w:noVBand="1"/>
      </w:tblPr>
      <w:tblGrid>
        <w:gridCol w:w="9016"/>
      </w:tblGrid>
      <w:tr w:rsidR="001F34B8" w:rsidRPr="008037F3" w14:paraId="5FE2978A" w14:textId="77777777" w:rsidTr="003A2CFF">
        <w:tc>
          <w:tcPr>
            <w:tcW w:w="9016" w:type="dxa"/>
            <w:tcMar>
              <w:left w:w="57" w:type="dxa"/>
              <w:right w:w="57" w:type="dxa"/>
            </w:tcMar>
          </w:tcPr>
          <w:p w14:paraId="6098C5A1" w14:textId="15770B3D" w:rsidR="001F34B8" w:rsidRPr="008037F3" w:rsidRDefault="001F34B8" w:rsidP="00C52822">
            <w:pPr>
              <w:pStyle w:val="Table-MainTitle"/>
            </w:pPr>
            <w:bookmarkStart w:id="12" w:name="_Ref80866647"/>
            <w:r w:rsidRPr="008037F3">
              <w:t xml:space="preserve">Table </w:t>
            </w:r>
            <w:r w:rsidR="00FD1B09">
              <w:fldChar w:fldCharType="begin"/>
            </w:r>
            <w:r w:rsidR="00FD1B09">
              <w:instrText xml:space="preserve"> SEQ Table \* ARABIC </w:instrText>
            </w:r>
            <w:r w:rsidR="00FD1B09">
              <w:fldChar w:fldCharType="separate"/>
            </w:r>
            <w:r w:rsidR="009344F9" w:rsidRPr="008037F3">
              <w:t>5</w:t>
            </w:r>
            <w:r w:rsidR="00FD1B09">
              <w:fldChar w:fldCharType="end"/>
            </w:r>
            <w:bookmarkEnd w:id="12"/>
            <w:r w:rsidRPr="008037F3">
              <w:t xml:space="preserve">: </w:t>
            </w:r>
            <w:r w:rsidRPr="008037F3">
              <w:tab/>
            </w:r>
            <w:r w:rsidR="009F68D5" w:rsidRPr="008037F3">
              <w:t>Adverse Reactions with a Frequency ≥3% in Patients with Chronic Liver Disease Treated with DOPTELET – Pooled Data ADAPT-1 and ADAPT-2</w:t>
            </w:r>
          </w:p>
        </w:tc>
      </w:tr>
    </w:tbl>
    <w:p w14:paraId="12DC721C" w14:textId="77777777" w:rsidR="001F34B8" w:rsidRPr="008037F3" w:rsidRDefault="001F34B8" w:rsidP="00C52822">
      <w:pPr>
        <w:pStyle w:val="Table-space"/>
        <w:keepNext/>
      </w:pPr>
    </w:p>
    <w:tbl>
      <w:tblPr>
        <w:tblStyle w:val="TableGrid"/>
        <w:tblW w:w="0" w:type="auto"/>
        <w:tblLook w:val="04A0" w:firstRow="1" w:lastRow="0" w:firstColumn="1" w:lastColumn="0" w:noHBand="0" w:noVBand="1"/>
      </w:tblPr>
      <w:tblGrid>
        <w:gridCol w:w="1696"/>
        <w:gridCol w:w="1102"/>
        <w:gridCol w:w="1244"/>
        <w:gridCol w:w="1243"/>
        <w:gridCol w:w="1244"/>
        <w:gridCol w:w="1243"/>
        <w:gridCol w:w="1244"/>
      </w:tblGrid>
      <w:tr w:rsidR="00592AFC" w:rsidRPr="008037F3" w14:paraId="097FA1C4" w14:textId="77777777" w:rsidTr="00F81F37">
        <w:trPr>
          <w:cantSplit/>
          <w:tblHeader/>
        </w:trPr>
        <w:tc>
          <w:tcPr>
            <w:tcW w:w="1696" w:type="dxa"/>
            <w:vMerge w:val="restart"/>
            <w:tcMar>
              <w:top w:w="28" w:type="dxa"/>
              <w:left w:w="57" w:type="dxa"/>
              <w:bottom w:w="28" w:type="dxa"/>
              <w:right w:w="28" w:type="dxa"/>
            </w:tcMar>
          </w:tcPr>
          <w:p w14:paraId="1246A54B" w14:textId="5A105075" w:rsidR="00592AFC" w:rsidRPr="008037F3" w:rsidRDefault="00592AFC" w:rsidP="00C52822">
            <w:pPr>
              <w:pStyle w:val="Table-Heading1"/>
            </w:pPr>
            <w:r w:rsidRPr="008037F3">
              <w:t xml:space="preserve">Adverse </w:t>
            </w:r>
            <w:r w:rsidR="00002598">
              <w:t xml:space="preserve">event </w:t>
            </w:r>
          </w:p>
        </w:tc>
        <w:tc>
          <w:tcPr>
            <w:tcW w:w="2346" w:type="dxa"/>
            <w:gridSpan w:val="2"/>
            <w:tcMar>
              <w:top w:w="28" w:type="dxa"/>
              <w:left w:w="57" w:type="dxa"/>
              <w:bottom w:w="28" w:type="dxa"/>
              <w:right w:w="28" w:type="dxa"/>
            </w:tcMar>
          </w:tcPr>
          <w:p w14:paraId="4C949E2E" w14:textId="4D9FDC4D" w:rsidR="009D345A" w:rsidRPr="008037F3" w:rsidRDefault="009D345A" w:rsidP="00C52822">
            <w:pPr>
              <w:pStyle w:val="Table-Heading1"/>
            </w:pPr>
            <w:r w:rsidRPr="008037F3">
              <w:t>Low Baseline Platelet Count Cohort</w:t>
            </w:r>
          </w:p>
          <w:p w14:paraId="3B3FFB6C" w14:textId="4A3380F8" w:rsidR="00592AFC" w:rsidRPr="008037F3" w:rsidRDefault="009D345A" w:rsidP="00C52822">
            <w:pPr>
              <w:pStyle w:val="Table-Heading1"/>
            </w:pPr>
            <w:r w:rsidRPr="008037F3">
              <w:t>(</w:t>
            </w:r>
            <w:r w:rsidRPr="008037F3">
              <w:rPr>
                <w:rFonts w:ascii="Arial" w:hAnsi="Arial"/>
              </w:rPr>
              <w:t>˂</w:t>
            </w:r>
            <w:r w:rsidRPr="008037F3">
              <w:t>40 x10</w:t>
            </w:r>
            <w:r w:rsidRPr="008037F3">
              <w:rPr>
                <w:vertAlign w:val="superscript"/>
              </w:rPr>
              <w:t>9</w:t>
            </w:r>
            <w:r w:rsidRPr="008037F3">
              <w:t>/L)</w:t>
            </w:r>
          </w:p>
        </w:tc>
        <w:tc>
          <w:tcPr>
            <w:tcW w:w="2487" w:type="dxa"/>
            <w:gridSpan w:val="2"/>
            <w:tcMar>
              <w:top w:w="28" w:type="dxa"/>
              <w:left w:w="57" w:type="dxa"/>
              <w:bottom w:w="28" w:type="dxa"/>
              <w:right w:w="28" w:type="dxa"/>
            </w:tcMar>
          </w:tcPr>
          <w:p w14:paraId="60B2671F" w14:textId="30F6CA37" w:rsidR="009D345A" w:rsidRPr="008037F3" w:rsidRDefault="009D345A" w:rsidP="00C52822">
            <w:pPr>
              <w:pStyle w:val="Table-Heading1"/>
            </w:pPr>
            <w:r w:rsidRPr="008037F3">
              <w:t>High Baseline Platelet Count Cohort</w:t>
            </w:r>
          </w:p>
          <w:p w14:paraId="209D3B86" w14:textId="680C2902" w:rsidR="00592AFC" w:rsidRPr="008037F3" w:rsidRDefault="009D345A" w:rsidP="00C52822">
            <w:pPr>
              <w:pStyle w:val="Table-Heading1"/>
            </w:pPr>
            <w:r w:rsidRPr="008037F3">
              <w:t xml:space="preserve">(≥40 to </w:t>
            </w:r>
            <w:r w:rsidRPr="008037F3">
              <w:rPr>
                <w:rFonts w:ascii="Arial" w:hAnsi="Arial"/>
              </w:rPr>
              <w:t>˂</w:t>
            </w:r>
            <w:r w:rsidRPr="008037F3">
              <w:t>50 x10</w:t>
            </w:r>
            <w:r w:rsidRPr="008037F3">
              <w:rPr>
                <w:vertAlign w:val="superscript"/>
              </w:rPr>
              <w:t>9</w:t>
            </w:r>
            <w:r w:rsidRPr="008037F3">
              <w:t>/L)</w:t>
            </w:r>
          </w:p>
        </w:tc>
        <w:tc>
          <w:tcPr>
            <w:tcW w:w="2487" w:type="dxa"/>
            <w:gridSpan w:val="2"/>
            <w:tcMar>
              <w:left w:w="57" w:type="dxa"/>
              <w:right w:w="28" w:type="dxa"/>
            </w:tcMar>
          </w:tcPr>
          <w:p w14:paraId="26B1BC17" w14:textId="5AA11C5A" w:rsidR="009D345A" w:rsidRPr="008037F3" w:rsidRDefault="009D345A" w:rsidP="00C52822">
            <w:pPr>
              <w:pStyle w:val="Table-Heading1"/>
            </w:pPr>
            <w:r w:rsidRPr="008037F3">
              <w:t>Combined Baseline Platelet Count Cohorts</w:t>
            </w:r>
          </w:p>
          <w:p w14:paraId="4B013CA0" w14:textId="358E1468" w:rsidR="00592AFC" w:rsidRPr="008037F3" w:rsidRDefault="009D345A" w:rsidP="00C52822">
            <w:pPr>
              <w:pStyle w:val="Table-Heading1"/>
            </w:pPr>
            <w:r w:rsidRPr="008037F3">
              <w:t>(</w:t>
            </w:r>
            <w:r w:rsidRPr="008037F3">
              <w:rPr>
                <w:rFonts w:ascii="Arial" w:hAnsi="Arial"/>
              </w:rPr>
              <w:t>˂</w:t>
            </w:r>
            <w:r w:rsidRPr="008037F3">
              <w:t>50 x10</w:t>
            </w:r>
            <w:r w:rsidRPr="008037F3">
              <w:rPr>
                <w:vertAlign w:val="superscript"/>
              </w:rPr>
              <w:t>9</w:t>
            </w:r>
            <w:r w:rsidRPr="008037F3">
              <w:t>/L)</w:t>
            </w:r>
          </w:p>
        </w:tc>
      </w:tr>
      <w:tr w:rsidR="00AF03F5" w:rsidRPr="008037F3" w14:paraId="2D6E36BC" w14:textId="77777777" w:rsidTr="00F81F37">
        <w:trPr>
          <w:cantSplit/>
          <w:tblHeader/>
        </w:trPr>
        <w:tc>
          <w:tcPr>
            <w:tcW w:w="1696" w:type="dxa"/>
            <w:vMerge/>
            <w:tcMar>
              <w:top w:w="28" w:type="dxa"/>
              <w:left w:w="57" w:type="dxa"/>
              <w:bottom w:w="28" w:type="dxa"/>
              <w:right w:w="28" w:type="dxa"/>
            </w:tcMar>
          </w:tcPr>
          <w:p w14:paraId="277F92B7" w14:textId="77777777" w:rsidR="00AF03F5" w:rsidRPr="008037F3" w:rsidRDefault="00AF03F5" w:rsidP="00C52822">
            <w:pPr>
              <w:pStyle w:val="Table-Heading1"/>
            </w:pPr>
          </w:p>
        </w:tc>
        <w:tc>
          <w:tcPr>
            <w:tcW w:w="1102" w:type="dxa"/>
            <w:tcMar>
              <w:top w:w="28" w:type="dxa"/>
              <w:left w:w="57" w:type="dxa"/>
              <w:bottom w:w="28" w:type="dxa"/>
              <w:right w:w="28" w:type="dxa"/>
            </w:tcMar>
          </w:tcPr>
          <w:p w14:paraId="4B765000" w14:textId="71C97DE3" w:rsidR="00AF03F5" w:rsidRPr="008037F3" w:rsidRDefault="00AF03F5" w:rsidP="00C52822">
            <w:pPr>
              <w:pStyle w:val="Table-Heading1"/>
            </w:pPr>
            <w:r w:rsidRPr="008037F3">
              <w:t>DOPTELET 60 mg (N=159)</w:t>
            </w:r>
          </w:p>
          <w:p w14:paraId="642C2CA7" w14:textId="3A9DDFAF" w:rsidR="00AF03F5" w:rsidRPr="008037F3" w:rsidRDefault="00387259" w:rsidP="00C52822">
            <w:pPr>
              <w:pStyle w:val="Table-Heading1"/>
            </w:pPr>
            <w:r w:rsidRPr="008037F3">
              <w:t>n (</w:t>
            </w:r>
            <w:r w:rsidR="00AF03F5" w:rsidRPr="008037F3">
              <w:t>%</w:t>
            </w:r>
            <w:r w:rsidR="004B1C75" w:rsidRPr="008037F3">
              <w:t>)</w:t>
            </w:r>
          </w:p>
        </w:tc>
        <w:tc>
          <w:tcPr>
            <w:tcW w:w="1244" w:type="dxa"/>
            <w:tcMar>
              <w:left w:w="57" w:type="dxa"/>
              <w:right w:w="28" w:type="dxa"/>
            </w:tcMar>
          </w:tcPr>
          <w:p w14:paraId="727980CF" w14:textId="77777777" w:rsidR="00AF03F5" w:rsidRPr="008037F3" w:rsidRDefault="00AF03F5" w:rsidP="00C52822">
            <w:pPr>
              <w:pStyle w:val="Table-Heading1"/>
            </w:pPr>
            <w:r w:rsidRPr="008037F3">
              <w:t>Placebo (N=91)</w:t>
            </w:r>
          </w:p>
          <w:p w14:paraId="0DB9E906" w14:textId="5BE1823C" w:rsidR="00AF03F5" w:rsidRPr="008037F3" w:rsidRDefault="00387259" w:rsidP="00C52822">
            <w:pPr>
              <w:pStyle w:val="Table-Heading1"/>
            </w:pPr>
            <w:r w:rsidRPr="008037F3">
              <w:t>n (</w:t>
            </w:r>
            <w:r w:rsidR="00AF03F5" w:rsidRPr="008037F3">
              <w:t>%</w:t>
            </w:r>
            <w:r w:rsidR="007F41CD" w:rsidRPr="008037F3">
              <w:t>)</w:t>
            </w:r>
          </w:p>
        </w:tc>
        <w:tc>
          <w:tcPr>
            <w:tcW w:w="1243" w:type="dxa"/>
            <w:tcMar>
              <w:top w:w="28" w:type="dxa"/>
              <w:left w:w="57" w:type="dxa"/>
              <w:bottom w:w="28" w:type="dxa"/>
              <w:right w:w="28" w:type="dxa"/>
            </w:tcMar>
          </w:tcPr>
          <w:p w14:paraId="39D8AA63" w14:textId="59EF5B75" w:rsidR="00AF03F5" w:rsidRPr="008037F3" w:rsidRDefault="00AF03F5" w:rsidP="00C52822">
            <w:pPr>
              <w:pStyle w:val="Table-Heading1"/>
            </w:pPr>
            <w:r w:rsidRPr="008037F3">
              <w:t>DOPTELET 40 mg (N=115)</w:t>
            </w:r>
          </w:p>
          <w:p w14:paraId="302D434D" w14:textId="36EEFB9C" w:rsidR="00AF03F5" w:rsidRPr="008037F3" w:rsidRDefault="00387259" w:rsidP="00C52822">
            <w:pPr>
              <w:pStyle w:val="Table-Heading1"/>
            </w:pPr>
            <w:r w:rsidRPr="008037F3">
              <w:t>n (</w:t>
            </w:r>
            <w:r w:rsidR="00AF03F5" w:rsidRPr="008037F3">
              <w:t>%</w:t>
            </w:r>
            <w:r w:rsidR="00E648F7" w:rsidRPr="008037F3">
              <w:t>)</w:t>
            </w:r>
          </w:p>
        </w:tc>
        <w:tc>
          <w:tcPr>
            <w:tcW w:w="1244" w:type="dxa"/>
            <w:tcMar>
              <w:left w:w="57" w:type="dxa"/>
              <w:right w:w="28" w:type="dxa"/>
            </w:tcMar>
          </w:tcPr>
          <w:p w14:paraId="471E7A25" w14:textId="7424DBCB" w:rsidR="00AF03F5" w:rsidRPr="008037F3" w:rsidRDefault="00AF03F5" w:rsidP="00C52822">
            <w:pPr>
              <w:pStyle w:val="Table-Heading1"/>
            </w:pPr>
            <w:r w:rsidRPr="008037F3">
              <w:t>Placebo (N=65)</w:t>
            </w:r>
          </w:p>
          <w:p w14:paraId="537BBCAF" w14:textId="43946E6A" w:rsidR="00AF03F5" w:rsidRPr="008037F3" w:rsidRDefault="00387259" w:rsidP="00C52822">
            <w:pPr>
              <w:pStyle w:val="Table-Heading1"/>
            </w:pPr>
            <w:r w:rsidRPr="008037F3">
              <w:t>n (</w:t>
            </w:r>
            <w:r w:rsidR="00AF03F5" w:rsidRPr="008037F3">
              <w:t>%</w:t>
            </w:r>
            <w:r w:rsidR="00E648F7" w:rsidRPr="008037F3">
              <w:t>)</w:t>
            </w:r>
          </w:p>
        </w:tc>
        <w:tc>
          <w:tcPr>
            <w:tcW w:w="1243" w:type="dxa"/>
            <w:tcMar>
              <w:left w:w="57" w:type="dxa"/>
              <w:right w:w="28" w:type="dxa"/>
            </w:tcMar>
          </w:tcPr>
          <w:p w14:paraId="0960A478" w14:textId="4E948A38" w:rsidR="00AF03F5" w:rsidRPr="008037F3" w:rsidRDefault="00AF03F5" w:rsidP="00C52822">
            <w:pPr>
              <w:pStyle w:val="Table-Heading1"/>
            </w:pPr>
            <w:r w:rsidRPr="008037F3">
              <w:t>Total DOPTELET (N=27</w:t>
            </w:r>
            <w:r w:rsidR="007817B2" w:rsidRPr="008037F3">
              <w:t>4</w:t>
            </w:r>
            <w:r w:rsidRPr="008037F3">
              <w:t>)</w:t>
            </w:r>
          </w:p>
          <w:p w14:paraId="4D026C00" w14:textId="7BDBE37C" w:rsidR="00AF03F5" w:rsidRPr="008037F3" w:rsidRDefault="00387259" w:rsidP="00C52822">
            <w:pPr>
              <w:pStyle w:val="Table-Heading1"/>
            </w:pPr>
            <w:r w:rsidRPr="008037F3">
              <w:t>n (</w:t>
            </w:r>
            <w:r w:rsidR="00AF03F5" w:rsidRPr="008037F3">
              <w:t>%</w:t>
            </w:r>
            <w:r w:rsidR="00E648F7" w:rsidRPr="008037F3">
              <w:t>)</w:t>
            </w:r>
          </w:p>
        </w:tc>
        <w:tc>
          <w:tcPr>
            <w:tcW w:w="1244" w:type="dxa"/>
            <w:tcMar>
              <w:left w:w="57" w:type="dxa"/>
              <w:right w:w="28" w:type="dxa"/>
            </w:tcMar>
          </w:tcPr>
          <w:p w14:paraId="15773777" w14:textId="3D5D8C85" w:rsidR="00AF03F5" w:rsidRPr="008037F3" w:rsidRDefault="007817B2" w:rsidP="00C52822">
            <w:pPr>
              <w:pStyle w:val="Table-Heading1"/>
            </w:pPr>
            <w:r w:rsidRPr="008037F3">
              <w:t xml:space="preserve">Total </w:t>
            </w:r>
            <w:r w:rsidR="00AF03F5" w:rsidRPr="008037F3">
              <w:t>Placebo (N=</w:t>
            </w:r>
            <w:r w:rsidRPr="008037F3">
              <w:t>156</w:t>
            </w:r>
            <w:r w:rsidR="00AF03F5" w:rsidRPr="008037F3">
              <w:t>)</w:t>
            </w:r>
          </w:p>
          <w:p w14:paraId="70F62173" w14:textId="58B09339" w:rsidR="00AF03F5" w:rsidRPr="008037F3" w:rsidRDefault="00B17B95" w:rsidP="00C52822">
            <w:pPr>
              <w:pStyle w:val="Table-Heading1"/>
            </w:pPr>
            <w:r w:rsidRPr="008037F3">
              <w:t>n (</w:t>
            </w:r>
            <w:r w:rsidR="00AF03F5" w:rsidRPr="008037F3">
              <w:t>%</w:t>
            </w:r>
            <w:r w:rsidR="00E648F7" w:rsidRPr="008037F3">
              <w:t>)</w:t>
            </w:r>
          </w:p>
        </w:tc>
      </w:tr>
      <w:tr w:rsidR="00AF03F5" w:rsidRPr="008037F3" w14:paraId="1E2DF2B1" w14:textId="77777777" w:rsidTr="00F81F37">
        <w:trPr>
          <w:cantSplit/>
        </w:trPr>
        <w:tc>
          <w:tcPr>
            <w:tcW w:w="1696" w:type="dxa"/>
            <w:tcMar>
              <w:top w:w="0" w:type="dxa"/>
              <w:left w:w="57" w:type="dxa"/>
              <w:bottom w:w="0" w:type="dxa"/>
              <w:right w:w="28" w:type="dxa"/>
            </w:tcMar>
          </w:tcPr>
          <w:p w14:paraId="006D954D" w14:textId="39504F21" w:rsidR="00AF03F5" w:rsidRPr="008037F3" w:rsidRDefault="007817B2" w:rsidP="00C52822">
            <w:pPr>
              <w:pStyle w:val="Table-text"/>
            </w:pPr>
            <w:r w:rsidRPr="008037F3">
              <w:t xml:space="preserve">Pyrexia </w:t>
            </w:r>
          </w:p>
        </w:tc>
        <w:tc>
          <w:tcPr>
            <w:tcW w:w="1102" w:type="dxa"/>
            <w:tcMar>
              <w:top w:w="0" w:type="dxa"/>
              <w:left w:w="57" w:type="dxa"/>
              <w:bottom w:w="0" w:type="dxa"/>
              <w:right w:w="28" w:type="dxa"/>
            </w:tcMar>
          </w:tcPr>
          <w:p w14:paraId="42B139B2" w14:textId="338F2E19" w:rsidR="00AF03F5" w:rsidRPr="008037F3" w:rsidRDefault="00387259" w:rsidP="00C52822">
            <w:pPr>
              <w:pStyle w:val="Table-text"/>
            </w:pPr>
            <w:r w:rsidRPr="008037F3">
              <w:t>18 (</w:t>
            </w:r>
            <w:r w:rsidR="007817B2" w:rsidRPr="008037F3">
              <w:t>11</w:t>
            </w:r>
            <w:r w:rsidR="004B1C75" w:rsidRPr="008037F3">
              <w:t>)</w:t>
            </w:r>
          </w:p>
        </w:tc>
        <w:tc>
          <w:tcPr>
            <w:tcW w:w="1244" w:type="dxa"/>
            <w:tcMar>
              <w:left w:w="57" w:type="dxa"/>
              <w:right w:w="28" w:type="dxa"/>
            </w:tcMar>
          </w:tcPr>
          <w:p w14:paraId="07056E30" w14:textId="2408B0CC" w:rsidR="00AF03F5" w:rsidRPr="008037F3" w:rsidRDefault="00387259" w:rsidP="00C52822">
            <w:pPr>
              <w:pStyle w:val="Table-text"/>
            </w:pPr>
            <w:r w:rsidRPr="008037F3">
              <w:t>8 (</w:t>
            </w:r>
            <w:r w:rsidR="007817B2" w:rsidRPr="008037F3">
              <w:t>9</w:t>
            </w:r>
            <w:r w:rsidR="00D70DB7" w:rsidRPr="008037F3">
              <w:t>)</w:t>
            </w:r>
          </w:p>
        </w:tc>
        <w:tc>
          <w:tcPr>
            <w:tcW w:w="1243" w:type="dxa"/>
            <w:tcMar>
              <w:top w:w="0" w:type="dxa"/>
              <w:left w:w="57" w:type="dxa"/>
              <w:bottom w:w="0" w:type="dxa"/>
              <w:right w:w="28" w:type="dxa"/>
            </w:tcMar>
          </w:tcPr>
          <w:p w14:paraId="5A2BF596" w14:textId="2B2B77A6" w:rsidR="00AF03F5" w:rsidRPr="008037F3" w:rsidRDefault="00387259" w:rsidP="00C52822">
            <w:pPr>
              <w:pStyle w:val="Table-text"/>
            </w:pPr>
            <w:r w:rsidRPr="008037F3">
              <w:t>9 (</w:t>
            </w:r>
            <w:r w:rsidR="007817B2" w:rsidRPr="008037F3">
              <w:t>8</w:t>
            </w:r>
            <w:r w:rsidR="001120BA" w:rsidRPr="008037F3">
              <w:t>)</w:t>
            </w:r>
          </w:p>
        </w:tc>
        <w:tc>
          <w:tcPr>
            <w:tcW w:w="1244" w:type="dxa"/>
            <w:tcMar>
              <w:left w:w="57" w:type="dxa"/>
              <w:right w:w="28" w:type="dxa"/>
            </w:tcMar>
          </w:tcPr>
          <w:p w14:paraId="7660D84A" w14:textId="4CBE4A84" w:rsidR="00AF03F5" w:rsidRPr="008037F3" w:rsidRDefault="00387259" w:rsidP="00C52822">
            <w:pPr>
              <w:pStyle w:val="Table-text"/>
            </w:pPr>
            <w:r w:rsidRPr="008037F3">
              <w:t>6 (</w:t>
            </w:r>
            <w:r w:rsidR="007817B2" w:rsidRPr="008037F3">
              <w:t>9</w:t>
            </w:r>
            <w:r w:rsidR="00245322" w:rsidRPr="008037F3">
              <w:t>)</w:t>
            </w:r>
          </w:p>
        </w:tc>
        <w:tc>
          <w:tcPr>
            <w:tcW w:w="1243" w:type="dxa"/>
            <w:tcMar>
              <w:left w:w="57" w:type="dxa"/>
              <w:right w:w="28" w:type="dxa"/>
            </w:tcMar>
          </w:tcPr>
          <w:p w14:paraId="79295EBB" w14:textId="2567FEB9" w:rsidR="00AF03F5" w:rsidRPr="008037F3" w:rsidRDefault="00387259" w:rsidP="00C52822">
            <w:pPr>
              <w:pStyle w:val="Table-text"/>
            </w:pPr>
            <w:r w:rsidRPr="008037F3">
              <w:t>27 (</w:t>
            </w:r>
            <w:r w:rsidR="007817B2" w:rsidRPr="008037F3">
              <w:t>10</w:t>
            </w:r>
            <w:r w:rsidR="006F35FF" w:rsidRPr="008037F3">
              <w:t>)</w:t>
            </w:r>
          </w:p>
        </w:tc>
        <w:tc>
          <w:tcPr>
            <w:tcW w:w="1244" w:type="dxa"/>
            <w:tcMar>
              <w:left w:w="57" w:type="dxa"/>
              <w:right w:w="28" w:type="dxa"/>
            </w:tcMar>
          </w:tcPr>
          <w:p w14:paraId="7C5684B4" w14:textId="7C823E86" w:rsidR="00AF03F5" w:rsidRPr="008037F3" w:rsidRDefault="00B17B95" w:rsidP="00C52822">
            <w:pPr>
              <w:pStyle w:val="Table-text"/>
            </w:pPr>
            <w:r w:rsidRPr="008037F3">
              <w:t>14 (</w:t>
            </w:r>
            <w:r w:rsidR="007817B2" w:rsidRPr="008037F3">
              <w:t>9</w:t>
            </w:r>
            <w:r w:rsidR="00FF3931" w:rsidRPr="008037F3">
              <w:t>)</w:t>
            </w:r>
          </w:p>
        </w:tc>
      </w:tr>
      <w:tr w:rsidR="007817B2" w:rsidRPr="008037F3" w14:paraId="58C039D9" w14:textId="77777777" w:rsidTr="00F81F37">
        <w:trPr>
          <w:cantSplit/>
        </w:trPr>
        <w:tc>
          <w:tcPr>
            <w:tcW w:w="1696" w:type="dxa"/>
            <w:tcMar>
              <w:top w:w="0" w:type="dxa"/>
              <w:left w:w="57" w:type="dxa"/>
              <w:bottom w:w="0" w:type="dxa"/>
              <w:right w:w="28" w:type="dxa"/>
            </w:tcMar>
          </w:tcPr>
          <w:p w14:paraId="2AFF31B6" w14:textId="2B04BDFF" w:rsidR="007817B2" w:rsidRPr="008037F3" w:rsidRDefault="007817B2" w:rsidP="00C52822">
            <w:pPr>
              <w:pStyle w:val="Table-text"/>
            </w:pPr>
            <w:r w:rsidRPr="008037F3">
              <w:t>Abdominal pain</w:t>
            </w:r>
          </w:p>
        </w:tc>
        <w:tc>
          <w:tcPr>
            <w:tcW w:w="1102" w:type="dxa"/>
            <w:tcMar>
              <w:top w:w="0" w:type="dxa"/>
              <w:left w:w="57" w:type="dxa"/>
              <w:bottom w:w="0" w:type="dxa"/>
              <w:right w:w="28" w:type="dxa"/>
            </w:tcMar>
          </w:tcPr>
          <w:p w14:paraId="1B22EBC3" w14:textId="6B3B5E05" w:rsidR="007817B2" w:rsidRPr="008037F3" w:rsidRDefault="00387259" w:rsidP="00C52822">
            <w:pPr>
              <w:pStyle w:val="Table-text"/>
            </w:pPr>
            <w:r w:rsidRPr="008037F3">
              <w:t>10 (</w:t>
            </w:r>
            <w:r w:rsidR="007817B2" w:rsidRPr="008037F3">
              <w:t>6</w:t>
            </w:r>
            <w:r w:rsidR="007F41CD" w:rsidRPr="008037F3">
              <w:t>)</w:t>
            </w:r>
          </w:p>
        </w:tc>
        <w:tc>
          <w:tcPr>
            <w:tcW w:w="1244" w:type="dxa"/>
            <w:tcMar>
              <w:left w:w="57" w:type="dxa"/>
              <w:right w:w="28" w:type="dxa"/>
            </w:tcMar>
          </w:tcPr>
          <w:p w14:paraId="25BB46BF" w14:textId="2244C935" w:rsidR="007817B2" w:rsidRPr="008037F3" w:rsidRDefault="00387259" w:rsidP="00C52822">
            <w:pPr>
              <w:pStyle w:val="Table-text"/>
            </w:pPr>
            <w:r w:rsidRPr="008037F3">
              <w:t>6 (</w:t>
            </w:r>
            <w:r w:rsidR="007817B2" w:rsidRPr="008037F3">
              <w:t>7</w:t>
            </w:r>
            <w:r w:rsidR="00D70DB7" w:rsidRPr="008037F3">
              <w:t>)</w:t>
            </w:r>
          </w:p>
        </w:tc>
        <w:tc>
          <w:tcPr>
            <w:tcW w:w="1243" w:type="dxa"/>
            <w:tcMar>
              <w:top w:w="0" w:type="dxa"/>
              <w:left w:w="57" w:type="dxa"/>
              <w:bottom w:w="0" w:type="dxa"/>
              <w:right w:w="28" w:type="dxa"/>
            </w:tcMar>
          </w:tcPr>
          <w:p w14:paraId="1C95DBFD" w14:textId="339D0EBA" w:rsidR="007817B2" w:rsidRPr="008037F3" w:rsidRDefault="00387259" w:rsidP="00C52822">
            <w:pPr>
              <w:pStyle w:val="Table-text"/>
            </w:pPr>
            <w:r w:rsidRPr="008037F3">
              <w:t>8 (</w:t>
            </w:r>
            <w:r w:rsidR="007817B2" w:rsidRPr="008037F3">
              <w:t>7</w:t>
            </w:r>
            <w:r w:rsidR="001120BA" w:rsidRPr="008037F3">
              <w:t>)</w:t>
            </w:r>
          </w:p>
        </w:tc>
        <w:tc>
          <w:tcPr>
            <w:tcW w:w="1244" w:type="dxa"/>
            <w:tcMar>
              <w:left w:w="57" w:type="dxa"/>
              <w:right w:w="28" w:type="dxa"/>
            </w:tcMar>
          </w:tcPr>
          <w:p w14:paraId="3C254124" w14:textId="684B7AB1" w:rsidR="007817B2" w:rsidRPr="008037F3" w:rsidRDefault="00387259" w:rsidP="00C52822">
            <w:pPr>
              <w:pStyle w:val="Table-text"/>
            </w:pPr>
            <w:r w:rsidRPr="008037F3">
              <w:t>4 (</w:t>
            </w:r>
            <w:r w:rsidR="007817B2" w:rsidRPr="008037F3">
              <w:t>6</w:t>
            </w:r>
            <w:r w:rsidR="00245322" w:rsidRPr="008037F3">
              <w:t>)</w:t>
            </w:r>
          </w:p>
        </w:tc>
        <w:tc>
          <w:tcPr>
            <w:tcW w:w="1243" w:type="dxa"/>
            <w:tcMar>
              <w:left w:w="57" w:type="dxa"/>
              <w:right w:w="28" w:type="dxa"/>
            </w:tcMar>
          </w:tcPr>
          <w:p w14:paraId="7C40DFCF" w14:textId="0FBAF723" w:rsidR="007817B2" w:rsidRPr="008037F3" w:rsidRDefault="00387259" w:rsidP="00C52822">
            <w:pPr>
              <w:pStyle w:val="Table-text"/>
            </w:pPr>
            <w:r w:rsidRPr="008037F3">
              <w:t>18 (</w:t>
            </w:r>
            <w:r w:rsidR="007817B2" w:rsidRPr="008037F3">
              <w:t>7</w:t>
            </w:r>
            <w:r w:rsidR="00043D95" w:rsidRPr="008037F3">
              <w:t>)</w:t>
            </w:r>
          </w:p>
        </w:tc>
        <w:tc>
          <w:tcPr>
            <w:tcW w:w="1244" w:type="dxa"/>
            <w:tcMar>
              <w:left w:w="57" w:type="dxa"/>
              <w:right w:w="28" w:type="dxa"/>
            </w:tcMar>
          </w:tcPr>
          <w:p w14:paraId="5FD71151" w14:textId="7B9AE625" w:rsidR="007817B2" w:rsidRPr="008037F3" w:rsidRDefault="00B17B95" w:rsidP="00C52822">
            <w:pPr>
              <w:pStyle w:val="Table-text"/>
            </w:pPr>
            <w:r w:rsidRPr="008037F3">
              <w:t>10 (</w:t>
            </w:r>
            <w:r w:rsidR="007817B2" w:rsidRPr="008037F3">
              <w:t>6</w:t>
            </w:r>
            <w:r w:rsidR="00FF3931" w:rsidRPr="008037F3">
              <w:t>)</w:t>
            </w:r>
          </w:p>
        </w:tc>
      </w:tr>
      <w:tr w:rsidR="007817B2" w:rsidRPr="008037F3" w14:paraId="5635BEA4" w14:textId="77777777" w:rsidTr="00F81F37">
        <w:trPr>
          <w:cantSplit/>
        </w:trPr>
        <w:tc>
          <w:tcPr>
            <w:tcW w:w="1696" w:type="dxa"/>
            <w:tcMar>
              <w:top w:w="0" w:type="dxa"/>
              <w:left w:w="57" w:type="dxa"/>
              <w:bottom w:w="0" w:type="dxa"/>
              <w:right w:w="28" w:type="dxa"/>
            </w:tcMar>
          </w:tcPr>
          <w:p w14:paraId="4A3FDFFC" w14:textId="15603F7D" w:rsidR="007817B2" w:rsidRPr="008037F3" w:rsidRDefault="007817B2" w:rsidP="00C52822">
            <w:pPr>
              <w:pStyle w:val="Table-text"/>
            </w:pPr>
            <w:r w:rsidRPr="008037F3">
              <w:t>Nausea</w:t>
            </w:r>
          </w:p>
        </w:tc>
        <w:tc>
          <w:tcPr>
            <w:tcW w:w="1102" w:type="dxa"/>
            <w:tcMar>
              <w:top w:w="0" w:type="dxa"/>
              <w:left w:w="57" w:type="dxa"/>
              <w:bottom w:w="0" w:type="dxa"/>
              <w:right w:w="28" w:type="dxa"/>
            </w:tcMar>
          </w:tcPr>
          <w:p w14:paraId="0F80AE53" w14:textId="1860F629" w:rsidR="007817B2" w:rsidRPr="008037F3" w:rsidRDefault="00387259" w:rsidP="00C52822">
            <w:pPr>
              <w:pStyle w:val="Table-text"/>
            </w:pPr>
            <w:r w:rsidRPr="008037F3">
              <w:t>10 (</w:t>
            </w:r>
            <w:r w:rsidR="007817B2" w:rsidRPr="008037F3">
              <w:t>6</w:t>
            </w:r>
            <w:r w:rsidR="007F41CD" w:rsidRPr="008037F3">
              <w:t>)</w:t>
            </w:r>
          </w:p>
        </w:tc>
        <w:tc>
          <w:tcPr>
            <w:tcW w:w="1244" w:type="dxa"/>
            <w:tcMar>
              <w:left w:w="57" w:type="dxa"/>
              <w:right w:w="28" w:type="dxa"/>
            </w:tcMar>
          </w:tcPr>
          <w:p w14:paraId="56AC6F95" w14:textId="6C797B7B" w:rsidR="007817B2" w:rsidRPr="008037F3" w:rsidRDefault="00387259" w:rsidP="00C52822">
            <w:pPr>
              <w:pStyle w:val="Table-text"/>
            </w:pPr>
            <w:r w:rsidRPr="008037F3">
              <w:t>7 (</w:t>
            </w:r>
            <w:r w:rsidR="007817B2" w:rsidRPr="008037F3">
              <w:t>8</w:t>
            </w:r>
            <w:r w:rsidR="00D70DB7" w:rsidRPr="008037F3">
              <w:t>)</w:t>
            </w:r>
          </w:p>
        </w:tc>
        <w:tc>
          <w:tcPr>
            <w:tcW w:w="1243" w:type="dxa"/>
            <w:tcMar>
              <w:top w:w="0" w:type="dxa"/>
              <w:left w:w="57" w:type="dxa"/>
              <w:bottom w:w="0" w:type="dxa"/>
              <w:right w:w="28" w:type="dxa"/>
            </w:tcMar>
          </w:tcPr>
          <w:p w14:paraId="30418145" w14:textId="709F6F3E" w:rsidR="007817B2" w:rsidRPr="008037F3" w:rsidRDefault="00387259" w:rsidP="00C52822">
            <w:pPr>
              <w:pStyle w:val="Table-text"/>
            </w:pPr>
            <w:r w:rsidRPr="008037F3">
              <w:t>8 (</w:t>
            </w:r>
            <w:r w:rsidR="007817B2" w:rsidRPr="008037F3">
              <w:t>7</w:t>
            </w:r>
            <w:r w:rsidR="0009128F" w:rsidRPr="008037F3">
              <w:t>)</w:t>
            </w:r>
          </w:p>
        </w:tc>
        <w:tc>
          <w:tcPr>
            <w:tcW w:w="1244" w:type="dxa"/>
            <w:tcMar>
              <w:left w:w="57" w:type="dxa"/>
              <w:right w:w="28" w:type="dxa"/>
            </w:tcMar>
          </w:tcPr>
          <w:p w14:paraId="5C08FB3F" w14:textId="614EBCEC" w:rsidR="007817B2" w:rsidRPr="008037F3" w:rsidRDefault="00387259" w:rsidP="00C52822">
            <w:pPr>
              <w:pStyle w:val="Table-text"/>
            </w:pPr>
            <w:r w:rsidRPr="008037F3">
              <w:t>4 (</w:t>
            </w:r>
            <w:r w:rsidR="007817B2" w:rsidRPr="008037F3">
              <w:t>6</w:t>
            </w:r>
            <w:r w:rsidR="00245322" w:rsidRPr="008037F3">
              <w:t>)</w:t>
            </w:r>
          </w:p>
        </w:tc>
        <w:tc>
          <w:tcPr>
            <w:tcW w:w="1243" w:type="dxa"/>
            <w:tcMar>
              <w:left w:w="57" w:type="dxa"/>
              <w:right w:w="28" w:type="dxa"/>
            </w:tcMar>
          </w:tcPr>
          <w:p w14:paraId="5F9B8F27" w14:textId="0AE6EB84" w:rsidR="007817B2" w:rsidRPr="008037F3" w:rsidRDefault="00387259" w:rsidP="00C52822">
            <w:pPr>
              <w:pStyle w:val="Table-text"/>
            </w:pPr>
            <w:r w:rsidRPr="008037F3">
              <w:t>18 (</w:t>
            </w:r>
            <w:r w:rsidR="007817B2" w:rsidRPr="008037F3">
              <w:t>7</w:t>
            </w:r>
            <w:r w:rsidR="00043D95" w:rsidRPr="008037F3">
              <w:t>)</w:t>
            </w:r>
          </w:p>
        </w:tc>
        <w:tc>
          <w:tcPr>
            <w:tcW w:w="1244" w:type="dxa"/>
            <w:tcMar>
              <w:left w:w="57" w:type="dxa"/>
              <w:right w:w="28" w:type="dxa"/>
            </w:tcMar>
          </w:tcPr>
          <w:p w14:paraId="6DCFC141" w14:textId="6883AFA2" w:rsidR="007817B2" w:rsidRPr="008037F3" w:rsidRDefault="00B17B95" w:rsidP="00C52822">
            <w:pPr>
              <w:pStyle w:val="Table-text"/>
            </w:pPr>
            <w:r w:rsidRPr="008037F3">
              <w:t>11 (</w:t>
            </w:r>
            <w:r w:rsidR="007817B2" w:rsidRPr="008037F3">
              <w:t>7</w:t>
            </w:r>
            <w:r w:rsidR="00FF3931" w:rsidRPr="008037F3">
              <w:t>)</w:t>
            </w:r>
          </w:p>
        </w:tc>
      </w:tr>
      <w:tr w:rsidR="007817B2" w:rsidRPr="008037F3" w14:paraId="4D6AFC70" w14:textId="77777777" w:rsidTr="00F81F37">
        <w:trPr>
          <w:cantSplit/>
        </w:trPr>
        <w:tc>
          <w:tcPr>
            <w:tcW w:w="1696" w:type="dxa"/>
            <w:tcMar>
              <w:top w:w="0" w:type="dxa"/>
              <w:left w:w="57" w:type="dxa"/>
              <w:bottom w:w="0" w:type="dxa"/>
              <w:right w:w="28" w:type="dxa"/>
            </w:tcMar>
          </w:tcPr>
          <w:p w14:paraId="0EC7EEAD" w14:textId="2F0EC24E" w:rsidR="007817B2" w:rsidRPr="008037F3" w:rsidRDefault="007817B2" w:rsidP="00C52822">
            <w:pPr>
              <w:pStyle w:val="Table-text"/>
            </w:pPr>
            <w:r w:rsidRPr="008037F3">
              <w:t>Headache</w:t>
            </w:r>
          </w:p>
        </w:tc>
        <w:tc>
          <w:tcPr>
            <w:tcW w:w="1102" w:type="dxa"/>
            <w:tcMar>
              <w:top w:w="0" w:type="dxa"/>
              <w:left w:w="57" w:type="dxa"/>
              <w:bottom w:w="0" w:type="dxa"/>
              <w:right w:w="28" w:type="dxa"/>
            </w:tcMar>
          </w:tcPr>
          <w:p w14:paraId="271C210A" w14:textId="1BC0F417" w:rsidR="007817B2" w:rsidRPr="008037F3" w:rsidRDefault="00387259" w:rsidP="00C52822">
            <w:pPr>
              <w:pStyle w:val="Table-text"/>
            </w:pPr>
            <w:r w:rsidRPr="008037F3">
              <w:t>7 (</w:t>
            </w:r>
            <w:r w:rsidR="007817B2" w:rsidRPr="008037F3">
              <w:t>4</w:t>
            </w:r>
            <w:r w:rsidR="007F41CD" w:rsidRPr="008037F3">
              <w:t>)</w:t>
            </w:r>
          </w:p>
        </w:tc>
        <w:tc>
          <w:tcPr>
            <w:tcW w:w="1244" w:type="dxa"/>
            <w:tcMar>
              <w:left w:w="57" w:type="dxa"/>
              <w:right w:w="28" w:type="dxa"/>
            </w:tcMar>
          </w:tcPr>
          <w:p w14:paraId="7D2C4D54" w14:textId="1E18EFE3" w:rsidR="007817B2" w:rsidRPr="008037F3" w:rsidRDefault="00387259" w:rsidP="00C52822">
            <w:pPr>
              <w:pStyle w:val="Table-text"/>
            </w:pPr>
            <w:r w:rsidRPr="008037F3">
              <w:t>7 (</w:t>
            </w:r>
            <w:r w:rsidR="007817B2" w:rsidRPr="008037F3">
              <w:t>8</w:t>
            </w:r>
            <w:r w:rsidR="00701A95" w:rsidRPr="008037F3">
              <w:t>)</w:t>
            </w:r>
          </w:p>
        </w:tc>
        <w:tc>
          <w:tcPr>
            <w:tcW w:w="1243" w:type="dxa"/>
            <w:tcMar>
              <w:top w:w="0" w:type="dxa"/>
              <w:left w:w="57" w:type="dxa"/>
              <w:bottom w:w="0" w:type="dxa"/>
              <w:right w:w="28" w:type="dxa"/>
            </w:tcMar>
          </w:tcPr>
          <w:p w14:paraId="279F8169" w14:textId="34BF7BE6" w:rsidR="007817B2" w:rsidRPr="008037F3" w:rsidRDefault="00387259" w:rsidP="00C52822">
            <w:pPr>
              <w:pStyle w:val="Table-text"/>
            </w:pPr>
            <w:r w:rsidRPr="008037F3">
              <w:t>8 (</w:t>
            </w:r>
            <w:r w:rsidR="007817B2" w:rsidRPr="008037F3">
              <w:t>7</w:t>
            </w:r>
            <w:r w:rsidR="0009128F" w:rsidRPr="008037F3">
              <w:t>)</w:t>
            </w:r>
          </w:p>
        </w:tc>
        <w:tc>
          <w:tcPr>
            <w:tcW w:w="1244" w:type="dxa"/>
            <w:tcMar>
              <w:left w:w="57" w:type="dxa"/>
              <w:right w:w="28" w:type="dxa"/>
            </w:tcMar>
          </w:tcPr>
          <w:p w14:paraId="2D345038" w14:textId="6A26BDBE" w:rsidR="007817B2" w:rsidRPr="008037F3" w:rsidRDefault="00387259" w:rsidP="00C52822">
            <w:pPr>
              <w:pStyle w:val="Table-text"/>
            </w:pPr>
            <w:r w:rsidRPr="008037F3">
              <w:t>3 (</w:t>
            </w:r>
            <w:r w:rsidR="007817B2" w:rsidRPr="008037F3">
              <w:t>5</w:t>
            </w:r>
            <w:r w:rsidR="00245322" w:rsidRPr="008037F3">
              <w:t>)</w:t>
            </w:r>
          </w:p>
        </w:tc>
        <w:tc>
          <w:tcPr>
            <w:tcW w:w="1243" w:type="dxa"/>
            <w:tcMar>
              <w:left w:w="57" w:type="dxa"/>
              <w:right w:w="28" w:type="dxa"/>
            </w:tcMar>
          </w:tcPr>
          <w:p w14:paraId="4AF63B3A" w14:textId="22CD4B34" w:rsidR="007817B2" w:rsidRPr="008037F3" w:rsidRDefault="000D4519" w:rsidP="00C52822">
            <w:pPr>
              <w:pStyle w:val="Table-text"/>
            </w:pPr>
            <w:r w:rsidRPr="008037F3">
              <w:t>15 (</w:t>
            </w:r>
            <w:r w:rsidR="007817B2" w:rsidRPr="008037F3">
              <w:t>6</w:t>
            </w:r>
            <w:r w:rsidR="00043D95" w:rsidRPr="008037F3">
              <w:t>)</w:t>
            </w:r>
          </w:p>
        </w:tc>
        <w:tc>
          <w:tcPr>
            <w:tcW w:w="1244" w:type="dxa"/>
            <w:tcMar>
              <w:left w:w="57" w:type="dxa"/>
              <w:right w:w="28" w:type="dxa"/>
            </w:tcMar>
          </w:tcPr>
          <w:p w14:paraId="634AF377" w14:textId="725F13CB" w:rsidR="007817B2" w:rsidRPr="008037F3" w:rsidRDefault="00B17B95" w:rsidP="00C52822">
            <w:pPr>
              <w:pStyle w:val="Table-text"/>
            </w:pPr>
            <w:r w:rsidRPr="008037F3">
              <w:t>10 (</w:t>
            </w:r>
            <w:r w:rsidR="007817B2" w:rsidRPr="008037F3">
              <w:t>6</w:t>
            </w:r>
            <w:r w:rsidR="00FF3931" w:rsidRPr="008037F3">
              <w:t>)</w:t>
            </w:r>
          </w:p>
        </w:tc>
      </w:tr>
      <w:tr w:rsidR="007817B2" w:rsidRPr="008037F3" w14:paraId="7CA1FADC" w14:textId="77777777" w:rsidTr="00F81F37">
        <w:trPr>
          <w:cantSplit/>
        </w:trPr>
        <w:tc>
          <w:tcPr>
            <w:tcW w:w="1696" w:type="dxa"/>
            <w:tcMar>
              <w:top w:w="0" w:type="dxa"/>
              <w:left w:w="57" w:type="dxa"/>
              <w:bottom w:w="0" w:type="dxa"/>
              <w:right w:w="28" w:type="dxa"/>
            </w:tcMar>
          </w:tcPr>
          <w:p w14:paraId="1A46361B" w14:textId="7A2341A6" w:rsidR="007817B2" w:rsidRPr="008037F3" w:rsidRDefault="007817B2" w:rsidP="00C52822">
            <w:pPr>
              <w:pStyle w:val="Table-text"/>
            </w:pPr>
            <w:r w:rsidRPr="008037F3">
              <w:t>Fatigue</w:t>
            </w:r>
          </w:p>
        </w:tc>
        <w:tc>
          <w:tcPr>
            <w:tcW w:w="1102" w:type="dxa"/>
            <w:tcMar>
              <w:top w:w="0" w:type="dxa"/>
              <w:left w:w="57" w:type="dxa"/>
              <w:bottom w:w="0" w:type="dxa"/>
              <w:right w:w="28" w:type="dxa"/>
            </w:tcMar>
          </w:tcPr>
          <w:p w14:paraId="1296606F" w14:textId="3F10A54F" w:rsidR="007817B2" w:rsidRPr="008037F3" w:rsidRDefault="00387259" w:rsidP="00C52822">
            <w:pPr>
              <w:pStyle w:val="Table-text"/>
            </w:pPr>
            <w:r w:rsidRPr="008037F3">
              <w:t>7 (</w:t>
            </w:r>
            <w:r w:rsidR="00FC7AB0" w:rsidRPr="008037F3">
              <w:t>4</w:t>
            </w:r>
            <w:r w:rsidR="007F41CD" w:rsidRPr="008037F3">
              <w:t>)</w:t>
            </w:r>
          </w:p>
        </w:tc>
        <w:tc>
          <w:tcPr>
            <w:tcW w:w="1244" w:type="dxa"/>
            <w:tcMar>
              <w:left w:w="57" w:type="dxa"/>
              <w:right w:w="28" w:type="dxa"/>
            </w:tcMar>
          </w:tcPr>
          <w:p w14:paraId="2DFE45C3" w14:textId="751CE901" w:rsidR="007817B2" w:rsidRPr="008037F3" w:rsidRDefault="00387259" w:rsidP="00C52822">
            <w:pPr>
              <w:pStyle w:val="Table-text"/>
            </w:pPr>
            <w:r w:rsidRPr="008037F3">
              <w:t>4 (</w:t>
            </w:r>
            <w:r w:rsidR="00FC7AB0" w:rsidRPr="008037F3">
              <w:t>4</w:t>
            </w:r>
            <w:r w:rsidR="00701A95" w:rsidRPr="008037F3">
              <w:t>)</w:t>
            </w:r>
          </w:p>
        </w:tc>
        <w:tc>
          <w:tcPr>
            <w:tcW w:w="1243" w:type="dxa"/>
            <w:tcMar>
              <w:top w:w="0" w:type="dxa"/>
              <w:left w:w="57" w:type="dxa"/>
              <w:bottom w:w="0" w:type="dxa"/>
              <w:right w:w="28" w:type="dxa"/>
            </w:tcMar>
          </w:tcPr>
          <w:p w14:paraId="0EC70F9A" w14:textId="1D79101B" w:rsidR="007817B2" w:rsidRPr="008037F3" w:rsidRDefault="00387259" w:rsidP="00C52822">
            <w:pPr>
              <w:pStyle w:val="Table-text"/>
            </w:pPr>
            <w:r w:rsidRPr="008037F3">
              <w:t>3 (</w:t>
            </w:r>
            <w:r w:rsidR="00FC7AB0" w:rsidRPr="008037F3">
              <w:t>3</w:t>
            </w:r>
            <w:r w:rsidR="0009128F" w:rsidRPr="008037F3">
              <w:t>)</w:t>
            </w:r>
          </w:p>
        </w:tc>
        <w:tc>
          <w:tcPr>
            <w:tcW w:w="1244" w:type="dxa"/>
            <w:tcMar>
              <w:left w:w="57" w:type="dxa"/>
              <w:right w:w="28" w:type="dxa"/>
            </w:tcMar>
          </w:tcPr>
          <w:p w14:paraId="05AE3E8C" w14:textId="0A1D84DD" w:rsidR="007817B2" w:rsidRPr="008037F3" w:rsidRDefault="00387259" w:rsidP="00C52822">
            <w:pPr>
              <w:pStyle w:val="Table-text"/>
            </w:pPr>
            <w:r w:rsidRPr="008037F3">
              <w:t>1 (</w:t>
            </w:r>
            <w:r w:rsidR="00FC7AB0" w:rsidRPr="008037F3">
              <w:t>2</w:t>
            </w:r>
            <w:r w:rsidR="00245322" w:rsidRPr="008037F3">
              <w:t>)</w:t>
            </w:r>
          </w:p>
        </w:tc>
        <w:tc>
          <w:tcPr>
            <w:tcW w:w="1243" w:type="dxa"/>
            <w:tcMar>
              <w:left w:w="57" w:type="dxa"/>
              <w:right w:w="28" w:type="dxa"/>
            </w:tcMar>
          </w:tcPr>
          <w:p w14:paraId="08A22BCC" w14:textId="10FAD6F6" w:rsidR="007817B2" w:rsidRPr="008037F3" w:rsidRDefault="000D4519" w:rsidP="00C52822">
            <w:pPr>
              <w:pStyle w:val="Table-text"/>
            </w:pPr>
            <w:r w:rsidRPr="008037F3">
              <w:t>10 (</w:t>
            </w:r>
            <w:r w:rsidR="00FC7AB0" w:rsidRPr="008037F3">
              <w:t>4</w:t>
            </w:r>
            <w:r w:rsidR="00FA5409" w:rsidRPr="008037F3">
              <w:t>)</w:t>
            </w:r>
          </w:p>
        </w:tc>
        <w:tc>
          <w:tcPr>
            <w:tcW w:w="1244" w:type="dxa"/>
            <w:tcMar>
              <w:left w:w="57" w:type="dxa"/>
              <w:right w:w="28" w:type="dxa"/>
            </w:tcMar>
          </w:tcPr>
          <w:p w14:paraId="5076E7A8" w14:textId="66B274ED" w:rsidR="007817B2" w:rsidRPr="008037F3" w:rsidRDefault="00B17B95" w:rsidP="00C52822">
            <w:pPr>
              <w:pStyle w:val="Table-text"/>
            </w:pPr>
            <w:r w:rsidRPr="008037F3">
              <w:t>5 (</w:t>
            </w:r>
            <w:r w:rsidR="00FC7AB0" w:rsidRPr="008037F3">
              <w:t>3</w:t>
            </w:r>
            <w:r w:rsidR="0072289C" w:rsidRPr="008037F3">
              <w:t>)</w:t>
            </w:r>
          </w:p>
        </w:tc>
      </w:tr>
      <w:tr w:rsidR="00FC7AB0" w:rsidRPr="008037F3" w14:paraId="7D1E01F4" w14:textId="77777777" w:rsidTr="00F81F37">
        <w:trPr>
          <w:cantSplit/>
        </w:trPr>
        <w:tc>
          <w:tcPr>
            <w:tcW w:w="1696" w:type="dxa"/>
            <w:tcMar>
              <w:top w:w="0" w:type="dxa"/>
              <w:left w:w="57" w:type="dxa"/>
              <w:bottom w:w="0" w:type="dxa"/>
              <w:right w:w="28" w:type="dxa"/>
            </w:tcMar>
          </w:tcPr>
          <w:p w14:paraId="40F32AA9" w14:textId="4F5847D7" w:rsidR="00FC7AB0" w:rsidRPr="008037F3" w:rsidRDefault="00FC7AB0" w:rsidP="00C52822">
            <w:pPr>
              <w:pStyle w:val="Table-text"/>
            </w:pPr>
            <w:r w:rsidRPr="008037F3">
              <w:t>Oedema peripheral</w:t>
            </w:r>
          </w:p>
        </w:tc>
        <w:tc>
          <w:tcPr>
            <w:tcW w:w="1102" w:type="dxa"/>
            <w:tcMar>
              <w:top w:w="0" w:type="dxa"/>
              <w:left w:w="57" w:type="dxa"/>
              <w:bottom w:w="0" w:type="dxa"/>
              <w:right w:w="28" w:type="dxa"/>
            </w:tcMar>
          </w:tcPr>
          <w:p w14:paraId="4BB86D83" w14:textId="3B2CD6CB" w:rsidR="00FC7AB0" w:rsidRPr="008037F3" w:rsidRDefault="00387259" w:rsidP="00C52822">
            <w:pPr>
              <w:pStyle w:val="Table-text"/>
            </w:pPr>
            <w:r w:rsidRPr="008037F3">
              <w:t>5 (</w:t>
            </w:r>
            <w:r w:rsidR="00FC7AB0" w:rsidRPr="008037F3">
              <w:t>3</w:t>
            </w:r>
            <w:r w:rsidR="007F41CD" w:rsidRPr="008037F3">
              <w:t>)</w:t>
            </w:r>
          </w:p>
        </w:tc>
        <w:tc>
          <w:tcPr>
            <w:tcW w:w="1244" w:type="dxa"/>
            <w:tcMar>
              <w:left w:w="57" w:type="dxa"/>
              <w:right w:w="28" w:type="dxa"/>
            </w:tcMar>
          </w:tcPr>
          <w:p w14:paraId="7D4E0571" w14:textId="4EBCD5D4" w:rsidR="00FC7AB0" w:rsidRPr="008037F3" w:rsidRDefault="00387259" w:rsidP="00C52822">
            <w:pPr>
              <w:pStyle w:val="Table-text"/>
            </w:pPr>
            <w:r w:rsidRPr="008037F3">
              <w:t>2 (</w:t>
            </w:r>
            <w:r w:rsidR="00FC7AB0" w:rsidRPr="008037F3">
              <w:t>2</w:t>
            </w:r>
            <w:r w:rsidR="00701A95" w:rsidRPr="008037F3">
              <w:t>)</w:t>
            </w:r>
          </w:p>
        </w:tc>
        <w:tc>
          <w:tcPr>
            <w:tcW w:w="1243" w:type="dxa"/>
            <w:tcMar>
              <w:top w:w="0" w:type="dxa"/>
              <w:left w:w="57" w:type="dxa"/>
              <w:bottom w:w="0" w:type="dxa"/>
              <w:right w:w="28" w:type="dxa"/>
            </w:tcMar>
          </w:tcPr>
          <w:p w14:paraId="3533AB80" w14:textId="193A4B95" w:rsidR="00FC7AB0" w:rsidRPr="008037F3" w:rsidRDefault="00387259" w:rsidP="00C52822">
            <w:pPr>
              <w:pStyle w:val="Table-text"/>
            </w:pPr>
            <w:r w:rsidRPr="008037F3">
              <w:t>4 (</w:t>
            </w:r>
            <w:r w:rsidR="00FC7AB0" w:rsidRPr="008037F3">
              <w:t>4</w:t>
            </w:r>
            <w:r w:rsidR="0009128F" w:rsidRPr="008037F3">
              <w:t>)</w:t>
            </w:r>
          </w:p>
        </w:tc>
        <w:tc>
          <w:tcPr>
            <w:tcW w:w="1244" w:type="dxa"/>
            <w:tcMar>
              <w:left w:w="57" w:type="dxa"/>
              <w:right w:w="28" w:type="dxa"/>
            </w:tcMar>
          </w:tcPr>
          <w:p w14:paraId="1A471343" w14:textId="75D0EF3B" w:rsidR="00FC7AB0" w:rsidRPr="008037F3" w:rsidRDefault="00387259" w:rsidP="00C52822">
            <w:pPr>
              <w:pStyle w:val="Table-text"/>
            </w:pPr>
            <w:r w:rsidRPr="008037F3">
              <w:t>1 (</w:t>
            </w:r>
            <w:r w:rsidR="00FC7AB0" w:rsidRPr="008037F3">
              <w:t>2</w:t>
            </w:r>
            <w:r w:rsidR="00E648F7" w:rsidRPr="008037F3">
              <w:t>)</w:t>
            </w:r>
          </w:p>
        </w:tc>
        <w:tc>
          <w:tcPr>
            <w:tcW w:w="1243" w:type="dxa"/>
            <w:tcMar>
              <w:left w:w="57" w:type="dxa"/>
              <w:right w:w="28" w:type="dxa"/>
            </w:tcMar>
          </w:tcPr>
          <w:p w14:paraId="33BAA8F0" w14:textId="48FF67F6" w:rsidR="00FC7AB0" w:rsidRPr="008037F3" w:rsidRDefault="000D4519" w:rsidP="00C52822">
            <w:pPr>
              <w:pStyle w:val="Table-text"/>
            </w:pPr>
            <w:r w:rsidRPr="008037F3">
              <w:t>9 (</w:t>
            </w:r>
            <w:r w:rsidR="00FC7AB0" w:rsidRPr="008037F3">
              <w:t>3</w:t>
            </w:r>
            <w:r w:rsidR="00BA4D70" w:rsidRPr="008037F3">
              <w:t>)</w:t>
            </w:r>
          </w:p>
        </w:tc>
        <w:tc>
          <w:tcPr>
            <w:tcW w:w="1244" w:type="dxa"/>
            <w:tcMar>
              <w:left w:w="57" w:type="dxa"/>
              <w:right w:w="28" w:type="dxa"/>
            </w:tcMar>
          </w:tcPr>
          <w:p w14:paraId="1AEFD07D" w14:textId="739CF31F" w:rsidR="00FC7AB0" w:rsidRPr="008037F3" w:rsidRDefault="00B17B95" w:rsidP="00C52822">
            <w:pPr>
              <w:pStyle w:val="Table-text"/>
            </w:pPr>
            <w:r w:rsidRPr="008037F3">
              <w:t>3 (</w:t>
            </w:r>
            <w:r w:rsidR="00FC7AB0" w:rsidRPr="008037F3">
              <w:t>2</w:t>
            </w:r>
            <w:r w:rsidR="0072289C" w:rsidRPr="008037F3">
              <w:t>)</w:t>
            </w:r>
          </w:p>
        </w:tc>
      </w:tr>
    </w:tbl>
    <w:p w14:paraId="7144F793" w14:textId="16C1CB02" w:rsidR="001F34B8" w:rsidRPr="008037F3" w:rsidRDefault="001F34B8" w:rsidP="00C52822">
      <w:pPr>
        <w:pStyle w:val="BodyText1"/>
        <w:jc w:val="left"/>
      </w:pPr>
    </w:p>
    <w:p w14:paraId="47436924" w14:textId="7B8F58AE" w:rsidR="0017754F" w:rsidRPr="008037F3" w:rsidRDefault="0017754F" w:rsidP="00C52822">
      <w:pPr>
        <w:pStyle w:val="BodyText1"/>
        <w:jc w:val="left"/>
      </w:pPr>
      <w:r w:rsidRPr="008037F3">
        <w:t xml:space="preserve">For the Low Baseline Platelet Count Cohort, the incidence of serious adverse </w:t>
      </w:r>
      <w:r w:rsidR="00002598">
        <w:t xml:space="preserve">events </w:t>
      </w:r>
      <w:r w:rsidRPr="008037F3">
        <w:t>was 7% (11/159) in the 60</w:t>
      </w:r>
      <w:r w:rsidR="004A3F5C" w:rsidRPr="008037F3">
        <w:t> </w:t>
      </w:r>
      <w:r w:rsidRPr="008037F3">
        <w:t xml:space="preserve">mg DOPTELET treatment group. For the High Baseline Platelet Count Cohort, the incidence of serious adverse </w:t>
      </w:r>
      <w:r w:rsidR="00002598">
        <w:t xml:space="preserve">events </w:t>
      </w:r>
      <w:r w:rsidRPr="008037F3">
        <w:t xml:space="preserve">was 8% (9/115) in the 40 mg DOPTELET treatment group. The most common serious adverse </w:t>
      </w:r>
      <w:r w:rsidR="00002598">
        <w:t xml:space="preserve">events </w:t>
      </w:r>
      <w:r w:rsidRPr="008037F3">
        <w:t xml:space="preserve">reported with DOPTELET was hyponatremia. Two DOPTELET-treated patients (0.7%) developed hyponatremia. </w:t>
      </w:r>
    </w:p>
    <w:p w14:paraId="2395BEE8" w14:textId="454A0C9D" w:rsidR="0017754F" w:rsidRPr="008037F3" w:rsidRDefault="0017754F" w:rsidP="00C52822">
      <w:pPr>
        <w:pStyle w:val="BodyText1"/>
        <w:jc w:val="left"/>
      </w:pPr>
      <w:r w:rsidRPr="008037F3">
        <w:t xml:space="preserve">Adverse </w:t>
      </w:r>
      <w:r w:rsidR="00002598">
        <w:t xml:space="preserve">events </w:t>
      </w:r>
      <w:r w:rsidRPr="008037F3">
        <w:t>resulting in discontinuation of DOPTELET were anaemia, pyrexia, and myalgia; each was reported in a single (0.4%) patient in the DOPTELET (60 mg) treatment group.</w:t>
      </w:r>
    </w:p>
    <w:p w14:paraId="05CDD207" w14:textId="77777777" w:rsidR="00D420F3" w:rsidRPr="008037F3" w:rsidRDefault="00D420F3" w:rsidP="00C52822">
      <w:pPr>
        <w:pStyle w:val="Heading4"/>
        <w:keepNext/>
      </w:pPr>
      <w:r w:rsidRPr="008037F3">
        <w:lastRenderedPageBreak/>
        <w:t xml:space="preserve">Patients with Chronic Immune Thrombocytopenia </w:t>
      </w:r>
    </w:p>
    <w:p w14:paraId="43FF0D64" w14:textId="0CF3B1CF" w:rsidR="00D420F3" w:rsidRPr="008037F3" w:rsidRDefault="00D420F3" w:rsidP="00C52822">
      <w:pPr>
        <w:pStyle w:val="BodyText1"/>
        <w:keepNext/>
        <w:jc w:val="left"/>
      </w:pPr>
      <w:r w:rsidRPr="008037F3">
        <w:t>The safety of DOPTELET was evaluated in four clinical trials in patients with chronic immune thrombocytopenia: two Phase 3 trials (one randomi</w:t>
      </w:r>
      <w:r w:rsidR="002841C3">
        <w:t>s</w:t>
      </w:r>
      <w:r w:rsidRPr="008037F3">
        <w:t>ed, double-blind, placebo-controlled trial, and one randomi</w:t>
      </w:r>
      <w:r w:rsidR="002841C3">
        <w:t>s</w:t>
      </w:r>
      <w:r w:rsidRPr="008037F3">
        <w:t>ed, double-blind, active-controlled trial) and two Phase 2 trials (one randomi</w:t>
      </w:r>
      <w:r w:rsidR="002841C3">
        <w:t>s</w:t>
      </w:r>
      <w:r w:rsidRPr="008037F3">
        <w:t xml:space="preserve">ed, double-blind, placebo-controlled, dose-ranging trial, and one open-label extension trial) in 161 patients with chronic immune thrombocytopenia in both the double-blind and open-label extension phases. </w:t>
      </w:r>
    </w:p>
    <w:p w14:paraId="75BA3B9A" w14:textId="5476B57D" w:rsidR="00FC5FEF" w:rsidRPr="008037F3" w:rsidRDefault="00D420F3" w:rsidP="00C52822">
      <w:pPr>
        <w:pStyle w:val="BodyText1"/>
        <w:jc w:val="left"/>
      </w:pPr>
      <w:r w:rsidRPr="008037F3">
        <w:t>The pooled safety data from these four clinical trials includes 128 patients who received 2.5 to 40 mg of DOPTELET once daily for a median duration of exposure of 29.1 weeks and had 1 post-dose safety assessment. The majority of patients were female (63%</w:t>
      </w:r>
      <w:proofErr w:type="gramStart"/>
      <w:r w:rsidRPr="008037F3">
        <w:t>)</w:t>
      </w:r>
      <w:proofErr w:type="gramEnd"/>
      <w:r w:rsidRPr="008037F3">
        <w:t xml:space="preserve"> and median subject age was 50.5 years (ranging from 18-88 years of age). The racial and ethnic distribution was White (84%), Black (6%), Asian (6%) and Other (6%). </w:t>
      </w:r>
    </w:p>
    <w:p w14:paraId="691D4ED4" w14:textId="627F2864" w:rsidR="00D420F3" w:rsidRPr="008037F3" w:rsidRDefault="00E73CAC" w:rsidP="00C52822">
      <w:pPr>
        <w:pStyle w:val="BodyText1"/>
        <w:jc w:val="left"/>
      </w:pPr>
      <w:r w:rsidRPr="008037F3">
        <w:t xml:space="preserve">The most common adverse </w:t>
      </w:r>
      <w:r w:rsidR="00002598">
        <w:t xml:space="preserve">events </w:t>
      </w:r>
      <w:r w:rsidRPr="008037F3">
        <w:t>(those occurring in ≥10% of patients) in the DOPTELET-treated patients across the pooled safety data from the four trials are summari</w:t>
      </w:r>
      <w:r w:rsidR="00F4775C">
        <w:t>s</w:t>
      </w:r>
      <w:r w:rsidRPr="008037F3">
        <w:t xml:space="preserve">ed in </w:t>
      </w:r>
      <w:r w:rsidR="004A3F5C" w:rsidRPr="008037F3">
        <w:fldChar w:fldCharType="begin"/>
      </w:r>
      <w:r w:rsidR="004A3F5C" w:rsidRPr="008037F3">
        <w:instrText xml:space="preserve"> REF _Ref77681454 \h </w:instrText>
      </w:r>
      <w:r w:rsidR="00C52822">
        <w:instrText xml:space="preserve"> \* MERGEFORMAT </w:instrText>
      </w:r>
      <w:r w:rsidR="004A3F5C" w:rsidRPr="008037F3">
        <w:fldChar w:fldCharType="separate"/>
      </w:r>
      <w:r w:rsidR="004A3F5C" w:rsidRPr="008037F3">
        <w:t>Table 6</w:t>
      </w:r>
      <w:r w:rsidR="004A3F5C" w:rsidRPr="008037F3">
        <w:fldChar w:fldCharType="end"/>
      </w:r>
      <w:r w:rsidRPr="008037F3">
        <w:t>.</w:t>
      </w:r>
      <w:r w:rsidR="004A3F5C" w:rsidRPr="008037F3">
        <w:t xml:space="preserve"> </w:t>
      </w:r>
      <w:r w:rsidR="001B60EF" w:rsidRPr="008037F3">
        <w:t xml:space="preserve"> </w:t>
      </w:r>
      <w:r w:rsidR="00B33BC9" w:rsidRPr="008037F3">
        <w:t xml:space="preserve"> </w:t>
      </w:r>
    </w:p>
    <w:tbl>
      <w:tblPr>
        <w:tblStyle w:val="TableGrid"/>
        <w:tblW w:w="0" w:type="auto"/>
        <w:tblLook w:val="04A0" w:firstRow="1" w:lastRow="0" w:firstColumn="1" w:lastColumn="0" w:noHBand="0" w:noVBand="1"/>
      </w:tblPr>
      <w:tblGrid>
        <w:gridCol w:w="9016"/>
      </w:tblGrid>
      <w:tr w:rsidR="00B33BC9" w:rsidRPr="008037F3" w14:paraId="7887A1B6" w14:textId="77777777" w:rsidTr="002F37DA">
        <w:tc>
          <w:tcPr>
            <w:tcW w:w="9016" w:type="dxa"/>
            <w:tcMar>
              <w:left w:w="57" w:type="dxa"/>
              <w:right w:w="57" w:type="dxa"/>
            </w:tcMar>
          </w:tcPr>
          <w:p w14:paraId="66E4F493" w14:textId="79188B0C" w:rsidR="00B33BC9" w:rsidRPr="008037F3" w:rsidRDefault="00B33BC9" w:rsidP="00C52822">
            <w:pPr>
              <w:pStyle w:val="Table-MainTitle"/>
            </w:pPr>
            <w:bookmarkStart w:id="13" w:name="_Ref77681454"/>
            <w:r w:rsidRPr="008037F3">
              <w:t xml:space="preserve">Table </w:t>
            </w:r>
            <w:r w:rsidR="00FD1B09">
              <w:fldChar w:fldCharType="begin"/>
            </w:r>
            <w:r w:rsidR="00FD1B09">
              <w:instrText xml:space="preserve"> SEQ Table \* ARABIC </w:instrText>
            </w:r>
            <w:r w:rsidR="00FD1B09">
              <w:fldChar w:fldCharType="separate"/>
            </w:r>
            <w:r w:rsidR="009344F9" w:rsidRPr="008037F3">
              <w:t>6</w:t>
            </w:r>
            <w:r w:rsidR="00FD1B09">
              <w:fldChar w:fldCharType="end"/>
            </w:r>
            <w:bookmarkEnd w:id="13"/>
            <w:r w:rsidRPr="008037F3">
              <w:t xml:space="preserve">: </w:t>
            </w:r>
            <w:r w:rsidRPr="008037F3">
              <w:tab/>
            </w:r>
            <w:r w:rsidR="004A3F5C" w:rsidRPr="008037F3">
              <w:t xml:space="preserve">Adverse </w:t>
            </w:r>
            <w:r w:rsidR="00002598">
              <w:t xml:space="preserve">Events </w:t>
            </w:r>
            <w:r w:rsidR="004A3F5C" w:rsidRPr="008037F3">
              <w:t>with a Frequency ≥10% in Patients with Chronic Immune Thrombocytopenia Treated with DOPTELET – Pooled Data from Clinical Trials</w:t>
            </w:r>
          </w:p>
        </w:tc>
      </w:tr>
    </w:tbl>
    <w:p w14:paraId="0653BC0E" w14:textId="77777777" w:rsidR="00B33BC9" w:rsidRPr="008037F3" w:rsidRDefault="00B33BC9" w:rsidP="00C52822">
      <w:pPr>
        <w:pStyle w:val="Table-space"/>
        <w:keepNext/>
      </w:pPr>
    </w:p>
    <w:tbl>
      <w:tblPr>
        <w:tblStyle w:val="TableGrid"/>
        <w:tblW w:w="0" w:type="auto"/>
        <w:tblLook w:val="04A0" w:firstRow="1" w:lastRow="0" w:firstColumn="1" w:lastColumn="0" w:noHBand="0" w:noVBand="1"/>
      </w:tblPr>
      <w:tblGrid>
        <w:gridCol w:w="3397"/>
        <w:gridCol w:w="2809"/>
        <w:gridCol w:w="2810"/>
      </w:tblGrid>
      <w:tr w:rsidR="0009647D" w:rsidRPr="008037F3" w14:paraId="0B98552E" w14:textId="77777777" w:rsidTr="004A3F5C">
        <w:trPr>
          <w:cantSplit/>
          <w:tblHeader/>
        </w:trPr>
        <w:tc>
          <w:tcPr>
            <w:tcW w:w="3397" w:type="dxa"/>
            <w:tcMar>
              <w:top w:w="28" w:type="dxa"/>
              <w:left w:w="57" w:type="dxa"/>
              <w:bottom w:w="28" w:type="dxa"/>
              <w:right w:w="57" w:type="dxa"/>
            </w:tcMar>
          </w:tcPr>
          <w:p w14:paraId="4533C842" w14:textId="3D9B41E5" w:rsidR="0009647D" w:rsidRPr="008037F3" w:rsidRDefault="004A3F5C" w:rsidP="00C52822">
            <w:pPr>
              <w:pStyle w:val="Table-Heading1"/>
              <w:rPr>
                <w:lang w:eastAsia="en-AU"/>
              </w:rPr>
            </w:pPr>
            <w:r w:rsidRPr="008037F3">
              <w:rPr>
                <w:lang w:eastAsia="en-AU"/>
              </w:rPr>
              <w:t xml:space="preserve">Adverse </w:t>
            </w:r>
            <w:r w:rsidR="00002598">
              <w:rPr>
                <w:lang w:eastAsia="en-AU"/>
              </w:rPr>
              <w:t xml:space="preserve">Events </w:t>
            </w:r>
          </w:p>
        </w:tc>
        <w:tc>
          <w:tcPr>
            <w:tcW w:w="2809" w:type="dxa"/>
            <w:tcMar>
              <w:top w:w="28" w:type="dxa"/>
              <w:left w:w="57" w:type="dxa"/>
              <w:bottom w:w="28" w:type="dxa"/>
              <w:right w:w="57" w:type="dxa"/>
            </w:tcMar>
          </w:tcPr>
          <w:p w14:paraId="7D5E53F3" w14:textId="77777777" w:rsidR="0009647D" w:rsidRPr="008037F3" w:rsidRDefault="004A3F5C" w:rsidP="00C52822">
            <w:pPr>
              <w:pStyle w:val="Table-Heading1"/>
              <w:keepNext/>
            </w:pPr>
            <w:r w:rsidRPr="008037F3">
              <w:t>DOPTELET</w:t>
            </w:r>
          </w:p>
          <w:p w14:paraId="1DF5337B" w14:textId="77777777" w:rsidR="004A3F5C" w:rsidRPr="008037F3" w:rsidRDefault="004A3F5C" w:rsidP="00C52822">
            <w:pPr>
              <w:pStyle w:val="Table-Heading1"/>
              <w:keepNext/>
            </w:pPr>
            <w:r w:rsidRPr="008037F3">
              <w:t>(N=128)</w:t>
            </w:r>
          </w:p>
          <w:p w14:paraId="084E7C0E" w14:textId="1DE26430" w:rsidR="004A3F5C" w:rsidRPr="008037F3" w:rsidRDefault="009D22CC" w:rsidP="00C52822">
            <w:pPr>
              <w:pStyle w:val="Table-Heading1"/>
              <w:keepNext/>
            </w:pPr>
            <w:r w:rsidRPr="008037F3">
              <w:t>n (</w:t>
            </w:r>
            <w:r w:rsidR="004A3F5C" w:rsidRPr="008037F3">
              <w:t>%</w:t>
            </w:r>
            <w:r w:rsidR="00B81982" w:rsidRPr="008037F3">
              <w:t>)</w:t>
            </w:r>
          </w:p>
        </w:tc>
        <w:tc>
          <w:tcPr>
            <w:tcW w:w="2810" w:type="dxa"/>
            <w:tcMar>
              <w:top w:w="28" w:type="dxa"/>
              <w:left w:w="57" w:type="dxa"/>
              <w:bottom w:w="28" w:type="dxa"/>
              <w:right w:w="57" w:type="dxa"/>
            </w:tcMar>
          </w:tcPr>
          <w:p w14:paraId="7F099929" w14:textId="77777777" w:rsidR="0009647D" w:rsidRPr="008037F3" w:rsidRDefault="004A3F5C" w:rsidP="00C52822">
            <w:pPr>
              <w:pStyle w:val="Table-Heading1"/>
              <w:keepNext/>
            </w:pPr>
            <w:r w:rsidRPr="008037F3">
              <w:t>Placebo</w:t>
            </w:r>
          </w:p>
          <w:p w14:paraId="7CBABC26" w14:textId="152EA720" w:rsidR="004A3F5C" w:rsidRPr="008037F3" w:rsidRDefault="004A3F5C" w:rsidP="00C52822">
            <w:pPr>
              <w:pStyle w:val="Table-Heading1"/>
              <w:keepNext/>
            </w:pPr>
            <w:r w:rsidRPr="008037F3">
              <w:t>(N=22)</w:t>
            </w:r>
          </w:p>
          <w:p w14:paraId="01F0BD3C" w14:textId="0360F065" w:rsidR="004A3F5C" w:rsidRPr="008037F3" w:rsidRDefault="009D22CC" w:rsidP="00C52822">
            <w:pPr>
              <w:pStyle w:val="Table-Heading1"/>
              <w:keepNext/>
            </w:pPr>
            <w:r w:rsidRPr="008037F3">
              <w:t>n (</w:t>
            </w:r>
            <w:r w:rsidR="004A3F5C" w:rsidRPr="008037F3">
              <w:t>%</w:t>
            </w:r>
            <w:r w:rsidR="00B81982" w:rsidRPr="008037F3">
              <w:t>)</w:t>
            </w:r>
          </w:p>
        </w:tc>
      </w:tr>
      <w:tr w:rsidR="0009647D" w:rsidRPr="008037F3" w14:paraId="1B01B81E" w14:textId="77777777" w:rsidTr="004A3F5C">
        <w:trPr>
          <w:cantSplit/>
        </w:trPr>
        <w:tc>
          <w:tcPr>
            <w:tcW w:w="3397" w:type="dxa"/>
            <w:tcMar>
              <w:top w:w="0" w:type="dxa"/>
              <w:left w:w="57" w:type="dxa"/>
              <w:bottom w:w="0" w:type="dxa"/>
              <w:right w:w="57" w:type="dxa"/>
            </w:tcMar>
          </w:tcPr>
          <w:p w14:paraId="0205F116" w14:textId="053854B8" w:rsidR="0009647D" w:rsidRPr="008037F3" w:rsidRDefault="004A3F5C" w:rsidP="00C52822">
            <w:pPr>
              <w:pStyle w:val="BodyText1"/>
              <w:jc w:val="left"/>
            </w:pPr>
            <w:r w:rsidRPr="008037F3">
              <w:t>Headache</w:t>
            </w:r>
          </w:p>
        </w:tc>
        <w:tc>
          <w:tcPr>
            <w:tcW w:w="2809" w:type="dxa"/>
            <w:tcMar>
              <w:top w:w="0" w:type="dxa"/>
              <w:left w:w="57" w:type="dxa"/>
              <w:bottom w:w="0" w:type="dxa"/>
              <w:right w:w="57" w:type="dxa"/>
            </w:tcMar>
          </w:tcPr>
          <w:p w14:paraId="38FE91F0" w14:textId="1C901746" w:rsidR="0009647D" w:rsidRPr="008037F3" w:rsidRDefault="009D22CC" w:rsidP="00C52822">
            <w:pPr>
              <w:pStyle w:val="BodyText1"/>
              <w:jc w:val="left"/>
            </w:pPr>
            <w:r w:rsidRPr="008037F3">
              <w:t>39 (</w:t>
            </w:r>
            <w:r w:rsidR="004A3F5C" w:rsidRPr="008037F3">
              <w:t>31</w:t>
            </w:r>
            <w:r w:rsidR="00441437" w:rsidRPr="008037F3">
              <w:t>)</w:t>
            </w:r>
          </w:p>
        </w:tc>
        <w:tc>
          <w:tcPr>
            <w:tcW w:w="2810" w:type="dxa"/>
            <w:tcMar>
              <w:top w:w="0" w:type="dxa"/>
              <w:left w:w="57" w:type="dxa"/>
              <w:bottom w:w="0" w:type="dxa"/>
              <w:right w:w="57" w:type="dxa"/>
            </w:tcMar>
          </w:tcPr>
          <w:p w14:paraId="19317FD4" w14:textId="17035DC6" w:rsidR="0009647D" w:rsidRPr="008037F3" w:rsidRDefault="009D22CC" w:rsidP="00C52822">
            <w:pPr>
              <w:pStyle w:val="BodyText1"/>
              <w:jc w:val="left"/>
            </w:pPr>
            <w:r w:rsidRPr="008037F3">
              <w:t>3 (</w:t>
            </w:r>
            <w:r w:rsidR="004A3F5C" w:rsidRPr="008037F3">
              <w:t>14</w:t>
            </w:r>
            <w:r w:rsidR="004E4ADD" w:rsidRPr="008037F3">
              <w:t>)</w:t>
            </w:r>
          </w:p>
        </w:tc>
      </w:tr>
      <w:tr w:rsidR="0009647D" w:rsidRPr="008037F3" w14:paraId="53AC2E24" w14:textId="77777777" w:rsidTr="004A3F5C">
        <w:trPr>
          <w:cantSplit/>
        </w:trPr>
        <w:tc>
          <w:tcPr>
            <w:tcW w:w="3397" w:type="dxa"/>
            <w:tcMar>
              <w:top w:w="0" w:type="dxa"/>
              <w:left w:w="57" w:type="dxa"/>
              <w:bottom w:w="0" w:type="dxa"/>
              <w:right w:w="57" w:type="dxa"/>
            </w:tcMar>
          </w:tcPr>
          <w:p w14:paraId="69E8C34D" w14:textId="0BD88593" w:rsidR="0009647D" w:rsidRPr="008037F3" w:rsidRDefault="004A3F5C" w:rsidP="00C52822">
            <w:pPr>
              <w:pStyle w:val="BodyText1"/>
              <w:jc w:val="left"/>
            </w:pPr>
            <w:r w:rsidRPr="008037F3">
              <w:t>Fatigue</w:t>
            </w:r>
          </w:p>
        </w:tc>
        <w:tc>
          <w:tcPr>
            <w:tcW w:w="2809" w:type="dxa"/>
            <w:tcMar>
              <w:top w:w="0" w:type="dxa"/>
              <w:left w:w="57" w:type="dxa"/>
              <w:bottom w:w="0" w:type="dxa"/>
              <w:right w:w="57" w:type="dxa"/>
            </w:tcMar>
          </w:tcPr>
          <w:p w14:paraId="21995E7B" w14:textId="247536F2" w:rsidR="0009647D" w:rsidRPr="008037F3" w:rsidRDefault="009D22CC" w:rsidP="00C52822">
            <w:pPr>
              <w:pStyle w:val="BodyText1"/>
              <w:jc w:val="left"/>
            </w:pPr>
            <w:r w:rsidRPr="008037F3">
              <w:t>36 (</w:t>
            </w:r>
            <w:r w:rsidR="004A3F5C" w:rsidRPr="008037F3">
              <w:t>28</w:t>
            </w:r>
            <w:r w:rsidR="00441437" w:rsidRPr="008037F3">
              <w:t>)</w:t>
            </w:r>
          </w:p>
        </w:tc>
        <w:tc>
          <w:tcPr>
            <w:tcW w:w="2810" w:type="dxa"/>
            <w:tcMar>
              <w:top w:w="0" w:type="dxa"/>
              <w:left w:w="57" w:type="dxa"/>
              <w:bottom w:w="0" w:type="dxa"/>
              <w:right w:w="57" w:type="dxa"/>
            </w:tcMar>
          </w:tcPr>
          <w:p w14:paraId="13CA51AE" w14:textId="070AB725" w:rsidR="0009647D" w:rsidRPr="008037F3" w:rsidRDefault="009D22CC" w:rsidP="00C52822">
            <w:pPr>
              <w:pStyle w:val="BodyText1"/>
              <w:jc w:val="left"/>
            </w:pPr>
            <w:r w:rsidRPr="008037F3">
              <w:t>2 (</w:t>
            </w:r>
            <w:r w:rsidR="004A3F5C" w:rsidRPr="008037F3">
              <w:t>9</w:t>
            </w:r>
            <w:r w:rsidR="00E00E01" w:rsidRPr="008037F3">
              <w:t>)</w:t>
            </w:r>
          </w:p>
        </w:tc>
      </w:tr>
      <w:tr w:rsidR="004A3F5C" w:rsidRPr="008037F3" w14:paraId="7B5ADB9E" w14:textId="77777777" w:rsidTr="004A3F5C">
        <w:trPr>
          <w:cantSplit/>
        </w:trPr>
        <w:tc>
          <w:tcPr>
            <w:tcW w:w="3397" w:type="dxa"/>
            <w:tcMar>
              <w:top w:w="0" w:type="dxa"/>
              <w:left w:w="57" w:type="dxa"/>
              <w:bottom w:w="0" w:type="dxa"/>
              <w:right w:w="57" w:type="dxa"/>
            </w:tcMar>
          </w:tcPr>
          <w:p w14:paraId="3B3E3100" w14:textId="5C191A20" w:rsidR="004A3F5C" w:rsidRPr="008037F3" w:rsidRDefault="004A3F5C" w:rsidP="00C52822">
            <w:pPr>
              <w:pStyle w:val="BodyText1"/>
              <w:jc w:val="left"/>
            </w:pPr>
            <w:r w:rsidRPr="008037F3">
              <w:t>Contusion</w:t>
            </w:r>
          </w:p>
        </w:tc>
        <w:tc>
          <w:tcPr>
            <w:tcW w:w="2809" w:type="dxa"/>
            <w:tcMar>
              <w:top w:w="0" w:type="dxa"/>
              <w:left w:w="57" w:type="dxa"/>
              <w:bottom w:w="0" w:type="dxa"/>
              <w:right w:w="57" w:type="dxa"/>
            </w:tcMar>
          </w:tcPr>
          <w:p w14:paraId="5BEAA8F0" w14:textId="24885CDA" w:rsidR="004A3F5C" w:rsidRPr="008037F3" w:rsidRDefault="009D22CC" w:rsidP="00C52822">
            <w:pPr>
              <w:pStyle w:val="BodyText1"/>
              <w:jc w:val="left"/>
            </w:pPr>
            <w:r w:rsidRPr="008037F3">
              <w:t>33 (</w:t>
            </w:r>
            <w:r w:rsidR="004A3F5C" w:rsidRPr="008037F3">
              <w:t>26</w:t>
            </w:r>
            <w:r w:rsidR="00441437" w:rsidRPr="008037F3">
              <w:t>)</w:t>
            </w:r>
          </w:p>
        </w:tc>
        <w:tc>
          <w:tcPr>
            <w:tcW w:w="2810" w:type="dxa"/>
            <w:tcMar>
              <w:top w:w="0" w:type="dxa"/>
              <w:left w:w="57" w:type="dxa"/>
              <w:bottom w:w="0" w:type="dxa"/>
              <w:right w:w="57" w:type="dxa"/>
            </w:tcMar>
          </w:tcPr>
          <w:p w14:paraId="545FD428" w14:textId="6881F219" w:rsidR="004A3F5C" w:rsidRPr="008037F3" w:rsidRDefault="009D22CC" w:rsidP="00C52822">
            <w:pPr>
              <w:pStyle w:val="BodyText1"/>
              <w:jc w:val="left"/>
            </w:pPr>
            <w:r w:rsidRPr="008037F3">
              <w:t>4 (</w:t>
            </w:r>
            <w:r w:rsidR="004A3F5C" w:rsidRPr="008037F3">
              <w:t>18</w:t>
            </w:r>
            <w:r w:rsidR="00E00E01" w:rsidRPr="008037F3">
              <w:t>)</w:t>
            </w:r>
          </w:p>
        </w:tc>
      </w:tr>
      <w:tr w:rsidR="004A3F5C" w:rsidRPr="008037F3" w14:paraId="6E535E22" w14:textId="77777777" w:rsidTr="004A3F5C">
        <w:trPr>
          <w:cantSplit/>
        </w:trPr>
        <w:tc>
          <w:tcPr>
            <w:tcW w:w="3397" w:type="dxa"/>
            <w:tcMar>
              <w:top w:w="0" w:type="dxa"/>
              <w:left w:w="57" w:type="dxa"/>
              <w:bottom w:w="0" w:type="dxa"/>
              <w:right w:w="57" w:type="dxa"/>
            </w:tcMar>
          </w:tcPr>
          <w:p w14:paraId="6D292151" w14:textId="594CC642" w:rsidR="004A3F5C" w:rsidRPr="008037F3" w:rsidRDefault="004A3F5C" w:rsidP="00C52822">
            <w:pPr>
              <w:pStyle w:val="BodyText1"/>
              <w:jc w:val="left"/>
            </w:pPr>
            <w:r w:rsidRPr="008037F3">
              <w:t>Epistaxis</w:t>
            </w:r>
          </w:p>
        </w:tc>
        <w:tc>
          <w:tcPr>
            <w:tcW w:w="2809" w:type="dxa"/>
            <w:tcMar>
              <w:top w:w="0" w:type="dxa"/>
              <w:left w:w="57" w:type="dxa"/>
              <w:bottom w:w="0" w:type="dxa"/>
              <w:right w:w="57" w:type="dxa"/>
            </w:tcMar>
          </w:tcPr>
          <w:p w14:paraId="5DF0208D" w14:textId="584792FE" w:rsidR="004A3F5C" w:rsidRPr="008037F3" w:rsidRDefault="009D22CC" w:rsidP="00C52822">
            <w:pPr>
              <w:pStyle w:val="BodyText1"/>
              <w:jc w:val="left"/>
            </w:pPr>
            <w:r w:rsidRPr="008037F3">
              <w:t>24 (</w:t>
            </w:r>
            <w:r w:rsidR="004A3F5C" w:rsidRPr="008037F3">
              <w:t>19</w:t>
            </w:r>
            <w:r w:rsidR="009E643E" w:rsidRPr="008037F3">
              <w:t>)</w:t>
            </w:r>
          </w:p>
        </w:tc>
        <w:tc>
          <w:tcPr>
            <w:tcW w:w="2810" w:type="dxa"/>
            <w:tcMar>
              <w:top w:w="0" w:type="dxa"/>
              <w:left w:w="57" w:type="dxa"/>
              <w:bottom w:w="0" w:type="dxa"/>
              <w:right w:w="57" w:type="dxa"/>
            </w:tcMar>
          </w:tcPr>
          <w:p w14:paraId="601DB270" w14:textId="055A8DB7" w:rsidR="004A3F5C" w:rsidRPr="008037F3" w:rsidRDefault="009D22CC" w:rsidP="00C52822">
            <w:pPr>
              <w:pStyle w:val="BodyText1"/>
              <w:jc w:val="left"/>
            </w:pPr>
            <w:r w:rsidRPr="008037F3">
              <w:t>4 (</w:t>
            </w:r>
            <w:r w:rsidR="004A3F5C" w:rsidRPr="008037F3">
              <w:t>18</w:t>
            </w:r>
            <w:r w:rsidR="00E00E01" w:rsidRPr="008037F3">
              <w:t>)</w:t>
            </w:r>
          </w:p>
        </w:tc>
      </w:tr>
      <w:tr w:rsidR="004A3F5C" w:rsidRPr="008037F3" w14:paraId="3EC440AF" w14:textId="77777777" w:rsidTr="004A3F5C">
        <w:trPr>
          <w:cantSplit/>
        </w:trPr>
        <w:tc>
          <w:tcPr>
            <w:tcW w:w="3397" w:type="dxa"/>
            <w:tcMar>
              <w:top w:w="0" w:type="dxa"/>
              <w:left w:w="57" w:type="dxa"/>
              <w:bottom w:w="0" w:type="dxa"/>
              <w:right w:w="57" w:type="dxa"/>
            </w:tcMar>
          </w:tcPr>
          <w:p w14:paraId="3B9FED37" w14:textId="53102B12" w:rsidR="004A3F5C" w:rsidRPr="008037F3" w:rsidRDefault="004A3F5C" w:rsidP="00C52822">
            <w:pPr>
              <w:pStyle w:val="BodyText1"/>
              <w:jc w:val="left"/>
            </w:pPr>
            <w:r w:rsidRPr="008037F3">
              <w:t>Upper respiratory tract infection</w:t>
            </w:r>
          </w:p>
        </w:tc>
        <w:tc>
          <w:tcPr>
            <w:tcW w:w="2809" w:type="dxa"/>
            <w:tcMar>
              <w:top w:w="0" w:type="dxa"/>
              <w:left w:w="57" w:type="dxa"/>
              <w:bottom w:w="0" w:type="dxa"/>
              <w:right w:w="57" w:type="dxa"/>
            </w:tcMar>
          </w:tcPr>
          <w:p w14:paraId="015C370B" w14:textId="1B6F1582" w:rsidR="004A3F5C" w:rsidRPr="008037F3" w:rsidRDefault="009D22CC" w:rsidP="00C52822">
            <w:pPr>
              <w:pStyle w:val="BodyText1"/>
              <w:jc w:val="left"/>
            </w:pPr>
            <w:r w:rsidRPr="008037F3">
              <w:t>19 (</w:t>
            </w:r>
            <w:r w:rsidR="004A3F5C" w:rsidRPr="008037F3">
              <w:t>15</w:t>
            </w:r>
            <w:r w:rsidR="009E643E" w:rsidRPr="008037F3">
              <w:t>)</w:t>
            </w:r>
          </w:p>
        </w:tc>
        <w:tc>
          <w:tcPr>
            <w:tcW w:w="2810" w:type="dxa"/>
            <w:tcMar>
              <w:top w:w="0" w:type="dxa"/>
              <w:left w:w="57" w:type="dxa"/>
              <w:bottom w:w="0" w:type="dxa"/>
              <w:right w:w="57" w:type="dxa"/>
            </w:tcMar>
          </w:tcPr>
          <w:p w14:paraId="49B84F3A" w14:textId="3F02502A" w:rsidR="004A3F5C" w:rsidRPr="008037F3" w:rsidRDefault="009D22CC" w:rsidP="00C52822">
            <w:pPr>
              <w:pStyle w:val="BodyText1"/>
              <w:jc w:val="left"/>
            </w:pPr>
            <w:r w:rsidRPr="008037F3">
              <w:t>1 (</w:t>
            </w:r>
            <w:r w:rsidR="004A3F5C" w:rsidRPr="008037F3">
              <w:t>5</w:t>
            </w:r>
            <w:r w:rsidR="00E00E01" w:rsidRPr="008037F3">
              <w:t>)</w:t>
            </w:r>
          </w:p>
        </w:tc>
      </w:tr>
      <w:tr w:rsidR="004A3F5C" w:rsidRPr="008037F3" w14:paraId="2337087B" w14:textId="77777777" w:rsidTr="004A3F5C">
        <w:trPr>
          <w:cantSplit/>
        </w:trPr>
        <w:tc>
          <w:tcPr>
            <w:tcW w:w="3397" w:type="dxa"/>
            <w:tcMar>
              <w:top w:w="0" w:type="dxa"/>
              <w:left w:w="57" w:type="dxa"/>
              <w:bottom w:w="0" w:type="dxa"/>
              <w:right w:w="57" w:type="dxa"/>
            </w:tcMar>
          </w:tcPr>
          <w:p w14:paraId="5F178A48" w14:textId="0DAB002D" w:rsidR="004A3F5C" w:rsidRPr="008037F3" w:rsidRDefault="004A3F5C" w:rsidP="00C52822">
            <w:pPr>
              <w:pStyle w:val="BodyText1"/>
              <w:jc w:val="left"/>
            </w:pPr>
            <w:r w:rsidRPr="008037F3">
              <w:t>Arthralgia</w:t>
            </w:r>
          </w:p>
        </w:tc>
        <w:tc>
          <w:tcPr>
            <w:tcW w:w="2809" w:type="dxa"/>
            <w:tcMar>
              <w:top w:w="0" w:type="dxa"/>
              <w:left w:w="57" w:type="dxa"/>
              <w:bottom w:w="0" w:type="dxa"/>
              <w:right w:w="57" w:type="dxa"/>
            </w:tcMar>
          </w:tcPr>
          <w:p w14:paraId="2520E491" w14:textId="2F0B1C22" w:rsidR="004A3F5C" w:rsidRPr="008037F3" w:rsidRDefault="009D22CC" w:rsidP="00C52822">
            <w:pPr>
              <w:pStyle w:val="BodyText1"/>
              <w:jc w:val="left"/>
            </w:pPr>
            <w:r w:rsidRPr="008037F3">
              <w:t>16 (</w:t>
            </w:r>
            <w:r w:rsidR="004A3F5C" w:rsidRPr="008037F3">
              <w:t>13</w:t>
            </w:r>
            <w:r w:rsidR="009E643E" w:rsidRPr="008037F3">
              <w:t>)</w:t>
            </w:r>
          </w:p>
        </w:tc>
        <w:tc>
          <w:tcPr>
            <w:tcW w:w="2810" w:type="dxa"/>
            <w:tcMar>
              <w:top w:w="0" w:type="dxa"/>
              <w:left w:w="57" w:type="dxa"/>
              <w:bottom w:w="0" w:type="dxa"/>
              <w:right w:w="57" w:type="dxa"/>
            </w:tcMar>
          </w:tcPr>
          <w:p w14:paraId="79ED648A" w14:textId="56C9F256" w:rsidR="004A3F5C" w:rsidRPr="008037F3" w:rsidRDefault="002A73C9" w:rsidP="00C52822">
            <w:pPr>
              <w:pStyle w:val="BodyText1"/>
              <w:jc w:val="left"/>
            </w:pPr>
            <w:r w:rsidRPr="008037F3">
              <w:t>0 (</w:t>
            </w:r>
            <w:r w:rsidR="004A3F5C" w:rsidRPr="008037F3">
              <w:t>0</w:t>
            </w:r>
            <w:r w:rsidR="00E00E01" w:rsidRPr="008037F3">
              <w:t>)</w:t>
            </w:r>
          </w:p>
        </w:tc>
      </w:tr>
      <w:tr w:rsidR="004A3F5C" w:rsidRPr="008037F3" w14:paraId="15F9D653" w14:textId="77777777" w:rsidTr="004A3F5C">
        <w:trPr>
          <w:cantSplit/>
        </w:trPr>
        <w:tc>
          <w:tcPr>
            <w:tcW w:w="3397" w:type="dxa"/>
            <w:tcMar>
              <w:top w:w="0" w:type="dxa"/>
              <w:left w:w="57" w:type="dxa"/>
              <w:bottom w:w="0" w:type="dxa"/>
              <w:right w:w="57" w:type="dxa"/>
            </w:tcMar>
          </w:tcPr>
          <w:p w14:paraId="22F6CAB9" w14:textId="763CC8D7" w:rsidR="004A3F5C" w:rsidRPr="008037F3" w:rsidRDefault="004A3F5C" w:rsidP="00C52822">
            <w:pPr>
              <w:pStyle w:val="BodyText1"/>
              <w:jc w:val="left"/>
            </w:pPr>
            <w:r w:rsidRPr="008037F3">
              <w:t>Gingival bleeding</w:t>
            </w:r>
          </w:p>
        </w:tc>
        <w:tc>
          <w:tcPr>
            <w:tcW w:w="2809" w:type="dxa"/>
            <w:tcMar>
              <w:top w:w="0" w:type="dxa"/>
              <w:left w:w="57" w:type="dxa"/>
              <w:bottom w:w="0" w:type="dxa"/>
              <w:right w:w="57" w:type="dxa"/>
            </w:tcMar>
          </w:tcPr>
          <w:p w14:paraId="70CBE802" w14:textId="3BBC1F80" w:rsidR="004A3F5C" w:rsidRPr="008037F3" w:rsidRDefault="009D22CC" w:rsidP="00C52822">
            <w:pPr>
              <w:pStyle w:val="BodyText1"/>
              <w:jc w:val="left"/>
            </w:pPr>
            <w:r w:rsidRPr="008037F3">
              <w:t>16 (</w:t>
            </w:r>
            <w:r w:rsidR="004A3F5C" w:rsidRPr="008037F3">
              <w:t>13</w:t>
            </w:r>
            <w:r w:rsidR="004E4ADD" w:rsidRPr="008037F3">
              <w:t>)</w:t>
            </w:r>
          </w:p>
        </w:tc>
        <w:tc>
          <w:tcPr>
            <w:tcW w:w="2810" w:type="dxa"/>
            <w:tcMar>
              <w:top w:w="0" w:type="dxa"/>
              <w:left w:w="57" w:type="dxa"/>
              <w:bottom w:w="0" w:type="dxa"/>
              <w:right w:w="57" w:type="dxa"/>
            </w:tcMar>
          </w:tcPr>
          <w:p w14:paraId="59907588" w14:textId="0DBCA00F" w:rsidR="004A3F5C" w:rsidRPr="008037F3" w:rsidRDefault="002A73C9" w:rsidP="00C52822">
            <w:pPr>
              <w:pStyle w:val="BodyText1"/>
              <w:jc w:val="left"/>
            </w:pPr>
            <w:r w:rsidRPr="008037F3">
              <w:t>0 (</w:t>
            </w:r>
            <w:r w:rsidR="004A3F5C" w:rsidRPr="008037F3">
              <w:t>0</w:t>
            </w:r>
            <w:r w:rsidR="00606743" w:rsidRPr="008037F3">
              <w:t>)</w:t>
            </w:r>
          </w:p>
        </w:tc>
      </w:tr>
      <w:tr w:rsidR="004A3F5C" w:rsidRPr="008037F3" w14:paraId="4645C2F1" w14:textId="77777777" w:rsidTr="004A3F5C">
        <w:trPr>
          <w:cantSplit/>
        </w:trPr>
        <w:tc>
          <w:tcPr>
            <w:tcW w:w="3397" w:type="dxa"/>
            <w:tcMar>
              <w:top w:w="0" w:type="dxa"/>
              <w:left w:w="57" w:type="dxa"/>
              <w:bottom w:w="0" w:type="dxa"/>
              <w:right w:w="57" w:type="dxa"/>
            </w:tcMar>
          </w:tcPr>
          <w:p w14:paraId="0CF6A935" w14:textId="26E7F20A" w:rsidR="004A3F5C" w:rsidRPr="008037F3" w:rsidRDefault="004A3F5C" w:rsidP="00C52822">
            <w:pPr>
              <w:pStyle w:val="BodyText1"/>
              <w:jc w:val="left"/>
            </w:pPr>
            <w:r w:rsidRPr="008037F3">
              <w:t>Petechiae</w:t>
            </w:r>
          </w:p>
        </w:tc>
        <w:tc>
          <w:tcPr>
            <w:tcW w:w="2809" w:type="dxa"/>
            <w:tcMar>
              <w:top w:w="0" w:type="dxa"/>
              <w:left w:w="57" w:type="dxa"/>
              <w:bottom w:w="0" w:type="dxa"/>
              <w:right w:w="57" w:type="dxa"/>
            </w:tcMar>
          </w:tcPr>
          <w:p w14:paraId="6DC6090E" w14:textId="3263EB74" w:rsidR="004A3F5C" w:rsidRPr="008037F3" w:rsidRDefault="009D22CC" w:rsidP="00C52822">
            <w:pPr>
              <w:pStyle w:val="BodyText1"/>
              <w:jc w:val="left"/>
            </w:pPr>
            <w:r w:rsidRPr="008037F3">
              <w:t>14 (</w:t>
            </w:r>
            <w:r w:rsidR="004A3F5C" w:rsidRPr="008037F3">
              <w:t>11</w:t>
            </w:r>
            <w:r w:rsidR="004E4ADD" w:rsidRPr="008037F3">
              <w:t>)</w:t>
            </w:r>
          </w:p>
        </w:tc>
        <w:tc>
          <w:tcPr>
            <w:tcW w:w="2810" w:type="dxa"/>
            <w:tcMar>
              <w:top w:w="0" w:type="dxa"/>
              <w:left w:w="57" w:type="dxa"/>
              <w:bottom w:w="0" w:type="dxa"/>
              <w:right w:w="57" w:type="dxa"/>
            </w:tcMar>
          </w:tcPr>
          <w:p w14:paraId="61564945" w14:textId="7993EE54" w:rsidR="004A3F5C" w:rsidRPr="008037F3" w:rsidRDefault="002A73C9" w:rsidP="00C52822">
            <w:pPr>
              <w:pStyle w:val="BodyText1"/>
              <w:jc w:val="left"/>
            </w:pPr>
            <w:r w:rsidRPr="008037F3">
              <w:t>2 (</w:t>
            </w:r>
            <w:r w:rsidR="004A3F5C" w:rsidRPr="008037F3">
              <w:t>9</w:t>
            </w:r>
            <w:r w:rsidR="00606743" w:rsidRPr="008037F3">
              <w:t>)</w:t>
            </w:r>
          </w:p>
        </w:tc>
      </w:tr>
      <w:tr w:rsidR="004A3F5C" w:rsidRPr="008037F3" w14:paraId="21D27E85" w14:textId="77777777" w:rsidTr="004A3F5C">
        <w:trPr>
          <w:cantSplit/>
        </w:trPr>
        <w:tc>
          <w:tcPr>
            <w:tcW w:w="3397" w:type="dxa"/>
            <w:tcMar>
              <w:top w:w="0" w:type="dxa"/>
              <w:left w:w="57" w:type="dxa"/>
              <w:bottom w:w="0" w:type="dxa"/>
              <w:right w:w="57" w:type="dxa"/>
            </w:tcMar>
          </w:tcPr>
          <w:p w14:paraId="23AA2ACB" w14:textId="6D272284" w:rsidR="004A3F5C" w:rsidRPr="008037F3" w:rsidRDefault="004A3F5C" w:rsidP="00C52822">
            <w:pPr>
              <w:pStyle w:val="BodyText1"/>
              <w:jc w:val="left"/>
            </w:pPr>
            <w:r w:rsidRPr="008037F3">
              <w:t>Nasopharyngitis</w:t>
            </w:r>
          </w:p>
        </w:tc>
        <w:tc>
          <w:tcPr>
            <w:tcW w:w="2809" w:type="dxa"/>
            <w:tcMar>
              <w:top w:w="0" w:type="dxa"/>
              <w:left w:w="57" w:type="dxa"/>
              <w:bottom w:w="0" w:type="dxa"/>
              <w:right w:w="57" w:type="dxa"/>
            </w:tcMar>
          </w:tcPr>
          <w:p w14:paraId="52387D65" w14:textId="2699B4F6" w:rsidR="004A3F5C" w:rsidRPr="008037F3" w:rsidRDefault="009D22CC" w:rsidP="00C52822">
            <w:pPr>
              <w:pStyle w:val="BodyText1"/>
              <w:jc w:val="left"/>
            </w:pPr>
            <w:r w:rsidRPr="008037F3">
              <w:t>13 (</w:t>
            </w:r>
            <w:r w:rsidR="004A3F5C" w:rsidRPr="008037F3">
              <w:t>10</w:t>
            </w:r>
            <w:r w:rsidR="004E4ADD" w:rsidRPr="008037F3">
              <w:t>)</w:t>
            </w:r>
          </w:p>
        </w:tc>
        <w:tc>
          <w:tcPr>
            <w:tcW w:w="2810" w:type="dxa"/>
            <w:tcMar>
              <w:top w:w="0" w:type="dxa"/>
              <w:left w:w="57" w:type="dxa"/>
              <w:bottom w:w="0" w:type="dxa"/>
              <w:right w:w="57" w:type="dxa"/>
            </w:tcMar>
          </w:tcPr>
          <w:p w14:paraId="5C2F68C0" w14:textId="04279546" w:rsidR="004A3F5C" w:rsidRPr="008037F3" w:rsidRDefault="002A73C9" w:rsidP="00C52822">
            <w:pPr>
              <w:pStyle w:val="BodyText1"/>
              <w:jc w:val="left"/>
            </w:pPr>
            <w:r w:rsidRPr="008037F3">
              <w:t>0 (</w:t>
            </w:r>
            <w:r w:rsidR="004A3F5C" w:rsidRPr="008037F3">
              <w:t>0</w:t>
            </w:r>
            <w:r w:rsidR="00606743" w:rsidRPr="008037F3">
              <w:t>)</w:t>
            </w:r>
          </w:p>
        </w:tc>
      </w:tr>
    </w:tbl>
    <w:p w14:paraId="6A1F04A5" w14:textId="77777777" w:rsidR="00D70FAE" w:rsidRPr="008037F3" w:rsidRDefault="00D70FAE" w:rsidP="00C52822">
      <w:pPr>
        <w:pStyle w:val="BodyText1"/>
        <w:jc w:val="left"/>
      </w:pPr>
    </w:p>
    <w:p w14:paraId="145C38CC" w14:textId="7A8694C7" w:rsidR="00D70FAE" w:rsidRPr="008037F3" w:rsidRDefault="00D70FAE" w:rsidP="00C52822">
      <w:pPr>
        <w:pStyle w:val="BodyText1"/>
        <w:jc w:val="left"/>
      </w:pPr>
      <w:r w:rsidRPr="008037F3">
        <w:t xml:space="preserve">The incidence of serious adverse </w:t>
      </w:r>
      <w:r w:rsidR="00002598">
        <w:t xml:space="preserve">events </w:t>
      </w:r>
      <w:r w:rsidRPr="008037F3">
        <w:t xml:space="preserve">was 9% (12/128) in the DOPTELET treatment group. Serious adverse </w:t>
      </w:r>
      <w:r w:rsidR="00002598">
        <w:t xml:space="preserve">events </w:t>
      </w:r>
      <w:r w:rsidRPr="008037F3">
        <w:t xml:space="preserve">reported in more than 1 individual DOPTELET-treated patient included headache, occurring in 1.6% (2/128). </w:t>
      </w:r>
    </w:p>
    <w:p w14:paraId="28F0A2A7" w14:textId="18069F0A" w:rsidR="00D70FAE" w:rsidRPr="008037F3" w:rsidRDefault="00D70FAE" w:rsidP="00C52822">
      <w:pPr>
        <w:pStyle w:val="BodyText1"/>
        <w:jc w:val="left"/>
      </w:pPr>
      <w:r w:rsidRPr="008037F3">
        <w:t xml:space="preserve">Adverse </w:t>
      </w:r>
      <w:r w:rsidR="00002598">
        <w:t xml:space="preserve">events </w:t>
      </w:r>
      <w:r w:rsidRPr="008037F3">
        <w:t xml:space="preserve">resulting in discontinuation of DOPTELET that were reported in more than 1 patient included headache, occurring in 1.6% (2/128). </w:t>
      </w:r>
    </w:p>
    <w:p w14:paraId="35D81A28" w14:textId="1DB7A2E3" w:rsidR="00994C1D" w:rsidRPr="008037F3" w:rsidRDefault="00994C1D" w:rsidP="00C52822">
      <w:pPr>
        <w:pStyle w:val="Heading3"/>
        <w:keepNext/>
      </w:pPr>
      <w:r w:rsidRPr="008037F3">
        <w:t>Post</w:t>
      </w:r>
      <w:r w:rsidR="00225891" w:rsidRPr="008037F3">
        <w:t>-</w:t>
      </w:r>
      <w:r w:rsidRPr="008037F3">
        <w:t>marketing Data</w:t>
      </w:r>
      <w:r w:rsidR="003A5FEA" w:rsidRPr="008037F3">
        <w:t xml:space="preserve"> </w:t>
      </w:r>
    </w:p>
    <w:p w14:paraId="5176A35A" w14:textId="51100924" w:rsidR="00CB42DB" w:rsidRPr="008037F3" w:rsidRDefault="00CB42DB" w:rsidP="00C52822">
      <w:pPr>
        <w:pStyle w:val="BodyText1"/>
        <w:keepNext/>
        <w:jc w:val="left"/>
      </w:pPr>
      <w:r w:rsidRPr="008037F3">
        <w:rPr>
          <w:u w:val="single"/>
        </w:rPr>
        <w:t>Immune System Disorders</w:t>
      </w:r>
      <w:r w:rsidRPr="008037F3">
        <w:t xml:space="preserve">: Hypersensitivity reactions including pruritus, rash, choking sensation, erythema, pharyngeal </w:t>
      </w:r>
      <w:r w:rsidR="000E3A30" w:rsidRPr="008037F3">
        <w:t>oedema</w:t>
      </w:r>
      <w:r w:rsidRPr="008037F3">
        <w:t>, pruritus generali</w:t>
      </w:r>
      <w:r w:rsidR="00F4775C">
        <w:t>s</w:t>
      </w:r>
      <w:r w:rsidRPr="008037F3">
        <w:t xml:space="preserve">ed, rash macular, swelling face, and swollen tongue.  </w:t>
      </w:r>
    </w:p>
    <w:p w14:paraId="65A3342A" w14:textId="75762BAE" w:rsidR="005C682D" w:rsidRPr="008037F3" w:rsidRDefault="005C682D" w:rsidP="00C52822">
      <w:pPr>
        <w:pStyle w:val="Heading3"/>
      </w:pPr>
      <w:r w:rsidRPr="008037F3">
        <w:t>Reporting suspected adverse effects</w:t>
      </w:r>
    </w:p>
    <w:p w14:paraId="1618DAD7" w14:textId="518E0EA6" w:rsidR="005C682D" w:rsidRPr="008037F3" w:rsidRDefault="005C682D" w:rsidP="00C52822">
      <w:pPr>
        <w:pStyle w:val="BodyText1"/>
        <w:jc w:val="left"/>
      </w:pPr>
      <w:r w:rsidRPr="008037F3">
        <w:t>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2" w:history="1">
        <w:r w:rsidRPr="008037F3">
          <w:t>www.tga.gov.au/reporting-problems</w:t>
        </w:r>
      </w:hyperlink>
      <w:r w:rsidR="00126740" w:rsidRPr="008037F3">
        <w:t xml:space="preserve">. </w:t>
      </w:r>
    </w:p>
    <w:p w14:paraId="194EF9E2" w14:textId="6951BD70" w:rsidR="00710964" w:rsidRPr="008037F3" w:rsidRDefault="008450DE" w:rsidP="00C52822">
      <w:pPr>
        <w:pStyle w:val="Heading2"/>
        <w:keepNext/>
      </w:pPr>
      <w:r w:rsidRPr="008037F3">
        <w:lastRenderedPageBreak/>
        <w:t xml:space="preserve">4.9 </w:t>
      </w:r>
      <w:r w:rsidR="00710964" w:rsidRPr="008037F3">
        <w:t>Overdose</w:t>
      </w:r>
    </w:p>
    <w:p w14:paraId="6B5A7497" w14:textId="4A5E4B78" w:rsidR="00AC579C" w:rsidRPr="008037F3" w:rsidRDefault="00AC579C" w:rsidP="00C52822">
      <w:pPr>
        <w:pStyle w:val="BodyText1"/>
        <w:keepNext/>
        <w:jc w:val="left"/>
      </w:pPr>
      <w:r w:rsidRPr="008037F3">
        <w:t xml:space="preserve">In the event of overdose, platelet count may increase excessively and result in thrombotic or thromboembolic complications. Closely monitor the patient and platelet count. Treat thrombotic complications in accordance with standard of care. </w:t>
      </w:r>
    </w:p>
    <w:p w14:paraId="0837BDA5" w14:textId="77777777" w:rsidR="00AC579C" w:rsidRPr="008037F3" w:rsidRDefault="00AC579C" w:rsidP="00C52822">
      <w:pPr>
        <w:pStyle w:val="BodyText1"/>
        <w:jc w:val="left"/>
      </w:pPr>
      <w:r w:rsidRPr="008037F3">
        <w:t xml:space="preserve">No antidote for DOPTELET overdose is known. </w:t>
      </w:r>
    </w:p>
    <w:p w14:paraId="74DB5388" w14:textId="2D7DB648" w:rsidR="00AC579C" w:rsidRPr="008037F3" w:rsidRDefault="000E3A30" w:rsidP="00C52822">
      <w:pPr>
        <w:pStyle w:val="BodyText1"/>
        <w:jc w:val="left"/>
      </w:pPr>
      <w:r w:rsidRPr="008037F3">
        <w:t>Haemodialysis</w:t>
      </w:r>
      <w:r w:rsidR="00AC579C" w:rsidRPr="008037F3">
        <w:t xml:space="preserve"> is not expected to enhance the elimination of DOPTELET because DOPTELET is only approximately 6% renally excreted and is highly bound to plasma proteins. </w:t>
      </w:r>
    </w:p>
    <w:p w14:paraId="42C2EB34" w14:textId="77777777" w:rsidR="001E5699" w:rsidRPr="008037F3" w:rsidRDefault="001E5699" w:rsidP="00C52822">
      <w:pPr>
        <w:pStyle w:val="BodyText1"/>
        <w:spacing w:before="120" w:after="120"/>
        <w:jc w:val="left"/>
      </w:pPr>
      <w:r w:rsidRPr="008037F3">
        <w:t xml:space="preserve">For information on the management of overdose, contact the Poison Information Centre on 131126 (Australia). </w:t>
      </w:r>
    </w:p>
    <w:p w14:paraId="5B00062F" w14:textId="677E69EE" w:rsidR="00242B21" w:rsidRPr="008037F3" w:rsidRDefault="008450DE" w:rsidP="00C52822">
      <w:pPr>
        <w:pStyle w:val="Heading1"/>
        <w:keepNext/>
      </w:pPr>
      <w:r w:rsidRPr="008037F3">
        <w:t xml:space="preserve">5. </w:t>
      </w:r>
      <w:r w:rsidR="00242B21" w:rsidRPr="008037F3">
        <w:t>Pharmacolog</w:t>
      </w:r>
      <w:r w:rsidR="00B959F0" w:rsidRPr="008037F3">
        <w:t>ical Properties</w:t>
      </w:r>
    </w:p>
    <w:p w14:paraId="208B1E79" w14:textId="484A52F9" w:rsidR="005C62FE" w:rsidRPr="008037F3" w:rsidRDefault="008450DE" w:rsidP="00C52822">
      <w:pPr>
        <w:pStyle w:val="Heading2"/>
        <w:keepNext/>
      </w:pPr>
      <w:r w:rsidRPr="008037F3">
        <w:t xml:space="preserve">5.1 </w:t>
      </w:r>
      <w:r w:rsidR="005C62FE" w:rsidRPr="008037F3">
        <w:t>Pharmacodynamic properties</w:t>
      </w:r>
    </w:p>
    <w:p w14:paraId="63A7F550" w14:textId="3E1C6382" w:rsidR="005C62FE" w:rsidRPr="008037F3" w:rsidRDefault="005C62FE" w:rsidP="00C52822">
      <w:pPr>
        <w:pStyle w:val="Heading3"/>
      </w:pPr>
      <w:r w:rsidRPr="008037F3">
        <w:t>Mechanism of action</w:t>
      </w:r>
      <w:r w:rsidR="00FE28D2" w:rsidRPr="008037F3">
        <w:t xml:space="preserve"> </w:t>
      </w:r>
    </w:p>
    <w:p w14:paraId="3CC71841" w14:textId="6F3B80FE" w:rsidR="00757864" w:rsidRPr="008037F3" w:rsidRDefault="00757864" w:rsidP="00C52822">
      <w:pPr>
        <w:pStyle w:val="BodyText1"/>
        <w:jc w:val="left"/>
      </w:pPr>
      <w:r w:rsidRPr="008037F3">
        <w:t xml:space="preserve">Avatrombopag is an orally bioavailable, small molecule </w:t>
      </w:r>
      <w:r w:rsidR="00D156C9" w:rsidRPr="008037F3">
        <w:t>thrombopo</w:t>
      </w:r>
      <w:r w:rsidR="00014522" w:rsidRPr="008037F3">
        <w:t>i</w:t>
      </w:r>
      <w:r w:rsidR="00D156C9" w:rsidRPr="008037F3">
        <w:t>etin receptor (</w:t>
      </w:r>
      <w:r w:rsidRPr="008037F3">
        <w:t>TPO</w:t>
      </w:r>
      <w:r w:rsidR="00014522" w:rsidRPr="008037F3">
        <w:t xml:space="preserve">-R) </w:t>
      </w:r>
      <w:r w:rsidRPr="008037F3">
        <w:t xml:space="preserve">agonist that stimulates proliferation and differentiation of megakaryocytes from bone marrow progenitor cells, resulting in an increased production of platelets. Avatrombopag does not compete with TPO for binding to the TPO receptor and has an additive effect with TPO on platelet production. </w:t>
      </w:r>
    </w:p>
    <w:p w14:paraId="43879388" w14:textId="77777777" w:rsidR="003D6BC6" w:rsidRPr="008037F3" w:rsidRDefault="003D6BC6" w:rsidP="00C52822">
      <w:pPr>
        <w:pStyle w:val="Heading4"/>
        <w:keepNext/>
        <w:rPr>
          <w:sz w:val="23"/>
          <w:szCs w:val="23"/>
        </w:rPr>
      </w:pPr>
      <w:r w:rsidRPr="008037F3">
        <w:rPr>
          <w:sz w:val="23"/>
          <w:szCs w:val="23"/>
        </w:rPr>
        <w:t xml:space="preserve">Pharmacodynamics </w:t>
      </w:r>
    </w:p>
    <w:p w14:paraId="69738A90" w14:textId="2DD445D4" w:rsidR="00757864" w:rsidRPr="008037F3" w:rsidRDefault="00757864" w:rsidP="00C52822">
      <w:pPr>
        <w:pStyle w:val="Heading5"/>
        <w:keepNext/>
      </w:pPr>
      <w:r w:rsidRPr="008037F3">
        <w:t xml:space="preserve">Platelet Response </w:t>
      </w:r>
    </w:p>
    <w:p w14:paraId="10979420" w14:textId="27D98A83" w:rsidR="00757864" w:rsidRPr="008037F3" w:rsidRDefault="00757864" w:rsidP="00C52822">
      <w:pPr>
        <w:pStyle w:val="BodyText1"/>
        <w:keepNext/>
        <w:jc w:val="left"/>
      </w:pPr>
      <w:r w:rsidRPr="008037F3">
        <w:t xml:space="preserve">DOPTELET administered to adult patients resulted in dose- and exposure-dependent elevations in platelet counts. The onset of the platelet count increase was observed within 3 to 5 days of the start of treatment, with peak effect after 10 to 13 days. Post treatment, platelet counts decreased gradually, returning to near baseline values. </w:t>
      </w:r>
    </w:p>
    <w:p w14:paraId="7B93013A" w14:textId="77777777" w:rsidR="000F6418" w:rsidRPr="008037F3" w:rsidRDefault="000F6418" w:rsidP="00C52822">
      <w:pPr>
        <w:pStyle w:val="Heading5"/>
      </w:pPr>
      <w:r w:rsidRPr="008037F3">
        <w:t xml:space="preserve">Cardiac Electrophysiology </w:t>
      </w:r>
    </w:p>
    <w:p w14:paraId="5FA38573" w14:textId="013DFC04" w:rsidR="000F6418" w:rsidRPr="008037F3" w:rsidRDefault="000F6418" w:rsidP="00C52822">
      <w:pPr>
        <w:pStyle w:val="BodyText1"/>
        <w:jc w:val="left"/>
      </w:pPr>
      <w:r w:rsidRPr="008037F3">
        <w:t xml:space="preserve">At exposures </w:t>
      </w:r>
      <w:proofErr w:type="gramStart"/>
      <w:r w:rsidRPr="008037F3">
        <w:t>similar to</w:t>
      </w:r>
      <w:proofErr w:type="gramEnd"/>
      <w:r w:rsidRPr="008037F3">
        <w:t xml:space="preserve"> that achieved at the 40 mg and 60 mg dose, DOPTELET did not prolong the QT interval to any clinically relevant extent. Mean QTc prolongation effects </w:t>
      </w:r>
      <w:r w:rsidR="003D6BC6" w:rsidRPr="008037F3">
        <w:t>&gt;</w:t>
      </w:r>
      <w:r w:rsidRPr="008037F3">
        <w:t>20</w:t>
      </w:r>
      <w:r w:rsidR="003D6BC6" w:rsidRPr="008037F3">
        <w:t> </w:t>
      </w:r>
      <w:proofErr w:type="spellStart"/>
      <w:r w:rsidRPr="008037F3">
        <w:t>ms</w:t>
      </w:r>
      <w:proofErr w:type="spellEnd"/>
      <w:r w:rsidRPr="008037F3">
        <w:t xml:space="preserve"> are not anticipated with the highest recommended therapeutic dosing regimen based on analysis of data from the pooled clinical trials in patients with chronic liver disease.</w:t>
      </w:r>
    </w:p>
    <w:p w14:paraId="1FB8C6F3" w14:textId="530780C7" w:rsidR="005C62FE" w:rsidRPr="008037F3" w:rsidRDefault="00D86907" w:rsidP="00C52822">
      <w:pPr>
        <w:pStyle w:val="Heading3"/>
        <w:keepNext/>
      </w:pPr>
      <w:bookmarkStart w:id="14" w:name="_Clinical_trials"/>
      <w:bookmarkEnd w:id="14"/>
      <w:r w:rsidRPr="008037F3">
        <w:t>Clinical trials</w:t>
      </w:r>
    </w:p>
    <w:p w14:paraId="4674D7D2" w14:textId="77777777" w:rsidR="000E085B" w:rsidRPr="008037F3" w:rsidRDefault="000E085B" w:rsidP="00C52822">
      <w:pPr>
        <w:pStyle w:val="Heading4"/>
        <w:keepNext/>
      </w:pPr>
      <w:r w:rsidRPr="008037F3">
        <w:t xml:space="preserve">Patients with Chronic Liver Disease </w:t>
      </w:r>
    </w:p>
    <w:p w14:paraId="0B887FDD" w14:textId="3F7A0F27" w:rsidR="000E085B" w:rsidRPr="008037F3" w:rsidRDefault="000E085B" w:rsidP="00C52822">
      <w:pPr>
        <w:pStyle w:val="BodyText1"/>
        <w:keepNext/>
        <w:jc w:val="left"/>
      </w:pPr>
      <w:r w:rsidRPr="008037F3">
        <w:t xml:space="preserve">The efficacy of DOPTELET for the treatment of thrombocytopenia in patients with chronic liver disease who are scheduled to undergo a procedure was established in 2 </w:t>
      </w:r>
      <w:proofErr w:type="gramStart"/>
      <w:r w:rsidRPr="008037F3">
        <w:t>identically-designed</w:t>
      </w:r>
      <w:proofErr w:type="gramEnd"/>
      <w:r w:rsidRPr="008037F3">
        <w:t xml:space="preserve"> multicent</w:t>
      </w:r>
      <w:r w:rsidR="00A562F2">
        <w:t>r</w:t>
      </w:r>
      <w:r w:rsidRPr="008037F3">
        <w:t>e, randomi</w:t>
      </w:r>
      <w:r w:rsidR="002841C3">
        <w:t>s</w:t>
      </w:r>
      <w:r w:rsidRPr="008037F3">
        <w:t xml:space="preserve">ed, double-blind, placebo-controlled trials </w:t>
      </w:r>
      <w:r w:rsidR="006D1C78" w:rsidRPr="008037F3">
        <w:t>(</w:t>
      </w:r>
      <w:r w:rsidRPr="008037F3">
        <w:t>ADAPT-1 and ADAPT-2</w:t>
      </w:r>
      <w:r w:rsidR="006D1C78" w:rsidRPr="008037F3">
        <w:t>)</w:t>
      </w:r>
      <w:r w:rsidRPr="008037F3">
        <w:t>. In each trial, patients were assigned to the Low Baseline Platelet Count Cohort (&lt;40</w:t>
      </w:r>
      <w:r w:rsidR="005D1675" w:rsidRPr="008037F3">
        <w:t>x10</w:t>
      </w:r>
      <w:r w:rsidR="005D1675" w:rsidRPr="008037F3">
        <w:rPr>
          <w:vertAlign w:val="superscript"/>
        </w:rPr>
        <w:t>9</w:t>
      </w:r>
      <w:r w:rsidRPr="008037F3">
        <w:t>/L) or the High Baseline Platelet Count Cohort (</w:t>
      </w:r>
      <w:r w:rsidR="005D1675" w:rsidRPr="008037F3">
        <w:t>≥</w:t>
      </w:r>
      <w:r w:rsidR="00C94988" w:rsidRPr="008037F3">
        <w:t> </w:t>
      </w:r>
      <w:r w:rsidRPr="008037F3">
        <w:t>40</w:t>
      </w:r>
      <w:r w:rsidR="00C94988" w:rsidRPr="008037F3">
        <w:t> </w:t>
      </w:r>
      <w:r w:rsidRPr="008037F3">
        <w:t xml:space="preserve">to </w:t>
      </w:r>
      <w:r w:rsidR="005D1675" w:rsidRPr="008037F3">
        <w:t>&lt;</w:t>
      </w:r>
      <w:r w:rsidRPr="008037F3">
        <w:t>50</w:t>
      </w:r>
      <w:r w:rsidR="005D1675" w:rsidRPr="008037F3">
        <w:t>x</w:t>
      </w:r>
      <w:r w:rsidRPr="008037F3">
        <w:t>10</w:t>
      </w:r>
      <w:r w:rsidRPr="008037F3">
        <w:rPr>
          <w:vertAlign w:val="superscript"/>
        </w:rPr>
        <w:t>9</w:t>
      </w:r>
      <w:r w:rsidRPr="008037F3">
        <w:t>/L) based on their platelet count at baseline. Patients were then randomi</w:t>
      </w:r>
      <w:r w:rsidR="002841C3">
        <w:t>s</w:t>
      </w:r>
      <w:r w:rsidRPr="008037F3">
        <w:t xml:space="preserve">ed in a 2:1 ratio to either DOPTELET or placebo. Patients were stratified according to hepatocellular cancer (HCC) status and risk of bleeding associated with the elective procedure (low, moderate, or high). </w:t>
      </w:r>
      <w:r w:rsidR="00C4288A">
        <w:t xml:space="preserve">Examples of </w:t>
      </w:r>
      <w:proofErr w:type="gramStart"/>
      <w:r w:rsidR="00C4288A">
        <w:t>low risk</w:t>
      </w:r>
      <w:proofErr w:type="gramEnd"/>
      <w:r w:rsidR="00C4288A">
        <w:t xml:space="preserve"> procedures included paracentesis, thoracocentesis, and gastrointestinal endoscopies; examples of moderate risk procedures included liver biopsy, bronchoscopy, and </w:t>
      </w:r>
      <w:proofErr w:type="spellStart"/>
      <w:r w:rsidR="00C4288A">
        <w:t>chemoemboli</w:t>
      </w:r>
      <w:r w:rsidR="00F4775C">
        <w:t>s</w:t>
      </w:r>
      <w:r w:rsidR="00C4288A">
        <w:t>ation</w:t>
      </w:r>
      <w:proofErr w:type="spellEnd"/>
      <w:r w:rsidR="00C4288A">
        <w:t xml:space="preserve"> procedures; and examples of high risk procedures included laparoscopic interventions, </w:t>
      </w:r>
      <w:proofErr w:type="spellStart"/>
      <w:r w:rsidR="00C4288A">
        <w:t>transjugular</w:t>
      </w:r>
      <w:proofErr w:type="spellEnd"/>
      <w:r w:rsidR="00C4288A">
        <w:t xml:space="preserve"> intrahepatic portosystemic shunts, and radiofrequency ablation procedures. </w:t>
      </w:r>
      <w:r w:rsidRPr="008037F3">
        <w:t xml:space="preserve">Patients undergoing neurosurgical interventions, thoracotomy, </w:t>
      </w:r>
      <w:proofErr w:type="gramStart"/>
      <w:r w:rsidRPr="008037F3">
        <w:t>laparotomy</w:t>
      </w:r>
      <w:proofErr w:type="gramEnd"/>
      <w:r w:rsidRPr="008037F3">
        <w:t xml:space="preserve"> or organ resection were not eligible for </w:t>
      </w:r>
      <w:r w:rsidR="000E3A30" w:rsidRPr="008037F3">
        <w:t>enrolment</w:t>
      </w:r>
      <w:r w:rsidRPr="008037F3">
        <w:t xml:space="preserve">. </w:t>
      </w:r>
    </w:p>
    <w:p w14:paraId="0E9DFC55" w14:textId="4E0DD8CA" w:rsidR="000E085B" w:rsidRPr="008037F3" w:rsidRDefault="000E085B" w:rsidP="00C52822">
      <w:pPr>
        <w:pStyle w:val="BodyText1"/>
        <w:jc w:val="left"/>
      </w:pPr>
      <w:r w:rsidRPr="008037F3">
        <w:t xml:space="preserve">Patients in the Low Baseline Platelet Count Cohort received 60 mg DOPTELET or matching placebo once daily for 5 days, and patients in the High Baseline Platelet Count Cohort received 40 mg DOPTELET or matching placebo once daily for 5 days. Eligible patients were scheduled to undergo their procedure (low, moderate, or high bleeding risk) 5 to 8 days after their last dose of treatment. Patient populations were similar between the pooled Low and High Baseline Platelet Count Cohorts and consisted of 66% male and 35% female; median age </w:t>
      </w:r>
      <w:r w:rsidRPr="008037F3">
        <w:lastRenderedPageBreak/>
        <w:t xml:space="preserve">58 years and 61% White, 34% Asian, and 3% Black. </w:t>
      </w:r>
      <w:r w:rsidR="00F37772" w:rsidRPr="008037F3">
        <w:rPr>
          <w:szCs w:val="22"/>
        </w:rPr>
        <w:t xml:space="preserve">Patients’ MELD scores ranged from &lt; 10 (37.5%), 10 to 14 (46.3%) and from &gt; 14 to &lt; 24 (16.2%), and included patients with CTP Class A (56.4%), Class B (38.1%), and Class C (5.6%). </w:t>
      </w:r>
    </w:p>
    <w:p w14:paraId="5DE60173" w14:textId="48A4290E" w:rsidR="000E085B" w:rsidRPr="008037F3" w:rsidRDefault="000E085B" w:rsidP="00C52822">
      <w:pPr>
        <w:pStyle w:val="BodyText1"/>
        <w:jc w:val="left"/>
      </w:pPr>
      <w:r w:rsidRPr="008037F3">
        <w:t>In ADAPT-1, a total of 231 patients were randomi</w:t>
      </w:r>
      <w:r w:rsidR="002841C3">
        <w:t>s</w:t>
      </w:r>
      <w:r w:rsidRPr="008037F3">
        <w:t xml:space="preserve">ed, 149 patients were treated with </w:t>
      </w:r>
      <w:proofErr w:type="gramStart"/>
      <w:r w:rsidRPr="008037F3">
        <w:t>DOPTELET</w:t>
      </w:r>
      <w:proofErr w:type="gramEnd"/>
      <w:r w:rsidRPr="008037F3">
        <w:t xml:space="preserve"> and 82 patients were treated with placebo. In the Low Baseline Platelet Count Cohort, the mean baseline platelet count for the DOPTELET-treated group was 31.1</w:t>
      </w:r>
      <w:r w:rsidR="005D1675" w:rsidRPr="008037F3">
        <w:t>x10</w:t>
      </w:r>
      <w:r w:rsidR="005D1675" w:rsidRPr="008037F3">
        <w:rPr>
          <w:vertAlign w:val="superscript"/>
        </w:rPr>
        <w:t>9</w:t>
      </w:r>
      <w:r w:rsidRPr="008037F3">
        <w:t>/L and for the placebo-treated patients was 30.7</w:t>
      </w:r>
      <w:r w:rsidR="005D1675" w:rsidRPr="008037F3">
        <w:t>x10</w:t>
      </w:r>
      <w:r w:rsidR="005D1675" w:rsidRPr="008037F3">
        <w:rPr>
          <w:vertAlign w:val="superscript"/>
        </w:rPr>
        <w:t>9</w:t>
      </w:r>
      <w:r w:rsidRPr="008037F3">
        <w:t>/L. In the High Baseline Platelet Count Cohort, the mean baseline platelet count for the DOPTELET-treated patients was 44.3</w:t>
      </w:r>
      <w:r w:rsidR="00256428" w:rsidRPr="008037F3">
        <w:t>x10</w:t>
      </w:r>
      <w:r w:rsidR="00256428" w:rsidRPr="008037F3">
        <w:rPr>
          <w:vertAlign w:val="superscript"/>
        </w:rPr>
        <w:t>9</w:t>
      </w:r>
      <w:r w:rsidRPr="008037F3">
        <w:t>/L and for placebo-treated patients was 44.9</w:t>
      </w:r>
      <w:r w:rsidR="00256428" w:rsidRPr="008037F3">
        <w:t>x10</w:t>
      </w:r>
      <w:r w:rsidR="00256428" w:rsidRPr="008037F3">
        <w:rPr>
          <w:vertAlign w:val="superscript"/>
        </w:rPr>
        <w:t>9</w:t>
      </w:r>
      <w:r w:rsidRPr="008037F3">
        <w:t xml:space="preserve">/L. </w:t>
      </w:r>
    </w:p>
    <w:p w14:paraId="5BD277EF" w14:textId="5CC7C86A" w:rsidR="000E085B" w:rsidRPr="008037F3" w:rsidRDefault="000E085B" w:rsidP="00C52822">
      <w:pPr>
        <w:pStyle w:val="BodyText1"/>
        <w:jc w:val="left"/>
      </w:pPr>
      <w:r w:rsidRPr="008037F3">
        <w:t>In ADAPT-2, a total of 204 patients were randomi</w:t>
      </w:r>
      <w:r w:rsidR="002841C3">
        <w:t>s</w:t>
      </w:r>
      <w:r w:rsidRPr="008037F3">
        <w:t xml:space="preserve">ed, 128 patients were treated with </w:t>
      </w:r>
      <w:proofErr w:type="gramStart"/>
      <w:r w:rsidRPr="008037F3">
        <w:t>DOPTELET</w:t>
      </w:r>
      <w:proofErr w:type="gramEnd"/>
      <w:r w:rsidRPr="008037F3">
        <w:t xml:space="preserve"> and 76 patients were treated with placebo. In the Low Baseline Platelet Count Cohort, the mean baseline platelet count for the DOPTELET-treated group was 32.7</w:t>
      </w:r>
      <w:r w:rsidR="00256428" w:rsidRPr="008037F3">
        <w:t>x10</w:t>
      </w:r>
      <w:r w:rsidR="00256428" w:rsidRPr="008037F3">
        <w:rPr>
          <w:vertAlign w:val="superscript"/>
        </w:rPr>
        <w:t>9</w:t>
      </w:r>
      <w:r w:rsidRPr="008037F3">
        <w:t>/L and for the placebo-treated patients was 32.5</w:t>
      </w:r>
      <w:r w:rsidR="009434DD" w:rsidRPr="008037F3">
        <w:t>x10</w:t>
      </w:r>
      <w:r w:rsidR="009434DD" w:rsidRPr="008037F3">
        <w:rPr>
          <w:vertAlign w:val="superscript"/>
        </w:rPr>
        <w:t>9</w:t>
      </w:r>
      <w:r w:rsidRPr="008037F3">
        <w:t>/L. In the High Baseline Platelet Count Cohort, the mean baseline platelet count for the DOPTELET-treated patients was 44.3</w:t>
      </w:r>
      <w:r w:rsidR="00963BBC" w:rsidRPr="008037F3">
        <w:t>x10</w:t>
      </w:r>
      <w:r w:rsidR="00963BBC" w:rsidRPr="008037F3">
        <w:rPr>
          <w:vertAlign w:val="superscript"/>
        </w:rPr>
        <w:t>9</w:t>
      </w:r>
      <w:r w:rsidR="00963BBC" w:rsidRPr="008037F3">
        <w:t>/</w:t>
      </w:r>
      <w:r w:rsidRPr="008037F3">
        <w:t>L and for the placebo-treated patients was 44.5</w:t>
      </w:r>
      <w:r w:rsidR="00256428" w:rsidRPr="008037F3">
        <w:t>x10</w:t>
      </w:r>
      <w:r w:rsidR="00256428" w:rsidRPr="008037F3">
        <w:rPr>
          <w:vertAlign w:val="superscript"/>
        </w:rPr>
        <w:t>9</w:t>
      </w:r>
      <w:r w:rsidRPr="008037F3">
        <w:t xml:space="preserve">/L. </w:t>
      </w:r>
    </w:p>
    <w:p w14:paraId="344FFFE4" w14:textId="77777777" w:rsidR="000E085B" w:rsidRPr="008037F3" w:rsidRDefault="000E085B" w:rsidP="00C52822">
      <w:pPr>
        <w:pStyle w:val="BodyText1"/>
        <w:jc w:val="left"/>
      </w:pPr>
      <w:r w:rsidRPr="008037F3">
        <w:t xml:space="preserve">Across both baseline platelet count cohorts and the avatrombopag and placebo treatment groups, patients underwent a broad spectrum of types of scheduled procedures that ranged from low to high bleeding risk. </w:t>
      </w:r>
    </w:p>
    <w:p w14:paraId="16FDAF93" w14:textId="5236BCE9" w:rsidR="000E085B" w:rsidRPr="008037F3" w:rsidRDefault="000E085B" w:rsidP="00C52822">
      <w:pPr>
        <w:pStyle w:val="BodyText1"/>
        <w:jc w:val="left"/>
      </w:pPr>
      <w:r w:rsidRPr="008037F3">
        <w:t xml:space="preserve">Overall, </w:t>
      </w:r>
      <w:proofErr w:type="gramStart"/>
      <w:r w:rsidRPr="008037F3">
        <w:t>the majority of</w:t>
      </w:r>
      <w:proofErr w:type="gramEnd"/>
      <w:r w:rsidRPr="008037F3">
        <w:t xml:space="preserve"> patients (60.8% [248/430] subjects) in all treatment groups underwent low bleeding risk procedures, 17.2% (70/430) of patients underwent procedures associated with moderate bleeding risk, and 22.1% (90/430) of subjects underwent procedures associated with high bleeding risk. The proportions of patients undergoing low, moderate, and high-risk procedures were similar between the avatrombopag and placebo treatment groups. </w:t>
      </w:r>
    </w:p>
    <w:p w14:paraId="22B576ED" w14:textId="77606B89" w:rsidR="000E085B" w:rsidRPr="008037F3" w:rsidRDefault="000E085B" w:rsidP="00C52822">
      <w:pPr>
        <w:pStyle w:val="BodyText1"/>
        <w:jc w:val="left"/>
      </w:pPr>
      <w:r w:rsidRPr="008037F3">
        <w:t>The major efficacy outcome was the proportion of patients who did not require a platelet transfusion or any rescue procedure for bleeding after randomi</w:t>
      </w:r>
      <w:r w:rsidR="00C81C43">
        <w:t>s</w:t>
      </w:r>
      <w:r w:rsidRPr="008037F3">
        <w:t>ation and up to 7 days following an elective procedure. Additional secondary efficacy outcomes were the proportion of patients who achieved platelet counts of &gt;50</w:t>
      </w:r>
      <w:r w:rsidR="009679CF" w:rsidRPr="008037F3">
        <w:t>x10</w:t>
      </w:r>
      <w:r w:rsidR="009679CF" w:rsidRPr="008037F3">
        <w:rPr>
          <w:vertAlign w:val="superscript"/>
        </w:rPr>
        <w:t>9</w:t>
      </w:r>
      <w:r w:rsidRPr="008037F3">
        <w:t xml:space="preserve">/L on the day of procedure, and the change in platelet count from baseline to procedure day. </w:t>
      </w:r>
    </w:p>
    <w:p w14:paraId="18FA0DDD" w14:textId="433D62BD" w:rsidR="000E085B" w:rsidRPr="008037F3" w:rsidRDefault="000E085B" w:rsidP="00C52822">
      <w:pPr>
        <w:pStyle w:val="BodyText1"/>
        <w:jc w:val="left"/>
      </w:pPr>
      <w:r w:rsidRPr="008037F3">
        <w:t>Responders were defined as patients who did not require a platelet transfusion or any rescue procedure for bleeding after randomi</w:t>
      </w:r>
      <w:r w:rsidR="00C81C43">
        <w:t>s</w:t>
      </w:r>
      <w:r w:rsidRPr="008037F3">
        <w:t xml:space="preserve">ation and up to 7 days following a scheduled procedure. The following were considered rescue therapies to manage the risk of bleeding associated with a procedure: whole blood transfusion, packed red blood cell (RBC) transfusion, platelet transfusion, fresh frozen plasma (FFP) or cryoprecipitate administration, Vitamin K, desmopressin, recombinant activated factor VII, aminocaproic acid, tranexamic acid, or surgical or interventional radiology procedures performed to achieve </w:t>
      </w:r>
      <w:r w:rsidR="000E3A30" w:rsidRPr="008037F3">
        <w:t>haemostasis</w:t>
      </w:r>
      <w:r w:rsidRPr="008037F3">
        <w:t xml:space="preserve"> and control blood loss. In both baseline platelet count cohorts, patients in the DOPTELET treatment groups had a greater proportion of responders than the corresponding placebo treatment groups that was both clinically meaningful and statistically significant as detailed in </w:t>
      </w:r>
      <w:r w:rsidR="009679CF" w:rsidRPr="008037F3">
        <w:fldChar w:fldCharType="begin"/>
      </w:r>
      <w:r w:rsidR="009679CF" w:rsidRPr="008037F3">
        <w:instrText xml:space="preserve"> REF _Ref77683132 \h </w:instrText>
      </w:r>
      <w:r w:rsidR="00C52822">
        <w:instrText xml:space="preserve"> \* MERGEFORMAT </w:instrText>
      </w:r>
      <w:r w:rsidR="009679CF" w:rsidRPr="008037F3">
        <w:fldChar w:fldCharType="separate"/>
      </w:r>
      <w:r w:rsidR="00F52135" w:rsidRPr="008037F3">
        <w:t>Table 7</w:t>
      </w:r>
      <w:r w:rsidR="009679CF" w:rsidRPr="008037F3">
        <w:fldChar w:fldCharType="end"/>
      </w:r>
      <w:r w:rsidRPr="008037F3">
        <w:t>.</w:t>
      </w:r>
    </w:p>
    <w:tbl>
      <w:tblPr>
        <w:tblStyle w:val="TableGrid"/>
        <w:tblW w:w="0" w:type="auto"/>
        <w:tblLook w:val="04A0" w:firstRow="1" w:lastRow="0" w:firstColumn="1" w:lastColumn="0" w:noHBand="0" w:noVBand="1"/>
      </w:tblPr>
      <w:tblGrid>
        <w:gridCol w:w="9016"/>
      </w:tblGrid>
      <w:tr w:rsidR="009679CF" w:rsidRPr="008037F3" w14:paraId="14F231D8" w14:textId="77777777" w:rsidTr="002F37DA">
        <w:tc>
          <w:tcPr>
            <w:tcW w:w="9016" w:type="dxa"/>
            <w:tcMar>
              <w:left w:w="57" w:type="dxa"/>
              <w:right w:w="57" w:type="dxa"/>
            </w:tcMar>
          </w:tcPr>
          <w:p w14:paraId="66959E99" w14:textId="1D54B83E" w:rsidR="009679CF" w:rsidRPr="008037F3" w:rsidRDefault="009679CF" w:rsidP="00C52822">
            <w:pPr>
              <w:pStyle w:val="Table-MainTitle"/>
            </w:pPr>
            <w:bookmarkStart w:id="15" w:name="_Ref77683132"/>
            <w:r w:rsidRPr="008037F3">
              <w:t xml:space="preserve">Table </w:t>
            </w:r>
            <w:r w:rsidR="00FD1B09">
              <w:fldChar w:fldCharType="begin"/>
            </w:r>
            <w:r w:rsidR="00FD1B09">
              <w:instrText xml:space="preserve"> SEQ Table \* ARABIC </w:instrText>
            </w:r>
            <w:r w:rsidR="00FD1B09">
              <w:fldChar w:fldCharType="separate"/>
            </w:r>
            <w:r w:rsidR="009344F9" w:rsidRPr="008037F3">
              <w:t>7</w:t>
            </w:r>
            <w:r w:rsidR="00FD1B09">
              <w:fldChar w:fldCharType="end"/>
            </w:r>
            <w:bookmarkEnd w:id="15"/>
            <w:r w:rsidRPr="008037F3">
              <w:t xml:space="preserve">: </w:t>
            </w:r>
            <w:r w:rsidRPr="008037F3">
              <w:tab/>
            </w:r>
            <w:r w:rsidR="00C43D74" w:rsidRPr="008037F3">
              <w:t>Proportion of Patients Not Requiring a Platelet Transfusion or Any Rescue Procedure for Bleeding by Baseline Platelet Count Cohort and Treatment Group – ADAPT-1 &amp; ADAPT-2</w:t>
            </w:r>
          </w:p>
        </w:tc>
      </w:tr>
    </w:tbl>
    <w:p w14:paraId="2A6EF247" w14:textId="77777777" w:rsidR="009679CF" w:rsidRPr="008037F3" w:rsidRDefault="009679CF" w:rsidP="00C52822">
      <w:pPr>
        <w:pStyle w:val="Table-space"/>
        <w:keepNext/>
      </w:pPr>
    </w:p>
    <w:tbl>
      <w:tblPr>
        <w:tblStyle w:val="TableGrid"/>
        <w:tblW w:w="0" w:type="auto"/>
        <w:tblLook w:val="04A0" w:firstRow="1" w:lastRow="0" w:firstColumn="1" w:lastColumn="0" w:noHBand="0" w:noVBand="1"/>
      </w:tblPr>
      <w:tblGrid>
        <w:gridCol w:w="3397"/>
        <w:gridCol w:w="1404"/>
        <w:gridCol w:w="1405"/>
        <w:gridCol w:w="1405"/>
        <w:gridCol w:w="1405"/>
      </w:tblGrid>
      <w:tr w:rsidR="00C43D74" w:rsidRPr="008037F3" w14:paraId="728CCEC2" w14:textId="77777777" w:rsidTr="000E3A30">
        <w:trPr>
          <w:cantSplit/>
        </w:trPr>
        <w:tc>
          <w:tcPr>
            <w:tcW w:w="9016" w:type="dxa"/>
            <w:gridSpan w:val="5"/>
            <w:tcMar>
              <w:top w:w="28" w:type="dxa"/>
              <w:left w:w="57" w:type="dxa"/>
              <w:bottom w:w="28" w:type="dxa"/>
              <w:right w:w="57" w:type="dxa"/>
            </w:tcMar>
            <w:vAlign w:val="center"/>
          </w:tcPr>
          <w:p w14:paraId="44725DFF" w14:textId="1747FAE7" w:rsidR="00C43D74" w:rsidRPr="008037F3" w:rsidRDefault="00C43D74" w:rsidP="00C52822">
            <w:pPr>
              <w:pStyle w:val="Table-Heading1"/>
              <w:keepNext/>
            </w:pPr>
            <w:r w:rsidRPr="008037F3">
              <w:t>Low Baseline Platelet Count Cohort (&lt;40</w:t>
            </w:r>
            <w:r w:rsidR="001532BE" w:rsidRPr="008037F3">
              <w:t>x</w:t>
            </w:r>
            <w:r w:rsidRPr="008037F3">
              <w:t>10</w:t>
            </w:r>
            <w:r w:rsidR="001532BE" w:rsidRPr="008037F3">
              <w:rPr>
                <w:vertAlign w:val="superscript"/>
              </w:rPr>
              <w:t>9</w:t>
            </w:r>
            <w:r w:rsidRPr="008037F3">
              <w:t>/L)</w:t>
            </w:r>
          </w:p>
        </w:tc>
      </w:tr>
      <w:tr w:rsidR="00A006A2" w:rsidRPr="008037F3" w14:paraId="15E79D58" w14:textId="77777777" w:rsidTr="000E3A30">
        <w:trPr>
          <w:cantSplit/>
        </w:trPr>
        <w:tc>
          <w:tcPr>
            <w:tcW w:w="3397" w:type="dxa"/>
            <w:vMerge w:val="restart"/>
            <w:tcMar>
              <w:top w:w="28" w:type="dxa"/>
              <w:left w:w="57" w:type="dxa"/>
              <w:bottom w:w="28" w:type="dxa"/>
              <w:right w:w="57" w:type="dxa"/>
            </w:tcMar>
            <w:vAlign w:val="center"/>
          </w:tcPr>
          <w:p w14:paraId="7D515A37" w14:textId="328A9CD2" w:rsidR="00A006A2" w:rsidRPr="008037F3" w:rsidRDefault="00A006A2" w:rsidP="00C52822">
            <w:pPr>
              <w:pStyle w:val="Table-Heading1"/>
              <w:keepNext/>
            </w:pPr>
            <w:r w:rsidRPr="008037F3">
              <w:t>Category</w:t>
            </w:r>
          </w:p>
        </w:tc>
        <w:tc>
          <w:tcPr>
            <w:tcW w:w="2809" w:type="dxa"/>
            <w:gridSpan w:val="2"/>
            <w:tcMar>
              <w:top w:w="28" w:type="dxa"/>
              <w:left w:w="57" w:type="dxa"/>
              <w:bottom w:w="28" w:type="dxa"/>
              <w:right w:w="57" w:type="dxa"/>
            </w:tcMar>
          </w:tcPr>
          <w:p w14:paraId="498EA47A" w14:textId="34831644" w:rsidR="00A006A2" w:rsidRPr="008037F3" w:rsidRDefault="00A006A2" w:rsidP="00C52822">
            <w:pPr>
              <w:pStyle w:val="Table-Heading1"/>
              <w:keepNext/>
            </w:pPr>
            <w:r w:rsidRPr="008037F3">
              <w:t>ADAPT-1</w:t>
            </w:r>
          </w:p>
        </w:tc>
        <w:tc>
          <w:tcPr>
            <w:tcW w:w="2810" w:type="dxa"/>
            <w:gridSpan w:val="2"/>
          </w:tcPr>
          <w:p w14:paraId="34E37AB7" w14:textId="18F08554" w:rsidR="00A006A2" w:rsidRPr="008037F3" w:rsidRDefault="00A006A2" w:rsidP="00C52822">
            <w:pPr>
              <w:pStyle w:val="Table-Heading1"/>
              <w:keepNext/>
            </w:pPr>
            <w:r w:rsidRPr="008037F3">
              <w:t>ADAPT-2</w:t>
            </w:r>
          </w:p>
        </w:tc>
      </w:tr>
      <w:tr w:rsidR="00184D56" w:rsidRPr="008037F3" w14:paraId="5009055D" w14:textId="77777777" w:rsidTr="000E3A30">
        <w:trPr>
          <w:cantSplit/>
        </w:trPr>
        <w:tc>
          <w:tcPr>
            <w:tcW w:w="3397" w:type="dxa"/>
            <w:vMerge/>
            <w:tcMar>
              <w:top w:w="28" w:type="dxa"/>
              <w:left w:w="57" w:type="dxa"/>
              <w:bottom w:w="28" w:type="dxa"/>
              <w:right w:w="57" w:type="dxa"/>
            </w:tcMar>
          </w:tcPr>
          <w:p w14:paraId="718BEACB" w14:textId="77777777" w:rsidR="00184D56" w:rsidRPr="008037F3" w:rsidRDefault="00184D56" w:rsidP="00C52822">
            <w:pPr>
              <w:pStyle w:val="Table-Heading1"/>
              <w:keepNext/>
            </w:pPr>
          </w:p>
        </w:tc>
        <w:tc>
          <w:tcPr>
            <w:tcW w:w="1404" w:type="dxa"/>
            <w:tcMar>
              <w:top w:w="28" w:type="dxa"/>
              <w:left w:w="57" w:type="dxa"/>
              <w:bottom w:w="28" w:type="dxa"/>
              <w:right w:w="57" w:type="dxa"/>
            </w:tcMar>
          </w:tcPr>
          <w:p w14:paraId="41499A46" w14:textId="3F400E00" w:rsidR="00184D56" w:rsidRPr="008037F3" w:rsidRDefault="00184D56" w:rsidP="00C52822">
            <w:pPr>
              <w:pStyle w:val="Table-Heading1"/>
              <w:keepNext/>
            </w:pPr>
            <w:r w:rsidRPr="008037F3">
              <w:t>DOPTELET 60 mg</w:t>
            </w:r>
          </w:p>
          <w:p w14:paraId="310E4BF6" w14:textId="1302F036" w:rsidR="00184D56" w:rsidRPr="008037F3" w:rsidRDefault="00184D56" w:rsidP="00C52822">
            <w:pPr>
              <w:pStyle w:val="Table-Heading1"/>
              <w:keepNext/>
            </w:pPr>
            <w:r w:rsidRPr="008037F3">
              <w:rPr>
                <w:b w:val="0"/>
                <w:bCs/>
              </w:rPr>
              <w:t>(</w:t>
            </w:r>
            <w:r w:rsidR="00900BE0" w:rsidRPr="008037F3">
              <w:rPr>
                <w:b w:val="0"/>
                <w:bCs/>
              </w:rPr>
              <w:t>n</w:t>
            </w:r>
            <w:r w:rsidRPr="008037F3">
              <w:rPr>
                <w:b w:val="0"/>
                <w:bCs/>
              </w:rPr>
              <w:t>=90)</w:t>
            </w:r>
          </w:p>
        </w:tc>
        <w:tc>
          <w:tcPr>
            <w:tcW w:w="1405" w:type="dxa"/>
          </w:tcPr>
          <w:p w14:paraId="07405FE3" w14:textId="77777777" w:rsidR="00184D56" w:rsidRPr="008037F3" w:rsidRDefault="00184D56" w:rsidP="00C52822">
            <w:pPr>
              <w:pStyle w:val="Table-Heading1"/>
              <w:keepNext/>
            </w:pPr>
            <w:r w:rsidRPr="008037F3">
              <w:t>Placebo</w:t>
            </w:r>
          </w:p>
          <w:p w14:paraId="1FBB65EF" w14:textId="32EABA9D" w:rsidR="00184D56" w:rsidRPr="008037F3" w:rsidRDefault="00184D56" w:rsidP="00C52822">
            <w:pPr>
              <w:pStyle w:val="Table-Heading1"/>
              <w:keepNext/>
            </w:pPr>
            <w:r w:rsidRPr="008037F3">
              <w:rPr>
                <w:b w:val="0"/>
                <w:bCs/>
              </w:rPr>
              <w:t>(</w:t>
            </w:r>
            <w:r w:rsidR="00900BE0" w:rsidRPr="008037F3">
              <w:rPr>
                <w:b w:val="0"/>
                <w:bCs/>
              </w:rPr>
              <w:t>n</w:t>
            </w:r>
            <w:r w:rsidRPr="008037F3">
              <w:rPr>
                <w:b w:val="0"/>
                <w:bCs/>
              </w:rPr>
              <w:t>=48)</w:t>
            </w:r>
          </w:p>
        </w:tc>
        <w:tc>
          <w:tcPr>
            <w:tcW w:w="1405" w:type="dxa"/>
            <w:tcMar>
              <w:top w:w="28" w:type="dxa"/>
              <w:left w:w="57" w:type="dxa"/>
              <w:bottom w:w="28" w:type="dxa"/>
              <w:right w:w="57" w:type="dxa"/>
            </w:tcMar>
          </w:tcPr>
          <w:p w14:paraId="42C8DDBD" w14:textId="77777777" w:rsidR="00184D56" w:rsidRPr="008037F3" w:rsidRDefault="00184D56" w:rsidP="00C52822">
            <w:pPr>
              <w:pStyle w:val="Table-Heading1"/>
              <w:keepNext/>
            </w:pPr>
            <w:r w:rsidRPr="008037F3">
              <w:t>DOPTELET 60 mg</w:t>
            </w:r>
          </w:p>
          <w:p w14:paraId="35D7E601" w14:textId="65F07353" w:rsidR="00184D56" w:rsidRPr="008037F3" w:rsidRDefault="00184D56" w:rsidP="00C52822">
            <w:pPr>
              <w:pStyle w:val="Table-Heading1"/>
              <w:keepNext/>
            </w:pPr>
            <w:r w:rsidRPr="008037F3">
              <w:rPr>
                <w:b w:val="0"/>
                <w:bCs/>
              </w:rPr>
              <w:t>(</w:t>
            </w:r>
            <w:r w:rsidR="00900BE0" w:rsidRPr="008037F3">
              <w:rPr>
                <w:b w:val="0"/>
                <w:bCs/>
              </w:rPr>
              <w:t>n</w:t>
            </w:r>
            <w:r w:rsidRPr="008037F3">
              <w:rPr>
                <w:b w:val="0"/>
                <w:bCs/>
              </w:rPr>
              <w:t>=70)</w:t>
            </w:r>
          </w:p>
        </w:tc>
        <w:tc>
          <w:tcPr>
            <w:tcW w:w="1405" w:type="dxa"/>
          </w:tcPr>
          <w:p w14:paraId="06970890" w14:textId="77777777" w:rsidR="00184D56" w:rsidRPr="008037F3" w:rsidRDefault="00184D56" w:rsidP="00C52822">
            <w:pPr>
              <w:pStyle w:val="Table-Heading1"/>
              <w:keepNext/>
            </w:pPr>
            <w:r w:rsidRPr="008037F3">
              <w:t>Placebo</w:t>
            </w:r>
          </w:p>
          <w:p w14:paraId="734242C9" w14:textId="1472FDB3" w:rsidR="00184D56" w:rsidRPr="008037F3" w:rsidRDefault="00184D56" w:rsidP="00C52822">
            <w:pPr>
              <w:pStyle w:val="Table-Heading1"/>
              <w:keepNext/>
            </w:pPr>
            <w:r w:rsidRPr="008037F3">
              <w:rPr>
                <w:b w:val="0"/>
                <w:bCs/>
              </w:rPr>
              <w:t>(</w:t>
            </w:r>
            <w:r w:rsidR="00900BE0" w:rsidRPr="008037F3">
              <w:rPr>
                <w:b w:val="0"/>
                <w:bCs/>
              </w:rPr>
              <w:t>n</w:t>
            </w:r>
            <w:r w:rsidRPr="008037F3">
              <w:rPr>
                <w:b w:val="0"/>
                <w:bCs/>
              </w:rPr>
              <w:t>=43)</w:t>
            </w:r>
          </w:p>
        </w:tc>
      </w:tr>
      <w:tr w:rsidR="00184D56" w:rsidRPr="008037F3" w14:paraId="7AD232B1" w14:textId="77777777" w:rsidTr="000E3A30">
        <w:trPr>
          <w:cantSplit/>
        </w:trPr>
        <w:tc>
          <w:tcPr>
            <w:tcW w:w="3397" w:type="dxa"/>
            <w:tcMar>
              <w:top w:w="28" w:type="dxa"/>
              <w:left w:w="57" w:type="dxa"/>
              <w:bottom w:w="28" w:type="dxa"/>
              <w:right w:w="57" w:type="dxa"/>
            </w:tcMar>
          </w:tcPr>
          <w:p w14:paraId="0FA32DA5" w14:textId="77777777" w:rsidR="00184D56" w:rsidRPr="008037F3" w:rsidRDefault="00184D56" w:rsidP="00C52822">
            <w:pPr>
              <w:pStyle w:val="Table-text"/>
              <w:keepNext/>
              <w:rPr>
                <w:b/>
                <w:bCs/>
              </w:rPr>
            </w:pPr>
            <w:r w:rsidRPr="008037F3">
              <w:rPr>
                <w:b/>
                <w:bCs/>
              </w:rPr>
              <w:t>Responders</w:t>
            </w:r>
          </w:p>
          <w:p w14:paraId="6A980FC2" w14:textId="5A43B9DC" w:rsidR="00184D56" w:rsidRPr="008037F3" w:rsidRDefault="00184D56" w:rsidP="00C52822">
            <w:pPr>
              <w:pStyle w:val="Table-text"/>
              <w:keepNext/>
              <w:ind w:left="220"/>
              <w:rPr>
                <w:i/>
                <w:iCs/>
              </w:rPr>
            </w:pPr>
            <w:r w:rsidRPr="008037F3">
              <w:rPr>
                <w:i/>
                <w:iCs/>
              </w:rPr>
              <w:t>95% CI </w:t>
            </w:r>
            <w:r w:rsidRPr="008037F3">
              <w:rPr>
                <w:i/>
                <w:iCs/>
                <w:vertAlign w:val="superscript"/>
              </w:rPr>
              <w:t>a</w:t>
            </w:r>
          </w:p>
        </w:tc>
        <w:tc>
          <w:tcPr>
            <w:tcW w:w="1404" w:type="dxa"/>
            <w:tcMar>
              <w:top w:w="28" w:type="dxa"/>
              <w:left w:w="57" w:type="dxa"/>
              <w:bottom w:w="28" w:type="dxa"/>
              <w:right w:w="57" w:type="dxa"/>
            </w:tcMar>
          </w:tcPr>
          <w:p w14:paraId="4DCD2815" w14:textId="77777777" w:rsidR="00184D56" w:rsidRPr="008037F3" w:rsidRDefault="00184D56" w:rsidP="00C52822">
            <w:pPr>
              <w:pStyle w:val="Table-text"/>
              <w:keepNext/>
              <w:rPr>
                <w:b/>
                <w:bCs/>
              </w:rPr>
            </w:pPr>
            <w:r w:rsidRPr="008037F3">
              <w:rPr>
                <w:b/>
                <w:bCs/>
              </w:rPr>
              <w:t>66%</w:t>
            </w:r>
          </w:p>
          <w:p w14:paraId="705510EA" w14:textId="09D9A5FE" w:rsidR="00184D56" w:rsidRPr="008037F3" w:rsidRDefault="00184D56" w:rsidP="00C52822">
            <w:pPr>
              <w:pStyle w:val="Table-text"/>
              <w:keepNext/>
              <w:rPr>
                <w:i/>
                <w:iCs/>
              </w:rPr>
            </w:pPr>
            <w:r w:rsidRPr="008037F3">
              <w:rPr>
                <w:i/>
                <w:iCs/>
              </w:rPr>
              <w:t>(56, 75)</w:t>
            </w:r>
          </w:p>
        </w:tc>
        <w:tc>
          <w:tcPr>
            <w:tcW w:w="1405" w:type="dxa"/>
          </w:tcPr>
          <w:p w14:paraId="1CED0758" w14:textId="155220BB" w:rsidR="00184D56" w:rsidRPr="008037F3" w:rsidRDefault="00184D56" w:rsidP="00C52822">
            <w:pPr>
              <w:pStyle w:val="Table-text"/>
              <w:keepNext/>
              <w:rPr>
                <w:b/>
                <w:bCs/>
              </w:rPr>
            </w:pPr>
            <w:r w:rsidRPr="008037F3">
              <w:rPr>
                <w:b/>
                <w:bCs/>
              </w:rPr>
              <w:t>23%</w:t>
            </w:r>
          </w:p>
          <w:p w14:paraId="5D72974E" w14:textId="18B01F5A" w:rsidR="00184D56" w:rsidRPr="008037F3" w:rsidRDefault="00184D56" w:rsidP="00C52822">
            <w:pPr>
              <w:pStyle w:val="Table-text"/>
              <w:keepNext/>
            </w:pPr>
            <w:r w:rsidRPr="008037F3">
              <w:rPr>
                <w:i/>
                <w:iCs/>
              </w:rPr>
              <w:t>(11, 35)</w:t>
            </w:r>
          </w:p>
        </w:tc>
        <w:tc>
          <w:tcPr>
            <w:tcW w:w="1405" w:type="dxa"/>
            <w:tcMar>
              <w:top w:w="28" w:type="dxa"/>
              <w:left w:w="57" w:type="dxa"/>
              <w:bottom w:w="28" w:type="dxa"/>
              <w:right w:w="57" w:type="dxa"/>
            </w:tcMar>
          </w:tcPr>
          <w:p w14:paraId="19FD87FE" w14:textId="614F6BBD" w:rsidR="00184D56" w:rsidRPr="008037F3" w:rsidRDefault="00184D56" w:rsidP="00C52822">
            <w:pPr>
              <w:pStyle w:val="Table-text"/>
              <w:keepNext/>
              <w:rPr>
                <w:b/>
                <w:bCs/>
              </w:rPr>
            </w:pPr>
            <w:r w:rsidRPr="008037F3">
              <w:rPr>
                <w:b/>
                <w:bCs/>
              </w:rPr>
              <w:t>69%</w:t>
            </w:r>
          </w:p>
          <w:p w14:paraId="37E177F0" w14:textId="7673D341" w:rsidR="00184D56" w:rsidRPr="008037F3" w:rsidRDefault="00184D56" w:rsidP="00C52822">
            <w:pPr>
              <w:pStyle w:val="Table-text"/>
              <w:keepNext/>
            </w:pPr>
            <w:r w:rsidRPr="008037F3">
              <w:rPr>
                <w:i/>
                <w:iCs/>
              </w:rPr>
              <w:t>(58, 79)</w:t>
            </w:r>
          </w:p>
        </w:tc>
        <w:tc>
          <w:tcPr>
            <w:tcW w:w="1405" w:type="dxa"/>
          </w:tcPr>
          <w:p w14:paraId="1AD24BA1" w14:textId="7BF1BF9D" w:rsidR="00184D56" w:rsidRPr="008037F3" w:rsidRDefault="00184D56" w:rsidP="00C52822">
            <w:pPr>
              <w:pStyle w:val="Table-text"/>
              <w:keepNext/>
              <w:rPr>
                <w:b/>
                <w:bCs/>
              </w:rPr>
            </w:pPr>
            <w:r w:rsidRPr="008037F3">
              <w:rPr>
                <w:b/>
                <w:bCs/>
              </w:rPr>
              <w:t>35%</w:t>
            </w:r>
          </w:p>
          <w:p w14:paraId="39E755C5" w14:textId="28A4AA43" w:rsidR="00184D56" w:rsidRPr="008037F3" w:rsidRDefault="00184D56" w:rsidP="00C52822">
            <w:pPr>
              <w:pStyle w:val="Table-text"/>
              <w:keepNext/>
            </w:pPr>
            <w:r w:rsidRPr="008037F3">
              <w:rPr>
                <w:i/>
                <w:iCs/>
              </w:rPr>
              <w:t>(21, 49)</w:t>
            </w:r>
          </w:p>
        </w:tc>
      </w:tr>
      <w:tr w:rsidR="00184D56" w:rsidRPr="008037F3" w14:paraId="77676A2F" w14:textId="77777777" w:rsidTr="00E0523B">
        <w:trPr>
          <w:cantSplit/>
        </w:trPr>
        <w:tc>
          <w:tcPr>
            <w:tcW w:w="3397" w:type="dxa"/>
            <w:tcMar>
              <w:top w:w="0" w:type="dxa"/>
              <w:left w:w="57" w:type="dxa"/>
              <w:bottom w:w="0" w:type="dxa"/>
              <w:right w:w="57" w:type="dxa"/>
            </w:tcMar>
          </w:tcPr>
          <w:p w14:paraId="20D43033" w14:textId="54CAFB79" w:rsidR="00184D56" w:rsidRPr="008037F3" w:rsidRDefault="00184D56" w:rsidP="00C52822">
            <w:pPr>
              <w:pStyle w:val="Table-text"/>
              <w:rPr>
                <w:b/>
                <w:bCs/>
              </w:rPr>
            </w:pPr>
            <w:r w:rsidRPr="008037F3">
              <w:rPr>
                <w:b/>
                <w:bCs/>
              </w:rPr>
              <w:t>Difference of Proportion vs. Placebo </w:t>
            </w:r>
            <w:r w:rsidRPr="008037F3">
              <w:rPr>
                <w:b/>
                <w:bCs/>
                <w:vertAlign w:val="superscript"/>
              </w:rPr>
              <w:t>b</w:t>
            </w:r>
          </w:p>
          <w:p w14:paraId="305084BC" w14:textId="4D5ED57B" w:rsidR="00184D56" w:rsidRPr="008037F3" w:rsidRDefault="00184D56" w:rsidP="00C52822">
            <w:pPr>
              <w:pStyle w:val="Table-text"/>
              <w:ind w:left="220"/>
              <w:rPr>
                <w:b/>
                <w:bCs/>
              </w:rPr>
            </w:pPr>
            <w:r w:rsidRPr="008037F3">
              <w:rPr>
                <w:i/>
                <w:iCs/>
              </w:rPr>
              <w:t>95% CI </w:t>
            </w:r>
            <w:r w:rsidRPr="008037F3">
              <w:rPr>
                <w:i/>
                <w:iCs/>
                <w:vertAlign w:val="superscript"/>
              </w:rPr>
              <w:t>b</w:t>
            </w:r>
          </w:p>
        </w:tc>
        <w:tc>
          <w:tcPr>
            <w:tcW w:w="2809" w:type="dxa"/>
            <w:gridSpan w:val="2"/>
            <w:tcMar>
              <w:top w:w="0" w:type="dxa"/>
              <w:left w:w="57" w:type="dxa"/>
              <w:bottom w:w="0" w:type="dxa"/>
              <w:right w:w="57" w:type="dxa"/>
            </w:tcMar>
          </w:tcPr>
          <w:p w14:paraId="44CAE755" w14:textId="3ED67B95" w:rsidR="00184D56" w:rsidRPr="008037F3" w:rsidRDefault="00184D56" w:rsidP="00C52822">
            <w:pPr>
              <w:pStyle w:val="Table-text"/>
              <w:rPr>
                <w:b/>
                <w:bCs/>
              </w:rPr>
            </w:pPr>
            <w:r w:rsidRPr="008037F3">
              <w:rPr>
                <w:b/>
                <w:bCs/>
              </w:rPr>
              <w:t>43%</w:t>
            </w:r>
          </w:p>
          <w:p w14:paraId="6D63588E" w14:textId="18DBF8AE" w:rsidR="00184D56" w:rsidRPr="008037F3" w:rsidRDefault="00184D56" w:rsidP="00C52822">
            <w:pPr>
              <w:pStyle w:val="Table-text"/>
              <w:rPr>
                <w:b/>
                <w:bCs/>
              </w:rPr>
            </w:pPr>
            <w:r w:rsidRPr="008037F3">
              <w:rPr>
                <w:i/>
                <w:iCs/>
              </w:rPr>
              <w:t>(27, 58)</w:t>
            </w:r>
          </w:p>
        </w:tc>
        <w:tc>
          <w:tcPr>
            <w:tcW w:w="2810" w:type="dxa"/>
            <w:gridSpan w:val="2"/>
            <w:tcMar>
              <w:top w:w="0" w:type="dxa"/>
              <w:left w:w="57" w:type="dxa"/>
              <w:bottom w:w="0" w:type="dxa"/>
              <w:right w:w="57" w:type="dxa"/>
            </w:tcMar>
          </w:tcPr>
          <w:p w14:paraId="65A9C302" w14:textId="4C4A241B" w:rsidR="00184D56" w:rsidRPr="008037F3" w:rsidRDefault="00184D56" w:rsidP="00C52822">
            <w:pPr>
              <w:pStyle w:val="Table-text"/>
              <w:rPr>
                <w:b/>
                <w:bCs/>
              </w:rPr>
            </w:pPr>
            <w:r w:rsidRPr="008037F3">
              <w:rPr>
                <w:b/>
                <w:bCs/>
              </w:rPr>
              <w:t>34%</w:t>
            </w:r>
          </w:p>
          <w:p w14:paraId="6F1E45C4" w14:textId="2D91B8C8" w:rsidR="00184D56" w:rsidRPr="008037F3" w:rsidRDefault="00184D56" w:rsidP="00C52822">
            <w:pPr>
              <w:pStyle w:val="Table-text"/>
              <w:rPr>
                <w:b/>
                <w:bCs/>
              </w:rPr>
            </w:pPr>
            <w:r w:rsidRPr="008037F3">
              <w:rPr>
                <w:i/>
                <w:iCs/>
              </w:rPr>
              <w:t>(16, 52)</w:t>
            </w:r>
          </w:p>
        </w:tc>
      </w:tr>
      <w:tr w:rsidR="00184D56" w:rsidRPr="008037F3" w14:paraId="060BFFF7" w14:textId="77777777" w:rsidTr="00E0523B">
        <w:trPr>
          <w:cantSplit/>
        </w:trPr>
        <w:tc>
          <w:tcPr>
            <w:tcW w:w="3397" w:type="dxa"/>
            <w:tcMar>
              <w:top w:w="0" w:type="dxa"/>
              <w:left w:w="57" w:type="dxa"/>
              <w:bottom w:w="0" w:type="dxa"/>
              <w:right w:w="57" w:type="dxa"/>
            </w:tcMar>
          </w:tcPr>
          <w:p w14:paraId="4532ECD3" w14:textId="471A0C83" w:rsidR="00184D56" w:rsidRPr="008037F3" w:rsidRDefault="00184D56" w:rsidP="00C52822">
            <w:pPr>
              <w:pStyle w:val="Table-text"/>
              <w:rPr>
                <w:b/>
                <w:bCs/>
              </w:rPr>
            </w:pPr>
            <w:r w:rsidRPr="008037F3">
              <w:rPr>
                <w:b/>
                <w:bCs/>
              </w:rPr>
              <w:t>p-value </w:t>
            </w:r>
            <w:r w:rsidRPr="008037F3">
              <w:rPr>
                <w:b/>
                <w:bCs/>
                <w:vertAlign w:val="superscript"/>
              </w:rPr>
              <w:t>d</w:t>
            </w:r>
          </w:p>
        </w:tc>
        <w:tc>
          <w:tcPr>
            <w:tcW w:w="2809" w:type="dxa"/>
            <w:gridSpan w:val="2"/>
            <w:tcMar>
              <w:top w:w="0" w:type="dxa"/>
              <w:left w:w="57" w:type="dxa"/>
              <w:bottom w:w="0" w:type="dxa"/>
              <w:right w:w="57" w:type="dxa"/>
            </w:tcMar>
          </w:tcPr>
          <w:p w14:paraId="14CD3D45" w14:textId="1EEECCA1" w:rsidR="00184D56" w:rsidRPr="008037F3" w:rsidRDefault="00184D56" w:rsidP="00C52822">
            <w:pPr>
              <w:pStyle w:val="Table-text"/>
              <w:rPr>
                <w:b/>
                <w:bCs/>
              </w:rPr>
            </w:pPr>
            <w:r w:rsidRPr="008037F3">
              <w:rPr>
                <w:b/>
                <w:bCs/>
              </w:rPr>
              <w:t>&lt; 0.0001</w:t>
            </w:r>
          </w:p>
        </w:tc>
        <w:tc>
          <w:tcPr>
            <w:tcW w:w="2810" w:type="dxa"/>
            <w:gridSpan w:val="2"/>
            <w:tcMar>
              <w:top w:w="0" w:type="dxa"/>
              <w:left w:w="57" w:type="dxa"/>
              <w:bottom w:w="0" w:type="dxa"/>
              <w:right w:w="57" w:type="dxa"/>
            </w:tcMar>
          </w:tcPr>
          <w:p w14:paraId="3B2498F0" w14:textId="03867FFA" w:rsidR="00184D56" w:rsidRPr="008037F3" w:rsidRDefault="00184D56" w:rsidP="00C52822">
            <w:pPr>
              <w:pStyle w:val="Table-text"/>
              <w:rPr>
                <w:b/>
                <w:bCs/>
              </w:rPr>
            </w:pPr>
            <w:r w:rsidRPr="008037F3">
              <w:rPr>
                <w:b/>
                <w:bCs/>
              </w:rPr>
              <w:t>0.0006</w:t>
            </w:r>
          </w:p>
        </w:tc>
      </w:tr>
    </w:tbl>
    <w:p w14:paraId="2477419B" w14:textId="77777777" w:rsidR="000E3A30" w:rsidRPr="008037F3" w:rsidRDefault="000E3A30" w:rsidP="00C52822">
      <w:pPr>
        <w:pStyle w:val="Table-space"/>
      </w:pPr>
    </w:p>
    <w:tbl>
      <w:tblPr>
        <w:tblStyle w:val="TableGrid"/>
        <w:tblW w:w="0" w:type="auto"/>
        <w:tblLook w:val="04A0" w:firstRow="1" w:lastRow="0" w:firstColumn="1" w:lastColumn="0" w:noHBand="0" w:noVBand="1"/>
      </w:tblPr>
      <w:tblGrid>
        <w:gridCol w:w="3397"/>
        <w:gridCol w:w="1404"/>
        <w:gridCol w:w="1405"/>
        <w:gridCol w:w="1405"/>
        <w:gridCol w:w="1405"/>
      </w:tblGrid>
      <w:tr w:rsidR="00184D56" w:rsidRPr="008037F3" w14:paraId="2F7786F9" w14:textId="77777777" w:rsidTr="000E3A30">
        <w:trPr>
          <w:cantSplit/>
        </w:trPr>
        <w:tc>
          <w:tcPr>
            <w:tcW w:w="9016" w:type="dxa"/>
            <w:gridSpan w:val="5"/>
            <w:tcMar>
              <w:top w:w="28" w:type="dxa"/>
              <w:left w:w="57" w:type="dxa"/>
              <w:bottom w:w="28" w:type="dxa"/>
              <w:right w:w="57" w:type="dxa"/>
            </w:tcMar>
            <w:vAlign w:val="center"/>
          </w:tcPr>
          <w:p w14:paraId="1A0791F8" w14:textId="466B6094" w:rsidR="00184D56" w:rsidRPr="008037F3" w:rsidRDefault="00184D56" w:rsidP="00C52822">
            <w:pPr>
              <w:pStyle w:val="Table-text"/>
              <w:keepNext/>
              <w:rPr>
                <w:b/>
                <w:bCs/>
              </w:rPr>
            </w:pPr>
            <w:r w:rsidRPr="008037F3">
              <w:rPr>
                <w:b/>
              </w:rPr>
              <w:lastRenderedPageBreak/>
              <w:t xml:space="preserve">High Baseline Platelet Count Cohort (≥40 </w:t>
            </w:r>
            <w:r w:rsidR="001532BE" w:rsidRPr="008037F3">
              <w:rPr>
                <w:b/>
              </w:rPr>
              <w:t>to &lt;50x</w:t>
            </w:r>
            <w:r w:rsidRPr="008037F3">
              <w:rPr>
                <w:b/>
              </w:rPr>
              <w:t>10</w:t>
            </w:r>
            <w:r w:rsidR="001532BE" w:rsidRPr="008037F3">
              <w:rPr>
                <w:b/>
                <w:vertAlign w:val="superscript"/>
              </w:rPr>
              <w:t>9</w:t>
            </w:r>
            <w:r w:rsidRPr="008037F3">
              <w:rPr>
                <w:b/>
              </w:rPr>
              <w:t>/L)</w:t>
            </w:r>
          </w:p>
        </w:tc>
      </w:tr>
      <w:tr w:rsidR="00900BE0" w:rsidRPr="008037F3" w14:paraId="5E6010F7" w14:textId="77777777" w:rsidTr="000E3A30">
        <w:trPr>
          <w:cantSplit/>
        </w:trPr>
        <w:tc>
          <w:tcPr>
            <w:tcW w:w="3397" w:type="dxa"/>
            <w:vMerge w:val="restart"/>
            <w:tcMar>
              <w:top w:w="28" w:type="dxa"/>
              <w:left w:w="57" w:type="dxa"/>
              <w:bottom w:w="28" w:type="dxa"/>
              <w:right w:w="57" w:type="dxa"/>
            </w:tcMar>
            <w:vAlign w:val="center"/>
          </w:tcPr>
          <w:p w14:paraId="310C2917" w14:textId="6E84BA02" w:rsidR="00900BE0" w:rsidRPr="008037F3" w:rsidRDefault="00900BE0" w:rsidP="00C52822">
            <w:pPr>
              <w:pStyle w:val="Table-Heading1"/>
              <w:keepNext/>
              <w:rPr>
                <w:bCs/>
              </w:rPr>
            </w:pPr>
            <w:r w:rsidRPr="008037F3">
              <w:t>Category</w:t>
            </w:r>
          </w:p>
        </w:tc>
        <w:tc>
          <w:tcPr>
            <w:tcW w:w="2809" w:type="dxa"/>
            <w:gridSpan w:val="2"/>
            <w:tcMar>
              <w:top w:w="28" w:type="dxa"/>
              <w:left w:w="57" w:type="dxa"/>
              <w:bottom w:w="28" w:type="dxa"/>
              <w:right w:w="57" w:type="dxa"/>
            </w:tcMar>
          </w:tcPr>
          <w:p w14:paraId="6E7B03F2" w14:textId="38926750" w:rsidR="00900BE0" w:rsidRPr="008037F3" w:rsidRDefault="00900BE0" w:rsidP="00C52822">
            <w:pPr>
              <w:pStyle w:val="Table-Heading1"/>
              <w:keepNext/>
              <w:rPr>
                <w:bCs/>
              </w:rPr>
            </w:pPr>
            <w:r w:rsidRPr="008037F3">
              <w:t>ADAPT-1</w:t>
            </w:r>
          </w:p>
        </w:tc>
        <w:tc>
          <w:tcPr>
            <w:tcW w:w="2810" w:type="dxa"/>
            <w:gridSpan w:val="2"/>
            <w:tcMar>
              <w:top w:w="28" w:type="dxa"/>
              <w:left w:w="57" w:type="dxa"/>
              <w:bottom w:w="28" w:type="dxa"/>
              <w:right w:w="57" w:type="dxa"/>
            </w:tcMar>
          </w:tcPr>
          <w:p w14:paraId="18430694" w14:textId="63923550" w:rsidR="00900BE0" w:rsidRPr="008037F3" w:rsidRDefault="00900BE0" w:rsidP="00C52822">
            <w:pPr>
              <w:pStyle w:val="Table-Heading1"/>
              <w:keepNext/>
              <w:rPr>
                <w:bCs/>
              </w:rPr>
            </w:pPr>
            <w:r w:rsidRPr="008037F3">
              <w:t>ADAPT-2</w:t>
            </w:r>
          </w:p>
        </w:tc>
      </w:tr>
      <w:tr w:rsidR="00900BE0" w:rsidRPr="008037F3" w14:paraId="6E3BADA7" w14:textId="77777777" w:rsidTr="000E3A30">
        <w:trPr>
          <w:cantSplit/>
        </w:trPr>
        <w:tc>
          <w:tcPr>
            <w:tcW w:w="3397" w:type="dxa"/>
            <w:vMerge/>
            <w:tcMar>
              <w:top w:w="28" w:type="dxa"/>
              <w:left w:w="57" w:type="dxa"/>
              <w:bottom w:w="28" w:type="dxa"/>
              <w:right w:w="57" w:type="dxa"/>
            </w:tcMar>
          </w:tcPr>
          <w:p w14:paraId="0DEAFC02" w14:textId="77777777" w:rsidR="00900BE0" w:rsidRPr="008037F3" w:rsidRDefault="00900BE0" w:rsidP="00C52822">
            <w:pPr>
              <w:pStyle w:val="Table-Heading1"/>
              <w:keepNext/>
              <w:rPr>
                <w:bCs/>
              </w:rPr>
            </w:pPr>
          </w:p>
        </w:tc>
        <w:tc>
          <w:tcPr>
            <w:tcW w:w="1404" w:type="dxa"/>
            <w:tcMar>
              <w:top w:w="28" w:type="dxa"/>
              <w:left w:w="57" w:type="dxa"/>
              <w:bottom w:w="28" w:type="dxa"/>
              <w:right w:w="57" w:type="dxa"/>
            </w:tcMar>
          </w:tcPr>
          <w:p w14:paraId="7B142250" w14:textId="167EE4BE" w:rsidR="00900BE0" w:rsidRPr="008037F3" w:rsidRDefault="00900BE0" w:rsidP="00C52822">
            <w:pPr>
              <w:pStyle w:val="Table-Heading1"/>
              <w:keepNext/>
            </w:pPr>
            <w:r w:rsidRPr="008037F3">
              <w:t xml:space="preserve">DOPTELET </w:t>
            </w:r>
            <w:r w:rsidR="00AD385F" w:rsidRPr="008037F3">
              <w:t>4</w:t>
            </w:r>
            <w:r w:rsidRPr="008037F3">
              <w:t>0 mg</w:t>
            </w:r>
          </w:p>
          <w:p w14:paraId="0AD29712" w14:textId="22D7D3B8" w:rsidR="00900BE0" w:rsidRPr="008037F3" w:rsidRDefault="00900BE0" w:rsidP="00C52822">
            <w:pPr>
              <w:pStyle w:val="Table-Heading1"/>
              <w:keepNext/>
              <w:rPr>
                <w:b w:val="0"/>
              </w:rPr>
            </w:pPr>
            <w:r w:rsidRPr="008037F3">
              <w:rPr>
                <w:b w:val="0"/>
              </w:rPr>
              <w:t>(n=</w:t>
            </w:r>
            <w:r w:rsidR="00AD385F" w:rsidRPr="008037F3">
              <w:rPr>
                <w:b w:val="0"/>
              </w:rPr>
              <w:t>59</w:t>
            </w:r>
            <w:r w:rsidRPr="008037F3">
              <w:rPr>
                <w:b w:val="0"/>
              </w:rPr>
              <w:t>)</w:t>
            </w:r>
          </w:p>
        </w:tc>
        <w:tc>
          <w:tcPr>
            <w:tcW w:w="1405" w:type="dxa"/>
          </w:tcPr>
          <w:p w14:paraId="06D55B20" w14:textId="77777777" w:rsidR="00900BE0" w:rsidRPr="008037F3" w:rsidRDefault="00900BE0" w:rsidP="00C52822">
            <w:pPr>
              <w:pStyle w:val="Table-Heading1"/>
              <w:keepNext/>
            </w:pPr>
            <w:r w:rsidRPr="008037F3">
              <w:t>Placebo</w:t>
            </w:r>
          </w:p>
          <w:p w14:paraId="4BFA45CF" w14:textId="4B38CE3F" w:rsidR="00900BE0" w:rsidRPr="008037F3" w:rsidRDefault="00900BE0" w:rsidP="00C52822">
            <w:pPr>
              <w:pStyle w:val="Table-Heading1"/>
              <w:keepNext/>
              <w:rPr>
                <w:b w:val="0"/>
              </w:rPr>
            </w:pPr>
            <w:r w:rsidRPr="008037F3">
              <w:rPr>
                <w:b w:val="0"/>
              </w:rPr>
              <w:t>(n=</w:t>
            </w:r>
            <w:r w:rsidR="00AD385F" w:rsidRPr="008037F3">
              <w:rPr>
                <w:b w:val="0"/>
              </w:rPr>
              <w:t>34</w:t>
            </w:r>
            <w:r w:rsidRPr="008037F3">
              <w:rPr>
                <w:b w:val="0"/>
              </w:rPr>
              <w:t>)</w:t>
            </w:r>
          </w:p>
        </w:tc>
        <w:tc>
          <w:tcPr>
            <w:tcW w:w="1405" w:type="dxa"/>
            <w:tcMar>
              <w:top w:w="28" w:type="dxa"/>
              <w:left w:w="57" w:type="dxa"/>
              <w:bottom w:w="28" w:type="dxa"/>
              <w:right w:w="57" w:type="dxa"/>
            </w:tcMar>
          </w:tcPr>
          <w:p w14:paraId="51551D78" w14:textId="0B948907" w:rsidR="00900BE0" w:rsidRPr="008037F3" w:rsidRDefault="00900BE0" w:rsidP="00C52822">
            <w:pPr>
              <w:pStyle w:val="Table-Heading1"/>
              <w:keepNext/>
            </w:pPr>
            <w:r w:rsidRPr="008037F3">
              <w:t xml:space="preserve">DOPTELET </w:t>
            </w:r>
            <w:r w:rsidR="00AD385F" w:rsidRPr="008037F3">
              <w:t>4</w:t>
            </w:r>
            <w:r w:rsidRPr="008037F3">
              <w:t>0 mg</w:t>
            </w:r>
          </w:p>
          <w:p w14:paraId="5B54FFD9" w14:textId="5BBC74EC" w:rsidR="00900BE0" w:rsidRPr="008037F3" w:rsidRDefault="00900BE0" w:rsidP="00C52822">
            <w:pPr>
              <w:pStyle w:val="Table-Heading1"/>
              <w:keepNext/>
              <w:rPr>
                <w:b w:val="0"/>
              </w:rPr>
            </w:pPr>
            <w:r w:rsidRPr="008037F3">
              <w:rPr>
                <w:b w:val="0"/>
              </w:rPr>
              <w:t>(n=</w:t>
            </w:r>
            <w:r w:rsidR="00AD385F" w:rsidRPr="008037F3">
              <w:rPr>
                <w:b w:val="0"/>
              </w:rPr>
              <w:t>58</w:t>
            </w:r>
            <w:r w:rsidRPr="008037F3">
              <w:rPr>
                <w:b w:val="0"/>
              </w:rPr>
              <w:t>)</w:t>
            </w:r>
          </w:p>
        </w:tc>
        <w:tc>
          <w:tcPr>
            <w:tcW w:w="1405" w:type="dxa"/>
          </w:tcPr>
          <w:p w14:paraId="5E1D3AA4" w14:textId="77777777" w:rsidR="00900BE0" w:rsidRPr="008037F3" w:rsidRDefault="00900BE0" w:rsidP="00C52822">
            <w:pPr>
              <w:pStyle w:val="Table-Heading1"/>
              <w:keepNext/>
            </w:pPr>
            <w:r w:rsidRPr="008037F3">
              <w:t>Placebo</w:t>
            </w:r>
          </w:p>
          <w:p w14:paraId="66E80604" w14:textId="2EC12B24" w:rsidR="00900BE0" w:rsidRPr="008037F3" w:rsidRDefault="00900BE0" w:rsidP="00C52822">
            <w:pPr>
              <w:pStyle w:val="Table-Heading1"/>
              <w:keepNext/>
              <w:rPr>
                <w:b w:val="0"/>
              </w:rPr>
            </w:pPr>
            <w:r w:rsidRPr="008037F3">
              <w:rPr>
                <w:b w:val="0"/>
              </w:rPr>
              <w:t>(n=</w:t>
            </w:r>
            <w:r w:rsidR="00AD385F" w:rsidRPr="008037F3">
              <w:rPr>
                <w:b w:val="0"/>
              </w:rPr>
              <w:t>33</w:t>
            </w:r>
            <w:r w:rsidRPr="008037F3">
              <w:rPr>
                <w:b w:val="0"/>
              </w:rPr>
              <w:t>)</w:t>
            </w:r>
          </w:p>
        </w:tc>
      </w:tr>
      <w:tr w:rsidR="00900BE0" w:rsidRPr="008037F3" w14:paraId="2B99D969" w14:textId="77777777" w:rsidTr="00E0523B">
        <w:trPr>
          <w:cantSplit/>
        </w:trPr>
        <w:tc>
          <w:tcPr>
            <w:tcW w:w="3397" w:type="dxa"/>
            <w:tcMar>
              <w:top w:w="0" w:type="dxa"/>
              <w:left w:w="57" w:type="dxa"/>
              <w:bottom w:w="0" w:type="dxa"/>
              <w:right w:w="57" w:type="dxa"/>
            </w:tcMar>
          </w:tcPr>
          <w:p w14:paraId="47C84DCB" w14:textId="77777777" w:rsidR="00900BE0" w:rsidRPr="008037F3" w:rsidRDefault="00900BE0" w:rsidP="00C52822">
            <w:pPr>
              <w:pStyle w:val="Table-text"/>
              <w:rPr>
                <w:b/>
                <w:bCs/>
              </w:rPr>
            </w:pPr>
            <w:r w:rsidRPr="008037F3">
              <w:rPr>
                <w:b/>
                <w:bCs/>
              </w:rPr>
              <w:t>Responders</w:t>
            </w:r>
          </w:p>
          <w:p w14:paraId="0C1B65DC" w14:textId="6A5D4B78" w:rsidR="00900BE0" w:rsidRPr="008037F3" w:rsidRDefault="00900BE0" w:rsidP="00C52822">
            <w:pPr>
              <w:pStyle w:val="Table-text"/>
              <w:rPr>
                <w:b/>
                <w:bCs/>
              </w:rPr>
            </w:pPr>
            <w:r w:rsidRPr="008037F3">
              <w:rPr>
                <w:i/>
                <w:iCs/>
              </w:rPr>
              <w:t>95% CI </w:t>
            </w:r>
            <w:r w:rsidRPr="008037F3">
              <w:rPr>
                <w:i/>
                <w:iCs/>
                <w:vertAlign w:val="superscript"/>
              </w:rPr>
              <w:t>a</w:t>
            </w:r>
          </w:p>
        </w:tc>
        <w:tc>
          <w:tcPr>
            <w:tcW w:w="1404" w:type="dxa"/>
            <w:tcMar>
              <w:top w:w="0" w:type="dxa"/>
              <w:left w:w="57" w:type="dxa"/>
              <w:bottom w:w="0" w:type="dxa"/>
              <w:right w:w="57" w:type="dxa"/>
            </w:tcMar>
          </w:tcPr>
          <w:p w14:paraId="18253BEC" w14:textId="221D20DD" w:rsidR="00900BE0" w:rsidRPr="008037F3" w:rsidRDefault="00AD385F" w:rsidP="00C52822">
            <w:pPr>
              <w:pStyle w:val="Table-text"/>
              <w:rPr>
                <w:b/>
                <w:bCs/>
              </w:rPr>
            </w:pPr>
            <w:r w:rsidRPr="008037F3">
              <w:rPr>
                <w:b/>
                <w:bCs/>
              </w:rPr>
              <w:t>88</w:t>
            </w:r>
            <w:r w:rsidR="00900BE0" w:rsidRPr="008037F3">
              <w:rPr>
                <w:b/>
                <w:bCs/>
              </w:rPr>
              <w:t>%</w:t>
            </w:r>
          </w:p>
          <w:p w14:paraId="121F7307" w14:textId="05E49EAC" w:rsidR="00900BE0" w:rsidRPr="008037F3" w:rsidRDefault="00900BE0" w:rsidP="00C52822">
            <w:pPr>
              <w:pStyle w:val="Table-text"/>
              <w:rPr>
                <w:b/>
                <w:bCs/>
              </w:rPr>
            </w:pPr>
            <w:r w:rsidRPr="008037F3">
              <w:rPr>
                <w:i/>
                <w:iCs/>
              </w:rPr>
              <w:t>(</w:t>
            </w:r>
            <w:r w:rsidR="00AD385F" w:rsidRPr="008037F3">
              <w:rPr>
                <w:i/>
                <w:iCs/>
              </w:rPr>
              <w:t>80</w:t>
            </w:r>
            <w:r w:rsidRPr="008037F3">
              <w:rPr>
                <w:i/>
                <w:iCs/>
              </w:rPr>
              <w:t xml:space="preserve">, </w:t>
            </w:r>
            <w:r w:rsidR="00AD385F" w:rsidRPr="008037F3">
              <w:rPr>
                <w:i/>
                <w:iCs/>
              </w:rPr>
              <w:t>96</w:t>
            </w:r>
            <w:r w:rsidRPr="008037F3">
              <w:rPr>
                <w:i/>
                <w:iCs/>
              </w:rPr>
              <w:t>)</w:t>
            </w:r>
          </w:p>
        </w:tc>
        <w:tc>
          <w:tcPr>
            <w:tcW w:w="1405" w:type="dxa"/>
          </w:tcPr>
          <w:p w14:paraId="17CC8769" w14:textId="0B8C8FD3" w:rsidR="00900BE0" w:rsidRPr="008037F3" w:rsidRDefault="00AD385F" w:rsidP="00C52822">
            <w:pPr>
              <w:pStyle w:val="Table-text"/>
              <w:rPr>
                <w:b/>
                <w:bCs/>
              </w:rPr>
            </w:pPr>
            <w:r w:rsidRPr="008037F3">
              <w:rPr>
                <w:b/>
                <w:bCs/>
              </w:rPr>
              <w:t>38</w:t>
            </w:r>
            <w:r w:rsidR="00900BE0" w:rsidRPr="008037F3">
              <w:rPr>
                <w:b/>
                <w:bCs/>
              </w:rPr>
              <w:t>%</w:t>
            </w:r>
          </w:p>
          <w:p w14:paraId="5B8C9FAB" w14:textId="3644F341" w:rsidR="00900BE0" w:rsidRPr="008037F3" w:rsidRDefault="00900BE0" w:rsidP="00C52822">
            <w:pPr>
              <w:pStyle w:val="Table-text"/>
              <w:rPr>
                <w:b/>
                <w:bCs/>
              </w:rPr>
            </w:pPr>
            <w:r w:rsidRPr="008037F3">
              <w:rPr>
                <w:i/>
                <w:iCs/>
              </w:rPr>
              <w:t>(</w:t>
            </w:r>
            <w:r w:rsidR="00AD385F" w:rsidRPr="008037F3">
              <w:rPr>
                <w:i/>
                <w:iCs/>
              </w:rPr>
              <w:t>22</w:t>
            </w:r>
            <w:r w:rsidRPr="008037F3">
              <w:rPr>
                <w:i/>
                <w:iCs/>
              </w:rPr>
              <w:t xml:space="preserve">, </w:t>
            </w:r>
            <w:r w:rsidR="00AD385F" w:rsidRPr="008037F3">
              <w:rPr>
                <w:i/>
                <w:iCs/>
              </w:rPr>
              <w:t>55</w:t>
            </w:r>
            <w:r w:rsidRPr="008037F3">
              <w:rPr>
                <w:i/>
                <w:iCs/>
              </w:rPr>
              <w:t>)</w:t>
            </w:r>
          </w:p>
        </w:tc>
        <w:tc>
          <w:tcPr>
            <w:tcW w:w="1405" w:type="dxa"/>
            <w:tcMar>
              <w:top w:w="0" w:type="dxa"/>
              <w:left w:w="57" w:type="dxa"/>
              <w:bottom w:w="0" w:type="dxa"/>
              <w:right w:w="57" w:type="dxa"/>
            </w:tcMar>
          </w:tcPr>
          <w:p w14:paraId="144E01C8" w14:textId="5C2EAEF5" w:rsidR="00900BE0" w:rsidRPr="008037F3" w:rsidRDefault="00AD385F" w:rsidP="00C52822">
            <w:pPr>
              <w:pStyle w:val="Table-text"/>
              <w:rPr>
                <w:b/>
                <w:bCs/>
              </w:rPr>
            </w:pPr>
            <w:r w:rsidRPr="008037F3">
              <w:rPr>
                <w:b/>
                <w:bCs/>
              </w:rPr>
              <w:t>88</w:t>
            </w:r>
            <w:r w:rsidR="00900BE0" w:rsidRPr="008037F3">
              <w:rPr>
                <w:b/>
                <w:bCs/>
              </w:rPr>
              <w:t>%</w:t>
            </w:r>
          </w:p>
          <w:p w14:paraId="3CD651F1" w14:textId="5D214B9C" w:rsidR="00900BE0" w:rsidRPr="008037F3" w:rsidRDefault="00900BE0" w:rsidP="00C52822">
            <w:pPr>
              <w:pStyle w:val="Table-text"/>
              <w:rPr>
                <w:b/>
                <w:bCs/>
              </w:rPr>
            </w:pPr>
            <w:r w:rsidRPr="008037F3">
              <w:rPr>
                <w:i/>
                <w:iCs/>
              </w:rPr>
              <w:t>(</w:t>
            </w:r>
            <w:r w:rsidR="00AD385F" w:rsidRPr="008037F3">
              <w:rPr>
                <w:i/>
                <w:iCs/>
              </w:rPr>
              <w:t>80</w:t>
            </w:r>
            <w:r w:rsidRPr="008037F3">
              <w:rPr>
                <w:i/>
                <w:iCs/>
              </w:rPr>
              <w:t xml:space="preserve">, </w:t>
            </w:r>
            <w:r w:rsidR="00AD385F" w:rsidRPr="008037F3">
              <w:rPr>
                <w:i/>
                <w:iCs/>
              </w:rPr>
              <w:t>96</w:t>
            </w:r>
            <w:r w:rsidRPr="008037F3">
              <w:rPr>
                <w:i/>
                <w:iCs/>
              </w:rPr>
              <w:t>)</w:t>
            </w:r>
          </w:p>
        </w:tc>
        <w:tc>
          <w:tcPr>
            <w:tcW w:w="1405" w:type="dxa"/>
          </w:tcPr>
          <w:p w14:paraId="196EC87D" w14:textId="697D6708" w:rsidR="00900BE0" w:rsidRPr="008037F3" w:rsidRDefault="00AD385F" w:rsidP="00C52822">
            <w:pPr>
              <w:pStyle w:val="Table-text"/>
              <w:rPr>
                <w:b/>
                <w:bCs/>
              </w:rPr>
            </w:pPr>
            <w:r w:rsidRPr="008037F3">
              <w:rPr>
                <w:b/>
                <w:bCs/>
              </w:rPr>
              <w:t>33</w:t>
            </w:r>
            <w:r w:rsidR="00900BE0" w:rsidRPr="008037F3">
              <w:rPr>
                <w:b/>
                <w:bCs/>
              </w:rPr>
              <w:t>%</w:t>
            </w:r>
          </w:p>
          <w:p w14:paraId="051256D5" w14:textId="1CD9D095" w:rsidR="00900BE0" w:rsidRPr="008037F3" w:rsidRDefault="00900BE0" w:rsidP="00C52822">
            <w:pPr>
              <w:pStyle w:val="Table-text"/>
              <w:rPr>
                <w:b/>
                <w:bCs/>
              </w:rPr>
            </w:pPr>
            <w:r w:rsidRPr="008037F3">
              <w:rPr>
                <w:i/>
                <w:iCs/>
              </w:rPr>
              <w:t>(</w:t>
            </w:r>
            <w:r w:rsidR="00AD385F" w:rsidRPr="008037F3">
              <w:rPr>
                <w:i/>
                <w:iCs/>
              </w:rPr>
              <w:t>17</w:t>
            </w:r>
            <w:r w:rsidRPr="008037F3">
              <w:rPr>
                <w:i/>
                <w:iCs/>
              </w:rPr>
              <w:t>, 49)</w:t>
            </w:r>
          </w:p>
        </w:tc>
      </w:tr>
      <w:tr w:rsidR="00900BE0" w:rsidRPr="008037F3" w14:paraId="66AC8936" w14:textId="77777777" w:rsidTr="00914BB4">
        <w:trPr>
          <w:cantSplit/>
        </w:trPr>
        <w:tc>
          <w:tcPr>
            <w:tcW w:w="3397" w:type="dxa"/>
            <w:tcMar>
              <w:top w:w="0" w:type="dxa"/>
              <w:left w:w="57" w:type="dxa"/>
              <w:bottom w:w="0" w:type="dxa"/>
              <w:right w:w="57" w:type="dxa"/>
            </w:tcMar>
          </w:tcPr>
          <w:p w14:paraId="196E55B1" w14:textId="77777777" w:rsidR="00900BE0" w:rsidRPr="008037F3" w:rsidRDefault="00900BE0" w:rsidP="00C52822">
            <w:pPr>
              <w:pStyle w:val="Table-text"/>
              <w:rPr>
                <w:b/>
                <w:bCs/>
              </w:rPr>
            </w:pPr>
            <w:r w:rsidRPr="008037F3">
              <w:rPr>
                <w:b/>
                <w:bCs/>
              </w:rPr>
              <w:t>Difference of Proportion vs. Placebo </w:t>
            </w:r>
            <w:r w:rsidRPr="008037F3">
              <w:rPr>
                <w:b/>
                <w:bCs/>
                <w:vertAlign w:val="superscript"/>
              </w:rPr>
              <w:t>b</w:t>
            </w:r>
          </w:p>
          <w:p w14:paraId="11B29E1F" w14:textId="14F02EE4" w:rsidR="00900BE0" w:rsidRPr="008037F3" w:rsidRDefault="00900BE0" w:rsidP="00C52822">
            <w:pPr>
              <w:pStyle w:val="Table-text"/>
              <w:rPr>
                <w:b/>
                <w:bCs/>
              </w:rPr>
            </w:pPr>
            <w:r w:rsidRPr="008037F3">
              <w:rPr>
                <w:i/>
                <w:iCs/>
              </w:rPr>
              <w:t>95% CI </w:t>
            </w:r>
            <w:r w:rsidR="00AD385F" w:rsidRPr="008037F3">
              <w:rPr>
                <w:i/>
                <w:iCs/>
                <w:vertAlign w:val="superscript"/>
              </w:rPr>
              <w:t>c</w:t>
            </w:r>
          </w:p>
        </w:tc>
        <w:tc>
          <w:tcPr>
            <w:tcW w:w="2809" w:type="dxa"/>
            <w:gridSpan w:val="2"/>
            <w:tcMar>
              <w:top w:w="0" w:type="dxa"/>
              <w:left w:w="57" w:type="dxa"/>
              <w:bottom w:w="0" w:type="dxa"/>
              <w:right w:w="57" w:type="dxa"/>
            </w:tcMar>
          </w:tcPr>
          <w:p w14:paraId="23DA439A" w14:textId="35767DAC" w:rsidR="00900BE0" w:rsidRPr="008037F3" w:rsidRDefault="00AD385F" w:rsidP="00C52822">
            <w:pPr>
              <w:pStyle w:val="Table-text"/>
              <w:rPr>
                <w:b/>
                <w:bCs/>
              </w:rPr>
            </w:pPr>
            <w:r w:rsidRPr="008037F3">
              <w:rPr>
                <w:b/>
                <w:bCs/>
              </w:rPr>
              <w:t>50</w:t>
            </w:r>
            <w:r w:rsidR="00900BE0" w:rsidRPr="008037F3">
              <w:rPr>
                <w:b/>
                <w:bCs/>
              </w:rPr>
              <w:t>%</w:t>
            </w:r>
          </w:p>
          <w:p w14:paraId="2D219F87" w14:textId="4E7633BE" w:rsidR="00900BE0" w:rsidRPr="008037F3" w:rsidRDefault="00900BE0" w:rsidP="00C52822">
            <w:pPr>
              <w:pStyle w:val="Table-text"/>
              <w:rPr>
                <w:b/>
                <w:bCs/>
              </w:rPr>
            </w:pPr>
            <w:r w:rsidRPr="008037F3">
              <w:rPr>
                <w:i/>
                <w:iCs/>
              </w:rPr>
              <w:t>(</w:t>
            </w:r>
            <w:r w:rsidR="00AD385F" w:rsidRPr="008037F3">
              <w:rPr>
                <w:i/>
                <w:iCs/>
              </w:rPr>
              <w:t>32</w:t>
            </w:r>
            <w:r w:rsidRPr="008037F3">
              <w:rPr>
                <w:i/>
                <w:iCs/>
              </w:rPr>
              <w:t xml:space="preserve">, </w:t>
            </w:r>
            <w:r w:rsidR="00AD385F" w:rsidRPr="008037F3">
              <w:rPr>
                <w:i/>
                <w:iCs/>
              </w:rPr>
              <w:t>68</w:t>
            </w:r>
            <w:r w:rsidRPr="008037F3">
              <w:rPr>
                <w:i/>
                <w:iCs/>
              </w:rPr>
              <w:t>)</w:t>
            </w:r>
          </w:p>
        </w:tc>
        <w:tc>
          <w:tcPr>
            <w:tcW w:w="2810" w:type="dxa"/>
            <w:gridSpan w:val="2"/>
            <w:tcMar>
              <w:top w:w="0" w:type="dxa"/>
              <w:left w:w="57" w:type="dxa"/>
              <w:bottom w:w="0" w:type="dxa"/>
              <w:right w:w="57" w:type="dxa"/>
            </w:tcMar>
          </w:tcPr>
          <w:p w14:paraId="11B4B648" w14:textId="699E8461" w:rsidR="00900BE0" w:rsidRPr="008037F3" w:rsidRDefault="00AD385F" w:rsidP="00C52822">
            <w:pPr>
              <w:pStyle w:val="Table-text"/>
              <w:rPr>
                <w:b/>
                <w:bCs/>
              </w:rPr>
            </w:pPr>
            <w:r w:rsidRPr="008037F3">
              <w:rPr>
                <w:b/>
                <w:bCs/>
              </w:rPr>
              <w:t>55</w:t>
            </w:r>
            <w:r w:rsidR="00900BE0" w:rsidRPr="008037F3">
              <w:rPr>
                <w:b/>
                <w:bCs/>
              </w:rPr>
              <w:t>%</w:t>
            </w:r>
          </w:p>
          <w:p w14:paraId="3EAF5068" w14:textId="557346AC" w:rsidR="00900BE0" w:rsidRPr="008037F3" w:rsidRDefault="00900BE0" w:rsidP="00C52822">
            <w:pPr>
              <w:pStyle w:val="Table-text"/>
              <w:rPr>
                <w:b/>
                <w:bCs/>
              </w:rPr>
            </w:pPr>
            <w:r w:rsidRPr="008037F3">
              <w:rPr>
                <w:i/>
                <w:iCs/>
              </w:rPr>
              <w:t>(</w:t>
            </w:r>
            <w:r w:rsidR="00441703" w:rsidRPr="008037F3">
              <w:rPr>
                <w:i/>
                <w:iCs/>
              </w:rPr>
              <w:t>37</w:t>
            </w:r>
            <w:r w:rsidRPr="008037F3">
              <w:rPr>
                <w:i/>
                <w:iCs/>
              </w:rPr>
              <w:t xml:space="preserve">, </w:t>
            </w:r>
            <w:r w:rsidR="00441703" w:rsidRPr="008037F3">
              <w:rPr>
                <w:i/>
                <w:iCs/>
              </w:rPr>
              <w:t>73</w:t>
            </w:r>
            <w:r w:rsidRPr="008037F3">
              <w:rPr>
                <w:i/>
                <w:iCs/>
              </w:rPr>
              <w:t>)</w:t>
            </w:r>
          </w:p>
        </w:tc>
      </w:tr>
      <w:tr w:rsidR="00900BE0" w:rsidRPr="008037F3" w14:paraId="613ECAF1" w14:textId="77777777" w:rsidTr="00914BB4">
        <w:trPr>
          <w:cantSplit/>
        </w:trPr>
        <w:tc>
          <w:tcPr>
            <w:tcW w:w="3397" w:type="dxa"/>
            <w:tcMar>
              <w:top w:w="0" w:type="dxa"/>
              <w:left w:w="57" w:type="dxa"/>
              <w:bottom w:w="0" w:type="dxa"/>
              <w:right w:w="57" w:type="dxa"/>
            </w:tcMar>
          </w:tcPr>
          <w:p w14:paraId="6657C28B" w14:textId="0DEBFFF4" w:rsidR="00900BE0" w:rsidRPr="008037F3" w:rsidRDefault="00900BE0" w:rsidP="00C52822">
            <w:pPr>
              <w:pStyle w:val="Table-text"/>
              <w:rPr>
                <w:b/>
                <w:bCs/>
              </w:rPr>
            </w:pPr>
            <w:r w:rsidRPr="008037F3">
              <w:rPr>
                <w:b/>
                <w:bCs/>
              </w:rPr>
              <w:t>p-value </w:t>
            </w:r>
            <w:r w:rsidRPr="008037F3">
              <w:rPr>
                <w:b/>
                <w:bCs/>
                <w:vertAlign w:val="superscript"/>
              </w:rPr>
              <w:t>d</w:t>
            </w:r>
          </w:p>
        </w:tc>
        <w:tc>
          <w:tcPr>
            <w:tcW w:w="2809" w:type="dxa"/>
            <w:gridSpan w:val="2"/>
            <w:tcMar>
              <w:top w:w="0" w:type="dxa"/>
              <w:left w:w="57" w:type="dxa"/>
              <w:bottom w:w="0" w:type="dxa"/>
              <w:right w:w="57" w:type="dxa"/>
            </w:tcMar>
          </w:tcPr>
          <w:p w14:paraId="59EF158B" w14:textId="31C6EB9D" w:rsidR="00900BE0" w:rsidRPr="008037F3" w:rsidRDefault="00900BE0" w:rsidP="00C52822">
            <w:pPr>
              <w:pStyle w:val="Table-text"/>
              <w:rPr>
                <w:b/>
                <w:bCs/>
              </w:rPr>
            </w:pPr>
            <w:r w:rsidRPr="008037F3">
              <w:rPr>
                <w:b/>
                <w:bCs/>
              </w:rPr>
              <w:t>&lt; 0.0001</w:t>
            </w:r>
          </w:p>
        </w:tc>
        <w:tc>
          <w:tcPr>
            <w:tcW w:w="2810" w:type="dxa"/>
            <w:gridSpan w:val="2"/>
            <w:tcMar>
              <w:top w:w="0" w:type="dxa"/>
              <w:left w:w="57" w:type="dxa"/>
              <w:bottom w:w="0" w:type="dxa"/>
              <w:right w:w="57" w:type="dxa"/>
            </w:tcMar>
          </w:tcPr>
          <w:p w14:paraId="3F9C10D6" w14:textId="69EA7147" w:rsidR="00900BE0" w:rsidRPr="008037F3" w:rsidRDefault="00441703" w:rsidP="00C52822">
            <w:pPr>
              <w:pStyle w:val="Table-text"/>
              <w:rPr>
                <w:b/>
                <w:bCs/>
              </w:rPr>
            </w:pPr>
            <w:r w:rsidRPr="008037F3">
              <w:rPr>
                <w:b/>
                <w:bCs/>
              </w:rPr>
              <w:t>&lt;</w:t>
            </w:r>
            <w:r w:rsidR="00900BE0" w:rsidRPr="008037F3">
              <w:rPr>
                <w:b/>
                <w:bCs/>
              </w:rPr>
              <w:t>0.000</w:t>
            </w:r>
            <w:r w:rsidRPr="008037F3">
              <w:rPr>
                <w:b/>
                <w:bCs/>
              </w:rPr>
              <w:t>1</w:t>
            </w:r>
          </w:p>
        </w:tc>
      </w:tr>
      <w:tr w:rsidR="00900BE0" w:rsidRPr="008037F3" w14:paraId="726C9657" w14:textId="77777777" w:rsidTr="00914BB4">
        <w:trPr>
          <w:cantSplit/>
        </w:trPr>
        <w:tc>
          <w:tcPr>
            <w:tcW w:w="9016" w:type="dxa"/>
            <w:gridSpan w:val="5"/>
            <w:tcMar>
              <w:top w:w="0" w:type="dxa"/>
              <w:left w:w="57" w:type="dxa"/>
              <w:bottom w:w="0" w:type="dxa"/>
              <w:right w:w="57" w:type="dxa"/>
            </w:tcMar>
          </w:tcPr>
          <w:p w14:paraId="22858CB2" w14:textId="77777777" w:rsidR="00AD385F" w:rsidRPr="008037F3" w:rsidRDefault="00AD385F" w:rsidP="00C52822">
            <w:pPr>
              <w:pStyle w:val="Table-Footertext"/>
              <w:jc w:val="left"/>
            </w:pPr>
            <w:r w:rsidRPr="008037F3">
              <w:rPr>
                <w:vertAlign w:val="superscript"/>
              </w:rPr>
              <w:t>a.</w:t>
            </w:r>
            <w:r w:rsidRPr="008037F3">
              <w:t xml:space="preserve"> Two-sided 95% confidence interval based on normal approximation. </w:t>
            </w:r>
          </w:p>
          <w:p w14:paraId="78733BB0" w14:textId="77777777" w:rsidR="00AD385F" w:rsidRPr="008037F3" w:rsidRDefault="00AD385F" w:rsidP="00C52822">
            <w:pPr>
              <w:pStyle w:val="Table-Footertext"/>
              <w:jc w:val="left"/>
            </w:pPr>
            <w:r w:rsidRPr="008037F3">
              <w:rPr>
                <w:vertAlign w:val="superscript"/>
              </w:rPr>
              <w:t>b.</w:t>
            </w:r>
            <w:r w:rsidRPr="008037F3">
              <w:t xml:space="preserve"> Difference of Proportion vs. placebo = Proportion of Responders for DOPTELET – Proportion of Responders for placebo. </w:t>
            </w:r>
          </w:p>
          <w:p w14:paraId="77C5C386" w14:textId="77777777" w:rsidR="00AD385F" w:rsidRPr="008037F3" w:rsidRDefault="00AD385F" w:rsidP="00C52822">
            <w:pPr>
              <w:pStyle w:val="Table-Footertext"/>
              <w:jc w:val="left"/>
            </w:pPr>
            <w:r w:rsidRPr="008037F3">
              <w:rPr>
                <w:vertAlign w:val="superscript"/>
              </w:rPr>
              <w:t>c.</w:t>
            </w:r>
            <w:r w:rsidRPr="008037F3">
              <w:t xml:space="preserve"> 95% confidence interval calculated based on normal approximation. </w:t>
            </w:r>
          </w:p>
          <w:p w14:paraId="0B3E5C6E" w14:textId="68825264" w:rsidR="00900BE0" w:rsidRPr="008037F3" w:rsidRDefault="00AD385F" w:rsidP="00C52822">
            <w:pPr>
              <w:pStyle w:val="Table-Footertext"/>
              <w:jc w:val="left"/>
            </w:pPr>
            <w:r w:rsidRPr="008037F3">
              <w:rPr>
                <w:vertAlign w:val="superscript"/>
              </w:rPr>
              <w:t>d.</w:t>
            </w:r>
            <w:r w:rsidRPr="008037F3">
              <w:t xml:space="preserve"> By Cochran-Mantel-Haenszel Testing stratified by bleeding risk for the procedure. </w:t>
            </w:r>
          </w:p>
        </w:tc>
      </w:tr>
    </w:tbl>
    <w:p w14:paraId="070E7F4F" w14:textId="69AEBD24" w:rsidR="000E085B" w:rsidRPr="008037F3" w:rsidRDefault="000E085B" w:rsidP="00C52822">
      <w:pPr>
        <w:pStyle w:val="BodyText1"/>
        <w:jc w:val="left"/>
      </w:pPr>
    </w:p>
    <w:p w14:paraId="5AC86016" w14:textId="7B988348" w:rsidR="00054100" w:rsidRPr="008037F3" w:rsidRDefault="00054100" w:rsidP="00C52822">
      <w:pPr>
        <w:pStyle w:val="BodyText1"/>
        <w:jc w:val="left"/>
      </w:pPr>
      <w:r w:rsidRPr="008037F3">
        <w:t>In addition, both trials demonstrated a higher proportion of patients who achieved the target platelet count of ≥50x10</w:t>
      </w:r>
      <w:r w:rsidRPr="008037F3">
        <w:rPr>
          <w:vertAlign w:val="superscript"/>
        </w:rPr>
        <w:t>9</w:t>
      </w:r>
      <w:r w:rsidRPr="008037F3">
        <w:t>/L on the day of procedure, a secondary efficacy endpoint, in both DOPTELET-treated groups versus the placebo-treated groups for both cohorts (Low Baseline Platelet Count Cohort – ADAPT-1: 69% vs 4%, respectively; p &lt;0.0001, ADAPT-2: 67% vs 7%, respectively; p &lt;0.0001; High Baseline Platelet Count Cohort – ADAPT-1: 88% vs 21%, respectively; p &lt;0.0001: ADAPT-2: 93% vs 39%, respectively; p &lt;0.0001). Further, both trials demonstrated a greater mean change in platelet counts from baseline to the day of the procedure, a secondary efficacy endpoint, in both DOPTELET-treated groups versus the placebo-treated groups for both cohorts (Low Baseline Platelet Count Cohort – ADAPT-1: 32x10</w:t>
      </w:r>
      <w:r w:rsidRPr="008037F3">
        <w:rPr>
          <w:vertAlign w:val="superscript"/>
        </w:rPr>
        <w:t>9</w:t>
      </w:r>
      <w:r w:rsidRPr="008037F3">
        <w:t>/L vs 0.8x10</w:t>
      </w:r>
      <w:r w:rsidRPr="008037F3">
        <w:rPr>
          <w:vertAlign w:val="superscript"/>
        </w:rPr>
        <w:t>9</w:t>
      </w:r>
      <w:r w:rsidRPr="008037F3">
        <w:t>/L, respectively; p &lt;0.0001; ADAPT-2: 31.3x10</w:t>
      </w:r>
      <w:r w:rsidRPr="008037F3">
        <w:rPr>
          <w:vertAlign w:val="superscript"/>
        </w:rPr>
        <w:t>9</w:t>
      </w:r>
      <w:r w:rsidRPr="008037F3">
        <w:t>/L vs 3.0x10</w:t>
      </w:r>
      <w:r w:rsidRPr="008037F3">
        <w:rPr>
          <w:vertAlign w:val="superscript"/>
        </w:rPr>
        <w:t>9</w:t>
      </w:r>
      <w:r w:rsidRPr="008037F3">
        <w:t>/L, respectively; p &lt;0.0001; High Baseline Platelet Count Cohort – ADAPT-1: 37.1x10</w:t>
      </w:r>
      <w:r w:rsidRPr="008037F3">
        <w:rPr>
          <w:vertAlign w:val="superscript"/>
        </w:rPr>
        <w:t>9</w:t>
      </w:r>
      <w:r w:rsidRPr="008037F3">
        <w:t>/L vs 1.0x10</w:t>
      </w:r>
      <w:r w:rsidRPr="008037F3">
        <w:rPr>
          <w:vertAlign w:val="superscript"/>
        </w:rPr>
        <w:t>9</w:t>
      </w:r>
      <w:r w:rsidRPr="008037F3">
        <w:t>/L, respectively; p &lt;0.0001; ADAPT-2: 44.9x10</w:t>
      </w:r>
      <w:r w:rsidRPr="008037F3">
        <w:rPr>
          <w:vertAlign w:val="superscript"/>
        </w:rPr>
        <w:t>9</w:t>
      </w:r>
      <w:r w:rsidRPr="008037F3">
        <w:t>/L vs 5.9x10</w:t>
      </w:r>
      <w:r w:rsidRPr="008037F3">
        <w:rPr>
          <w:vertAlign w:val="superscript"/>
        </w:rPr>
        <w:t>9</w:t>
      </w:r>
      <w:r w:rsidRPr="008037F3">
        <w:t xml:space="preserve">/L, respectively; p &lt;0.0001). </w:t>
      </w:r>
    </w:p>
    <w:p w14:paraId="541B00F6" w14:textId="77777777" w:rsidR="00054100" w:rsidRPr="008037F3" w:rsidRDefault="00054100" w:rsidP="00C52822">
      <w:pPr>
        <w:pStyle w:val="BodyText1"/>
        <w:jc w:val="left"/>
      </w:pPr>
      <w:r w:rsidRPr="008037F3">
        <w:t xml:space="preserve">A measured increase in platelet counts was observed in both DOPTELET treatment groups over time beginning on Day 4 post-dose, that peaked on Day 10-13, decreased 7 days post-procedure, and then returned to near baseline values by Day 35. </w:t>
      </w:r>
    </w:p>
    <w:p w14:paraId="2B00B675" w14:textId="63A39111" w:rsidR="00054100" w:rsidRPr="008037F3" w:rsidRDefault="00054100" w:rsidP="00C52822">
      <w:pPr>
        <w:pStyle w:val="Heading4"/>
        <w:keepNext/>
      </w:pPr>
      <w:r w:rsidRPr="008037F3">
        <w:t xml:space="preserve">Patients with Chronic Immune Thrombocytopenia </w:t>
      </w:r>
    </w:p>
    <w:p w14:paraId="55647F38" w14:textId="3067C168" w:rsidR="00054100" w:rsidRPr="008037F3" w:rsidRDefault="00054100" w:rsidP="00C52822">
      <w:pPr>
        <w:pStyle w:val="Heading5"/>
        <w:keepNext/>
      </w:pPr>
      <w:r w:rsidRPr="008037F3">
        <w:t>Randomi</w:t>
      </w:r>
      <w:r w:rsidR="00C81C43">
        <w:t>s</w:t>
      </w:r>
      <w:r w:rsidRPr="008037F3">
        <w:t xml:space="preserve">ed Phase 3 Clinical Trial </w:t>
      </w:r>
    </w:p>
    <w:p w14:paraId="0B716396" w14:textId="25B9EED3" w:rsidR="00054100" w:rsidRPr="008037F3" w:rsidRDefault="00054100" w:rsidP="00C52822">
      <w:pPr>
        <w:pStyle w:val="BodyText1"/>
        <w:keepNext/>
        <w:jc w:val="left"/>
      </w:pPr>
      <w:r w:rsidRPr="008037F3">
        <w:t>The efficacy of DOPTELET in adult patients with chronic immune thrombocytopenia was evaluated in a Phase 3, multicent</w:t>
      </w:r>
      <w:r w:rsidR="00A562F2">
        <w:t>r</w:t>
      </w:r>
      <w:r w:rsidRPr="008037F3">
        <w:t>e, randomi</w:t>
      </w:r>
      <w:r w:rsidR="00C81C43">
        <w:t>s</w:t>
      </w:r>
      <w:r w:rsidRPr="008037F3">
        <w:t>ed, double-blind, placebo-controlled trial. Patients had previously received one or more prior chronic immune thrombocytopenia therapies and had an average of screening and baseline platelet counts &lt;30</w:t>
      </w:r>
      <w:r w:rsidR="00ED0FE8" w:rsidRPr="008037F3">
        <w:t>x10</w:t>
      </w:r>
      <w:r w:rsidR="00ED0FE8" w:rsidRPr="008037F3">
        <w:rPr>
          <w:vertAlign w:val="superscript"/>
        </w:rPr>
        <w:t>9</w:t>
      </w:r>
      <w:r w:rsidRPr="008037F3">
        <w:t>/L. Patients were centrally stratified by splenectomy status, baseline platelet count (≤15</w:t>
      </w:r>
      <w:r w:rsidR="00ED0FE8" w:rsidRPr="008037F3">
        <w:t>x10</w:t>
      </w:r>
      <w:r w:rsidR="00ED0FE8" w:rsidRPr="008037F3">
        <w:rPr>
          <w:vertAlign w:val="superscript"/>
        </w:rPr>
        <w:t>9</w:t>
      </w:r>
      <w:r w:rsidRPr="008037F3">
        <w:t>/L or &gt;15</w:t>
      </w:r>
      <w:r w:rsidR="00ED0FE8" w:rsidRPr="008037F3">
        <w:t>x10</w:t>
      </w:r>
      <w:r w:rsidR="00ED0FE8" w:rsidRPr="008037F3">
        <w:rPr>
          <w:vertAlign w:val="superscript"/>
        </w:rPr>
        <w:t>9</w:t>
      </w:r>
      <w:r w:rsidRPr="008037F3">
        <w:t>/L to &lt;30</w:t>
      </w:r>
      <w:r w:rsidR="00ED0FE8" w:rsidRPr="008037F3">
        <w:t>x10</w:t>
      </w:r>
      <w:r w:rsidR="00ED0FE8" w:rsidRPr="008037F3">
        <w:rPr>
          <w:vertAlign w:val="superscript"/>
        </w:rPr>
        <w:t>9</w:t>
      </w:r>
      <w:r w:rsidRPr="008037F3">
        <w:t>/L), and use of concomitant chronic immune thrombocytopenia medication, and then randomi</w:t>
      </w:r>
      <w:r w:rsidR="00C81C43">
        <w:t>s</w:t>
      </w:r>
      <w:r w:rsidRPr="008037F3">
        <w:t xml:space="preserve">ed (2:1) to receive either DOPTELET or placebo for 6 months. Patients received a starting dose of 20 mg once daily, with doses subsequently titrated based on platelet response. </w:t>
      </w:r>
    </w:p>
    <w:p w14:paraId="6F9AF135" w14:textId="2501C168" w:rsidR="00054100" w:rsidRPr="008037F3" w:rsidRDefault="00054100" w:rsidP="00C52822">
      <w:pPr>
        <w:pStyle w:val="BodyText1"/>
        <w:jc w:val="left"/>
      </w:pPr>
      <w:r w:rsidRPr="008037F3">
        <w:t>Forty-nine patients were randomi</w:t>
      </w:r>
      <w:r w:rsidR="00C81C43">
        <w:t>s</w:t>
      </w:r>
      <w:r w:rsidRPr="008037F3">
        <w:t>ed, 32 to DOPTELET and 17 to placebo, with similar mean [SD] baseline platelet counts in the 2 treatment groups (14.1 [8.6]</w:t>
      </w:r>
      <w:r w:rsidR="00ED0FE8" w:rsidRPr="008037F3">
        <w:t>x10</w:t>
      </w:r>
      <w:r w:rsidR="00ED0FE8" w:rsidRPr="008037F3">
        <w:rPr>
          <w:vertAlign w:val="superscript"/>
        </w:rPr>
        <w:t>9</w:t>
      </w:r>
      <w:r w:rsidRPr="008037F3">
        <w:t>/L and 12.7 [7.8]</w:t>
      </w:r>
      <w:r w:rsidR="00ED0FE8" w:rsidRPr="008037F3">
        <w:t>x10</w:t>
      </w:r>
      <w:r w:rsidR="00ED0FE8" w:rsidRPr="008037F3">
        <w:rPr>
          <w:vertAlign w:val="superscript"/>
        </w:rPr>
        <w:t>9</w:t>
      </w:r>
      <w:r w:rsidRPr="008037F3">
        <w:t>/L, respectively). The median age was 44</w:t>
      </w:r>
      <w:r w:rsidR="00ED0FE8" w:rsidRPr="008037F3">
        <w:t> </w:t>
      </w:r>
      <w:r w:rsidRPr="008037F3">
        <w:t>years, 63% were female, and 94% were Caucasian, 4% Asian and 2% Black. The median duration of exposure was 26 weeks for DOPTELET-treated patients and 6 weeks for placebo-treated patients. The major efficacy outcome in this trial was the cumulative number of weeks in which the platelet count was ≥50</w:t>
      </w:r>
      <w:r w:rsidR="00ED0FE8" w:rsidRPr="008037F3">
        <w:t>x10</w:t>
      </w:r>
      <w:r w:rsidR="00ED0FE8" w:rsidRPr="008037F3">
        <w:rPr>
          <w:vertAlign w:val="superscript"/>
        </w:rPr>
        <w:t>9</w:t>
      </w:r>
      <w:r w:rsidRPr="008037F3">
        <w:t>/L during the 6</w:t>
      </w:r>
      <w:r w:rsidR="00ED0FE8" w:rsidRPr="008037F3">
        <w:noBreakHyphen/>
      </w:r>
      <w:r w:rsidRPr="008037F3">
        <w:t xml:space="preserve">month treatment period in the absence of rescue therapy. DOPTELET-treated patients had a longer duration of platelet counts </w:t>
      </w:r>
      <w:r w:rsidR="007571DB" w:rsidRPr="008037F3">
        <w:t>≥</w:t>
      </w:r>
      <w:r w:rsidRPr="008037F3">
        <w:t>50</w:t>
      </w:r>
      <w:r w:rsidR="00ED0FE8" w:rsidRPr="008037F3">
        <w:t>x10</w:t>
      </w:r>
      <w:r w:rsidR="00ED0FE8" w:rsidRPr="008037F3">
        <w:rPr>
          <w:vertAlign w:val="superscript"/>
        </w:rPr>
        <w:t>9</w:t>
      </w:r>
      <w:r w:rsidRPr="008037F3">
        <w:t xml:space="preserve">/L in the absence of rescue therapy than those who received placebo (median 12.4 [0, 25] vs 0 [0, 2] weeks, respectively, p &lt;0.0001) (see </w:t>
      </w:r>
      <w:r w:rsidR="00C5152F" w:rsidRPr="008037F3">
        <w:fldChar w:fldCharType="begin"/>
      </w:r>
      <w:r w:rsidR="00C5152F" w:rsidRPr="008037F3">
        <w:instrText xml:space="preserve"> REF _Ref77684086 \h </w:instrText>
      </w:r>
      <w:r w:rsidR="00C52822">
        <w:instrText xml:space="preserve"> \* MERGEFORMAT </w:instrText>
      </w:r>
      <w:r w:rsidR="00C5152F" w:rsidRPr="008037F3">
        <w:fldChar w:fldCharType="separate"/>
      </w:r>
      <w:r w:rsidR="00C5152F" w:rsidRPr="008037F3">
        <w:t>Table 8</w:t>
      </w:r>
      <w:r w:rsidR="00C5152F" w:rsidRPr="008037F3">
        <w:fldChar w:fldCharType="end"/>
      </w:r>
      <w:r w:rsidRPr="008037F3">
        <w:t xml:space="preserve">). </w:t>
      </w:r>
    </w:p>
    <w:tbl>
      <w:tblPr>
        <w:tblStyle w:val="TableGrid"/>
        <w:tblW w:w="0" w:type="auto"/>
        <w:tblLook w:val="04A0" w:firstRow="1" w:lastRow="0" w:firstColumn="1" w:lastColumn="0" w:noHBand="0" w:noVBand="1"/>
      </w:tblPr>
      <w:tblGrid>
        <w:gridCol w:w="9016"/>
      </w:tblGrid>
      <w:tr w:rsidR="00C5152F" w:rsidRPr="008037F3" w14:paraId="3B1E4C76" w14:textId="77777777" w:rsidTr="002F37DA">
        <w:tc>
          <w:tcPr>
            <w:tcW w:w="9016" w:type="dxa"/>
            <w:tcMar>
              <w:left w:w="57" w:type="dxa"/>
              <w:right w:w="57" w:type="dxa"/>
            </w:tcMar>
          </w:tcPr>
          <w:p w14:paraId="169A5E3F" w14:textId="6F52A0C0" w:rsidR="00C5152F" w:rsidRPr="008037F3" w:rsidRDefault="00C5152F" w:rsidP="00C52822">
            <w:pPr>
              <w:pStyle w:val="Table-MainTitle"/>
            </w:pPr>
            <w:bookmarkStart w:id="16" w:name="_Ref77684086"/>
            <w:r w:rsidRPr="008037F3">
              <w:lastRenderedPageBreak/>
              <w:t xml:space="preserve">Table </w:t>
            </w:r>
            <w:r w:rsidR="00FD1B09">
              <w:fldChar w:fldCharType="begin"/>
            </w:r>
            <w:r w:rsidR="00FD1B09">
              <w:instrText xml:space="preserve"> SEQ Table \* ARABIC </w:instrText>
            </w:r>
            <w:r w:rsidR="00FD1B09">
              <w:fldChar w:fldCharType="separate"/>
            </w:r>
            <w:r w:rsidR="009344F9" w:rsidRPr="008037F3">
              <w:t>8</w:t>
            </w:r>
            <w:r w:rsidR="00FD1B09">
              <w:fldChar w:fldCharType="end"/>
            </w:r>
            <w:bookmarkEnd w:id="16"/>
            <w:r w:rsidRPr="008037F3">
              <w:t xml:space="preserve">: </w:t>
            </w:r>
            <w:r w:rsidRPr="008037F3">
              <w:tab/>
            </w:r>
            <w:r w:rsidR="001C28B6" w:rsidRPr="008037F3">
              <w:t>Cumulative Number of Weeks of Platelet Response - Phase 3 Trial in Patients with Chronic Immune Thrombocytopenia</w:t>
            </w:r>
          </w:p>
        </w:tc>
      </w:tr>
    </w:tbl>
    <w:p w14:paraId="14681FD7" w14:textId="77777777" w:rsidR="00C5152F" w:rsidRPr="008037F3" w:rsidRDefault="00C5152F" w:rsidP="00C52822">
      <w:pPr>
        <w:pStyle w:val="Table-space"/>
        <w:keepNext/>
      </w:pPr>
    </w:p>
    <w:tbl>
      <w:tblPr>
        <w:tblStyle w:val="TableGrid"/>
        <w:tblW w:w="0" w:type="auto"/>
        <w:tblLook w:val="04A0" w:firstRow="1" w:lastRow="0" w:firstColumn="1" w:lastColumn="0" w:noHBand="0" w:noVBand="1"/>
      </w:tblPr>
      <w:tblGrid>
        <w:gridCol w:w="3947"/>
        <w:gridCol w:w="2534"/>
        <w:gridCol w:w="2535"/>
      </w:tblGrid>
      <w:tr w:rsidR="00C5152F" w:rsidRPr="008037F3" w14:paraId="2771D9CE" w14:textId="77777777" w:rsidTr="002F37DA">
        <w:trPr>
          <w:tblHeader/>
        </w:trPr>
        <w:tc>
          <w:tcPr>
            <w:tcW w:w="3947" w:type="dxa"/>
            <w:tcMar>
              <w:top w:w="28" w:type="dxa"/>
              <w:left w:w="57" w:type="dxa"/>
              <w:bottom w:w="28" w:type="dxa"/>
              <w:right w:w="57" w:type="dxa"/>
            </w:tcMar>
          </w:tcPr>
          <w:p w14:paraId="799A2DD4" w14:textId="7C87763E" w:rsidR="00C5152F" w:rsidRPr="008037F3" w:rsidRDefault="001C28B6" w:rsidP="00C52822">
            <w:pPr>
              <w:pStyle w:val="Table-Heading1"/>
              <w:keepNext/>
            </w:pPr>
            <w:r w:rsidRPr="008037F3">
              <w:t>Primary Efficacy Analysis</w:t>
            </w:r>
          </w:p>
        </w:tc>
        <w:tc>
          <w:tcPr>
            <w:tcW w:w="2534" w:type="dxa"/>
            <w:tcMar>
              <w:top w:w="28" w:type="dxa"/>
              <w:left w:w="57" w:type="dxa"/>
              <w:bottom w:w="28" w:type="dxa"/>
              <w:right w:w="57" w:type="dxa"/>
            </w:tcMar>
          </w:tcPr>
          <w:p w14:paraId="2ADD1D18" w14:textId="77777777" w:rsidR="00C5152F" w:rsidRPr="008037F3" w:rsidRDefault="00C5152F" w:rsidP="00C52822">
            <w:pPr>
              <w:pStyle w:val="Table-Heading1"/>
              <w:keepNext/>
            </w:pPr>
            <w:r w:rsidRPr="008037F3">
              <w:t xml:space="preserve">DOPTELET </w:t>
            </w:r>
          </w:p>
          <w:p w14:paraId="6A686A7B" w14:textId="35C49A5E" w:rsidR="00C5152F" w:rsidRPr="008037F3" w:rsidRDefault="00C5152F" w:rsidP="00C52822">
            <w:pPr>
              <w:pStyle w:val="Table-Heading1"/>
              <w:keepNext/>
              <w:rPr>
                <w:b w:val="0"/>
                <w:bCs/>
              </w:rPr>
            </w:pPr>
            <w:r w:rsidRPr="008037F3">
              <w:rPr>
                <w:b w:val="0"/>
                <w:bCs/>
              </w:rPr>
              <w:t>(n=</w:t>
            </w:r>
            <w:r w:rsidR="001C28B6" w:rsidRPr="008037F3">
              <w:rPr>
                <w:b w:val="0"/>
                <w:bCs/>
              </w:rPr>
              <w:t>32</w:t>
            </w:r>
            <w:r w:rsidRPr="008037F3">
              <w:rPr>
                <w:b w:val="0"/>
                <w:bCs/>
              </w:rPr>
              <w:t>)</w:t>
            </w:r>
          </w:p>
        </w:tc>
        <w:tc>
          <w:tcPr>
            <w:tcW w:w="2535" w:type="dxa"/>
            <w:tcMar>
              <w:top w:w="28" w:type="dxa"/>
              <w:left w:w="57" w:type="dxa"/>
              <w:bottom w:w="28" w:type="dxa"/>
              <w:right w:w="57" w:type="dxa"/>
            </w:tcMar>
          </w:tcPr>
          <w:p w14:paraId="42C9DFCD" w14:textId="77777777" w:rsidR="00C5152F" w:rsidRPr="008037F3" w:rsidRDefault="00C5152F" w:rsidP="00C52822">
            <w:pPr>
              <w:pStyle w:val="Table-Heading1"/>
              <w:keepNext/>
            </w:pPr>
            <w:r w:rsidRPr="008037F3">
              <w:t>Placebo</w:t>
            </w:r>
          </w:p>
          <w:p w14:paraId="4EE0F708" w14:textId="3613ECE3" w:rsidR="00C5152F" w:rsidRPr="008037F3" w:rsidRDefault="00C5152F" w:rsidP="00C52822">
            <w:pPr>
              <w:pStyle w:val="Table-Heading1"/>
              <w:keepNext/>
            </w:pPr>
            <w:r w:rsidRPr="008037F3">
              <w:rPr>
                <w:b w:val="0"/>
                <w:bCs/>
              </w:rPr>
              <w:t>(n=</w:t>
            </w:r>
            <w:r w:rsidR="001C28B6" w:rsidRPr="008037F3">
              <w:rPr>
                <w:b w:val="0"/>
                <w:bCs/>
              </w:rPr>
              <w:t>17</w:t>
            </w:r>
            <w:r w:rsidRPr="008037F3">
              <w:rPr>
                <w:b w:val="0"/>
                <w:bCs/>
              </w:rPr>
              <w:t>)</w:t>
            </w:r>
          </w:p>
        </w:tc>
      </w:tr>
      <w:tr w:rsidR="001C28B6" w:rsidRPr="008037F3" w14:paraId="1860FA90" w14:textId="77777777" w:rsidTr="002F37DA">
        <w:tc>
          <w:tcPr>
            <w:tcW w:w="9016" w:type="dxa"/>
            <w:gridSpan w:val="3"/>
            <w:tcMar>
              <w:top w:w="28" w:type="dxa"/>
              <w:left w:w="57" w:type="dxa"/>
              <w:bottom w:w="28" w:type="dxa"/>
              <w:right w:w="57" w:type="dxa"/>
            </w:tcMar>
          </w:tcPr>
          <w:p w14:paraId="30B7DB33" w14:textId="54B12499" w:rsidR="001C28B6" w:rsidRPr="008037F3" w:rsidRDefault="004D5DEC" w:rsidP="00C52822">
            <w:pPr>
              <w:pStyle w:val="Table-Heading1"/>
            </w:pPr>
            <w:r w:rsidRPr="008037F3">
              <w:t>Cumulative Number of Weeks with a Platelet Response*</w:t>
            </w:r>
          </w:p>
        </w:tc>
      </w:tr>
      <w:tr w:rsidR="001C28B6" w:rsidRPr="008037F3" w14:paraId="41DB64DB" w14:textId="77777777" w:rsidTr="00914BB4">
        <w:tc>
          <w:tcPr>
            <w:tcW w:w="3947" w:type="dxa"/>
            <w:tcMar>
              <w:top w:w="0" w:type="dxa"/>
              <w:left w:w="57" w:type="dxa"/>
              <w:bottom w:w="0" w:type="dxa"/>
              <w:right w:w="57" w:type="dxa"/>
            </w:tcMar>
          </w:tcPr>
          <w:p w14:paraId="75BCBDB8" w14:textId="2CACCE70" w:rsidR="001C28B6" w:rsidRPr="008037F3" w:rsidRDefault="004D5DEC" w:rsidP="00C52822">
            <w:pPr>
              <w:pStyle w:val="Table-text"/>
              <w:ind w:left="220"/>
            </w:pPr>
            <w:r w:rsidRPr="008037F3">
              <w:t>Mean (SD)</w:t>
            </w:r>
          </w:p>
        </w:tc>
        <w:tc>
          <w:tcPr>
            <w:tcW w:w="2534" w:type="dxa"/>
            <w:tcMar>
              <w:top w:w="0" w:type="dxa"/>
              <w:left w:w="57" w:type="dxa"/>
              <w:bottom w:w="0" w:type="dxa"/>
              <w:right w:w="57" w:type="dxa"/>
            </w:tcMar>
          </w:tcPr>
          <w:p w14:paraId="64C73CF1" w14:textId="20DED90F" w:rsidR="001C28B6" w:rsidRPr="008037F3" w:rsidRDefault="004D5DEC" w:rsidP="00C52822">
            <w:pPr>
              <w:pStyle w:val="Table-text"/>
            </w:pPr>
            <w:r w:rsidRPr="008037F3">
              <w:t>12.0 (8.75)</w:t>
            </w:r>
          </w:p>
        </w:tc>
        <w:tc>
          <w:tcPr>
            <w:tcW w:w="2535" w:type="dxa"/>
            <w:tcMar>
              <w:top w:w="0" w:type="dxa"/>
              <w:left w:w="57" w:type="dxa"/>
              <w:bottom w:w="0" w:type="dxa"/>
              <w:right w:w="57" w:type="dxa"/>
            </w:tcMar>
          </w:tcPr>
          <w:p w14:paraId="4A79E88E" w14:textId="6A5EC764" w:rsidR="001C28B6" w:rsidRPr="008037F3" w:rsidRDefault="004D5DEC" w:rsidP="00C52822">
            <w:pPr>
              <w:pStyle w:val="Table-text"/>
            </w:pPr>
            <w:r w:rsidRPr="008037F3">
              <w:t>0.1 (0.49)</w:t>
            </w:r>
          </w:p>
        </w:tc>
      </w:tr>
      <w:tr w:rsidR="001C28B6" w:rsidRPr="008037F3" w14:paraId="3F3C420A" w14:textId="77777777" w:rsidTr="00914BB4">
        <w:tc>
          <w:tcPr>
            <w:tcW w:w="3947" w:type="dxa"/>
            <w:tcMar>
              <w:top w:w="0" w:type="dxa"/>
              <w:left w:w="57" w:type="dxa"/>
              <w:bottom w:w="0" w:type="dxa"/>
              <w:right w:w="57" w:type="dxa"/>
            </w:tcMar>
          </w:tcPr>
          <w:p w14:paraId="33ACEA2E" w14:textId="638AABBB" w:rsidR="001C28B6" w:rsidRPr="008037F3" w:rsidRDefault="004D5DEC" w:rsidP="00C52822">
            <w:pPr>
              <w:pStyle w:val="Table-text"/>
              <w:ind w:left="220"/>
            </w:pPr>
            <w:r w:rsidRPr="008037F3">
              <w:t>Median</w:t>
            </w:r>
          </w:p>
        </w:tc>
        <w:tc>
          <w:tcPr>
            <w:tcW w:w="2534" w:type="dxa"/>
            <w:tcMar>
              <w:top w:w="0" w:type="dxa"/>
              <w:left w:w="57" w:type="dxa"/>
              <w:bottom w:w="0" w:type="dxa"/>
              <w:right w:w="57" w:type="dxa"/>
            </w:tcMar>
          </w:tcPr>
          <w:p w14:paraId="0BA0A9A0" w14:textId="612102BD" w:rsidR="001C28B6" w:rsidRPr="008037F3" w:rsidRDefault="004D5DEC" w:rsidP="00C52822">
            <w:pPr>
              <w:pStyle w:val="Table-text"/>
            </w:pPr>
            <w:r w:rsidRPr="008037F3">
              <w:t>12.4</w:t>
            </w:r>
          </w:p>
        </w:tc>
        <w:tc>
          <w:tcPr>
            <w:tcW w:w="2535" w:type="dxa"/>
            <w:tcMar>
              <w:top w:w="0" w:type="dxa"/>
              <w:left w:w="57" w:type="dxa"/>
              <w:bottom w:w="0" w:type="dxa"/>
              <w:right w:w="57" w:type="dxa"/>
            </w:tcMar>
          </w:tcPr>
          <w:p w14:paraId="2D981A78" w14:textId="30EE10A2" w:rsidR="001C28B6" w:rsidRPr="008037F3" w:rsidRDefault="004D5DEC" w:rsidP="00C52822">
            <w:pPr>
              <w:pStyle w:val="Table-text"/>
            </w:pPr>
            <w:r w:rsidRPr="008037F3">
              <w:t>0.0</w:t>
            </w:r>
          </w:p>
        </w:tc>
      </w:tr>
      <w:tr w:rsidR="001C28B6" w:rsidRPr="008037F3" w14:paraId="0604A80D" w14:textId="77777777" w:rsidTr="00914BB4">
        <w:tc>
          <w:tcPr>
            <w:tcW w:w="3947" w:type="dxa"/>
            <w:tcMar>
              <w:top w:w="0" w:type="dxa"/>
              <w:left w:w="57" w:type="dxa"/>
              <w:bottom w:w="0" w:type="dxa"/>
              <w:right w:w="57" w:type="dxa"/>
            </w:tcMar>
          </w:tcPr>
          <w:p w14:paraId="316BB6C1" w14:textId="2C47A69E" w:rsidR="001C28B6" w:rsidRPr="008037F3" w:rsidRDefault="004D5DEC" w:rsidP="00C52822">
            <w:pPr>
              <w:pStyle w:val="Table-text"/>
              <w:ind w:left="220"/>
            </w:pPr>
            <w:r w:rsidRPr="008037F3">
              <w:t>Min, Max</w:t>
            </w:r>
          </w:p>
        </w:tc>
        <w:tc>
          <w:tcPr>
            <w:tcW w:w="2534" w:type="dxa"/>
            <w:tcMar>
              <w:top w:w="0" w:type="dxa"/>
              <w:left w:w="57" w:type="dxa"/>
              <w:bottom w:w="0" w:type="dxa"/>
              <w:right w:w="57" w:type="dxa"/>
            </w:tcMar>
          </w:tcPr>
          <w:p w14:paraId="0C4EC982" w14:textId="50AC70E4" w:rsidR="001C28B6" w:rsidRPr="008037F3" w:rsidRDefault="004D5DEC" w:rsidP="00C52822">
            <w:pPr>
              <w:pStyle w:val="Table-text"/>
            </w:pPr>
            <w:r w:rsidRPr="008037F3">
              <w:t>0, 25</w:t>
            </w:r>
          </w:p>
        </w:tc>
        <w:tc>
          <w:tcPr>
            <w:tcW w:w="2535" w:type="dxa"/>
            <w:tcMar>
              <w:top w:w="0" w:type="dxa"/>
              <w:left w:w="57" w:type="dxa"/>
              <w:bottom w:w="0" w:type="dxa"/>
              <w:right w:w="57" w:type="dxa"/>
            </w:tcMar>
          </w:tcPr>
          <w:p w14:paraId="459526F7" w14:textId="24D45181" w:rsidR="001C28B6" w:rsidRPr="008037F3" w:rsidRDefault="004D5DEC" w:rsidP="00C52822">
            <w:pPr>
              <w:pStyle w:val="Table-text"/>
            </w:pPr>
            <w:r w:rsidRPr="008037F3">
              <w:t>0, 2</w:t>
            </w:r>
          </w:p>
        </w:tc>
      </w:tr>
      <w:tr w:rsidR="009F454D" w:rsidRPr="008037F3" w14:paraId="320F9B51" w14:textId="77777777" w:rsidTr="00914BB4">
        <w:tc>
          <w:tcPr>
            <w:tcW w:w="3947" w:type="dxa"/>
            <w:tcMar>
              <w:top w:w="0" w:type="dxa"/>
              <w:left w:w="57" w:type="dxa"/>
              <w:bottom w:w="0" w:type="dxa"/>
              <w:right w:w="57" w:type="dxa"/>
            </w:tcMar>
          </w:tcPr>
          <w:p w14:paraId="03C50569" w14:textId="3949EB76" w:rsidR="009F454D" w:rsidRPr="008037F3" w:rsidRDefault="009F454D" w:rsidP="00C52822">
            <w:pPr>
              <w:pStyle w:val="Table-text"/>
              <w:ind w:left="220"/>
            </w:pPr>
            <w:r w:rsidRPr="008037F3">
              <w:t>p-value of Wilcoxon rank sum test</w:t>
            </w:r>
          </w:p>
        </w:tc>
        <w:tc>
          <w:tcPr>
            <w:tcW w:w="5069" w:type="dxa"/>
            <w:gridSpan w:val="2"/>
            <w:tcMar>
              <w:top w:w="0" w:type="dxa"/>
              <w:left w:w="57" w:type="dxa"/>
              <w:bottom w:w="0" w:type="dxa"/>
              <w:right w:w="57" w:type="dxa"/>
            </w:tcMar>
          </w:tcPr>
          <w:p w14:paraId="4FCE2288" w14:textId="2067D1B5" w:rsidR="009F454D" w:rsidRPr="008037F3" w:rsidRDefault="009F454D" w:rsidP="00C52822">
            <w:pPr>
              <w:pStyle w:val="Table-text"/>
            </w:pPr>
            <w:r w:rsidRPr="008037F3">
              <w:t>&lt;0.0001</w:t>
            </w:r>
          </w:p>
        </w:tc>
      </w:tr>
      <w:tr w:rsidR="00084ABF" w:rsidRPr="008037F3" w14:paraId="29E0887D" w14:textId="77777777" w:rsidTr="00914BB4">
        <w:tc>
          <w:tcPr>
            <w:tcW w:w="9016" w:type="dxa"/>
            <w:gridSpan w:val="3"/>
            <w:tcMar>
              <w:top w:w="0" w:type="dxa"/>
              <w:left w:w="57" w:type="dxa"/>
              <w:bottom w:w="0" w:type="dxa"/>
              <w:right w:w="57" w:type="dxa"/>
            </w:tcMar>
          </w:tcPr>
          <w:p w14:paraId="67F129E1" w14:textId="5C739421" w:rsidR="00084ABF" w:rsidRPr="008037F3" w:rsidRDefault="007571DB" w:rsidP="00C52822">
            <w:pPr>
              <w:pStyle w:val="Table-Footertext"/>
              <w:jc w:val="left"/>
            </w:pPr>
            <w:r w:rsidRPr="008037F3">
              <w:rPr>
                <w:shd w:val="clear" w:color="auto" w:fill="FFFFFF"/>
              </w:rPr>
              <w:t>* Cumulative number of weeks of platelet response is defined as the total numbers of weeks in which the platelet count was ≥ 50 x10</w:t>
            </w:r>
            <w:r w:rsidRPr="008037F3">
              <w:rPr>
                <w:shd w:val="clear" w:color="auto" w:fill="FFFFFF"/>
                <w:vertAlign w:val="superscript"/>
              </w:rPr>
              <w:t>9</w:t>
            </w:r>
            <w:r w:rsidRPr="008037F3">
              <w:rPr>
                <w:shd w:val="clear" w:color="auto" w:fill="FFFFFF"/>
              </w:rPr>
              <w:t>/L during 6 months of treatment in the absence of rescue therapy.</w:t>
            </w:r>
          </w:p>
        </w:tc>
      </w:tr>
    </w:tbl>
    <w:p w14:paraId="32723D39" w14:textId="63BFF961" w:rsidR="00054100" w:rsidRPr="008037F3" w:rsidRDefault="009F454D" w:rsidP="00C52822">
      <w:pPr>
        <w:pStyle w:val="BodyText1"/>
        <w:spacing w:before="120"/>
        <w:jc w:val="left"/>
      </w:pPr>
      <w:r w:rsidRPr="008037F3">
        <w:t>In addition, a larger proportion of patients in the DOPTELET treatment group had platelet counts ≥50x10</w:t>
      </w:r>
      <w:r w:rsidRPr="008037F3">
        <w:rPr>
          <w:vertAlign w:val="superscript"/>
        </w:rPr>
        <w:t>9</w:t>
      </w:r>
      <w:r w:rsidRPr="008037F3">
        <w:t xml:space="preserve">/L at Day 8 compared to placebo (21/32; 66% vs 0/17; 0.0%, respectively; p &lt;0.0001). </w:t>
      </w:r>
    </w:p>
    <w:p w14:paraId="6215C061" w14:textId="18BE4230" w:rsidR="00581150" w:rsidRPr="008037F3" w:rsidRDefault="008450DE" w:rsidP="00C52822">
      <w:pPr>
        <w:pStyle w:val="Heading2"/>
        <w:keepNext/>
      </w:pPr>
      <w:r w:rsidRPr="008037F3">
        <w:t xml:space="preserve">5.2 </w:t>
      </w:r>
      <w:r w:rsidR="00581150" w:rsidRPr="008037F3">
        <w:t>Pharmacokinetic properties</w:t>
      </w:r>
      <w:r w:rsidR="00912373" w:rsidRPr="008037F3">
        <w:t xml:space="preserve"> </w:t>
      </w:r>
    </w:p>
    <w:p w14:paraId="06207050" w14:textId="77777777" w:rsidR="00680052" w:rsidRPr="008037F3" w:rsidRDefault="00680052" w:rsidP="00C52822">
      <w:pPr>
        <w:pStyle w:val="BodyText1"/>
        <w:keepNext/>
        <w:jc w:val="left"/>
      </w:pPr>
      <w:r w:rsidRPr="008037F3">
        <w:t>Avatrombopag demonstrated dose-proportional pharmacokinetics after single doses from 10 mg (0.5 times the lowest approved dosage) to 80 mg (1.3 times the highest recommended dosage). Healthy subjects administered 40 mg of avatrombopag had a geometric mean (%CV) maximal concentration (</w:t>
      </w:r>
      <w:proofErr w:type="spellStart"/>
      <w:r w:rsidRPr="008037F3">
        <w:t>C</w:t>
      </w:r>
      <w:r w:rsidRPr="008037F3">
        <w:rPr>
          <w:vertAlign w:val="subscript"/>
        </w:rPr>
        <w:t>max</w:t>
      </w:r>
      <w:proofErr w:type="spellEnd"/>
      <w:r w:rsidRPr="008037F3">
        <w:t>) of 166 (84%) ng/mL and area under the time-concentration curve extrapolated to infinity (AUC</w:t>
      </w:r>
      <w:r w:rsidRPr="008037F3">
        <w:rPr>
          <w:vertAlign w:val="subscript"/>
        </w:rPr>
        <w:t>0-inf</w:t>
      </w:r>
      <w:r w:rsidRPr="008037F3">
        <w:t>) of 4198 (83%) ng.hr/</w:t>
      </w:r>
      <w:proofErr w:type="spellStart"/>
      <w:r w:rsidRPr="008037F3">
        <w:t>mL.</w:t>
      </w:r>
      <w:proofErr w:type="spellEnd"/>
      <w:r w:rsidRPr="008037F3">
        <w:t xml:space="preserve"> The pharmacokinetics of avatrombopag were similar in both healthy subjects and the chronic liver disease population. </w:t>
      </w:r>
    </w:p>
    <w:p w14:paraId="0954FCF2" w14:textId="2FE72C07" w:rsidR="00581150" w:rsidRPr="008037F3" w:rsidRDefault="00C908A8" w:rsidP="00C52822">
      <w:pPr>
        <w:pStyle w:val="Heading3"/>
      </w:pPr>
      <w:r w:rsidRPr="008037F3">
        <w:t>Absorption</w:t>
      </w:r>
      <w:r w:rsidR="00126740" w:rsidRPr="008037F3">
        <w:t xml:space="preserve"> </w:t>
      </w:r>
    </w:p>
    <w:p w14:paraId="12ACFA7C" w14:textId="2B84146E" w:rsidR="00A6098D" w:rsidRPr="008037F3" w:rsidRDefault="00A6098D" w:rsidP="00C52822">
      <w:pPr>
        <w:pStyle w:val="BodyText1"/>
        <w:jc w:val="left"/>
      </w:pPr>
      <w:r w:rsidRPr="008037F3">
        <w:t>The median time to maximal concentration (</w:t>
      </w:r>
      <w:proofErr w:type="spellStart"/>
      <w:r w:rsidRPr="008037F3">
        <w:t>T</w:t>
      </w:r>
      <w:r w:rsidRPr="008037F3">
        <w:rPr>
          <w:vertAlign w:val="subscript"/>
        </w:rPr>
        <w:t>max</w:t>
      </w:r>
      <w:proofErr w:type="spellEnd"/>
      <w:r w:rsidRPr="008037F3">
        <w:t>) occurred at 5 to 6 hours post-dose</w:t>
      </w:r>
      <w:r w:rsidR="00EB69E9" w:rsidRPr="008037F3">
        <w:t xml:space="preserve"> </w:t>
      </w:r>
      <w:r w:rsidR="00DE7910" w:rsidRPr="008037F3">
        <w:t xml:space="preserve">in the </w:t>
      </w:r>
      <w:r w:rsidR="00EB69E9" w:rsidRPr="008037F3">
        <w:t>fasted state</w:t>
      </w:r>
      <w:r w:rsidRPr="008037F3">
        <w:t xml:space="preserve">. </w:t>
      </w:r>
    </w:p>
    <w:p w14:paraId="111211FC" w14:textId="77777777" w:rsidR="00A6098D" w:rsidRPr="008037F3" w:rsidRDefault="00A6098D" w:rsidP="00C52822">
      <w:pPr>
        <w:pStyle w:val="Heading4"/>
        <w:keepNext/>
      </w:pPr>
      <w:r w:rsidRPr="008037F3">
        <w:t xml:space="preserve">Effect of Food </w:t>
      </w:r>
    </w:p>
    <w:p w14:paraId="004640B3" w14:textId="29CDDA92" w:rsidR="00A6098D" w:rsidRPr="008037F3" w:rsidRDefault="00A6098D" w:rsidP="00C52822">
      <w:pPr>
        <w:pStyle w:val="BodyText1"/>
        <w:jc w:val="left"/>
      </w:pPr>
      <w:r w:rsidRPr="008037F3">
        <w:t>Avatrombopag AUC</w:t>
      </w:r>
      <w:r w:rsidRPr="008037F3">
        <w:rPr>
          <w:vertAlign w:val="subscript"/>
        </w:rPr>
        <w:t>0-inf</w:t>
      </w:r>
      <w:r w:rsidRPr="008037F3">
        <w:t xml:space="preserve"> and </w:t>
      </w:r>
      <w:proofErr w:type="spellStart"/>
      <w:r w:rsidRPr="008037F3">
        <w:t>C</w:t>
      </w:r>
      <w:r w:rsidRPr="008037F3">
        <w:rPr>
          <w:vertAlign w:val="subscript"/>
        </w:rPr>
        <w:t>max</w:t>
      </w:r>
      <w:proofErr w:type="spellEnd"/>
      <w:r w:rsidRPr="008037F3">
        <w:t xml:space="preserve"> were not affected when DOPTELET was co-administered with a low-fat meal (500</w:t>
      </w:r>
      <w:r w:rsidR="00B10417" w:rsidRPr="008037F3">
        <w:t> </w:t>
      </w:r>
      <w:r w:rsidRPr="008037F3">
        <w:t xml:space="preserve">calories, 3 g fat, 15 g protein, and 108 g carbohydrates) or a high fat meal (918 calories, 59 g fat, 39 g protein, and 59 g carbohydrates). The variability of avatrombopag exposure was reduced by 40% to 60% with food. The </w:t>
      </w:r>
      <w:proofErr w:type="spellStart"/>
      <w:r w:rsidRPr="008037F3">
        <w:t>T</w:t>
      </w:r>
      <w:r w:rsidRPr="008037F3">
        <w:rPr>
          <w:vertAlign w:val="subscript"/>
        </w:rPr>
        <w:t>max</w:t>
      </w:r>
      <w:proofErr w:type="spellEnd"/>
      <w:r w:rsidRPr="008037F3">
        <w:t xml:space="preserve"> of avatrombopag was delayed by 0 to 2 hours when DOPTELET was administered with a low-fat or high-fat meal (median </w:t>
      </w:r>
      <w:proofErr w:type="spellStart"/>
      <w:r w:rsidRPr="008037F3">
        <w:t>T</w:t>
      </w:r>
      <w:r w:rsidRPr="008037F3">
        <w:rPr>
          <w:vertAlign w:val="subscript"/>
        </w:rPr>
        <w:t>max</w:t>
      </w:r>
      <w:proofErr w:type="spellEnd"/>
      <w:r w:rsidRPr="008037F3">
        <w:t xml:space="preserve"> range 5 to 8 hours) compared to the fasted state. </w:t>
      </w:r>
    </w:p>
    <w:p w14:paraId="55E26A2C" w14:textId="469E4CF9" w:rsidR="00581150" w:rsidRPr="008037F3" w:rsidRDefault="00C908A8" w:rsidP="00C52822">
      <w:pPr>
        <w:pStyle w:val="Heading3"/>
      </w:pPr>
      <w:r w:rsidRPr="008037F3">
        <w:t>Distribution</w:t>
      </w:r>
      <w:r w:rsidR="00126740" w:rsidRPr="008037F3">
        <w:t xml:space="preserve"> </w:t>
      </w:r>
    </w:p>
    <w:p w14:paraId="6A0FFEC3" w14:textId="4CF7B5F5" w:rsidR="00581150" w:rsidRPr="008037F3" w:rsidRDefault="00475459" w:rsidP="00C52822">
      <w:pPr>
        <w:pStyle w:val="BodyText1"/>
        <w:jc w:val="left"/>
      </w:pPr>
      <w:r w:rsidRPr="008037F3">
        <w:t xml:space="preserve">Avatrombopag has an estimated mean volume of distribution (%CV) of 180 L (25%). Avatrombopag is greater than 96% bound to human plasma proteins. </w:t>
      </w:r>
    </w:p>
    <w:p w14:paraId="02AD6472" w14:textId="5F9BE8D1" w:rsidR="00581150" w:rsidRPr="008037F3" w:rsidRDefault="00D86907" w:rsidP="00C52822">
      <w:pPr>
        <w:pStyle w:val="Heading3"/>
        <w:keepNext/>
      </w:pPr>
      <w:r w:rsidRPr="008037F3">
        <w:t>Metabolism</w:t>
      </w:r>
      <w:r w:rsidR="00126740" w:rsidRPr="008037F3">
        <w:t xml:space="preserve"> </w:t>
      </w:r>
    </w:p>
    <w:p w14:paraId="50F32894" w14:textId="07FD3E24" w:rsidR="00581150" w:rsidRPr="008037F3" w:rsidRDefault="003F1B03" w:rsidP="00C52822">
      <w:pPr>
        <w:pStyle w:val="BodyText1"/>
        <w:keepNext/>
        <w:jc w:val="left"/>
      </w:pPr>
      <w:r w:rsidRPr="008037F3">
        <w:t>Avatrombopag is primarily metaboli</w:t>
      </w:r>
      <w:r w:rsidR="005E5E8F" w:rsidRPr="008037F3">
        <w:t>s</w:t>
      </w:r>
      <w:r w:rsidRPr="008037F3">
        <w:t>ed by cytochrome P450 CYP2C9 and CYP3A4</w:t>
      </w:r>
      <w:r w:rsidR="0014391C" w:rsidRPr="008037F3">
        <w:t xml:space="preserve">. </w:t>
      </w:r>
    </w:p>
    <w:p w14:paraId="7AABE5DF" w14:textId="044DBBAD" w:rsidR="001A5DB7" w:rsidRPr="008037F3" w:rsidRDefault="001A5DB7" w:rsidP="00C52822">
      <w:pPr>
        <w:pStyle w:val="Heading3"/>
      </w:pPr>
      <w:bookmarkStart w:id="17" w:name="_Drug_Interactions"/>
      <w:bookmarkEnd w:id="17"/>
      <w:r w:rsidRPr="008037F3">
        <w:t xml:space="preserve">Excretion </w:t>
      </w:r>
    </w:p>
    <w:p w14:paraId="2F9EA86E" w14:textId="77777777" w:rsidR="001A5DB7" w:rsidRPr="008037F3" w:rsidRDefault="001A5DB7" w:rsidP="00C52822">
      <w:pPr>
        <w:pStyle w:val="BodyText1"/>
        <w:keepNext/>
        <w:jc w:val="left"/>
      </w:pPr>
      <w:r w:rsidRPr="008037F3">
        <w:t xml:space="preserve">The mean plasma elimination half-life (%CV) of avatrombopag is approximately 19 hours (19%). The mean (%CV) of the clearance of avatrombopag is estimated to be 6.9 L/hr (29%). </w:t>
      </w:r>
    </w:p>
    <w:p w14:paraId="74B046B8" w14:textId="77777777" w:rsidR="001A5DB7" w:rsidRPr="008037F3" w:rsidRDefault="001A5DB7" w:rsidP="00C52822">
      <w:pPr>
        <w:pStyle w:val="BodyText1"/>
        <w:jc w:val="left"/>
      </w:pPr>
      <w:r w:rsidRPr="008037F3">
        <w:t xml:space="preserve">Faecal excretion accounted for 88% of the administered dose, with 34% of the dose excreted as unchanged avatrombopag. Only 6% of the administered dose was found in urine. </w:t>
      </w:r>
    </w:p>
    <w:p w14:paraId="505215D1" w14:textId="77777777" w:rsidR="00743A0D" w:rsidRPr="008037F3" w:rsidRDefault="00743A0D" w:rsidP="00C52822">
      <w:pPr>
        <w:pStyle w:val="Heading3"/>
        <w:keepNext/>
      </w:pPr>
      <w:bookmarkStart w:id="18" w:name="_Specific_Populations_1"/>
      <w:bookmarkEnd w:id="18"/>
      <w:r w:rsidRPr="008037F3">
        <w:t xml:space="preserve">Specific Populations </w:t>
      </w:r>
    </w:p>
    <w:p w14:paraId="781BC8CA" w14:textId="77777777" w:rsidR="00743A0D" w:rsidRPr="008037F3" w:rsidRDefault="00743A0D" w:rsidP="00C52822">
      <w:pPr>
        <w:pStyle w:val="BodyText1"/>
        <w:keepNext/>
        <w:jc w:val="left"/>
      </w:pPr>
      <w:r w:rsidRPr="008037F3">
        <w:t xml:space="preserve">Age (18-86 years), body weight (39-175 kg), sex, race [Whites, African-Americans, and East Asians (i.e., Japanese, Chinese and Koreans)], and any hepatic impairment (Child-Turcotte-Pugh (CTP) grade A, B, and C, </w:t>
      </w:r>
      <w:r w:rsidRPr="008037F3">
        <w:lastRenderedPageBreak/>
        <w:t>or Model for End-Stage Liver Disease (MELD) score 4-23) and mild to moderate renal impairment (</w:t>
      </w:r>
      <w:proofErr w:type="spellStart"/>
      <w:r w:rsidRPr="008037F3">
        <w:t>CLcr</w:t>
      </w:r>
      <w:proofErr w:type="spellEnd"/>
      <w:r w:rsidRPr="008037F3">
        <w:t xml:space="preserve"> ≥30 mL/min) did not have clinically meaningful effects on the pharmacokinetics of avatrombopag. </w:t>
      </w:r>
    </w:p>
    <w:p w14:paraId="35EFEC89" w14:textId="2DE1E6C0" w:rsidR="00743A0D" w:rsidRPr="008037F3" w:rsidRDefault="00743A0D" w:rsidP="00C52822">
      <w:pPr>
        <w:pStyle w:val="BodyText1"/>
        <w:jc w:val="left"/>
      </w:pPr>
      <w:r w:rsidRPr="008037F3">
        <w:t>The effect of age (&lt;18 years) and severe renal impairment (</w:t>
      </w:r>
      <w:proofErr w:type="spellStart"/>
      <w:r w:rsidRPr="008037F3">
        <w:t>CLcr</w:t>
      </w:r>
      <w:proofErr w:type="spellEnd"/>
      <w:r w:rsidRPr="008037F3">
        <w:t xml:space="preserve"> &lt;30 mL/min, Cockcroft-Gault) including patients requiring haemodialysis on avatrombopag pharmacokinetics is unknown. </w:t>
      </w:r>
    </w:p>
    <w:p w14:paraId="0E63C764" w14:textId="77777777" w:rsidR="003A191B" w:rsidRPr="008037F3" w:rsidRDefault="003A191B" w:rsidP="00C52822">
      <w:pPr>
        <w:pStyle w:val="Heading3"/>
        <w:rPr>
          <w:lang w:eastAsia="en-AU"/>
        </w:rPr>
      </w:pPr>
      <w:r w:rsidRPr="008037F3">
        <w:rPr>
          <w:lang w:eastAsia="en-AU"/>
        </w:rPr>
        <w:t>Drug Interactions</w:t>
      </w:r>
    </w:p>
    <w:p w14:paraId="24E50FF0" w14:textId="77777777" w:rsidR="003A191B" w:rsidRPr="008037F3" w:rsidRDefault="003A191B" w:rsidP="00C52822">
      <w:pPr>
        <w:pStyle w:val="Heading4"/>
        <w:rPr>
          <w:lang w:eastAsia="en-AU"/>
        </w:rPr>
      </w:pPr>
      <w:r w:rsidRPr="008037F3">
        <w:rPr>
          <w:lang w:eastAsia="en-AU"/>
        </w:rPr>
        <w:t>Clinical studies</w:t>
      </w:r>
    </w:p>
    <w:bookmarkStart w:id="19" w:name="_Specific_Populations"/>
    <w:bookmarkEnd w:id="19"/>
    <w:p w14:paraId="02A11E0B" w14:textId="4F6576F7" w:rsidR="003A191B" w:rsidRPr="008037F3" w:rsidRDefault="009344F9" w:rsidP="00C52822">
      <w:pPr>
        <w:pStyle w:val="BodyText1"/>
        <w:jc w:val="left"/>
      </w:pPr>
      <w:r w:rsidRPr="008037F3">
        <w:fldChar w:fldCharType="begin"/>
      </w:r>
      <w:r w:rsidRPr="008037F3">
        <w:instrText xml:space="preserve"> REF _Ref77681903 \h </w:instrText>
      </w:r>
      <w:r w:rsidR="00C52822">
        <w:instrText xml:space="preserve"> \* MERGEFORMAT </w:instrText>
      </w:r>
      <w:r w:rsidRPr="008037F3">
        <w:fldChar w:fldCharType="separate"/>
      </w:r>
      <w:r w:rsidRPr="008037F3">
        <w:t>Table 9</w:t>
      </w:r>
      <w:r w:rsidRPr="008037F3">
        <w:fldChar w:fldCharType="end"/>
      </w:r>
      <w:r w:rsidRPr="008037F3">
        <w:t xml:space="preserve"> </w:t>
      </w:r>
      <w:r w:rsidR="003A191B" w:rsidRPr="008037F3">
        <w:t xml:space="preserve">summarises the effect of other drugs on the pharmacokinetics of avatrombopag. </w:t>
      </w:r>
    </w:p>
    <w:tbl>
      <w:tblPr>
        <w:tblStyle w:val="TableGrid"/>
        <w:tblW w:w="0" w:type="auto"/>
        <w:tblLook w:val="04A0" w:firstRow="1" w:lastRow="0" w:firstColumn="1" w:lastColumn="0" w:noHBand="0" w:noVBand="1"/>
      </w:tblPr>
      <w:tblGrid>
        <w:gridCol w:w="9016"/>
      </w:tblGrid>
      <w:tr w:rsidR="003A191B" w:rsidRPr="008037F3" w14:paraId="74716ACE" w14:textId="77777777" w:rsidTr="003A2CFF">
        <w:tc>
          <w:tcPr>
            <w:tcW w:w="9016" w:type="dxa"/>
            <w:tcMar>
              <w:left w:w="57" w:type="dxa"/>
              <w:right w:w="57" w:type="dxa"/>
            </w:tcMar>
          </w:tcPr>
          <w:p w14:paraId="7A0A33C8" w14:textId="651854C1" w:rsidR="003A191B" w:rsidRPr="008037F3" w:rsidRDefault="009344F9" w:rsidP="00C52822">
            <w:pPr>
              <w:pStyle w:val="Table-MainTitle"/>
            </w:pPr>
            <w:bookmarkStart w:id="20" w:name="_Ref77681903"/>
            <w:r w:rsidRPr="008037F3">
              <w:t xml:space="preserve">Table </w:t>
            </w:r>
            <w:r w:rsidR="00FD1B09">
              <w:fldChar w:fldCharType="begin"/>
            </w:r>
            <w:r w:rsidR="00FD1B09">
              <w:instrText xml:space="preserve"> SEQ Table \* ARABIC </w:instrText>
            </w:r>
            <w:r w:rsidR="00FD1B09">
              <w:fldChar w:fldCharType="separate"/>
            </w:r>
            <w:r w:rsidRPr="008037F3">
              <w:t>9</w:t>
            </w:r>
            <w:r w:rsidR="00FD1B09">
              <w:fldChar w:fldCharType="end"/>
            </w:r>
            <w:bookmarkEnd w:id="20"/>
            <w:r w:rsidR="003A191B" w:rsidRPr="008037F3">
              <w:t xml:space="preserve">: </w:t>
            </w:r>
            <w:r w:rsidR="003A191B" w:rsidRPr="008037F3">
              <w:tab/>
              <w:t>Drug Interactions: Changes in Pharmacokinetics of Avatrombopag in the Presence of Co</w:t>
            </w:r>
            <w:r w:rsidR="003A191B" w:rsidRPr="008037F3">
              <w:noBreakHyphen/>
              <w:t>Administered Drug</w:t>
            </w:r>
          </w:p>
        </w:tc>
      </w:tr>
    </w:tbl>
    <w:p w14:paraId="3E1B4803" w14:textId="77777777" w:rsidR="003A191B" w:rsidRPr="008037F3" w:rsidRDefault="003A191B" w:rsidP="00C52822">
      <w:pPr>
        <w:pStyle w:val="Table-space"/>
        <w:keepNext/>
      </w:pPr>
    </w:p>
    <w:tbl>
      <w:tblPr>
        <w:tblStyle w:val="TableGrid"/>
        <w:tblW w:w="0" w:type="auto"/>
        <w:tblLook w:val="04A0" w:firstRow="1" w:lastRow="0" w:firstColumn="1" w:lastColumn="0" w:noHBand="0" w:noVBand="1"/>
      </w:tblPr>
      <w:tblGrid>
        <w:gridCol w:w="3947"/>
        <w:gridCol w:w="2534"/>
        <w:gridCol w:w="2535"/>
      </w:tblGrid>
      <w:tr w:rsidR="003A191B" w:rsidRPr="008037F3" w14:paraId="4C6CE0D2" w14:textId="77777777" w:rsidTr="003A2CFF">
        <w:trPr>
          <w:tblHeader/>
        </w:trPr>
        <w:tc>
          <w:tcPr>
            <w:tcW w:w="3947" w:type="dxa"/>
            <w:vMerge w:val="restart"/>
            <w:tcMar>
              <w:top w:w="28" w:type="dxa"/>
              <w:left w:w="57" w:type="dxa"/>
              <w:bottom w:w="28" w:type="dxa"/>
              <w:right w:w="57" w:type="dxa"/>
            </w:tcMar>
            <w:vAlign w:val="center"/>
          </w:tcPr>
          <w:p w14:paraId="37A67993" w14:textId="77777777" w:rsidR="003A191B" w:rsidRPr="008037F3" w:rsidRDefault="003A191B" w:rsidP="00C52822">
            <w:pPr>
              <w:pStyle w:val="Table-Heading1"/>
            </w:pPr>
            <w:r w:rsidRPr="008037F3">
              <w:t>Co-administered Drug*</w:t>
            </w:r>
          </w:p>
        </w:tc>
        <w:tc>
          <w:tcPr>
            <w:tcW w:w="5069" w:type="dxa"/>
            <w:gridSpan w:val="2"/>
            <w:tcMar>
              <w:top w:w="28" w:type="dxa"/>
              <w:left w:w="57" w:type="dxa"/>
              <w:bottom w:w="28" w:type="dxa"/>
              <w:right w:w="57" w:type="dxa"/>
            </w:tcMar>
          </w:tcPr>
          <w:p w14:paraId="0892D81E" w14:textId="77777777" w:rsidR="003A191B" w:rsidRPr="008037F3" w:rsidRDefault="003A191B" w:rsidP="00C52822">
            <w:pPr>
              <w:pStyle w:val="Table-Heading1"/>
            </w:pPr>
            <w:r w:rsidRPr="008037F3">
              <w:rPr>
                <w:bCs/>
              </w:rPr>
              <w:t>Geometric Mean Ratio</w:t>
            </w:r>
          </w:p>
          <w:p w14:paraId="0479B6F7" w14:textId="77777777" w:rsidR="003A191B" w:rsidRPr="008037F3" w:rsidRDefault="003A191B" w:rsidP="00C52822">
            <w:pPr>
              <w:pStyle w:val="Table-Heading1"/>
            </w:pPr>
            <w:r w:rsidRPr="008037F3">
              <w:rPr>
                <w:bCs/>
              </w:rPr>
              <w:t>(90% CI) of Avatrombopag PK with/without Co-administered Drug [No Effect=1.00]</w:t>
            </w:r>
          </w:p>
        </w:tc>
      </w:tr>
      <w:tr w:rsidR="003A191B" w:rsidRPr="008037F3" w14:paraId="0B79182A" w14:textId="77777777" w:rsidTr="003A2CFF">
        <w:trPr>
          <w:tblHeader/>
        </w:trPr>
        <w:tc>
          <w:tcPr>
            <w:tcW w:w="3947" w:type="dxa"/>
            <w:vMerge/>
            <w:tcMar>
              <w:top w:w="28" w:type="dxa"/>
              <w:left w:w="57" w:type="dxa"/>
              <w:bottom w:w="28" w:type="dxa"/>
              <w:right w:w="57" w:type="dxa"/>
            </w:tcMar>
          </w:tcPr>
          <w:p w14:paraId="07F9AFE2" w14:textId="77777777" w:rsidR="003A191B" w:rsidRPr="008037F3" w:rsidRDefault="003A191B" w:rsidP="00C52822">
            <w:pPr>
              <w:pStyle w:val="Table-Heading1"/>
              <w:keepNext/>
            </w:pPr>
          </w:p>
        </w:tc>
        <w:tc>
          <w:tcPr>
            <w:tcW w:w="2534" w:type="dxa"/>
            <w:tcMar>
              <w:top w:w="28" w:type="dxa"/>
              <w:left w:w="57" w:type="dxa"/>
              <w:bottom w:w="28" w:type="dxa"/>
              <w:right w:w="57" w:type="dxa"/>
            </w:tcMar>
          </w:tcPr>
          <w:p w14:paraId="10DD318B" w14:textId="77777777" w:rsidR="003A191B" w:rsidRPr="008037F3" w:rsidRDefault="003A191B" w:rsidP="00C52822">
            <w:pPr>
              <w:pStyle w:val="Table-Heading1"/>
              <w:keepNext/>
            </w:pPr>
            <w:r w:rsidRPr="008037F3">
              <w:t>AUC</w:t>
            </w:r>
            <w:r w:rsidRPr="008037F3">
              <w:rPr>
                <w:vertAlign w:val="subscript"/>
              </w:rPr>
              <w:t>0-inf</w:t>
            </w:r>
          </w:p>
        </w:tc>
        <w:tc>
          <w:tcPr>
            <w:tcW w:w="2535" w:type="dxa"/>
            <w:tcMar>
              <w:top w:w="28" w:type="dxa"/>
              <w:left w:w="57" w:type="dxa"/>
              <w:bottom w:w="28" w:type="dxa"/>
              <w:right w:w="57" w:type="dxa"/>
            </w:tcMar>
          </w:tcPr>
          <w:p w14:paraId="10C25D11" w14:textId="77777777" w:rsidR="003A191B" w:rsidRPr="008037F3" w:rsidRDefault="003A191B" w:rsidP="00C52822">
            <w:pPr>
              <w:pStyle w:val="Table-Heading1"/>
              <w:keepNext/>
            </w:pPr>
            <w:proofErr w:type="spellStart"/>
            <w:r w:rsidRPr="008037F3">
              <w:t>C</w:t>
            </w:r>
            <w:r w:rsidRPr="008037F3">
              <w:rPr>
                <w:vertAlign w:val="subscript"/>
              </w:rPr>
              <w:t>max</w:t>
            </w:r>
            <w:proofErr w:type="spellEnd"/>
          </w:p>
        </w:tc>
      </w:tr>
      <w:tr w:rsidR="003A191B" w:rsidRPr="008037F3" w14:paraId="15C8425D" w14:textId="77777777" w:rsidTr="003A2CFF">
        <w:tc>
          <w:tcPr>
            <w:tcW w:w="9016" w:type="dxa"/>
            <w:gridSpan w:val="3"/>
            <w:tcMar>
              <w:top w:w="0" w:type="dxa"/>
              <w:left w:w="57" w:type="dxa"/>
              <w:bottom w:w="0" w:type="dxa"/>
              <w:right w:w="57" w:type="dxa"/>
            </w:tcMar>
          </w:tcPr>
          <w:p w14:paraId="3FA0C592" w14:textId="77777777" w:rsidR="003A191B" w:rsidRPr="008037F3" w:rsidRDefault="003A191B" w:rsidP="00C52822">
            <w:pPr>
              <w:pStyle w:val="Table-Heading1"/>
              <w:keepNext/>
            </w:pPr>
            <w:r w:rsidRPr="008037F3">
              <w:t>Strong CYP3A Inhibitor</w:t>
            </w:r>
          </w:p>
        </w:tc>
      </w:tr>
      <w:tr w:rsidR="003A191B" w:rsidRPr="008037F3" w14:paraId="32A2ED9A" w14:textId="77777777" w:rsidTr="003A2CFF">
        <w:tc>
          <w:tcPr>
            <w:tcW w:w="3947" w:type="dxa"/>
            <w:tcMar>
              <w:top w:w="0" w:type="dxa"/>
              <w:left w:w="57" w:type="dxa"/>
              <w:bottom w:w="0" w:type="dxa"/>
              <w:right w:w="57" w:type="dxa"/>
            </w:tcMar>
          </w:tcPr>
          <w:p w14:paraId="3EA6B8D6" w14:textId="77777777" w:rsidR="003A191B" w:rsidRPr="008037F3" w:rsidRDefault="003A191B" w:rsidP="00C52822">
            <w:pPr>
              <w:pStyle w:val="Table-text"/>
            </w:pPr>
            <w:r w:rsidRPr="008037F3">
              <w:t>Itraconazole</w:t>
            </w:r>
          </w:p>
        </w:tc>
        <w:tc>
          <w:tcPr>
            <w:tcW w:w="2534" w:type="dxa"/>
            <w:tcMar>
              <w:top w:w="0" w:type="dxa"/>
              <w:left w:w="57" w:type="dxa"/>
              <w:bottom w:w="0" w:type="dxa"/>
              <w:right w:w="57" w:type="dxa"/>
            </w:tcMar>
          </w:tcPr>
          <w:p w14:paraId="1D0DB56C" w14:textId="77777777" w:rsidR="003A191B" w:rsidRPr="008037F3" w:rsidRDefault="003A191B" w:rsidP="00C52822">
            <w:pPr>
              <w:pStyle w:val="Table-text"/>
            </w:pPr>
            <w:r w:rsidRPr="008037F3">
              <w:t>1.37</w:t>
            </w:r>
          </w:p>
          <w:p w14:paraId="31F5B53F" w14:textId="77777777" w:rsidR="003A191B" w:rsidRPr="008037F3" w:rsidRDefault="003A191B" w:rsidP="00C52822">
            <w:pPr>
              <w:pStyle w:val="Table-text"/>
            </w:pPr>
            <w:r w:rsidRPr="008037F3">
              <w:t>(1.10, 1.72)</w:t>
            </w:r>
          </w:p>
        </w:tc>
        <w:tc>
          <w:tcPr>
            <w:tcW w:w="2535" w:type="dxa"/>
            <w:tcMar>
              <w:top w:w="0" w:type="dxa"/>
              <w:left w:w="57" w:type="dxa"/>
              <w:bottom w:w="0" w:type="dxa"/>
              <w:right w:w="57" w:type="dxa"/>
            </w:tcMar>
          </w:tcPr>
          <w:p w14:paraId="3A36F087" w14:textId="77777777" w:rsidR="003A191B" w:rsidRPr="008037F3" w:rsidRDefault="003A191B" w:rsidP="00C52822">
            <w:pPr>
              <w:pStyle w:val="Table-text"/>
            </w:pPr>
            <w:r w:rsidRPr="008037F3">
              <w:t>1.07</w:t>
            </w:r>
          </w:p>
          <w:p w14:paraId="68B63F2F" w14:textId="77777777" w:rsidR="003A191B" w:rsidRPr="008037F3" w:rsidRDefault="003A191B" w:rsidP="00C52822">
            <w:pPr>
              <w:pStyle w:val="Table-text"/>
            </w:pPr>
            <w:r w:rsidRPr="008037F3">
              <w:t>(0.86, 1.35)</w:t>
            </w:r>
          </w:p>
        </w:tc>
      </w:tr>
      <w:tr w:rsidR="003A191B" w:rsidRPr="008037F3" w14:paraId="2B2B549B" w14:textId="77777777" w:rsidTr="003A2CFF">
        <w:tc>
          <w:tcPr>
            <w:tcW w:w="9016" w:type="dxa"/>
            <w:gridSpan w:val="3"/>
            <w:tcMar>
              <w:top w:w="0" w:type="dxa"/>
              <w:left w:w="57" w:type="dxa"/>
              <w:bottom w:w="0" w:type="dxa"/>
              <w:right w:w="57" w:type="dxa"/>
            </w:tcMar>
          </w:tcPr>
          <w:p w14:paraId="2F820CA1" w14:textId="77777777" w:rsidR="003A191B" w:rsidRPr="008037F3" w:rsidRDefault="003A191B" w:rsidP="00C52822">
            <w:pPr>
              <w:pStyle w:val="Table-Heading1"/>
              <w:keepNext/>
            </w:pPr>
            <w:r w:rsidRPr="008037F3">
              <w:t>Moderate CYP3A and CYP2C9 Inhibitor</w:t>
            </w:r>
          </w:p>
        </w:tc>
      </w:tr>
      <w:tr w:rsidR="003A191B" w:rsidRPr="008037F3" w14:paraId="53F972E5" w14:textId="77777777" w:rsidTr="003A2CFF">
        <w:tc>
          <w:tcPr>
            <w:tcW w:w="3947" w:type="dxa"/>
            <w:tcMar>
              <w:top w:w="0" w:type="dxa"/>
              <w:left w:w="57" w:type="dxa"/>
              <w:bottom w:w="0" w:type="dxa"/>
              <w:right w:w="57" w:type="dxa"/>
            </w:tcMar>
          </w:tcPr>
          <w:p w14:paraId="3859892A" w14:textId="77777777" w:rsidR="003A191B" w:rsidRPr="008037F3" w:rsidRDefault="003A191B" w:rsidP="00C52822">
            <w:pPr>
              <w:pStyle w:val="Table-text"/>
              <w:keepNext/>
            </w:pPr>
            <w:r w:rsidRPr="008037F3">
              <w:t>Fluconazole</w:t>
            </w:r>
          </w:p>
        </w:tc>
        <w:tc>
          <w:tcPr>
            <w:tcW w:w="2534" w:type="dxa"/>
            <w:tcMar>
              <w:top w:w="0" w:type="dxa"/>
              <w:left w:w="57" w:type="dxa"/>
              <w:bottom w:w="0" w:type="dxa"/>
              <w:right w:w="57" w:type="dxa"/>
            </w:tcMar>
          </w:tcPr>
          <w:p w14:paraId="5DEFD557" w14:textId="77777777" w:rsidR="003A191B" w:rsidRPr="008037F3" w:rsidRDefault="003A191B" w:rsidP="00C52822">
            <w:pPr>
              <w:pStyle w:val="Table-text"/>
              <w:keepNext/>
            </w:pPr>
            <w:r w:rsidRPr="008037F3">
              <w:t>2.16</w:t>
            </w:r>
          </w:p>
          <w:p w14:paraId="54D85694" w14:textId="77777777" w:rsidR="003A191B" w:rsidRPr="008037F3" w:rsidRDefault="003A191B" w:rsidP="00C52822">
            <w:pPr>
              <w:pStyle w:val="Table-text"/>
              <w:keepNext/>
            </w:pPr>
            <w:r w:rsidRPr="008037F3">
              <w:t>(1.71, 2.72)</w:t>
            </w:r>
          </w:p>
        </w:tc>
        <w:tc>
          <w:tcPr>
            <w:tcW w:w="2535" w:type="dxa"/>
            <w:tcMar>
              <w:top w:w="0" w:type="dxa"/>
              <w:left w:w="57" w:type="dxa"/>
              <w:bottom w:w="0" w:type="dxa"/>
              <w:right w:w="57" w:type="dxa"/>
            </w:tcMar>
          </w:tcPr>
          <w:p w14:paraId="0A7E3BCB" w14:textId="77777777" w:rsidR="003A191B" w:rsidRPr="008037F3" w:rsidRDefault="003A191B" w:rsidP="00C52822">
            <w:pPr>
              <w:pStyle w:val="Table-text"/>
              <w:keepNext/>
            </w:pPr>
            <w:r w:rsidRPr="008037F3">
              <w:t>1.17</w:t>
            </w:r>
          </w:p>
          <w:p w14:paraId="27C88DED" w14:textId="77777777" w:rsidR="003A191B" w:rsidRPr="008037F3" w:rsidRDefault="003A191B" w:rsidP="00C52822">
            <w:pPr>
              <w:pStyle w:val="Table-text"/>
              <w:keepNext/>
            </w:pPr>
            <w:r w:rsidRPr="008037F3">
              <w:t>(0.96, 1.42)</w:t>
            </w:r>
          </w:p>
        </w:tc>
      </w:tr>
      <w:tr w:rsidR="003A191B" w:rsidRPr="008037F3" w14:paraId="23FE49E8" w14:textId="77777777" w:rsidTr="003A2CFF">
        <w:tc>
          <w:tcPr>
            <w:tcW w:w="9016" w:type="dxa"/>
            <w:gridSpan w:val="3"/>
            <w:tcMar>
              <w:top w:w="0" w:type="dxa"/>
              <w:left w:w="57" w:type="dxa"/>
              <w:bottom w:w="0" w:type="dxa"/>
              <w:right w:w="57" w:type="dxa"/>
            </w:tcMar>
          </w:tcPr>
          <w:p w14:paraId="23B9A511" w14:textId="77777777" w:rsidR="003A191B" w:rsidRPr="008037F3" w:rsidRDefault="003A191B" w:rsidP="00C52822">
            <w:pPr>
              <w:pStyle w:val="Table-Heading1"/>
              <w:keepNext/>
            </w:pPr>
            <w:r w:rsidRPr="008037F3">
              <w:t xml:space="preserve">Moderate CYP2C9 and Strong CYP3A Inducer </w:t>
            </w:r>
          </w:p>
        </w:tc>
      </w:tr>
      <w:tr w:rsidR="003A191B" w:rsidRPr="008037F3" w14:paraId="0D2076E8" w14:textId="77777777" w:rsidTr="003A2CFF">
        <w:tc>
          <w:tcPr>
            <w:tcW w:w="3947" w:type="dxa"/>
            <w:tcMar>
              <w:top w:w="0" w:type="dxa"/>
              <w:left w:w="57" w:type="dxa"/>
              <w:bottom w:w="0" w:type="dxa"/>
              <w:right w:w="57" w:type="dxa"/>
            </w:tcMar>
          </w:tcPr>
          <w:p w14:paraId="6D65FCC1" w14:textId="2D48459D" w:rsidR="003A191B" w:rsidRPr="008037F3" w:rsidRDefault="003A191B" w:rsidP="00C52822">
            <w:pPr>
              <w:pStyle w:val="Table-text"/>
              <w:keepNext/>
            </w:pPr>
            <w:r w:rsidRPr="008037F3">
              <w:t>Rifampi</w:t>
            </w:r>
            <w:r w:rsidR="008B51C0" w:rsidRPr="008037F3">
              <w:t>ci</w:t>
            </w:r>
            <w:r w:rsidRPr="008037F3">
              <w:t>n</w:t>
            </w:r>
          </w:p>
        </w:tc>
        <w:tc>
          <w:tcPr>
            <w:tcW w:w="2534" w:type="dxa"/>
            <w:tcMar>
              <w:top w:w="0" w:type="dxa"/>
              <w:left w:w="57" w:type="dxa"/>
              <w:bottom w:w="0" w:type="dxa"/>
              <w:right w:w="57" w:type="dxa"/>
            </w:tcMar>
          </w:tcPr>
          <w:p w14:paraId="7C9E7025" w14:textId="77777777" w:rsidR="003A191B" w:rsidRPr="008037F3" w:rsidRDefault="003A191B" w:rsidP="00C52822">
            <w:pPr>
              <w:pStyle w:val="Table-text"/>
              <w:keepNext/>
            </w:pPr>
            <w:r w:rsidRPr="008037F3">
              <w:t>0.57</w:t>
            </w:r>
          </w:p>
          <w:p w14:paraId="65413B58" w14:textId="77777777" w:rsidR="003A191B" w:rsidRPr="008037F3" w:rsidRDefault="003A191B" w:rsidP="00C52822">
            <w:pPr>
              <w:pStyle w:val="Table-text"/>
              <w:keepNext/>
            </w:pPr>
            <w:r w:rsidRPr="008037F3">
              <w:t>(0.47, 0.62)</w:t>
            </w:r>
          </w:p>
        </w:tc>
        <w:tc>
          <w:tcPr>
            <w:tcW w:w="2535" w:type="dxa"/>
            <w:tcMar>
              <w:top w:w="0" w:type="dxa"/>
              <w:left w:w="57" w:type="dxa"/>
              <w:bottom w:w="0" w:type="dxa"/>
              <w:right w:w="57" w:type="dxa"/>
            </w:tcMar>
          </w:tcPr>
          <w:p w14:paraId="128E7B35" w14:textId="77777777" w:rsidR="003A191B" w:rsidRPr="008037F3" w:rsidRDefault="003A191B" w:rsidP="00C52822">
            <w:pPr>
              <w:pStyle w:val="Table-text"/>
              <w:keepNext/>
            </w:pPr>
            <w:r w:rsidRPr="008037F3">
              <w:t>1.04</w:t>
            </w:r>
          </w:p>
          <w:p w14:paraId="7F196ABB" w14:textId="77777777" w:rsidR="003A191B" w:rsidRPr="008037F3" w:rsidRDefault="003A191B" w:rsidP="00C52822">
            <w:pPr>
              <w:pStyle w:val="Table-text"/>
              <w:keepNext/>
            </w:pPr>
            <w:r w:rsidRPr="008037F3">
              <w:t>(0.88, 1.23)</w:t>
            </w:r>
          </w:p>
        </w:tc>
      </w:tr>
      <w:tr w:rsidR="003A191B" w:rsidRPr="008037F3" w14:paraId="56BE045F" w14:textId="77777777" w:rsidTr="003A2CFF">
        <w:tc>
          <w:tcPr>
            <w:tcW w:w="9016" w:type="dxa"/>
            <w:gridSpan w:val="3"/>
            <w:tcMar>
              <w:top w:w="0" w:type="dxa"/>
              <w:left w:w="57" w:type="dxa"/>
              <w:bottom w:w="0" w:type="dxa"/>
              <w:right w:w="57" w:type="dxa"/>
            </w:tcMar>
          </w:tcPr>
          <w:p w14:paraId="317E5635" w14:textId="77777777" w:rsidR="003A191B" w:rsidRPr="008037F3" w:rsidRDefault="003A191B" w:rsidP="00C52822">
            <w:pPr>
              <w:pStyle w:val="Table-Heading1"/>
            </w:pPr>
            <w:r w:rsidRPr="008037F3">
              <w:t>P-</w:t>
            </w:r>
            <w:proofErr w:type="spellStart"/>
            <w:r w:rsidRPr="008037F3">
              <w:t>gp</w:t>
            </w:r>
            <w:proofErr w:type="spellEnd"/>
            <w:r w:rsidRPr="008037F3">
              <w:t xml:space="preserve"> Inhibitor</w:t>
            </w:r>
          </w:p>
        </w:tc>
      </w:tr>
      <w:tr w:rsidR="003A191B" w:rsidRPr="008037F3" w14:paraId="1B2221DC" w14:textId="77777777" w:rsidTr="003A2CFF">
        <w:tc>
          <w:tcPr>
            <w:tcW w:w="3947" w:type="dxa"/>
            <w:tcMar>
              <w:top w:w="0" w:type="dxa"/>
              <w:left w:w="57" w:type="dxa"/>
              <w:bottom w:w="0" w:type="dxa"/>
              <w:right w:w="57" w:type="dxa"/>
            </w:tcMar>
          </w:tcPr>
          <w:p w14:paraId="52BA978A" w14:textId="77777777" w:rsidR="003A191B" w:rsidRPr="008037F3" w:rsidRDefault="003A191B" w:rsidP="00C52822">
            <w:pPr>
              <w:pStyle w:val="Table-text"/>
            </w:pPr>
            <w:r w:rsidRPr="008037F3">
              <w:t>Cyclosporine</w:t>
            </w:r>
          </w:p>
        </w:tc>
        <w:tc>
          <w:tcPr>
            <w:tcW w:w="2534" w:type="dxa"/>
            <w:tcMar>
              <w:top w:w="0" w:type="dxa"/>
              <w:left w:w="57" w:type="dxa"/>
              <w:bottom w:w="0" w:type="dxa"/>
              <w:right w:w="57" w:type="dxa"/>
            </w:tcMar>
          </w:tcPr>
          <w:p w14:paraId="5B54599B" w14:textId="77777777" w:rsidR="003A191B" w:rsidRPr="008037F3" w:rsidRDefault="003A191B" w:rsidP="00C52822">
            <w:pPr>
              <w:pStyle w:val="Table-text"/>
            </w:pPr>
            <w:r w:rsidRPr="008037F3">
              <w:t>0.83</w:t>
            </w:r>
          </w:p>
          <w:p w14:paraId="4DFE6C4B" w14:textId="77777777" w:rsidR="003A191B" w:rsidRPr="008037F3" w:rsidRDefault="003A191B" w:rsidP="00C52822">
            <w:pPr>
              <w:pStyle w:val="Table-text"/>
            </w:pPr>
            <w:r w:rsidRPr="008037F3">
              <w:t>(0.65, 1.04)</w:t>
            </w:r>
          </w:p>
        </w:tc>
        <w:tc>
          <w:tcPr>
            <w:tcW w:w="2535" w:type="dxa"/>
            <w:tcMar>
              <w:top w:w="0" w:type="dxa"/>
              <w:left w:w="57" w:type="dxa"/>
              <w:bottom w:w="0" w:type="dxa"/>
              <w:right w:w="57" w:type="dxa"/>
            </w:tcMar>
          </w:tcPr>
          <w:p w14:paraId="348D630C" w14:textId="77777777" w:rsidR="003A191B" w:rsidRPr="008037F3" w:rsidRDefault="003A191B" w:rsidP="00C52822">
            <w:pPr>
              <w:pStyle w:val="Table-text"/>
            </w:pPr>
            <w:r w:rsidRPr="008037F3">
              <w:t>0.66</w:t>
            </w:r>
          </w:p>
          <w:p w14:paraId="2F1D891E" w14:textId="77777777" w:rsidR="003A191B" w:rsidRPr="008037F3" w:rsidRDefault="003A191B" w:rsidP="00C52822">
            <w:pPr>
              <w:pStyle w:val="Table-text"/>
            </w:pPr>
            <w:r w:rsidRPr="008037F3">
              <w:t>(0.54, 0.82)</w:t>
            </w:r>
          </w:p>
        </w:tc>
      </w:tr>
      <w:tr w:rsidR="003A191B" w:rsidRPr="008037F3" w14:paraId="65B62F41" w14:textId="77777777" w:rsidTr="003A2CFF">
        <w:tc>
          <w:tcPr>
            <w:tcW w:w="9016" w:type="dxa"/>
            <w:gridSpan w:val="3"/>
            <w:tcMar>
              <w:top w:w="0" w:type="dxa"/>
              <w:left w:w="57" w:type="dxa"/>
              <w:bottom w:w="0" w:type="dxa"/>
              <w:right w:w="57" w:type="dxa"/>
            </w:tcMar>
          </w:tcPr>
          <w:p w14:paraId="0779C639" w14:textId="77777777" w:rsidR="003A191B" w:rsidRPr="008037F3" w:rsidRDefault="003A191B" w:rsidP="00C52822">
            <w:pPr>
              <w:pStyle w:val="Table-Heading1"/>
            </w:pPr>
            <w:r w:rsidRPr="008037F3">
              <w:t>P-</w:t>
            </w:r>
            <w:proofErr w:type="spellStart"/>
            <w:r w:rsidRPr="008037F3">
              <w:t>gp</w:t>
            </w:r>
            <w:proofErr w:type="spellEnd"/>
            <w:r w:rsidRPr="008037F3">
              <w:t xml:space="preserve"> and Moderate CYP3A Inhibitor</w:t>
            </w:r>
          </w:p>
        </w:tc>
      </w:tr>
      <w:tr w:rsidR="003A191B" w:rsidRPr="008037F3" w14:paraId="3D414F2B" w14:textId="77777777" w:rsidTr="003A2CFF">
        <w:tc>
          <w:tcPr>
            <w:tcW w:w="3947" w:type="dxa"/>
            <w:tcMar>
              <w:top w:w="0" w:type="dxa"/>
              <w:left w:w="57" w:type="dxa"/>
              <w:bottom w:w="0" w:type="dxa"/>
              <w:right w:w="57" w:type="dxa"/>
            </w:tcMar>
          </w:tcPr>
          <w:p w14:paraId="193FB372" w14:textId="77777777" w:rsidR="003A191B" w:rsidRPr="008037F3" w:rsidRDefault="003A191B" w:rsidP="00C52822">
            <w:pPr>
              <w:pStyle w:val="Table-text"/>
            </w:pPr>
            <w:r w:rsidRPr="008037F3">
              <w:t>Verapamil</w:t>
            </w:r>
          </w:p>
        </w:tc>
        <w:tc>
          <w:tcPr>
            <w:tcW w:w="2534" w:type="dxa"/>
            <w:tcMar>
              <w:top w:w="0" w:type="dxa"/>
              <w:left w:w="57" w:type="dxa"/>
              <w:bottom w:w="0" w:type="dxa"/>
              <w:right w:w="57" w:type="dxa"/>
            </w:tcMar>
          </w:tcPr>
          <w:p w14:paraId="3BD3E64B" w14:textId="77777777" w:rsidR="003A191B" w:rsidRPr="008037F3" w:rsidRDefault="003A191B" w:rsidP="00C52822">
            <w:pPr>
              <w:pStyle w:val="Table-text"/>
            </w:pPr>
            <w:r w:rsidRPr="008037F3">
              <w:t>1.61</w:t>
            </w:r>
          </w:p>
          <w:p w14:paraId="4B36A8D5" w14:textId="77777777" w:rsidR="003A191B" w:rsidRPr="008037F3" w:rsidRDefault="003A191B" w:rsidP="00C52822">
            <w:pPr>
              <w:pStyle w:val="Table-text"/>
            </w:pPr>
            <w:r w:rsidRPr="008037F3">
              <w:t>(1.21, 2.15)</w:t>
            </w:r>
          </w:p>
        </w:tc>
        <w:tc>
          <w:tcPr>
            <w:tcW w:w="2535" w:type="dxa"/>
            <w:tcMar>
              <w:top w:w="0" w:type="dxa"/>
              <w:left w:w="57" w:type="dxa"/>
              <w:bottom w:w="0" w:type="dxa"/>
              <w:right w:w="57" w:type="dxa"/>
            </w:tcMar>
          </w:tcPr>
          <w:p w14:paraId="0AF7C834" w14:textId="77777777" w:rsidR="003A191B" w:rsidRPr="008037F3" w:rsidRDefault="003A191B" w:rsidP="00C52822">
            <w:pPr>
              <w:pStyle w:val="Table-text"/>
            </w:pPr>
            <w:r w:rsidRPr="008037F3">
              <w:t>1.26</w:t>
            </w:r>
          </w:p>
          <w:p w14:paraId="5EC817AE" w14:textId="77777777" w:rsidR="003A191B" w:rsidRPr="008037F3" w:rsidRDefault="003A191B" w:rsidP="00C52822">
            <w:pPr>
              <w:pStyle w:val="Table-text"/>
            </w:pPr>
            <w:r w:rsidRPr="008037F3">
              <w:t>(0.96, 1.66)</w:t>
            </w:r>
          </w:p>
        </w:tc>
      </w:tr>
      <w:tr w:rsidR="003A191B" w:rsidRPr="008037F3" w14:paraId="0F1C03B2" w14:textId="77777777" w:rsidTr="003A2CFF">
        <w:tc>
          <w:tcPr>
            <w:tcW w:w="9016" w:type="dxa"/>
            <w:gridSpan w:val="3"/>
            <w:tcMar>
              <w:top w:w="0" w:type="dxa"/>
              <w:left w:w="57" w:type="dxa"/>
              <w:bottom w:w="0" w:type="dxa"/>
              <w:right w:w="57" w:type="dxa"/>
            </w:tcMar>
          </w:tcPr>
          <w:p w14:paraId="0D87001D" w14:textId="77777777" w:rsidR="003A191B" w:rsidRPr="008037F3" w:rsidRDefault="003A191B" w:rsidP="00C52822">
            <w:pPr>
              <w:pStyle w:val="Table-Footertext"/>
              <w:jc w:val="left"/>
            </w:pPr>
            <w:r w:rsidRPr="008037F3">
              <w:t xml:space="preserve">* </w:t>
            </w:r>
            <w:proofErr w:type="gramStart"/>
            <w:r w:rsidRPr="008037F3">
              <w:t>at</w:t>
            </w:r>
            <w:proofErr w:type="gramEnd"/>
            <w:r w:rsidRPr="008037F3">
              <w:t xml:space="preserve"> steady state, except for cyclosporine which was administered as a single dose.</w:t>
            </w:r>
          </w:p>
        </w:tc>
      </w:tr>
    </w:tbl>
    <w:p w14:paraId="02816A53" w14:textId="538D5611" w:rsidR="00581150" w:rsidRPr="008037F3" w:rsidRDefault="008450DE" w:rsidP="00C52822">
      <w:pPr>
        <w:pStyle w:val="Heading2"/>
      </w:pPr>
      <w:r w:rsidRPr="008037F3">
        <w:t xml:space="preserve">5.3 </w:t>
      </w:r>
      <w:r w:rsidR="00C908A8" w:rsidRPr="008037F3">
        <w:t>Preclinical safety data</w:t>
      </w:r>
      <w:r w:rsidR="000231F5" w:rsidRPr="008037F3">
        <w:t xml:space="preserve"> </w:t>
      </w:r>
    </w:p>
    <w:p w14:paraId="7E1F0A59" w14:textId="2416267C" w:rsidR="00B959F0" w:rsidRPr="008037F3" w:rsidRDefault="00B959F0" w:rsidP="00C52822">
      <w:pPr>
        <w:pStyle w:val="Heading3"/>
        <w:keepNext/>
        <w:keepLines/>
      </w:pPr>
      <w:r w:rsidRPr="008037F3">
        <w:t>Genotoxicity</w:t>
      </w:r>
      <w:r w:rsidR="00752F6A" w:rsidRPr="008037F3">
        <w:t xml:space="preserve"> </w:t>
      </w:r>
    </w:p>
    <w:p w14:paraId="00D19D3A" w14:textId="026501F7" w:rsidR="00CF1445" w:rsidRPr="008037F3" w:rsidRDefault="00F27E13" w:rsidP="00C52822">
      <w:pPr>
        <w:pStyle w:val="BodyText1"/>
        <w:jc w:val="left"/>
      </w:pPr>
      <w:r w:rsidRPr="008037F3">
        <w:t xml:space="preserve">Avatrombopag was not mutagenic in an </w:t>
      </w:r>
      <w:r w:rsidRPr="008037F3">
        <w:rPr>
          <w:i/>
          <w:iCs/>
        </w:rPr>
        <w:t>in vitro</w:t>
      </w:r>
      <w:r w:rsidRPr="008037F3">
        <w:t xml:space="preserve"> bacterial reverse mutation (Ames) assay or clastogenic in an </w:t>
      </w:r>
      <w:r w:rsidRPr="008037F3">
        <w:rPr>
          <w:i/>
          <w:iCs/>
        </w:rPr>
        <w:t>in vitro</w:t>
      </w:r>
      <w:r w:rsidRPr="008037F3">
        <w:t xml:space="preserve"> human lymphocyte chromosomal aberrations assay or in an </w:t>
      </w:r>
      <w:r w:rsidRPr="008037F3">
        <w:rPr>
          <w:i/>
          <w:iCs/>
        </w:rPr>
        <w:t>in vivo</w:t>
      </w:r>
      <w:r w:rsidRPr="008037F3">
        <w:t xml:space="preserve"> rat bone marrow micronucleus assay</w:t>
      </w:r>
      <w:r w:rsidR="00CF1445" w:rsidRPr="008037F3">
        <w:t xml:space="preserve">. </w:t>
      </w:r>
    </w:p>
    <w:p w14:paraId="7635AD77" w14:textId="3D34C719" w:rsidR="00C908A8" w:rsidRPr="008037F3" w:rsidRDefault="00C908A8" w:rsidP="00C52822">
      <w:pPr>
        <w:pStyle w:val="Heading3"/>
      </w:pPr>
      <w:r w:rsidRPr="008037F3">
        <w:t>Carcinogenicity</w:t>
      </w:r>
      <w:r w:rsidR="005626AF" w:rsidRPr="008037F3">
        <w:t xml:space="preserve"> </w:t>
      </w:r>
    </w:p>
    <w:p w14:paraId="3368C612" w14:textId="6F56B196" w:rsidR="00CF1445" w:rsidRPr="008037F3" w:rsidRDefault="00F27E13" w:rsidP="00C52822">
      <w:pPr>
        <w:pStyle w:val="BodyText1"/>
        <w:jc w:val="left"/>
        <w:rPr>
          <w:highlight w:val="yellow"/>
        </w:rPr>
      </w:pPr>
      <w:r w:rsidRPr="008037F3">
        <w:t xml:space="preserve">In two-year carcinogenicity studies, avatrombopag was administered orally at doses of 20, 60, 160 mg/kg/day in mice and doses of 20, 50, 160 mg/kg/day in rats. Avatrombopag induced a statistically significant increase in neuroendocrine cell (enterochromaffin-like cell, ECL cell) gastric </w:t>
      </w:r>
      <w:r w:rsidR="007257C4" w:rsidRPr="008037F3">
        <w:t>tumours</w:t>
      </w:r>
      <w:r w:rsidRPr="008037F3">
        <w:t xml:space="preserve"> (carcinoids) in the stomach at 160 mg/kg in female rats</w:t>
      </w:r>
      <w:r w:rsidR="00B806B5" w:rsidRPr="008037F3">
        <w:t xml:space="preserve"> at</w:t>
      </w:r>
      <w:r w:rsidR="002104EC" w:rsidRPr="008037F3">
        <w:t xml:space="preserve"> </w:t>
      </w:r>
      <w:r w:rsidRPr="008037F3">
        <w:t>117</w:t>
      </w:r>
      <w:r w:rsidR="002104EC" w:rsidRPr="008037F3">
        <w:t xml:space="preserve"> and 81</w:t>
      </w:r>
      <w:r w:rsidRPr="008037F3">
        <w:t xml:space="preserve"> times the </w:t>
      </w:r>
      <w:r w:rsidR="002104EC" w:rsidRPr="008037F3">
        <w:t xml:space="preserve">clinical exposure based on the </w:t>
      </w:r>
      <w:r w:rsidRPr="008037F3">
        <w:t>AUC in patients at the maximum recommended dose of 60 mg</w:t>
      </w:r>
      <w:r w:rsidR="003B4D6C" w:rsidRPr="008037F3">
        <w:t xml:space="preserve"> (CLD)</w:t>
      </w:r>
      <w:r w:rsidRPr="008037F3">
        <w:t xml:space="preserve"> </w:t>
      </w:r>
      <w:r w:rsidR="002104EC" w:rsidRPr="008037F3">
        <w:t>and 40 mg</w:t>
      </w:r>
      <w:r w:rsidR="00C4284A" w:rsidRPr="008037F3">
        <w:t xml:space="preserve"> </w:t>
      </w:r>
      <w:r w:rsidR="003B4D6C" w:rsidRPr="008037F3">
        <w:t>(ITP)</w:t>
      </w:r>
      <w:r w:rsidR="002104EC" w:rsidRPr="008037F3">
        <w:t>, respectively</w:t>
      </w:r>
      <w:r w:rsidR="007D7A1D" w:rsidRPr="008037F3">
        <w:t xml:space="preserve">, </w:t>
      </w:r>
      <w:r w:rsidRPr="008037F3">
        <w:t xml:space="preserve">once daily. The gastric carcinoids were considered likely due to prolonged hypergastrinemia observed in toxicity studies. Hypergastrinemia-related gastric carcinoids in rodents are generally considered to be of low risk or relevance to humans. </w:t>
      </w:r>
      <w:r w:rsidR="00CF1445" w:rsidRPr="008037F3">
        <w:rPr>
          <w:highlight w:val="yellow"/>
        </w:rPr>
        <w:t xml:space="preserve"> </w:t>
      </w:r>
    </w:p>
    <w:p w14:paraId="35EDD39D" w14:textId="7145F905" w:rsidR="007D7A1D" w:rsidRPr="008037F3" w:rsidRDefault="007D7A1D" w:rsidP="00C52822">
      <w:pPr>
        <w:pStyle w:val="BodyText1"/>
        <w:jc w:val="left"/>
        <w:rPr>
          <w:highlight w:val="yellow"/>
        </w:rPr>
      </w:pPr>
      <w:r w:rsidRPr="008037F3">
        <w:rPr>
          <w:szCs w:val="22"/>
        </w:rPr>
        <w:t xml:space="preserve">However, avatrombopag activates TPO receptors on the surface of haematopoietic cells. TPO has been shown to stimulate the proliferation of megakaryocytic leukaemia cells </w:t>
      </w:r>
      <w:r w:rsidRPr="008037F3">
        <w:rPr>
          <w:i/>
          <w:iCs/>
          <w:szCs w:val="22"/>
        </w:rPr>
        <w:t>in vitro</w:t>
      </w:r>
      <w:r w:rsidRPr="008037F3">
        <w:rPr>
          <w:szCs w:val="22"/>
        </w:rPr>
        <w:t xml:space="preserve">. There is therefore a theoretical possibility that avatrombopag may increase the risk for haematologic malignancies. </w:t>
      </w:r>
    </w:p>
    <w:p w14:paraId="2AFA1C6E" w14:textId="56E1E706" w:rsidR="00242B21" w:rsidRPr="008037F3" w:rsidRDefault="008450DE" w:rsidP="00C52822">
      <w:pPr>
        <w:pStyle w:val="Heading1"/>
        <w:keepNext/>
      </w:pPr>
      <w:bookmarkStart w:id="21" w:name="_Reproductive_and_developmental"/>
      <w:bookmarkEnd w:id="21"/>
      <w:r w:rsidRPr="008037F3">
        <w:lastRenderedPageBreak/>
        <w:t xml:space="preserve">6. </w:t>
      </w:r>
      <w:r w:rsidR="00242B21" w:rsidRPr="008037F3">
        <w:t>Pharmaceutical Particulars</w:t>
      </w:r>
    </w:p>
    <w:p w14:paraId="79FC049E" w14:textId="5512FAB1" w:rsidR="00B922A1" w:rsidRPr="008037F3" w:rsidRDefault="008450DE" w:rsidP="00C52822">
      <w:pPr>
        <w:pStyle w:val="Heading2"/>
        <w:keepNext/>
      </w:pPr>
      <w:bookmarkStart w:id="22" w:name="_6.1_List_of"/>
      <w:bookmarkStart w:id="23" w:name="_Ref471294890"/>
      <w:bookmarkEnd w:id="22"/>
      <w:r w:rsidRPr="008037F3">
        <w:t xml:space="preserve">6.1 </w:t>
      </w:r>
      <w:r w:rsidR="00B922A1" w:rsidRPr="008037F3">
        <w:t>List of excipients</w:t>
      </w:r>
      <w:bookmarkEnd w:id="23"/>
      <w:r w:rsidR="00177E84" w:rsidRPr="008037F3">
        <w:t xml:space="preserve"> </w:t>
      </w:r>
    </w:p>
    <w:p w14:paraId="03CFB5F7" w14:textId="66C956C7" w:rsidR="00B32E61" w:rsidRPr="008037F3" w:rsidRDefault="00177E84" w:rsidP="00C52822">
      <w:pPr>
        <w:pStyle w:val="BodyText1"/>
        <w:jc w:val="left"/>
      </w:pPr>
      <w:r w:rsidRPr="008037F3">
        <w:rPr>
          <w:rStyle w:val="Heading5Char"/>
        </w:rPr>
        <w:t>Tablet core</w:t>
      </w:r>
      <w:r w:rsidR="00B32E61" w:rsidRPr="008037F3">
        <w:t xml:space="preserve">: lactose monohydrate, colloidal </w:t>
      </w:r>
      <w:r w:rsidR="00893B92" w:rsidRPr="008037F3">
        <w:t>anhydrous silica</w:t>
      </w:r>
      <w:r w:rsidR="00B32E61" w:rsidRPr="008037F3">
        <w:t xml:space="preserve">, </w:t>
      </w:r>
      <w:proofErr w:type="spellStart"/>
      <w:r w:rsidR="00B32E61" w:rsidRPr="008037F3">
        <w:t>crospovidone</w:t>
      </w:r>
      <w:proofErr w:type="spellEnd"/>
      <w:r w:rsidR="00B32E61" w:rsidRPr="008037F3">
        <w:t xml:space="preserve">, magnesium stearate and microcrystalline cellulose. </w:t>
      </w:r>
    </w:p>
    <w:p w14:paraId="0F4A7DCD" w14:textId="0F639817" w:rsidR="008941AB" w:rsidRPr="008037F3" w:rsidRDefault="00B32E61" w:rsidP="00C52822">
      <w:pPr>
        <w:pStyle w:val="BodyText1"/>
        <w:jc w:val="left"/>
      </w:pPr>
      <w:r w:rsidRPr="008037F3">
        <w:rPr>
          <w:rStyle w:val="Heading5Char"/>
        </w:rPr>
        <w:t>Film coating</w:t>
      </w:r>
      <w:r w:rsidRPr="008037F3">
        <w:t xml:space="preserve">: </w:t>
      </w:r>
      <w:r w:rsidR="00200306" w:rsidRPr="008037F3">
        <w:t>OPADRY II Complete Film Coating System 85F42244 Yellow</w:t>
      </w:r>
      <w:r w:rsidRPr="008037F3">
        <w:t>.</w:t>
      </w:r>
    </w:p>
    <w:p w14:paraId="5A8EC95B" w14:textId="2E1DCFFA" w:rsidR="00B922A1" w:rsidRPr="008037F3" w:rsidRDefault="008450DE" w:rsidP="00C52822">
      <w:pPr>
        <w:pStyle w:val="Heading2"/>
        <w:keepNext/>
      </w:pPr>
      <w:r w:rsidRPr="008037F3">
        <w:t xml:space="preserve">6.2 </w:t>
      </w:r>
      <w:r w:rsidR="00B922A1" w:rsidRPr="008037F3">
        <w:t>Incompatibilities</w:t>
      </w:r>
    </w:p>
    <w:p w14:paraId="11FAB059" w14:textId="6BAC5136" w:rsidR="004139C8" w:rsidRPr="008037F3" w:rsidRDefault="00ED763A" w:rsidP="00C52822">
      <w:pPr>
        <w:pStyle w:val="BodyText1"/>
        <w:keepNext/>
        <w:jc w:val="left"/>
      </w:pPr>
      <w:r w:rsidRPr="008037F3">
        <w:t>Not applicable</w:t>
      </w:r>
      <w:r w:rsidR="004139C8" w:rsidRPr="008037F3">
        <w:t>.</w:t>
      </w:r>
    </w:p>
    <w:p w14:paraId="6E3DF974" w14:textId="38232D7A" w:rsidR="00B922A1" w:rsidRPr="008037F3" w:rsidRDefault="008450DE" w:rsidP="00C52822">
      <w:pPr>
        <w:pStyle w:val="Heading2"/>
      </w:pPr>
      <w:bookmarkStart w:id="24" w:name="_Ref471299094"/>
      <w:r w:rsidRPr="008037F3">
        <w:t xml:space="preserve">6.3 </w:t>
      </w:r>
      <w:r w:rsidR="00D124B9" w:rsidRPr="008037F3">
        <w:t>Shelf Life</w:t>
      </w:r>
      <w:bookmarkEnd w:id="24"/>
    </w:p>
    <w:p w14:paraId="44C7671D" w14:textId="738CD9FE" w:rsidR="005C682D" w:rsidRPr="008037F3" w:rsidRDefault="005C682D" w:rsidP="00C52822">
      <w:pPr>
        <w:pStyle w:val="BodyText1"/>
        <w:jc w:val="left"/>
      </w:pPr>
      <w:r w:rsidRPr="008037F3">
        <w:t>In Australia, information on the shelf life can be found on the public summary of the Australian Register of Therapeutic Goods (ARTG). The expiry date can be found on the packaging.</w:t>
      </w:r>
    </w:p>
    <w:p w14:paraId="0906DF4A" w14:textId="1449819A" w:rsidR="00D124B9" w:rsidRPr="008037F3" w:rsidRDefault="008450DE" w:rsidP="00C52822">
      <w:pPr>
        <w:pStyle w:val="Heading2"/>
      </w:pPr>
      <w:r w:rsidRPr="008037F3">
        <w:t xml:space="preserve">6.4 </w:t>
      </w:r>
      <w:r w:rsidR="00D124B9" w:rsidRPr="008037F3">
        <w:t>Special precautions for storage</w:t>
      </w:r>
    </w:p>
    <w:p w14:paraId="7033C230" w14:textId="6B67641F" w:rsidR="00D124B9" w:rsidRPr="008037F3" w:rsidRDefault="00D124B9" w:rsidP="00C52822">
      <w:pPr>
        <w:pStyle w:val="BodyText1"/>
        <w:jc w:val="left"/>
      </w:pPr>
      <w:r w:rsidRPr="008037F3">
        <w:t xml:space="preserve">Store below </w:t>
      </w:r>
      <w:r w:rsidR="002851EC" w:rsidRPr="008037F3">
        <w:t>25</w:t>
      </w:r>
      <w:r w:rsidRPr="008037F3">
        <w:t>°C.</w:t>
      </w:r>
    </w:p>
    <w:p w14:paraId="02EA0A5F" w14:textId="01823150" w:rsidR="002C465B" w:rsidRPr="008037F3" w:rsidRDefault="008450DE" w:rsidP="00C52822">
      <w:pPr>
        <w:pStyle w:val="Heading2"/>
      </w:pPr>
      <w:r w:rsidRPr="008037F3">
        <w:t xml:space="preserve">6.5 </w:t>
      </w:r>
      <w:r w:rsidR="002C465B" w:rsidRPr="008037F3">
        <w:t>Nature and contents of container</w:t>
      </w:r>
    </w:p>
    <w:p w14:paraId="315DD475" w14:textId="44B4ACD8" w:rsidR="002C465B" w:rsidRPr="008037F3" w:rsidRDefault="00C279D2" w:rsidP="00C52822">
      <w:pPr>
        <w:pStyle w:val="BodyText1"/>
        <w:jc w:val="left"/>
      </w:pPr>
      <w:r w:rsidRPr="008037F3">
        <w:t xml:space="preserve">DOPTELET is </w:t>
      </w:r>
      <w:r w:rsidR="00FF4CA0" w:rsidRPr="008037F3">
        <w:t xml:space="preserve">supplied in </w:t>
      </w:r>
      <w:r w:rsidR="00D94027" w:rsidRPr="008037F3">
        <w:t xml:space="preserve">PA/Al/PVC/Al </w:t>
      </w:r>
      <w:r w:rsidR="00FF4CA0" w:rsidRPr="008037F3">
        <w:t xml:space="preserve">blister </w:t>
      </w:r>
      <w:r w:rsidR="00EA13D3" w:rsidRPr="008037F3">
        <w:t>pack</w:t>
      </w:r>
      <w:r w:rsidR="00D01109" w:rsidRPr="008037F3">
        <w:t>s</w:t>
      </w:r>
      <w:r w:rsidR="00EA13D3" w:rsidRPr="008037F3">
        <w:t xml:space="preserve"> of</w:t>
      </w:r>
      <w:r w:rsidR="00FF4CA0" w:rsidRPr="008037F3">
        <w:t xml:space="preserve"> </w:t>
      </w:r>
      <w:r w:rsidR="00D94027" w:rsidRPr="008037F3">
        <w:t>1</w:t>
      </w:r>
      <w:r w:rsidR="00FF4CA0" w:rsidRPr="008037F3">
        <w:t>0</w:t>
      </w:r>
      <w:r w:rsidR="00D94027" w:rsidRPr="008037F3">
        <w:t>, 15 or 30</w:t>
      </w:r>
      <w:r w:rsidR="00FF4CA0" w:rsidRPr="008037F3">
        <w:t xml:space="preserve"> tablets</w:t>
      </w:r>
      <w:r w:rsidR="00D94027" w:rsidRPr="008037F3">
        <w:t xml:space="preserve">. </w:t>
      </w:r>
    </w:p>
    <w:p w14:paraId="7F117C16" w14:textId="01FD6858" w:rsidR="002C465B" w:rsidRPr="008037F3" w:rsidRDefault="002C465B" w:rsidP="00C52822">
      <w:pPr>
        <w:pStyle w:val="BodyText1"/>
        <w:jc w:val="left"/>
      </w:pPr>
      <w:r w:rsidRPr="008037F3">
        <w:t>Not all pack sizes may be marketed</w:t>
      </w:r>
      <w:r w:rsidR="00D94027" w:rsidRPr="008037F3">
        <w:t xml:space="preserve">. </w:t>
      </w:r>
    </w:p>
    <w:p w14:paraId="64F0E108" w14:textId="1817615A" w:rsidR="00E74795" w:rsidRPr="008037F3" w:rsidRDefault="008450DE" w:rsidP="00C52822">
      <w:pPr>
        <w:pStyle w:val="Heading2"/>
      </w:pPr>
      <w:bookmarkStart w:id="25" w:name="_Ref471299056"/>
      <w:r w:rsidRPr="008037F3">
        <w:t xml:space="preserve">6.6 </w:t>
      </w:r>
      <w:r w:rsidR="00E74795" w:rsidRPr="008037F3">
        <w:t xml:space="preserve">Special precautions for disposal </w:t>
      </w:r>
      <w:bookmarkEnd w:id="25"/>
    </w:p>
    <w:p w14:paraId="280DF4A0" w14:textId="1ECB40E7" w:rsidR="000B07BE" w:rsidRPr="008037F3" w:rsidRDefault="000B07BE" w:rsidP="00C52822">
      <w:pPr>
        <w:pStyle w:val="BodyText1"/>
        <w:jc w:val="left"/>
      </w:pPr>
      <w:r w:rsidRPr="008037F3">
        <w:t>In Australia, any unused medicine or waste material should be disposed of by taking to your local pharmacy.</w:t>
      </w:r>
      <w:r w:rsidR="008860ED" w:rsidRPr="008037F3">
        <w:t xml:space="preserve"> </w:t>
      </w:r>
    </w:p>
    <w:p w14:paraId="38E535A8" w14:textId="1BCAB294" w:rsidR="00D86907" w:rsidRPr="008037F3" w:rsidRDefault="00D86907" w:rsidP="00C52822">
      <w:pPr>
        <w:pStyle w:val="Heading2"/>
        <w:keepNext/>
      </w:pPr>
      <w:r w:rsidRPr="008037F3">
        <w:t>6.7 Physicochemical properties</w:t>
      </w:r>
    </w:p>
    <w:p w14:paraId="297A8191" w14:textId="77777777" w:rsidR="00AB68BE" w:rsidRPr="008037F3" w:rsidRDefault="00AB68BE" w:rsidP="00C52822">
      <w:pPr>
        <w:pStyle w:val="BodyText1"/>
        <w:jc w:val="left"/>
      </w:pPr>
      <w:r w:rsidRPr="008037F3">
        <w:t xml:space="preserve">Avatrombopag maleate is a white to off-white non-hygroscopic powder, practically insoluble in water at all pH values. Partition coefficient of avatrombopag maleate is &gt;4.0 (log D at pH 3 – 9), and </w:t>
      </w:r>
      <w:proofErr w:type="spellStart"/>
      <w:r w:rsidRPr="008037F3">
        <w:t>pKa</w:t>
      </w:r>
      <w:proofErr w:type="spellEnd"/>
      <w:r w:rsidRPr="008037F3">
        <w:t xml:space="preserve"> values of avatrombopag maleate are 2.8, 3.6 and 8.4. </w:t>
      </w:r>
    </w:p>
    <w:p w14:paraId="63DD6047" w14:textId="2A877404" w:rsidR="000B07BE" w:rsidRPr="008037F3" w:rsidRDefault="00D86907" w:rsidP="00C52822">
      <w:pPr>
        <w:pStyle w:val="Heading3"/>
        <w:keepNext/>
      </w:pPr>
      <w:r w:rsidRPr="008037F3">
        <w:t xml:space="preserve">Chemical structure: </w:t>
      </w:r>
      <w:r w:rsidR="00E9458E" w:rsidRPr="008037F3">
        <w:t xml:space="preserve"> </w:t>
      </w:r>
      <w:r w:rsidRPr="008037F3">
        <w:tab/>
      </w:r>
    </w:p>
    <w:p w14:paraId="67A430C0" w14:textId="7EC8BFD0" w:rsidR="00D86907" w:rsidRPr="008037F3" w:rsidRDefault="00A73761" w:rsidP="00C52822">
      <w:pPr>
        <w:pStyle w:val="BodyText1"/>
        <w:keepNext/>
        <w:jc w:val="left"/>
      </w:pPr>
      <w:r w:rsidRPr="008037F3">
        <w:rPr>
          <w:noProof/>
        </w:rPr>
        <w:drawing>
          <wp:inline distT="0" distB="0" distL="0" distR="0" wp14:anchorId="7673908F" wp14:editId="7AB1BAC5">
            <wp:extent cx="3237724" cy="1584000"/>
            <wp:effectExtent l="0" t="0" r="1270" b="0"/>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rotWithShape="1">
                    <a:blip r:embed="rId13" cstate="print">
                      <a:extLst>
                        <a:ext uri="{28A0092B-C50C-407E-A947-70E740481C1C}">
                          <a14:useLocalDpi xmlns:a14="http://schemas.microsoft.com/office/drawing/2010/main"/>
                        </a:ext>
                      </a:extLst>
                    </a:blip>
                    <a:srcRect t="-6001" b="1"/>
                    <a:stretch/>
                  </pic:blipFill>
                  <pic:spPr bwMode="auto">
                    <a:xfrm>
                      <a:off x="0" y="0"/>
                      <a:ext cx="3237724" cy="1584000"/>
                    </a:xfrm>
                    <a:prstGeom prst="rect">
                      <a:avLst/>
                    </a:prstGeom>
                    <a:ln>
                      <a:noFill/>
                    </a:ln>
                    <a:extLst>
                      <a:ext uri="{53640926-AAD7-44D8-BBD7-CCE9431645EC}">
                        <a14:shadowObscured xmlns:a14="http://schemas.microsoft.com/office/drawing/2010/main"/>
                      </a:ext>
                    </a:extLst>
                  </pic:spPr>
                </pic:pic>
              </a:graphicData>
            </a:graphic>
          </wp:inline>
        </w:drawing>
      </w:r>
    </w:p>
    <w:p w14:paraId="681F9F32" w14:textId="2C8FFF52" w:rsidR="000B07BE" w:rsidRPr="008037F3" w:rsidRDefault="00D86907" w:rsidP="00C52822">
      <w:pPr>
        <w:pStyle w:val="Heading3"/>
      </w:pPr>
      <w:r w:rsidRPr="008037F3">
        <w:t>CAS</w:t>
      </w:r>
      <w:r w:rsidR="004139C8" w:rsidRPr="008037F3">
        <w:t xml:space="preserve"> number</w:t>
      </w:r>
      <w:r w:rsidRPr="008037F3">
        <w:t xml:space="preserve">: </w:t>
      </w:r>
      <w:r w:rsidRPr="008037F3">
        <w:tab/>
      </w:r>
    </w:p>
    <w:p w14:paraId="20EF2D43" w14:textId="0C361957" w:rsidR="00D86907" w:rsidRPr="008037F3" w:rsidRDefault="00A06DFB" w:rsidP="00C52822">
      <w:pPr>
        <w:pStyle w:val="BodyText1"/>
        <w:jc w:val="left"/>
      </w:pPr>
      <w:r w:rsidRPr="008037F3">
        <w:t>677007-74-8</w:t>
      </w:r>
    </w:p>
    <w:p w14:paraId="58217C41" w14:textId="2BA1C28F" w:rsidR="00242B21" w:rsidRPr="008037F3" w:rsidRDefault="008450DE" w:rsidP="00C52822">
      <w:pPr>
        <w:pStyle w:val="Heading1"/>
      </w:pPr>
      <w:r w:rsidRPr="008037F3">
        <w:t xml:space="preserve">7. </w:t>
      </w:r>
      <w:r w:rsidR="00242B21" w:rsidRPr="008037F3">
        <w:t>Medicine Schedule</w:t>
      </w:r>
      <w:r w:rsidR="00D86907" w:rsidRPr="008037F3">
        <w:t xml:space="preserve"> (</w:t>
      </w:r>
      <w:r w:rsidR="009718E1" w:rsidRPr="008037F3">
        <w:t>Poison</w:t>
      </w:r>
      <w:r w:rsidR="0012443C" w:rsidRPr="008037F3">
        <w:t>s</w:t>
      </w:r>
      <w:r w:rsidR="009718E1" w:rsidRPr="008037F3">
        <w:t xml:space="preserve"> standard</w:t>
      </w:r>
      <w:r w:rsidR="00D86907" w:rsidRPr="008037F3">
        <w:t>)</w:t>
      </w:r>
    </w:p>
    <w:p w14:paraId="10D5F751" w14:textId="797F60E7" w:rsidR="00E74795" w:rsidRPr="008037F3" w:rsidRDefault="004139C8" w:rsidP="00C52822">
      <w:pPr>
        <w:pStyle w:val="BodyText1"/>
        <w:jc w:val="left"/>
      </w:pPr>
      <w:r w:rsidRPr="008037F3">
        <w:t>S4 – Prescription Only Medicine</w:t>
      </w:r>
      <w:r w:rsidR="008860ED" w:rsidRPr="008037F3">
        <w:t xml:space="preserve"> </w:t>
      </w:r>
    </w:p>
    <w:p w14:paraId="17A8B0B8" w14:textId="49CB7896" w:rsidR="00242B21" w:rsidRPr="008037F3" w:rsidRDefault="008450DE" w:rsidP="00C52822">
      <w:pPr>
        <w:pStyle w:val="Heading1"/>
      </w:pPr>
      <w:r w:rsidRPr="008037F3">
        <w:t xml:space="preserve">8. </w:t>
      </w:r>
      <w:r w:rsidR="00242B21" w:rsidRPr="008037F3">
        <w:t>Sponsor</w:t>
      </w:r>
    </w:p>
    <w:p w14:paraId="165EB5CD" w14:textId="77777777" w:rsidR="00D6226D" w:rsidRPr="008037F3" w:rsidRDefault="00D6226D" w:rsidP="00C52822">
      <w:pPr>
        <w:pStyle w:val="BodyText1"/>
        <w:jc w:val="left"/>
      </w:pPr>
      <w:r w:rsidRPr="008037F3">
        <w:t>Swedish Orphan Biovitrum Pty Ltd</w:t>
      </w:r>
    </w:p>
    <w:p w14:paraId="654DB840" w14:textId="02EF5F1A" w:rsidR="00D46A13" w:rsidRPr="008037F3" w:rsidRDefault="521DC3B5" w:rsidP="00C52822">
      <w:pPr>
        <w:pStyle w:val="BodyText1"/>
        <w:jc w:val="left"/>
      </w:pPr>
      <w:r w:rsidRPr="008037F3">
        <w:lastRenderedPageBreak/>
        <w:t xml:space="preserve">Level </w:t>
      </w:r>
      <w:r w:rsidR="00D6226D" w:rsidRPr="008037F3">
        <w:t>22</w:t>
      </w:r>
      <w:r w:rsidR="00D46A13" w:rsidRPr="008037F3">
        <w:t xml:space="preserve"> (Business Sweden Office)</w:t>
      </w:r>
    </w:p>
    <w:p w14:paraId="717A6798" w14:textId="4DA8EFB3" w:rsidR="00D6226D" w:rsidRPr="008037F3" w:rsidRDefault="00D6226D" w:rsidP="00C52822">
      <w:pPr>
        <w:pStyle w:val="BodyText1"/>
        <w:jc w:val="left"/>
      </w:pPr>
      <w:r w:rsidRPr="008037F3">
        <w:t>44 Market Street</w:t>
      </w:r>
      <w:r w:rsidR="00D46A13" w:rsidRPr="008037F3">
        <w:t xml:space="preserve">, </w:t>
      </w:r>
      <w:r w:rsidRPr="008037F3">
        <w:t xml:space="preserve">Sydney NSW 2000 </w:t>
      </w:r>
    </w:p>
    <w:p w14:paraId="6500876F" w14:textId="58499483" w:rsidR="00771103" w:rsidRPr="008037F3" w:rsidRDefault="00771103" w:rsidP="00C52822">
      <w:pPr>
        <w:pStyle w:val="BodyText1"/>
        <w:jc w:val="left"/>
      </w:pPr>
      <w:r w:rsidRPr="008037F3">
        <w:t xml:space="preserve">Australia </w:t>
      </w:r>
    </w:p>
    <w:p w14:paraId="57BB780B" w14:textId="410E2E11" w:rsidR="00D6226D" w:rsidRPr="008037F3" w:rsidRDefault="00FD1B09" w:rsidP="00C52822">
      <w:pPr>
        <w:pStyle w:val="BodyText1"/>
        <w:jc w:val="left"/>
      </w:pPr>
      <w:hyperlink r:id="rId14" w:history="1">
        <w:r w:rsidR="00D6226D" w:rsidRPr="008037F3">
          <w:rPr>
            <w:rStyle w:val="Hyperlink"/>
          </w:rPr>
          <w:t>https://au.sobi.com</w:t>
        </w:r>
      </w:hyperlink>
      <w:r w:rsidR="00D6226D" w:rsidRPr="008037F3">
        <w:t xml:space="preserve"> </w:t>
      </w:r>
    </w:p>
    <w:p w14:paraId="3D9033EC" w14:textId="23AD48B8" w:rsidR="00242B21" w:rsidRPr="008037F3" w:rsidRDefault="00E4110B" w:rsidP="00C52822">
      <w:pPr>
        <w:pStyle w:val="Heading1"/>
      </w:pPr>
      <w:r w:rsidRPr="008037F3">
        <w:t>9</w:t>
      </w:r>
      <w:r w:rsidR="008450DE" w:rsidRPr="008037F3">
        <w:t xml:space="preserve">. </w:t>
      </w:r>
      <w:r w:rsidR="00242B21" w:rsidRPr="008037F3">
        <w:t xml:space="preserve">Date of </w:t>
      </w:r>
      <w:r w:rsidR="009718E1" w:rsidRPr="008037F3">
        <w:t>F</w:t>
      </w:r>
      <w:r w:rsidR="00242B21" w:rsidRPr="008037F3">
        <w:t xml:space="preserve">irst </w:t>
      </w:r>
      <w:r w:rsidR="009718E1" w:rsidRPr="008037F3">
        <w:t>A</w:t>
      </w:r>
      <w:r w:rsidR="00242B21" w:rsidRPr="008037F3">
        <w:t>pproval</w:t>
      </w:r>
      <w:r w:rsidR="00D86907" w:rsidRPr="008037F3">
        <w:t xml:space="preserve"> </w:t>
      </w:r>
    </w:p>
    <w:p w14:paraId="5FF587DE" w14:textId="595B952B" w:rsidR="004139C8" w:rsidRPr="008037F3" w:rsidRDefault="00805D37" w:rsidP="00C52822">
      <w:pPr>
        <w:pStyle w:val="BodyText1"/>
        <w:jc w:val="left"/>
      </w:pPr>
      <w:r>
        <w:t>16 January 2023</w:t>
      </w:r>
      <w:r w:rsidR="00D6226D" w:rsidRPr="008037F3">
        <w:t xml:space="preserve"> </w:t>
      </w:r>
    </w:p>
    <w:p w14:paraId="6024BD99" w14:textId="1E6F0205" w:rsidR="00242B21" w:rsidRPr="008037F3" w:rsidRDefault="008450DE" w:rsidP="00C52822">
      <w:pPr>
        <w:pStyle w:val="Heading1"/>
      </w:pPr>
      <w:r w:rsidRPr="008037F3">
        <w:t>1</w:t>
      </w:r>
      <w:r w:rsidR="00E4110B" w:rsidRPr="008037F3">
        <w:t>0</w:t>
      </w:r>
      <w:r w:rsidRPr="008037F3">
        <w:t xml:space="preserve">. </w:t>
      </w:r>
      <w:r w:rsidR="00242B21" w:rsidRPr="008037F3">
        <w:t xml:space="preserve">Date of </w:t>
      </w:r>
      <w:r w:rsidR="000B07BE" w:rsidRPr="008037F3">
        <w:t>REVISION</w:t>
      </w:r>
    </w:p>
    <w:p w14:paraId="3F0AA3C9" w14:textId="602AB837" w:rsidR="004139C8" w:rsidRPr="008037F3" w:rsidRDefault="00D6226D" w:rsidP="00C52822">
      <w:pPr>
        <w:pStyle w:val="BodyText1"/>
        <w:jc w:val="left"/>
      </w:pPr>
      <w:r w:rsidRPr="008037F3">
        <w:t xml:space="preserve">n/a </w:t>
      </w:r>
    </w:p>
    <w:p w14:paraId="44C49EA2" w14:textId="5162566B" w:rsidR="00162216" w:rsidRPr="008037F3" w:rsidRDefault="00162216" w:rsidP="00C52822">
      <w:pPr>
        <w:pStyle w:val="Heading3"/>
        <w:keepNext/>
      </w:pPr>
      <w:r w:rsidRPr="008037F3">
        <w:t>Summary table of changes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4"/>
        <w:gridCol w:w="7582"/>
      </w:tblGrid>
      <w:tr w:rsidR="000B07BE" w:rsidRPr="008037F3" w14:paraId="3422391B" w14:textId="77777777" w:rsidTr="000B07BE">
        <w:tc>
          <w:tcPr>
            <w:tcW w:w="1414" w:type="dxa"/>
            <w:tcBorders>
              <w:top w:val="single" w:sz="12" w:space="0" w:color="auto"/>
              <w:bottom w:val="double" w:sz="4" w:space="0" w:color="auto"/>
            </w:tcBorders>
            <w:tcMar>
              <w:top w:w="28" w:type="dxa"/>
              <w:left w:w="57" w:type="dxa"/>
              <w:bottom w:w="28" w:type="dxa"/>
              <w:right w:w="57" w:type="dxa"/>
            </w:tcMar>
          </w:tcPr>
          <w:p w14:paraId="56307751" w14:textId="74AEB7FC" w:rsidR="000B07BE" w:rsidRPr="008037F3" w:rsidRDefault="000B07BE" w:rsidP="00C52822">
            <w:pPr>
              <w:pStyle w:val="Table-Heading1"/>
              <w:keepNext/>
            </w:pPr>
            <w:r w:rsidRPr="008037F3">
              <w:t>Section changed</w:t>
            </w:r>
          </w:p>
        </w:tc>
        <w:tc>
          <w:tcPr>
            <w:tcW w:w="7582" w:type="dxa"/>
            <w:tcBorders>
              <w:top w:val="single" w:sz="12" w:space="0" w:color="auto"/>
              <w:bottom w:val="double" w:sz="4" w:space="0" w:color="auto"/>
            </w:tcBorders>
            <w:tcMar>
              <w:left w:w="57" w:type="dxa"/>
              <w:right w:w="57" w:type="dxa"/>
            </w:tcMar>
          </w:tcPr>
          <w:p w14:paraId="24F3B2E1" w14:textId="0EB230F7" w:rsidR="000B07BE" w:rsidRPr="008037F3" w:rsidRDefault="000B07BE" w:rsidP="00C52822">
            <w:pPr>
              <w:pStyle w:val="Table-Heading1"/>
              <w:keepNext/>
            </w:pPr>
            <w:r w:rsidRPr="008037F3">
              <w:t>Summary of new information</w:t>
            </w:r>
          </w:p>
        </w:tc>
      </w:tr>
      <w:tr w:rsidR="004139C8" w:rsidRPr="008037F3" w14:paraId="4F428C24" w14:textId="77777777" w:rsidTr="000B07BE">
        <w:tc>
          <w:tcPr>
            <w:tcW w:w="1414" w:type="dxa"/>
            <w:tcBorders>
              <w:top w:val="single" w:sz="4" w:space="0" w:color="auto"/>
            </w:tcBorders>
            <w:tcMar>
              <w:top w:w="28" w:type="dxa"/>
              <w:left w:w="57" w:type="dxa"/>
              <w:bottom w:w="28" w:type="dxa"/>
              <w:right w:w="57" w:type="dxa"/>
            </w:tcMar>
          </w:tcPr>
          <w:p w14:paraId="0E235A87" w14:textId="5B64257C" w:rsidR="004139C8" w:rsidRPr="008037F3" w:rsidRDefault="001E123E" w:rsidP="00C52822">
            <w:pPr>
              <w:pStyle w:val="Table-text"/>
              <w:ind w:left="22"/>
            </w:pPr>
            <w:r w:rsidRPr="008037F3">
              <w:t>n/a</w:t>
            </w:r>
          </w:p>
        </w:tc>
        <w:tc>
          <w:tcPr>
            <w:tcW w:w="7582" w:type="dxa"/>
            <w:tcBorders>
              <w:top w:val="single" w:sz="4" w:space="0" w:color="auto"/>
            </w:tcBorders>
            <w:tcMar>
              <w:left w:w="57" w:type="dxa"/>
              <w:right w:w="57" w:type="dxa"/>
            </w:tcMar>
          </w:tcPr>
          <w:p w14:paraId="319C2BA1" w14:textId="56337B77" w:rsidR="004139C8" w:rsidRPr="008037F3" w:rsidRDefault="00D6226D" w:rsidP="00C52822">
            <w:pPr>
              <w:pStyle w:val="Table-text"/>
              <w:ind w:left="31"/>
            </w:pPr>
            <w:r w:rsidRPr="008037F3">
              <w:t>New</w:t>
            </w:r>
          </w:p>
        </w:tc>
      </w:tr>
    </w:tbl>
    <w:p w14:paraId="28D88D74" w14:textId="0FC42B0B" w:rsidR="00162216" w:rsidRPr="008037F3" w:rsidRDefault="00162216" w:rsidP="00C52822">
      <w:pPr>
        <w:pStyle w:val="Table-space"/>
        <w:ind w:left="0"/>
      </w:pPr>
    </w:p>
    <w:sectPr w:rsidR="00162216" w:rsidRPr="008037F3" w:rsidSect="00904E28">
      <w:headerReference w:type="default" r:id="rId15"/>
      <w:footerReference w:type="default" r:id="rId16"/>
      <w:headerReference w:type="first" r:id="rId17"/>
      <w:footerReference w:type="first" r:id="rId18"/>
      <w:pgSz w:w="11906" w:h="16838"/>
      <w:pgMar w:top="1276" w:right="1440" w:bottom="993" w:left="144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20866" w14:textId="77777777" w:rsidR="00EF3523" w:rsidRDefault="00EF3523" w:rsidP="004A6F6E">
      <w:r>
        <w:separator/>
      </w:r>
    </w:p>
    <w:p w14:paraId="02A8EBBB" w14:textId="77777777" w:rsidR="00EF3523" w:rsidRDefault="00EF3523"/>
  </w:endnote>
  <w:endnote w:type="continuationSeparator" w:id="0">
    <w:p w14:paraId="247A9176" w14:textId="77777777" w:rsidR="00EF3523" w:rsidRDefault="00EF3523" w:rsidP="004A6F6E">
      <w:r>
        <w:continuationSeparator/>
      </w:r>
    </w:p>
    <w:p w14:paraId="0D2B1929" w14:textId="77777777" w:rsidR="00EF3523" w:rsidRDefault="00EF3523"/>
  </w:endnote>
  <w:endnote w:type="continuationNotice" w:id="1">
    <w:p w14:paraId="0FA7C0A6" w14:textId="77777777" w:rsidR="00EF3523" w:rsidRDefault="00EF3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Shell Dlg 2">
    <w:panose1 w:val="020B0604030504040204"/>
    <w:charset w:val="00"/>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FCCC" w14:textId="341E28AC" w:rsidR="004542FF" w:rsidRPr="00D86907" w:rsidRDefault="00425E73" w:rsidP="00662CCF">
    <w:pPr>
      <w:pStyle w:val="Footer"/>
      <w:rPr>
        <w:sz w:val="18"/>
      </w:rPr>
    </w:pPr>
    <w:r>
      <w:rPr>
        <w:rFonts w:cs="Arial"/>
        <w:sz w:val="18"/>
      </w:rPr>
      <w:t>CCDSv3</w:t>
    </w:r>
    <w:r w:rsidR="004542FF" w:rsidRPr="00D86907">
      <w:rPr>
        <w:sz w:val="18"/>
      </w:rPr>
      <w:tab/>
    </w:r>
    <w:r w:rsidR="004542FF" w:rsidRPr="00D86907">
      <w:rPr>
        <w:sz w:val="18"/>
      </w:rPr>
      <w:tab/>
      <w:t xml:space="preserve">Page </w:t>
    </w:r>
    <w:r w:rsidR="004542FF" w:rsidRPr="00D86907">
      <w:rPr>
        <w:sz w:val="18"/>
      </w:rPr>
      <w:fldChar w:fldCharType="begin"/>
    </w:r>
    <w:r w:rsidR="004542FF" w:rsidRPr="00D86907">
      <w:rPr>
        <w:sz w:val="18"/>
      </w:rPr>
      <w:instrText xml:space="preserve"> PAGE </w:instrText>
    </w:r>
    <w:r w:rsidR="004542FF" w:rsidRPr="00D86907">
      <w:rPr>
        <w:sz w:val="18"/>
      </w:rPr>
      <w:fldChar w:fldCharType="separate"/>
    </w:r>
    <w:r w:rsidR="00C372C1">
      <w:rPr>
        <w:noProof/>
        <w:sz w:val="18"/>
      </w:rPr>
      <w:t>6</w:t>
    </w:r>
    <w:r w:rsidR="004542FF" w:rsidRPr="00D86907">
      <w:rPr>
        <w:sz w:val="18"/>
      </w:rPr>
      <w:fldChar w:fldCharType="end"/>
    </w:r>
    <w:r w:rsidR="004542FF" w:rsidRPr="00D86907">
      <w:rPr>
        <w:sz w:val="18"/>
      </w:rPr>
      <w:t xml:space="preserve"> of </w:t>
    </w:r>
    <w:r w:rsidR="00D86907" w:rsidRPr="00D86907">
      <w:rPr>
        <w:sz w:val="18"/>
      </w:rPr>
      <w:fldChar w:fldCharType="begin"/>
    </w:r>
    <w:r w:rsidR="00D86907" w:rsidRPr="00D86907">
      <w:rPr>
        <w:sz w:val="18"/>
      </w:rPr>
      <w:instrText xml:space="preserve"> NUMPAGES  </w:instrText>
    </w:r>
    <w:r w:rsidR="00D86907" w:rsidRPr="00D86907">
      <w:rPr>
        <w:sz w:val="18"/>
      </w:rPr>
      <w:fldChar w:fldCharType="separate"/>
    </w:r>
    <w:r w:rsidR="00C372C1">
      <w:rPr>
        <w:noProof/>
        <w:sz w:val="18"/>
      </w:rPr>
      <w:t>6</w:t>
    </w:r>
    <w:r w:rsidR="00D86907" w:rsidRPr="00D86907">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145E" w14:textId="22C314ED" w:rsidR="00662CCF" w:rsidRPr="00D86907" w:rsidRDefault="00520764">
    <w:pPr>
      <w:pStyle w:val="Footer"/>
      <w:rPr>
        <w:rFonts w:cs="Arial"/>
        <w:sz w:val="18"/>
      </w:rPr>
    </w:pPr>
    <w:r>
      <w:rPr>
        <w:rFonts w:cs="Arial"/>
        <w:sz w:val="18"/>
      </w:rPr>
      <w:t>CCDS</w:t>
    </w:r>
    <w:r w:rsidR="00137443">
      <w:rPr>
        <w:rFonts w:cs="Arial"/>
        <w:sz w:val="18"/>
      </w:rPr>
      <w:t>v3</w:t>
    </w:r>
    <w:r w:rsidR="00662CCF" w:rsidRPr="00D86907">
      <w:rPr>
        <w:rFonts w:cs="Arial"/>
        <w:sz w:val="18"/>
      </w:rPr>
      <w:tab/>
    </w:r>
    <w:r w:rsidR="00662CCF" w:rsidRPr="00D86907">
      <w:rPr>
        <w:rFonts w:cs="Arial"/>
        <w:sz w:val="18"/>
      </w:rPr>
      <w:tab/>
      <w:t xml:space="preserve">Page </w:t>
    </w:r>
    <w:r w:rsidR="00662CCF" w:rsidRPr="00D86907">
      <w:rPr>
        <w:rFonts w:cs="Arial"/>
        <w:sz w:val="18"/>
      </w:rPr>
      <w:fldChar w:fldCharType="begin"/>
    </w:r>
    <w:r w:rsidR="00662CCF" w:rsidRPr="00D86907">
      <w:rPr>
        <w:rFonts w:cs="Arial"/>
        <w:sz w:val="18"/>
      </w:rPr>
      <w:instrText xml:space="preserve"> PAGE </w:instrText>
    </w:r>
    <w:r w:rsidR="00662CCF" w:rsidRPr="00D86907">
      <w:rPr>
        <w:rFonts w:cs="Arial"/>
        <w:sz w:val="18"/>
      </w:rPr>
      <w:fldChar w:fldCharType="separate"/>
    </w:r>
    <w:r w:rsidR="00C372C1">
      <w:rPr>
        <w:rFonts w:cs="Arial"/>
        <w:noProof/>
        <w:sz w:val="18"/>
      </w:rPr>
      <w:t>1</w:t>
    </w:r>
    <w:r w:rsidR="00662CCF" w:rsidRPr="00D86907">
      <w:rPr>
        <w:rFonts w:cs="Arial"/>
        <w:sz w:val="18"/>
      </w:rPr>
      <w:fldChar w:fldCharType="end"/>
    </w:r>
    <w:r w:rsidR="00662CCF" w:rsidRPr="00D86907">
      <w:rPr>
        <w:rFonts w:cs="Arial"/>
        <w:sz w:val="18"/>
      </w:rPr>
      <w:t xml:space="preserve"> of </w:t>
    </w:r>
    <w:r w:rsidR="00D86907" w:rsidRPr="00D86907">
      <w:rPr>
        <w:rFonts w:cs="Arial"/>
        <w:sz w:val="18"/>
      </w:rPr>
      <w:fldChar w:fldCharType="begin"/>
    </w:r>
    <w:r w:rsidR="00D86907" w:rsidRPr="00D86907">
      <w:rPr>
        <w:rFonts w:cs="Arial"/>
        <w:sz w:val="18"/>
      </w:rPr>
      <w:instrText xml:space="preserve"> NUMPAGES  </w:instrText>
    </w:r>
    <w:r w:rsidR="00D86907" w:rsidRPr="00D86907">
      <w:rPr>
        <w:rFonts w:cs="Arial"/>
        <w:sz w:val="18"/>
      </w:rPr>
      <w:fldChar w:fldCharType="separate"/>
    </w:r>
    <w:r w:rsidR="00C372C1">
      <w:rPr>
        <w:rFonts w:cs="Arial"/>
        <w:noProof/>
        <w:sz w:val="18"/>
      </w:rPr>
      <w:t>6</w:t>
    </w:r>
    <w:r w:rsidR="00D86907" w:rsidRPr="00D86907">
      <w:rPr>
        <w:rFonts w:cs="Arial"/>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18105" w14:textId="77777777" w:rsidR="00EF3523" w:rsidRDefault="00EF3523" w:rsidP="004A6F6E">
      <w:r>
        <w:separator/>
      </w:r>
    </w:p>
    <w:p w14:paraId="7EFF65CB" w14:textId="77777777" w:rsidR="00EF3523" w:rsidRDefault="00EF3523"/>
  </w:footnote>
  <w:footnote w:type="continuationSeparator" w:id="0">
    <w:p w14:paraId="0A77AD76" w14:textId="77777777" w:rsidR="00EF3523" w:rsidRDefault="00EF3523" w:rsidP="004A6F6E">
      <w:r>
        <w:continuationSeparator/>
      </w:r>
    </w:p>
    <w:p w14:paraId="2C462F22" w14:textId="77777777" w:rsidR="00EF3523" w:rsidRDefault="00EF3523"/>
  </w:footnote>
  <w:footnote w:type="continuationNotice" w:id="1">
    <w:p w14:paraId="3A9BB0CA" w14:textId="77777777" w:rsidR="00EF3523" w:rsidRDefault="00EF3523"/>
  </w:footnote>
  <w:footnote w:id="2">
    <w:p w14:paraId="548FCCB2" w14:textId="3ED86470" w:rsidR="00BD406F" w:rsidRPr="00BD406F" w:rsidRDefault="00BD406F">
      <w:pPr>
        <w:pStyle w:val="FootnoteText"/>
        <w:rPr>
          <w:lang w:val="en-US"/>
        </w:rPr>
      </w:pPr>
      <w:r>
        <w:rPr>
          <w:rStyle w:val="FootnoteReference"/>
        </w:rPr>
        <w:footnoteRef/>
      </w:r>
      <w:r>
        <w:t xml:space="preserve"> </w:t>
      </w:r>
      <w:r w:rsidRPr="00CE0F5B">
        <w:rPr>
          <w:rFonts w:eastAsia="TimesNewRomanPSMT" w:cs="TimesNewRomanPSMT"/>
          <w:sz w:val="20"/>
        </w:rPr>
        <w:t>Australian Pregnancy Category B3: Drugs which have been taken by only a limited number of</w:t>
      </w:r>
      <w:r>
        <w:rPr>
          <w:rFonts w:eastAsia="TimesNewRomanPSMT" w:cs="TimesNewRomanPSMT"/>
          <w:sz w:val="20"/>
        </w:rPr>
        <w:t xml:space="preserve"> </w:t>
      </w:r>
      <w:r w:rsidRPr="00CE0F5B">
        <w:rPr>
          <w:rFonts w:eastAsia="TimesNewRomanPSMT" w:cs="TimesNewRomanPSMT"/>
          <w:sz w:val="20"/>
        </w:rPr>
        <w:t>pregnant women and women of childbearing age, without an increase in the frequency of</w:t>
      </w:r>
      <w:r>
        <w:rPr>
          <w:rFonts w:eastAsia="TimesNewRomanPSMT" w:cs="TimesNewRomanPSMT"/>
          <w:sz w:val="20"/>
        </w:rPr>
        <w:t xml:space="preserve"> </w:t>
      </w:r>
      <w:r w:rsidRPr="00CE0F5B">
        <w:rPr>
          <w:rFonts w:eastAsia="TimesNewRomanPSMT" w:cs="TimesNewRomanPSMT"/>
          <w:sz w:val="20"/>
        </w:rPr>
        <w:t>malformation or other direct or indirect harmful effects on the human foetus having been</w:t>
      </w:r>
      <w:r>
        <w:rPr>
          <w:rFonts w:eastAsia="TimesNewRomanPSMT" w:cs="TimesNewRomanPSMT"/>
          <w:sz w:val="20"/>
        </w:rPr>
        <w:t xml:space="preserve"> </w:t>
      </w:r>
      <w:r w:rsidRPr="00CE0F5B">
        <w:rPr>
          <w:rFonts w:eastAsia="TimesNewRomanPSMT" w:cs="TimesNewRomanPSMT"/>
          <w:sz w:val="20"/>
        </w:rPr>
        <w:t>observed. Studies in animals have shown evidence of an increased occurrence of foetal damage,</w:t>
      </w:r>
      <w:r>
        <w:rPr>
          <w:rFonts w:eastAsia="TimesNewRomanPSMT" w:cs="TimesNewRomanPSMT"/>
          <w:sz w:val="20"/>
        </w:rPr>
        <w:t xml:space="preserve"> </w:t>
      </w:r>
      <w:r w:rsidRPr="00CE0F5B">
        <w:rPr>
          <w:rFonts w:eastAsia="TimesNewRomanPSMT" w:cs="TimesNewRomanPSMT"/>
          <w:sz w:val="20"/>
        </w:rPr>
        <w:t>the significance of which is considered uncertain in humans.</w:t>
      </w:r>
      <w:r>
        <w:rPr>
          <w:rFonts w:eastAsia="TimesNewRomanPSMT" w:cs="TimesNewRomanPSMT"/>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16"/>
    </w:tblGrid>
    <w:tr w:rsidR="00FD1B09" w:rsidRPr="000B2145" w14:paraId="4A5ECAE2" w14:textId="77777777" w:rsidTr="00BE3375">
      <w:trPr>
        <w:trHeight w:val="1012"/>
      </w:trPr>
      <w:tc>
        <w:tcPr>
          <w:tcW w:w="9180" w:type="dxa"/>
          <w:shd w:val="clear" w:color="auto" w:fill="E4F2E0"/>
        </w:tcPr>
        <w:p w14:paraId="3925C3FF" w14:textId="77777777" w:rsidR="00FD1B09" w:rsidRPr="00750EDF" w:rsidRDefault="00FD1B09" w:rsidP="00FD1B09">
          <w:pPr>
            <w:pStyle w:val="Footer"/>
            <w:tabs>
              <w:tab w:val="clear" w:pos="4536"/>
              <w:tab w:val="center" w:pos="4513"/>
              <w:tab w:val="right" w:pos="9026"/>
            </w:tabs>
            <w:rPr>
              <w:b/>
              <w:sz w:val="18"/>
              <w:szCs w:val="18"/>
            </w:rPr>
          </w:pPr>
          <w:r w:rsidRPr="00EE2A41">
            <w:rPr>
              <w:b/>
              <w:sz w:val="18"/>
              <w:szCs w:val="18"/>
            </w:rPr>
            <w:t xml:space="preserve">Attachment </w:t>
          </w:r>
          <w:r w:rsidRPr="00750EDF">
            <w:rPr>
              <w:b/>
              <w:sz w:val="18"/>
              <w:szCs w:val="18"/>
            </w:rPr>
            <w:t>AusPAR - Doptelet - Avatrombopag - Swedish Orphan Biovitrum Pty Ltd – PM-2021-04302-1-6</w:t>
          </w:r>
        </w:p>
        <w:p w14:paraId="78DCD185" w14:textId="77777777" w:rsidR="00FD1B09" w:rsidRPr="000E4791" w:rsidRDefault="00FD1B09" w:rsidP="00FD1B09">
          <w:pPr>
            <w:pStyle w:val="Footer"/>
            <w:rPr>
              <w:b/>
              <w:sz w:val="18"/>
              <w:szCs w:val="18"/>
            </w:rPr>
          </w:pPr>
          <w:r w:rsidRPr="00750EDF">
            <w:rPr>
              <w:b/>
              <w:sz w:val="18"/>
              <w:szCs w:val="18"/>
            </w:rPr>
            <w:t>Final 7 February 2024</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tbl>
  <w:p w14:paraId="513362D3" w14:textId="30C6F296" w:rsidR="004542FF" w:rsidRPr="00D86907" w:rsidRDefault="00D86907" w:rsidP="00FD1B09">
    <w:pPr>
      <w:pStyle w:val="Header"/>
      <w:jc w:val="left"/>
      <w:rPr>
        <w:rFonts w:cs="Arial"/>
        <w:sz w:val="18"/>
      </w:rPr>
    </w:pPr>
    <w:r w:rsidRPr="00D86907">
      <w:rPr>
        <w:rFonts w:cs="Arial"/>
        <w:sz w:val="18"/>
      </w:rPr>
      <w:t>Product Information - Australia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16"/>
    </w:tblGrid>
    <w:tr w:rsidR="00C52822" w:rsidRPr="000B2145" w14:paraId="51364284" w14:textId="77777777" w:rsidTr="00C52822">
      <w:trPr>
        <w:trHeight w:val="841"/>
      </w:trPr>
      <w:tc>
        <w:tcPr>
          <w:tcW w:w="9180" w:type="dxa"/>
          <w:shd w:val="clear" w:color="auto" w:fill="E4F2E0"/>
        </w:tcPr>
        <w:p w14:paraId="125E92E6" w14:textId="1F7311B5" w:rsidR="00C52822" w:rsidRPr="000E4791" w:rsidRDefault="00C52822" w:rsidP="00C52822">
          <w:pPr>
            <w:pStyle w:val="Footer"/>
            <w:tabs>
              <w:tab w:val="right" w:pos="9026"/>
            </w:tabs>
            <w:rPr>
              <w:b/>
              <w:sz w:val="18"/>
              <w:szCs w:val="18"/>
            </w:rPr>
          </w:pPr>
          <w:bookmarkStart w:id="26" w:name="_Hlk109054010"/>
          <w:r w:rsidRPr="00EE2A41">
            <w:rPr>
              <w:b/>
              <w:sz w:val="18"/>
              <w:szCs w:val="18"/>
            </w:rPr>
            <w:t xml:space="preserve">Attachment </w:t>
          </w:r>
          <w:r w:rsidRPr="00750EDF">
            <w:rPr>
              <w:b/>
              <w:sz w:val="18"/>
              <w:szCs w:val="18"/>
            </w:rPr>
            <w:t>AusPAR - Doptelet - Avatrombopag - Swedish Orphan Biovitrum Pty Ltd – PM-2021-04302-1-6</w:t>
          </w:r>
          <w:r>
            <w:rPr>
              <w:b/>
              <w:sz w:val="18"/>
              <w:szCs w:val="18"/>
            </w:rPr>
            <w:t xml:space="preserve"> </w:t>
          </w:r>
          <w:r w:rsidRPr="00750EDF">
            <w:rPr>
              <w:b/>
              <w:sz w:val="18"/>
              <w:szCs w:val="18"/>
            </w:rPr>
            <w:t>Final 7 February 2024</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26"/>
  </w:tbl>
  <w:p w14:paraId="3D696A95" w14:textId="77777777" w:rsidR="00C52822" w:rsidRDefault="00C52822" w:rsidP="00C52822">
    <w:pPr>
      <w:pStyle w:val="Header"/>
      <w:jc w:val="left"/>
      <w:rPr>
        <w:rFonts w:cs="Arial"/>
        <w:sz w:val="18"/>
      </w:rPr>
    </w:pPr>
  </w:p>
  <w:p w14:paraId="0F7919E1" w14:textId="65C12305" w:rsidR="00662CCF" w:rsidRPr="00D86907" w:rsidRDefault="00D86907" w:rsidP="00C52822">
    <w:pPr>
      <w:pStyle w:val="Header"/>
      <w:jc w:val="left"/>
      <w:rPr>
        <w:rFonts w:cs="Arial"/>
        <w:sz w:val="18"/>
      </w:rPr>
    </w:pPr>
    <w:r w:rsidRPr="00D86907">
      <w:rPr>
        <w:rFonts w:cs="Arial"/>
        <w:sz w:val="18"/>
      </w:rPr>
      <w:t>Product Information -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EA6D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B437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8FA982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1E239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E9456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7A22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9E42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C034B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6E09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FABA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A3A23"/>
    <w:multiLevelType w:val="hybridMultilevel"/>
    <w:tmpl w:val="A3E87D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FA0021"/>
    <w:multiLevelType w:val="hybridMultilevel"/>
    <w:tmpl w:val="48789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DA14B5"/>
    <w:multiLevelType w:val="hybridMultilevel"/>
    <w:tmpl w:val="2FBA3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9A2C5A"/>
    <w:multiLevelType w:val="hybridMultilevel"/>
    <w:tmpl w:val="8338682C"/>
    <w:lvl w:ilvl="0" w:tplc="4A8A19F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6B001F"/>
    <w:multiLevelType w:val="hybridMultilevel"/>
    <w:tmpl w:val="18F6E77C"/>
    <w:lvl w:ilvl="0" w:tplc="807441CA">
      <w:start w:val="5"/>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3541FB"/>
    <w:multiLevelType w:val="hybridMultilevel"/>
    <w:tmpl w:val="EE72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E1376"/>
    <w:multiLevelType w:val="hybridMultilevel"/>
    <w:tmpl w:val="DCEE2A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C91B44"/>
    <w:multiLevelType w:val="multilevel"/>
    <w:tmpl w:val="8E2A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D01C1B"/>
    <w:multiLevelType w:val="singleLevel"/>
    <w:tmpl w:val="B4BC1D5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1833466"/>
    <w:multiLevelType w:val="multilevel"/>
    <w:tmpl w:val="E9D2E61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C3691C"/>
    <w:multiLevelType w:val="hybridMultilevel"/>
    <w:tmpl w:val="D19E295C"/>
    <w:lvl w:ilvl="0" w:tplc="36D02D64">
      <w:start w:val="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207318"/>
    <w:multiLevelType w:val="hybridMultilevel"/>
    <w:tmpl w:val="DCEE2A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0A7A70"/>
    <w:multiLevelType w:val="multilevel"/>
    <w:tmpl w:val="E9D2E61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1A52D1"/>
    <w:multiLevelType w:val="multilevel"/>
    <w:tmpl w:val="A348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19149F"/>
    <w:multiLevelType w:val="multilevel"/>
    <w:tmpl w:val="B79A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593047"/>
    <w:multiLevelType w:val="hybridMultilevel"/>
    <w:tmpl w:val="76B22C98"/>
    <w:lvl w:ilvl="0" w:tplc="FF0630B2">
      <w:start w:val="20"/>
      <w:numFmt w:val="bullet"/>
      <w:lvlText w:val="-"/>
      <w:lvlJc w:val="left"/>
      <w:pPr>
        <w:ind w:left="720" w:hanging="360"/>
      </w:pPr>
      <w:rPr>
        <w:rFonts w:ascii="Arial Narrow" w:eastAsiaTheme="minorHAnsi"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92538D"/>
    <w:multiLevelType w:val="hybridMultilevel"/>
    <w:tmpl w:val="3EF8F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255D30"/>
    <w:multiLevelType w:val="multilevel"/>
    <w:tmpl w:val="833A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6D0704"/>
    <w:multiLevelType w:val="multilevel"/>
    <w:tmpl w:val="C168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107BF8"/>
    <w:multiLevelType w:val="multilevel"/>
    <w:tmpl w:val="E9D2E61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8728ED"/>
    <w:multiLevelType w:val="multilevel"/>
    <w:tmpl w:val="AA24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2E3471"/>
    <w:multiLevelType w:val="hybridMultilevel"/>
    <w:tmpl w:val="DCEE2A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D7934CB"/>
    <w:multiLevelType w:val="hybridMultilevel"/>
    <w:tmpl w:val="AAC870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D91FD7"/>
    <w:multiLevelType w:val="hybridMultilevel"/>
    <w:tmpl w:val="737A8A06"/>
    <w:lvl w:ilvl="0" w:tplc="36D02D64">
      <w:start w:val="5"/>
      <w:numFmt w:val="bullet"/>
      <w:lvlText w:val=""/>
      <w:lvlJc w:val="left"/>
      <w:pPr>
        <w:ind w:left="1080" w:hanging="360"/>
      </w:pPr>
      <w:rPr>
        <w:rFonts w:ascii="Symbol" w:eastAsiaTheme="minorHAns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219221C"/>
    <w:multiLevelType w:val="multilevel"/>
    <w:tmpl w:val="E9D2E61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3E232F"/>
    <w:multiLevelType w:val="hybridMultilevel"/>
    <w:tmpl w:val="DCEE2A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C2920AE"/>
    <w:multiLevelType w:val="hybridMultilevel"/>
    <w:tmpl w:val="C0BC9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335BD1"/>
    <w:multiLevelType w:val="multilevel"/>
    <w:tmpl w:val="712A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DF57F8"/>
    <w:multiLevelType w:val="multilevel"/>
    <w:tmpl w:val="0B4E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6B11F5"/>
    <w:multiLevelType w:val="multilevel"/>
    <w:tmpl w:val="F85811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9673972">
    <w:abstractNumId w:val="39"/>
  </w:num>
  <w:num w:numId="2" w16cid:durableId="67312545">
    <w:abstractNumId w:val="36"/>
  </w:num>
  <w:num w:numId="3" w16cid:durableId="797602401">
    <w:abstractNumId w:val="22"/>
  </w:num>
  <w:num w:numId="4" w16cid:durableId="1115977275">
    <w:abstractNumId w:val="29"/>
  </w:num>
  <w:num w:numId="5" w16cid:durableId="2023432287">
    <w:abstractNumId w:val="19"/>
  </w:num>
  <w:num w:numId="6" w16cid:durableId="659894429">
    <w:abstractNumId w:val="34"/>
  </w:num>
  <w:num w:numId="7" w16cid:durableId="1179083152">
    <w:abstractNumId w:val="16"/>
  </w:num>
  <w:num w:numId="8" w16cid:durableId="293215056">
    <w:abstractNumId w:val="31"/>
  </w:num>
  <w:num w:numId="9" w16cid:durableId="186796437">
    <w:abstractNumId w:val="9"/>
  </w:num>
  <w:num w:numId="10" w16cid:durableId="713624229">
    <w:abstractNumId w:val="7"/>
  </w:num>
  <w:num w:numId="11" w16cid:durableId="290550966">
    <w:abstractNumId w:val="6"/>
  </w:num>
  <w:num w:numId="12" w16cid:durableId="1029379432">
    <w:abstractNumId w:val="5"/>
  </w:num>
  <w:num w:numId="13" w16cid:durableId="1574662665">
    <w:abstractNumId w:val="4"/>
  </w:num>
  <w:num w:numId="14" w16cid:durableId="17778179">
    <w:abstractNumId w:val="8"/>
  </w:num>
  <w:num w:numId="15" w16cid:durableId="616453791">
    <w:abstractNumId w:val="3"/>
  </w:num>
  <w:num w:numId="16" w16cid:durableId="1197884777">
    <w:abstractNumId w:val="2"/>
  </w:num>
  <w:num w:numId="17" w16cid:durableId="73748450">
    <w:abstractNumId w:val="1"/>
  </w:num>
  <w:num w:numId="18" w16cid:durableId="1575121143">
    <w:abstractNumId w:val="0"/>
  </w:num>
  <w:num w:numId="19" w16cid:durableId="210506677">
    <w:abstractNumId w:val="35"/>
  </w:num>
  <w:num w:numId="20" w16cid:durableId="666638856">
    <w:abstractNumId w:val="10"/>
  </w:num>
  <w:num w:numId="21" w16cid:durableId="1324970855">
    <w:abstractNumId w:val="21"/>
  </w:num>
  <w:num w:numId="22" w16cid:durableId="2021272103">
    <w:abstractNumId w:val="18"/>
  </w:num>
  <w:num w:numId="23" w16cid:durableId="1436251421">
    <w:abstractNumId w:val="32"/>
  </w:num>
  <w:num w:numId="24" w16cid:durableId="492142393">
    <w:abstractNumId w:val="13"/>
  </w:num>
  <w:num w:numId="25" w16cid:durableId="130559831">
    <w:abstractNumId w:val="15"/>
  </w:num>
  <w:num w:numId="26" w16cid:durableId="1597247755">
    <w:abstractNumId w:val="11"/>
  </w:num>
  <w:num w:numId="27" w16cid:durableId="314653957">
    <w:abstractNumId w:val="37"/>
  </w:num>
  <w:num w:numId="28" w16cid:durableId="925110394">
    <w:abstractNumId w:val="23"/>
  </w:num>
  <w:num w:numId="29" w16cid:durableId="1417094786">
    <w:abstractNumId w:val="38"/>
  </w:num>
  <w:num w:numId="30" w16cid:durableId="240064025">
    <w:abstractNumId w:val="24"/>
  </w:num>
  <w:num w:numId="31" w16cid:durableId="1724869748">
    <w:abstractNumId w:val="28"/>
  </w:num>
  <w:num w:numId="32" w16cid:durableId="1683387819">
    <w:abstractNumId w:val="17"/>
  </w:num>
  <w:num w:numId="33" w16cid:durableId="1671374836">
    <w:abstractNumId w:val="30"/>
  </w:num>
  <w:num w:numId="34" w16cid:durableId="2056734037">
    <w:abstractNumId w:val="27"/>
  </w:num>
  <w:num w:numId="35" w16cid:durableId="158159501">
    <w:abstractNumId w:val="20"/>
  </w:num>
  <w:num w:numId="36" w16cid:durableId="753554082">
    <w:abstractNumId w:val="14"/>
  </w:num>
  <w:num w:numId="37" w16cid:durableId="1477651041">
    <w:abstractNumId w:val="26"/>
  </w:num>
  <w:num w:numId="38" w16cid:durableId="211691910">
    <w:abstractNumId w:val="25"/>
  </w:num>
  <w:num w:numId="39" w16cid:durableId="617106447">
    <w:abstractNumId w:val="12"/>
  </w:num>
  <w:num w:numId="40" w16cid:durableId="5566238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9D"/>
    <w:rsid w:val="0000134F"/>
    <w:rsid w:val="00002598"/>
    <w:rsid w:val="0000290E"/>
    <w:rsid w:val="00005293"/>
    <w:rsid w:val="00006C4C"/>
    <w:rsid w:val="00007085"/>
    <w:rsid w:val="0001275D"/>
    <w:rsid w:val="000130BA"/>
    <w:rsid w:val="00013392"/>
    <w:rsid w:val="00014522"/>
    <w:rsid w:val="0001543C"/>
    <w:rsid w:val="00017AB2"/>
    <w:rsid w:val="0002077E"/>
    <w:rsid w:val="000231F5"/>
    <w:rsid w:val="00025DAE"/>
    <w:rsid w:val="00032509"/>
    <w:rsid w:val="00032893"/>
    <w:rsid w:val="000341B9"/>
    <w:rsid w:val="00035555"/>
    <w:rsid w:val="00035D6F"/>
    <w:rsid w:val="00036C9C"/>
    <w:rsid w:val="00041E17"/>
    <w:rsid w:val="00043D95"/>
    <w:rsid w:val="00051404"/>
    <w:rsid w:val="00052BE5"/>
    <w:rsid w:val="00053838"/>
    <w:rsid w:val="00054100"/>
    <w:rsid w:val="000565F0"/>
    <w:rsid w:val="00061D02"/>
    <w:rsid w:val="00062AFD"/>
    <w:rsid w:val="0006505B"/>
    <w:rsid w:val="0006530F"/>
    <w:rsid w:val="00070023"/>
    <w:rsid w:val="0007182F"/>
    <w:rsid w:val="00073D1E"/>
    <w:rsid w:val="000754EA"/>
    <w:rsid w:val="00075805"/>
    <w:rsid w:val="000777D4"/>
    <w:rsid w:val="00081E17"/>
    <w:rsid w:val="00082DA8"/>
    <w:rsid w:val="00082FD2"/>
    <w:rsid w:val="00084564"/>
    <w:rsid w:val="00084ABF"/>
    <w:rsid w:val="000904C0"/>
    <w:rsid w:val="0009128F"/>
    <w:rsid w:val="00091992"/>
    <w:rsid w:val="0009396C"/>
    <w:rsid w:val="00093BE1"/>
    <w:rsid w:val="00093F77"/>
    <w:rsid w:val="0009647D"/>
    <w:rsid w:val="000A19CD"/>
    <w:rsid w:val="000A22E3"/>
    <w:rsid w:val="000A25C3"/>
    <w:rsid w:val="000A315E"/>
    <w:rsid w:val="000A4252"/>
    <w:rsid w:val="000A63B6"/>
    <w:rsid w:val="000B06CD"/>
    <w:rsid w:val="000B07BE"/>
    <w:rsid w:val="000B10F8"/>
    <w:rsid w:val="000B1FAB"/>
    <w:rsid w:val="000B3ECD"/>
    <w:rsid w:val="000B5510"/>
    <w:rsid w:val="000C399B"/>
    <w:rsid w:val="000C5391"/>
    <w:rsid w:val="000D0668"/>
    <w:rsid w:val="000D0E29"/>
    <w:rsid w:val="000D4519"/>
    <w:rsid w:val="000D4E92"/>
    <w:rsid w:val="000D6073"/>
    <w:rsid w:val="000E085B"/>
    <w:rsid w:val="000E0991"/>
    <w:rsid w:val="000E20EA"/>
    <w:rsid w:val="000E299F"/>
    <w:rsid w:val="000E3527"/>
    <w:rsid w:val="000E3A30"/>
    <w:rsid w:val="000E3CD9"/>
    <w:rsid w:val="000E6428"/>
    <w:rsid w:val="000F0DED"/>
    <w:rsid w:val="000F381F"/>
    <w:rsid w:val="000F5B66"/>
    <w:rsid w:val="000F6418"/>
    <w:rsid w:val="000F76C3"/>
    <w:rsid w:val="00101DD2"/>
    <w:rsid w:val="00103894"/>
    <w:rsid w:val="00103BB0"/>
    <w:rsid w:val="00110815"/>
    <w:rsid w:val="001120BA"/>
    <w:rsid w:val="00112851"/>
    <w:rsid w:val="00114C4A"/>
    <w:rsid w:val="0011523A"/>
    <w:rsid w:val="001212AD"/>
    <w:rsid w:val="00121774"/>
    <w:rsid w:val="00121D88"/>
    <w:rsid w:val="00123FA3"/>
    <w:rsid w:val="0012443C"/>
    <w:rsid w:val="0012498E"/>
    <w:rsid w:val="00126740"/>
    <w:rsid w:val="00130767"/>
    <w:rsid w:val="0013267D"/>
    <w:rsid w:val="00137443"/>
    <w:rsid w:val="00140316"/>
    <w:rsid w:val="0014041F"/>
    <w:rsid w:val="0014391C"/>
    <w:rsid w:val="0015062E"/>
    <w:rsid w:val="00150788"/>
    <w:rsid w:val="001532BE"/>
    <w:rsid w:val="001536A5"/>
    <w:rsid w:val="00153DC3"/>
    <w:rsid w:val="00160121"/>
    <w:rsid w:val="0016032C"/>
    <w:rsid w:val="00162216"/>
    <w:rsid w:val="00162CAE"/>
    <w:rsid w:val="00163DEE"/>
    <w:rsid w:val="00164FB8"/>
    <w:rsid w:val="00165320"/>
    <w:rsid w:val="0016728F"/>
    <w:rsid w:val="001710E6"/>
    <w:rsid w:val="00173C91"/>
    <w:rsid w:val="00174D97"/>
    <w:rsid w:val="0017754F"/>
    <w:rsid w:val="00177E84"/>
    <w:rsid w:val="00180BB3"/>
    <w:rsid w:val="001825A3"/>
    <w:rsid w:val="001836CC"/>
    <w:rsid w:val="00184D56"/>
    <w:rsid w:val="00192B9C"/>
    <w:rsid w:val="001A1658"/>
    <w:rsid w:val="001A5DB7"/>
    <w:rsid w:val="001A6CB8"/>
    <w:rsid w:val="001A7AB4"/>
    <w:rsid w:val="001A7F9F"/>
    <w:rsid w:val="001B586D"/>
    <w:rsid w:val="001B60EF"/>
    <w:rsid w:val="001B625F"/>
    <w:rsid w:val="001C0A65"/>
    <w:rsid w:val="001C28B6"/>
    <w:rsid w:val="001C6C34"/>
    <w:rsid w:val="001D2D75"/>
    <w:rsid w:val="001D3EA6"/>
    <w:rsid w:val="001D79EC"/>
    <w:rsid w:val="001E1110"/>
    <w:rsid w:val="001E123E"/>
    <w:rsid w:val="001E5699"/>
    <w:rsid w:val="001E6C3F"/>
    <w:rsid w:val="001F12E8"/>
    <w:rsid w:val="001F34B8"/>
    <w:rsid w:val="00200306"/>
    <w:rsid w:val="00200E01"/>
    <w:rsid w:val="00202E75"/>
    <w:rsid w:val="00207086"/>
    <w:rsid w:val="002101B8"/>
    <w:rsid w:val="002104EC"/>
    <w:rsid w:val="00212210"/>
    <w:rsid w:val="00216F5A"/>
    <w:rsid w:val="00220DB3"/>
    <w:rsid w:val="00222218"/>
    <w:rsid w:val="00225891"/>
    <w:rsid w:val="00225DE2"/>
    <w:rsid w:val="0023138E"/>
    <w:rsid w:val="00232990"/>
    <w:rsid w:val="0023362A"/>
    <w:rsid w:val="0023436C"/>
    <w:rsid w:val="00234930"/>
    <w:rsid w:val="002426AA"/>
    <w:rsid w:val="00242B21"/>
    <w:rsid w:val="00242E46"/>
    <w:rsid w:val="00243BE5"/>
    <w:rsid w:val="00244299"/>
    <w:rsid w:val="00245322"/>
    <w:rsid w:val="002524EA"/>
    <w:rsid w:val="00253FE9"/>
    <w:rsid w:val="00256428"/>
    <w:rsid w:val="00257CFA"/>
    <w:rsid w:val="00260708"/>
    <w:rsid w:val="00260F70"/>
    <w:rsid w:val="00261A1C"/>
    <w:rsid w:val="00262031"/>
    <w:rsid w:val="00263941"/>
    <w:rsid w:val="002725CA"/>
    <w:rsid w:val="002731FE"/>
    <w:rsid w:val="002740A9"/>
    <w:rsid w:val="0027583D"/>
    <w:rsid w:val="0027765E"/>
    <w:rsid w:val="00280469"/>
    <w:rsid w:val="00283A89"/>
    <w:rsid w:val="002841C3"/>
    <w:rsid w:val="002851EC"/>
    <w:rsid w:val="00287AFF"/>
    <w:rsid w:val="00293365"/>
    <w:rsid w:val="00297717"/>
    <w:rsid w:val="002A73C9"/>
    <w:rsid w:val="002B0A63"/>
    <w:rsid w:val="002B2F01"/>
    <w:rsid w:val="002B3978"/>
    <w:rsid w:val="002B4022"/>
    <w:rsid w:val="002B5104"/>
    <w:rsid w:val="002B76C0"/>
    <w:rsid w:val="002B7AC9"/>
    <w:rsid w:val="002C29F6"/>
    <w:rsid w:val="002C465B"/>
    <w:rsid w:val="002D3858"/>
    <w:rsid w:val="002E73D7"/>
    <w:rsid w:val="002F0881"/>
    <w:rsid w:val="002F29B1"/>
    <w:rsid w:val="002F37DA"/>
    <w:rsid w:val="002F409F"/>
    <w:rsid w:val="002F59B6"/>
    <w:rsid w:val="002F6459"/>
    <w:rsid w:val="00300E1F"/>
    <w:rsid w:val="0030113E"/>
    <w:rsid w:val="00302D5F"/>
    <w:rsid w:val="00304336"/>
    <w:rsid w:val="00306728"/>
    <w:rsid w:val="0030787C"/>
    <w:rsid w:val="003104A9"/>
    <w:rsid w:val="003110E7"/>
    <w:rsid w:val="00313ADD"/>
    <w:rsid w:val="00315428"/>
    <w:rsid w:val="00315B9F"/>
    <w:rsid w:val="00320C44"/>
    <w:rsid w:val="00321C99"/>
    <w:rsid w:val="003222D3"/>
    <w:rsid w:val="003273EA"/>
    <w:rsid w:val="00327FF0"/>
    <w:rsid w:val="003310E5"/>
    <w:rsid w:val="00331562"/>
    <w:rsid w:val="00332BE4"/>
    <w:rsid w:val="00336375"/>
    <w:rsid w:val="003403F1"/>
    <w:rsid w:val="00341695"/>
    <w:rsid w:val="003429C7"/>
    <w:rsid w:val="00342D14"/>
    <w:rsid w:val="00344D7D"/>
    <w:rsid w:val="00347087"/>
    <w:rsid w:val="003504C9"/>
    <w:rsid w:val="0035227A"/>
    <w:rsid w:val="00353737"/>
    <w:rsid w:val="003576E4"/>
    <w:rsid w:val="00357841"/>
    <w:rsid w:val="00361478"/>
    <w:rsid w:val="00361E02"/>
    <w:rsid w:val="003622EE"/>
    <w:rsid w:val="00365AC6"/>
    <w:rsid w:val="00366F17"/>
    <w:rsid w:val="00377381"/>
    <w:rsid w:val="00380F60"/>
    <w:rsid w:val="0038171E"/>
    <w:rsid w:val="00387259"/>
    <w:rsid w:val="003966D2"/>
    <w:rsid w:val="0039696B"/>
    <w:rsid w:val="00397FFC"/>
    <w:rsid w:val="003A191B"/>
    <w:rsid w:val="003A20B3"/>
    <w:rsid w:val="003A264D"/>
    <w:rsid w:val="003A29F8"/>
    <w:rsid w:val="003A2CFF"/>
    <w:rsid w:val="003A5FEA"/>
    <w:rsid w:val="003B0ACE"/>
    <w:rsid w:val="003B0C86"/>
    <w:rsid w:val="003B3EFF"/>
    <w:rsid w:val="003B4D6C"/>
    <w:rsid w:val="003C1BD7"/>
    <w:rsid w:val="003C4335"/>
    <w:rsid w:val="003C44BC"/>
    <w:rsid w:val="003C5B30"/>
    <w:rsid w:val="003C688B"/>
    <w:rsid w:val="003D1877"/>
    <w:rsid w:val="003D2F62"/>
    <w:rsid w:val="003D67C3"/>
    <w:rsid w:val="003D6BC6"/>
    <w:rsid w:val="003D7193"/>
    <w:rsid w:val="003D79EF"/>
    <w:rsid w:val="003E0649"/>
    <w:rsid w:val="003E7F03"/>
    <w:rsid w:val="003F1B03"/>
    <w:rsid w:val="003F3C94"/>
    <w:rsid w:val="003F4017"/>
    <w:rsid w:val="003F41E9"/>
    <w:rsid w:val="003F5F55"/>
    <w:rsid w:val="003F61B7"/>
    <w:rsid w:val="003F634E"/>
    <w:rsid w:val="00400FA8"/>
    <w:rsid w:val="00404F7F"/>
    <w:rsid w:val="004063FE"/>
    <w:rsid w:val="00412402"/>
    <w:rsid w:val="00412529"/>
    <w:rsid w:val="004139C8"/>
    <w:rsid w:val="00414390"/>
    <w:rsid w:val="00414D6E"/>
    <w:rsid w:val="00414E93"/>
    <w:rsid w:val="00421118"/>
    <w:rsid w:val="0042182A"/>
    <w:rsid w:val="004221AF"/>
    <w:rsid w:val="00422F37"/>
    <w:rsid w:val="00423418"/>
    <w:rsid w:val="004247EE"/>
    <w:rsid w:val="00425E73"/>
    <w:rsid w:val="0043052A"/>
    <w:rsid w:val="00430743"/>
    <w:rsid w:val="00432684"/>
    <w:rsid w:val="004349AF"/>
    <w:rsid w:val="00441437"/>
    <w:rsid w:val="0044156A"/>
    <w:rsid w:val="00441703"/>
    <w:rsid w:val="00441730"/>
    <w:rsid w:val="00442199"/>
    <w:rsid w:val="0044319A"/>
    <w:rsid w:val="00443F23"/>
    <w:rsid w:val="0045091A"/>
    <w:rsid w:val="00452AD3"/>
    <w:rsid w:val="00452EFF"/>
    <w:rsid w:val="00453828"/>
    <w:rsid w:val="004542FF"/>
    <w:rsid w:val="004604F2"/>
    <w:rsid w:val="004620DA"/>
    <w:rsid w:val="004637A9"/>
    <w:rsid w:val="00465D77"/>
    <w:rsid w:val="00470CA1"/>
    <w:rsid w:val="00472B35"/>
    <w:rsid w:val="00472CF1"/>
    <w:rsid w:val="00475268"/>
    <w:rsid w:val="00475459"/>
    <w:rsid w:val="00477AA7"/>
    <w:rsid w:val="00483159"/>
    <w:rsid w:val="0048323C"/>
    <w:rsid w:val="004853BF"/>
    <w:rsid w:val="00485A29"/>
    <w:rsid w:val="00490717"/>
    <w:rsid w:val="0049129C"/>
    <w:rsid w:val="00491AD7"/>
    <w:rsid w:val="00491D9D"/>
    <w:rsid w:val="004920DB"/>
    <w:rsid w:val="00493982"/>
    <w:rsid w:val="00494235"/>
    <w:rsid w:val="00495659"/>
    <w:rsid w:val="00496FD8"/>
    <w:rsid w:val="00497661"/>
    <w:rsid w:val="00497CBA"/>
    <w:rsid w:val="004A3F5C"/>
    <w:rsid w:val="004A6F6E"/>
    <w:rsid w:val="004B0D6B"/>
    <w:rsid w:val="004B1099"/>
    <w:rsid w:val="004B1C75"/>
    <w:rsid w:val="004B2303"/>
    <w:rsid w:val="004B3139"/>
    <w:rsid w:val="004C0C17"/>
    <w:rsid w:val="004D0E47"/>
    <w:rsid w:val="004D42E3"/>
    <w:rsid w:val="004D490F"/>
    <w:rsid w:val="004D5DEC"/>
    <w:rsid w:val="004D7453"/>
    <w:rsid w:val="004D79FC"/>
    <w:rsid w:val="004E0B69"/>
    <w:rsid w:val="004E0E97"/>
    <w:rsid w:val="004E319C"/>
    <w:rsid w:val="004E3DE5"/>
    <w:rsid w:val="004E4ADD"/>
    <w:rsid w:val="004E65C3"/>
    <w:rsid w:val="004F609E"/>
    <w:rsid w:val="00505791"/>
    <w:rsid w:val="0050596E"/>
    <w:rsid w:val="00506E42"/>
    <w:rsid w:val="00516B17"/>
    <w:rsid w:val="00516E29"/>
    <w:rsid w:val="00520764"/>
    <w:rsid w:val="00520F30"/>
    <w:rsid w:val="005243C7"/>
    <w:rsid w:val="00525458"/>
    <w:rsid w:val="00527CAC"/>
    <w:rsid w:val="00531CD2"/>
    <w:rsid w:val="00532EE6"/>
    <w:rsid w:val="00536B01"/>
    <w:rsid w:val="00537200"/>
    <w:rsid w:val="00537CA4"/>
    <w:rsid w:val="0054041C"/>
    <w:rsid w:val="00541247"/>
    <w:rsid w:val="00543310"/>
    <w:rsid w:val="00547119"/>
    <w:rsid w:val="00552660"/>
    <w:rsid w:val="0055575E"/>
    <w:rsid w:val="00555EC6"/>
    <w:rsid w:val="005626AF"/>
    <w:rsid w:val="00566FEE"/>
    <w:rsid w:val="0057137C"/>
    <w:rsid w:val="00571536"/>
    <w:rsid w:val="00575F66"/>
    <w:rsid w:val="00575FF0"/>
    <w:rsid w:val="00581150"/>
    <w:rsid w:val="00581B00"/>
    <w:rsid w:val="00582F62"/>
    <w:rsid w:val="00584ACB"/>
    <w:rsid w:val="005850A4"/>
    <w:rsid w:val="00586568"/>
    <w:rsid w:val="00591EDE"/>
    <w:rsid w:val="00592AFC"/>
    <w:rsid w:val="00592DEB"/>
    <w:rsid w:val="00595B3A"/>
    <w:rsid w:val="00595BF7"/>
    <w:rsid w:val="005963E7"/>
    <w:rsid w:val="00596F88"/>
    <w:rsid w:val="00597E53"/>
    <w:rsid w:val="005A17D2"/>
    <w:rsid w:val="005A211D"/>
    <w:rsid w:val="005A289F"/>
    <w:rsid w:val="005A2FFD"/>
    <w:rsid w:val="005A36C2"/>
    <w:rsid w:val="005A6042"/>
    <w:rsid w:val="005B1ACE"/>
    <w:rsid w:val="005B382F"/>
    <w:rsid w:val="005B42E7"/>
    <w:rsid w:val="005B4D00"/>
    <w:rsid w:val="005B5352"/>
    <w:rsid w:val="005C366A"/>
    <w:rsid w:val="005C5B62"/>
    <w:rsid w:val="005C62FE"/>
    <w:rsid w:val="005C6393"/>
    <w:rsid w:val="005C682D"/>
    <w:rsid w:val="005D1675"/>
    <w:rsid w:val="005D1D9D"/>
    <w:rsid w:val="005D467E"/>
    <w:rsid w:val="005D6825"/>
    <w:rsid w:val="005D7F94"/>
    <w:rsid w:val="005E3045"/>
    <w:rsid w:val="005E574D"/>
    <w:rsid w:val="005E5E8F"/>
    <w:rsid w:val="005E721F"/>
    <w:rsid w:val="005F0DC7"/>
    <w:rsid w:val="005F5B3F"/>
    <w:rsid w:val="00600BE8"/>
    <w:rsid w:val="00602646"/>
    <w:rsid w:val="00606743"/>
    <w:rsid w:val="00607BC3"/>
    <w:rsid w:val="00607BF3"/>
    <w:rsid w:val="006107B2"/>
    <w:rsid w:val="00610DD8"/>
    <w:rsid w:val="006127EC"/>
    <w:rsid w:val="00615C83"/>
    <w:rsid w:val="00624378"/>
    <w:rsid w:val="00627F15"/>
    <w:rsid w:val="00630A57"/>
    <w:rsid w:val="00634781"/>
    <w:rsid w:val="00634FC3"/>
    <w:rsid w:val="006360D0"/>
    <w:rsid w:val="00636B07"/>
    <w:rsid w:val="00640DAE"/>
    <w:rsid w:val="00642B5B"/>
    <w:rsid w:val="006444C9"/>
    <w:rsid w:val="00644E68"/>
    <w:rsid w:val="006458CC"/>
    <w:rsid w:val="00646890"/>
    <w:rsid w:val="00647EAF"/>
    <w:rsid w:val="00650DF4"/>
    <w:rsid w:val="006516DC"/>
    <w:rsid w:val="006609AA"/>
    <w:rsid w:val="00662CCF"/>
    <w:rsid w:val="00663600"/>
    <w:rsid w:val="006667C0"/>
    <w:rsid w:val="0067566D"/>
    <w:rsid w:val="00680052"/>
    <w:rsid w:val="006801C4"/>
    <w:rsid w:val="006813DC"/>
    <w:rsid w:val="00682977"/>
    <w:rsid w:val="0069111A"/>
    <w:rsid w:val="00692A9E"/>
    <w:rsid w:val="006950DD"/>
    <w:rsid w:val="00696916"/>
    <w:rsid w:val="00696D9D"/>
    <w:rsid w:val="006A27CF"/>
    <w:rsid w:val="006A2925"/>
    <w:rsid w:val="006A299F"/>
    <w:rsid w:val="006A5C87"/>
    <w:rsid w:val="006A64CE"/>
    <w:rsid w:val="006A7529"/>
    <w:rsid w:val="006A7988"/>
    <w:rsid w:val="006A7D55"/>
    <w:rsid w:val="006B1744"/>
    <w:rsid w:val="006B180A"/>
    <w:rsid w:val="006B36F5"/>
    <w:rsid w:val="006B6584"/>
    <w:rsid w:val="006C0EB7"/>
    <w:rsid w:val="006C1F85"/>
    <w:rsid w:val="006C3C63"/>
    <w:rsid w:val="006C669B"/>
    <w:rsid w:val="006D1C2C"/>
    <w:rsid w:val="006D1C78"/>
    <w:rsid w:val="006D2DD8"/>
    <w:rsid w:val="006D3C09"/>
    <w:rsid w:val="006E3334"/>
    <w:rsid w:val="006E3D38"/>
    <w:rsid w:val="006F0353"/>
    <w:rsid w:val="006F0979"/>
    <w:rsid w:val="006F35FF"/>
    <w:rsid w:val="006F7828"/>
    <w:rsid w:val="00701A95"/>
    <w:rsid w:val="00702C4E"/>
    <w:rsid w:val="007048E7"/>
    <w:rsid w:val="00710078"/>
    <w:rsid w:val="00710279"/>
    <w:rsid w:val="00710964"/>
    <w:rsid w:val="00716E3D"/>
    <w:rsid w:val="0071787D"/>
    <w:rsid w:val="007208AC"/>
    <w:rsid w:val="0072289C"/>
    <w:rsid w:val="007257C4"/>
    <w:rsid w:val="00726D1F"/>
    <w:rsid w:val="00727185"/>
    <w:rsid w:val="00727831"/>
    <w:rsid w:val="00731AC4"/>
    <w:rsid w:val="00732AA6"/>
    <w:rsid w:val="0073334C"/>
    <w:rsid w:val="00736632"/>
    <w:rsid w:val="007378E5"/>
    <w:rsid w:val="00740FA6"/>
    <w:rsid w:val="0074159B"/>
    <w:rsid w:val="00742BE2"/>
    <w:rsid w:val="007438AB"/>
    <w:rsid w:val="00743A0D"/>
    <w:rsid w:val="00744094"/>
    <w:rsid w:val="00744668"/>
    <w:rsid w:val="007450EA"/>
    <w:rsid w:val="00745171"/>
    <w:rsid w:val="007460CE"/>
    <w:rsid w:val="00746AF4"/>
    <w:rsid w:val="00746D0B"/>
    <w:rsid w:val="00746F26"/>
    <w:rsid w:val="00750B6C"/>
    <w:rsid w:val="00750B70"/>
    <w:rsid w:val="00752F6A"/>
    <w:rsid w:val="00753007"/>
    <w:rsid w:val="00753449"/>
    <w:rsid w:val="007571DB"/>
    <w:rsid w:val="0075758F"/>
    <w:rsid w:val="0075779C"/>
    <w:rsid w:val="00757864"/>
    <w:rsid w:val="00757C52"/>
    <w:rsid w:val="0076030D"/>
    <w:rsid w:val="00760D0B"/>
    <w:rsid w:val="007610AA"/>
    <w:rsid w:val="00762B45"/>
    <w:rsid w:val="00763A9A"/>
    <w:rsid w:val="0076443A"/>
    <w:rsid w:val="00765397"/>
    <w:rsid w:val="00766696"/>
    <w:rsid w:val="00766F46"/>
    <w:rsid w:val="00771103"/>
    <w:rsid w:val="00772C38"/>
    <w:rsid w:val="00773794"/>
    <w:rsid w:val="007739B3"/>
    <w:rsid w:val="00774331"/>
    <w:rsid w:val="0077700C"/>
    <w:rsid w:val="00780560"/>
    <w:rsid w:val="007817B2"/>
    <w:rsid w:val="007835A9"/>
    <w:rsid w:val="007868E3"/>
    <w:rsid w:val="00787E23"/>
    <w:rsid w:val="0079311B"/>
    <w:rsid w:val="00793989"/>
    <w:rsid w:val="00794136"/>
    <w:rsid w:val="00797155"/>
    <w:rsid w:val="007A232A"/>
    <w:rsid w:val="007A2DCA"/>
    <w:rsid w:val="007A33CA"/>
    <w:rsid w:val="007A37DD"/>
    <w:rsid w:val="007A4F0F"/>
    <w:rsid w:val="007A5E70"/>
    <w:rsid w:val="007A7E71"/>
    <w:rsid w:val="007B0A16"/>
    <w:rsid w:val="007B0FB7"/>
    <w:rsid w:val="007B270A"/>
    <w:rsid w:val="007B2AAE"/>
    <w:rsid w:val="007B367B"/>
    <w:rsid w:val="007B4E5A"/>
    <w:rsid w:val="007B4E9B"/>
    <w:rsid w:val="007B5DD1"/>
    <w:rsid w:val="007B7C1C"/>
    <w:rsid w:val="007B7D22"/>
    <w:rsid w:val="007C0D04"/>
    <w:rsid w:val="007C154B"/>
    <w:rsid w:val="007C224D"/>
    <w:rsid w:val="007C35B7"/>
    <w:rsid w:val="007C5577"/>
    <w:rsid w:val="007C68BB"/>
    <w:rsid w:val="007C6E3B"/>
    <w:rsid w:val="007D08F8"/>
    <w:rsid w:val="007D0F82"/>
    <w:rsid w:val="007D15EC"/>
    <w:rsid w:val="007D1940"/>
    <w:rsid w:val="007D45A5"/>
    <w:rsid w:val="007D606F"/>
    <w:rsid w:val="007D7A1D"/>
    <w:rsid w:val="007E14C0"/>
    <w:rsid w:val="007E6FA9"/>
    <w:rsid w:val="007F19F9"/>
    <w:rsid w:val="007F2A1F"/>
    <w:rsid w:val="007F414F"/>
    <w:rsid w:val="007F41CD"/>
    <w:rsid w:val="007F6823"/>
    <w:rsid w:val="00800C15"/>
    <w:rsid w:val="00801A1A"/>
    <w:rsid w:val="00801AE6"/>
    <w:rsid w:val="008037F3"/>
    <w:rsid w:val="00803B4E"/>
    <w:rsid w:val="00803FBA"/>
    <w:rsid w:val="00805D37"/>
    <w:rsid w:val="0080694E"/>
    <w:rsid w:val="00806B77"/>
    <w:rsid w:val="00810815"/>
    <w:rsid w:val="00820F8C"/>
    <w:rsid w:val="00824819"/>
    <w:rsid w:val="00831006"/>
    <w:rsid w:val="00832A73"/>
    <w:rsid w:val="00833B5B"/>
    <w:rsid w:val="008414FA"/>
    <w:rsid w:val="008438C0"/>
    <w:rsid w:val="00844790"/>
    <w:rsid w:val="008450DE"/>
    <w:rsid w:val="00846CD6"/>
    <w:rsid w:val="0085095E"/>
    <w:rsid w:val="00851A85"/>
    <w:rsid w:val="00852401"/>
    <w:rsid w:val="00855464"/>
    <w:rsid w:val="00856E18"/>
    <w:rsid w:val="008571B9"/>
    <w:rsid w:val="00862484"/>
    <w:rsid w:val="00862783"/>
    <w:rsid w:val="008634D1"/>
    <w:rsid w:val="00863734"/>
    <w:rsid w:val="00864D5C"/>
    <w:rsid w:val="008665A1"/>
    <w:rsid w:val="00870442"/>
    <w:rsid w:val="008714BE"/>
    <w:rsid w:val="00871ACD"/>
    <w:rsid w:val="0087385A"/>
    <w:rsid w:val="00873FD8"/>
    <w:rsid w:val="00874B7D"/>
    <w:rsid w:val="0087611B"/>
    <w:rsid w:val="00877EB3"/>
    <w:rsid w:val="008853E7"/>
    <w:rsid w:val="008860ED"/>
    <w:rsid w:val="0089057C"/>
    <w:rsid w:val="008905FC"/>
    <w:rsid w:val="008922E8"/>
    <w:rsid w:val="00893B92"/>
    <w:rsid w:val="008941AB"/>
    <w:rsid w:val="00894971"/>
    <w:rsid w:val="00896EEC"/>
    <w:rsid w:val="00897A08"/>
    <w:rsid w:val="008A14CB"/>
    <w:rsid w:val="008A214B"/>
    <w:rsid w:val="008A4503"/>
    <w:rsid w:val="008B26E8"/>
    <w:rsid w:val="008B297D"/>
    <w:rsid w:val="008B344D"/>
    <w:rsid w:val="008B35EF"/>
    <w:rsid w:val="008B4870"/>
    <w:rsid w:val="008B49E9"/>
    <w:rsid w:val="008B51C0"/>
    <w:rsid w:val="008B6287"/>
    <w:rsid w:val="008C0881"/>
    <w:rsid w:val="008C2575"/>
    <w:rsid w:val="008C3E31"/>
    <w:rsid w:val="008C7AB3"/>
    <w:rsid w:val="008C7D72"/>
    <w:rsid w:val="008D05BF"/>
    <w:rsid w:val="008D2FAA"/>
    <w:rsid w:val="008D30E5"/>
    <w:rsid w:val="008E17DD"/>
    <w:rsid w:val="008E19C8"/>
    <w:rsid w:val="008E1AA1"/>
    <w:rsid w:val="00900BE0"/>
    <w:rsid w:val="00904043"/>
    <w:rsid w:val="00904E28"/>
    <w:rsid w:val="009120B0"/>
    <w:rsid w:val="00912373"/>
    <w:rsid w:val="00912733"/>
    <w:rsid w:val="00913714"/>
    <w:rsid w:val="00914BB4"/>
    <w:rsid w:val="0091640F"/>
    <w:rsid w:val="009277C0"/>
    <w:rsid w:val="00932263"/>
    <w:rsid w:val="009344F9"/>
    <w:rsid w:val="0093728D"/>
    <w:rsid w:val="00937F9F"/>
    <w:rsid w:val="009434DD"/>
    <w:rsid w:val="00943872"/>
    <w:rsid w:val="009441F6"/>
    <w:rsid w:val="0094527C"/>
    <w:rsid w:val="009505EF"/>
    <w:rsid w:val="00951990"/>
    <w:rsid w:val="00952356"/>
    <w:rsid w:val="00952E85"/>
    <w:rsid w:val="00953930"/>
    <w:rsid w:val="00955498"/>
    <w:rsid w:val="009568B3"/>
    <w:rsid w:val="00956CC8"/>
    <w:rsid w:val="009629A1"/>
    <w:rsid w:val="00962A08"/>
    <w:rsid w:val="009630EC"/>
    <w:rsid w:val="00963BBC"/>
    <w:rsid w:val="009660CE"/>
    <w:rsid w:val="009679CF"/>
    <w:rsid w:val="009718E1"/>
    <w:rsid w:val="0097211C"/>
    <w:rsid w:val="00973634"/>
    <w:rsid w:val="00973DC9"/>
    <w:rsid w:val="0097511B"/>
    <w:rsid w:val="00976D43"/>
    <w:rsid w:val="0098018C"/>
    <w:rsid w:val="00982015"/>
    <w:rsid w:val="00982436"/>
    <w:rsid w:val="00984892"/>
    <w:rsid w:val="00985541"/>
    <w:rsid w:val="009904E5"/>
    <w:rsid w:val="00993172"/>
    <w:rsid w:val="00993AEC"/>
    <w:rsid w:val="00994C1D"/>
    <w:rsid w:val="00995975"/>
    <w:rsid w:val="009975FE"/>
    <w:rsid w:val="00997675"/>
    <w:rsid w:val="009A0FA6"/>
    <w:rsid w:val="009A44EA"/>
    <w:rsid w:val="009A469E"/>
    <w:rsid w:val="009A6D1C"/>
    <w:rsid w:val="009B008A"/>
    <w:rsid w:val="009B0468"/>
    <w:rsid w:val="009B4698"/>
    <w:rsid w:val="009C0205"/>
    <w:rsid w:val="009C2845"/>
    <w:rsid w:val="009C4B95"/>
    <w:rsid w:val="009C5383"/>
    <w:rsid w:val="009D22CC"/>
    <w:rsid w:val="009D345A"/>
    <w:rsid w:val="009E0BF2"/>
    <w:rsid w:val="009E395C"/>
    <w:rsid w:val="009E3E0F"/>
    <w:rsid w:val="009E54E0"/>
    <w:rsid w:val="009E589C"/>
    <w:rsid w:val="009E643E"/>
    <w:rsid w:val="009E720C"/>
    <w:rsid w:val="009F0747"/>
    <w:rsid w:val="009F1029"/>
    <w:rsid w:val="009F154A"/>
    <w:rsid w:val="009F1ABF"/>
    <w:rsid w:val="009F2F11"/>
    <w:rsid w:val="009F454D"/>
    <w:rsid w:val="009F68D5"/>
    <w:rsid w:val="00A006A2"/>
    <w:rsid w:val="00A02C21"/>
    <w:rsid w:val="00A0411C"/>
    <w:rsid w:val="00A051F3"/>
    <w:rsid w:val="00A06DFB"/>
    <w:rsid w:val="00A11E1D"/>
    <w:rsid w:val="00A14C39"/>
    <w:rsid w:val="00A177D4"/>
    <w:rsid w:val="00A17CF0"/>
    <w:rsid w:val="00A22132"/>
    <w:rsid w:val="00A22D01"/>
    <w:rsid w:val="00A23981"/>
    <w:rsid w:val="00A31FA1"/>
    <w:rsid w:val="00A3266D"/>
    <w:rsid w:val="00A33CC3"/>
    <w:rsid w:val="00A34472"/>
    <w:rsid w:val="00A36B17"/>
    <w:rsid w:val="00A44442"/>
    <w:rsid w:val="00A4679B"/>
    <w:rsid w:val="00A504F2"/>
    <w:rsid w:val="00A5053B"/>
    <w:rsid w:val="00A562F2"/>
    <w:rsid w:val="00A6098D"/>
    <w:rsid w:val="00A6166D"/>
    <w:rsid w:val="00A642BC"/>
    <w:rsid w:val="00A661A5"/>
    <w:rsid w:val="00A66497"/>
    <w:rsid w:val="00A6767A"/>
    <w:rsid w:val="00A67F31"/>
    <w:rsid w:val="00A7118E"/>
    <w:rsid w:val="00A71D2A"/>
    <w:rsid w:val="00A72EA6"/>
    <w:rsid w:val="00A73761"/>
    <w:rsid w:val="00A738A6"/>
    <w:rsid w:val="00A73CAD"/>
    <w:rsid w:val="00A74E71"/>
    <w:rsid w:val="00A77282"/>
    <w:rsid w:val="00A844C7"/>
    <w:rsid w:val="00A8543D"/>
    <w:rsid w:val="00A91C02"/>
    <w:rsid w:val="00A91C43"/>
    <w:rsid w:val="00A9383D"/>
    <w:rsid w:val="00A9454C"/>
    <w:rsid w:val="00A976DE"/>
    <w:rsid w:val="00AA0441"/>
    <w:rsid w:val="00AA10A2"/>
    <w:rsid w:val="00AA2072"/>
    <w:rsid w:val="00AA2448"/>
    <w:rsid w:val="00AA2466"/>
    <w:rsid w:val="00AA2E6E"/>
    <w:rsid w:val="00AA442C"/>
    <w:rsid w:val="00AA53DB"/>
    <w:rsid w:val="00AA55CA"/>
    <w:rsid w:val="00AA67A7"/>
    <w:rsid w:val="00AA6A56"/>
    <w:rsid w:val="00AB1D7D"/>
    <w:rsid w:val="00AB68BE"/>
    <w:rsid w:val="00AB6D75"/>
    <w:rsid w:val="00AC0950"/>
    <w:rsid w:val="00AC220A"/>
    <w:rsid w:val="00AC2549"/>
    <w:rsid w:val="00AC39C8"/>
    <w:rsid w:val="00AC579C"/>
    <w:rsid w:val="00AC6B7A"/>
    <w:rsid w:val="00AD044C"/>
    <w:rsid w:val="00AD0DFB"/>
    <w:rsid w:val="00AD0EFB"/>
    <w:rsid w:val="00AD18AF"/>
    <w:rsid w:val="00AD1AA2"/>
    <w:rsid w:val="00AD385F"/>
    <w:rsid w:val="00AD6B39"/>
    <w:rsid w:val="00AE36A7"/>
    <w:rsid w:val="00AE6F74"/>
    <w:rsid w:val="00AF03F5"/>
    <w:rsid w:val="00AF213E"/>
    <w:rsid w:val="00AF5539"/>
    <w:rsid w:val="00AF745B"/>
    <w:rsid w:val="00B0029C"/>
    <w:rsid w:val="00B0628F"/>
    <w:rsid w:val="00B0773F"/>
    <w:rsid w:val="00B10417"/>
    <w:rsid w:val="00B13977"/>
    <w:rsid w:val="00B17B95"/>
    <w:rsid w:val="00B21133"/>
    <w:rsid w:val="00B23251"/>
    <w:rsid w:val="00B32E61"/>
    <w:rsid w:val="00B33896"/>
    <w:rsid w:val="00B33BC9"/>
    <w:rsid w:val="00B35F82"/>
    <w:rsid w:val="00B40E84"/>
    <w:rsid w:val="00B412EF"/>
    <w:rsid w:val="00B430F4"/>
    <w:rsid w:val="00B47A74"/>
    <w:rsid w:val="00B47B1F"/>
    <w:rsid w:val="00B521D9"/>
    <w:rsid w:val="00B55116"/>
    <w:rsid w:val="00B564E5"/>
    <w:rsid w:val="00B56D88"/>
    <w:rsid w:val="00B60BA8"/>
    <w:rsid w:val="00B61A0D"/>
    <w:rsid w:val="00B63A52"/>
    <w:rsid w:val="00B64030"/>
    <w:rsid w:val="00B66203"/>
    <w:rsid w:val="00B66525"/>
    <w:rsid w:val="00B70993"/>
    <w:rsid w:val="00B73B50"/>
    <w:rsid w:val="00B75C2D"/>
    <w:rsid w:val="00B806B5"/>
    <w:rsid w:val="00B8081C"/>
    <w:rsid w:val="00B81465"/>
    <w:rsid w:val="00B81982"/>
    <w:rsid w:val="00B922A1"/>
    <w:rsid w:val="00B922A5"/>
    <w:rsid w:val="00B92BA9"/>
    <w:rsid w:val="00B93A71"/>
    <w:rsid w:val="00B94740"/>
    <w:rsid w:val="00B959F0"/>
    <w:rsid w:val="00B97521"/>
    <w:rsid w:val="00BA43AF"/>
    <w:rsid w:val="00BA4D70"/>
    <w:rsid w:val="00BA5C36"/>
    <w:rsid w:val="00BA64BF"/>
    <w:rsid w:val="00BA7A2F"/>
    <w:rsid w:val="00BA7D96"/>
    <w:rsid w:val="00BB22C4"/>
    <w:rsid w:val="00BB4639"/>
    <w:rsid w:val="00BB69F2"/>
    <w:rsid w:val="00BB6CA7"/>
    <w:rsid w:val="00BC144E"/>
    <w:rsid w:val="00BC3150"/>
    <w:rsid w:val="00BC44B1"/>
    <w:rsid w:val="00BC45D8"/>
    <w:rsid w:val="00BC4820"/>
    <w:rsid w:val="00BC4B5D"/>
    <w:rsid w:val="00BC6AAE"/>
    <w:rsid w:val="00BD0F17"/>
    <w:rsid w:val="00BD12AA"/>
    <w:rsid w:val="00BD31BF"/>
    <w:rsid w:val="00BD406F"/>
    <w:rsid w:val="00BD6F84"/>
    <w:rsid w:val="00BE04C1"/>
    <w:rsid w:val="00BE09DC"/>
    <w:rsid w:val="00BE6833"/>
    <w:rsid w:val="00BE6AF2"/>
    <w:rsid w:val="00BF01E0"/>
    <w:rsid w:val="00BF7DFB"/>
    <w:rsid w:val="00C0080E"/>
    <w:rsid w:val="00C05EAA"/>
    <w:rsid w:val="00C141AD"/>
    <w:rsid w:val="00C22C18"/>
    <w:rsid w:val="00C24669"/>
    <w:rsid w:val="00C26941"/>
    <w:rsid w:val="00C2729D"/>
    <w:rsid w:val="00C279D2"/>
    <w:rsid w:val="00C319BC"/>
    <w:rsid w:val="00C3268E"/>
    <w:rsid w:val="00C335AF"/>
    <w:rsid w:val="00C344AE"/>
    <w:rsid w:val="00C372C1"/>
    <w:rsid w:val="00C40501"/>
    <w:rsid w:val="00C4284A"/>
    <w:rsid w:val="00C4288A"/>
    <w:rsid w:val="00C43D74"/>
    <w:rsid w:val="00C45A47"/>
    <w:rsid w:val="00C50199"/>
    <w:rsid w:val="00C5152F"/>
    <w:rsid w:val="00C52822"/>
    <w:rsid w:val="00C5282F"/>
    <w:rsid w:val="00C630E3"/>
    <w:rsid w:val="00C66240"/>
    <w:rsid w:val="00C73277"/>
    <w:rsid w:val="00C73B93"/>
    <w:rsid w:val="00C81C43"/>
    <w:rsid w:val="00C84698"/>
    <w:rsid w:val="00C854B9"/>
    <w:rsid w:val="00C85B57"/>
    <w:rsid w:val="00C908A8"/>
    <w:rsid w:val="00C915E7"/>
    <w:rsid w:val="00C91DEE"/>
    <w:rsid w:val="00C91E0E"/>
    <w:rsid w:val="00C9308B"/>
    <w:rsid w:val="00C94988"/>
    <w:rsid w:val="00C95613"/>
    <w:rsid w:val="00CA2640"/>
    <w:rsid w:val="00CA4398"/>
    <w:rsid w:val="00CA4619"/>
    <w:rsid w:val="00CA4BEF"/>
    <w:rsid w:val="00CA7EC4"/>
    <w:rsid w:val="00CB3B05"/>
    <w:rsid w:val="00CB42DB"/>
    <w:rsid w:val="00CB56B1"/>
    <w:rsid w:val="00CB5B02"/>
    <w:rsid w:val="00CB6341"/>
    <w:rsid w:val="00CB6885"/>
    <w:rsid w:val="00CB6FF1"/>
    <w:rsid w:val="00CB79D3"/>
    <w:rsid w:val="00CC1569"/>
    <w:rsid w:val="00CC2A6C"/>
    <w:rsid w:val="00CC638C"/>
    <w:rsid w:val="00CC702E"/>
    <w:rsid w:val="00CC7540"/>
    <w:rsid w:val="00CD353C"/>
    <w:rsid w:val="00CD64AF"/>
    <w:rsid w:val="00CE1063"/>
    <w:rsid w:val="00CE3183"/>
    <w:rsid w:val="00CE47AA"/>
    <w:rsid w:val="00CE5E11"/>
    <w:rsid w:val="00CF0A22"/>
    <w:rsid w:val="00CF0A98"/>
    <w:rsid w:val="00CF0D07"/>
    <w:rsid w:val="00CF1445"/>
    <w:rsid w:val="00CF4E13"/>
    <w:rsid w:val="00D00095"/>
    <w:rsid w:val="00D01109"/>
    <w:rsid w:val="00D038A9"/>
    <w:rsid w:val="00D03C3D"/>
    <w:rsid w:val="00D04DDE"/>
    <w:rsid w:val="00D05A1B"/>
    <w:rsid w:val="00D07C5D"/>
    <w:rsid w:val="00D11346"/>
    <w:rsid w:val="00D124B9"/>
    <w:rsid w:val="00D156C9"/>
    <w:rsid w:val="00D16A07"/>
    <w:rsid w:val="00D2129A"/>
    <w:rsid w:val="00D21EA3"/>
    <w:rsid w:val="00D24238"/>
    <w:rsid w:val="00D24AF6"/>
    <w:rsid w:val="00D40B3D"/>
    <w:rsid w:val="00D420F3"/>
    <w:rsid w:val="00D42FCB"/>
    <w:rsid w:val="00D431BC"/>
    <w:rsid w:val="00D46A13"/>
    <w:rsid w:val="00D477B8"/>
    <w:rsid w:val="00D501ED"/>
    <w:rsid w:val="00D515BF"/>
    <w:rsid w:val="00D51F2F"/>
    <w:rsid w:val="00D528DD"/>
    <w:rsid w:val="00D5292B"/>
    <w:rsid w:val="00D5359C"/>
    <w:rsid w:val="00D564EE"/>
    <w:rsid w:val="00D60D7E"/>
    <w:rsid w:val="00D621B2"/>
    <w:rsid w:val="00D6226D"/>
    <w:rsid w:val="00D6285A"/>
    <w:rsid w:val="00D64948"/>
    <w:rsid w:val="00D70DB7"/>
    <w:rsid w:val="00D70FAE"/>
    <w:rsid w:val="00D76105"/>
    <w:rsid w:val="00D76463"/>
    <w:rsid w:val="00D80C9C"/>
    <w:rsid w:val="00D8219E"/>
    <w:rsid w:val="00D8352E"/>
    <w:rsid w:val="00D86907"/>
    <w:rsid w:val="00D877E1"/>
    <w:rsid w:val="00D87C43"/>
    <w:rsid w:val="00D91C96"/>
    <w:rsid w:val="00D91CE7"/>
    <w:rsid w:val="00D94027"/>
    <w:rsid w:val="00D94D18"/>
    <w:rsid w:val="00DA1B5E"/>
    <w:rsid w:val="00DA3FB8"/>
    <w:rsid w:val="00DB13FD"/>
    <w:rsid w:val="00DB3EA1"/>
    <w:rsid w:val="00DB4996"/>
    <w:rsid w:val="00DC0EDC"/>
    <w:rsid w:val="00DC1E59"/>
    <w:rsid w:val="00DC28B8"/>
    <w:rsid w:val="00DC2DAC"/>
    <w:rsid w:val="00DC56FF"/>
    <w:rsid w:val="00DD4D9A"/>
    <w:rsid w:val="00DD6F84"/>
    <w:rsid w:val="00DE018D"/>
    <w:rsid w:val="00DE09C3"/>
    <w:rsid w:val="00DE1E0D"/>
    <w:rsid w:val="00DE2E3D"/>
    <w:rsid w:val="00DE7910"/>
    <w:rsid w:val="00DF0BA2"/>
    <w:rsid w:val="00DF122A"/>
    <w:rsid w:val="00DF2049"/>
    <w:rsid w:val="00DF319F"/>
    <w:rsid w:val="00DF38FF"/>
    <w:rsid w:val="00DF3D6B"/>
    <w:rsid w:val="00DF3DD8"/>
    <w:rsid w:val="00DF5A54"/>
    <w:rsid w:val="00DF77A2"/>
    <w:rsid w:val="00E0043F"/>
    <w:rsid w:val="00E00E01"/>
    <w:rsid w:val="00E01C57"/>
    <w:rsid w:val="00E0333D"/>
    <w:rsid w:val="00E04F6B"/>
    <w:rsid w:val="00E0502C"/>
    <w:rsid w:val="00E0523B"/>
    <w:rsid w:val="00E07EA8"/>
    <w:rsid w:val="00E104DC"/>
    <w:rsid w:val="00E127E6"/>
    <w:rsid w:val="00E151D4"/>
    <w:rsid w:val="00E16C91"/>
    <w:rsid w:val="00E22D88"/>
    <w:rsid w:val="00E23AC9"/>
    <w:rsid w:val="00E2530E"/>
    <w:rsid w:val="00E26084"/>
    <w:rsid w:val="00E30059"/>
    <w:rsid w:val="00E3031D"/>
    <w:rsid w:val="00E31A39"/>
    <w:rsid w:val="00E327CF"/>
    <w:rsid w:val="00E34228"/>
    <w:rsid w:val="00E34974"/>
    <w:rsid w:val="00E3736B"/>
    <w:rsid w:val="00E4110B"/>
    <w:rsid w:val="00E41C6A"/>
    <w:rsid w:val="00E42943"/>
    <w:rsid w:val="00E452DF"/>
    <w:rsid w:val="00E46B4B"/>
    <w:rsid w:val="00E5015E"/>
    <w:rsid w:val="00E54BB6"/>
    <w:rsid w:val="00E54C1C"/>
    <w:rsid w:val="00E5524B"/>
    <w:rsid w:val="00E55EFD"/>
    <w:rsid w:val="00E63D65"/>
    <w:rsid w:val="00E648F7"/>
    <w:rsid w:val="00E665B9"/>
    <w:rsid w:val="00E66A1B"/>
    <w:rsid w:val="00E73CAC"/>
    <w:rsid w:val="00E74795"/>
    <w:rsid w:val="00E8483B"/>
    <w:rsid w:val="00E857B0"/>
    <w:rsid w:val="00E86AFC"/>
    <w:rsid w:val="00E91C94"/>
    <w:rsid w:val="00E92870"/>
    <w:rsid w:val="00E9341F"/>
    <w:rsid w:val="00E9458E"/>
    <w:rsid w:val="00E97C61"/>
    <w:rsid w:val="00EA0631"/>
    <w:rsid w:val="00EA10D4"/>
    <w:rsid w:val="00EA13D3"/>
    <w:rsid w:val="00EA2614"/>
    <w:rsid w:val="00EB0B9E"/>
    <w:rsid w:val="00EB2F32"/>
    <w:rsid w:val="00EB31CB"/>
    <w:rsid w:val="00EB5820"/>
    <w:rsid w:val="00EB62AB"/>
    <w:rsid w:val="00EB69E9"/>
    <w:rsid w:val="00EB72AF"/>
    <w:rsid w:val="00EC18B5"/>
    <w:rsid w:val="00EC2E33"/>
    <w:rsid w:val="00EC31DE"/>
    <w:rsid w:val="00EC4BC3"/>
    <w:rsid w:val="00ED0FE8"/>
    <w:rsid w:val="00ED763A"/>
    <w:rsid w:val="00EE3EBE"/>
    <w:rsid w:val="00EE4039"/>
    <w:rsid w:val="00EE4980"/>
    <w:rsid w:val="00EE5503"/>
    <w:rsid w:val="00EE5D55"/>
    <w:rsid w:val="00EE6DEF"/>
    <w:rsid w:val="00EE6FD2"/>
    <w:rsid w:val="00EF0489"/>
    <w:rsid w:val="00EF3523"/>
    <w:rsid w:val="00EF4D0F"/>
    <w:rsid w:val="00EF5A0E"/>
    <w:rsid w:val="00EF683B"/>
    <w:rsid w:val="00EF7641"/>
    <w:rsid w:val="00F0340E"/>
    <w:rsid w:val="00F0467C"/>
    <w:rsid w:val="00F04DB5"/>
    <w:rsid w:val="00F063DE"/>
    <w:rsid w:val="00F064A1"/>
    <w:rsid w:val="00F06E24"/>
    <w:rsid w:val="00F072F8"/>
    <w:rsid w:val="00F14413"/>
    <w:rsid w:val="00F17012"/>
    <w:rsid w:val="00F21376"/>
    <w:rsid w:val="00F22673"/>
    <w:rsid w:val="00F24E58"/>
    <w:rsid w:val="00F2526C"/>
    <w:rsid w:val="00F27E13"/>
    <w:rsid w:val="00F3235E"/>
    <w:rsid w:val="00F37772"/>
    <w:rsid w:val="00F44678"/>
    <w:rsid w:val="00F45331"/>
    <w:rsid w:val="00F45885"/>
    <w:rsid w:val="00F4649A"/>
    <w:rsid w:val="00F4775C"/>
    <w:rsid w:val="00F5026A"/>
    <w:rsid w:val="00F52135"/>
    <w:rsid w:val="00F5249B"/>
    <w:rsid w:val="00F525E6"/>
    <w:rsid w:val="00F5337F"/>
    <w:rsid w:val="00F54937"/>
    <w:rsid w:val="00F56358"/>
    <w:rsid w:val="00F564AD"/>
    <w:rsid w:val="00F63E0D"/>
    <w:rsid w:val="00F65C5D"/>
    <w:rsid w:val="00F66FBB"/>
    <w:rsid w:val="00F75E7D"/>
    <w:rsid w:val="00F77095"/>
    <w:rsid w:val="00F81F37"/>
    <w:rsid w:val="00F87D16"/>
    <w:rsid w:val="00F945D2"/>
    <w:rsid w:val="00F96781"/>
    <w:rsid w:val="00F97217"/>
    <w:rsid w:val="00F97852"/>
    <w:rsid w:val="00F97F74"/>
    <w:rsid w:val="00FA28A3"/>
    <w:rsid w:val="00FA5409"/>
    <w:rsid w:val="00FA5A4E"/>
    <w:rsid w:val="00FA7783"/>
    <w:rsid w:val="00FB293B"/>
    <w:rsid w:val="00FB2F48"/>
    <w:rsid w:val="00FB4731"/>
    <w:rsid w:val="00FC1DDA"/>
    <w:rsid w:val="00FC5FEF"/>
    <w:rsid w:val="00FC7993"/>
    <w:rsid w:val="00FC7AB0"/>
    <w:rsid w:val="00FD1B09"/>
    <w:rsid w:val="00FD1CB5"/>
    <w:rsid w:val="00FD3263"/>
    <w:rsid w:val="00FD5109"/>
    <w:rsid w:val="00FE025D"/>
    <w:rsid w:val="00FE02D0"/>
    <w:rsid w:val="00FE1627"/>
    <w:rsid w:val="00FE28D2"/>
    <w:rsid w:val="00FE7515"/>
    <w:rsid w:val="00FF0B29"/>
    <w:rsid w:val="00FF2633"/>
    <w:rsid w:val="00FF2954"/>
    <w:rsid w:val="00FF3931"/>
    <w:rsid w:val="00FF4C35"/>
    <w:rsid w:val="00FF4CA0"/>
    <w:rsid w:val="00FF5170"/>
    <w:rsid w:val="02B75883"/>
    <w:rsid w:val="32813060"/>
    <w:rsid w:val="521DC3B5"/>
    <w:rsid w:val="5B85C621"/>
    <w:rsid w:val="610B11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346A2"/>
  <w15:chartTrackingRefBased/>
  <w15:docId w15:val="{088AAA19-ADAA-456C-89E2-488D4F09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30E"/>
    <w:rPr>
      <w:rFonts w:ascii="Arial Narrow" w:hAnsi="Arial Narrow"/>
      <w:sz w:val="22"/>
    </w:rPr>
  </w:style>
  <w:style w:type="paragraph" w:styleId="Heading1">
    <w:name w:val="heading 1"/>
    <w:basedOn w:val="Normal"/>
    <w:next w:val="Normal"/>
    <w:link w:val="Heading1Char"/>
    <w:uiPriority w:val="9"/>
    <w:qFormat/>
    <w:rsid w:val="00E2530E"/>
    <w:pPr>
      <w:spacing w:before="240" w:after="60"/>
      <w:ind w:left="567" w:hanging="567"/>
      <w:contextualSpacing/>
      <w:outlineLvl w:val="0"/>
    </w:pPr>
    <w:rPr>
      <w:b/>
      <w:caps/>
      <w:sz w:val="28"/>
    </w:rPr>
  </w:style>
  <w:style w:type="paragraph" w:styleId="Heading2">
    <w:name w:val="heading 2"/>
    <w:basedOn w:val="Normal"/>
    <w:next w:val="Normal"/>
    <w:link w:val="Heading2Char"/>
    <w:uiPriority w:val="9"/>
    <w:unhideWhenUsed/>
    <w:qFormat/>
    <w:rsid w:val="00E2530E"/>
    <w:pPr>
      <w:spacing w:before="200" w:after="120"/>
      <w:contextualSpacing/>
      <w:outlineLvl w:val="1"/>
    </w:pPr>
    <w:rPr>
      <w:b/>
      <w:caps/>
      <w:sz w:val="28"/>
    </w:rPr>
  </w:style>
  <w:style w:type="paragraph" w:styleId="Heading3">
    <w:name w:val="heading 3"/>
    <w:basedOn w:val="Normal"/>
    <w:next w:val="Normal"/>
    <w:link w:val="Heading3Char"/>
    <w:qFormat/>
    <w:rsid w:val="00E2530E"/>
    <w:pPr>
      <w:spacing w:before="200" w:after="80"/>
      <w:contextualSpacing/>
      <w:outlineLvl w:val="2"/>
    </w:pPr>
    <w:rPr>
      <w:b/>
      <w:sz w:val="24"/>
    </w:rPr>
  </w:style>
  <w:style w:type="paragraph" w:styleId="Heading4">
    <w:name w:val="heading 4"/>
    <w:basedOn w:val="Normal"/>
    <w:next w:val="Normal"/>
    <w:link w:val="Heading4Char"/>
    <w:uiPriority w:val="9"/>
    <w:unhideWhenUsed/>
    <w:qFormat/>
    <w:rsid w:val="00E2530E"/>
    <w:pPr>
      <w:spacing w:before="120" w:after="120"/>
      <w:contextualSpacing/>
      <w:outlineLvl w:val="3"/>
    </w:pPr>
    <w:rPr>
      <w:b/>
      <w:i/>
    </w:rPr>
  </w:style>
  <w:style w:type="paragraph" w:styleId="Heading5">
    <w:name w:val="heading 5"/>
    <w:basedOn w:val="Heading4"/>
    <w:next w:val="Normal"/>
    <w:link w:val="Heading5Char"/>
    <w:uiPriority w:val="9"/>
    <w:unhideWhenUsed/>
    <w:qFormat/>
    <w:rsid w:val="00054100"/>
    <w:pPr>
      <w:outlineLvl w:val="4"/>
    </w:pPr>
    <w:rPr>
      <w:b w:val="0"/>
      <w:bCs/>
      <w:iCs/>
      <w:u w:val="single"/>
    </w:rPr>
  </w:style>
  <w:style w:type="paragraph" w:styleId="Heading6">
    <w:name w:val="heading 6"/>
    <w:basedOn w:val="Normal"/>
    <w:next w:val="Normal"/>
    <w:link w:val="Heading6Char"/>
    <w:uiPriority w:val="9"/>
    <w:semiHidden/>
    <w:unhideWhenUsed/>
    <w:qFormat/>
    <w:rsid w:val="00877EB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77EB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77EB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7EB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B4E9B"/>
    <w:pPr>
      <w:pBdr>
        <w:bottom w:val="single" w:sz="4" w:space="1" w:color="auto"/>
      </w:pBdr>
      <w:tabs>
        <w:tab w:val="center" w:pos="4513"/>
        <w:tab w:val="right" w:pos="9026"/>
      </w:tabs>
      <w:jc w:val="right"/>
    </w:pPr>
  </w:style>
  <w:style w:type="character" w:customStyle="1" w:styleId="HeaderChar">
    <w:name w:val="Header Char"/>
    <w:basedOn w:val="DefaultParagraphFont"/>
    <w:link w:val="Header"/>
    <w:rsid w:val="007B4E9B"/>
  </w:style>
  <w:style w:type="paragraph" w:styleId="Footer">
    <w:name w:val="footer"/>
    <w:basedOn w:val="Normal"/>
    <w:link w:val="FooterChar"/>
    <w:unhideWhenUsed/>
    <w:rsid w:val="007B4E9B"/>
    <w:pPr>
      <w:pBdr>
        <w:top w:val="single" w:sz="4" w:space="1" w:color="auto"/>
      </w:pBdr>
      <w:tabs>
        <w:tab w:val="left" w:pos="0"/>
        <w:tab w:val="center" w:pos="4536"/>
        <w:tab w:val="right" w:pos="9072"/>
      </w:tabs>
    </w:pPr>
  </w:style>
  <w:style w:type="character" w:customStyle="1" w:styleId="FooterChar">
    <w:name w:val="Footer Char"/>
    <w:basedOn w:val="DefaultParagraphFont"/>
    <w:link w:val="Footer"/>
    <w:rsid w:val="007B4E9B"/>
  </w:style>
  <w:style w:type="paragraph" w:customStyle="1" w:styleId="0MainTitle">
    <w:name w:val="0.Main Title"/>
    <w:basedOn w:val="Normal"/>
    <w:rsid w:val="00E2530E"/>
    <w:pPr>
      <w:spacing w:before="120" w:after="120"/>
    </w:pPr>
    <w:rPr>
      <w:rFonts w:eastAsia="Times New Roman"/>
      <w:b/>
      <w:caps/>
      <w:sz w:val="40"/>
    </w:rPr>
  </w:style>
  <w:style w:type="paragraph" w:styleId="ListParagraph">
    <w:name w:val="List Paragraph"/>
    <w:basedOn w:val="Normal"/>
    <w:uiPriority w:val="34"/>
    <w:qFormat/>
    <w:rsid w:val="004A6F6E"/>
    <w:pPr>
      <w:ind w:left="720"/>
      <w:contextualSpacing/>
    </w:pPr>
  </w:style>
  <w:style w:type="paragraph" w:customStyle="1" w:styleId="BodyText1">
    <w:name w:val="Body Text1"/>
    <w:basedOn w:val="Normal"/>
    <w:qFormat/>
    <w:rsid w:val="00E2530E"/>
    <w:pPr>
      <w:spacing w:before="20" w:after="80"/>
      <w:jc w:val="both"/>
    </w:pPr>
  </w:style>
  <w:style w:type="character" w:styleId="CommentReference">
    <w:name w:val="annotation reference"/>
    <w:basedOn w:val="DefaultParagraphFont"/>
    <w:unhideWhenUsed/>
    <w:rsid w:val="006A7D55"/>
    <w:rPr>
      <w:sz w:val="16"/>
      <w:szCs w:val="16"/>
    </w:rPr>
  </w:style>
  <w:style w:type="paragraph" w:styleId="CommentText">
    <w:name w:val="annotation text"/>
    <w:basedOn w:val="Normal"/>
    <w:link w:val="CommentTextChar"/>
    <w:unhideWhenUsed/>
    <w:rsid w:val="006A7D55"/>
  </w:style>
  <w:style w:type="character" w:customStyle="1" w:styleId="CommentTextChar">
    <w:name w:val="Comment Text Char"/>
    <w:basedOn w:val="DefaultParagraphFont"/>
    <w:link w:val="CommentText"/>
    <w:rsid w:val="006A7D55"/>
  </w:style>
  <w:style w:type="paragraph" w:styleId="CommentSubject">
    <w:name w:val="annotation subject"/>
    <w:basedOn w:val="CommentText"/>
    <w:next w:val="CommentText"/>
    <w:link w:val="CommentSubjectChar"/>
    <w:uiPriority w:val="99"/>
    <w:semiHidden/>
    <w:unhideWhenUsed/>
    <w:rsid w:val="006A7D55"/>
    <w:rPr>
      <w:b/>
      <w:bCs/>
    </w:rPr>
  </w:style>
  <w:style w:type="character" w:customStyle="1" w:styleId="CommentSubjectChar">
    <w:name w:val="Comment Subject Char"/>
    <w:basedOn w:val="CommentTextChar"/>
    <w:link w:val="CommentSubject"/>
    <w:uiPriority w:val="99"/>
    <w:semiHidden/>
    <w:rsid w:val="006A7D55"/>
    <w:rPr>
      <w:b/>
      <w:bCs/>
    </w:rPr>
  </w:style>
  <w:style w:type="paragraph" w:styleId="BalloonText">
    <w:name w:val="Balloon Text"/>
    <w:basedOn w:val="Normal"/>
    <w:link w:val="BalloonTextChar"/>
    <w:uiPriority w:val="99"/>
    <w:semiHidden/>
    <w:unhideWhenUsed/>
    <w:rsid w:val="006A7D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D55"/>
    <w:rPr>
      <w:rFonts w:ascii="Segoe UI" w:hAnsi="Segoe UI" w:cs="Segoe UI"/>
      <w:sz w:val="18"/>
      <w:szCs w:val="18"/>
    </w:rPr>
  </w:style>
  <w:style w:type="character" w:customStyle="1" w:styleId="Heading3Char">
    <w:name w:val="Heading 3 Char"/>
    <w:basedOn w:val="DefaultParagraphFont"/>
    <w:link w:val="Heading3"/>
    <w:rsid w:val="00851A85"/>
    <w:rPr>
      <w:rFonts w:ascii="Arial" w:hAnsi="Arial"/>
      <w:b/>
      <w:sz w:val="24"/>
    </w:rPr>
  </w:style>
  <w:style w:type="paragraph" w:customStyle="1" w:styleId="TableText">
    <w:name w:val="TableText"/>
    <w:rsid w:val="00994C1D"/>
    <w:pPr>
      <w:keepNext/>
    </w:pPr>
    <w:rPr>
      <w:rFonts w:eastAsia="Times New Roman"/>
      <w:lang w:val="en-US"/>
    </w:rPr>
  </w:style>
  <w:style w:type="paragraph" w:styleId="Caption">
    <w:name w:val="caption"/>
    <w:basedOn w:val="Normal"/>
    <w:next w:val="Normal"/>
    <w:uiPriority w:val="35"/>
    <w:unhideWhenUsed/>
    <w:qFormat/>
    <w:rsid w:val="00994C1D"/>
    <w:pPr>
      <w:spacing w:after="200"/>
    </w:pPr>
    <w:rPr>
      <w:i/>
      <w:iCs/>
      <w:color w:val="44546A" w:themeColor="text2"/>
      <w:sz w:val="18"/>
      <w:szCs w:val="18"/>
    </w:rPr>
  </w:style>
  <w:style w:type="paragraph" w:customStyle="1" w:styleId="Table-MainTitle">
    <w:name w:val="Table - Main Title"/>
    <w:basedOn w:val="Normal"/>
    <w:next w:val="TableofAuthorities"/>
    <w:autoRedefine/>
    <w:qFormat/>
    <w:rsid w:val="00002598"/>
    <w:pPr>
      <w:keepNext/>
      <w:tabs>
        <w:tab w:val="left" w:pos="885"/>
      </w:tabs>
      <w:spacing w:before="60" w:after="60"/>
      <w:ind w:left="885" w:hanging="885"/>
    </w:pPr>
    <w:rPr>
      <w:b/>
    </w:rPr>
  </w:style>
  <w:style w:type="paragraph" w:customStyle="1" w:styleId="Table-Heading1">
    <w:name w:val="Table - Heading 1"/>
    <w:basedOn w:val="Normal"/>
    <w:qFormat/>
    <w:rsid w:val="001C28B6"/>
    <w:rPr>
      <w:rFonts w:cs="Arial"/>
      <w:b/>
      <w:szCs w:val="22"/>
    </w:rPr>
  </w:style>
  <w:style w:type="paragraph" w:customStyle="1" w:styleId="Table-text">
    <w:name w:val="Table - text"/>
    <w:basedOn w:val="Normal"/>
    <w:qFormat/>
    <w:rsid w:val="00787E23"/>
    <w:rPr>
      <w:rFonts w:cs="Arial"/>
      <w:szCs w:val="22"/>
    </w:rPr>
  </w:style>
  <w:style w:type="paragraph" w:customStyle="1" w:styleId="Table-heading3">
    <w:name w:val="Table - heading 3"/>
    <w:basedOn w:val="Table-Heading1"/>
    <w:qFormat/>
    <w:rsid w:val="005E574D"/>
    <w:rPr>
      <w:b w:val="0"/>
      <w:i/>
    </w:rPr>
  </w:style>
  <w:style w:type="table" w:styleId="TableGrid">
    <w:name w:val="Table Grid"/>
    <w:basedOn w:val="TableNormal"/>
    <w:uiPriority w:val="59"/>
    <w:rsid w:val="00162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682D"/>
    <w:rPr>
      <w:rFonts w:ascii="Arial" w:hAnsi="Arial"/>
      <w:b/>
      <w:caps/>
      <w:sz w:val="28"/>
    </w:rPr>
  </w:style>
  <w:style w:type="character" w:customStyle="1" w:styleId="Heading2Char">
    <w:name w:val="Heading 2 Char"/>
    <w:basedOn w:val="DefaultParagraphFont"/>
    <w:link w:val="Heading2"/>
    <w:uiPriority w:val="9"/>
    <w:rsid w:val="005C682D"/>
    <w:rPr>
      <w:rFonts w:ascii="Arial" w:hAnsi="Arial"/>
      <w:b/>
      <w:caps/>
      <w:sz w:val="28"/>
    </w:rPr>
  </w:style>
  <w:style w:type="character" w:customStyle="1" w:styleId="Heading4Char">
    <w:name w:val="Heading 4 Char"/>
    <w:basedOn w:val="DefaultParagraphFont"/>
    <w:link w:val="Heading4"/>
    <w:uiPriority w:val="9"/>
    <w:rsid w:val="00D86907"/>
    <w:rPr>
      <w:rFonts w:ascii="Arial" w:hAnsi="Arial"/>
      <w:b/>
      <w:i/>
      <w:sz w:val="22"/>
    </w:rPr>
  </w:style>
  <w:style w:type="paragraph" w:styleId="Title">
    <w:name w:val="Title"/>
    <w:basedOn w:val="0MainTitle"/>
    <w:next w:val="Normal"/>
    <w:link w:val="TitleChar"/>
    <w:uiPriority w:val="10"/>
    <w:qFormat/>
    <w:rsid w:val="00520F30"/>
    <w:pPr>
      <w:widowControl w:val="0"/>
      <w:pBdr>
        <w:bottom w:val="single" w:sz="8" w:space="1" w:color="auto"/>
      </w:pBdr>
      <w:tabs>
        <w:tab w:val="left" w:pos="-720"/>
      </w:tabs>
      <w:suppressAutoHyphens/>
      <w:spacing w:before="60" w:after="240"/>
    </w:pPr>
    <w:rPr>
      <w:spacing w:val="-2"/>
      <w:sz w:val="36"/>
      <w:lang w:val="en-US"/>
    </w:rPr>
  </w:style>
  <w:style w:type="character" w:customStyle="1" w:styleId="TitleChar">
    <w:name w:val="Title Char"/>
    <w:basedOn w:val="DefaultParagraphFont"/>
    <w:link w:val="Title"/>
    <w:uiPriority w:val="10"/>
    <w:rsid w:val="00520F30"/>
    <w:rPr>
      <w:rFonts w:eastAsia="Times New Roman"/>
      <w:b/>
      <w:spacing w:val="-2"/>
      <w:sz w:val="36"/>
      <w:lang w:val="en-US"/>
    </w:rPr>
  </w:style>
  <w:style w:type="paragraph" w:styleId="TableofFigures">
    <w:name w:val="table of figures"/>
    <w:basedOn w:val="Normal"/>
    <w:next w:val="Normal"/>
    <w:uiPriority w:val="99"/>
    <w:unhideWhenUsed/>
    <w:rsid w:val="00A36B17"/>
  </w:style>
  <w:style w:type="paragraph" w:styleId="TableofAuthorities">
    <w:name w:val="table of authorities"/>
    <w:basedOn w:val="Normal"/>
    <w:next w:val="Normal"/>
    <w:uiPriority w:val="99"/>
    <w:semiHidden/>
    <w:unhideWhenUsed/>
    <w:rsid w:val="006E3D38"/>
    <w:pPr>
      <w:ind w:left="200" w:hanging="200"/>
    </w:pPr>
  </w:style>
  <w:style w:type="character" w:styleId="Hyperlink">
    <w:name w:val="Hyperlink"/>
    <w:basedOn w:val="DefaultParagraphFont"/>
    <w:uiPriority w:val="99"/>
    <w:unhideWhenUsed/>
    <w:rsid w:val="00DA1B5E"/>
    <w:rPr>
      <w:i/>
      <w:color w:val="auto"/>
      <w:u w:val="none"/>
    </w:rPr>
  </w:style>
  <w:style w:type="paragraph" w:customStyle="1" w:styleId="Table-Footertext">
    <w:name w:val="Table - Footer text"/>
    <w:basedOn w:val="BodyText1"/>
    <w:qFormat/>
    <w:rsid w:val="00806B77"/>
    <w:pPr>
      <w:spacing w:before="40" w:after="40"/>
    </w:pPr>
    <w:rPr>
      <w:sz w:val="20"/>
    </w:rPr>
  </w:style>
  <w:style w:type="paragraph" w:customStyle="1" w:styleId="Default">
    <w:name w:val="Default"/>
    <w:rsid w:val="00BC6AAE"/>
    <w:pPr>
      <w:autoSpaceDE w:val="0"/>
      <w:autoSpaceDN w:val="0"/>
      <w:adjustRightInd w:val="0"/>
    </w:pPr>
    <w:rPr>
      <w:rFonts w:ascii="Arial" w:eastAsia="Times New Roman" w:hAnsi="Arial" w:cs="Arial"/>
      <w:color w:val="000000"/>
      <w:sz w:val="24"/>
      <w:szCs w:val="24"/>
      <w:lang w:eastAsia="en-AU"/>
    </w:rPr>
  </w:style>
  <w:style w:type="paragraph" w:styleId="Subtitle">
    <w:name w:val="Subtitle"/>
    <w:basedOn w:val="Normal"/>
    <w:link w:val="SubtitleChar"/>
    <w:uiPriority w:val="11"/>
    <w:qFormat/>
    <w:rsid w:val="003D67C3"/>
    <w:pPr>
      <w:widowControl w:val="0"/>
      <w:ind w:left="567" w:hanging="567"/>
      <w:contextualSpacing/>
      <w:jc w:val="center"/>
    </w:pPr>
    <w:rPr>
      <w:rFonts w:eastAsia="Calibri"/>
      <w:b/>
      <w:caps/>
      <w:sz w:val="40"/>
    </w:rPr>
  </w:style>
  <w:style w:type="character" w:customStyle="1" w:styleId="SubtitleChar">
    <w:name w:val="Subtitle Char"/>
    <w:basedOn w:val="DefaultParagraphFont"/>
    <w:link w:val="Subtitle"/>
    <w:uiPriority w:val="11"/>
    <w:rsid w:val="003D67C3"/>
    <w:rPr>
      <w:rFonts w:ascii="Arial" w:eastAsia="Calibri" w:hAnsi="Arial"/>
      <w:b/>
      <w:caps/>
      <w:sz w:val="40"/>
    </w:rPr>
  </w:style>
  <w:style w:type="paragraph" w:styleId="ListBullet">
    <w:name w:val="List Bullet"/>
    <w:basedOn w:val="Normal"/>
    <w:autoRedefine/>
    <w:semiHidden/>
    <w:rsid w:val="00423418"/>
    <w:pPr>
      <w:tabs>
        <w:tab w:val="num" w:pos="360"/>
      </w:tabs>
      <w:ind w:left="360" w:hanging="360"/>
    </w:pPr>
    <w:rPr>
      <w:rFonts w:ascii="Times" w:eastAsia="Times New Roman" w:hAnsi="Times"/>
      <w:noProof/>
    </w:rPr>
  </w:style>
  <w:style w:type="paragraph" w:customStyle="1" w:styleId="Table-AEfrequency">
    <w:name w:val="Table - AE frequency"/>
    <w:basedOn w:val="BodyText1"/>
    <w:qFormat/>
    <w:rsid w:val="00D86907"/>
    <w:pPr>
      <w:spacing w:before="0" w:after="0"/>
      <w:ind w:left="720"/>
    </w:pPr>
  </w:style>
  <w:style w:type="paragraph" w:customStyle="1" w:styleId="Subtitle-activeingredient">
    <w:name w:val="Subtitle- active ingredient"/>
    <w:basedOn w:val="Normal"/>
    <w:qFormat/>
    <w:rsid w:val="008C3E31"/>
    <w:pPr>
      <w:keepLines/>
      <w:widowControl w:val="0"/>
      <w:tabs>
        <w:tab w:val="left" w:pos="-720"/>
      </w:tabs>
      <w:suppressAutoHyphens/>
      <w:spacing w:before="60" w:after="240"/>
    </w:pPr>
    <w:rPr>
      <w:rFonts w:eastAsia="Times New Roman"/>
      <w:b/>
      <w:caps/>
      <w:spacing w:val="-2"/>
      <w:sz w:val="36"/>
      <w:lang w:val="en-US"/>
    </w:rPr>
  </w:style>
  <w:style w:type="character" w:customStyle="1" w:styleId="Heading5Char">
    <w:name w:val="Heading 5 Char"/>
    <w:basedOn w:val="DefaultParagraphFont"/>
    <w:link w:val="Heading5"/>
    <w:uiPriority w:val="9"/>
    <w:rsid w:val="00054100"/>
    <w:rPr>
      <w:rFonts w:ascii="Arial Narrow" w:hAnsi="Arial Narrow"/>
      <w:bCs/>
      <w:i/>
      <w:iCs/>
      <w:sz w:val="22"/>
      <w:u w:val="single"/>
    </w:rPr>
  </w:style>
  <w:style w:type="paragraph" w:styleId="Bibliography">
    <w:name w:val="Bibliography"/>
    <w:basedOn w:val="Normal"/>
    <w:next w:val="Normal"/>
    <w:uiPriority w:val="37"/>
    <w:semiHidden/>
    <w:unhideWhenUsed/>
    <w:rsid w:val="00877EB3"/>
  </w:style>
  <w:style w:type="paragraph" w:styleId="BlockText">
    <w:name w:val="Block Text"/>
    <w:basedOn w:val="Normal"/>
    <w:uiPriority w:val="99"/>
    <w:semiHidden/>
    <w:unhideWhenUsed/>
    <w:rsid w:val="00877EB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877EB3"/>
    <w:pPr>
      <w:spacing w:after="120"/>
    </w:pPr>
  </w:style>
  <w:style w:type="character" w:customStyle="1" w:styleId="BodyTextChar">
    <w:name w:val="Body Text Char"/>
    <w:basedOn w:val="DefaultParagraphFont"/>
    <w:link w:val="BodyText"/>
    <w:uiPriority w:val="99"/>
    <w:semiHidden/>
    <w:rsid w:val="00877EB3"/>
    <w:rPr>
      <w:rFonts w:ascii="Arial" w:hAnsi="Arial"/>
    </w:rPr>
  </w:style>
  <w:style w:type="paragraph" w:styleId="BodyText2">
    <w:name w:val="Body Text 2"/>
    <w:basedOn w:val="Normal"/>
    <w:link w:val="BodyText2Char"/>
    <w:uiPriority w:val="99"/>
    <w:semiHidden/>
    <w:unhideWhenUsed/>
    <w:rsid w:val="00877EB3"/>
    <w:pPr>
      <w:spacing w:after="120" w:line="480" w:lineRule="auto"/>
    </w:pPr>
  </w:style>
  <w:style w:type="character" w:customStyle="1" w:styleId="BodyText2Char">
    <w:name w:val="Body Text 2 Char"/>
    <w:basedOn w:val="DefaultParagraphFont"/>
    <w:link w:val="BodyText2"/>
    <w:uiPriority w:val="99"/>
    <w:semiHidden/>
    <w:rsid w:val="00877EB3"/>
    <w:rPr>
      <w:rFonts w:ascii="Arial" w:hAnsi="Arial"/>
    </w:rPr>
  </w:style>
  <w:style w:type="paragraph" w:styleId="BodyText3">
    <w:name w:val="Body Text 3"/>
    <w:basedOn w:val="Normal"/>
    <w:link w:val="BodyText3Char"/>
    <w:uiPriority w:val="99"/>
    <w:semiHidden/>
    <w:unhideWhenUsed/>
    <w:rsid w:val="00877EB3"/>
    <w:pPr>
      <w:spacing w:after="120"/>
    </w:pPr>
    <w:rPr>
      <w:sz w:val="16"/>
      <w:szCs w:val="16"/>
    </w:rPr>
  </w:style>
  <w:style w:type="character" w:customStyle="1" w:styleId="BodyText3Char">
    <w:name w:val="Body Text 3 Char"/>
    <w:basedOn w:val="DefaultParagraphFont"/>
    <w:link w:val="BodyText3"/>
    <w:uiPriority w:val="99"/>
    <w:semiHidden/>
    <w:rsid w:val="00877EB3"/>
    <w:rPr>
      <w:rFonts w:ascii="Arial" w:hAnsi="Arial"/>
      <w:sz w:val="16"/>
      <w:szCs w:val="16"/>
    </w:rPr>
  </w:style>
  <w:style w:type="paragraph" w:styleId="BodyTextFirstIndent">
    <w:name w:val="Body Text First Indent"/>
    <w:basedOn w:val="BodyText"/>
    <w:link w:val="BodyTextFirstIndentChar"/>
    <w:uiPriority w:val="99"/>
    <w:semiHidden/>
    <w:unhideWhenUsed/>
    <w:rsid w:val="00877EB3"/>
    <w:pPr>
      <w:spacing w:after="0"/>
      <w:ind w:firstLine="360"/>
    </w:pPr>
  </w:style>
  <w:style w:type="character" w:customStyle="1" w:styleId="BodyTextFirstIndentChar">
    <w:name w:val="Body Text First Indent Char"/>
    <w:basedOn w:val="BodyTextChar"/>
    <w:link w:val="BodyTextFirstIndent"/>
    <w:uiPriority w:val="99"/>
    <w:semiHidden/>
    <w:rsid w:val="00877EB3"/>
    <w:rPr>
      <w:rFonts w:ascii="Arial" w:hAnsi="Arial"/>
    </w:rPr>
  </w:style>
  <w:style w:type="paragraph" w:styleId="BodyTextIndent">
    <w:name w:val="Body Text Indent"/>
    <w:basedOn w:val="Normal"/>
    <w:link w:val="BodyTextIndentChar"/>
    <w:uiPriority w:val="99"/>
    <w:semiHidden/>
    <w:unhideWhenUsed/>
    <w:rsid w:val="00877EB3"/>
    <w:pPr>
      <w:spacing w:after="120"/>
      <w:ind w:left="283"/>
    </w:pPr>
  </w:style>
  <w:style w:type="character" w:customStyle="1" w:styleId="BodyTextIndentChar">
    <w:name w:val="Body Text Indent Char"/>
    <w:basedOn w:val="DefaultParagraphFont"/>
    <w:link w:val="BodyTextIndent"/>
    <w:uiPriority w:val="99"/>
    <w:semiHidden/>
    <w:rsid w:val="00877EB3"/>
    <w:rPr>
      <w:rFonts w:ascii="Arial" w:hAnsi="Arial"/>
    </w:rPr>
  </w:style>
  <w:style w:type="paragraph" w:styleId="BodyTextFirstIndent2">
    <w:name w:val="Body Text First Indent 2"/>
    <w:basedOn w:val="BodyTextIndent"/>
    <w:link w:val="BodyTextFirstIndent2Char"/>
    <w:uiPriority w:val="99"/>
    <w:semiHidden/>
    <w:unhideWhenUsed/>
    <w:rsid w:val="00877EB3"/>
    <w:pPr>
      <w:spacing w:after="0"/>
      <w:ind w:left="360" w:firstLine="360"/>
    </w:pPr>
  </w:style>
  <w:style w:type="character" w:customStyle="1" w:styleId="BodyTextFirstIndent2Char">
    <w:name w:val="Body Text First Indent 2 Char"/>
    <w:basedOn w:val="BodyTextIndentChar"/>
    <w:link w:val="BodyTextFirstIndent2"/>
    <w:uiPriority w:val="99"/>
    <w:semiHidden/>
    <w:rsid w:val="00877EB3"/>
    <w:rPr>
      <w:rFonts w:ascii="Arial" w:hAnsi="Arial"/>
    </w:rPr>
  </w:style>
  <w:style w:type="paragraph" w:styleId="BodyTextIndent2">
    <w:name w:val="Body Text Indent 2"/>
    <w:basedOn w:val="Normal"/>
    <w:link w:val="BodyTextIndent2Char"/>
    <w:uiPriority w:val="99"/>
    <w:semiHidden/>
    <w:unhideWhenUsed/>
    <w:rsid w:val="00877EB3"/>
    <w:pPr>
      <w:spacing w:after="120" w:line="480" w:lineRule="auto"/>
      <w:ind w:left="283"/>
    </w:pPr>
  </w:style>
  <w:style w:type="character" w:customStyle="1" w:styleId="BodyTextIndent2Char">
    <w:name w:val="Body Text Indent 2 Char"/>
    <w:basedOn w:val="DefaultParagraphFont"/>
    <w:link w:val="BodyTextIndent2"/>
    <w:uiPriority w:val="99"/>
    <w:semiHidden/>
    <w:rsid w:val="00877EB3"/>
    <w:rPr>
      <w:rFonts w:ascii="Arial" w:hAnsi="Arial"/>
    </w:rPr>
  </w:style>
  <w:style w:type="paragraph" w:styleId="BodyTextIndent3">
    <w:name w:val="Body Text Indent 3"/>
    <w:basedOn w:val="Normal"/>
    <w:link w:val="BodyTextIndent3Char"/>
    <w:uiPriority w:val="99"/>
    <w:semiHidden/>
    <w:unhideWhenUsed/>
    <w:rsid w:val="00877E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7EB3"/>
    <w:rPr>
      <w:rFonts w:ascii="Arial" w:hAnsi="Arial"/>
      <w:sz w:val="16"/>
      <w:szCs w:val="16"/>
    </w:rPr>
  </w:style>
  <w:style w:type="paragraph" w:styleId="Closing">
    <w:name w:val="Closing"/>
    <w:basedOn w:val="Normal"/>
    <w:link w:val="ClosingChar"/>
    <w:uiPriority w:val="99"/>
    <w:semiHidden/>
    <w:unhideWhenUsed/>
    <w:rsid w:val="00877EB3"/>
    <w:pPr>
      <w:ind w:left="4252"/>
    </w:pPr>
  </w:style>
  <w:style w:type="character" w:customStyle="1" w:styleId="ClosingChar">
    <w:name w:val="Closing Char"/>
    <w:basedOn w:val="DefaultParagraphFont"/>
    <w:link w:val="Closing"/>
    <w:uiPriority w:val="99"/>
    <w:semiHidden/>
    <w:rsid w:val="00877EB3"/>
    <w:rPr>
      <w:rFonts w:ascii="Arial" w:hAnsi="Arial"/>
    </w:rPr>
  </w:style>
  <w:style w:type="paragraph" w:styleId="Date">
    <w:name w:val="Date"/>
    <w:basedOn w:val="Normal"/>
    <w:next w:val="Normal"/>
    <w:link w:val="DateChar"/>
    <w:uiPriority w:val="99"/>
    <w:semiHidden/>
    <w:unhideWhenUsed/>
    <w:rsid w:val="00877EB3"/>
  </w:style>
  <w:style w:type="character" w:customStyle="1" w:styleId="DateChar">
    <w:name w:val="Date Char"/>
    <w:basedOn w:val="DefaultParagraphFont"/>
    <w:link w:val="Date"/>
    <w:uiPriority w:val="99"/>
    <w:semiHidden/>
    <w:rsid w:val="00877EB3"/>
    <w:rPr>
      <w:rFonts w:ascii="Arial" w:hAnsi="Arial"/>
    </w:rPr>
  </w:style>
  <w:style w:type="paragraph" w:styleId="DocumentMap">
    <w:name w:val="Document Map"/>
    <w:basedOn w:val="Normal"/>
    <w:link w:val="DocumentMapChar"/>
    <w:uiPriority w:val="99"/>
    <w:semiHidden/>
    <w:unhideWhenUsed/>
    <w:rsid w:val="00877EB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7EB3"/>
    <w:rPr>
      <w:rFonts w:ascii="Segoe UI" w:hAnsi="Segoe UI" w:cs="Segoe UI"/>
      <w:sz w:val="16"/>
      <w:szCs w:val="16"/>
    </w:rPr>
  </w:style>
  <w:style w:type="paragraph" w:styleId="E-mailSignature">
    <w:name w:val="E-mail Signature"/>
    <w:basedOn w:val="Normal"/>
    <w:link w:val="E-mailSignatureChar"/>
    <w:uiPriority w:val="99"/>
    <w:semiHidden/>
    <w:unhideWhenUsed/>
    <w:rsid w:val="00877EB3"/>
  </w:style>
  <w:style w:type="character" w:customStyle="1" w:styleId="E-mailSignatureChar">
    <w:name w:val="E-mail Signature Char"/>
    <w:basedOn w:val="DefaultParagraphFont"/>
    <w:link w:val="E-mailSignature"/>
    <w:uiPriority w:val="99"/>
    <w:semiHidden/>
    <w:rsid w:val="00877EB3"/>
    <w:rPr>
      <w:rFonts w:ascii="Arial" w:hAnsi="Arial"/>
    </w:rPr>
  </w:style>
  <w:style w:type="paragraph" w:styleId="EndnoteText">
    <w:name w:val="endnote text"/>
    <w:basedOn w:val="Normal"/>
    <w:link w:val="EndnoteTextChar"/>
    <w:semiHidden/>
    <w:unhideWhenUsed/>
    <w:rsid w:val="00877EB3"/>
  </w:style>
  <w:style w:type="character" w:customStyle="1" w:styleId="EndnoteTextChar">
    <w:name w:val="Endnote Text Char"/>
    <w:basedOn w:val="DefaultParagraphFont"/>
    <w:link w:val="EndnoteText"/>
    <w:uiPriority w:val="99"/>
    <w:semiHidden/>
    <w:rsid w:val="00877EB3"/>
    <w:rPr>
      <w:rFonts w:ascii="Arial" w:hAnsi="Arial"/>
    </w:rPr>
  </w:style>
  <w:style w:type="paragraph" w:styleId="EnvelopeAddress">
    <w:name w:val="envelope address"/>
    <w:basedOn w:val="Normal"/>
    <w:uiPriority w:val="99"/>
    <w:semiHidden/>
    <w:unhideWhenUsed/>
    <w:rsid w:val="00877EB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7EB3"/>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877EB3"/>
  </w:style>
  <w:style w:type="character" w:customStyle="1" w:styleId="FootnoteTextChar">
    <w:name w:val="Footnote Text Char"/>
    <w:basedOn w:val="DefaultParagraphFont"/>
    <w:link w:val="FootnoteText"/>
    <w:uiPriority w:val="99"/>
    <w:semiHidden/>
    <w:rsid w:val="00877EB3"/>
    <w:rPr>
      <w:rFonts w:ascii="Arial" w:hAnsi="Arial"/>
    </w:rPr>
  </w:style>
  <w:style w:type="character" w:customStyle="1" w:styleId="Heading6Char">
    <w:name w:val="Heading 6 Char"/>
    <w:basedOn w:val="DefaultParagraphFont"/>
    <w:link w:val="Heading6"/>
    <w:uiPriority w:val="9"/>
    <w:semiHidden/>
    <w:rsid w:val="00877EB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77EB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77E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7EB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77EB3"/>
    <w:rPr>
      <w:i/>
      <w:iCs/>
    </w:rPr>
  </w:style>
  <w:style w:type="character" w:customStyle="1" w:styleId="HTMLAddressChar">
    <w:name w:val="HTML Address Char"/>
    <w:basedOn w:val="DefaultParagraphFont"/>
    <w:link w:val="HTMLAddress"/>
    <w:uiPriority w:val="99"/>
    <w:semiHidden/>
    <w:rsid w:val="00877EB3"/>
    <w:rPr>
      <w:rFonts w:ascii="Arial" w:hAnsi="Arial"/>
      <w:i/>
      <w:iCs/>
    </w:rPr>
  </w:style>
  <w:style w:type="paragraph" w:styleId="HTMLPreformatted">
    <w:name w:val="HTML Preformatted"/>
    <w:basedOn w:val="Normal"/>
    <w:link w:val="HTMLPreformattedChar"/>
    <w:uiPriority w:val="99"/>
    <w:semiHidden/>
    <w:unhideWhenUsed/>
    <w:rsid w:val="00877EB3"/>
    <w:rPr>
      <w:rFonts w:ascii="Consolas" w:hAnsi="Consolas" w:cs="Consolas"/>
    </w:rPr>
  </w:style>
  <w:style w:type="character" w:customStyle="1" w:styleId="HTMLPreformattedChar">
    <w:name w:val="HTML Preformatted Char"/>
    <w:basedOn w:val="DefaultParagraphFont"/>
    <w:link w:val="HTMLPreformatted"/>
    <w:uiPriority w:val="99"/>
    <w:semiHidden/>
    <w:rsid w:val="00877EB3"/>
    <w:rPr>
      <w:rFonts w:ascii="Consolas" w:hAnsi="Consolas" w:cs="Consolas"/>
    </w:rPr>
  </w:style>
  <w:style w:type="paragraph" w:styleId="Index1">
    <w:name w:val="index 1"/>
    <w:basedOn w:val="Normal"/>
    <w:next w:val="Normal"/>
    <w:autoRedefine/>
    <w:uiPriority w:val="99"/>
    <w:semiHidden/>
    <w:unhideWhenUsed/>
    <w:rsid w:val="00877EB3"/>
    <w:pPr>
      <w:ind w:left="200" w:hanging="200"/>
    </w:pPr>
  </w:style>
  <w:style w:type="paragraph" w:styleId="Index2">
    <w:name w:val="index 2"/>
    <w:basedOn w:val="Normal"/>
    <w:next w:val="Normal"/>
    <w:autoRedefine/>
    <w:uiPriority w:val="99"/>
    <w:semiHidden/>
    <w:unhideWhenUsed/>
    <w:rsid w:val="00877EB3"/>
    <w:pPr>
      <w:ind w:left="400" w:hanging="200"/>
    </w:pPr>
  </w:style>
  <w:style w:type="paragraph" w:styleId="Index3">
    <w:name w:val="index 3"/>
    <w:basedOn w:val="Normal"/>
    <w:next w:val="Normal"/>
    <w:autoRedefine/>
    <w:uiPriority w:val="99"/>
    <w:semiHidden/>
    <w:unhideWhenUsed/>
    <w:rsid w:val="00877EB3"/>
    <w:pPr>
      <w:ind w:left="600" w:hanging="200"/>
    </w:pPr>
  </w:style>
  <w:style w:type="paragraph" w:styleId="Index4">
    <w:name w:val="index 4"/>
    <w:basedOn w:val="Normal"/>
    <w:next w:val="Normal"/>
    <w:autoRedefine/>
    <w:uiPriority w:val="99"/>
    <w:semiHidden/>
    <w:unhideWhenUsed/>
    <w:rsid w:val="00877EB3"/>
    <w:pPr>
      <w:ind w:left="800" w:hanging="200"/>
    </w:pPr>
  </w:style>
  <w:style w:type="paragraph" w:styleId="Index5">
    <w:name w:val="index 5"/>
    <w:basedOn w:val="Normal"/>
    <w:next w:val="Normal"/>
    <w:autoRedefine/>
    <w:uiPriority w:val="99"/>
    <w:semiHidden/>
    <w:unhideWhenUsed/>
    <w:rsid w:val="00877EB3"/>
    <w:pPr>
      <w:ind w:left="1000" w:hanging="200"/>
    </w:pPr>
  </w:style>
  <w:style w:type="paragraph" w:styleId="Index6">
    <w:name w:val="index 6"/>
    <w:basedOn w:val="Normal"/>
    <w:next w:val="Normal"/>
    <w:autoRedefine/>
    <w:uiPriority w:val="99"/>
    <w:semiHidden/>
    <w:unhideWhenUsed/>
    <w:rsid w:val="00877EB3"/>
    <w:pPr>
      <w:ind w:left="1200" w:hanging="200"/>
    </w:pPr>
  </w:style>
  <w:style w:type="paragraph" w:styleId="Index7">
    <w:name w:val="index 7"/>
    <w:basedOn w:val="Normal"/>
    <w:next w:val="Normal"/>
    <w:autoRedefine/>
    <w:uiPriority w:val="99"/>
    <w:semiHidden/>
    <w:unhideWhenUsed/>
    <w:rsid w:val="00877EB3"/>
    <w:pPr>
      <w:ind w:left="1400" w:hanging="200"/>
    </w:pPr>
  </w:style>
  <w:style w:type="paragraph" w:styleId="Index8">
    <w:name w:val="index 8"/>
    <w:basedOn w:val="Normal"/>
    <w:next w:val="Normal"/>
    <w:autoRedefine/>
    <w:uiPriority w:val="99"/>
    <w:semiHidden/>
    <w:unhideWhenUsed/>
    <w:rsid w:val="00877EB3"/>
    <w:pPr>
      <w:ind w:left="1600" w:hanging="200"/>
    </w:pPr>
  </w:style>
  <w:style w:type="paragraph" w:styleId="Index9">
    <w:name w:val="index 9"/>
    <w:basedOn w:val="Normal"/>
    <w:next w:val="Normal"/>
    <w:autoRedefine/>
    <w:uiPriority w:val="99"/>
    <w:semiHidden/>
    <w:unhideWhenUsed/>
    <w:rsid w:val="00877EB3"/>
    <w:pPr>
      <w:ind w:left="1800" w:hanging="200"/>
    </w:pPr>
  </w:style>
  <w:style w:type="paragraph" w:styleId="IndexHeading">
    <w:name w:val="index heading"/>
    <w:basedOn w:val="Normal"/>
    <w:next w:val="Index1"/>
    <w:uiPriority w:val="99"/>
    <w:semiHidden/>
    <w:unhideWhenUsed/>
    <w:rsid w:val="00877EB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7EB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77EB3"/>
    <w:rPr>
      <w:rFonts w:ascii="Arial" w:hAnsi="Arial"/>
      <w:i/>
      <w:iCs/>
      <w:color w:val="4472C4" w:themeColor="accent1"/>
    </w:rPr>
  </w:style>
  <w:style w:type="paragraph" w:styleId="List">
    <w:name w:val="List"/>
    <w:basedOn w:val="Normal"/>
    <w:uiPriority w:val="99"/>
    <w:semiHidden/>
    <w:unhideWhenUsed/>
    <w:rsid w:val="00877EB3"/>
    <w:pPr>
      <w:ind w:left="283" w:hanging="283"/>
      <w:contextualSpacing/>
    </w:pPr>
  </w:style>
  <w:style w:type="paragraph" w:styleId="List2">
    <w:name w:val="List 2"/>
    <w:basedOn w:val="Normal"/>
    <w:uiPriority w:val="99"/>
    <w:semiHidden/>
    <w:unhideWhenUsed/>
    <w:rsid w:val="00877EB3"/>
    <w:pPr>
      <w:ind w:left="566" w:hanging="283"/>
      <w:contextualSpacing/>
    </w:pPr>
  </w:style>
  <w:style w:type="paragraph" w:styleId="List3">
    <w:name w:val="List 3"/>
    <w:basedOn w:val="Normal"/>
    <w:uiPriority w:val="99"/>
    <w:semiHidden/>
    <w:unhideWhenUsed/>
    <w:rsid w:val="00877EB3"/>
    <w:pPr>
      <w:ind w:left="849" w:hanging="283"/>
      <w:contextualSpacing/>
    </w:pPr>
  </w:style>
  <w:style w:type="paragraph" w:styleId="List4">
    <w:name w:val="List 4"/>
    <w:basedOn w:val="Normal"/>
    <w:uiPriority w:val="99"/>
    <w:semiHidden/>
    <w:unhideWhenUsed/>
    <w:rsid w:val="00877EB3"/>
    <w:pPr>
      <w:ind w:left="1132" w:hanging="283"/>
      <w:contextualSpacing/>
    </w:pPr>
  </w:style>
  <w:style w:type="paragraph" w:styleId="List5">
    <w:name w:val="List 5"/>
    <w:basedOn w:val="Normal"/>
    <w:uiPriority w:val="99"/>
    <w:semiHidden/>
    <w:unhideWhenUsed/>
    <w:rsid w:val="00877EB3"/>
    <w:pPr>
      <w:ind w:left="1415" w:hanging="283"/>
      <w:contextualSpacing/>
    </w:pPr>
  </w:style>
  <w:style w:type="paragraph" w:styleId="ListBullet2">
    <w:name w:val="List Bullet 2"/>
    <w:basedOn w:val="Normal"/>
    <w:uiPriority w:val="99"/>
    <w:semiHidden/>
    <w:unhideWhenUsed/>
    <w:rsid w:val="00877EB3"/>
    <w:pPr>
      <w:numPr>
        <w:numId w:val="10"/>
      </w:numPr>
      <w:contextualSpacing/>
    </w:pPr>
  </w:style>
  <w:style w:type="paragraph" w:styleId="ListBullet3">
    <w:name w:val="List Bullet 3"/>
    <w:basedOn w:val="Normal"/>
    <w:uiPriority w:val="99"/>
    <w:semiHidden/>
    <w:unhideWhenUsed/>
    <w:rsid w:val="00877EB3"/>
    <w:pPr>
      <w:numPr>
        <w:numId w:val="11"/>
      </w:numPr>
      <w:contextualSpacing/>
    </w:pPr>
  </w:style>
  <w:style w:type="paragraph" w:styleId="ListBullet4">
    <w:name w:val="List Bullet 4"/>
    <w:basedOn w:val="Normal"/>
    <w:uiPriority w:val="99"/>
    <w:semiHidden/>
    <w:unhideWhenUsed/>
    <w:rsid w:val="00877EB3"/>
    <w:pPr>
      <w:numPr>
        <w:numId w:val="12"/>
      </w:numPr>
      <w:contextualSpacing/>
    </w:pPr>
  </w:style>
  <w:style w:type="paragraph" w:styleId="ListBullet5">
    <w:name w:val="List Bullet 5"/>
    <w:basedOn w:val="Normal"/>
    <w:uiPriority w:val="99"/>
    <w:semiHidden/>
    <w:unhideWhenUsed/>
    <w:rsid w:val="00877EB3"/>
    <w:pPr>
      <w:numPr>
        <w:numId w:val="13"/>
      </w:numPr>
      <w:contextualSpacing/>
    </w:pPr>
  </w:style>
  <w:style w:type="paragraph" w:styleId="ListContinue">
    <w:name w:val="List Continue"/>
    <w:basedOn w:val="Normal"/>
    <w:uiPriority w:val="99"/>
    <w:semiHidden/>
    <w:unhideWhenUsed/>
    <w:rsid w:val="00877EB3"/>
    <w:pPr>
      <w:spacing w:after="120"/>
      <w:ind w:left="283"/>
      <w:contextualSpacing/>
    </w:pPr>
  </w:style>
  <w:style w:type="paragraph" w:styleId="ListContinue2">
    <w:name w:val="List Continue 2"/>
    <w:basedOn w:val="Normal"/>
    <w:uiPriority w:val="99"/>
    <w:semiHidden/>
    <w:unhideWhenUsed/>
    <w:rsid w:val="00877EB3"/>
    <w:pPr>
      <w:spacing w:after="120"/>
      <w:ind w:left="566"/>
      <w:contextualSpacing/>
    </w:pPr>
  </w:style>
  <w:style w:type="paragraph" w:styleId="ListContinue3">
    <w:name w:val="List Continue 3"/>
    <w:basedOn w:val="Normal"/>
    <w:uiPriority w:val="99"/>
    <w:semiHidden/>
    <w:unhideWhenUsed/>
    <w:rsid w:val="00877EB3"/>
    <w:pPr>
      <w:spacing w:after="120"/>
      <w:ind w:left="849"/>
      <w:contextualSpacing/>
    </w:pPr>
  </w:style>
  <w:style w:type="paragraph" w:styleId="ListContinue4">
    <w:name w:val="List Continue 4"/>
    <w:basedOn w:val="Normal"/>
    <w:uiPriority w:val="99"/>
    <w:semiHidden/>
    <w:unhideWhenUsed/>
    <w:rsid w:val="00877EB3"/>
    <w:pPr>
      <w:spacing w:after="120"/>
      <w:ind w:left="1132"/>
      <w:contextualSpacing/>
    </w:pPr>
  </w:style>
  <w:style w:type="paragraph" w:styleId="ListContinue5">
    <w:name w:val="List Continue 5"/>
    <w:basedOn w:val="Normal"/>
    <w:uiPriority w:val="99"/>
    <w:semiHidden/>
    <w:unhideWhenUsed/>
    <w:rsid w:val="00877EB3"/>
    <w:pPr>
      <w:spacing w:after="120"/>
      <w:ind w:left="1415"/>
      <w:contextualSpacing/>
    </w:pPr>
  </w:style>
  <w:style w:type="paragraph" w:styleId="ListNumber">
    <w:name w:val="List Number"/>
    <w:basedOn w:val="Normal"/>
    <w:uiPriority w:val="99"/>
    <w:semiHidden/>
    <w:unhideWhenUsed/>
    <w:rsid w:val="00877EB3"/>
    <w:pPr>
      <w:numPr>
        <w:numId w:val="14"/>
      </w:numPr>
      <w:contextualSpacing/>
    </w:pPr>
  </w:style>
  <w:style w:type="paragraph" w:styleId="ListNumber2">
    <w:name w:val="List Number 2"/>
    <w:basedOn w:val="Normal"/>
    <w:uiPriority w:val="99"/>
    <w:semiHidden/>
    <w:unhideWhenUsed/>
    <w:rsid w:val="00877EB3"/>
    <w:pPr>
      <w:numPr>
        <w:numId w:val="15"/>
      </w:numPr>
      <w:contextualSpacing/>
    </w:pPr>
  </w:style>
  <w:style w:type="paragraph" w:styleId="ListNumber3">
    <w:name w:val="List Number 3"/>
    <w:basedOn w:val="Normal"/>
    <w:uiPriority w:val="99"/>
    <w:semiHidden/>
    <w:unhideWhenUsed/>
    <w:rsid w:val="00877EB3"/>
    <w:pPr>
      <w:numPr>
        <w:numId w:val="16"/>
      </w:numPr>
      <w:contextualSpacing/>
    </w:pPr>
  </w:style>
  <w:style w:type="paragraph" w:styleId="ListNumber4">
    <w:name w:val="List Number 4"/>
    <w:basedOn w:val="Normal"/>
    <w:uiPriority w:val="99"/>
    <w:semiHidden/>
    <w:unhideWhenUsed/>
    <w:rsid w:val="00877EB3"/>
    <w:pPr>
      <w:numPr>
        <w:numId w:val="17"/>
      </w:numPr>
      <w:contextualSpacing/>
    </w:pPr>
  </w:style>
  <w:style w:type="paragraph" w:styleId="ListNumber5">
    <w:name w:val="List Number 5"/>
    <w:basedOn w:val="Normal"/>
    <w:uiPriority w:val="99"/>
    <w:semiHidden/>
    <w:unhideWhenUsed/>
    <w:rsid w:val="00877EB3"/>
    <w:pPr>
      <w:numPr>
        <w:numId w:val="18"/>
      </w:numPr>
      <w:contextualSpacing/>
    </w:pPr>
  </w:style>
  <w:style w:type="paragraph" w:styleId="MacroText">
    <w:name w:val="macro"/>
    <w:link w:val="MacroTextChar"/>
    <w:uiPriority w:val="99"/>
    <w:semiHidden/>
    <w:unhideWhenUsed/>
    <w:rsid w:val="00877EB3"/>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semiHidden/>
    <w:rsid w:val="00877EB3"/>
    <w:rPr>
      <w:rFonts w:ascii="Consolas" w:hAnsi="Consolas" w:cs="Consolas"/>
    </w:rPr>
  </w:style>
  <w:style w:type="paragraph" w:styleId="MessageHeader">
    <w:name w:val="Message Header"/>
    <w:basedOn w:val="Normal"/>
    <w:link w:val="MessageHeaderChar"/>
    <w:uiPriority w:val="99"/>
    <w:semiHidden/>
    <w:unhideWhenUsed/>
    <w:rsid w:val="00877E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7EB3"/>
    <w:rPr>
      <w:rFonts w:asciiTheme="majorHAnsi" w:eastAsiaTheme="majorEastAsia" w:hAnsiTheme="majorHAnsi" w:cstheme="majorBidi"/>
      <w:sz w:val="24"/>
      <w:szCs w:val="24"/>
      <w:shd w:val="pct20" w:color="auto" w:fill="auto"/>
    </w:rPr>
  </w:style>
  <w:style w:type="paragraph" w:styleId="NoSpacing">
    <w:name w:val="No Spacing"/>
    <w:uiPriority w:val="1"/>
    <w:qFormat/>
    <w:rsid w:val="00877EB3"/>
    <w:rPr>
      <w:rFonts w:ascii="Arial" w:hAnsi="Arial"/>
    </w:rPr>
  </w:style>
  <w:style w:type="paragraph" w:styleId="NormalWeb">
    <w:name w:val="Normal (Web)"/>
    <w:basedOn w:val="Normal"/>
    <w:uiPriority w:val="99"/>
    <w:semiHidden/>
    <w:unhideWhenUsed/>
    <w:rsid w:val="00877EB3"/>
    <w:rPr>
      <w:rFonts w:ascii="Times New Roman" w:hAnsi="Times New Roman"/>
      <w:sz w:val="24"/>
      <w:szCs w:val="24"/>
    </w:rPr>
  </w:style>
  <w:style w:type="paragraph" w:styleId="NormalIndent">
    <w:name w:val="Normal Indent"/>
    <w:basedOn w:val="Normal"/>
    <w:uiPriority w:val="99"/>
    <w:semiHidden/>
    <w:unhideWhenUsed/>
    <w:rsid w:val="00877EB3"/>
    <w:pPr>
      <w:ind w:left="720"/>
    </w:pPr>
  </w:style>
  <w:style w:type="paragraph" w:styleId="NoteHeading">
    <w:name w:val="Note Heading"/>
    <w:basedOn w:val="Normal"/>
    <w:next w:val="Normal"/>
    <w:link w:val="NoteHeadingChar"/>
    <w:uiPriority w:val="99"/>
    <w:semiHidden/>
    <w:unhideWhenUsed/>
    <w:rsid w:val="00877EB3"/>
  </w:style>
  <w:style w:type="character" w:customStyle="1" w:styleId="NoteHeadingChar">
    <w:name w:val="Note Heading Char"/>
    <w:basedOn w:val="DefaultParagraphFont"/>
    <w:link w:val="NoteHeading"/>
    <w:uiPriority w:val="99"/>
    <w:semiHidden/>
    <w:rsid w:val="00877EB3"/>
    <w:rPr>
      <w:rFonts w:ascii="Arial" w:hAnsi="Arial"/>
    </w:rPr>
  </w:style>
  <w:style w:type="paragraph" w:styleId="PlainText">
    <w:name w:val="Plain Text"/>
    <w:basedOn w:val="Normal"/>
    <w:link w:val="PlainTextChar"/>
    <w:uiPriority w:val="99"/>
    <w:semiHidden/>
    <w:unhideWhenUsed/>
    <w:rsid w:val="00877EB3"/>
    <w:rPr>
      <w:rFonts w:ascii="Consolas" w:hAnsi="Consolas" w:cs="Consolas"/>
      <w:sz w:val="21"/>
      <w:szCs w:val="21"/>
    </w:rPr>
  </w:style>
  <w:style w:type="character" w:customStyle="1" w:styleId="PlainTextChar">
    <w:name w:val="Plain Text Char"/>
    <w:basedOn w:val="DefaultParagraphFont"/>
    <w:link w:val="PlainText"/>
    <w:uiPriority w:val="99"/>
    <w:semiHidden/>
    <w:rsid w:val="00877EB3"/>
    <w:rPr>
      <w:rFonts w:ascii="Consolas" w:hAnsi="Consolas" w:cs="Consolas"/>
      <w:sz w:val="21"/>
      <w:szCs w:val="21"/>
    </w:rPr>
  </w:style>
  <w:style w:type="paragraph" w:styleId="Quote">
    <w:name w:val="Quote"/>
    <w:basedOn w:val="Normal"/>
    <w:next w:val="Normal"/>
    <w:link w:val="QuoteChar"/>
    <w:uiPriority w:val="29"/>
    <w:qFormat/>
    <w:rsid w:val="00877EB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7EB3"/>
    <w:rPr>
      <w:rFonts w:ascii="Arial" w:hAnsi="Arial"/>
      <w:i/>
      <w:iCs/>
      <w:color w:val="404040" w:themeColor="text1" w:themeTint="BF"/>
    </w:rPr>
  </w:style>
  <w:style w:type="paragraph" w:styleId="Salutation">
    <w:name w:val="Salutation"/>
    <w:basedOn w:val="Normal"/>
    <w:next w:val="Normal"/>
    <w:link w:val="SalutationChar"/>
    <w:uiPriority w:val="99"/>
    <w:semiHidden/>
    <w:unhideWhenUsed/>
    <w:rsid w:val="00877EB3"/>
  </w:style>
  <w:style w:type="character" w:customStyle="1" w:styleId="SalutationChar">
    <w:name w:val="Salutation Char"/>
    <w:basedOn w:val="DefaultParagraphFont"/>
    <w:link w:val="Salutation"/>
    <w:uiPriority w:val="99"/>
    <w:semiHidden/>
    <w:rsid w:val="00877EB3"/>
    <w:rPr>
      <w:rFonts w:ascii="Arial" w:hAnsi="Arial"/>
    </w:rPr>
  </w:style>
  <w:style w:type="paragraph" w:styleId="Signature">
    <w:name w:val="Signature"/>
    <w:basedOn w:val="Normal"/>
    <w:link w:val="SignatureChar"/>
    <w:uiPriority w:val="99"/>
    <w:semiHidden/>
    <w:unhideWhenUsed/>
    <w:rsid w:val="00877EB3"/>
    <w:pPr>
      <w:ind w:left="4252"/>
    </w:pPr>
  </w:style>
  <w:style w:type="character" w:customStyle="1" w:styleId="SignatureChar">
    <w:name w:val="Signature Char"/>
    <w:basedOn w:val="DefaultParagraphFont"/>
    <w:link w:val="Signature"/>
    <w:uiPriority w:val="99"/>
    <w:semiHidden/>
    <w:rsid w:val="00877EB3"/>
    <w:rPr>
      <w:rFonts w:ascii="Arial" w:hAnsi="Arial"/>
    </w:rPr>
  </w:style>
  <w:style w:type="paragraph" w:styleId="TOAHeading">
    <w:name w:val="toa heading"/>
    <w:basedOn w:val="Normal"/>
    <w:next w:val="Normal"/>
    <w:uiPriority w:val="99"/>
    <w:semiHidden/>
    <w:unhideWhenUsed/>
    <w:rsid w:val="00877EB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7EB3"/>
    <w:pPr>
      <w:spacing w:after="100"/>
    </w:pPr>
  </w:style>
  <w:style w:type="paragraph" w:styleId="TOC2">
    <w:name w:val="toc 2"/>
    <w:basedOn w:val="Normal"/>
    <w:next w:val="Normal"/>
    <w:autoRedefine/>
    <w:uiPriority w:val="39"/>
    <w:semiHidden/>
    <w:unhideWhenUsed/>
    <w:rsid w:val="00877EB3"/>
    <w:pPr>
      <w:spacing w:after="100"/>
      <w:ind w:left="200"/>
    </w:pPr>
  </w:style>
  <w:style w:type="paragraph" w:styleId="TOC3">
    <w:name w:val="toc 3"/>
    <w:basedOn w:val="Normal"/>
    <w:next w:val="Normal"/>
    <w:autoRedefine/>
    <w:uiPriority w:val="39"/>
    <w:semiHidden/>
    <w:unhideWhenUsed/>
    <w:rsid w:val="00877EB3"/>
    <w:pPr>
      <w:spacing w:after="100"/>
      <w:ind w:left="400"/>
    </w:pPr>
  </w:style>
  <w:style w:type="paragraph" w:styleId="TOC4">
    <w:name w:val="toc 4"/>
    <w:basedOn w:val="Normal"/>
    <w:next w:val="Normal"/>
    <w:autoRedefine/>
    <w:uiPriority w:val="39"/>
    <w:semiHidden/>
    <w:unhideWhenUsed/>
    <w:rsid w:val="00877EB3"/>
    <w:pPr>
      <w:spacing w:after="100"/>
      <w:ind w:left="600"/>
    </w:pPr>
  </w:style>
  <w:style w:type="paragraph" w:styleId="TOC5">
    <w:name w:val="toc 5"/>
    <w:basedOn w:val="Normal"/>
    <w:next w:val="Normal"/>
    <w:autoRedefine/>
    <w:uiPriority w:val="39"/>
    <w:semiHidden/>
    <w:unhideWhenUsed/>
    <w:rsid w:val="00877EB3"/>
    <w:pPr>
      <w:spacing w:after="100"/>
      <w:ind w:left="800"/>
    </w:pPr>
  </w:style>
  <w:style w:type="paragraph" w:styleId="TOC6">
    <w:name w:val="toc 6"/>
    <w:basedOn w:val="Normal"/>
    <w:next w:val="Normal"/>
    <w:autoRedefine/>
    <w:uiPriority w:val="39"/>
    <w:semiHidden/>
    <w:unhideWhenUsed/>
    <w:rsid w:val="00877EB3"/>
    <w:pPr>
      <w:spacing w:after="100"/>
      <w:ind w:left="1000"/>
    </w:pPr>
  </w:style>
  <w:style w:type="paragraph" w:styleId="TOC7">
    <w:name w:val="toc 7"/>
    <w:basedOn w:val="Normal"/>
    <w:next w:val="Normal"/>
    <w:autoRedefine/>
    <w:uiPriority w:val="39"/>
    <w:semiHidden/>
    <w:unhideWhenUsed/>
    <w:rsid w:val="00877EB3"/>
    <w:pPr>
      <w:spacing w:after="100"/>
      <w:ind w:left="1200"/>
    </w:pPr>
  </w:style>
  <w:style w:type="paragraph" w:styleId="TOC8">
    <w:name w:val="toc 8"/>
    <w:basedOn w:val="Normal"/>
    <w:next w:val="Normal"/>
    <w:autoRedefine/>
    <w:uiPriority w:val="39"/>
    <w:semiHidden/>
    <w:unhideWhenUsed/>
    <w:rsid w:val="00877EB3"/>
    <w:pPr>
      <w:spacing w:after="100"/>
      <w:ind w:left="1400"/>
    </w:pPr>
  </w:style>
  <w:style w:type="paragraph" w:styleId="TOC9">
    <w:name w:val="toc 9"/>
    <w:basedOn w:val="Normal"/>
    <w:next w:val="Normal"/>
    <w:autoRedefine/>
    <w:uiPriority w:val="39"/>
    <w:semiHidden/>
    <w:unhideWhenUsed/>
    <w:rsid w:val="00877EB3"/>
    <w:pPr>
      <w:spacing w:after="100"/>
      <w:ind w:left="1600"/>
    </w:pPr>
  </w:style>
  <w:style w:type="paragraph" w:styleId="TOCHeading">
    <w:name w:val="TOC Heading"/>
    <w:basedOn w:val="Heading1"/>
    <w:next w:val="Normal"/>
    <w:uiPriority w:val="39"/>
    <w:semiHidden/>
    <w:unhideWhenUsed/>
    <w:qFormat/>
    <w:rsid w:val="00877EB3"/>
    <w:pPr>
      <w:keepNext/>
      <w:keepLines/>
      <w:spacing w:after="0"/>
      <w:ind w:left="0" w:firstLine="0"/>
      <w:contextualSpacing w:val="0"/>
      <w:outlineLvl w:val="9"/>
    </w:pPr>
    <w:rPr>
      <w:rFonts w:asciiTheme="majorHAnsi" w:eastAsiaTheme="majorEastAsia" w:hAnsiTheme="majorHAnsi" w:cstheme="majorBidi"/>
      <w:b w:val="0"/>
      <w:caps w:val="0"/>
      <w:color w:val="2F5496" w:themeColor="accent1" w:themeShade="BF"/>
      <w:sz w:val="32"/>
      <w:szCs w:val="32"/>
    </w:rPr>
  </w:style>
  <w:style w:type="paragraph" w:customStyle="1" w:styleId="BlackTriangle">
    <w:name w:val="Black Triangle"/>
    <w:basedOn w:val="Normal"/>
    <w:qFormat/>
    <w:rsid w:val="003E7F03"/>
    <w:rPr>
      <w:rFonts w:ascii="SimSun" w:eastAsia="SimSun" w:hAnsi="SimSun" w:cs="Arial"/>
      <w:sz w:val="40"/>
    </w:rPr>
  </w:style>
  <w:style w:type="paragraph" w:customStyle="1" w:styleId="BlackTriangletext">
    <w:name w:val="Black Triangle text"/>
    <w:basedOn w:val="Normal"/>
    <w:qFormat/>
    <w:rsid w:val="003E7F03"/>
    <w:pPr>
      <w:tabs>
        <w:tab w:val="left" w:pos="284"/>
      </w:tabs>
      <w:spacing w:after="600"/>
    </w:pPr>
    <w:rPr>
      <w:rFonts w:cs="Arial"/>
      <w:szCs w:val="24"/>
    </w:rPr>
  </w:style>
  <w:style w:type="character" w:styleId="UnresolvedMention">
    <w:name w:val="Unresolved Mention"/>
    <w:basedOn w:val="DefaultParagraphFont"/>
    <w:uiPriority w:val="99"/>
    <w:semiHidden/>
    <w:unhideWhenUsed/>
    <w:rsid w:val="00DA1B5E"/>
    <w:rPr>
      <w:color w:val="605E5C"/>
      <w:shd w:val="clear" w:color="auto" w:fill="E1DFDD"/>
    </w:rPr>
  </w:style>
  <w:style w:type="paragraph" w:customStyle="1" w:styleId="Table-space">
    <w:name w:val="Table - space"/>
    <w:basedOn w:val="Table-text"/>
    <w:qFormat/>
    <w:rsid w:val="005243C7"/>
    <w:pPr>
      <w:ind w:left="181"/>
    </w:pPr>
    <w:rPr>
      <w:sz w:val="2"/>
      <w:szCs w:val="2"/>
    </w:rPr>
  </w:style>
  <w:style w:type="character" w:styleId="FootnoteReference">
    <w:name w:val="footnote reference"/>
    <w:basedOn w:val="DefaultParagraphFont"/>
    <w:uiPriority w:val="99"/>
    <w:semiHidden/>
    <w:unhideWhenUsed/>
    <w:rsid w:val="00BD406F"/>
    <w:rPr>
      <w:vertAlign w:val="superscript"/>
    </w:rPr>
  </w:style>
  <w:style w:type="paragraph" w:styleId="Revision">
    <w:name w:val="Revision"/>
    <w:hidden/>
    <w:uiPriority w:val="99"/>
    <w:semiHidden/>
    <w:rsid w:val="003A20B3"/>
    <w:rPr>
      <w:rFonts w:ascii="Arial Narrow" w:hAnsi="Arial Narro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5014">
      <w:bodyDiv w:val="1"/>
      <w:marLeft w:val="0"/>
      <w:marRight w:val="0"/>
      <w:marTop w:val="0"/>
      <w:marBottom w:val="0"/>
      <w:divBdr>
        <w:top w:val="none" w:sz="0" w:space="0" w:color="auto"/>
        <w:left w:val="none" w:sz="0" w:space="0" w:color="auto"/>
        <w:bottom w:val="none" w:sz="0" w:space="0" w:color="auto"/>
        <w:right w:val="none" w:sz="0" w:space="0" w:color="auto"/>
      </w:divBdr>
    </w:div>
    <w:div w:id="109280619">
      <w:bodyDiv w:val="1"/>
      <w:marLeft w:val="0"/>
      <w:marRight w:val="0"/>
      <w:marTop w:val="0"/>
      <w:marBottom w:val="0"/>
      <w:divBdr>
        <w:top w:val="none" w:sz="0" w:space="0" w:color="auto"/>
        <w:left w:val="none" w:sz="0" w:space="0" w:color="auto"/>
        <w:bottom w:val="none" w:sz="0" w:space="0" w:color="auto"/>
        <w:right w:val="none" w:sz="0" w:space="0" w:color="auto"/>
      </w:divBdr>
    </w:div>
    <w:div w:id="193930213">
      <w:bodyDiv w:val="1"/>
      <w:marLeft w:val="0"/>
      <w:marRight w:val="0"/>
      <w:marTop w:val="0"/>
      <w:marBottom w:val="0"/>
      <w:divBdr>
        <w:top w:val="none" w:sz="0" w:space="0" w:color="auto"/>
        <w:left w:val="none" w:sz="0" w:space="0" w:color="auto"/>
        <w:bottom w:val="none" w:sz="0" w:space="0" w:color="auto"/>
        <w:right w:val="none" w:sz="0" w:space="0" w:color="auto"/>
      </w:divBdr>
    </w:div>
    <w:div w:id="267976766">
      <w:bodyDiv w:val="1"/>
      <w:marLeft w:val="0"/>
      <w:marRight w:val="0"/>
      <w:marTop w:val="0"/>
      <w:marBottom w:val="0"/>
      <w:divBdr>
        <w:top w:val="none" w:sz="0" w:space="0" w:color="auto"/>
        <w:left w:val="none" w:sz="0" w:space="0" w:color="auto"/>
        <w:bottom w:val="none" w:sz="0" w:space="0" w:color="auto"/>
        <w:right w:val="none" w:sz="0" w:space="0" w:color="auto"/>
      </w:divBdr>
    </w:div>
    <w:div w:id="475071945">
      <w:bodyDiv w:val="1"/>
      <w:marLeft w:val="0"/>
      <w:marRight w:val="0"/>
      <w:marTop w:val="0"/>
      <w:marBottom w:val="0"/>
      <w:divBdr>
        <w:top w:val="none" w:sz="0" w:space="0" w:color="auto"/>
        <w:left w:val="none" w:sz="0" w:space="0" w:color="auto"/>
        <w:bottom w:val="none" w:sz="0" w:space="0" w:color="auto"/>
        <w:right w:val="none" w:sz="0" w:space="0" w:color="auto"/>
      </w:divBdr>
    </w:div>
    <w:div w:id="494423729">
      <w:bodyDiv w:val="1"/>
      <w:marLeft w:val="0"/>
      <w:marRight w:val="0"/>
      <w:marTop w:val="0"/>
      <w:marBottom w:val="0"/>
      <w:divBdr>
        <w:top w:val="none" w:sz="0" w:space="0" w:color="auto"/>
        <w:left w:val="none" w:sz="0" w:space="0" w:color="auto"/>
        <w:bottom w:val="none" w:sz="0" w:space="0" w:color="auto"/>
        <w:right w:val="none" w:sz="0" w:space="0" w:color="auto"/>
      </w:divBdr>
    </w:div>
    <w:div w:id="590506722">
      <w:bodyDiv w:val="1"/>
      <w:marLeft w:val="0"/>
      <w:marRight w:val="0"/>
      <w:marTop w:val="0"/>
      <w:marBottom w:val="0"/>
      <w:divBdr>
        <w:top w:val="none" w:sz="0" w:space="0" w:color="auto"/>
        <w:left w:val="none" w:sz="0" w:space="0" w:color="auto"/>
        <w:bottom w:val="none" w:sz="0" w:space="0" w:color="auto"/>
        <w:right w:val="none" w:sz="0" w:space="0" w:color="auto"/>
      </w:divBdr>
    </w:div>
    <w:div w:id="661279613">
      <w:bodyDiv w:val="1"/>
      <w:marLeft w:val="0"/>
      <w:marRight w:val="0"/>
      <w:marTop w:val="0"/>
      <w:marBottom w:val="0"/>
      <w:divBdr>
        <w:top w:val="none" w:sz="0" w:space="0" w:color="auto"/>
        <w:left w:val="none" w:sz="0" w:space="0" w:color="auto"/>
        <w:bottom w:val="none" w:sz="0" w:space="0" w:color="auto"/>
        <w:right w:val="none" w:sz="0" w:space="0" w:color="auto"/>
      </w:divBdr>
    </w:div>
    <w:div w:id="863252572">
      <w:bodyDiv w:val="1"/>
      <w:marLeft w:val="0"/>
      <w:marRight w:val="0"/>
      <w:marTop w:val="0"/>
      <w:marBottom w:val="0"/>
      <w:divBdr>
        <w:top w:val="none" w:sz="0" w:space="0" w:color="auto"/>
        <w:left w:val="none" w:sz="0" w:space="0" w:color="auto"/>
        <w:bottom w:val="none" w:sz="0" w:space="0" w:color="auto"/>
        <w:right w:val="none" w:sz="0" w:space="0" w:color="auto"/>
      </w:divBdr>
    </w:div>
    <w:div w:id="1162618966">
      <w:bodyDiv w:val="1"/>
      <w:marLeft w:val="0"/>
      <w:marRight w:val="0"/>
      <w:marTop w:val="0"/>
      <w:marBottom w:val="0"/>
      <w:divBdr>
        <w:top w:val="none" w:sz="0" w:space="0" w:color="auto"/>
        <w:left w:val="none" w:sz="0" w:space="0" w:color="auto"/>
        <w:bottom w:val="none" w:sz="0" w:space="0" w:color="auto"/>
        <w:right w:val="none" w:sz="0" w:space="0" w:color="auto"/>
      </w:divBdr>
    </w:div>
    <w:div w:id="1357777247">
      <w:bodyDiv w:val="1"/>
      <w:marLeft w:val="0"/>
      <w:marRight w:val="0"/>
      <w:marTop w:val="0"/>
      <w:marBottom w:val="0"/>
      <w:divBdr>
        <w:top w:val="none" w:sz="0" w:space="0" w:color="auto"/>
        <w:left w:val="none" w:sz="0" w:space="0" w:color="auto"/>
        <w:bottom w:val="none" w:sz="0" w:space="0" w:color="auto"/>
        <w:right w:val="none" w:sz="0" w:space="0" w:color="auto"/>
      </w:divBdr>
    </w:div>
    <w:div w:id="1388337035">
      <w:bodyDiv w:val="1"/>
      <w:marLeft w:val="0"/>
      <w:marRight w:val="0"/>
      <w:marTop w:val="0"/>
      <w:marBottom w:val="0"/>
      <w:divBdr>
        <w:top w:val="none" w:sz="0" w:space="0" w:color="auto"/>
        <w:left w:val="none" w:sz="0" w:space="0" w:color="auto"/>
        <w:bottom w:val="none" w:sz="0" w:space="0" w:color="auto"/>
        <w:right w:val="none" w:sz="0" w:space="0" w:color="auto"/>
      </w:divBdr>
    </w:div>
    <w:div w:id="1593049279">
      <w:bodyDiv w:val="1"/>
      <w:marLeft w:val="0"/>
      <w:marRight w:val="0"/>
      <w:marTop w:val="0"/>
      <w:marBottom w:val="0"/>
      <w:divBdr>
        <w:top w:val="none" w:sz="0" w:space="0" w:color="auto"/>
        <w:left w:val="none" w:sz="0" w:space="0" w:color="auto"/>
        <w:bottom w:val="none" w:sz="0" w:space="0" w:color="auto"/>
        <w:right w:val="none" w:sz="0" w:space="0" w:color="auto"/>
      </w:divBdr>
      <w:divsChild>
        <w:div w:id="1320303562">
          <w:marLeft w:val="240"/>
          <w:marRight w:val="0"/>
          <w:marTop w:val="0"/>
          <w:marBottom w:val="0"/>
          <w:divBdr>
            <w:top w:val="none" w:sz="0" w:space="0" w:color="auto"/>
            <w:left w:val="none" w:sz="0" w:space="0" w:color="auto"/>
            <w:bottom w:val="none" w:sz="0" w:space="0" w:color="auto"/>
            <w:right w:val="none" w:sz="0" w:space="0" w:color="auto"/>
          </w:divBdr>
        </w:div>
      </w:divsChild>
    </w:div>
    <w:div w:id="1598782708">
      <w:bodyDiv w:val="1"/>
      <w:marLeft w:val="0"/>
      <w:marRight w:val="0"/>
      <w:marTop w:val="0"/>
      <w:marBottom w:val="0"/>
      <w:divBdr>
        <w:top w:val="none" w:sz="0" w:space="0" w:color="auto"/>
        <w:left w:val="none" w:sz="0" w:space="0" w:color="auto"/>
        <w:bottom w:val="none" w:sz="0" w:space="0" w:color="auto"/>
        <w:right w:val="none" w:sz="0" w:space="0" w:color="auto"/>
      </w:divBdr>
    </w:div>
    <w:div w:id="1664896810">
      <w:bodyDiv w:val="1"/>
      <w:marLeft w:val="0"/>
      <w:marRight w:val="0"/>
      <w:marTop w:val="0"/>
      <w:marBottom w:val="0"/>
      <w:divBdr>
        <w:top w:val="none" w:sz="0" w:space="0" w:color="auto"/>
        <w:left w:val="none" w:sz="0" w:space="0" w:color="auto"/>
        <w:bottom w:val="none" w:sz="0" w:space="0" w:color="auto"/>
        <w:right w:val="none" w:sz="0" w:space="0" w:color="auto"/>
      </w:divBdr>
    </w:div>
    <w:div w:id="1811551591">
      <w:bodyDiv w:val="1"/>
      <w:marLeft w:val="0"/>
      <w:marRight w:val="0"/>
      <w:marTop w:val="0"/>
      <w:marBottom w:val="0"/>
      <w:divBdr>
        <w:top w:val="none" w:sz="0" w:space="0" w:color="auto"/>
        <w:left w:val="none" w:sz="0" w:space="0" w:color="auto"/>
        <w:bottom w:val="none" w:sz="0" w:space="0" w:color="auto"/>
        <w:right w:val="none" w:sz="0" w:space="0" w:color="auto"/>
      </w:divBdr>
    </w:div>
    <w:div w:id="1887132748">
      <w:bodyDiv w:val="1"/>
      <w:marLeft w:val="0"/>
      <w:marRight w:val="0"/>
      <w:marTop w:val="0"/>
      <w:marBottom w:val="0"/>
      <w:divBdr>
        <w:top w:val="none" w:sz="0" w:space="0" w:color="auto"/>
        <w:left w:val="none" w:sz="0" w:space="0" w:color="auto"/>
        <w:bottom w:val="none" w:sz="0" w:space="0" w:color="auto"/>
        <w:right w:val="none" w:sz="0" w:space="0" w:color="auto"/>
      </w:divBdr>
      <w:divsChild>
        <w:div w:id="1268662987">
          <w:marLeft w:val="240"/>
          <w:marRight w:val="0"/>
          <w:marTop w:val="0"/>
          <w:marBottom w:val="0"/>
          <w:divBdr>
            <w:top w:val="none" w:sz="0" w:space="0" w:color="auto"/>
            <w:left w:val="none" w:sz="0" w:space="0" w:color="auto"/>
            <w:bottom w:val="none" w:sz="0" w:space="0" w:color="auto"/>
            <w:right w:val="none" w:sz="0" w:space="0" w:color="auto"/>
          </w:divBdr>
        </w:div>
      </w:divsChild>
    </w:div>
    <w:div w:id="1897666366">
      <w:bodyDiv w:val="1"/>
      <w:marLeft w:val="0"/>
      <w:marRight w:val="0"/>
      <w:marTop w:val="0"/>
      <w:marBottom w:val="0"/>
      <w:divBdr>
        <w:top w:val="none" w:sz="0" w:space="0" w:color="auto"/>
        <w:left w:val="none" w:sz="0" w:space="0" w:color="auto"/>
        <w:bottom w:val="none" w:sz="0" w:space="0" w:color="auto"/>
        <w:right w:val="none" w:sz="0" w:space="0" w:color="auto"/>
      </w:divBdr>
    </w:div>
    <w:div w:id="1922254043">
      <w:bodyDiv w:val="1"/>
      <w:marLeft w:val="0"/>
      <w:marRight w:val="0"/>
      <w:marTop w:val="0"/>
      <w:marBottom w:val="0"/>
      <w:divBdr>
        <w:top w:val="none" w:sz="0" w:space="0" w:color="auto"/>
        <w:left w:val="none" w:sz="0" w:space="0" w:color="auto"/>
        <w:bottom w:val="none" w:sz="0" w:space="0" w:color="auto"/>
        <w:right w:val="none" w:sz="0" w:space="0" w:color="auto"/>
      </w:divBdr>
    </w:div>
    <w:div w:id="2036273971">
      <w:bodyDiv w:val="1"/>
      <w:marLeft w:val="0"/>
      <w:marRight w:val="0"/>
      <w:marTop w:val="0"/>
      <w:marBottom w:val="0"/>
      <w:divBdr>
        <w:top w:val="none" w:sz="0" w:space="0" w:color="auto"/>
        <w:left w:val="none" w:sz="0" w:space="0" w:color="auto"/>
        <w:bottom w:val="none" w:sz="0" w:space="0" w:color="auto"/>
        <w:right w:val="none" w:sz="0" w:space="0" w:color="auto"/>
      </w:divBdr>
    </w:div>
    <w:div w:id="2089762728">
      <w:bodyDiv w:val="1"/>
      <w:marLeft w:val="0"/>
      <w:marRight w:val="0"/>
      <w:marTop w:val="0"/>
      <w:marBottom w:val="0"/>
      <w:divBdr>
        <w:top w:val="none" w:sz="0" w:space="0" w:color="auto"/>
        <w:left w:val="none" w:sz="0" w:space="0" w:color="auto"/>
        <w:bottom w:val="none" w:sz="0" w:space="0" w:color="auto"/>
        <w:right w:val="none" w:sz="0" w:space="0" w:color="auto"/>
      </w:divBdr>
    </w:div>
    <w:div w:id="21261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ga.gov.au/reporting-problem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reporting-proble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obi.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F16C52568E3A46A61916D910E9CE9B" ma:contentTypeVersion="53" ma:contentTypeDescription="Create a new document." ma:contentTypeScope="" ma:versionID="3d9ccc1ab405158c0fabc37168cec723">
  <xsd:schema xmlns:xsd="http://www.w3.org/2001/XMLSchema" xmlns:xs="http://www.w3.org/2001/XMLSchema" xmlns:p="http://schemas.microsoft.com/office/2006/metadata/properties" xmlns:ns2="9633ec90-5129-4b6e-8464-6c0fb6e7bb7e" xmlns:ns3="ea3f1776-3712-492f-8c1e-934b1bad2143" xmlns:ns4="0c7d5a73-58b0-4442-945a-f9530ea5edaa" xmlns:ns5="0db9ed21-4249-4409-8970-d30602cffb0f" targetNamespace="http://schemas.microsoft.com/office/2006/metadata/properties" ma:root="true" ma:fieldsID="70d722fe0c26475777edd97e47333bbd" ns2:_="" ns3:_="" ns4:_="" ns5:_="">
    <xsd:import namespace="9633ec90-5129-4b6e-8464-6c0fb6e7bb7e"/>
    <xsd:import namespace="ea3f1776-3712-492f-8c1e-934b1bad2143"/>
    <xsd:import namespace="0c7d5a73-58b0-4442-945a-f9530ea5edaa"/>
    <xsd:import namespace="0db9ed21-4249-4409-8970-d30602cffb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4:TaxCatchAll"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3ec90-5129-4b6e-8464-6c0fb6e7b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f1776-3712-492f-8c1e-934b1bad21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7d5a73-58b0-4442-945a-f9530ea5ed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8767927-b93a-402f-aad0-3da63888ad15}" ma:internalName="TaxCatchAll" ma:showField="CatchAllData" ma:web="0c7d5a73-58b0-4442-945a-f9530ea5ed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9ed21-4249-4409-8970-d30602cffb0f"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5102eb-6ca8-4f1d-8f69-493f68578ae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a3f1776-3712-492f-8c1e-934b1bad2143">
      <UserInfo>
        <DisplayName/>
        <AccountId xsi:nil="true"/>
        <AccountType/>
      </UserInfo>
    </SharedWithUsers>
    <lcf76f155ced4ddcb4097134ff3c332f xmlns="0db9ed21-4249-4409-8970-d30602cffb0f">
      <Terms xmlns="http://schemas.microsoft.com/office/infopath/2007/PartnerControls"/>
    </lcf76f155ced4ddcb4097134ff3c332f>
    <TaxCatchAll xmlns="0c7d5a73-58b0-4442-945a-f9530ea5edaa" xsi:nil="true"/>
  </documentManagement>
</p:properties>
</file>

<file path=customXml/itemProps1.xml><?xml version="1.0" encoding="utf-8"?>
<ds:datastoreItem xmlns:ds="http://schemas.openxmlformats.org/officeDocument/2006/customXml" ds:itemID="{6F9414BC-6053-4828-A7E9-AFFC10A25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3ec90-5129-4b6e-8464-6c0fb6e7bb7e"/>
    <ds:schemaRef ds:uri="ea3f1776-3712-492f-8c1e-934b1bad2143"/>
    <ds:schemaRef ds:uri="0c7d5a73-58b0-4442-945a-f9530ea5edaa"/>
    <ds:schemaRef ds:uri="0db9ed21-4249-4409-8970-d30602cff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F77617-F1A8-4EDB-97FA-50BFE8879E72}">
  <ds:schemaRefs>
    <ds:schemaRef ds:uri="http://schemas.microsoft.com/sharepoint/v3/contenttype/forms"/>
  </ds:schemaRefs>
</ds:datastoreItem>
</file>

<file path=customXml/itemProps3.xml><?xml version="1.0" encoding="utf-8"?>
<ds:datastoreItem xmlns:ds="http://schemas.openxmlformats.org/officeDocument/2006/customXml" ds:itemID="{258EF071-3D7B-4E4F-B23F-4604D4B155FD}">
  <ds:schemaRefs>
    <ds:schemaRef ds:uri="http://schemas.openxmlformats.org/officeDocument/2006/bibliography"/>
  </ds:schemaRefs>
</ds:datastoreItem>
</file>

<file path=customXml/itemProps4.xml><?xml version="1.0" encoding="utf-8"?>
<ds:datastoreItem xmlns:ds="http://schemas.openxmlformats.org/officeDocument/2006/customXml" ds:itemID="{C8907466-EFD9-441C-ACF5-2D5A969AA901}">
  <ds:schemaRefs>
    <ds:schemaRef ds:uri="http://schemas.microsoft.com/office/2006/metadata/properties"/>
    <ds:schemaRef ds:uri="http://schemas.microsoft.com/office/infopath/2007/PartnerControls"/>
    <ds:schemaRef ds:uri="ea3f1776-3712-492f-8c1e-934b1bad2143"/>
    <ds:schemaRef ds:uri="0db9ed21-4249-4409-8970-d30602cffb0f"/>
    <ds:schemaRef ds:uri="0c7d5a73-58b0-4442-945a-f9530ea5eda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6457</Words>
  <Characters>38211</Characters>
  <Application>Microsoft Office Word</Application>
  <DocSecurity>0</DocSecurity>
  <Lines>707</Lines>
  <Paragraphs>348</Paragraphs>
  <ScaleCrop>false</ScaleCrop>
  <HeadingPairs>
    <vt:vector size="2" baseType="variant">
      <vt:variant>
        <vt:lpstr>Title</vt:lpstr>
      </vt:variant>
      <vt:variant>
        <vt:i4>1</vt:i4>
      </vt:variant>
    </vt:vector>
  </HeadingPairs>
  <TitlesOfParts>
    <vt:vector size="1" baseType="lpstr">
      <vt:lpstr/>
    </vt:vector>
  </TitlesOfParts>
  <Company>Swedish Orphan Biovitrum Pty Ltd</Company>
  <LinksUpToDate>false</LinksUpToDate>
  <CharactersWithSpaces>44320</CharactersWithSpaces>
  <SharedDoc>false</SharedDoc>
  <HLinks>
    <vt:vector size="102" baseType="variant">
      <vt:variant>
        <vt:i4>1769479</vt:i4>
      </vt:variant>
      <vt:variant>
        <vt:i4>126</vt:i4>
      </vt:variant>
      <vt:variant>
        <vt:i4>0</vt:i4>
      </vt:variant>
      <vt:variant>
        <vt:i4>5</vt:i4>
      </vt:variant>
      <vt:variant>
        <vt:lpwstr>https://au.sobi.com/</vt:lpwstr>
      </vt:variant>
      <vt:variant>
        <vt:lpwstr/>
      </vt:variant>
      <vt:variant>
        <vt:i4>5570626</vt:i4>
      </vt:variant>
      <vt:variant>
        <vt:i4>105</vt:i4>
      </vt:variant>
      <vt:variant>
        <vt:i4>0</vt:i4>
      </vt:variant>
      <vt:variant>
        <vt:i4>5</vt:i4>
      </vt:variant>
      <vt:variant>
        <vt:lpwstr>https://www.tga.gov.au/reporting-problems</vt:lpwstr>
      </vt:variant>
      <vt:variant>
        <vt:lpwstr/>
      </vt:variant>
      <vt:variant>
        <vt:i4>5898250</vt:i4>
      </vt:variant>
      <vt:variant>
        <vt:i4>90</vt:i4>
      </vt:variant>
      <vt:variant>
        <vt:i4>0</vt:i4>
      </vt:variant>
      <vt:variant>
        <vt:i4>5</vt:i4>
      </vt:variant>
      <vt:variant>
        <vt:lpwstr/>
      </vt:variant>
      <vt:variant>
        <vt:lpwstr>_Thrombotic/Thromboembolic_Complicat</vt:lpwstr>
      </vt:variant>
      <vt:variant>
        <vt:i4>983082</vt:i4>
      </vt:variant>
      <vt:variant>
        <vt:i4>81</vt:i4>
      </vt:variant>
      <vt:variant>
        <vt:i4>0</vt:i4>
      </vt:variant>
      <vt:variant>
        <vt:i4>5</vt:i4>
      </vt:variant>
      <vt:variant>
        <vt:lpwstr/>
      </vt:variant>
      <vt:variant>
        <vt:lpwstr>_Monitoring_and_dose</vt:lpwstr>
      </vt:variant>
      <vt:variant>
        <vt:i4>3604484</vt:i4>
      </vt:variant>
      <vt:variant>
        <vt:i4>78</vt:i4>
      </vt:variant>
      <vt:variant>
        <vt:i4>0</vt:i4>
      </vt:variant>
      <vt:variant>
        <vt:i4>5</vt:i4>
      </vt:variant>
      <vt:variant>
        <vt:lpwstr/>
      </vt:variant>
      <vt:variant>
        <vt:lpwstr>_Recommended_Dosage_with</vt:lpwstr>
      </vt:variant>
      <vt:variant>
        <vt:i4>3604484</vt:i4>
      </vt:variant>
      <vt:variant>
        <vt:i4>72</vt:i4>
      </vt:variant>
      <vt:variant>
        <vt:i4>0</vt:i4>
      </vt:variant>
      <vt:variant>
        <vt:i4>5</vt:i4>
      </vt:variant>
      <vt:variant>
        <vt:lpwstr/>
      </vt:variant>
      <vt:variant>
        <vt:lpwstr>_Recommended_Dosage_with</vt:lpwstr>
      </vt:variant>
      <vt:variant>
        <vt:i4>983082</vt:i4>
      </vt:variant>
      <vt:variant>
        <vt:i4>69</vt:i4>
      </vt:variant>
      <vt:variant>
        <vt:i4>0</vt:i4>
      </vt:variant>
      <vt:variant>
        <vt:i4>5</vt:i4>
      </vt:variant>
      <vt:variant>
        <vt:lpwstr/>
      </vt:variant>
      <vt:variant>
        <vt:lpwstr>_Monitoring_and_dose</vt:lpwstr>
      </vt:variant>
      <vt:variant>
        <vt:i4>3604484</vt:i4>
      </vt:variant>
      <vt:variant>
        <vt:i4>63</vt:i4>
      </vt:variant>
      <vt:variant>
        <vt:i4>0</vt:i4>
      </vt:variant>
      <vt:variant>
        <vt:i4>5</vt:i4>
      </vt:variant>
      <vt:variant>
        <vt:lpwstr/>
      </vt:variant>
      <vt:variant>
        <vt:lpwstr>_Recommended_Dosage_with</vt:lpwstr>
      </vt:variant>
      <vt:variant>
        <vt:i4>4980801</vt:i4>
      </vt:variant>
      <vt:variant>
        <vt:i4>57</vt:i4>
      </vt:variant>
      <vt:variant>
        <vt:i4>0</vt:i4>
      </vt:variant>
      <vt:variant>
        <vt:i4>5</vt:i4>
      </vt:variant>
      <vt:variant>
        <vt:lpwstr/>
      </vt:variant>
      <vt:variant>
        <vt:lpwstr>_Drug_Interactions</vt:lpwstr>
      </vt:variant>
      <vt:variant>
        <vt:i4>7929945</vt:i4>
      </vt:variant>
      <vt:variant>
        <vt:i4>54</vt:i4>
      </vt:variant>
      <vt:variant>
        <vt:i4>0</vt:i4>
      </vt:variant>
      <vt:variant>
        <vt:i4>5</vt:i4>
      </vt:variant>
      <vt:variant>
        <vt:lpwstr/>
      </vt:variant>
      <vt:variant>
        <vt:lpwstr>_Reproductive_and_developmental</vt:lpwstr>
      </vt:variant>
      <vt:variant>
        <vt:i4>3473470</vt:i4>
      </vt:variant>
      <vt:variant>
        <vt:i4>51</vt:i4>
      </vt:variant>
      <vt:variant>
        <vt:i4>0</vt:i4>
      </vt:variant>
      <vt:variant>
        <vt:i4>5</vt:i4>
      </vt:variant>
      <vt:variant>
        <vt:lpwstr/>
      </vt:variant>
      <vt:variant>
        <vt:lpwstr>_Specific_Populations</vt:lpwstr>
      </vt:variant>
      <vt:variant>
        <vt:i4>2162780</vt:i4>
      </vt:variant>
      <vt:variant>
        <vt:i4>48</vt:i4>
      </vt:variant>
      <vt:variant>
        <vt:i4>0</vt:i4>
      </vt:variant>
      <vt:variant>
        <vt:i4>5</vt:i4>
      </vt:variant>
      <vt:variant>
        <vt:lpwstr/>
      </vt:variant>
      <vt:variant>
        <vt:lpwstr>_6.1_List_of</vt:lpwstr>
      </vt:variant>
      <vt:variant>
        <vt:i4>6946893</vt:i4>
      </vt:variant>
      <vt:variant>
        <vt:i4>45</vt:i4>
      </vt:variant>
      <vt:variant>
        <vt:i4>0</vt:i4>
      </vt:variant>
      <vt:variant>
        <vt:i4>5</vt:i4>
      </vt:variant>
      <vt:variant>
        <vt:lpwstr/>
      </vt:variant>
      <vt:variant>
        <vt:lpwstr>_Specific_Populations_1</vt:lpwstr>
      </vt:variant>
      <vt:variant>
        <vt:i4>4915313</vt:i4>
      </vt:variant>
      <vt:variant>
        <vt:i4>42</vt:i4>
      </vt:variant>
      <vt:variant>
        <vt:i4>0</vt:i4>
      </vt:variant>
      <vt:variant>
        <vt:i4>5</vt:i4>
      </vt:variant>
      <vt:variant>
        <vt:lpwstr/>
      </vt:variant>
      <vt:variant>
        <vt:lpwstr>_Use_in_hepatic</vt:lpwstr>
      </vt:variant>
      <vt:variant>
        <vt:i4>3997731</vt:i4>
      </vt:variant>
      <vt:variant>
        <vt:i4>12</vt:i4>
      </vt:variant>
      <vt:variant>
        <vt:i4>0</vt:i4>
      </vt:variant>
      <vt:variant>
        <vt:i4>5</vt:i4>
      </vt:variant>
      <vt:variant>
        <vt:lpwstr/>
      </vt:variant>
      <vt:variant>
        <vt:lpwstr>_Clinical_trials</vt:lpwstr>
      </vt:variant>
      <vt:variant>
        <vt:i4>2162780</vt:i4>
      </vt:variant>
      <vt:variant>
        <vt:i4>3</vt:i4>
      </vt:variant>
      <vt:variant>
        <vt:i4>0</vt:i4>
      </vt:variant>
      <vt:variant>
        <vt:i4>5</vt:i4>
      </vt:variant>
      <vt:variant>
        <vt:lpwstr/>
      </vt:variant>
      <vt:variant>
        <vt:lpwstr>_6.1_List_of</vt:lpwstr>
      </vt:variant>
      <vt:variant>
        <vt:i4>5570626</vt:i4>
      </vt:variant>
      <vt:variant>
        <vt:i4>0</vt:i4>
      </vt:variant>
      <vt:variant>
        <vt:i4>0</vt:i4>
      </vt:variant>
      <vt:variant>
        <vt:i4>5</vt:i4>
      </vt:variant>
      <vt:variant>
        <vt:lpwstr>https://www.tga.gov.au/reporting-problems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Doptelet</dc:title>
  <dc:subject>prescription medicines</dc:subject>
  <dc:creator>Swedish Orphan Biovitrum Pty Ltd</dc:creator>
  <cp:keywords/>
  <dc:description/>
  <cp:lastModifiedBy>LACK, Janet</cp:lastModifiedBy>
  <cp:revision>3</cp:revision>
  <cp:lastPrinted>2017-10-05T07:11:00Z</cp:lastPrinted>
  <dcterms:created xsi:type="dcterms:W3CDTF">2024-02-08T00:53:00Z</dcterms:created>
  <dcterms:modified xsi:type="dcterms:W3CDTF">2024-02-08T00:57:00Z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0x01010014F16C52568E3A46A61916D910E9CE9B</vt:lpwstr>
  </property>
  <property fmtid="{D5CDD505-2E9C-101B-9397-08002B2CF9AE}" pid="3" name="GUID">
    <vt:lpwstr>7e5145b2-c624-4bd9-9288-914efb449da1</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SIP_Label_6ddddc05-6d75-4c89-ae8a-b8ab1a1994bc_Enabled">
    <vt:lpwstr>true</vt:lpwstr>
  </property>
  <property fmtid="{D5CDD505-2E9C-101B-9397-08002B2CF9AE}" pid="11" name="MSIP_Label_6ddddc05-6d75-4c89-ae8a-b8ab1a1994bc_SetDate">
    <vt:lpwstr>2022-04-01T01:58:06Z</vt:lpwstr>
  </property>
  <property fmtid="{D5CDD505-2E9C-101B-9397-08002B2CF9AE}" pid="12" name="MSIP_Label_6ddddc05-6d75-4c89-ae8a-b8ab1a1994bc_Method">
    <vt:lpwstr>Standard</vt:lpwstr>
  </property>
  <property fmtid="{D5CDD505-2E9C-101B-9397-08002B2CF9AE}" pid="13" name="MSIP_Label_6ddddc05-6d75-4c89-ae8a-b8ab1a1994bc_Name">
    <vt:lpwstr>without watermark</vt:lpwstr>
  </property>
  <property fmtid="{D5CDD505-2E9C-101B-9397-08002B2CF9AE}" pid="14" name="MSIP_Label_6ddddc05-6d75-4c89-ae8a-b8ab1a1994bc_SiteId">
    <vt:lpwstr>ff9ac3ce-3c41-41c3-b556-e1b32a662fed</vt:lpwstr>
  </property>
  <property fmtid="{D5CDD505-2E9C-101B-9397-08002B2CF9AE}" pid="15" name="MSIP_Label_6ddddc05-6d75-4c89-ae8a-b8ab1a1994bc_ActionId">
    <vt:lpwstr>55c3ddd7-11b1-4e69-a714-f8572fa868fd</vt:lpwstr>
  </property>
  <property fmtid="{D5CDD505-2E9C-101B-9397-08002B2CF9AE}" pid="16" name="MSIP_Label_6ddddc05-6d75-4c89-ae8a-b8ab1a1994bc_ContentBits">
    <vt:lpwstr>0</vt:lpwstr>
  </property>
  <property fmtid="{D5CDD505-2E9C-101B-9397-08002B2CF9AE}" pid="17" name="MediaServiceImageTags">
    <vt:lpwstr/>
  </property>
</Properties>
</file>