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58813BC" w:rsidR="00F02AEC" w:rsidRPr="00215D48" w:rsidRDefault="00346EC2" w:rsidP="007452E8">
            <w:pPr>
              <w:pStyle w:val="Title"/>
            </w:pPr>
            <w:r w:rsidRPr="00346EC2">
              <w:t>Australian Public Assessment Report for</w:t>
            </w:r>
            <w:r w:rsidR="009A2F32">
              <w:t xml:space="preserve"> Doptelet</w:t>
            </w:r>
          </w:p>
        </w:tc>
      </w:tr>
      <w:tr w:rsidR="00F02AEC" w:rsidRPr="00215D48" w14:paraId="318A40A3" w14:textId="77777777" w:rsidTr="00346EC2">
        <w:trPr>
          <w:trHeight w:val="995"/>
        </w:trPr>
        <w:tc>
          <w:tcPr>
            <w:tcW w:w="8720" w:type="dxa"/>
          </w:tcPr>
          <w:p w14:paraId="1AA7C701" w14:textId="476A7437" w:rsidR="00F02AEC" w:rsidRPr="00215D48" w:rsidRDefault="00346EC2" w:rsidP="007452E8">
            <w:pPr>
              <w:pStyle w:val="Subtitle"/>
              <w:ind w:left="0"/>
            </w:pPr>
            <w:r w:rsidRPr="00346EC2">
              <w:t xml:space="preserve">Active ingredient: </w:t>
            </w:r>
            <w:r w:rsidR="009819BA" w:rsidRPr="009819BA">
              <w:t>Avatrombopa</w:t>
            </w:r>
            <w:r w:rsidR="00A6341F">
              <w:t>g</w:t>
            </w:r>
          </w:p>
        </w:tc>
      </w:tr>
      <w:tr w:rsidR="00346EC2" w:rsidRPr="00215D48" w14:paraId="362CCAE4" w14:textId="77777777" w:rsidTr="007452E8">
        <w:trPr>
          <w:trHeight w:val="1916"/>
        </w:trPr>
        <w:tc>
          <w:tcPr>
            <w:tcW w:w="8720" w:type="dxa"/>
          </w:tcPr>
          <w:p w14:paraId="709C45C0" w14:textId="6919AFC1" w:rsidR="00346EC2" w:rsidRPr="00215D48" w:rsidRDefault="00346EC2" w:rsidP="007452E8">
            <w:pPr>
              <w:pStyle w:val="Subtitle"/>
              <w:ind w:left="0"/>
            </w:pPr>
            <w:r w:rsidRPr="00346EC2">
              <w:t xml:space="preserve">Sponsor: </w:t>
            </w:r>
            <w:r w:rsidR="005B07DC" w:rsidRPr="005B07DC">
              <w:t>Swedish Orphan Biovitrum Pty Ltd</w:t>
            </w:r>
          </w:p>
        </w:tc>
      </w:tr>
      <w:tr w:rsidR="00F02AEC" w:rsidRPr="00215D48" w14:paraId="37F2AA1F" w14:textId="77777777" w:rsidTr="007452E8">
        <w:tc>
          <w:tcPr>
            <w:tcW w:w="8720" w:type="dxa"/>
          </w:tcPr>
          <w:p w14:paraId="1FDE8DCD" w14:textId="4EA7FF6E" w:rsidR="00F02AEC" w:rsidRPr="00215D48" w:rsidRDefault="00197355" w:rsidP="007452E8">
            <w:pPr>
              <w:pStyle w:val="Date"/>
            </w:pPr>
            <w:r>
              <w:t>February</w:t>
            </w:r>
            <w:r w:rsidR="00F44732">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22D1B35"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38C14576"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64AFB82" w:rsidR="00175CD8" w:rsidRPr="00346EC2" w:rsidRDefault="00F02AEC" w:rsidP="00346EC2">
      <w:pPr>
        <w:pStyle w:val="LegalCopy"/>
        <w:rPr>
          <w:rFonts w:cs="Arial"/>
        </w:rPr>
      </w:pPr>
      <w:r w:rsidRPr="00215D48">
        <w:rPr>
          <w:rFonts w:cs="Arial"/>
        </w:rPr>
        <w:t>© Commonwealth of Australia 20</w:t>
      </w:r>
      <w:r>
        <w:rPr>
          <w:rFonts w:cs="Arial"/>
        </w:rPr>
        <w:t>2</w:t>
      </w:r>
      <w:r w:rsidR="00F44732">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7809241" w14:textId="6D4EE0FA" w:rsidR="008A4248"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58284385" w:history="1">
            <w:r w:rsidR="008A4248" w:rsidRPr="00854DB8">
              <w:rPr>
                <w:rStyle w:val="Hyperlink"/>
                <w:noProof/>
              </w:rPr>
              <w:t>List of abbreviations</w:t>
            </w:r>
            <w:r w:rsidR="008A4248">
              <w:rPr>
                <w:noProof/>
                <w:webHidden/>
              </w:rPr>
              <w:tab/>
            </w:r>
            <w:r w:rsidR="008A4248">
              <w:rPr>
                <w:noProof/>
                <w:webHidden/>
              </w:rPr>
              <w:fldChar w:fldCharType="begin"/>
            </w:r>
            <w:r w:rsidR="008A4248">
              <w:rPr>
                <w:noProof/>
                <w:webHidden/>
              </w:rPr>
              <w:instrText xml:space="preserve"> PAGEREF _Toc158284385 \h </w:instrText>
            </w:r>
            <w:r w:rsidR="008A4248">
              <w:rPr>
                <w:noProof/>
                <w:webHidden/>
              </w:rPr>
            </w:r>
            <w:r w:rsidR="008A4248">
              <w:rPr>
                <w:noProof/>
                <w:webHidden/>
              </w:rPr>
              <w:fldChar w:fldCharType="separate"/>
            </w:r>
            <w:r w:rsidR="008A4248">
              <w:rPr>
                <w:noProof/>
                <w:webHidden/>
              </w:rPr>
              <w:t>4</w:t>
            </w:r>
            <w:r w:rsidR="008A4248">
              <w:rPr>
                <w:noProof/>
                <w:webHidden/>
              </w:rPr>
              <w:fldChar w:fldCharType="end"/>
            </w:r>
          </w:hyperlink>
        </w:p>
        <w:p w14:paraId="2A779803" w14:textId="689EC41A" w:rsidR="008A4248" w:rsidRDefault="008A424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84386" w:history="1">
            <w:r w:rsidRPr="00854DB8">
              <w:rPr>
                <w:rStyle w:val="Hyperlink"/>
                <w:noProof/>
              </w:rPr>
              <w:t>Product submission</w:t>
            </w:r>
            <w:r>
              <w:rPr>
                <w:noProof/>
                <w:webHidden/>
              </w:rPr>
              <w:tab/>
            </w:r>
            <w:r>
              <w:rPr>
                <w:noProof/>
                <w:webHidden/>
              </w:rPr>
              <w:fldChar w:fldCharType="begin"/>
            </w:r>
            <w:r>
              <w:rPr>
                <w:noProof/>
                <w:webHidden/>
              </w:rPr>
              <w:instrText xml:space="preserve"> PAGEREF _Toc158284386 \h </w:instrText>
            </w:r>
            <w:r>
              <w:rPr>
                <w:noProof/>
                <w:webHidden/>
              </w:rPr>
            </w:r>
            <w:r>
              <w:rPr>
                <w:noProof/>
                <w:webHidden/>
              </w:rPr>
              <w:fldChar w:fldCharType="separate"/>
            </w:r>
            <w:r>
              <w:rPr>
                <w:noProof/>
                <w:webHidden/>
              </w:rPr>
              <w:t>5</w:t>
            </w:r>
            <w:r>
              <w:rPr>
                <w:noProof/>
                <w:webHidden/>
              </w:rPr>
              <w:fldChar w:fldCharType="end"/>
            </w:r>
          </w:hyperlink>
        </w:p>
        <w:p w14:paraId="490F811B" w14:textId="41A524B9"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387" w:history="1">
            <w:r w:rsidRPr="00854DB8">
              <w:rPr>
                <w:rStyle w:val="Hyperlink"/>
                <w:noProof/>
                <w:lang w:eastAsia="en-AU"/>
              </w:rPr>
              <w:t>Submission details</w:t>
            </w:r>
            <w:r>
              <w:rPr>
                <w:noProof/>
                <w:webHidden/>
              </w:rPr>
              <w:tab/>
            </w:r>
            <w:r>
              <w:rPr>
                <w:noProof/>
                <w:webHidden/>
              </w:rPr>
              <w:fldChar w:fldCharType="begin"/>
            </w:r>
            <w:r>
              <w:rPr>
                <w:noProof/>
                <w:webHidden/>
              </w:rPr>
              <w:instrText xml:space="preserve"> PAGEREF _Toc158284387 \h </w:instrText>
            </w:r>
            <w:r>
              <w:rPr>
                <w:noProof/>
                <w:webHidden/>
              </w:rPr>
            </w:r>
            <w:r>
              <w:rPr>
                <w:noProof/>
                <w:webHidden/>
              </w:rPr>
              <w:fldChar w:fldCharType="separate"/>
            </w:r>
            <w:r>
              <w:rPr>
                <w:noProof/>
                <w:webHidden/>
              </w:rPr>
              <w:t>5</w:t>
            </w:r>
            <w:r>
              <w:rPr>
                <w:noProof/>
                <w:webHidden/>
              </w:rPr>
              <w:fldChar w:fldCharType="end"/>
            </w:r>
          </w:hyperlink>
        </w:p>
        <w:p w14:paraId="72D8D6BA" w14:textId="73AEDCFB"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388" w:history="1">
            <w:r w:rsidRPr="00854DB8">
              <w:rPr>
                <w:rStyle w:val="Hyperlink"/>
                <w:noProof/>
              </w:rPr>
              <w:t>Product background</w:t>
            </w:r>
            <w:r>
              <w:rPr>
                <w:noProof/>
                <w:webHidden/>
              </w:rPr>
              <w:tab/>
            </w:r>
            <w:r>
              <w:rPr>
                <w:noProof/>
                <w:webHidden/>
              </w:rPr>
              <w:fldChar w:fldCharType="begin"/>
            </w:r>
            <w:r>
              <w:rPr>
                <w:noProof/>
                <w:webHidden/>
              </w:rPr>
              <w:instrText xml:space="preserve"> PAGEREF _Toc158284388 \h </w:instrText>
            </w:r>
            <w:r>
              <w:rPr>
                <w:noProof/>
                <w:webHidden/>
              </w:rPr>
            </w:r>
            <w:r>
              <w:rPr>
                <w:noProof/>
                <w:webHidden/>
              </w:rPr>
              <w:fldChar w:fldCharType="separate"/>
            </w:r>
            <w:r>
              <w:rPr>
                <w:noProof/>
                <w:webHidden/>
              </w:rPr>
              <w:t>6</w:t>
            </w:r>
            <w:r>
              <w:rPr>
                <w:noProof/>
                <w:webHidden/>
              </w:rPr>
              <w:fldChar w:fldCharType="end"/>
            </w:r>
          </w:hyperlink>
        </w:p>
        <w:p w14:paraId="03B28952" w14:textId="77B08F6D"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389" w:history="1">
            <w:r w:rsidRPr="00854DB8">
              <w:rPr>
                <w:rStyle w:val="Hyperlink"/>
                <w:noProof/>
              </w:rPr>
              <w:t>Condition</w:t>
            </w:r>
            <w:r>
              <w:rPr>
                <w:noProof/>
                <w:webHidden/>
              </w:rPr>
              <w:tab/>
            </w:r>
            <w:r>
              <w:rPr>
                <w:noProof/>
                <w:webHidden/>
              </w:rPr>
              <w:fldChar w:fldCharType="begin"/>
            </w:r>
            <w:r>
              <w:rPr>
                <w:noProof/>
                <w:webHidden/>
              </w:rPr>
              <w:instrText xml:space="preserve"> PAGEREF _Toc158284389 \h </w:instrText>
            </w:r>
            <w:r>
              <w:rPr>
                <w:noProof/>
                <w:webHidden/>
              </w:rPr>
            </w:r>
            <w:r>
              <w:rPr>
                <w:noProof/>
                <w:webHidden/>
              </w:rPr>
              <w:fldChar w:fldCharType="separate"/>
            </w:r>
            <w:r>
              <w:rPr>
                <w:noProof/>
                <w:webHidden/>
              </w:rPr>
              <w:t>7</w:t>
            </w:r>
            <w:r>
              <w:rPr>
                <w:noProof/>
                <w:webHidden/>
              </w:rPr>
              <w:fldChar w:fldCharType="end"/>
            </w:r>
          </w:hyperlink>
        </w:p>
        <w:p w14:paraId="734ACA0E" w14:textId="7E60D9C9"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390" w:history="1">
            <w:r w:rsidRPr="00854DB8">
              <w:rPr>
                <w:rStyle w:val="Hyperlink"/>
                <w:noProof/>
              </w:rPr>
              <w:t>Current treatment options</w:t>
            </w:r>
            <w:r>
              <w:rPr>
                <w:noProof/>
                <w:webHidden/>
              </w:rPr>
              <w:tab/>
            </w:r>
            <w:r>
              <w:rPr>
                <w:noProof/>
                <w:webHidden/>
              </w:rPr>
              <w:fldChar w:fldCharType="begin"/>
            </w:r>
            <w:r>
              <w:rPr>
                <w:noProof/>
                <w:webHidden/>
              </w:rPr>
              <w:instrText xml:space="preserve"> PAGEREF _Toc158284390 \h </w:instrText>
            </w:r>
            <w:r>
              <w:rPr>
                <w:noProof/>
                <w:webHidden/>
              </w:rPr>
            </w:r>
            <w:r>
              <w:rPr>
                <w:noProof/>
                <w:webHidden/>
              </w:rPr>
              <w:fldChar w:fldCharType="separate"/>
            </w:r>
            <w:r>
              <w:rPr>
                <w:noProof/>
                <w:webHidden/>
              </w:rPr>
              <w:t>9</w:t>
            </w:r>
            <w:r>
              <w:rPr>
                <w:noProof/>
                <w:webHidden/>
              </w:rPr>
              <w:fldChar w:fldCharType="end"/>
            </w:r>
          </w:hyperlink>
        </w:p>
        <w:p w14:paraId="17366EEE" w14:textId="4FCE8CF1"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391" w:history="1">
            <w:r w:rsidRPr="00854DB8">
              <w:rPr>
                <w:rStyle w:val="Hyperlink"/>
                <w:noProof/>
              </w:rPr>
              <w:t>Regulatory status</w:t>
            </w:r>
            <w:r>
              <w:rPr>
                <w:noProof/>
                <w:webHidden/>
              </w:rPr>
              <w:tab/>
            </w:r>
            <w:r>
              <w:rPr>
                <w:noProof/>
                <w:webHidden/>
              </w:rPr>
              <w:fldChar w:fldCharType="begin"/>
            </w:r>
            <w:r>
              <w:rPr>
                <w:noProof/>
                <w:webHidden/>
              </w:rPr>
              <w:instrText xml:space="preserve"> PAGEREF _Toc158284391 \h </w:instrText>
            </w:r>
            <w:r>
              <w:rPr>
                <w:noProof/>
                <w:webHidden/>
              </w:rPr>
            </w:r>
            <w:r>
              <w:rPr>
                <w:noProof/>
                <w:webHidden/>
              </w:rPr>
              <w:fldChar w:fldCharType="separate"/>
            </w:r>
            <w:r>
              <w:rPr>
                <w:noProof/>
                <w:webHidden/>
              </w:rPr>
              <w:t>11</w:t>
            </w:r>
            <w:r>
              <w:rPr>
                <w:noProof/>
                <w:webHidden/>
              </w:rPr>
              <w:fldChar w:fldCharType="end"/>
            </w:r>
          </w:hyperlink>
        </w:p>
        <w:p w14:paraId="1E4A4D0C" w14:textId="4154A1D7"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392" w:history="1">
            <w:r w:rsidRPr="00854DB8">
              <w:rPr>
                <w:rStyle w:val="Hyperlink"/>
                <w:noProof/>
              </w:rPr>
              <w:t>Australian regulatory status</w:t>
            </w:r>
            <w:r>
              <w:rPr>
                <w:noProof/>
                <w:webHidden/>
              </w:rPr>
              <w:tab/>
            </w:r>
            <w:r>
              <w:rPr>
                <w:noProof/>
                <w:webHidden/>
              </w:rPr>
              <w:fldChar w:fldCharType="begin"/>
            </w:r>
            <w:r>
              <w:rPr>
                <w:noProof/>
                <w:webHidden/>
              </w:rPr>
              <w:instrText xml:space="preserve"> PAGEREF _Toc158284392 \h </w:instrText>
            </w:r>
            <w:r>
              <w:rPr>
                <w:noProof/>
                <w:webHidden/>
              </w:rPr>
            </w:r>
            <w:r>
              <w:rPr>
                <w:noProof/>
                <w:webHidden/>
              </w:rPr>
              <w:fldChar w:fldCharType="separate"/>
            </w:r>
            <w:r>
              <w:rPr>
                <w:noProof/>
                <w:webHidden/>
              </w:rPr>
              <w:t>11</w:t>
            </w:r>
            <w:r>
              <w:rPr>
                <w:noProof/>
                <w:webHidden/>
              </w:rPr>
              <w:fldChar w:fldCharType="end"/>
            </w:r>
          </w:hyperlink>
        </w:p>
        <w:p w14:paraId="237A7BC2" w14:textId="7C65B667"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393" w:history="1">
            <w:r w:rsidRPr="00854DB8">
              <w:rPr>
                <w:rStyle w:val="Hyperlink"/>
                <w:noProof/>
              </w:rPr>
              <w:t>Foreign regulatory status</w:t>
            </w:r>
            <w:r>
              <w:rPr>
                <w:noProof/>
                <w:webHidden/>
              </w:rPr>
              <w:tab/>
            </w:r>
            <w:r>
              <w:rPr>
                <w:noProof/>
                <w:webHidden/>
              </w:rPr>
              <w:fldChar w:fldCharType="begin"/>
            </w:r>
            <w:r>
              <w:rPr>
                <w:noProof/>
                <w:webHidden/>
              </w:rPr>
              <w:instrText xml:space="preserve"> PAGEREF _Toc158284393 \h </w:instrText>
            </w:r>
            <w:r>
              <w:rPr>
                <w:noProof/>
                <w:webHidden/>
              </w:rPr>
            </w:r>
            <w:r>
              <w:rPr>
                <w:noProof/>
                <w:webHidden/>
              </w:rPr>
              <w:fldChar w:fldCharType="separate"/>
            </w:r>
            <w:r>
              <w:rPr>
                <w:noProof/>
                <w:webHidden/>
              </w:rPr>
              <w:t>11</w:t>
            </w:r>
            <w:r>
              <w:rPr>
                <w:noProof/>
                <w:webHidden/>
              </w:rPr>
              <w:fldChar w:fldCharType="end"/>
            </w:r>
          </w:hyperlink>
        </w:p>
        <w:p w14:paraId="2CEA965F" w14:textId="641FA612" w:rsidR="008A4248" w:rsidRDefault="008A424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84394" w:history="1">
            <w:r w:rsidRPr="00854DB8">
              <w:rPr>
                <w:rStyle w:val="Hyperlink"/>
                <w:noProof/>
              </w:rPr>
              <w:t>Registration timeline</w:t>
            </w:r>
            <w:r>
              <w:rPr>
                <w:noProof/>
                <w:webHidden/>
              </w:rPr>
              <w:tab/>
            </w:r>
            <w:r>
              <w:rPr>
                <w:noProof/>
                <w:webHidden/>
              </w:rPr>
              <w:fldChar w:fldCharType="begin"/>
            </w:r>
            <w:r>
              <w:rPr>
                <w:noProof/>
                <w:webHidden/>
              </w:rPr>
              <w:instrText xml:space="preserve"> PAGEREF _Toc158284394 \h </w:instrText>
            </w:r>
            <w:r>
              <w:rPr>
                <w:noProof/>
                <w:webHidden/>
              </w:rPr>
            </w:r>
            <w:r>
              <w:rPr>
                <w:noProof/>
                <w:webHidden/>
              </w:rPr>
              <w:fldChar w:fldCharType="separate"/>
            </w:r>
            <w:r>
              <w:rPr>
                <w:noProof/>
                <w:webHidden/>
              </w:rPr>
              <w:t>12</w:t>
            </w:r>
            <w:r>
              <w:rPr>
                <w:noProof/>
                <w:webHidden/>
              </w:rPr>
              <w:fldChar w:fldCharType="end"/>
            </w:r>
          </w:hyperlink>
        </w:p>
        <w:p w14:paraId="3E978CA2" w14:textId="724E1210" w:rsidR="008A4248" w:rsidRDefault="008A424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84395" w:history="1">
            <w:r w:rsidRPr="00854DB8">
              <w:rPr>
                <w:rStyle w:val="Hyperlink"/>
                <w:noProof/>
              </w:rPr>
              <w:t>Submission overview and risk/benefit assessment</w:t>
            </w:r>
            <w:r>
              <w:rPr>
                <w:noProof/>
                <w:webHidden/>
              </w:rPr>
              <w:tab/>
            </w:r>
            <w:r>
              <w:rPr>
                <w:noProof/>
                <w:webHidden/>
              </w:rPr>
              <w:fldChar w:fldCharType="begin"/>
            </w:r>
            <w:r>
              <w:rPr>
                <w:noProof/>
                <w:webHidden/>
              </w:rPr>
              <w:instrText xml:space="preserve"> PAGEREF _Toc158284395 \h </w:instrText>
            </w:r>
            <w:r>
              <w:rPr>
                <w:noProof/>
                <w:webHidden/>
              </w:rPr>
            </w:r>
            <w:r>
              <w:rPr>
                <w:noProof/>
                <w:webHidden/>
              </w:rPr>
              <w:fldChar w:fldCharType="separate"/>
            </w:r>
            <w:r>
              <w:rPr>
                <w:noProof/>
                <w:webHidden/>
              </w:rPr>
              <w:t>13</w:t>
            </w:r>
            <w:r>
              <w:rPr>
                <w:noProof/>
                <w:webHidden/>
              </w:rPr>
              <w:fldChar w:fldCharType="end"/>
            </w:r>
          </w:hyperlink>
        </w:p>
        <w:p w14:paraId="56FAFFB0" w14:textId="33F3D0DD"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396" w:history="1">
            <w:r w:rsidRPr="00854DB8">
              <w:rPr>
                <w:rStyle w:val="Hyperlink"/>
                <w:noProof/>
              </w:rPr>
              <w:t>Quality</w:t>
            </w:r>
            <w:r>
              <w:rPr>
                <w:noProof/>
                <w:webHidden/>
              </w:rPr>
              <w:tab/>
            </w:r>
            <w:r>
              <w:rPr>
                <w:noProof/>
                <w:webHidden/>
              </w:rPr>
              <w:fldChar w:fldCharType="begin"/>
            </w:r>
            <w:r>
              <w:rPr>
                <w:noProof/>
                <w:webHidden/>
              </w:rPr>
              <w:instrText xml:space="preserve"> PAGEREF _Toc158284396 \h </w:instrText>
            </w:r>
            <w:r>
              <w:rPr>
                <w:noProof/>
                <w:webHidden/>
              </w:rPr>
            </w:r>
            <w:r>
              <w:rPr>
                <w:noProof/>
                <w:webHidden/>
              </w:rPr>
              <w:fldChar w:fldCharType="separate"/>
            </w:r>
            <w:r>
              <w:rPr>
                <w:noProof/>
                <w:webHidden/>
              </w:rPr>
              <w:t>13</w:t>
            </w:r>
            <w:r>
              <w:rPr>
                <w:noProof/>
                <w:webHidden/>
              </w:rPr>
              <w:fldChar w:fldCharType="end"/>
            </w:r>
          </w:hyperlink>
        </w:p>
        <w:p w14:paraId="762FDECC" w14:textId="31CACA87"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397" w:history="1">
            <w:r w:rsidRPr="00854DB8">
              <w:rPr>
                <w:rStyle w:val="Hyperlink"/>
                <w:noProof/>
              </w:rPr>
              <w:t>Nonclinical</w:t>
            </w:r>
            <w:r>
              <w:rPr>
                <w:noProof/>
                <w:webHidden/>
              </w:rPr>
              <w:tab/>
            </w:r>
            <w:r>
              <w:rPr>
                <w:noProof/>
                <w:webHidden/>
              </w:rPr>
              <w:fldChar w:fldCharType="begin"/>
            </w:r>
            <w:r>
              <w:rPr>
                <w:noProof/>
                <w:webHidden/>
              </w:rPr>
              <w:instrText xml:space="preserve"> PAGEREF _Toc158284397 \h </w:instrText>
            </w:r>
            <w:r>
              <w:rPr>
                <w:noProof/>
                <w:webHidden/>
              </w:rPr>
            </w:r>
            <w:r>
              <w:rPr>
                <w:noProof/>
                <w:webHidden/>
              </w:rPr>
              <w:fldChar w:fldCharType="separate"/>
            </w:r>
            <w:r>
              <w:rPr>
                <w:noProof/>
                <w:webHidden/>
              </w:rPr>
              <w:t>14</w:t>
            </w:r>
            <w:r>
              <w:rPr>
                <w:noProof/>
                <w:webHidden/>
              </w:rPr>
              <w:fldChar w:fldCharType="end"/>
            </w:r>
          </w:hyperlink>
        </w:p>
        <w:p w14:paraId="25832C7A" w14:textId="3B8917EE"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398" w:history="1">
            <w:r w:rsidRPr="00854DB8">
              <w:rPr>
                <w:rStyle w:val="Hyperlink"/>
                <w:noProof/>
              </w:rPr>
              <w:t>Clinical</w:t>
            </w:r>
            <w:r>
              <w:rPr>
                <w:noProof/>
                <w:webHidden/>
              </w:rPr>
              <w:tab/>
            </w:r>
            <w:r>
              <w:rPr>
                <w:noProof/>
                <w:webHidden/>
              </w:rPr>
              <w:fldChar w:fldCharType="begin"/>
            </w:r>
            <w:r>
              <w:rPr>
                <w:noProof/>
                <w:webHidden/>
              </w:rPr>
              <w:instrText xml:space="preserve"> PAGEREF _Toc158284398 \h </w:instrText>
            </w:r>
            <w:r>
              <w:rPr>
                <w:noProof/>
                <w:webHidden/>
              </w:rPr>
            </w:r>
            <w:r>
              <w:rPr>
                <w:noProof/>
                <w:webHidden/>
              </w:rPr>
              <w:fldChar w:fldCharType="separate"/>
            </w:r>
            <w:r>
              <w:rPr>
                <w:noProof/>
                <w:webHidden/>
              </w:rPr>
              <w:t>15</w:t>
            </w:r>
            <w:r>
              <w:rPr>
                <w:noProof/>
                <w:webHidden/>
              </w:rPr>
              <w:fldChar w:fldCharType="end"/>
            </w:r>
          </w:hyperlink>
        </w:p>
        <w:p w14:paraId="344DFB3E" w14:textId="17AD5C52"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399" w:history="1">
            <w:r w:rsidRPr="00854DB8">
              <w:rPr>
                <w:rStyle w:val="Hyperlink"/>
                <w:noProof/>
              </w:rPr>
              <w:t>Summary of clinical studies</w:t>
            </w:r>
            <w:r>
              <w:rPr>
                <w:noProof/>
                <w:webHidden/>
              </w:rPr>
              <w:tab/>
            </w:r>
            <w:r>
              <w:rPr>
                <w:noProof/>
                <w:webHidden/>
              </w:rPr>
              <w:fldChar w:fldCharType="begin"/>
            </w:r>
            <w:r>
              <w:rPr>
                <w:noProof/>
                <w:webHidden/>
              </w:rPr>
              <w:instrText xml:space="preserve"> PAGEREF _Toc158284399 \h </w:instrText>
            </w:r>
            <w:r>
              <w:rPr>
                <w:noProof/>
                <w:webHidden/>
              </w:rPr>
            </w:r>
            <w:r>
              <w:rPr>
                <w:noProof/>
                <w:webHidden/>
              </w:rPr>
              <w:fldChar w:fldCharType="separate"/>
            </w:r>
            <w:r>
              <w:rPr>
                <w:noProof/>
                <w:webHidden/>
              </w:rPr>
              <w:t>15</w:t>
            </w:r>
            <w:r>
              <w:rPr>
                <w:noProof/>
                <w:webHidden/>
              </w:rPr>
              <w:fldChar w:fldCharType="end"/>
            </w:r>
          </w:hyperlink>
        </w:p>
        <w:p w14:paraId="2EAC58D5" w14:textId="4A04994E"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400" w:history="1">
            <w:r w:rsidRPr="00854DB8">
              <w:rPr>
                <w:rStyle w:val="Hyperlink"/>
                <w:noProof/>
              </w:rPr>
              <w:t>Pharmacology</w:t>
            </w:r>
            <w:r>
              <w:rPr>
                <w:noProof/>
                <w:webHidden/>
              </w:rPr>
              <w:tab/>
            </w:r>
            <w:r>
              <w:rPr>
                <w:noProof/>
                <w:webHidden/>
              </w:rPr>
              <w:fldChar w:fldCharType="begin"/>
            </w:r>
            <w:r>
              <w:rPr>
                <w:noProof/>
                <w:webHidden/>
              </w:rPr>
              <w:instrText xml:space="preserve"> PAGEREF _Toc158284400 \h </w:instrText>
            </w:r>
            <w:r>
              <w:rPr>
                <w:noProof/>
                <w:webHidden/>
              </w:rPr>
            </w:r>
            <w:r>
              <w:rPr>
                <w:noProof/>
                <w:webHidden/>
              </w:rPr>
              <w:fldChar w:fldCharType="separate"/>
            </w:r>
            <w:r>
              <w:rPr>
                <w:noProof/>
                <w:webHidden/>
              </w:rPr>
              <w:t>16</w:t>
            </w:r>
            <w:r>
              <w:rPr>
                <w:noProof/>
                <w:webHidden/>
              </w:rPr>
              <w:fldChar w:fldCharType="end"/>
            </w:r>
          </w:hyperlink>
        </w:p>
        <w:p w14:paraId="24D8BF05" w14:textId="0CB93CC0"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401" w:history="1">
            <w:r w:rsidRPr="00854DB8">
              <w:rPr>
                <w:rStyle w:val="Hyperlink"/>
                <w:noProof/>
              </w:rPr>
              <w:t>Efficacy by Indication</w:t>
            </w:r>
            <w:r>
              <w:rPr>
                <w:noProof/>
                <w:webHidden/>
              </w:rPr>
              <w:tab/>
            </w:r>
            <w:r>
              <w:rPr>
                <w:noProof/>
                <w:webHidden/>
              </w:rPr>
              <w:fldChar w:fldCharType="begin"/>
            </w:r>
            <w:r>
              <w:rPr>
                <w:noProof/>
                <w:webHidden/>
              </w:rPr>
              <w:instrText xml:space="preserve"> PAGEREF _Toc158284401 \h </w:instrText>
            </w:r>
            <w:r>
              <w:rPr>
                <w:noProof/>
                <w:webHidden/>
              </w:rPr>
            </w:r>
            <w:r>
              <w:rPr>
                <w:noProof/>
                <w:webHidden/>
              </w:rPr>
              <w:fldChar w:fldCharType="separate"/>
            </w:r>
            <w:r>
              <w:rPr>
                <w:noProof/>
                <w:webHidden/>
              </w:rPr>
              <w:t>18</w:t>
            </w:r>
            <w:r>
              <w:rPr>
                <w:noProof/>
                <w:webHidden/>
              </w:rPr>
              <w:fldChar w:fldCharType="end"/>
            </w:r>
          </w:hyperlink>
        </w:p>
        <w:p w14:paraId="2A24DBEA" w14:textId="26C51B1C"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402" w:history="1">
            <w:r w:rsidRPr="00854DB8">
              <w:rPr>
                <w:rStyle w:val="Hyperlink"/>
                <w:noProof/>
              </w:rPr>
              <w:t>Safety</w:t>
            </w:r>
            <w:r>
              <w:rPr>
                <w:noProof/>
                <w:webHidden/>
              </w:rPr>
              <w:tab/>
            </w:r>
            <w:r>
              <w:rPr>
                <w:noProof/>
                <w:webHidden/>
              </w:rPr>
              <w:fldChar w:fldCharType="begin"/>
            </w:r>
            <w:r>
              <w:rPr>
                <w:noProof/>
                <w:webHidden/>
              </w:rPr>
              <w:instrText xml:space="preserve"> PAGEREF _Toc158284402 \h </w:instrText>
            </w:r>
            <w:r>
              <w:rPr>
                <w:noProof/>
                <w:webHidden/>
              </w:rPr>
            </w:r>
            <w:r>
              <w:rPr>
                <w:noProof/>
                <w:webHidden/>
              </w:rPr>
              <w:fldChar w:fldCharType="separate"/>
            </w:r>
            <w:r>
              <w:rPr>
                <w:noProof/>
                <w:webHidden/>
              </w:rPr>
              <w:t>43</w:t>
            </w:r>
            <w:r>
              <w:rPr>
                <w:noProof/>
                <w:webHidden/>
              </w:rPr>
              <w:fldChar w:fldCharType="end"/>
            </w:r>
          </w:hyperlink>
        </w:p>
        <w:p w14:paraId="63156337" w14:textId="3387F4B1"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403" w:history="1">
            <w:r w:rsidRPr="00854DB8">
              <w:rPr>
                <w:rStyle w:val="Hyperlink"/>
                <w:noProof/>
                <w:lang w:eastAsia="en-AU"/>
              </w:rPr>
              <w:t>Risk management plan</w:t>
            </w:r>
            <w:r>
              <w:rPr>
                <w:noProof/>
                <w:webHidden/>
              </w:rPr>
              <w:tab/>
            </w:r>
            <w:r>
              <w:rPr>
                <w:noProof/>
                <w:webHidden/>
              </w:rPr>
              <w:fldChar w:fldCharType="begin"/>
            </w:r>
            <w:r>
              <w:rPr>
                <w:noProof/>
                <w:webHidden/>
              </w:rPr>
              <w:instrText xml:space="preserve"> PAGEREF _Toc158284403 \h </w:instrText>
            </w:r>
            <w:r>
              <w:rPr>
                <w:noProof/>
                <w:webHidden/>
              </w:rPr>
            </w:r>
            <w:r>
              <w:rPr>
                <w:noProof/>
                <w:webHidden/>
              </w:rPr>
              <w:fldChar w:fldCharType="separate"/>
            </w:r>
            <w:r>
              <w:rPr>
                <w:noProof/>
                <w:webHidden/>
              </w:rPr>
              <w:t>51</w:t>
            </w:r>
            <w:r>
              <w:rPr>
                <w:noProof/>
                <w:webHidden/>
              </w:rPr>
              <w:fldChar w:fldCharType="end"/>
            </w:r>
          </w:hyperlink>
        </w:p>
        <w:p w14:paraId="468C328F" w14:textId="5FF8ACDD"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404" w:history="1">
            <w:r w:rsidRPr="00854DB8">
              <w:rPr>
                <w:rStyle w:val="Hyperlink"/>
                <w:noProof/>
              </w:rPr>
              <w:t>Risk-benefit analysis</w:t>
            </w:r>
            <w:r>
              <w:rPr>
                <w:noProof/>
                <w:webHidden/>
              </w:rPr>
              <w:tab/>
            </w:r>
            <w:r>
              <w:rPr>
                <w:noProof/>
                <w:webHidden/>
              </w:rPr>
              <w:fldChar w:fldCharType="begin"/>
            </w:r>
            <w:r>
              <w:rPr>
                <w:noProof/>
                <w:webHidden/>
              </w:rPr>
              <w:instrText xml:space="preserve"> PAGEREF _Toc158284404 \h </w:instrText>
            </w:r>
            <w:r>
              <w:rPr>
                <w:noProof/>
                <w:webHidden/>
              </w:rPr>
            </w:r>
            <w:r>
              <w:rPr>
                <w:noProof/>
                <w:webHidden/>
              </w:rPr>
              <w:fldChar w:fldCharType="separate"/>
            </w:r>
            <w:r>
              <w:rPr>
                <w:noProof/>
                <w:webHidden/>
              </w:rPr>
              <w:t>52</w:t>
            </w:r>
            <w:r>
              <w:rPr>
                <w:noProof/>
                <w:webHidden/>
              </w:rPr>
              <w:fldChar w:fldCharType="end"/>
            </w:r>
          </w:hyperlink>
        </w:p>
        <w:p w14:paraId="0B7C8247" w14:textId="570A0C0B"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405" w:history="1">
            <w:r w:rsidRPr="00854DB8">
              <w:rPr>
                <w:rStyle w:val="Hyperlink"/>
                <w:noProof/>
              </w:rPr>
              <w:t>Delegate’s considerations</w:t>
            </w:r>
            <w:r>
              <w:rPr>
                <w:noProof/>
                <w:webHidden/>
              </w:rPr>
              <w:tab/>
            </w:r>
            <w:r>
              <w:rPr>
                <w:noProof/>
                <w:webHidden/>
              </w:rPr>
              <w:fldChar w:fldCharType="begin"/>
            </w:r>
            <w:r>
              <w:rPr>
                <w:noProof/>
                <w:webHidden/>
              </w:rPr>
              <w:instrText xml:space="preserve"> PAGEREF _Toc158284405 \h </w:instrText>
            </w:r>
            <w:r>
              <w:rPr>
                <w:noProof/>
                <w:webHidden/>
              </w:rPr>
            </w:r>
            <w:r>
              <w:rPr>
                <w:noProof/>
                <w:webHidden/>
              </w:rPr>
              <w:fldChar w:fldCharType="separate"/>
            </w:r>
            <w:r>
              <w:rPr>
                <w:noProof/>
                <w:webHidden/>
              </w:rPr>
              <w:t>52</w:t>
            </w:r>
            <w:r>
              <w:rPr>
                <w:noProof/>
                <w:webHidden/>
              </w:rPr>
              <w:fldChar w:fldCharType="end"/>
            </w:r>
          </w:hyperlink>
        </w:p>
        <w:p w14:paraId="429E879A" w14:textId="5F234B17"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406" w:history="1">
            <w:r w:rsidRPr="00854DB8">
              <w:rPr>
                <w:rStyle w:val="Hyperlink"/>
                <w:noProof/>
              </w:rPr>
              <w:t>Proposed action</w:t>
            </w:r>
            <w:r>
              <w:rPr>
                <w:noProof/>
                <w:webHidden/>
              </w:rPr>
              <w:tab/>
            </w:r>
            <w:r>
              <w:rPr>
                <w:noProof/>
                <w:webHidden/>
              </w:rPr>
              <w:fldChar w:fldCharType="begin"/>
            </w:r>
            <w:r>
              <w:rPr>
                <w:noProof/>
                <w:webHidden/>
              </w:rPr>
              <w:instrText xml:space="preserve"> PAGEREF _Toc158284406 \h </w:instrText>
            </w:r>
            <w:r>
              <w:rPr>
                <w:noProof/>
                <w:webHidden/>
              </w:rPr>
            </w:r>
            <w:r>
              <w:rPr>
                <w:noProof/>
                <w:webHidden/>
              </w:rPr>
              <w:fldChar w:fldCharType="separate"/>
            </w:r>
            <w:r>
              <w:rPr>
                <w:noProof/>
                <w:webHidden/>
              </w:rPr>
              <w:t>56</w:t>
            </w:r>
            <w:r>
              <w:rPr>
                <w:noProof/>
                <w:webHidden/>
              </w:rPr>
              <w:fldChar w:fldCharType="end"/>
            </w:r>
          </w:hyperlink>
        </w:p>
        <w:p w14:paraId="56C5066C" w14:textId="538D9607"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407" w:history="1">
            <w:r w:rsidRPr="00854DB8">
              <w:rPr>
                <w:rStyle w:val="Hyperlink"/>
                <w:noProof/>
              </w:rPr>
              <w:t>Independent expert advice</w:t>
            </w:r>
            <w:r>
              <w:rPr>
                <w:noProof/>
                <w:webHidden/>
              </w:rPr>
              <w:tab/>
            </w:r>
            <w:r>
              <w:rPr>
                <w:noProof/>
                <w:webHidden/>
              </w:rPr>
              <w:fldChar w:fldCharType="begin"/>
            </w:r>
            <w:r>
              <w:rPr>
                <w:noProof/>
                <w:webHidden/>
              </w:rPr>
              <w:instrText xml:space="preserve"> PAGEREF _Toc158284407 \h </w:instrText>
            </w:r>
            <w:r>
              <w:rPr>
                <w:noProof/>
                <w:webHidden/>
              </w:rPr>
            </w:r>
            <w:r>
              <w:rPr>
                <w:noProof/>
                <w:webHidden/>
              </w:rPr>
              <w:fldChar w:fldCharType="separate"/>
            </w:r>
            <w:r>
              <w:rPr>
                <w:noProof/>
                <w:webHidden/>
              </w:rPr>
              <w:t>56</w:t>
            </w:r>
            <w:r>
              <w:rPr>
                <w:noProof/>
                <w:webHidden/>
              </w:rPr>
              <w:fldChar w:fldCharType="end"/>
            </w:r>
          </w:hyperlink>
        </w:p>
        <w:p w14:paraId="5F943127" w14:textId="62DDFB3C" w:rsidR="008A4248" w:rsidRDefault="008A4248">
          <w:pPr>
            <w:pStyle w:val="TOC3"/>
            <w:rPr>
              <w:rFonts w:asciiTheme="minorHAnsi" w:eastAsiaTheme="minorEastAsia" w:hAnsiTheme="minorHAnsi" w:cstheme="minorBidi"/>
              <w:b w:val="0"/>
              <w:noProof/>
              <w:color w:val="auto"/>
              <w:kern w:val="2"/>
              <w:szCs w:val="22"/>
              <w:lang w:eastAsia="en-AU"/>
              <w14:ligatures w14:val="standardContextual"/>
            </w:rPr>
          </w:pPr>
          <w:hyperlink w:anchor="_Toc158284408" w:history="1">
            <w:r w:rsidRPr="00854DB8">
              <w:rPr>
                <w:rStyle w:val="Hyperlink"/>
                <w:noProof/>
              </w:rPr>
              <w:t>Advisory Committee considerations</w:t>
            </w:r>
            <w:r>
              <w:rPr>
                <w:noProof/>
                <w:webHidden/>
              </w:rPr>
              <w:tab/>
            </w:r>
            <w:r>
              <w:rPr>
                <w:noProof/>
                <w:webHidden/>
              </w:rPr>
              <w:fldChar w:fldCharType="begin"/>
            </w:r>
            <w:r>
              <w:rPr>
                <w:noProof/>
                <w:webHidden/>
              </w:rPr>
              <w:instrText xml:space="preserve"> PAGEREF _Toc158284408 \h </w:instrText>
            </w:r>
            <w:r>
              <w:rPr>
                <w:noProof/>
                <w:webHidden/>
              </w:rPr>
            </w:r>
            <w:r>
              <w:rPr>
                <w:noProof/>
                <w:webHidden/>
              </w:rPr>
              <w:fldChar w:fldCharType="separate"/>
            </w:r>
            <w:r>
              <w:rPr>
                <w:noProof/>
                <w:webHidden/>
              </w:rPr>
              <w:t>58</w:t>
            </w:r>
            <w:r>
              <w:rPr>
                <w:noProof/>
                <w:webHidden/>
              </w:rPr>
              <w:fldChar w:fldCharType="end"/>
            </w:r>
          </w:hyperlink>
        </w:p>
        <w:p w14:paraId="532E8FCA" w14:textId="7EC3BDEC" w:rsidR="008A4248" w:rsidRDefault="008A424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84409" w:history="1">
            <w:r w:rsidRPr="00854DB8">
              <w:rPr>
                <w:rStyle w:val="Hyperlink"/>
                <w:noProof/>
              </w:rPr>
              <w:t>Outcome</w:t>
            </w:r>
            <w:r>
              <w:rPr>
                <w:noProof/>
                <w:webHidden/>
              </w:rPr>
              <w:tab/>
            </w:r>
            <w:r>
              <w:rPr>
                <w:noProof/>
                <w:webHidden/>
              </w:rPr>
              <w:fldChar w:fldCharType="begin"/>
            </w:r>
            <w:r>
              <w:rPr>
                <w:noProof/>
                <w:webHidden/>
              </w:rPr>
              <w:instrText xml:space="preserve"> PAGEREF _Toc158284409 \h </w:instrText>
            </w:r>
            <w:r>
              <w:rPr>
                <w:noProof/>
                <w:webHidden/>
              </w:rPr>
            </w:r>
            <w:r>
              <w:rPr>
                <w:noProof/>
                <w:webHidden/>
              </w:rPr>
              <w:fldChar w:fldCharType="separate"/>
            </w:r>
            <w:r>
              <w:rPr>
                <w:noProof/>
                <w:webHidden/>
              </w:rPr>
              <w:t>58</w:t>
            </w:r>
            <w:r>
              <w:rPr>
                <w:noProof/>
                <w:webHidden/>
              </w:rPr>
              <w:fldChar w:fldCharType="end"/>
            </w:r>
          </w:hyperlink>
        </w:p>
        <w:p w14:paraId="3C4F246E" w14:textId="3F28AFC6" w:rsidR="008A4248" w:rsidRDefault="008A4248">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84410" w:history="1">
            <w:r w:rsidRPr="00854DB8">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_Toc158284410 \h </w:instrText>
            </w:r>
            <w:r>
              <w:rPr>
                <w:noProof/>
                <w:webHidden/>
              </w:rPr>
            </w:r>
            <w:r>
              <w:rPr>
                <w:noProof/>
                <w:webHidden/>
              </w:rPr>
              <w:fldChar w:fldCharType="separate"/>
            </w:r>
            <w:r>
              <w:rPr>
                <w:noProof/>
                <w:webHidden/>
              </w:rPr>
              <w:t>58</w:t>
            </w:r>
            <w:r>
              <w:rPr>
                <w:noProof/>
                <w:webHidden/>
              </w:rPr>
              <w:fldChar w:fldCharType="end"/>
            </w:r>
          </w:hyperlink>
        </w:p>
        <w:p w14:paraId="433566F4" w14:textId="18C67E7E" w:rsidR="008A4248" w:rsidRDefault="008A4248">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84411" w:history="1">
            <w:r w:rsidRPr="00854DB8">
              <w:rPr>
                <w:rStyle w:val="Hyperlink"/>
                <w:noProof/>
              </w:rPr>
              <w:t>Attachment 1. Product Information</w:t>
            </w:r>
            <w:r>
              <w:rPr>
                <w:noProof/>
                <w:webHidden/>
              </w:rPr>
              <w:tab/>
            </w:r>
            <w:r>
              <w:rPr>
                <w:noProof/>
                <w:webHidden/>
              </w:rPr>
              <w:fldChar w:fldCharType="begin"/>
            </w:r>
            <w:r>
              <w:rPr>
                <w:noProof/>
                <w:webHidden/>
              </w:rPr>
              <w:instrText xml:space="preserve"> PAGEREF _Toc158284411 \h </w:instrText>
            </w:r>
            <w:r>
              <w:rPr>
                <w:noProof/>
                <w:webHidden/>
              </w:rPr>
            </w:r>
            <w:r>
              <w:rPr>
                <w:noProof/>
                <w:webHidden/>
              </w:rPr>
              <w:fldChar w:fldCharType="separate"/>
            </w:r>
            <w:r>
              <w:rPr>
                <w:noProof/>
                <w:webHidden/>
              </w:rPr>
              <w:t>59</w:t>
            </w:r>
            <w:r>
              <w:rPr>
                <w:noProof/>
                <w:webHidden/>
              </w:rPr>
              <w:fldChar w:fldCharType="end"/>
            </w:r>
          </w:hyperlink>
        </w:p>
        <w:p w14:paraId="77659F2D" w14:textId="72BB740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26F491FF" w:rsidR="00324B33" w:rsidRPr="00006B55" w:rsidRDefault="00324B33" w:rsidP="00006B55">
      <w:pPr>
        <w:pStyle w:val="Heading2"/>
      </w:pPr>
      <w:bookmarkStart w:id="0" w:name="_Toc98931917"/>
      <w:bookmarkStart w:id="1" w:name="_Toc103679287"/>
      <w:bookmarkStart w:id="2" w:name="_Toc323739589"/>
      <w:bookmarkStart w:id="3" w:name="_Toc356305216"/>
      <w:bookmarkStart w:id="4" w:name="_Toc158284385"/>
      <w:r>
        <w:lastRenderedPageBreak/>
        <w:t>List of abbreviations</w:t>
      </w:r>
      <w:bookmarkEnd w:id="0"/>
      <w:bookmarkEnd w:id="1"/>
      <w:bookmarkEnd w:id="4"/>
    </w:p>
    <w:tbl>
      <w:tblPr>
        <w:tblStyle w:val="TableTGAblue2023"/>
        <w:tblW w:w="9430" w:type="dxa"/>
        <w:tblLook w:val="04A0" w:firstRow="1" w:lastRow="0" w:firstColumn="1" w:lastColumn="0" w:noHBand="0" w:noVBand="1"/>
      </w:tblPr>
      <w:tblGrid>
        <w:gridCol w:w="2263"/>
        <w:gridCol w:w="7167"/>
      </w:tblGrid>
      <w:tr w:rsidR="00305CA5" w:rsidRPr="003D71A1" w14:paraId="599B90B3" w14:textId="77777777" w:rsidTr="008E600F">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7BBE28CD" w14:textId="77777777" w:rsidR="00305CA5" w:rsidRPr="007C71D5" w:rsidRDefault="00305CA5" w:rsidP="008E600F">
            <w:pPr>
              <w:rPr>
                <w:szCs w:val="22"/>
              </w:rPr>
            </w:pPr>
            <w:bookmarkStart w:id="5" w:name="_Hlk133418605"/>
            <w:r w:rsidRPr="007C71D5">
              <w:rPr>
                <w:szCs w:val="22"/>
              </w:rPr>
              <w:t>Abbreviation</w:t>
            </w:r>
          </w:p>
        </w:tc>
        <w:tc>
          <w:tcPr>
            <w:tcW w:w="7167" w:type="dxa"/>
          </w:tcPr>
          <w:p w14:paraId="4930362F" w14:textId="77777777" w:rsidR="00305CA5" w:rsidRPr="007C71D5" w:rsidRDefault="00305CA5" w:rsidP="008E600F">
            <w:pPr>
              <w:cnfStyle w:val="100000000000" w:firstRow="1" w:lastRow="0" w:firstColumn="0" w:lastColumn="0" w:oddVBand="0" w:evenVBand="0" w:oddHBand="0" w:evenHBand="0" w:firstRowFirstColumn="0" w:firstRowLastColumn="0" w:lastRowFirstColumn="0" w:lastRowLastColumn="0"/>
              <w:rPr>
                <w:szCs w:val="22"/>
              </w:rPr>
            </w:pPr>
            <w:r w:rsidRPr="007C71D5">
              <w:rPr>
                <w:szCs w:val="22"/>
              </w:rPr>
              <w:t>Meaning</w:t>
            </w:r>
          </w:p>
        </w:tc>
      </w:tr>
      <w:tr w:rsidR="00305CA5" w:rsidRPr="002B2C82" w14:paraId="52353F7B"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00B04E2" w14:textId="77777777" w:rsidR="00305CA5" w:rsidRPr="002B2C82" w:rsidRDefault="00305CA5" w:rsidP="008E600F">
            <w:pPr>
              <w:rPr>
                <w:rFonts w:cstheme="minorHAnsi"/>
                <w:szCs w:val="22"/>
              </w:rPr>
            </w:pPr>
            <w:r w:rsidRPr="002B2C82">
              <w:rPr>
                <w:rFonts w:cstheme="minorHAnsi"/>
                <w:szCs w:val="22"/>
              </w:rPr>
              <w:t>AESI</w:t>
            </w:r>
          </w:p>
        </w:tc>
        <w:tc>
          <w:tcPr>
            <w:tcW w:w="7167" w:type="dxa"/>
          </w:tcPr>
          <w:p w14:paraId="01C7347D"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B2C82">
              <w:rPr>
                <w:rFonts w:cstheme="minorHAnsi"/>
                <w:szCs w:val="22"/>
              </w:rPr>
              <w:t>Adverse events of special interest</w:t>
            </w:r>
          </w:p>
        </w:tc>
      </w:tr>
      <w:tr w:rsidR="00305CA5" w:rsidRPr="002B2C82" w14:paraId="3C4F85D1"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FD121A2" w14:textId="77777777" w:rsidR="00305CA5" w:rsidRPr="002B2C82" w:rsidRDefault="00305CA5" w:rsidP="008E600F">
            <w:pPr>
              <w:rPr>
                <w:rFonts w:cstheme="minorHAnsi"/>
                <w:szCs w:val="24"/>
              </w:rPr>
            </w:pPr>
            <w:r w:rsidRPr="002B2C82">
              <w:rPr>
                <w:rFonts w:cstheme="minorHAnsi"/>
                <w:szCs w:val="24"/>
              </w:rPr>
              <w:t>ASA</w:t>
            </w:r>
          </w:p>
        </w:tc>
        <w:tc>
          <w:tcPr>
            <w:tcW w:w="7167" w:type="dxa"/>
          </w:tcPr>
          <w:p w14:paraId="75042D6C"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Australia specific annex</w:t>
            </w:r>
          </w:p>
        </w:tc>
      </w:tr>
      <w:tr w:rsidR="00305CA5" w:rsidRPr="002B2C82" w14:paraId="67336EB0"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1CD66E3" w14:textId="77777777" w:rsidR="00305CA5" w:rsidRPr="002B2C82" w:rsidRDefault="00305CA5" w:rsidP="008E600F">
            <w:pPr>
              <w:rPr>
                <w:rFonts w:cstheme="minorHAnsi"/>
                <w:szCs w:val="24"/>
              </w:rPr>
            </w:pPr>
            <w:r w:rsidRPr="002B2C82">
              <w:rPr>
                <w:rFonts w:cstheme="minorHAnsi"/>
                <w:szCs w:val="24"/>
              </w:rPr>
              <w:t>AUC</w:t>
            </w:r>
          </w:p>
        </w:tc>
        <w:tc>
          <w:tcPr>
            <w:tcW w:w="7167" w:type="dxa"/>
          </w:tcPr>
          <w:p w14:paraId="4FF0E2A3"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Area under the concentration time curve</w:t>
            </w:r>
          </w:p>
        </w:tc>
      </w:tr>
      <w:tr w:rsidR="00305CA5" w:rsidRPr="002B2C82" w14:paraId="7CCC15C6"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B2A5039" w14:textId="77777777" w:rsidR="00305CA5" w:rsidRPr="002B2C82" w:rsidRDefault="00305CA5" w:rsidP="008E600F">
            <w:pPr>
              <w:rPr>
                <w:rFonts w:cstheme="minorHAnsi"/>
                <w:szCs w:val="24"/>
              </w:rPr>
            </w:pPr>
            <w:r w:rsidRPr="002B2C82">
              <w:rPr>
                <w:rFonts w:cstheme="minorHAnsi"/>
                <w:szCs w:val="24"/>
              </w:rPr>
              <w:t>AUC</w:t>
            </w:r>
            <w:r w:rsidRPr="002B2C82">
              <w:rPr>
                <w:rFonts w:cstheme="minorHAnsi"/>
                <w:szCs w:val="24"/>
                <w:vertAlign w:val="subscript"/>
              </w:rPr>
              <w:t>0-inf</w:t>
            </w:r>
          </w:p>
        </w:tc>
        <w:tc>
          <w:tcPr>
            <w:tcW w:w="7167" w:type="dxa"/>
          </w:tcPr>
          <w:p w14:paraId="61545EF7"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Area under the concentration time curve from time zero to infinity</w:t>
            </w:r>
          </w:p>
        </w:tc>
      </w:tr>
      <w:tr w:rsidR="00305CA5" w:rsidRPr="002B2C82" w14:paraId="13BC5E99"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6C4A49" w14:textId="77777777" w:rsidR="00305CA5" w:rsidRPr="002B2C82" w:rsidRDefault="00305CA5" w:rsidP="008E600F">
            <w:pPr>
              <w:rPr>
                <w:rFonts w:cstheme="minorHAnsi"/>
              </w:rPr>
            </w:pPr>
            <w:r w:rsidRPr="002B2C82">
              <w:rPr>
                <w:rFonts w:cstheme="minorHAnsi"/>
                <w:szCs w:val="24"/>
              </w:rPr>
              <w:t>AUEC</w:t>
            </w:r>
            <w:r w:rsidRPr="002B2C82">
              <w:rPr>
                <w:rFonts w:cstheme="minorHAnsi"/>
                <w:szCs w:val="24"/>
                <w:vertAlign w:val="subscript"/>
              </w:rPr>
              <w:t>0-28d</w:t>
            </w:r>
          </w:p>
        </w:tc>
        <w:tc>
          <w:tcPr>
            <w:tcW w:w="7167" w:type="dxa"/>
          </w:tcPr>
          <w:p w14:paraId="216AA804"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rPr>
            </w:pPr>
            <w:r w:rsidRPr="002B2C82">
              <w:rPr>
                <w:szCs w:val="24"/>
              </w:rPr>
              <w:t>Area under the effect curve for platelet count from time 0 to Day 28</w:t>
            </w:r>
          </w:p>
        </w:tc>
      </w:tr>
      <w:tr w:rsidR="00305CA5" w:rsidRPr="002B2C82" w14:paraId="2CD33E68"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85CF73" w14:textId="77777777" w:rsidR="00305CA5" w:rsidRPr="002B2C82" w:rsidRDefault="00305CA5" w:rsidP="008E600F">
            <w:pPr>
              <w:rPr>
                <w:rFonts w:cstheme="minorHAnsi"/>
                <w:szCs w:val="24"/>
              </w:rPr>
            </w:pPr>
            <w:r w:rsidRPr="002B2C82">
              <w:rPr>
                <w:rFonts w:cstheme="minorHAnsi"/>
                <w:szCs w:val="24"/>
              </w:rPr>
              <w:t>CLD</w:t>
            </w:r>
          </w:p>
        </w:tc>
        <w:tc>
          <w:tcPr>
            <w:tcW w:w="7167" w:type="dxa"/>
          </w:tcPr>
          <w:p w14:paraId="74744DA2"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Chronic liver disease</w:t>
            </w:r>
          </w:p>
        </w:tc>
      </w:tr>
      <w:tr w:rsidR="00305CA5" w:rsidRPr="002B2C82" w14:paraId="5999F14D"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F0DEDAE" w14:textId="77777777" w:rsidR="00305CA5" w:rsidRPr="002B2C82" w:rsidRDefault="00305CA5" w:rsidP="008E600F">
            <w:pPr>
              <w:rPr>
                <w:rFonts w:cstheme="minorHAnsi"/>
                <w:szCs w:val="32"/>
              </w:rPr>
            </w:pPr>
            <w:r w:rsidRPr="002B2C82">
              <w:rPr>
                <w:rFonts w:cstheme="minorHAnsi"/>
                <w:szCs w:val="32"/>
              </w:rPr>
              <w:t>CL/F</w:t>
            </w:r>
          </w:p>
        </w:tc>
        <w:tc>
          <w:tcPr>
            <w:tcW w:w="7167" w:type="dxa"/>
          </w:tcPr>
          <w:p w14:paraId="1463F425"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B2C82">
              <w:rPr>
                <w:rFonts w:cstheme="minorHAnsi"/>
                <w:szCs w:val="32"/>
              </w:rPr>
              <w:t>Apparent clearance</w:t>
            </w:r>
          </w:p>
        </w:tc>
      </w:tr>
      <w:tr w:rsidR="00305CA5" w:rsidRPr="002B2C82" w14:paraId="5463691F"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1CB0A37" w14:textId="77777777" w:rsidR="00305CA5" w:rsidRPr="002B2C82" w:rsidRDefault="00305CA5" w:rsidP="008E600F">
            <w:pPr>
              <w:rPr>
                <w:rFonts w:cstheme="minorHAnsi"/>
                <w:szCs w:val="24"/>
              </w:rPr>
            </w:pPr>
            <w:proofErr w:type="spellStart"/>
            <w:r w:rsidRPr="002B2C82">
              <w:rPr>
                <w:rFonts w:cstheme="minorHAnsi"/>
                <w:szCs w:val="24"/>
              </w:rPr>
              <w:t>C</w:t>
            </w:r>
            <w:r w:rsidRPr="002B2C82">
              <w:rPr>
                <w:rFonts w:cstheme="minorHAnsi"/>
                <w:szCs w:val="24"/>
                <w:vertAlign w:val="subscript"/>
              </w:rPr>
              <w:t>max</w:t>
            </w:r>
            <w:proofErr w:type="spellEnd"/>
          </w:p>
        </w:tc>
        <w:tc>
          <w:tcPr>
            <w:tcW w:w="7167" w:type="dxa"/>
          </w:tcPr>
          <w:p w14:paraId="6553A164"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Maximum concentration</w:t>
            </w:r>
          </w:p>
        </w:tc>
      </w:tr>
      <w:tr w:rsidR="00305CA5" w:rsidRPr="002B2C82" w14:paraId="2A513B49"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4C4BB68" w14:textId="77777777" w:rsidR="00305CA5" w:rsidRPr="002B2C82" w:rsidRDefault="00305CA5" w:rsidP="008E600F">
            <w:pPr>
              <w:rPr>
                <w:rFonts w:cstheme="minorHAnsi"/>
                <w:color w:val="auto"/>
                <w:szCs w:val="22"/>
              </w:rPr>
            </w:pPr>
            <w:r w:rsidRPr="002B2C82">
              <w:rPr>
                <w:rFonts w:cstheme="minorHAnsi"/>
                <w:color w:val="auto"/>
                <w:szCs w:val="22"/>
              </w:rPr>
              <w:t>CMI</w:t>
            </w:r>
          </w:p>
        </w:tc>
        <w:tc>
          <w:tcPr>
            <w:tcW w:w="7167" w:type="dxa"/>
          </w:tcPr>
          <w:p w14:paraId="0A5642E7"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B2C82">
              <w:rPr>
                <w:rFonts w:cstheme="minorHAnsi"/>
                <w:color w:val="auto"/>
                <w:szCs w:val="22"/>
              </w:rPr>
              <w:t>Consumer Medicines Information</w:t>
            </w:r>
          </w:p>
        </w:tc>
      </w:tr>
      <w:tr w:rsidR="00305CA5" w:rsidRPr="002B2C82" w14:paraId="47D240FA"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95C2F2C" w14:textId="77777777" w:rsidR="00305CA5" w:rsidRPr="002B2C82" w:rsidRDefault="00305CA5" w:rsidP="008E600F">
            <w:pPr>
              <w:rPr>
                <w:rFonts w:cstheme="minorHAnsi"/>
                <w:color w:val="auto"/>
                <w:szCs w:val="24"/>
              </w:rPr>
            </w:pPr>
            <w:r w:rsidRPr="002B2C82">
              <w:rPr>
                <w:rFonts w:cstheme="minorHAnsi"/>
                <w:color w:val="auto"/>
                <w:szCs w:val="24"/>
              </w:rPr>
              <w:t>DLP</w:t>
            </w:r>
          </w:p>
        </w:tc>
        <w:tc>
          <w:tcPr>
            <w:tcW w:w="7167" w:type="dxa"/>
          </w:tcPr>
          <w:p w14:paraId="308A61AF"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2B2C82">
              <w:rPr>
                <w:rFonts w:cstheme="minorHAnsi"/>
                <w:color w:val="auto"/>
                <w:szCs w:val="24"/>
              </w:rPr>
              <w:t>Data lock point</w:t>
            </w:r>
          </w:p>
        </w:tc>
      </w:tr>
      <w:tr w:rsidR="00305CA5" w:rsidRPr="002B2C82" w14:paraId="241113E7"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139ED2" w14:textId="77777777" w:rsidR="00305CA5" w:rsidRPr="002B2C82" w:rsidRDefault="00305CA5" w:rsidP="008E600F">
            <w:pPr>
              <w:rPr>
                <w:rFonts w:cstheme="minorHAnsi"/>
                <w:szCs w:val="24"/>
              </w:rPr>
            </w:pPr>
            <w:r w:rsidRPr="002B2C82">
              <w:rPr>
                <w:rFonts w:cstheme="minorHAnsi"/>
                <w:szCs w:val="24"/>
              </w:rPr>
              <w:t>E</w:t>
            </w:r>
            <w:r w:rsidRPr="002B2C82">
              <w:rPr>
                <w:rFonts w:cstheme="minorHAnsi"/>
                <w:szCs w:val="24"/>
                <w:vertAlign w:val="subscript"/>
              </w:rPr>
              <w:t>max</w:t>
            </w:r>
          </w:p>
        </w:tc>
        <w:tc>
          <w:tcPr>
            <w:tcW w:w="7167" w:type="dxa"/>
          </w:tcPr>
          <w:p w14:paraId="53C0BC9F" w14:textId="77777777" w:rsidR="00305CA5" w:rsidRPr="002B2C82" w:rsidRDefault="00305CA5" w:rsidP="008E600F">
            <w:pPr>
              <w:tabs>
                <w:tab w:val="left" w:pos="4270"/>
              </w:tabs>
              <w:cnfStyle w:val="000000000000" w:firstRow="0" w:lastRow="0" w:firstColumn="0" w:lastColumn="0" w:oddVBand="0" w:evenVBand="0" w:oddHBand="0" w:evenHBand="0" w:firstRowFirstColumn="0" w:firstRowLastColumn="0" w:lastRowFirstColumn="0" w:lastRowLastColumn="0"/>
              <w:rPr>
                <w:szCs w:val="24"/>
              </w:rPr>
            </w:pPr>
            <w:r w:rsidRPr="002B2C82">
              <w:rPr>
                <w:szCs w:val="24"/>
              </w:rPr>
              <w:t>Maximum platelet counts after dosing</w:t>
            </w:r>
            <w:r w:rsidRPr="002B2C82">
              <w:rPr>
                <w:szCs w:val="24"/>
              </w:rPr>
              <w:tab/>
            </w:r>
          </w:p>
        </w:tc>
      </w:tr>
      <w:tr w:rsidR="00305CA5" w:rsidRPr="002B2C82" w14:paraId="451262C7"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E354D39" w14:textId="77777777" w:rsidR="00305CA5" w:rsidRPr="002B2C82" w:rsidRDefault="00305CA5" w:rsidP="008E600F">
            <w:pPr>
              <w:rPr>
                <w:rFonts w:cstheme="minorHAnsi"/>
                <w:color w:val="auto"/>
                <w:szCs w:val="22"/>
              </w:rPr>
            </w:pPr>
            <w:r w:rsidRPr="002B2C82">
              <w:rPr>
                <w:rFonts w:cstheme="minorHAnsi"/>
                <w:color w:val="auto"/>
                <w:szCs w:val="22"/>
              </w:rPr>
              <w:t>EU</w:t>
            </w:r>
          </w:p>
        </w:tc>
        <w:tc>
          <w:tcPr>
            <w:tcW w:w="7167" w:type="dxa"/>
          </w:tcPr>
          <w:p w14:paraId="1DE0686A"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B2C82">
              <w:rPr>
                <w:rFonts w:cstheme="minorHAnsi"/>
                <w:color w:val="auto"/>
                <w:szCs w:val="22"/>
              </w:rPr>
              <w:t>European Union</w:t>
            </w:r>
          </w:p>
        </w:tc>
      </w:tr>
      <w:tr w:rsidR="00305CA5" w:rsidRPr="002B2C82" w14:paraId="22BDFE93"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6455F0" w14:textId="77777777" w:rsidR="00305CA5" w:rsidRPr="002B2C82" w:rsidRDefault="00305CA5" w:rsidP="008E600F">
            <w:pPr>
              <w:rPr>
                <w:rFonts w:cstheme="minorHAnsi"/>
                <w:szCs w:val="24"/>
              </w:rPr>
            </w:pPr>
            <w:r w:rsidRPr="002B2C82">
              <w:rPr>
                <w:rFonts w:cstheme="minorHAnsi"/>
                <w:szCs w:val="24"/>
              </w:rPr>
              <w:t>ITP</w:t>
            </w:r>
          </w:p>
        </w:tc>
        <w:tc>
          <w:tcPr>
            <w:tcW w:w="7167" w:type="dxa"/>
          </w:tcPr>
          <w:p w14:paraId="3D41DCBC"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szCs w:val="24"/>
              </w:rPr>
            </w:pPr>
            <w:r w:rsidRPr="002B2C82">
              <w:rPr>
                <w:szCs w:val="24"/>
              </w:rPr>
              <w:t>Immune thrombocytopenia</w:t>
            </w:r>
          </w:p>
        </w:tc>
      </w:tr>
      <w:tr w:rsidR="00305CA5" w:rsidRPr="002B2C82" w14:paraId="43635005"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DC24EB" w14:textId="77777777" w:rsidR="00305CA5" w:rsidRPr="002B2C82" w:rsidRDefault="00305CA5" w:rsidP="008E600F">
            <w:pPr>
              <w:rPr>
                <w:rFonts w:cstheme="minorHAnsi"/>
                <w:szCs w:val="32"/>
              </w:rPr>
            </w:pPr>
            <w:r w:rsidRPr="002B2C82">
              <w:rPr>
                <w:rFonts w:cstheme="minorHAnsi"/>
                <w:szCs w:val="32"/>
              </w:rPr>
              <w:t>LLN</w:t>
            </w:r>
          </w:p>
        </w:tc>
        <w:tc>
          <w:tcPr>
            <w:tcW w:w="7167" w:type="dxa"/>
          </w:tcPr>
          <w:p w14:paraId="31812B35"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szCs w:val="32"/>
              </w:rPr>
            </w:pPr>
            <w:r w:rsidRPr="002B2C82">
              <w:rPr>
                <w:szCs w:val="32"/>
              </w:rPr>
              <w:t>Lower limit of normal</w:t>
            </w:r>
          </w:p>
        </w:tc>
      </w:tr>
      <w:tr w:rsidR="00305CA5" w:rsidRPr="002B2C82" w14:paraId="680C0781"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4019965" w14:textId="77777777" w:rsidR="00305CA5" w:rsidRPr="002B2C82" w:rsidRDefault="00305CA5" w:rsidP="008E600F">
            <w:pPr>
              <w:rPr>
                <w:rFonts w:cstheme="minorHAnsi"/>
                <w:szCs w:val="24"/>
              </w:rPr>
            </w:pPr>
            <w:r w:rsidRPr="002B2C82">
              <w:rPr>
                <w:rFonts w:cstheme="minorHAnsi"/>
                <w:szCs w:val="24"/>
              </w:rPr>
              <w:t>MELD</w:t>
            </w:r>
          </w:p>
        </w:tc>
        <w:tc>
          <w:tcPr>
            <w:tcW w:w="7167" w:type="dxa"/>
          </w:tcPr>
          <w:p w14:paraId="5C669FC4"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szCs w:val="24"/>
              </w:rPr>
            </w:pPr>
            <w:r w:rsidRPr="002B2C82">
              <w:rPr>
                <w:szCs w:val="24"/>
              </w:rPr>
              <w:t>Model for End-Stage Liver Disease</w:t>
            </w:r>
          </w:p>
        </w:tc>
      </w:tr>
      <w:tr w:rsidR="00305CA5" w:rsidRPr="002B2C82" w14:paraId="74FEAED6"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088CFE2" w14:textId="77777777" w:rsidR="00305CA5" w:rsidRPr="002B2C82" w:rsidRDefault="00305CA5" w:rsidP="008E600F">
            <w:pPr>
              <w:rPr>
                <w:rFonts w:cstheme="minorHAnsi"/>
                <w:color w:val="auto"/>
                <w:szCs w:val="22"/>
              </w:rPr>
            </w:pPr>
            <w:r w:rsidRPr="002B2C82">
              <w:rPr>
                <w:rFonts w:cstheme="minorHAnsi"/>
                <w:color w:val="auto"/>
                <w:szCs w:val="22"/>
              </w:rPr>
              <w:t>PI</w:t>
            </w:r>
          </w:p>
        </w:tc>
        <w:tc>
          <w:tcPr>
            <w:tcW w:w="7167" w:type="dxa"/>
          </w:tcPr>
          <w:p w14:paraId="0B9BD9C9"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B2C82">
              <w:rPr>
                <w:rFonts w:cstheme="minorHAnsi"/>
                <w:color w:val="auto"/>
                <w:szCs w:val="22"/>
              </w:rPr>
              <w:t>Product Information</w:t>
            </w:r>
          </w:p>
        </w:tc>
      </w:tr>
      <w:tr w:rsidR="00305CA5" w:rsidRPr="002B2C82" w14:paraId="56E56CF3"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9863822" w14:textId="77777777" w:rsidR="00305CA5" w:rsidRPr="002B2C82" w:rsidRDefault="00305CA5" w:rsidP="008E600F">
            <w:pPr>
              <w:rPr>
                <w:rFonts w:cstheme="minorHAnsi"/>
                <w:szCs w:val="24"/>
              </w:rPr>
            </w:pPr>
            <w:proofErr w:type="spellStart"/>
            <w:r w:rsidRPr="002B2C82">
              <w:rPr>
                <w:rFonts w:cstheme="minorHAnsi"/>
                <w:szCs w:val="24"/>
              </w:rPr>
              <w:t>PopPK</w:t>
            </w:r>
            <w:proofErr w:type="spellEnd"/>
          </w:p>
        </w:tc>
        <w:tc>
          <w:tcPr>
            <w:tcW w:w="7167" w:type="dxa"/>
          </w:tcPr>
          <w:p w14:paraId="5D245BDF" w14:textId="77777777" w:rsidR="00305CA5" w:rsidRPr="002B2C82" w:rsidRDefault="00305CA5" w:rsidP="008E600F">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Population pharmacokinetic(s)</w:t>
            </w:r>
          </w:p>
        </w:tc>
      </w:tr>
      <w:tr w:rsidR="00305CA5" w:rsidRPr="002B2C82" w14:paraId="57B522C9"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A91988B" w14:textId="77777777" w:rsidR="00305CA5" w:rsidRPr="002B2C82" w:rsidRDefault="00305CA5" w:rsidP="008E600F">
            <w:pPr>
              <w:rPr>
                <w:rFonts w:cstheme="minorHAnsi"/>
                <w:color w:val="auto"/>
                <w:szCs w:val="22"/>
              </w:rPr>
            </w:pPr>
            <w:r w:rsidRPr="002B2C82">
              <w:rPr>
                <w:rFonts w:cstheme="minorHAnsi"/>
                <w:color w:val="auto"/>
                <w:szCs w:val="22"/>
              </w:rPr>
              <w:t>RMP</w:t>
            </w:r>
          </w:p>
        </w:tc>
        <w:tc>
          <w:tcPr>
            <w:tcW w:w="7167" w:type="dxa"/>
          </w:tcPr>
          <w:p w14:paraId="7E95E668" w14:textId="77777777" w:rsidR="00305CA5" w:rsidRPr="002B2C82" w:rsidRDefault="00305CA5" w:rsidP="008E600F">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B2C82">
              <w:rPr>
                <w:rFonts w:cstheme="minorHAnsi"/>
                <w:color w:val="auto"/>
                <w:szCs w:val="22"/>
              </w:rPr>
              <w:t>Risk management plan</w:t>
            </w:r>
          </w:p>
        </w:tc>
      </w:tr>
      <w:tr w:rsidR="00305CA5" w:rsidRPr="002B2C82" w14:paraId="4309362B"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B044E5D" w14:textId="77777777" w:rsidR="00305CA5" w:rsidRPr="002B2C82" w:rsidRDefault="00305CA5" w:rsidP="008E600F">
            <w:pPr>
              <w:tabs>
                <w:tab w:val="center" w:pos="1080"/>
              </w:tabs>
              <w:rPr>
                <w:rFonts w:cstheme="minorHAnsi"/>
                <w:szCs w:val="24"/>
              </w:rPr>
            </w:pPr>
            <w:r w:rsidRPr="002B2C82">
              <w:rPr>
                <w:rFonts w:cstheme="minorHAnsi"/>
                <w:szCs w:val="24"/>
              </w:rPr>
              <w:t>SAE</w:t>
            </w:r>
          </w:p>
        </w:tc>
        <w:tc>
          <w:tcPr>
            <w:tcW w:w="7167" w:type="dxa"/>
          </w:tcPr>
          <w:p w14:paraId="4F3F1B5A"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szCs w:val="24"/>
              </w:rPr>
            </w:pPr>
            <w:r w:rsidRPr="002B2C82">
              <w:rPr>
                <w:szCs w:val="24"/>
              </w:rPr>
              <w:t>Serious adverse event(s)</w:t>
            </w:r>
          </w:p>
        </w:tc>
      </w:tr>
      <w:tr w:rsidR="00305CA5" w:rsidRPr="002B2C82" w14:paraId="02C68C4B"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6FEDBB" w14:textId="77777777" w:rsidR="00305CA5" w:rsidRPr="002B2C82" w:rsidRDefault="00305CA5" w:rsidP="008E600F">
            <w:pPr>
              <w:rPr>
                <w:rFonts w:cstheme="minorHAnsi"/>
                <w:szCs w:val="22"/>
              </w:rPr>
            </w:pPr>
            <w:r w:rsidRPr="002B2C82">
              <w:rPr>
                <w:rFonts w:cstheme="minorHAnsi"/>
                <w:szCs w:val="22"/>
              </w:rPr>
              <w:t>TEAE</w:t>
            </w:r>
          </w:p>
        </w:tc>
        <w:tc>
          <w:tcPr>
            <w:tcW w:w="7167" w:type="dxa"/>
          </w:tcPr>
          <w:p w14:paraId="07FFFE2C"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szCs w:val="22"/>
              </w:rPr>
            </w:pPr>
            <w:r w:rsidRPr="002B2C82">
              <w:rPr>
                <w:szCs w:val="22"/>
              </w:rPr>
              <w:t>Treatment-emergent adverse events</w:t>
            </w:r>
          </w:p>
        </w:tc>
      </w:tr>
      <w:tr w:rsidR="00305CA5" w:rsidRPr="002B2C82" w14:paraId="0E62BBEC"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600D677" w14:textId="77777777" w:rsidR="00305CA5" w:rsidRPr="002B2C82" w:rsidRDefault="00305CA5" w:rsidP="008E600F">
            <w:pPr>
              <w:rPr>
                <w:rFonts w:cstheme="minorHAnsi"/>
                <w:color w:val="auto"/>
                <w:szCs w:val="22"/>
              </w:rPr>
            </w:pPr>
            <w:r w:rsidRPr="002B2C82">
              <w:rPr>
                <w:rFonts w:cstheme="minorHAnsi"/>
                <w:color w:val="auto"/>
                <w:szCs w:val="22"/>
              </w:rPr>
              <w:t>TGA</w:t>
            </w:r>
          </w:p>
        </w:tc>
        <w:tc>
          <w:tcPr>
            <w:tcW w:w="7167" w:type="dxa"/>
          </w:tcPr>
          <w:p w14:paraId="39305612"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B2C82">
              <w:rPr>
                <w:rFonts w:cstheme="minorHAnsi"/>
                <w:color w:val="auto"/>
                <w:szCs w:val="22"/>
              </w:rPr>
              <w:t>Therapeutic Goods Administration</w:t>
            </w:r>
          </w:p>
        </w:tc>
      </w:tr>
      <w:tr w:rsidR="00305CA5" w:rsidRPr="002B2C82" w14:paraId="29A1805D"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CCFF5DE" w14:textId="77777777" w:rsidR="00305CA5" w:rsidRPr="002B2C82" w:rsidRDefault="00305CA5" w:rsidP="008E600F">
            <w:pPr>
              <w:rPr>
                <w:rFonts w:cstheme="minorHAnsi"/>
                <w:szCs w:val="32"/>
              </w:rPr>
            </w:pPr>
            <w:proofErr w:type="spellStart"/>
            <w:r w:rsidRPr="002B2C82">
              <w:rPr>
                <w:rFonts w:cstheme="minorHAnsi"/>
                <w:szCs w:val="32"/>
              </w:rPr>
              <w:t>T</w:t>
            </w:r>
            <w:r w:rsidRPr="002B2C82">
              <w:rPr>
                <w:rFonts w:cstheme="minorHAnsi"/>
                <w:szCs w:val="32"/>
                <w:vertAlign w:val="subscript"/>
              </w:rPr>
              <w:t>max</w:t>
            </w:r>
            <w:proofErr w:type="spellEnd"/>
          </w:p>
        </w:tc>
        <w:tc>
          <w:tcPr>
            <w:tcW w:w="7167" w:type="dxa"/>
          </w:tcPr>
          <w:p w14:paraId="51183B23"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szCs w:val="32"/>
              </w:rPr>
            </w:pPr>
            <w:r w:rsidRPr="002B2C82">
              <w:rPr>
                <w:szCs w:val="32"/>
              </w:rPr>
              <w:t>Time to reach maximum concentration</w:t>
            </w:r>
          </w:p>
        </w:tc>
      </w:tr>
      <w:tr w:rsidR="00305CA5" w:rsidRPr="002B2C82" w14:paraId="7DA7BDE8"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C630AD" w14:textId="77777777" w:rsidR="00305CA5" w:rsidRPr="002B2C82" w:rsidRDefault="00305CA5" w:rsidP="008E600F">
            <w:pPr>
              <w:rPr>
                <w:rFonts w:cstheme="minorHAnsi"/>
                <w:szCs w:val="24"/>
              </w:rPr>
            </w:pPr>
            <w:r w:rsidRPr="002B2C82">
              <w:rPr>
                <w:rFonts w:cstheme="minorHAnsi"/>
                <w:szCs w:val="24"/>
              </w:rPr>
              <w:t>TPO</w:t>
            </w:r>
          </w:p>
        </w:tc>
        <w:tc>
          <w:tcPr>
            <w:tcW w:w="7167" w:type="dxa"/>
          </w:tcPr>
          <w:p w14:paraId="55461BDD"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szCs w:val="24"/>
              </w:rPr>
              <w:t>Thrombopoietin</w:t>
            </w:r>
          </w:p>
        </w:tc>
      </w:tr>
      <w:tr w:rsidR="00305CA5" w:rsidRPr="002B2C82" w14:paraId="67BD7627"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72D5835" w14:textId="77777777" w:rsidR="00305CA5" w:rsidRPr="002B2C82" w:rsidRDefault="00305CA5" w:rsidP="008E600F">
            <w:pPr>
              <w:rPr>
                <w:rFonts w:cstheme="minorHAnsi"/>
                <w:szCs w:val="24"/>
              </w:rPr>
            </w:pPr>
            <w:r w:rsidRPr="002B2C82">
              <w:rPr>
                <w:rFonts w:cstheme="minorHAnsi"/>
                <w:szCs w:val="24"/>
              </w:rPr>
              <w:t>TPO-RA</w:t>
            </w:r>
          </w:p>
        </w:tc>
        <w:tc>
          <w:tcPr>
            <w:tcW w:w="7167" w:type="dxa"/>
          </w:tcPr>
          <w:p w14:paraId="119DA486"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szCs w:val="24"/>
              </w:rPr>
              <w:t>Thrombopoietin receptor agonists</w:t>
            </w:r>
          </w:p>
        </w:tc>
      </w:tr>
      <w:tr w:rsidR="00305CA5" w:rsidRPr="002B2C82" w14:paraId="1A47FEBE"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A6AAF53" w14:textId="77777777" w:rsidR="00305CA5" w:rsidRPr="002B2C82" w:rsidRDefault="00305CA5" w:rsidP="008E600F">
            <w:pPr>
              <w:rPr>
                <w:rFonts w:cstheme="minorHAnsi"/>
                <w:szCs w:val="24"/>
              </w:rPr>
            </w:pPr>
            <w:r w:rsidRPr="002B2C82">
              <w:rPr>
                <w:rFonts w:cstheme="minorHAnsi"/>
                <w:szCs w:val="24"/>
              </w:rPr>
              <w:t>ULN</w:t>
            </w:r>
          </w:p>
        </w:tc>
        <w:tc>
          <w:tcPr>
            <w:tcW w:w="7167" w:type="dxa"/>
          </w:tcPr>
          <w:p w14:paraId="19D4F858"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Upper limit of normal</w:t>
            </w:r>
          </w:p>
        </w:tc>
      </w:tr>
      <w:tr w:rsidR="00305CA5" w:rsidRPr="002B2C82" w14:paraId="3E19FDC0"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049065" w14:textId="77777777" w:rsidR="00305CA5" w:rsidRPr="002B2C82" w:rsidRDefault="00305CA5" w:rsidP="008E600F">
            <w:pPr>
              <w:rPr>
                <w:rFonts w:cstheme="minorHAnsi"/>
                <w:szCs w:val="24"/>
              </w:rPr>
            </w:pPr>
            <w:r w:rsidRPr="002B2C82">
              <w:rPr>
                <w:rFonts w:cstheme="minorHAnsi"/>
                <w:szCs w:val="24"/>
              </w:rPr>
              <w:t>V/F</w:t>
            </w:r>
          </w:p>
        </w:tc>
        <w:tc>
          <w:tcPr>
            <w:tcW w:w="7167" w:type="dxa"/>
          </w:tcPr>
          <w:p w14:paraId="65245692"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B2C82">
              <w:rPr>
                <w:rFonts w:cstheme="minorHAnsi"/>
                <w:szCs w:val="24"/>
              </w:rPr>
              <w:t xml:space="preserve">Apparent volume of </w:t>
            </w:r>
            <w:proofErr w:type="spellStart"/>
            <w:r w:rsidRPr="002B2C82">
              <w:rPr>
                <w:rFonts w:cstheme="minorHAnsi"/>
                <w:szCs w:val="24"/>
              </w:rPr>
              <w:t>distrubution</w:t>
            </w:r>
            <w:proofErr w:type="spellEnd"/>
          </w:p>
        </w:tc>
      </w:tr>
      <w:tr w:rsidR="00305CA5" w:rsidRPr="008D3324" w14:paraId="5AF23D2C" w14:textId="77777777" w:rsidTr="008E600F">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6287902" w14:textId="77777777" w:rsidR="00305CA5" w:rsidRPr="002B2C82" w:rsidRDefault="00305CA5" w:rsidP="008E600F">
            <w:pPr>
              <w:rPr>
                <w:rFonts w:cstheme="minorHAnsi"/>
                <w:szCs w:val="32"/>
              </w:rPr>
            </w:pPr>
            <w:proofErr w:type="spellStart"/>
            <w:r w:rsidRPr="002B2C82">
              <w:rPr>
                <w:szCs w:val="24"/>
              </w:rPr>
              <w:t>ΔE</w:t>
            </w:r>
            <w:r w:rsidRPr="002B2C82">
              <w:rPr>
                <w:szCs w:val="24"/>
                <w:vertAlign w:val="subscript"/>
              </w:rPr>
              <w:t>max</w:t>
            </w:r>
            <w:proofErr w:type="spellEnd"/>
          </w:p>
        </w:tc>
        <w:tc>
          <w:tcPr>
            <w:tcW w:w="7167" w:type="dxa"/>
          </w:tcPr>
          <w:p w14:paraId="59B6F56D" w14:textId="77777777" w:rsidR="00305CA5" w:rsidRPr="002B2C82" w:rsidRDefault="00305CA5" w:rsidP="008E600F">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B2C82">
              <w:rPr>
                <w:szCs w:val="24"/>
              </w:rPr>
              <w:t>Maximum change from Baseline in platelet count</w:t>
            </w:r>
          </w:p>
        </w:tc>
      </w:tr>
      <w:bookmarkEnd w:id="5"/>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58284386"/>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58284387"/>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2A823D12"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5FB2281E" w:rsidR="00324B33" w:rsidRPr="00BD5DBD" w:rsidRDefault="00324B33" w:rsidP="007452E8">
            <w:pPr>
              <w:rPr>
                <w:i/>
                <w:szCs w:val="22"/>
              </w:rPr>
            </w:pPr>
            <w:r w:rsidRPr="00BD5DBD">
              <w:rPr>
                <w:i/>
                <w:szCs w:val="22"/>
              </w:rPr>
              <w:t>Product name:</w:t>
            </w:r>
          </w:p>
        </w:tc>
        <w:tc>
          <w:tcPr>
            <w:tcW w:w="3423" w:type="pct"/>
          </w:tcPr>
          <w:p w14:paraId="0E2DEF76" w14:textId="7688058A" w:rsidR="00324B33" w:rsidRPr="00BD5DBD" w:rsidRDefault="004F36C6" w:rsidP="007452E8">
            <w:pPr>
              <w:rPr>
                <w:szCs w:val="22"/>
              </w:rPr>
            </w:pPr>
            <w:r>
              <w:rPr>
                <w:szCs w:val="22"/>
              </w:rPr>
              <w:t>Doptelet</w:t>
            </w:r>
          </w:p>
        </w:tc>
      </w:tr>
      <w:tr w:rsidR="00324B33" w:rsidRPr="00BD5DBD" w14:paraId="01255B5B" w14:textId="77777777" w:rsidTr="00F865A7">
        <w:tc>
          <w:tcPr>
            <w:tcW w:w="1577" w:type="pct"/>
          </w:tcPr>
          <w:p w14:paraId="52B4F3D7" w14:textId="0139B8B9" w:rsidR="00324B33" w:rsidRPr="00BD5DBD" w:rsidRDefault="00324B33" w:rsidP="007452E8">
            <w:pPr>
              <w:rPr>
                <w:i/>
                <w:szCs w:val="22"/>
              </w:rPr>
            </w:pPr>
            <w:r w:rsidRPr="00BD5DBD">
              <w:rPr>
                <w:i/>
                <w:szCs w:val="22"/>
              </w:rPr>
              <w:t>Active ingredient:</w:t>
            </w:r>
          </w:p>
        </w:tc>
        <w:tc>
          <w:tcPr>
            <w:tcW w:w="3423" w:type="pct"/>
          </w:tcPr>
          <w:p w14:paraId="02FB6383" w14:textId="6DAC6D65" w:rsidR="00324B33" w:rsidRPr="00BD5DBD" w:rsidRDefault="00D10CD3" w:rsidP="007452E8">
            <w:pPr>
              <w:rPr>
                <w:szCs w:val="22"/>
              </w:rPr>
            </w:pPr>
            <w:r w:rsidRPr="00D10CD3">
              <w:rPr>
                <w:szCs w:val="22"/>
              </w:rPr>
              <w:t>Avatrombopag</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A4AA368"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10D9A2E9" w:rsidR="00AE1947" w:rsidRPr="00B52A5D" w:rsidRDefault="00AE1947" w:rsidP="00B52A5D">
            <w:pPr>
              <w:rPr>
                <w:i/>
                <w:szCs w:val="22"/>
              </w:rPr>
            </w:pPr>
            <w:r w:rsidRPr="00BD5DBD">
              <w:rPr>
                <w:i/>
                <w:szCs w:val="22"/>
              </w:rPr>
              <w:t>Date of decision:</w:t>
            </w:r>
          </w:p>
        </w:tc>
        <w:tc>
          <w:tcPr>
            <w:tcW w:w="3423" w:type="pct"/>
          </w:tcPr>
          <w:p w14:paraId="7B381CD6" w14:textId="361E26D9" w:rsidR="00AE1947" w:rsidRPr="00BD5DBD" w:rsidRDefault="00B52A5D" w:rsidP="00602658">
            <w:pPr>
              <w:rPr>
                <w:szCs w:val="22"/>
              </w:rPr>
            </w:pPr>
            <w:r>
              <w:rPr>
                <w:szCs w:val="22"/>
              </w:rPr>
              <w:t>13 January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72C2C69" w:rsidR="00324B33" w:rsidRPr="00BD5DBD" w:rsidRDefault="00B52A5D" w:rsidP="007452E8">
            <w:pPr>
              <w:rPr>
                <w:szCs w:val="22"/>
              </w:rPr>
            </w:pPr>
            <w:r>
              <w:rPr>
                <w:szCs w:val="22"/>
              </w:rPr>
              <w:t>16 January 2023</w:t>
            </w:r>
            <w:r w:rsidR="00324B33" w:rsidRPr="00BD5DBD">
              <w:rPr>
                <w:szCs w:val="22"/>
              </w:rPr>
              <w:t xml:space="preserve"> </w:t>
            </w:r>
          </w:p>
        </w:tc>
      </w:tr>
      <w:tr w:rsidR="00324B33" w:rsidRPr="00BD5DBD" w14:paraId="547E08D7" w14:textId="77777777" w:rsidTr="00F865A7">
        <w:tc>
          <w:tcPr>
            <w:tcW w:w="1577" w:type="pct"/>
          </w:tcPr>
          <w:p w14:paraId="5030EF30" w14:textId="4FBD2BED" w:rsidR="00324B33" w:rsidRPr="00BD5DBD" w:rsidRDefault="00324B33" w:rsidP="007452E8">
            <w:pPr>
              <w:rPr>
                <w:i/>
                <w:szCs w:val="22"/>
              </w:rPr>
            </w:pPr>
            <w:r w:rsidRPr="00BD5DBD">
              <w:rPr>
                <w:i/>
                <w:szCs w:val="22"/>
              </w:rPr>
              <w:t>ARTG number:</w:t>
            </w:r>
          </w:p>
        </w:tc>
        <w:tc>
          <w:tcPr>
            <w:tcW w:w="3423" w:type="pct"/>
          </w:tcPr>
          <w:p w14:paraId="0054E912" w14:textId="487E177C" w:rsidR="00324B33" w:rsidRPr="00BD5DBD" w:rsidRDefault="008524CE" w:rsidP="007452E8">
            <w:pPr>
              <w:rPr>
                <w:szCs w:val="22"/>
              </w:rPr>
            </w:pPr>
            <w:r w:rsidRPr="008524CE">
              <w:rPr>
                <w:szCs w:val="22"/>
              </w:rPr>
              <w:t>375471</w:t>
            </w:r>
          </w:p>
        </w:tc>
      </w:tr>
      <w:tr w:rsidR="00324B33" w:rsidRPr="00BD5DBD" w14:paraId="7618393F" w14:textId="77777777" w:rsidTr="00F865A7">
        <w:tc>
          <w:tcPr>
            <w:tcW w:w="1577" w:type="pct"/>
          </w:tcPr>
          <w:p w14:paraId="6C24CEB6" w14:textId="45C12BBA"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09E8DB03" w:rsidR="00324B33" w:rsidRPr="00BD5DBD" w:rsidRDefault="008524CE" w:rsidP="007452E8">
            <w:pPr>
              <w:rPr>
                <w:szCs w:val="22"/>
              </w:rPr>
            </w:pPr>
            <w:r>
              <w:rPr>
                <w:szCs w:val="22"/>
              </w:rPr>
              <w:t>Yes</w:t>
            </w:r>
          </w:p>
          <w:p w14:paraId="6FF3C6A2" w14:textId="7CBE78A7" w:rsidR="00324B33" w:rsidRPr="00BD5DBD" w:rsidRDefault="00324B33" w:rsidP="002D395B">
            <w:pPr>
              <w:rPr>
                <w:szCs w:val="22"/>
              </w:rPr>
            </w:pPr>
            <w:r w:rsidRPr="00BD5DBD">
              <w:rPr>
                <w:szCs w:val="22"/>
              </w:rPr>
              <w:t>This product will remain in the scheme for 5 years, starting on the date the product is first supplied in Australia</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0584DEF7" w14:textId="77777777" w:rsidR="00324B33" w:rsidRDefault="00C41169" w:rsidP="007452E8">
            <w:pPr>
              <w:rPr>
                <w:szCs w:val="22"/>
              </w:rPr>
            </w:pPr>
            <w:r w:rsidRPr="00C41169">
              <w:rPr>
                <w:szCs w:val="22"/>
              </w:rPr>
              <w:t>Swedish Orphan Biovitrum Pty Ltd</w:t>
            </w:r>
          </w:p>
          <w:p w14:paraId="2F9BC4FD" w14:textId="5D0AB779" w:rsidR="003A0D13" w:rsidRPr="003A0D13" w:rsidRDefault="000D54B3" w:rsidP="003A0D13">
            <w:pPr>
              <w:rPr>
                <w:szCs w:val="22"/>
              </w:rPr>
            </w:pPr>
            <w:r>
              <w:rPr>
                <w:szCs w:val="22"/>
              </w:rPr>
              <w:t>Level</w:t>
            </w:r>
            <w:r w:rsidR="003A0D13" w:rsidRPr="003A0D13">
              <w:rPr>
                <w:szCs w:val="22"/>
              </w:rPr>
              <w:t xml:space="preserve"> 22</w:t>
            </w:r>
            <w:r>
              <w:rPr>
                <w:szCs w:val="22"/>
              </w:rPr>
              <w:t>,</w:t>
            </w:r>
            <w:r w:rsidR="003A0D13" w:rsidRPr="003A0D13">
              <w:rPr>
                <w:szCs w:val="22"/>
              </w:rPr>
              <w:t xml:space="preserve"> 44 Market Street </w:t>
            </w:r>
          </w:p>
          <w:p w14:paraId="68DD94B0" w14:textId="05E0DDAE" w:rsidR="00C41169" w:rsidRPr="00BD5DBD" w:rsidRDefault="003A0D13" w:rsidP="003A0D13">
            <w:pPr>
              <w:rPr>
                <w:szCs w:val="22"/>
              </w:rPr>
            </w:pPr>
            <w:r w:rsidRPr="003A0D13">
              <w:rPr>
                <w:szCs w:val="22"/>
              </w:rPr>
              <w:t>Sydney NSW 2000</w:t>
            </w:r>
          </w:p>
        </w:tc>
      </w:tr>
      <w:tr w:rsidR="00324B33" w:rsidRPr="00BD5DBD" w14:paraId="5322B989" w14:textId="77777777" w:rsidTr="00F865A7">
        <w:tc>
          <w:tcPr>
            <w:tcW w:w="1577" w:type="pct"/>
          </w:tcPr>
          <w:p w14:paraId="24F217E3" w14:textId="3A4990A4" w:rsidR="00324B33" w:rsidRPr="00BD5DBD" w:rsidRDefault="00324B33" w:rsidP="007452E8">
            <w:pPr>
              <w:rPr>
                <w:i/>
                <w:szCs w:val="22"/>
              </w:rPr>
            </w:pPr>
            <w:r w:rsidRPr="00BD5DBD">
              <w:rPr>
                <w:i/>
                <w:szCs w:val="22"/>
              </w:rPr>
              <w:t>Dose form:</w:t>
            </w:r>
          </w:p>
        </w:tc>
        <w:tc>
          <w:tcPr>
            <w:tcW w:w="3423" w:type="pct"/>
          </w:tcPr>
          <w:p w14:paraId="768B254C" w14:textId="5570FFDB" w:rsidR="00324B33" w:rsidRPr="00BD5DBD" w:rsidRDefault="000D54B3" w:rsidP="007452E8">
            <w:pPr>
              <w:rPr>
                <w:szCs w:val="22"/>
              </w:rPr>
            </w:pPr>
            <w:r>
              <w:rPr>
                <w:szCs w:val="22"/>
              </w:rPr>
              <w:t>Tablet</w:t>
            </w:r>
          </w:p>
        </w:tc>
      </w:tr>
      <w:tr w:rsidR="00324B33" w:rsidRPr="00BD5DBD" w14:paraId="115243E6" w14:textId="77777777" w:rsidTr="00F865A7">
        <w:tc>
          <w:tcPr>
            <w:tcW w:w="1577" w:type="pct"/>
          </w:tcPr>
          <w:p w14:paraId="7634B062" w14:textId="6B06507C" w:rsidR="00324B33" w:rsidRPr="00BD5DBD" w:rsidRDefault="00324B33" w:rsidP="007452E8">
            <w:pPr>
              <w:rPr>
                <w:i/>
                <w:szCs w:val="22"/>
              </w:rPr>
            </w:pPr>
            <w:r w:rsidRPr="00BD5DBD">
              <w:rPr>
                <w:i/>
                <w:szCs w:val="22"/>
              </w:rPr>
              <w:t>Strength:</w:t>
            </w:r>
          </w:p>
        </w:tc>
        <w:tc>
          <w:tcPr>
            <w:tcW w:w="3423" w:type="pct"/>
          </w:tcPr>
          <w:p w14:paraId="5E5F83DB" w14:textId="377ACED6" w:rsidR="00324B33" w:rsidRPr="00BD5DBD" w:rsidRDefault="000D54B3" w:rsidP="007452E8">
            <w:pPr>
              <w:rPr>
                <w:szCs w:val="22"/>
              </w:rPr>
            </w:pPr>
            <w:r>
              <w:rPr>
                <w:szCs w:val="22"/>
              </w:rPr>
              <w:t>20 mg</w:t>
            </w:r>
          </w:p>
        </w:tc>
      </w:tr>
      <w:tr w:rsidR="00324B33" w:rsidRPr="00BD5DBD" w14:paraId="34B07BA6" w14:textId="77777777" w:rsidTr="00F865A7">
        <w:tc>
          <w:tcPr>
            <w:tcW w:w="1577" w:type="pct"/>
          </w:tcPr>
          <w:p w14:paraId="1C039224" w14:textId="3736D8D9" w:rsidR="00324B33" w:rsidRPr="00BD5DBD" w:rsidRDefault="00324B33" w:rsidP="007452E8">
            <w:pPr>
              <w:rPr>
                <w:i/>
                <w:szCs w:val="22"/>
              </w:rPr>
            </w:pPr>
            <w:r w:rsidRPr="00BD5DBD">
              <w:rPr>
                <w:i/>
                <w:szCs w:val="22"/>
              </w:rPr>
              <w:t>Container:</w:t>
            </w:r>
          </w:p>
        </w:tc>
        <w:tc>
          <w:tcPr>
            <w:tcW w:w="3423" w:type="pct"/>
          </w:tcPr>
          <w:p w14:paraId="500A42C6" w14:textId="424A8F21" w:rsidR="00324B33" w:rsidRPr="00BD5DBD" w:rsidRDefault="000D54B3" w:rsidP="007452E8">
            <w:pPr>
              <w:rPr>
                <w:szCs w:val="22"/>
              </w:rPr>
            </w:pPr>
            <w:r>
              <w:rPr>
                <w:szCs w:val="22"/>
              </w:rPr>
              <w:t>Blister pack</w:t>
            </w:r>
          </w:p>
        </w:tc>
      </w:tr>
      <w:tr w:rsidR="00324B33" w:rsidRPr="00BD5DBD" w14:paraId="176B6773" w14:textId="77777777" w:rsidTr="00F865A7">
        <w:tc>
          <w:tcPr>
            <w:tcW w:w="1577" w:type="pct"/>
          </w:tcPr>
          <w:p w14:paraId="71846159" w14:textId="33182FF3" w:rsidR="00324B33" w:rsidRPr="00BD5DBD" w:rsidRDefault="00324B33" w:rsidP="007452E8">
            <w:pPr>
              <w:rPr>
                <w:i/>
                <w:szCs w:val="22"/>
              </w:rPr>
            </w:pPr>
            <w:r w:rsidRPr="00BD5DBD">
              <w:rPr>
                <w:i/>
                <w:szCs w:val="22"/>
              </w:rPr>
              <w:t>Pack sizes:</w:t>
            </w:r>
          </w:p>
        </w:tc>
        <w:tc>
          <w:tcPr>
            <w:tcW w:w="3423" w:type="pct"/>
          </w:tcPr>
          <w:p w14:paraId="7E978F8F" w14:textId="62274EA3" w:rsidR="00324B33" w:rsidRPr="00BD5DBD" w:rsidRDefault="003E6099" w:rsidP="007452E8">
            <w:pPr>
              <w:rPr>
                <w:szCs w:val="22"/>
              </w:rPr>
            </w:pPr>
            <w:r>
              <w:rPr>
                <w:szCs w:val="22"/>
              </w:rPr>
              <w:t>10, 15 and 30</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08AEAFA9" w14:textId="54DA8EE6" w:rsidR="00B96A87" w:rsidRPr="00B96A87" w:rsidRDefault="00B96A87" w:rsidP="00B96A87">
            <w:pPr>
              <w:rPr>
                <w:i/>
                <w:iCs/>
                <w:szCs w:val="22"/>
              </w:rPr>
            </w:pPr>
            <w:r w:rsidRPr="00B96A87">
              <w:rPr>
                <w:i/>
                <w:iCs/>
                <w:szCs w:val="22"/>
              </w:rPr>
              <w:t>Doptelet is indicated for the treatment of thrombocytopenia in adult patients with chronic liver disease who are scheduled to undergo a procedure.</w:t>
            </w:r>
          </w:p>
          <w:p w14:paraId="6E143E2E" w14:textId="1F177D71" w:rsidR="00324B33" w:rsidRPr="00B96A87" w:rsidRDefault="00B96A87" w:rsidP="00B96A87">
            <w:pPr>
              <w:rPr>
                <w:i/>
                <w:iCs/>
                <w:szCs w:val="22"/>
              </w:rPr>
            </w:pPr>
            <w:r w:rsidRPr="00B96A87">
              <w:rPr>
                <w:i/>
                <w:iCs/>
                <w:szCs w:val="22"/>
              </w:rPr>
              <w:t>Doptelet is indicated for the treatment of thrombocytopenia in adult patients with chronic immune thrombocytopenia (ITP) who have had an insufficient response to a previous treatment.</w:t>
            </w:r>
          </w:p>
        </w:tc>
      </w:tr>
      <w:tr w:rsidR="00324B33" w:rsidRPr="00BD5DBD" w14:paraId="5AFDEED3" w14:textId="77777777" w:rsidTr="00F865A7">
        <w:tc>
          <w:tcPr>
            <w:tcW w:w="1577" w:type="pct"/>
          </w:tcPr>
          <w:p w14:paraId="03884BD1" w14:textId="0EDDA51D" w:rsidR="00324B33" w:rsidRPr="00BD5DBD" w:rsidRDefault="00324B33" w:rsidP="007452E8">
            <w:pPr>
              <w:rPr>
                <w:i/>
                <w:szCs w:val="22"/>
              </w:rPr>
            </w:pPr>
            <w:r w:rsidRPr="00BD5DBD">
              <w:rPr>
                <w:i/>
                <w:szCs w:val="22"/>
              </w:rPr>
              <w:t>Route of administration:</w:t>
            </w:r>
          </w:p>
        </w:tc>
        <w:tc>
          <w:tcPr>
            <w:tcW w:w="3423" w:type="pct"/>
          </w:tcPr>
          <w:p w14:paraId="1ED1357E" w14:textId="3B83ABDF" w:rsidR="00324B33" w:rsidRPr="00BD5DBD" w:rsidRDefault="003E6099"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2ED4173A" w14:textId="77777777" w:rsidR="00BA2473" w:rsidRPr="00BA2473" w:rsidRDefault="00BA2473" w:rsidP="00BA2473">
            <w:pPr>
              <w:rPr>
                <w:szCs w:val="22"/>
              </w:rPr>
            </w:pPr>
            <w:r w:rsidRPr="00BA2473">
              <w:rPr>
                <w:szCs w:val="22"/>
              </w:rPr>
              <w:t>The recommended daily dose of Doptelet for patients with chronic liver disease is based on the patient’s platelet count prior to the scheduled procedure. Doptelet should be taken orally once daily for 5 consecutive days.</w:t>
            </w:r>
          </w:p>
          <w:p w14:paraId="198BD7E7" w14:textId="0F6C7FC6" w:rsidR="00BA2473" w:rsidRPr="00BA2473" w:rsidRDefault="00BA2473" w:rsidP="00BA2473">
            <w:pPr>
              <w:rPr>
                <w:szCs w:val="22"/>
              </w:rPr>
            </w:pPr>
            <w:r w:rsidRPr="00BA2473">
              <w:rPr>
                <w:szCs w:val="22"/>
              </w:rPr>
              <w:t>The recommended starting daily dose of Doptelet for patients with chronic immune thrombocytopenia is 20</w:t>
            </w:r>
            <w:r>
              <w:rPr>
                <w:szCs w:val="22"/>
              </w:rPr>
              <w:t> </w:t>
            </w:r>
            <w:r w:rsidRPr="00BA2473">
              <w:rPr>
                <w:szCs w:val="22"/>
              </w:rPr>
              <w:t>mg once daily. Dose adjustments are based on the patient’s platelet count.</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4E87274F" w14:textId="421FD8AF" w:rsidR="00324B33" w:rsidRDefault="00BA2473" w:rsidP="007452E8">
            <w:pPr>
              <w:rPr>
                <w:szCs w:val="22"/>
              </w:rPr>
            </w:pPr>
            <w:r>
              <w:rPr>
                <w:szCs w:val="22"/>
              </w:rPr>
              <w:t>B3</w:t>
            </w:r>
          </w:p>
          <w:p w14:paraId="0C92C58D" w14:textId="77777777" w:rsidR="002143E6" w:rsidRPr="002143E6" w:rsidRDefault="002143E6" w:rsidP="002143E6">
            <w:pPr>
              <w:rPr>
                <w:szCs w:val="22"/>
              </w:rPr>
            </w:pPr>
            <w:r w:rsidRPr="002143E6">
              <w:rPr>
                <w:szCs w:val="22"/>
              </w:rPr>
              <w:t xml:space="preserve">Drugs which have been taken by only a limited number of pregnant women and women of childbearing age, without an </w:t>
            </w:r>
            <w:r w:rsidRPr="002143E6">
              <w:rPr>
                <w:szCs w:val="22"/>
              </w:rPr>
              <w:lastRenderedPageBreak/>
              <w:t xml:space="preserve">increase in the frequency of malformation or other direct or indirect harmful effects on the human </w:t>
            </w:r>
            <w:proofErr w:type="spellStart"/>
            <w:r w:rsidRPr="002143E6">
              <w:rPr>
                <w:szCs w:val="22"/>
              </w:rPr>
              <w:t>fetus</w:t>
            </w:r>
            <w:proofErr w:type="spellEnd"/>
            <w:r w:rsidRPr="002143E6">
              <w:rPr>
                <w:szCs w:val="22"/>
              </w:rPr>
              <w:t xml:space="preserve"> having been observed.</w:t>
            </w:r>
          </w:p>
          <w:p w14:paraId="6C72AFD4" w14:textId="75B172A8" w:rsidR="002143E6" w:rsidRPr="00BD5DBD" w:rsidRDefault="002143E6" w:rsidP="002143E6">
            <w:pPr>
              <w:rPr>
                <w:szCs w:val="22"/>
              </w:rPr>
            </w:pPr>
            <w:r w:rsidRPr="002143E6">
              <w:rPr>
                <w:szCs w:val="22"/>
              </w:rPr>
              <w:t>Studies in animals have shown evidence of an increased occurrence of fetal damage, the significance of which is considered uncertain in humans.</w:t>
            </w:r>
          </w:p>
          <w:p w14:paraId="5E2AA3D6" w14:textId="041B3F39" w:rsidR="00324B33" w:rsidRPr="00BD5DBD" w:rsidRDefault="00006B55" w:rsidP="007452E8">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58284388"/>
      <w:r>
        <w:lastRenderedPageBreak/>
        <w:t>Product background</w:t>
      </w:r>
      <w:bookmarkEnd w:id="12"/>
      <w:bookmarkEnd w:id="13"/>
      <w:bookmarkEnd w:id="14"/>
      <w:bookmarkEnd w:id="15"/>
    </w:p>
    <w:p w14:paraId="56B27CF2" w14:textId="09A6C189" w:rsidR="00324B33" w:rsidRDefault="00324B33" w:rsidP="00324B33">
      <w:pPr>
        <w:rPr>
          <w:szCs w:val="22"/>
        </w:rPr>
      </w:pPr>
      <w:r w:rsidRPr="00BD5DBD">
        <w:rPr>
          <w:szCs w:val="22"/>
        </w:rPr>
        <w:t>This AusPAR describes the submission by</w:t>
      </w:r>
      <w:r w:rsidR="004C47B6" w:rsidRPr="004C47B6">
        <w:t xml:space="preserve"> </w:t>
      </w:r>
      <w:r w:rsidR="004C47B6" w:rsidRPr="004C47B6">
        <w:rPr>
          <w:szCs w:val="22"/>
        </w:rPr>
        <w:t>Swedish Orphan Biovitrum Pty Ltd</w:t>
      </w:r>
      <w:r w:rsidRPr="00BD5DBD">
        <w:rPr>
          <w:szCs w:val="22"/>
        </w:rPr>
        <w:t xml:space="preserve"> (the sponsor) to register </w:t>
      </w:r>
      <w:r w:rsidR="00CB630D">
        <w:rPr>
          <w:szCs w:val="22"/>
        </w:rPr>
        <w:t xml:space="preserve">Doptelet </w:t>
      </w:r>
      <w:r w:rsidRPr="00BD5DBD">
        <w:rPr>
          <w:szCs w:val="22"/>
        </w:rPr>
        <w:t>(</w:t>
      </w:r>
      <w:r w:rsidR="00ED4071">
        <w:rPr>
          <w:szCs w:val="22"/>
        </w:rPr>
        <w:t>a</w:t>
      </w:r>
      <w:r w:rsidR="00ED4071" w:rsidRPr="00ED4071">
        <w:rPr>
          <w:szCs w:val="22"/>
        </w:rPr>
        <w:t>vatrombopag</w:t>
      </w:r>
      <w:r w:rsidRPr="00BD5DBD">
        <w:rPr>
          <w:szCs w:val="22"/>
        </w:rPr>
        <w:t>)</w:t>
      </w:r>
      <w:r w:rsidR="00333E3D">
        <w:rPr>
          <w:szCs w:val="22"/>
        </w:rPr>
        <w:t xml:space="preserve"> 20 mg</w:t>
      </w:r>
      <w:r w:rsidRPr="00BD5DBD">
        <w:rPr>
          <w:szCs w:val="22"/>
        </w:rPr>
        <w:t xml:space="preserve">, </w:t>
      </w:r>
      <w:r w:rsidR="00333E3D">
        <w:rPr>
          <w:szCs w:val="22"/>
        </w:rPr>
        <w:t>tablet</w:t>
      </w:r>
      <w:r w:rsidR="00D62877" w:rsidRPr="00BD5DBD">
        <w:rPr>
          <w:szCs w:val="22"/>
        </w:rPr>
        <w:t xml:space="preserve">, </w:t>
      </w:r>
      <w:r w:rsidR="00333E3D">
        <w:rPr>
          <w:szCs w:val="22"/>
        </w:rPr>
        <w:t>blister pack</w:t>
      </w:r>
      <w:r w:rsidRPr="00BD5DBD">
        <w:rPr>
          <w:szCs w:val="22"/>
        </w:rPr>
        <w:t xml:space="preserve"> for the following proposed indication:</w:t>
      </w:r>
      <w:r w:rsidR="00D63760" w:rsidRPr="00BD5DBD">
        <w:rPr>
          <w:rStyle w:val="FootnoteReference"/>
          <w:szCs w:val="22"/>
        </w:rPr>
        <w:footnoteReference w:id="1"/>
      </w:r>
    </w:p>
    <w:p w14:paraId="621CDFA0" w14:textId="5513A5B3" w:rsidR="00074376" w:rsidRPr="00AF3F09" w:rsidRDefault="00074376" w:rsidP="00AF3F09">
      <w:pPr>
        <w:ind w:left="720"/>
        <w:rPr>
          <w:i/>
          <w:iCs/>
        </w:rPr>
      </w:pPr>
      <w:r w:rsidRPr="00AF3F09">
        <w:rPr>
          <w:i/>
          <w:iCs/>
        </w:rPr>
        <w:t>Doptelet is indicated for the treatment of thrombocytopenia in adult patients with chronic liver disease who are scheduled to undergo a procedure.</w:t>
      </w:r>
    </w:p>
    <w:p w14:paraId="690C4CA9" w14:textId="6DBE9CDD" w:rsidR="00074376" w:rsidRPr="00074376" w:rsidRDefault="00074376" w:rsidP="00AF3F09">
      <w:pPr>
        <w:ind w:left="720"/>
      </w:pPr>
      <w:r w:rsidRPr="00AF3F09">
        <w:rPr>
          <w:i/>
          <w:iCs/>
        </w:rPr>
        <w:t>Doptelet is indicated for the treatment of thrombocytopenia in adult patients with chronic immune thrombocytopenia (ITP) who have had an insufficient response to a previous treatment.</w:t>
      </w:r>
    </w:p>
    <w:p w14:paraId="3D0D08FD" w14:textId="7DB068D7" w:rsidR="007F524D" w:rsidRDefault="007F524D" w:rsidP="00333E3D">
      <w:r w:rsidRPr="00333E3D">
        <w:t xml:space="preserve">Platelets are a formed element of blood and play an important role in haemostasis. Thrombopoietin plays an important role in </w:t>
      </w:r>
      <w:proofErr w:type="spellStart"/>
      <w:r w:rsidRPr="00333E3D">
        <w:t>megakaryopoiesis</w:t>
      </w:r>
      <w:proofErr w:type="spellEnd"/>
      <w:r w:rsidRPr="00333E3D">
        <w:t xml:space="preserve"> and thrombopoiesis, as summarised in </w:t>
      </w:r>
      <w:r w:rsidR="00972B56">
        <w:fldChar w:fldCharType="begin"/>
      </w:r>
      <w:r w:rsidR="00972B56">
        <w:instrText xml:space="preserve"> REF _Ref144811703 \h </w:instrText>
      </w:r>
      <w:r w:rsidR="00972B56">
        <w:fldChar w:fldCharType="separate"/>
      </w:r>
      <w:r w:rsidR="00197355">
        <w:t xml:space="preserve">Figure </w:t>
      </w:r>
      <w:r w:rsidR="00197355">
        <w:rPr>
          <w:noProof/>
        </w:rPr>
        <w:t>1</w:t>
      </w:r>
      <w:r w:rsidR="00972B56">
        <w:fldChar w:fldCharType="end"/>
      </w:r>
      <w:r w:rsidRPr="00333E3D">
        <w:t xml:space="preserve"> below.</w:t>
      </w:r>
    </w:p>
    <w:p w14:paraId="381EA934" w14:textId="53BD25A1" w:rsidR="007F524D" w:rsidRDefault="007F524D" w:rsidP="00972B56">
      <w:pPr>
        <w:pStyle w:val="FigureTitle"/>
      </w:pPr>
      <w:bookmarkStart w:id="16" w:name="_Ref144811703"/>
      <w:r>
        <w:lastRenderedPageBreak/>
        <w:t xml:space="preserve">Figure </w:t>
      </w:r>
      <w:r w:rsidR="008A4248">
        <w:fldChar w:fldCharType="begin"/>
      </w:r>
      <w:r w:rsidR="008A4248">
        <w:instrText xml:space="preserve"> SEQ Figure \* ARABIC </w:instrText>
      </w:r>
      <w:r w:rsidR="008A4248">
        <w:fldChar w:fldCharType="separate"/>
      </w:r>
      <w:r w:rsidR="00197355">
        <w:rPr>
          <w:noProof/>
        </w:rPr>
        <w:t>1</w:t>
      </w:r>
      <w:r w:rsidR="008A4248">
        <w:rPr>
          <w:noProof/>
        </w:rPr>
        <w:fldChar w:fldCharType="end"/>
      </w:r>
      <w:bookmarkEnd w:id="16"/>
      <w:r w:rsidR="00972B56">
        <w:rPr>
          <w:noProof/>
        </w:rPr>
        <w:t>:</w:t>
      </w:r>
      <w:r>
        <w:t xml:space="preserve"> Platelet </w:t>
      </w:r>
      <w:r w:rsidR="00972B56">
        <w:t>p</w:t>
      </w:r>
      <w:r>
        <w:t>roduction</w:t>
      </w:r>
    </w:p>
    <w:p w14:paraId="0B4DFAD3" w14:textId="1B06B212" w:rsidR="007F524D" w:rsidRDefault="00F62F54" w:rsidP="007F524D">
      <w:r>
        <w:rPr>
          <w:noProof/>
        </w:rPr>
        <w:drawing>
          <wp:inline distT="0" distB="0" distL="0" distR="0" wp14:anchorId="6AEA2ACC" wp14:editId="736AC927">
            <wp:extent cx="4724400" cy="6267450"/>
            <wp:effectExtent l="0" t="0" r="0" b="0"/>
            <wp:docPr id="2" name="Picture 2" descr="Platelet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atelet production"/>
                    <pic:cNvPicPr/>
                  </pic:nvPicPr>
                  <pic:blipFill>
                    <a:blip r:embed="rId21"/>
                    <a:stretch>
                      <a:fillRect/>
                    </a:stretch>
                  </pic:blipFill>
                  <pic:spPr>
                    <a:xfrm>
                      <a:off x="0" y="0"/>
                      <a:ext cx="4724400" cy="6267450"/>
                    </a:xfrm>
                    <a:prstGeom prst="rect">
                      <a:avLst/>
                    </a:prstGeom>
                  </pic:spPr>
                </pic:pic>
              </a:graphicData>
            </a:graphic>
          </wp:inline>
        </w:drawing>
      </w:r>
    </w:p>
    <w:p w14:paraId="499C1657" w14:textId="59D4AB6B" w:rsidR="007F524D" w:rsidRPr="005D5F8E" w:rsidRDefault="007F524D" w:rsidP="007F524D">
      <w:pPr>
        <w:rPr>
          <w:i/>
          <w:iCs/>
          <w:sz w:val="16"/>
          <w:szCs w:val="16"/>
          <w:vertAlign w:val="superscript"/>
        </w:rPr>
      </w:pPr>
      <w:r w:rsidRPr="00B370BC">
        <w:rPr>
          <w:sz w:val="16"/>
          <w:szCs w:val="16"/>
        </w:rPr>
        <w:t>Figure as presented in Peck-Radosavljevic M</w:t>
      </w:r>
      <w:r w:rsidR="00EB163F">
        <w:rPr>
          <w:sz w:val="16"/>
          <w:szCs w:val="16"/>
        </w:rPr>
        <w:t>.</w:t>
      </w:r>
      <w:bookmarkStart w:id="17" w:name="_Ref144812576"/>
      <w:r w:rsidR="00EB163F">
        <w:rPr>
          <w:rStyle w:val="FootnoteReference"/>
          <w:sz w:val="16"/>
          <w:szCs w:val="16"/>
        </w:rPr>
        <w:footnoteReference w:id="2"/>
      </w:r>
      <w:bookmarkEnd w:id="17"/>
    </w:p>
    <w:p w14:paraId="0411EF76" w14:textId="77777777" w:rsidR="007F524D" w:rsidRDefault="007F524D" w:rsidP="007F524D">
      <w:pPr>
        <w:pStyle w:val="Heading4"/>
      </w:pPr>
      <w:bookmarkStart w:id="18" w:name="_Toc158284389"/>
      <w:r>
        <w:t>C</w:t>
      </w:r>
      <w:r w:rsidRPr="00AA53F4">
        <w:t>ondition</w:t>
      </w:r>
      <w:bookmarkEnd w:id="18"/>
    </w:p>
    <w:p w14:paraId="3F1C2BE7" w14:textId="6E57525B" w:rsidR="007F524D" w:rsidRPr="00CC7097" w:rsidRDefault="007F524D" w:rsidP="00CC7097">
      <w:r w:rsidRPr="00CC7097">
        <w:t>The lower limit of a normal platelet count is 150</w:t>
      </w:r>
      <w:r w:rsidR="00A2730D" w:rsidRPr="00CC7097">
        <w:t> </w:t>
      </w:r>
      <w:r w:rsidRPr="00CC7097">
        <w:t>x</w:t>
      </w:r>
      <w:r w:rsidR="00A2730D" w:rsidRPr="00CC7097">
        <w:t> </w:t>
      </w:r>
      <w:r w:rsidRPr="00CC7097">
        <w:t>10</w:t>
      </w:r>
      <w:r w:rsidRPr="00CC7097">
        <w:rPr>
          <w:vertAlign w:val="superscript"/>
        </w:rPr>
        <w:t>9</w:t>
      </w:r>
      <w:r w:rsidRPr="00CC7097">
        <w:t xml:space="preserve">/L. </w:t>
      </w:r>
      <w:r w:rsidR="00A2730D" w:rsidRPr="00CC7097">
        <w:t>P</w:t>
      </w:r>
      <w:r w:rsidRPr="00CC7097">
        <w:t xml:space="preserve">atients with a platelet count of </w:t>
      </w:r>
      <w:r w:rsidR="00A2730D" w:rsidRPr="00CC7097">
        <w:t xml:space="preserve">less than </w:t>
      </w:r>
      <w:r w:rsidRPr="00CC7097">
        <w:t>50</w:t>
      </w:r>
      <w:r w:rsidR="00A2730D" w:rsidRPr="00CC7097">
        <w:t> </w:t>
      </w:r>
      <w:r w:rsidRPr="00CC7097">
        <w:t>x</w:t>
      </w:r>
      <w:r w:rsidR="00A2730D" w:rsidRPr="00CC7097">
        <w:t> </w:t>
      </w:r>
      <w:r w:rsidRPr="00CC7097">
        <w:t>10</w:t>
      </w:r>
      <w:r w:rsidRPr="00CC7097">
        <w:rPr>
          <w:vertAlign w:val="superscript"/>
        </w:rPr>
        <w:t>9</w:t>
      </w:r>
      <w:r w:rsidRPr="00CC7097">
        <w:t xml:space="preserve">/L can be symptomatic and significant spontaneous bleeding does not usually occur until the platelet count is </w:t>
      </w:r>
      <w:r w:rsidR="00CC7097" w:rsidRPr="00CC7097">
        <w:t xml:space="preserve">less than </w:t>
      </w:r>
      <w:r w:rsidRPr="00CC7097">
        <w:t xml:space="preserve">10 </w:t>
      </w:r>
      <w:r w:rsidR="00CC7097" w:rsidRPr="00CC7097">
        <w:t>to</w:t>
      </w:r>
      <w:r w:rsidRPr="00CC7097">
        <w:t xml:space="preserve"> 20</w:t>
      </w:r>
      <w:r w:rsidR="00CC7097" w:rsidRPr="00CC7097">
        <w:t> </w:t>
      </w:r>
      <w:r w:rsidRPr="00CC7097">
        <w:t>x</w:t>
      </w:r>
      <w:r w:rsidR="00CC7097" w:rsidRPr="00CC7097">
        <w:t> </w:t>
      </w:r>
      <w:r w:rsidRPr="00CC7097">
        <w:t>10</w:t>
      </w:r>
      <w:r w:rsidRPr="00CC7097">
        <w:rPr>
          <w:vertAlign w:val="superscript"/>
        </w:rPr>
        <w:t>9</w:t>
      </w:r>
      <w:r w:rsidRPr="00CC7097">
        <w:t>/L.</w:t>
      </w:r>
    </w:p>
    <w:p w14:paraId="36CD12F0" w14:textId="2B15A1DB" w:rsidR="007F524D" w:rsidRDefault="007F524D" w:rsidP="007F524D">
      <w:pPr>
        <w:pStyle w:val="Heading5"/>
      </w:pPr>
      <w:r>
        <w:t xml:space="preserve">Thrombocytopenia in </w:t>
      </w:r>
      <w:r w:rsidR="00CC7097">
        <w:t>c</w:t>
      </w:r>
      <w:r>
        <w:t xml:space="preserve">hronic </w:t>
      </w:r>
      <w:r w:rsidR="00CC7097">
        <w:t>l</w:t>
      </w:r>
      <w:r>
        <w:t>iver disease</w:t>
      </w:r>
    </w:p>
    <w:p w14:paraId="745C48BE" w14:textId="77777777" w:rsidR="007F524D" w:rsidRPr="00CC7097" w:rsidRDefault="007F524D" w:rsidP="00CC7097">
      <w:r w:rsidRPr="00CC7097">
        <w:t xml:space="preserve">There are several mechanisms which can contribute to thrombocytopenia in chronic liver </w:t>
      </w:r>
      <w:r w:rsidRPr="00006B55">
        <w:t>disease (CLD):</w:t>
      </w:r>
    </w:p>
    <w:p w14:paraId="135F8CC6" w14:textId="4F181D01" w:rsidR="007F524D" w:rsidRPr="00A531F2" w:rsidRDefault="007F524D" w:rsidP="00A531F2">
      <w:pPr>
        <w:pStyle w:val="ListBullet"/>
      </w:pPr>
      <w:r w:rsidRPr="00A531F2">
        <w:lastRenderedPageBreak/>
        <w:t>Reduced thrombopoietin expression and production</w:t>
      </w:r>
      <w:r w:rsidR="00A531F2">
        <w:t>.</w:t>
      </w:r>
    </w:p>
    <w:p w14:paraId="53A84332" w14:textId="6B1D8082" w:rsidR="007F524D" w:rsidRPr="00A531F2" w:rsidRDefault="007F524D" w:rsidP="00A531F2">
      <w:pPr>
        <w:pStyle w:val="ListBullet"/>
      </w:pPr>
      <w:r w:rsidRPr="00A531F2">
        <w:t>Splenic platelet sequestration</w:t>
      </w:r>
      <w:r w:rsidR="00A531F2">
        <w:t>.</w:t>
      </w:r>
    </w:p>
    <w:p w14:paraId="7926C900" w14:textId="357FDB96" w:rsidR="007F524D" w:rsidRPr="00A531F2" w:rsidRDefault="007F524D" w:rsidP="00A531F2">
      <w:pPr>
        <w:pStyle w:val="ListBullet"/>
      </w:pPr>
      <w:r w:rsidRPr="00A531F2">
        <w:t>Bone marrow suppression (</w:t>
      </w:r>
      <w:r w:rsidR="00A531F2">
        <w:t>for example,</w:t>
      </w:r>
      <w:r w:rsidRPr="00A531F2">
        <w:t xml:space="preserve"> in</w:t>
      </w:r>
      <w:r w:rsidR="00A531F2">
        <w:t xml:space="preserve"> hep</w:t>
      </w:r>
      <w:r w:rsidR="00A531F2" w:rsidRPr="00006B55">
        <w:t xml:space="preserve">atitis </w:t>
      </w:r>
      <w:r w:rsidR="00035820" w:rsidRPr="00006B55">
        <w:t>C virus</w:t>
      </w:r>
      <w:r w:rsidRPr="00006B55">
        <w:t xml:space="preserve"> </w:t>
      </w:r>
      <w:r w:rsidR="00035820" w:rsidRPr="00006B55">
        <w:t>(</w:t>
      </w:r>
      <w:r w:rsidRPr="00006B55">
        <w:t>HCV</w:t>
      </w:r>
      <w:r w:rsidR="00035820" w:rsidRPr="00006B55">
        <w:t>)</w:t>
      </w:r>
      <w:r w:rsidRPr="00006B55">
        <w:t xml:space="preserve"> or</w:t>
      </w:r>
      <w:r w:rsidRPr="00A531F2">
        <w:t xml:space="preserve"> heavy alcohol use)</w:t>
      </w:r>
      <w:r w:rsidR="00035820">
        <w:t>.</w:t>
      </w:r>
    </w:p>
    <w:p w14:paraId="5FF9FE28" w14:textId="0517DA0B" w:rsidR="007F524D" w:rsidRPr="00A531F2" w:rsidRDefault="007F524D" w:rsidP="00A531F2">
      <w:pPr>
        <w:pStyle w:val="ListBullet"/>
      </w:pPr>
      <w:r w:rsidRPr="00A531F2">
        <w:t>Presence of antiplatelet antibodies, although there is uncertainty about their importance</w:t>
      </w:r>
      <w:r w:rsidR="00035820">
        <w:t>.</w:t>
      </w:r>
    </w:p>
    <w:p w14:paraId="149839CC" w14:textId="3C35EEBE" w:rsidR="007F524D" w:rsidRDefault="007F524D" w:rsidP="007F524D">
      <w:r>
        <w:t xml:space="preserve">These </w:t>
      </w:r>
      <w:r w:rsidR="00822BFE">
        <w:t xml:space="preserve">mechanisms </w:t>
      </w:r>
      <w:r>
        <w:t>are schematically depicted in Figure 2, below.</w:t>
      </w:r>
    </w:p>
    <w:p w14:paraId="2EEE04DA" w14:textId="0417ED9C" w:rsidR="007F524D" w:rsidRDefault="007F524D" w:rsidP="00822BFE">
      <w:pPr>
        <w:pStyle w:val="FigureTitle"/>
      </w:pPr>
      <w:r>
        <w:t xml:space="preserve">Figure </w:t>
      </w:r>
      <w:r w:rsidR="008A4248">
        <w:fldChar w:fldCharType="begin"/>
      </w:r>
      <w:r w:rsidR="008A4248">
        <w:instrText xml:space="preserve"> SEQ Figure \* ARABIC </w:instrText>
      </w:r>
      <w:r w:rsidR="008A4248">
        <w:fldChar w:fldCharType="separate"/>
      </w:r>
      <w:r w:rsidR="00197355">
        <w:rPr>
          <w:noProof/>
        </w:rPr>
        <w:t>2</w:t>
      </w:r>
      <w:r w:rsidR="008A4248">
        <w:rPr>
          <w:noProof/>
        </w:rPr>
        <w:fldChar w:fldCharType="end"/>
      </w:r>
      <w:r w:rsidR="00822BFE">
        <w:rPr>
          <w:noProof/>
        </w:rPr>
        <w:t>:</w:t>
      </w:r>
      <w:r>
        <w:t xml:space="preserve"> Mechanisms contributing to thrombocytopenia in </w:t>
      </w:r>
      <w:r w:rsidR="00822BFE">
        <w:t>chronic liver disease</w:t>
      </w:r>
    </w:p>
    <w:p w14:paraId="7C3CEC71" w14:textId="2155F48E" w:rsidR="007F524D" w:rsidRDefault="00900EFE" w:rsidP="007F524D">
      <w:r>
        <w:rPr>
          <w:noProof/>
        </w:rPr>
        <w:drawing>
          <wp:inline distT="0" distB="0" distL="0" distR="0" wp14:anchorId="7993B1F1" wp14:editId="41E68FA8">
            <wp:extent cx="3912177" cy="5229225"/>
            <wp:effectExtent l="0" t="0" r="0" b="0"/>
            <wp:docPr id="1" name="Picture 1" descr="Mechanisms contributing to thrombocytopenia in chronic live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chanisms contributing to thrombocytopenia in chronic liver disease"/>
                    <pic:cNvPicPr/>
                  </pic:nvPicPr>
                  <pic:blipFill rotWithShape="1">
                    <a:blip r:embed="rId22"/>
                    <a:srcRect b="592"/>
                    <a:stretch/>
                  </pic:blipFill>
                  <pic:spPr bwMode="auto">
                    <a:xfrm>
                      <a:off x="0" y="0"/>
                      <a:ext cx="3916393" cy="5234860"/>
                    </a:xfrm>
                    <a:prstGeom prst="rect">
                      <a:avLst/>
                    </a:prstGeom>
                    <a:ln>
                      <a:noFill/>
                    </a:ln>
                    <a:extLst>
                      <a:ext uri="{53640926-AAD7-44D8-BBD7-CCE9431645EC}">
                        <a14:shadowObscured xmlns:a14="http://schemas.microsoft.com/office/drawing/2010/main"/>
                      </a:ext>
                    </a:extLst>
                  </pic:spPr>
                </pic:pic>
              </a:graphicData>
            </a:graphic>
          </wp:inline>
        </w:drawing>
      </w:r>
    </w:p>
    <w:p w14:paraId="4847B5AB" w14:textId="06779604" w:rsidR="007F524D" w:rsidRPr="005D5F8E" w:rsidRDefault="007F524D" w:rsidP="00253BE9">
      <w:pPr>
        <w:pStyle w:val="FigureDescription"/>
        <w:rPr>
          <w:i/>
          <w:iCs/>
          <w:vertAlign w:val="superscript"/>
        </w:rPr>
      </w:pPr>
      <w:r w:rsidRPr="00B370BC">
        <w:t xml:space="preserve">Figure as presented in Peck-Radosavljevic </w:t>
      </w:r>
      <w:r w:rsidR="00900EFE">
        <w:t>M.</w:t>
      </w:r>
      <w:r w:rsidR="00253BE9">
        <w:fldChar w:fldCharType="begin"/>
      </w:r>
      <w:r w:rsidR="00253BE9">
        <w:instrText xml:space="preserve"> NOTEREF _Ref144812576 \f \h </w:instrText>
      </w:r>
      <w:r w:rsidR="00253BE9">
        <w:fldChar w:fldCharType="separate"/>
      </w:r>
      <w:r w:rsidR="00197355" w:rsidRPr="00197355">
        <w:rPr>
          <w:rStyle w:val="FootnoteReference"/>
        </w:rPr>
        <w:t>2</w:t>
      </w:r>
      <w:r w:rsidR="00253BE9">
        <w:fldChar w:fldCharType="end"/>
      </w:r>
    </w:p>
    <w:p w14:paraId="02113C76" w14:textId="77777777" w:rsidR="007F524D" w:rsidRPr="00253BE9" w:rsidRDefault="007F524D" w:rsidP="00253BE9">
      <w:r w:rsidRPr="00253BE9">
        <w:t>Patients with CLD are at risk of bleeding if the thrombocytopenia is severe or they undergo major surgery.</w:t>
      </w:r>
    </w:p>
    <w:p w14:paraId="6A493E73" w14:textId="77777777" w:rsidR="007F524D" w:rsidRDefault="007F524D" w:rsidP="007F524D">
      <w:pPr>
        <w:pStyle w:val="Heading5"/>
      </w:pPr>
      <w:r>
        <w:t>Immune thrombocytopenia</w:t>
      </w:r>
    </w:p>
    <w:p w14:paraId="16EDBBD7" w14:textId="6DDBE5B4" w:rsidR="007F524D" w:rsidRPr="00680190" w:rsidRDefault="007F524D" w:rsidP="007F524D">
      <w:r>
        <w:t xml:space="preserve">Immune </w:t>
      </w:r>
      <w:r w:rsidRPr="00006B55">
        <w:t>thrombocytopenia (ITP) is</w:t>
      </w:r>
      <w:r>
        <w:t xml:space="preserve"> characterised by antibody</w:t>
      </w:r>
      <w:r w:rsidR="002F20AE">
        <w:t xml:space="preserve"> </w:t>
      </w:r>
      <w:r>
        <w:t>mediated platelet destruction and decreased platelet production (inhibited megakaryocyte function).</w:t>
      </w:r>
      <w:r w:rsidR="00303408">
        <w:rPr>
          <w:rStyle w:val="FootnoteReference"/>
        </w:rPr>
        <w:footnoteReference w:id="3"/>
      </w:r>
      <w:r>
        <w:t xml:space="preserve"> It is a diagnosis of exclusion. In children it can be self-limiting but in adults it tends to persist.</w:t>
      </w:r>
    </w:p>
    <w:p w14:paraId="394BED77" w14:textId="77777777" w:rsidR="007F524D" w:rsidRDefault="007F524D" w:rsidP="007F524D">
      <w:pPr>
        <w:pStyle w:val="Heading4"/>
      </w:pPr>
      <w:bookmarkStart w:id="19" w:name="_Toc158284390"/>
      <w:r>
        <w:lastRenderedPageBreak/>
        <w:t>Current treatment options</w:t>
      </w:r>
      <w:bookmarkEnd w:id="19"/>
    </w:p>
    <w:p w14:paraId="30E1B736" w14:textId="12AD7125" w:rsidR="007F524D" w:rsidRPr="00967A08" w:rsidRDefault="007F524D" w:rsidP="00967A08">
      <w:r w:rsidRPr="00967A08">
        <w:t>Corrected platelet count is often used as a surrogate for platelet efficacy.</w:t>
      </w:r>
      <w:bookmarkStart w:id="20" w:name="_Ref151446846"/>
      <w:r w:rsidR="00967A08">
        <w:rPr>
          <w:rStyle w:val="FootnoteReference"/>
        </w:rPr>
        <w:footnoteReference w:id="4"/>
      </w:r>
      <w:bookmarkEnd w:id="20"/>
      <w:r w:rsidRPr="00967A08">
        <w:t xml:space="preserve"> There are no specific guidelines regarding the use of platelet transfusion in patients with chronic liver disease or with immune</w:t>
      </w:r>
      <w:r w:rsidR="00B011D9">
        <w:t xml:space="preserve"> </w:t>
      </w:r>
      <w:r w:rsidRPr="00967A08">
        <w:t>thrombocytopenic purpura.</w:t>
      </w:r>
      <w:r w:rsidR="00B011D9">
        <w:rPr>
          <w:rStyle w:val="FootnoteReference"/>
        </w:rPr>
        <w:footnoteReference w:id="5"/>
      </w:r>
      <w:r w:rsidR="00571372">
        <w:t xml:space="preserve"> </w:t>
      </w:r>
      <w:r w:rsidRPr="00967A08">
        <w:t>The Australian Patient Blood Management Guidelines include general guidance for the prevention of bleeding:</w:t>
      </w:r>
      <w:r w:rsidR="00481A42">
        <w:rPr>
          <w:rStyle w:val="FootnoteReference"/>
        </w:rPr>
        <w:footnoteReference w:id="6"/>
      </w:r>
      <w:r w:rsidRPr="00967A08">
        <w:t xml:space="preserve"> a platelet count of </w:t>
      </w:r>
      <w:r w:rsidR="00C7795F">
        <w:t>greater</w:t>
      </w:r>
      <w:r w:rsidR="008426D8">
        <w:t xml:space="preserve"> than</w:t>
      </w:r>
      <w:r w:rsidRPr="00967A08">
        <w:t xml:space="preserve"> 50</w:t>
      </w:r>
      <w:r w:rsidR="008426D8">
        <w:t> </w:t>
      </w:r>
      <w:r w:rsidRPr="00967A08">
        <w:t>x</w:t>
      </w:r>
      <w:r w:rsidR="008426D8">
        <w:t> </w:t>
      </w:r>
      <w:r w:rsidRPr="00967A08">
        <w:t>10</w:t>
      </w:r>
      <w:r w:rsidRPr="008426D8">
        <w:rPr>
          <w:vertAlign w:val="superscript"/>
        </w:rPr>
        <w:t>9</w:t>
      </w:r>
      <w:r w:rsidRPr="00967A08">
        <w:t>/L is considered adequate for procedures such as placement of central venous catheters, endoscopy</w:t>
      </w:r>
      <w:r w:rsidR="00006B55">
        <w:t>,</w:t>
      </w:r>
      <w:r w:rsidRPr="00967A08">
        <w:t xml:space="preserve"> biopsy and laparotomy. A platelet count of </w:t>
      </w:r>
      <w:r w:rsidR="00C7795F">
        <w:t>greater</w:t>
      </w:r>
      <w:r w:rsidR="000248AA">
        <w:t xml:space="preserve"> than </w:t>
      </w:r>
      <w:r w:rsidRPr="00967A08">
        <w:t>100</w:t>
      </w:r>
      <w:r w:rsidR="000248AA">
        <w:t> </w:t>
      </w:r>
      <w:r w:rsidRPr="00967A08">
        <w:t>x</w:t>
      </w:r>
      <w:r w:rsidR="000248AA">
        <w:t> </w:t>
      </w:r>
      <w:r w:rsidRPr="00967A08">
        <w:t>10</w:t>
      </w:r>
      <w:r w:rsidRPr="000248AA">
        <w:rPr>
          <w:vertAlign w:val="superscript"/>
        </w:rPr>
        <w:t>9</w:t>
      </w:r>
      <w:r w:rsidRPr="00967A08">
        <w:t>/L is suggested for intracranial, intraocular and neuraxial surgery and in circumstances of head injury.</w:t>
      </w:r>
    </w:p>
    <w:p w14:paraId="5E3E694F" w14:textId="77777777" w:rsidR="007F524D" w:rsidRPr="00D5519C" w:rsidRDefault="007F524D" w:rsidP="000248AA">
      <w:pPr>
        <w:pStyle w:val="Heading5"/>
      </w:pPr>
      <w:r w:rsidRPr="00D5519C">
        <w:t>Immune thrombocytopenia</w:t>
      </w:r>
    </w:p>
    <w:p w14:paraId="1B5ADB9C" w14:textId="2DBC777B" w:rsidR="007F524D" w:rsidRPr="00956AA6" w:rsidRDefault="007F524D" w:rsidP="00956AA6">
      <w:r w:rsidRPr="00956AA6">
        <w:t xml:space="preserve">In ITP, the Consensus guidelines for the management of adult immune thrombocytopenia in Australia and New Zealand </w:t>
      </w:r>
      <w:r w:rsidR="00956AA6">
        <w:t>r</w:t>
      </w:r>
      <w:r w:rsidRPr="00956AA6">
        <w:t>ecommend steroid (prednisone</w:t>
      </w:r>
      <w:r w:rsidR="00696706">
        <w:t>;</w:t>
      </w:r>
      <w:bookmarkStart w:id="21" w:name="_Ref151468848"/>
      <w:r w:rsidR="00C45429">
        <w:rPr>
          <w:rStyle w:val="FootnoteReference"/>
        </w:rPr>
        <w:footnoteReference w:id="7"/>
      </w:r>
      <w:bookmarkEnd w:id="21"/>
      <w:r w:rsidRPr="00956AA6">
        <w:t xml:space="preserve"> or dexamethasone</w:t>
      </w:r>
      <w:r w:rsidR="00C45429">
        <w:t>;</w:t>
      </w:r>
      <w:r w:rsidR="00C45429">
        <w:rPr>
          <w:rStyle w:val="FootnoteReference"/>
        </w:rPr>
        <w:footnoteReference w:id="8"/>
      </w:r>
      <w:r w:rsidRPr="00956AA6">
        <w:t>) as standard first</w:t>
      </w:r>
      <w:r w:rsidR="001C1BED">
        <w:t xml:space="preserve"> </w:t>
      </w:r>
      <w:r w:rsidRPr="00956AA6">
        <w:t>line treatment.</w:t>
      </w:r>
      <w:bookmarkStart w:id="22" w:name="_Ref144813753"/>
      <w:r w:rsidR="001C1BED">
        <w:rPr>
          <w:rStyle w:val="FootnoteReference"/>
        </w:rPr>
        <w:footnoteReference w:id="9"/>
      </w:r>
      <w:bookmarkEnd w:id="22"/>
      <w:r w:rsidRPr="00956AA6">
        <w:t xml:space="preserve"> The guidelines also recommend intravenous immu</w:t>
      </w:r>
      <w:r w:rsidRPr="00006B55">
        <w:t>noglobulin (IVIg)</w:t>
      </w:r>
      <w:r w:rsidRPr="00956AA6">
        <w:t xml:space="preserve"> as on</w:t>
      </w:r>
      <w:r w:rsidR="00E51F57">
        <w:t xml:space="preserve"> </w:t>
      </w:r>
      <w:r w:rsidRPr="00956AA6">
        <w:t>demand or as first</w:t>
      </w:r>
      <w:r w:rsidR="00E51F57">
        <w:t xml:space="preserve"> </w:t>
      </w:r>
      <w:r w:rsidRPr="00956AA6">
        <w:t xml:space="preserve">line therapy in combination with steroids. Eligibility for IVIg would usually include a platelet count of </w:t>
      </w:r>
      <w:r w:rsidR="00E51F57">
        <w:t>less than</w:t>
      </w:r>
      <w:r w:rsidRPr="00956AA6">
        <w:t xml:space="preserve"> 30</w:t>
      </w:r>
      <w:r w:rsidR="00E51F57">
        <w:t> </w:t>
      </w:r>
      <w:r w:rsidRPr="00956AA6">
        <w:t>x</w:t>
      </w:r>
      <w:r w:rsidR="00E51F57">
        <w:t> </w:t>
      </w:r>
      <w:r w:rsidRPr="00956AA6">
        <w:t>10</w:t>
      </w:r>
      <w:r w:rsidRPr="00E51F57">
        <w:rPr>
          <w:vertAlign w:val="superscript"/>
        </w:rPr>
        <w:t>9</w:t>
      </w:r>
      <w:r w:rsidRPr="00956AA6">
        <w:t>/L, present or perceived risk of bleeding, poor response to other therapies, and special clinical circumstances (</w:t>
      </w:r>
      <w:r w:rsidR="00E51F57">
        <w:t>for example,</w:t>
      </w:r>
      <w:r w:rsidRPr="00956AA6">
        <w:t xml:space="preserve"> pregnancy, or periprocedural). First line therapy is considered to have failed if there is inadequate </w:t>
      </w:r>
      <w:r w:rsidR="00006B55" w:rsidRPr="00956AA6">
        <w:t>haemostatic</w:t>
      </w:r>
      <w:r w:rsidRPr="00956AA6">
        <w:t xml:space="preserve"> response to </w:t>
      </w:r>
      <w:r w:rsidR="00A03731">
        <w:t xml:space="preserve">greater than </w:t>
      </w:r>
      <w:r w:rsidRPr="00956AA6">
        <w:t>5</w:t>
      </w:r>
      <w:r w:rsidR="00A03731">
        <w:t> </w:t>
      </w:r>
      <w:r w:rsidRPr="00956AA6">
        <w:t>mg prednisone, three or four cycles of high dose dexamethasone, or with one or more courses of IVIg.</w:t>
      </w:r>
      <w:r w:rsidR="00A03731">
        <w:fldChar w:fldCharType="begin"/>
      </w:r>
      <w:r w:rsidR="00A03731">
        <w:instrText xml:space="preserve"> NOTEREF _Ref144813753 \f \h </w:instrText>
      </w:r>
      <w:r w:rsidR="00A03731">
        <w:fldChar w:fldCharType="separate"/>
      </w:r>
      <w:r w:rsidR="00197355" w:rsidRPr="00197355">
        <w:rPr>
          <w:rStyle w:val="FootnoteReference"/>
        </w:rPr>
        <w:t>9</w:t>
      </w:r>
      <w:r w:rsidR="00A03731">
        <w:fldChar w:fldCharType="end"/>
      </w:r>
    </w:p>
    <w:p w14:paraId="07A7B655" w14:textId="7041BA81" w:rsidR="007F524D" w:rsidRPr="00A05406" w:rsidRDefault="007F524D" w:rsidP="00A05406">
      <w:r w:rsidRPr="00A05406">
        <w:t>In the second line setting there is no single standard of care. Options include thrombopoietin receptor a</w:t>
      </w:r>
      <w:r w:rsidRPr="00006B55">
        <w:t>gonists (TPO-RAs),</w:t>
      </w:r>
      <w:r w:rsidRPr="00A05406">
        <w:t xml:space="preserve"> rituximab or splenectomy, and are based on patient preferences, lifestyle, </w:t>
      </w:r>
      <w:proofErr w:type="gramStart"/>
      <w:r w:rsidRPr="00A05406">
        <w:t>comorbidities</w:t>
      </w:r>
      <w:proofErr w:type="gramEnd"/>
      <w:r w:rsidRPr="00A05406">
        <w:t xml:space="preserve"> and available drugs. In general, TPO-RAs and rituximab are considered for second line treatment patients with a diagnosis of ITP of </w:t>
      </w:r>
      <w:r w:rsidR="004F6F52">
        <w:t xml:space="preserve">less than </w:t>
      </w:r>
      <w:r w:rsidRPr="00A05406">
        <w:t>12 months. Splenectomy is associated with a long</w:t>
      </w:r>
      <w:r w:rsidR="00006B55">
        <w:t>-</w:t>
      </w:r>
      <w:r w:rsidRPr="00A05406">
        <w:t>term response rate of 60</w:t>
      </w:r>
      <w:r w:rsidR="004F6F52">
        <w:t xml:space="preserve"> to </w:t>
      </w:r>
      <w:r w:rsidRPr="00A05406">
        <w:t xml:space="preserve">70%. Infection, including the increased risk of infection by encapsulated bacteria, and thromboembolism are the main risks. Patients considered for splenectomy would generally be </w:t>
      </w:r>
      <w:r w:rsidR="00BD38BD">
        <w:t xml:space="preserve">less than </w:t>
      </w:r>
      <w:r w:rsidRPr="00A05406">
        <w:t xml:space="preserve">65 years, and with a disease duration </w:t>
      </w:r>
      <w:r w:rsidR="00BD38BD">
        <w:t>greater than</w:t>
      </w:r>
      <w:r w:rsidRPr="00A05406">
        <w:t xml:space="preserve"> 12 months.</w:t>
      </w:r>
      <w:r w:rsidR="00BB61B1">
        <w:fldChar w:fldCharType="begin"/>
      </w:r>
      <w:r w:rsidR="00BB61B1">
        <w:instrText xml:space="preserve"> NOTEREF _Ref144813753 \f \h </w:instrText>
      </w:r>
      <w:r w:rsidR="00BB61B1">
        <w:fldChar w:fldCharType="separate"/>
      </w:r>
      <w:r w:rsidR="00197355" w:rsidRPr="00197355">
        <w:rPr>
          <w:rStyle w:val="FootnoteReference"/>
        </w:rPr>
        <w:t>9</w:t>
      </w:r>
      <w:r w:rsidR="00BB61B1">
        <w:fldChar w:fldCharType="end"/>
      </w:r>
      <w:r w:rsidRPr="00A05406">
        <w:t xml:space="preserve"> Rituximab is an anti-CD20 antibody. A 50 </w:t>
      </w:r>
      <w:r w:rsidR="00BD38BD">
        <w:t>to</w:t>
      </w:r>
      <w:r w:rsidRPr="00A05406">
        <w:t xml:space="preserve"> 70% response rate has been reported initially but the response is not durable, and at least half of responders are likely to relapse.</w:t>
      </w:r>
    </w:p>
    <w:p w14:paraId="431C7F19" w14:textId="77777777" w:rsidR="00671392" w:rsidRDefault="007F524D" w:rsidP="003A3FF1">
      <w:r w:rsidRPr="003A3FF1">
        <w:t>In Australia the currently registered TPO-RAs are romiplostim (injectable)</w:t>
      </w:r>
      <w:r w:rsidR="003A3FF1">
        <w:rPr>
          <w:rStyle w:val="FootnoteReference"/>
        </w:rPr>
        <w:footnoteReference w:id="10"/>
      </w:r>
      <w:r w:rsidR="005E4DFE" w:rsidRPr="003A3FF1">
        <w:t xml:space="preserve"> and</w:t>
      </w:r>
      <w:r w:rsidRPr="003A3FF1">
        <w:t xml:space="preserve"> </w:t>
      </w:r>
      <w:proofErr w:type="spellStart"/>
      <w:r w:rsidRPr="003A3FF1">
        <w:t>eltrombopag</w:t>
      </w:r>
      <w:proofErr w:type="spellEnd"/>
      <w:r w:rsidRPr="003A3FF1">
        <w:t xml:space="preserve"> (oral).</w:t>
      </w:r>
      <w:r w:rsidR="003A3FF1">
        <w:rPr>
          <w:rStyle w:val="FootnoteReference"/>
        </w:rPr>
        <w:footnoteReference w:id="11"/>
      </w:r>
      <w:r w:rsidR="005E4DFE" w:rsidRPr="003A3FF1">
        <w:t xml:space="preserve"> </w:t>
      </w:r>
    </w:p>
    <w:p w14:paraId="25A552C7" w14:textId="31F0FCA9" w:rsidR="00245FE9" w:rsidRDefault="007F524D" w:rsidP="008A4248">
      <w:pPr>
        <w:pageBreakBefore/>
      </w:pPr>
      <w:r w:rsidRPr="00006B55">
        <w:lastRenderedPageBreak/>
        <w:t xml:space="preserve">Romiplostim is a thrombopoietin agonist that binds directly to the </w:t>
      </w:r>
      <w:r w:rsidR="00C94BBC" w:rsidRPr="00006B55">
        <w:t>thrombopoietin (</w:t>
      </w:r>
      <w:r w:rsidRPr="00006B55">
        <w:t>TPO</w:t>
      </w:r>
      <w:r w:rsidR="00C94BBC" w:rsidRPr="00006B55">
        <w:t>)</w:t>
      </w:r>
      <w:r w:rsidRPr="003A3FF1">
        <w:t xml:space="preserve"> receptor to initiate signalling pathways. It is given by subcutaneous injection. Romiplostim is indicated in Australia for:</w:t>
      </w:r>
      <w:r w:rsidR="005E58C7">
        <w:rPr>
          <w:rStyle w:val="FootnoteReference"/>
        </w:rPr>
        <w:footnoteReference w:id="12"/>
      </w:r>
    </w:p>
    <w:p w14:paraId="008B4F41" w14:textId="570994FB" w:rsidR="007F524D" w:rsidRPr="00D47044" w:rsidRDefault="007F524D" w:rsidP="00D47044">
      <w:pPr>
        <w:ind w:left="357"/>
        <w:rPr>
          <w:i/>
          <w:iCs/>
        </w:rPr>
      </w:pPr>
      <w:r w:rsidRPr="00D47044">
        <w:rPr>
          <w:i/>
          <w:iCs/>
        </w:rPr>
        <w:t>Adults</w:t>
      </w:r>
    </w:p>
    <w:p w14:paraId="7B6C292E" w14:textId="77777777" w:rsidR="007F524D" w:rsidRPr="00D47044" w:rsidRDefault="007F524D" w:rsidP="00D535A0">
      <w:pPr>
        <w:ind w:left="357"/>
        <w:rPr>
          <w:i/>
          <w:iCs/>
        </w:rPr>
      </w:pPr>
      <w:proofErr w:type="spellStart"/>
      <w:r w:rsidRPr="00D47044">
        <w:rPr>
          <w:i/>
          <w:iCs/>
        </w:rPr>
        <w:t>Nplate</w:t>
      </w:r>
      <w:proofErr w:type="spellEnd"/>
      <w:r w:rsidRPr="00D47044">
        <w:rPr>
          <w:i/>
          <w:iCs/>
        </w:rPr>
        <w:t xml:space="preserve"> is indicated for treatment of thrombocytopenia in adult patients with primary immune thrombocytopenia (ITP) who are: </w:t>
      </w:r>
    </w:p>
    <w:p w14:paraId="7F74CF3B" w14:textId="5AAD145C" w:rsidR="007F524D" w:rsidRPr="00D47044" w:rsidRDefault="007F524D" w:rsidP="00D535A0">
      <w:pPr>
        <w:pStyle w:val="ListBullet"/>
        <w:ind w:left="714" w:hanging="357"/>
        <w:rPr>
          <w:i/>
          <w:iCs/>
        </w:rPr>
      </w:pPr>
      <w:r w:rsidRPr="00D47044">
        <w:rPr>
          <w:i/>
          <w:iCs/>
        </w:rPr>
        <w:t xml:space="preserve">non-splenectomised and have had an inadequate response, or are intolerant, to corticosteroids and </w:t>
      </w:r>
      <w:r w:rsidR="00006B55" w:rsidRPr="00D47044">
        <w:rPr>
          <w:i/>
          <w:iCs/>
        </w:rPr>
        <w:t>immunoglobulins.</w:t>
      </w:r>
    </w:p>
    <w:p w14:paraId="71B03169" w14:textId="77777777" w:rsidR="00305CA5" w:rsidRDefault="007F524D" w:rsidP="003331C6">
      <w:pPr>
        <w:pStyle w:val="ListBullet"/>
        <w:ind w:left="714" w:hanging="357"/>
        <w:rPr>
          <w:i/>
          <w:iCs/>
        </w:rPr>
      </w:pPr>
      <w:r w:rsidRPr="00D47044">
        <w:rPr>
          <w:i/>
          <w:iCs/>
        </w:rPr>
        <w:t>splenectomised and have had an inadequate response to splenectomy</w:t>
      </w:r>
      <w:r w:rsidR="00305CA5">
        <w:rPr>
          <w:i/>
          <w:iCs/>
        </w:rPr>
        <w:t>.</w:t>
      </w:r>
    </w:p>
    <w:p w14:paraId="7070E1FE" w14:textId="221A9AC5" w:rsidR="007F524D" w:rsidRPr="00D47044" w:rsidRDefault="007F524D" w:rsidP="00D535A0">
      <w:pPr>
        <w:ind w:left="357"/>
        <w:rPr>
          <w:i/>
          <w:iCs/>
        </w:rPr>
      </w:pPr>
      <w:r w:rsidRPr="00D47044">
        <w:rPr>
          <w:i/>
          <w:iCs/>
        </w:rPr>
        <w:t>Paediatrics</w:t>
      </w:r>
    </w:p>
    <w:p w14:paraId="359ACE9A" w14:textId="08829E0D" w:rsidR="007F524D" w:rsidRPr="00D47044" w:rsidRDefault="007F524D" w:rsidP="00D535A0">
      <w:pPr>
        <w:ind w:left="357"/>
        <w:rPr>
          <w:i/>
          <w:iCs/>
        </w:rPr>
      </w:pPr>
      <w:proofErr w:type="spellStart"/>
      <w:r w:rsidRPr="00D47044">
        <w:rPr>
          <w:i/>
          <w:iCs/>
        </w:rPr>
        <w:t>Nplate</w:t>
      </w:r>
      <w:proofErr w:type="spellEnd"/>
      <w:r w:rsidRPr="00D47044">
        <w:rPr>
          <w:i/>
          <w:iCs/>
        </w:rPr>
        <w:t xml:space="preserve"> is indicated for treatment of thrombocytopenia in paediatric patients aged 1 year and older with primary immune thrombocytopenia ITP for at least 6 months who are: </w:t>
      </w:r>
    </w:p>
    <w:p w14:paraId="0EF4B135" w14:textId="6CF32B3F" w:rsidR="007F524D" w:rsidRPr="00D47044" w:rsidRDefault="007F524D" w:rsidP="00D535A0">
      <w:pPr>
        <w:pStyle w:val="ListBullet"/>
        <w:ind w:left="714" w:hanging="357"/>
        <w:rPr>
          <w:i/>
          <w:iCs/>
        </w:rPr>
      </w:pPr>
      <w:r w:rsidRPr="00D47044">
        <w:rPr>
          <w:i/>
          <w:iCs/>
        </w:rPr>
        <w:t xml:space="preserve">non-splenectomised and have had an insufficient response, or are intolerant, to corticosteroids and </w:t>
      </w:r>
      <w:r w:rsidR="00006B55" w:rsidRPr="00D47044">
        <w:rPr>
          <w:i/>
          <w:iCs/>
        </w:rPr>
        <w:t>immunoglobulins.</w:t>
      </w:r>
    </w:p>
    <w:p w14:paraId="5C3EE7C3" w14:textId="5BAC523A" w:rsidR="007F524D" w:rsidRPr="00D47044" w:rsidRDefault="007F524D" w:rsidP="00D535A0">
      <w:pPr>
        <w:pStyle w:val="ListBullet"/>
        <w:ind w:left="714" w:hanging="357"/>
        <w:rPr>
          <w:i/>
          <w:iCs/>
        </w:rPr>
      </w:pPr>
      <w:r w:rsidRPr="00D47044">
        <w:rPr>
          <w:i/>
          <w:iCs/>
        </w:rPr>
        <w:t>splenectomised and have had an inadequate response to splenectomy.</w:t>
      </w:r>
    </w:p>
    <w:p w14:paraId="744E15CE" w14:textId="7BD0758D" w:rsidR="007F524D" w:rsidRPr="005E58C7" w:rsidRDefault="007F524D" w:rsidP="005E58C7">
      <w:proofErr w:type="spellStart"/>
      <w:r w:rsidRPr="005E58C7">
        <w:t>Eltrombopag</w:t>
      </w:r>
      <w:proofErr w:type="spellEnd"/>
      <w:r w:rsidRPr="005E58C7">
        <w:t xml:space="preserve"> is an orally available small molecule TPO receptor agonist that also binds to the TPO receptor and via intracellular signalling induces proliferation and differentiation of megakaryocyte precursors and megakaryocytes that lead to an increase in platelet count. In Australia </w:t>
      </w:r>
      <w:proofErr w:type="spellStart"/>
      <w:r w:rsidRPr="005E58C7">
        <w:t>eltrombopag</w:t>
      </w:r>
      <w:proofErr w:type="spellEnd"/>
      <w:r w:rsidRPr="005E58C7">
        <w:t xml:space="preserve"> is</w:t>
      </w:r>
      <w:r w:rsidR="00006B55">
        <w:t xml:space="preserve"> </w:t>
      </w:r>
      <w:proofErr w:type="spellStart"/>
      <w:r w:rsidR="00006B55">
        <w:t>Revolade</w:t>
      </w:r>
      <w:proofErr w:type="spellEnd"/>
      <w:r w:rsidRPr="005E58C7">
        <w:t>:</w:t>
      </w:r>
      <w:r w:rsidR="0015215F">
        <w:rPr>
          <w:rStyle w:val="FootnoteReference"/>
        </w:rPr>
        <w:footnoteReference w:id="13"/>
      </w:r>
    </w:p>
    <w:p w14:paraId="72A7643D" w14:textId="7D8794B3" w:rsidR="007F524D" w:rsidRPr="0015215F" w:rsidRDefault="007F524D" w:rsidP="0015215F">
      <w:pPr>
        <w:ind w:left="360"/>
        <w:rPr>
          <w:i/>
          <w:iCs/>
        </w:rPr>
      </w:pPr>
      <w:proofErr w:type="spellStart"/>
      <w:r w:rsidRPr="0015215F">
        <w:rPr>
          <w:i/>
          <w:iCs/>
        </w:rPr>
        <w:t>R</w:t>
      </w:r>
      <w:r w:rsidR="000B24F4" w:rsidRPr="0015215F">
        <w:rPr>
          <w:i/>
          <w:iCs/>
        </w:rPr>
        <w:t>evolade</w:t>
      </w:r>
      <w:proofErr w:type="spellEnd"/>
      <w:r w:rsidRPr="0015215F">
        <w:rPr>
          <w:i/>
          <w:iCs/>
        </w:rPr>
        <w:t xml:space="preserve"> is indicated for the treatment of: </w:t>
      </w:r>
    </w:p>
    <w:p w14:paraId="1ABD614A" w14:textId="559B6AD6" w:rsidR="007F524D" w:rsidRPr="0015215F" w:rsidRDefault="007F524D" w:rsidP="0015215F">
      <w:pPr>
        <w:pStyle w:val="ListBullet"/>
        <w:ind w:left="720"/>
        <w:rPr>
          <w:i/>
          <w:iCs/>
        </w:rPr>
      </w:pPr>
      <w:r w:rsidRPr="0015215F">
        <w:rPr>
          <w:i/>
          <w:iCs/>
        </w:rPr>
        <w:t xml:space="preserve">paediatric patients with chronic immune thrombocytopaenia (ITP) who have failed other treatments and either (a) need an increased platelet concentration for a planned procedure or (b) are at a high risk of </w:t>
      </w:r>
      <w:r w:rsidR="00006B55" w:rsidRPr="0015215F">
        <w:rPr>
          <w:i/>
          <w:iCs/>
        </w:rPr>
        <w:t>bleeding.</w:t>
      </w:r>
    </w:p>
    <w:p w14:paraId="6E4A015D" w14:textId="3EB58AD2" w:rsidR="007F524D" w:rsidRPr="0015215F" w:rsidRDefault="007F524D" w:rsidP="0015215F">
      <w:pPr>
        <w:pStyle w:val="ListBullet"/>
        <w:ind w:left="720"/>
        <w:rPr>
          <w:i/>
          <w:iCs/>
        </w:rPr>
      </w:pPr>
      <w:r w:rsidRPr="0015215F">
        <w:rPr>
          <w:i/>
          <w:iCs/>
        </w:rPr>
        <w:t xml:space="preserve">adult patients with chronic ITP who have had an inadequate response or are intolerant to corticosteroids and </w:t>
      </w:r>
      <w:r w:rsidR="00006B55" w:rsidRPr="0015215F">
        <w:rPr>
          <w:i/>
          <w:iCs/>
        </w:rPr>
        <w:t>immunoglobulins.</w:t>
      </w:r>
    </w:p>
    <w:p w14:paraId="28233071" w14:textId="1F5FF137" w:rsidR="007F524D" w:rsidRPr="0015215F" w:rsidRDefault="007F524D" w:rsidP="0015215F">
      <w:pPr>
        <w:pStyle w:val="ListBullet"/>
        <w:ind w:left="720"/>
        <w:rPr>
          <w:i/>
          <w:iCs/>
        </w:rPr>
      </w:pPr>
      <w:r w:rsidRPr="0015215F">
        <w:rPr>
          <w:i/>
          <w:iCs/>
        </w:rPr>
        <w:t xml:space="preserve">thrombocytopenia in adult patients with chronic hepatitis C to allow the initiation and maintenance of interferon-based </w:t>
      </w:r>
      <w:r w:rsidR="00006B55" w:rsidRPr="0015215F">
        <w:rPr>
          <w:i/>
          <w:iCs/>
        </w:rPr>
        <w:t>therapy.</w:t>
      </w:r>
    </w:p>
    <w:p w14:paraId="69062901" w14:textId="591540B3" w:rsidR="007F524D" w:rsidRPr="0015215F" w:rsidRDefault="007F524D" w:rsidP="0015215F">
      <w:pPr>
        <w:pStyle w:val="ListBullet"/>
        <w:ind w:left="720"/>
        <w:rPr>
          <w:i/>
          <w:iCs/>
        </w:rPr>
      </w:pPr>
      <w:r w:rsidRPr="0015215F">
        <w:rPr>
          <w:i/>
          <w:iCs/>
        </w:rPr>
        <w:t xml:space="preserve">severe aplastic anaemia (SAA) in combination with standard immunosuppressive therapy for the first-line treatment of adult and paediatric patients 2 years and </w:t>
      </w:r>
      <w:r w:rsidR="00006B55" w:rsidRPr="0015215F">
        <w:rPr>
          <w:i/>
          <w:iCs/>
        </w:rPr>
        <w:t>older.</w:t>
      </w:r>
    </w:p>
    <w:p w14:paraId="2C5FEFEB" w14:textId="76C8AB94" w:rsidR="007F524D" w:rsidRPr="0015215F" w:rsidRDefault="007F524D" w:rsidP="0015215F">
      <w:pPr>
        <w:pStyle w:val="ListBullet"/>
        <w:ind w:left="720"/>
        <w:rPr>
          <w:i/>
          <w:iCs/>
        </w:rPr>
      </w:pPr>
      <w:r w:rsidRPr="0015215F">
        <w:rPr>
          <w:i/>
          <w:iCs/>
        </w:rPr>
        <w:t>adult patients with SAA who have had an insufficient response to immunosuppressive therapy.</w:t>
      </w:r>
    </w:p>
    <w:p w14:paraId="7783DB11" w14:textId="1F23F849" w:rsidR="007F524D" w:rsidRPr="00D535A0" w:rsidRDefault="007F524D" w:rsidP="00D535A0">
      <w:proofErr w:type="spellStart"/>
      <w:r w:rsidRPr="00D535A0">
        <w:t>Eltrombopag</w:t>
      </w:r>
      <w:proofErr w:type="spellEnd"/>
      <w:r w:rsidRPr="00D535A0">
        <w:t xml:space="preserve"> must be taken 2 hours before or 4 hours after product</w:t>
      </w:r>
      <w:r w:rsidR="0015215F" w:rsidRPr="00D535A0">
        <w:t>s</w:t>
      </w:r>
      <w:r w:rsidRPr="00D535A0">
        <w:t xml:space="preserve"> with antacids, dairy products, or mineral supplements containing polyvalent cations (</w:t>
      </w:r>
      <w:r w:rsidR="00245FE9" w:rsidRPr="00D535A0">
        <w:t>for example,</w:t>
      </w:r>
      <w:r w:rsidRPr="00D535A0">
        <w:t xml:space="preserve"> aluminium, calcium, iron, magnesium, selenium and/or zinc).</w:t>
      </w:r>
    </w:p>
    <w:p w14:paraId="18780D12" w14:textId="77777777" w:rsidR="007F524D" w:rsidRPr="00910A2D" w:rsidRDefault="007F524D" w:rsidP="00C94BBC">
      <w:pPr>
        <w:pStyle w:val="Heading5"/>
      </w:pPr>
      <w:r w:rsidRPr="00C94BBC">
        <w:t>Periprocedural management of thrombocytopenia</w:t>
      </w:r>
    </w:p>
    <w:p w14:paraId="509A229C" w14:textId="303161C1" w:rsidR="007F524D" w:rsidRPr="00C94BBC" w:rsidRDefault="007F524D" w:rsidP="00C94BBC">
      <w:r w:rsidRPr="00C94BBC">
        <w:t>Platelet transfusion can be considered prior to procedures. One unit of apheresis or pooled leucocyte depleted platelets would be expected to produce an increase by 20</w:t>
      </w:r>
      <w:r w:rsidR="00C94BBC">
        <w:t xml:space="preserve"> to </w:t>
      </w:r>
      <w:r w:rsidRPr="00C94BBC">
        <w:t>40 x10</w:t>
      </w:r>
      <w:r w:rsidRPr="00C94BBC">
        <w:rPr>
          <w:vertAlign w:val="superscript"/>
        </w:rPr>
        <w:t>9</w:t>
      </w:r>
      <w:r w:rsidRPr="00C94BBC">
        <w:t>/L.</w:t>
      </w:r>
      <w:r w:rsidR="00C94BBC">
        <w:rPr>
          <w:rStyle w:val="FootnoteReference"/>
        </w:rPr>
        <w:footnoteReference w:id="14"/>
      </w:r>
      <w:r w:rsidRPr="00C94BBC">
        <w:t xml:space="preserve"> Platelet transfusion carries a small risk of febrile non haemolytic transfusion reaction, transfusion-related acute lung injury (mitigated to a certain extent by use of male</w:t>
      </w:r>
      <w:r w:rsidR="00C94BBC">
        <w:t xml:space="preserve"> </w:t>
      </w:r>
      <w:r w:rsidRPr="00C94BBC">
        <w:t xml:space="preserve">only donors), </w:t>
      </w:r>
      <w:r w:rsidRPr="00C94BBC">
        <w:lastRenderedPageBreak/>
        <w:t>and transfusion transmissible infections. Alloimmunisation with its associated platelet refractoriness, particularly in patients who require long-term platelet support, can be problematic. The risks are reduced due to the high level of leucodepletion in platelets for transfusion, nevertheless the theoretical risk remains.</w:t>
      </w:r>
      <w:r w:rsidR="00C94BBC">
        <w:fldChar w:fldCharType="begin"/>
      </w:r>
      <w:r w:rsidR="00C94BBC">
        <w:instrText xml:space="preserve"> NOTEREF _Ref151446846 \f \h </w:instrText>
      </w:r>
      <w:r w:rsidR="00C94BBC">
        <w:fldChar w:fldCharType="separate"/>
      </w:r>
      <w:r w:rsidR="00197355" w:rsidRPr="00197355">
        <w:rPr>
          <w:rStyle w:val="FootnoteReference"/>
        </w:rPr>
        <w:t>4</w:t>
      </w:r>
      <w:r w:rsidR="00C94BBC">
        <w:fldChar w:fldCharType="end"/>
      </w:r>
    </w:p>
    <w:p w14:paraId="42908361" w14:textId="19C605D1" w:rsidR="007F524D" w:rsidRDefault="007F524D" w:rsidP="00C94BBC">
      <w:r w:rsidRPr="00C94BBC">
        <w:t xml:space="preserve">In CLD other strategies aimed at reducing the impact of hypersplenism or portal hypertension such as </w:t>
      </w:r>
      <w:proofErr w:type="spellStart"/>
      <w:r w:rsidRPr="00C94BBC">
        <w:t>transjugular</w:t>
      </w:r>
      <w:proofErr w:type="spellEnd"/>
      <w:r w:rsidRPr="00C94BBC">
        <w:t xml:space="preserve"> intrahepatic portosystemic shunt</w:t>
      </w:r>
      <w:r w:rsidR="00006B55">
        <w:t>;</w:t>
      </w:r>
      <w:r w:rsidR="00C94BBC">
        <w:rPr>
          <w:rStyle w:val="FootnoteReference"/>
        </w:rPr>
        <w:footnoteReference w:id="15"/>
      </w:r>
      <w:r w:rsidRPr="00C94BBC">
        <w:t xml:space="preserve"> or partial splenic artery embolism may also result in an increased platelet count.</w:t>
      </w:r>
    </w:p>
    <w:p w14:paraId="0D615854" w14:textId="4B56F524" w:rsidR="00324B33" w:rsidRDefault="00324B33" w:rsidP="00324B33">
      <w:pPr>
        <w:pStyle w:val="Heading3"/>
      </w:pPr>
      <w:bookmarkStart w:id="23" w:name="_Toc314842485"/>
      <w:bookmarkStart w:id="24" w:name="_Toc247691504"/>
      <w:bookmarkStart w:id="25" w:name="_Toc103679291"/>
      <w:bookmarkStart w:id="26" w:name="_Toc158284391"/>
      <w:r>
        <w:t>Regulatory status</w:t>
      </w:r>
      <w:bookmarkEnd w:id="23"/>
      <w:bookmarkEnd w:id="24"/>
      <w:bookmarkEnd w:id="25"/>
      <w:bookmarkEnd w:id="26"/>
    </w:p>
    <w:p w14:paraId="620742FD" w14:textId="7C4E48CF" w:rsidR="00C94BBC" w:rsidRPr="00C94BBC" w:rsidRDefault="00C94BBC" w:rsidP="00C94BBC">
      <w:pPr>
        <w:pStyle w:val="Heading4"/>
      </w:pPr>
      <w:bookmarkStart w:id="27" w:name="_Toc158284392"/>
      <w:r>
        <w:t>Australian regulatory status</w:t>
      </w:r>
      <w:bookmarkEnd w:id="27"/>
    </w:p>
    <w:p w14:paraId="6A8633FA" w14:textId="75F54A2A" w:rsidR="00324B33" w:rsidRPr="00C94BBC" w:rsidRDefault="00324B33" w:rsidP="00C94BBC">
      <w:r w:rsidRPr="00C94BBC">
        <w:t>This product is considered a new chemical</w:t>
      </w:r>
      <w:r w:rsidR="008C754C" w:rsidRPr="00C94BBC">
        <w:t xml:space="preserve"> entity</w:t>
      </w:r>
      <w:r w:rsidRPr="00C94BBC">
        <w:t xml:space="preserve"> for Australian regulatory purposes.</w:t>
      </w:r>
    </w:p>
    <w:p w14:paraId="5E2B1E40" w14:textId="3B4DD7AA" w:rsidR="00C94BBC" w:rsidRPr="00C94BBC" w:rsidRDefault="00C94BBC" w:rsidP="00C94BBC">
      <w:pPr>
        <w:rPr>
          <w:lang w:val="en-US"/>
        </w:rPr>
      </w:pPr>
      <w:r w:rsidRPr="00006B55">
        <w:t xml:space="preserve">Avatrombopag is an orally administered second generation thrombopoietin receptor agonist. It </w:t>
      </w:r>
      <w:r w:rsidR="00006B55">
        <w:t xml:space="preserve">is </w:t>
      </w:r>
      <w:r w:rsidRPr="00006B55">
        <w:t>not currently</w:t>
      </w:r>
      <w:r w:rsidRPr="00C94BBC">
        <w:t xml:space="preserve"> registered in Australia.</w:t>
      </w:r>
    </w:p>
    <w:p w14:paraId="1E62A695" w14:textId="47AB0951" w:rsidR="00C94BBC" w:rsidRPr="00BD5DBD" w:rsidRDefault="00C94BBC" w:rsidP="00C94BBC">
      <w:pPr>
        <w:pStyle w:val="Heading4"/>
      </w:pPr>
      <w:bookmarkStart w:id="28" w:name="_Toc158284393"/>
      <w:r>
        <w:t>Foreign regulatory status</w:t>
      </w:r>
      <w:bookmarkEnd w:id="28"/>
    </w:p>
    <w:p w14:paraId="1B9AB90D" w14:textId="1771A9D2" w:rsidR="00324B33" w:rsidRPr="00BD5DBD" w:rsidRDefault="00C94BBC" w:rsidP="00324B33">
      <w:pPr>
        <w:rPr>
          <w:szCs w:val="22"/>
        </w:rPr>
      </w:pPr>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sidR="00006B55">
        <w:rPr>
          <w:szCs w:val="22"/>
        </w:rPr>
        <w:t>.</w:t>
      </w:r>
    </w:p>
    <w:p w14:paraId="19B9E0AC" w14:textId="14CDE4F3" w:rsidR="00324B33" w:rsidRDefault="00324B33" w:rsidP="00324B33">
      <w:pPr>
        <w:pStyle w:val="TableTitle"/>
      </w:pPr>
      <w:bookmarkStart w:id="29" w:name="_Ref99705479"/>
      <w:r>
        <w:t xml:space="preserve">Table </w:t>
      </w:r>
      <w:r w:rsidR="008A4248">
        <w:fldChar w:fldCharType="begin"/>
      </w:r>
      <w:r w:rsidR="008A4248">
        <w:instrText xml:space="preserve"> SEQ Table \* ARABIC </w:instrText>
      </w:r>
      <w:r w:rsidR="008A4248">
        <w:fldChar w:fldCharType="separate"/>
      </w:r>
      <w:r w:rsidR="00197355">
        <w:rPr>
          <w:noProof/>
        </w:rPr>
        <w:t>1</w:t>
      </w:r>
      <w:r w:rsidR="008A4248">
        <w:rPr>
          <w:noProof/>
        </w:rPr>
        <w:fldChar w:fldCharType="end"/>
      </w:r>
      <w:bookmarkEnd w:id="29"/>
      <w:r>
        <w:t>: International regulatory status</w:t>
      </w:r>
    </w:p>
    <w:tbl>
      <w:tblPr>
        <w:tblStyle w:val="TableTGAblue2023"/>
        <w:tblW w:w="5000" w:type="pct"/>
        <w:tblLook w:val="04A0" w:firstRow="1" w:lastRow="0" w:firstColumn="1" w:lastColumn="0" w:noHBand="0" w:noVBand="1"/>
      </w:tblPr>
      <w:tblGrid>
        <w:gridCol w:w="1716"/>
        <w:gridCol w:w="2124"/>
        <w:gridCol w:w="2088"/>
        <w:gridCol w:w="3132"/>
      </w:tblGrid>
      <w:tr w:rsidR="00324B33" w:rsidRPr="00D01DDB" w14:paraId="405E5D78" w14:textId="16839333" w:rsidTr="00C94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pct"/>
          </w:tcPr>
          <w:p w14:paraId="185B099B" w14:textId="7A4C0E6C" w:rsidR="00324B33" w:rsidRPr="00D01DDB" w:rsidRDefault="00324B33" w:rsidP="00C94BBC">
            <w:pPr>
              <w:ind w:left="57"/>
              <w:rPr>
                <w:szCs w:val="22"/>
              </w:rPr>
            </w:pPr>
            <w:r w:rsidRPr="00D01DDB">
              <w:rPr>
                <w:szCs w:val="22"/>
              </w:rPr>
              <w:t>Region</w:t>
            </w:r>
          </w:p>
        </w:tc>
        <w:tc>
          <w:tcPr>
            <w:tcW w:w="1087" w:type="pct"/>
          </w:tcPr>
          <w:p w14:paraId="778C35C7" w14:textId="52D23C85" w:rsidR="00324B33" w:rsidRPr="00D01DDB" w:rsidRDefault="00324B33" w:rsidP="00C94BBC">
            <w:pPr>
              <w:ind w:left="57"/>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50" w:type="pct"/>
          </w:tcPr>
          <w:p w14:paraId="58F81584" w14:textId="66689ABF" w:rsidR="00324B33" w:rsidRPr="00D01DDB" w:rsidRDefault="00324B33" w:rsidP="00C94BBC">
            <w:pPr>
              <w:ind w:left="57"/>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73" w:type="pct"/>
          </w:tcPr>
          <w:p w14:paraId="50B2D435" w14:textId="560588D2" w:rsidR="00324B33" w:rsidRPr="00D01DDB" w:rsidRDefault="00324B33" w:rsidP="00C94BBC">
            <w:pPr>
              <w:ind w:left="57"/>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C94BBC" w:rsidRPr="00D01DDB" w14:paraId="38D24E86" w14:textId="77777777" w:rsidTr="00C94BBC">
        <w:tc>
          <w:tcPr>
            <w:cnfStyle w:val="001000000000" w:firstRow="0" w:lastRow="0" w:firstColumn="1" w:lastColumn="0" w:oddVBand="0" w:evenVBand="0" w:oddHBand="0" w:evenHBand="0" w:firstRowFirstColumn="0" w:firstRowLastColumn="0" w:lastRowFirstColumn="0" w:lastRowLastColumn="0"/>
            <w:tcW w:w="991" w:type="pct"/>
            <w:vMerge w:val="restart"/>
          </w:tcPr>
          <w:p w14:paraId="4C540DE5" w14:textId="3DB737CB" w:rsidR="00C94BBC" w:rsidRPr="00D01DDB" w:rsidRDefault="00C94BBC" w:rsidP="00C94BBC">
            <w:pPr>
              <w:ind w:left="57"/>
              <w:rPr>
                <w:szCs w:val="22"/>
              </w:rPr>
            </w:pPr>
            <w:r>
              <w:rPr>
                <w:szCs w:val="22"/>
              </w:rPr>
              <w:t>European Union (EU)</w:t>
            </w:r>
          </w:p>
        </w:tc>
        <w:tc>
          <w:tcPr>
            <w:tcW w:w="1087" w:type="pct"/>
          </w:tcPr>
          <w:p w14:paraId="4FA5DDA9" w14:textId="24F1A518"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27 April 2018</w:t>
            </w:r>
          </w:p>
        </w:tc>
        <w:tc>
          <w:tcPr>
            <w:tcW w:w="1150" w:type="pct"/>
          </w:tcPr>
          <w:p w14:paraId="29358393" w14:textId="24D6CF85"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20 June 2019</w:t>
            </w:r>
          </w:p>
        </w:tc>
        <w:tc>
          <w:tcPr>
            <w:tcW w:w="1773" w:type="pct"/>
          </w:tcPr>
          <w:p w14:paraId="05055674" w14:textId="7CDADDA2" w:rsidR="00C94BBC" w:rsidRPr="00C94BBC" w:rsidRDefault="00C94BBC" w:rsidP="00C94BBC">
            <w:pPr>
              <w:ind w:left="57"/>
              <w:cnfStyle w:val="000000000000" w:firstRow="0" w:lastRow="0" w:firstColumn="0" w:lastColumn="0" w:oddVBand="0" w:evenVBand="0" w:oddHBand="0" w:evenHBand="0" w:firstRowFirstColumn="0" w:firstRowLastColumn="0" w:lastRowFirstColumn="0" w:lastRowLastColumn="0"/>
              <w:rPr>
                <w:i/>
                <w:iCs/>
                <w:szCs w:val="22"/>
              </w:rPr>
            </w:pPr>
            <w:r w:rsidRPr="00C94BBC">
              <w:rPr>
                <w:i/>
                <w:iCs/>
                <w:szCs w:val="22"/>
              </w:rPr>
              <w:t>Doptelet is indicated for the treatment of severe thrombocytopenia in adult patients with chronic liver disease who are scheduled to undergo an invasive procedure</w:t>
            </w:r>
            <w:r>
              <w:rPr>
                <w:i/>
                <w:iCs/>
                <w:szCs w:val="22"/>
              </w:rPr>
              <w:t>.</w:t>
            </w:r>
          </w:p>
        </w:tc>
      </w:tr>
      <w:tr w:rsidR="00C94BBC" w:rsidRPr="00D01DDB" w14:paraId="2936EE3D" w14:textId="77777777" w:rsidTr="00C94BBC">
        <w:tc>
          <w:tcPr>
            <w:cnfStyle w:val="001000000000" w:firstRow="0" w:lastRow="0" w:firstColumn="1" w:lastColumn="0" w:oddVBand="0" w:evenVBand="0" w:oddHBand="0" w:evenHBand="0" w:firstRowFirstColumn="0" w:firstRowLastColumn="0" w:lastRowFirstColumn="0" w:lastRowLastColumn="0"/>
            <w:tcW w:w="991" w:type="pct"/>
            <w:vMerge/>
          </w:tcPr>
          <w:p w14:paraId="23B7DD75" w14:textId="77777777" w:rsidR="00C94BBC" w:rsidRDefault="00C94BBC" w:rsidP="00C94BBC">
            <w:pPr>
              <w:ind w:left="57"/>
              <w:rPr>
                <w:szCs w:val="22"/>
              </w:rPr>
            </w:pPr>
          </w:p>
        </w:tc>
        <w:tc>
          <w:tcPr>
            <w:tcW w:w="1087" w:type="pct"/>
          </w:tcPr>
          <w:p w14:paraId="5FB7A918" w14:textId="7D4C793F"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11 February 2020</w:t>
            </w:r>
          </w:p>
        </w:tc>
        <w:tc>
          <w:tcPr>
            <w:tcW w:w="1150" w:type="pct"/>
          </w:tcPr>
          <w:p w14:paraId="23DEE486" w14:textId="25F61E02"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18 January 2021</w:t>
            </w:r>
          </w:p>
        </w:tc>
        <w:tc>
          <w:tcPr>
            <w:tcW w:w="1773" w:type="pct"/>
          </w:tcPr>
          <w:p w14:paraId="38F1A440" w14:textId="1953838D" w:rsidR="00C94BBC" w:rsidRPr="00C94BBC" w:rsidRDefault="00C94BBC" w:rsidP="00C94BBC">
            <w:pPr>
              <w:ind w:left="57"/>
              <w:cnfStyle w:val="000000000000" w:firstRow="0" w:lastRow="0" w:firstColumn="0" w:lastColumn="0" w:oddVBand="0" w:evenVBand="0" w:oddHBand="0" w:evenHBand="0" w:firstRowFirstColumn="0" w:firstRowLastColumn="0" w:lastRowFirstColumn="0" w:lastRowLastColumn="0"/>
              <w:rPr>
                <w:i/>
                <w:iCs/>
                <w:szCs w:val="22"/>
              </w:rPr>
            </w:pPr>
            <w:r w:rsidRPr="00C94BBC">
              <w:rPr>
                <w:i/>
                <w:iCs/>
                <w:szCs w:val="22"/>
              </w:rPr>
              <w:t>Doptelet is indicated for the treatment of primary chronic immune thrombocytopenia (ITP) in adult patients who are refractory to other treatments (</w:t>
            </w:r>
            <w:proofErr w:type="gramStart"/>
            <w:r w:rsidRPr="00C94BBC">
              <w:rPr>
                <w:i/>
                <w:iCs/>
                <w:szCs w:val="22"/>
              </w:rPr>
              <w:t>e.g.</w:t>
            </w:r>
            <w:proofErr w:type="gramEnd"/>
            <w:r w:rsidR="00305CA5">
              <w:rPr>
                <w:i/>
                <w:iCs/>
                <w:szCs w:val="22"/>
              </w:rPr>
              <w:t xml:space="preserve"> </w:t>
            </w:r>
            <w:r w:rsidRPr="00C94BBC">
              <w:rPr>
                <w:i/>
                <w:iCs/>
                <w:szCs w:val="22"/>
              </w:rPr>
              <w:t>corticosteroids, immunoglobulins).</w:t>
            </w:r>
          </w:p>
        </w:tc>
      </w:tr>
      <w:tr w:rsidR="00C94BBC" w:rsidRPr="00D01DDB" w14:paraId="18B6E2AA" w14:textId="7783D66F" w:rsidTr="00C94BBC">
        <w:tc>
          <w:tcPr>
            <w:cnfStyle w:val="001000000000" w:firstRow="0" w:lastRow="0" w:firstColumn="1" w:lastColumn="0" w:oddVBand="0" w:evenVBand="0" w:oddHBand="0" w:evenHBand="0" w:firstRowFirstColumn="0" w:firstRowLastColumn="0" w:lastRowFirstColumn="0" w:lastRowLastColumn="0"/>
            <w:tcW w:w="991" w:type="pct"/>
            <w:vMerge w:val="restart"/>
          </w:tcPr>
          <w:p w14:paraId="7F348960" w14:textId="0B4C1592" w:rsidR="00C94BBC" w:rsidRPr="00D01DDB" w:rsidRDefault="00C94BBC" w:rsidP="00C94BBC">
            <w:pPr>
              <w:ind w:left="57"/>
              <w:rPr>
                <w:szCs w:val="22"/>
              </w:rPr>
            </w:pPr>
            <w:r>
              <w:rPr>
                <w:szCs w:val="22"/>
              </w:rPr>
              <w:t>United States of America (USA)</w:t>
            </w:r>
          </w:p>
        </w:tc>
        <w:tc>
          <w:tcPr>
            <w:tcW w:w="1087" w:type="pct"/>
          </w:tcPr>
          <w:p w14:paraId="1D871E57" w14:textId="503A29D1"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21 September 2017</w:t>
            </w:r>
          </w:p>
        </w:tc>
        <w:tc>
          <w:tcPr>
            <w:tcW w:w="1150" w:type="pct"/>
          </w:tcPr>
          <w:p w14:paraId="63A3A9D3" w14:textId="56C00233"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21 May 2018</w:t>
            </w:r>
          </w:p>
        </w:tc>
        <w:tc>
          <w:tcPr>
            <w:tcW w:w="1773" w:type="pct"/>
          </w:tcPr>
          <w:p w14:paraId="17C650B8" w14:textId="61F862EA" w:rsidR="00C94BBC" w:rsidRPr="00C94BBC" w:rsidRDefault="00C94BBC" w:rsidP="00C94BBC">
            <w:pPr>
              <w:ind w:left="57"/>
              <w:cnfStyle w:val="000000000000" w:firstRow="0" w:lastRow="0" w:firstColumn="0" w:lastColumn="0" w:oddVBand="0" w:evenVBand="0" w:oddHBand="0" w:evenHBand="0" w:firstRowFirstColumn="0" w:firstRowLastColumn="0" w:lastRowFirstColumn="0" w:lastRowLastColumn="0"/>
              <w:rPr>
                <w:i/>
                <w:iCs/>
                <w:szCs w:val="22"/>
              </w:rPr>
            </w:pPr>
            <w:r w:rsidRPr="00C94BBC">
              <w:rPr>
                <w:i/>
                <w:iCs/>
                <w:szCs w:val="22"/>
              </w:rPr>
              <w:t>Doptelet is indicated for the treatment of thrombocytopenia in adult patients with chronic liver disease who are scheduled to undergo a procedure.</w:t>
            </w:r>
          </w:p>
        </w:tc>
      </w:tr>
      <w:tr w:rsidR="00C94BBC" w:rsidRPr="00D01DDB" w14:paraId="36A4ED02" w14:textId="77777777" w:rsidTr="00C94BBC">
        <w:tc>
          <w:tcPr>
            <w:cnfStyle w:val="001000000000" w:firstRow="0" w:lastRow="0" w:firstColumn="1" w:lastColumn="0" w:oddVBand="0" w:evenVBand="0" w:oddHBand="0" w:evenHBand="0" w:firstRowFirstColumn="0" w:firstRowLastColumn="0" w:lastRowFirstColumn="0" w:lastRowLastColumn="0"/>
            <w:tcW w:w="991" w:type="pct"/>
            <w:vMerge/>
          </w:tcPr>
          <w:p w14:paraId="108F6515" w14:textId="77777777" w:rsidR="00C94BBC" w:rsidRDefault="00C94BBC" w:rsidP="00C94BBC">
            <w:pPr>
              <w:ind w:left="57"/>
              <w:rPr>
                <w:szCs w:val="22"/>
              </w:rPr>
            </w:pPr>
          </w:p>
        </w:tc>
        <w:tc>
          <w:tcPr>
            <w:tcW w:w="1087" w:type="pct"/>
          </w:tcPr>
          <w:p w14:paraId="682586BB" w14:textId="7EB316DF"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30 August 2018</w:t>
            </w:r>
          </w:p>
        </w:tc>
        <w:tc>
          <w:tcPr>
            <w:tcW w:w="1150" w:type="pct"/>
          </w:tcPr>
          <w:p w14:paraId="02AEA54E" w14:textId="47CA7B34" w:rsidR="00C94BBC" w:rsidRPr="00D01DDB"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26 June 2019</w:t>
            </w:r>
          </w:p>
        </w:tc>
        <w:tc>
          <w:tcPr>
            <w:tcW w:w="1773" w:type="pct"/>
          </w:tcPr>
          <w:p w14:paraId="01084DFF" w14:textId="4BF979C1" w:rsidR="00C94BBC" w:rsidRPr="00C94BBC" w:rsidRDefault="00C94BBC" w:rsidP="00C94BBC">
            <w:pPr>
              <w:ind w:left="57"/>
              <w:cnfStyle w:val="000000000000" w:firstRow="0" w:lastRow="0" w:firstColumn="0" w:lastColumn="0" w:oddVBand="0" w:evenVBand="0" w:oddHBand="0" w:evenHBand="0" w:firstRowFirstColumn="0" w:firstRowLastColumn="0" w:lastRowFirstColumn="0" w:lastRowLastColumn="0"/>
              <w:rPr>
                <w:i/>
                <w:iCs/>
                <w:szCs w:val="22"/>
              </w:rPr>
            </w:pPr>
            <w:r w:rsidRPr="00C94BBC">
              <w:rPr>
                <w:i/>
                <w:iCs/>
                <w:szCs w:val="22"/>
              </w:rPr>
              <w:t>Doptelet is indicated for the treatment of thrombocytopenia in adult patients with chronic immune thrombocytopenia who have had an insufficient response to a previous treatment.</w:t>
            </w:r>
          </w:p>
        </w:tc>
      </w:tr>
      <w:tr w:rsidR="00C94BBC" w:rsidRPr="00D01DDB" w14:paraId="411D2EB5" w14:textId="77777777" w:rsidTr="00C94BBC">
        <w:tc>
          <w:tcPr>
            <w:cnfStyle w:val="001000000000" w:firstRow="0" w:lastRow="0" w:firstColumn="1" w:lastColumn="0" w:oddVBand="0" w:evenVBand="0" w:oddHBand="0" w:evenHBand="0" w:firstRowFirstColumn="0" w:firstRowLastColumn="0" w:lastRowFirstColumn="0" w:lastRowLastColumn="0"/>
            <w:tcW w:w="991" w:type="pct"/>
          </w:tcPr>
          <w:p w14:paraId="78D44885" w14:textId="7783323B" w:rsidR="00C94BBC" w:rsidRDefault="00C94BBC" w:rsidP="00C94BBC">
            <w:pPr>
              <w:ind w:left="57"/>
              <w:rPr>
                <w:szCs w:val="22"/>
              </w:rPr>
            </w:pPr>
            <w:r>
              <w:rPr>
                <w:szCs w:val="22"/>
              </w:rPr>
              <w:t>Switzerland</w:t>
            </w:r>
          </w:p>
        </w:tc>
        <w:tc>
          <w:tcPr>
            <w:tcW w:w="1087" w:type="pct"/>
          </w:tcPr>
          <w:p w14:paraId="02EEFEC5" w14:textId="44E82F23" w:rsidR="00C94BBC"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15 May 2020</w:t>
            </w:r>
          </w:p>
        </w:tc>
        <w:tc>
          <w:tcPr>
            <w:tcW w:w="1150" w:type="pct"/>
          </w:tcPr>
          <w:p w14:paraId="25B08723" w14:textId="125806BA" w:rsidR="00C94BBC"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23 November 2021</w:t>
            </w:r>
          </w:p>
        </w:tc>
        <w:tc>
          <w:tcPr>
            <w:tcW w:w="1773" w:type="pct"/>
          </w:tcPr>
          <w:p w14:paraId="23AB4BA4" w14:textId="3ADDBFD4" w:rsidR="00C94BBC" w:rsidRPr="00C94BBC" w:rsidRDefault="00C94BBC" w:rsidP="00C94BBC">
            <w:pPr>
              <w:ind w:left="57"/>
              <w:cnfStyle w:val="000000000000" w:firstRow="0" w:lastRow="0" w:firstColumn="0" w:lastColumn="0" w:oddVBand="0" w:evenVBand="0" w:oddHBand="0" w:evenHBand="0" w:firstRowFirstColumn="0" w:firstRowLastColumn="0" w:lastRowFirstColumn="0" w:lastRowLastColumn="0"/>
              <w:rPr>
                <w:i/>
                <w:iCs/>
                <w:szCs w:val="22"/>
              </w:rPr>
            </w:pPr>
            <w:r w:rsidRPr="00C94BBC">
              <w:rPr>
                <w:i/>
                <w:iCs/>
                <w:szCs w:val="22"/>
              </w:rPr>
              <w:t>Doptelet is indicated for the treatment of severe</w:t>
            </w:r>
            <w:r>
              <w:rPr>
                <w:i/>
                <w:iCs/>
                <w:szCs w:val="22"/>
              </w:rPr>
              <w:t xml:space="preserve"> </w:t>
            </w:r>
            <w:r w:rsidRPr="00C94BBC">
              <w:rPr>
                <w:i/>
                <w:iCs/>
                <w:szCs w:val="22"/>
              </w:rPr>
              <w:t>thrombocytopenia in adult patients with chronic liver</w:t>
            </w:r>
            <w:r>
              <w:rPr>
                <w:i/>
                <w:iCs/>
                <w:szCs w:val="22"/>
              </w:rPr>
              <w:t xml:space="preserve"> </w:t>
            </w:r>
            <w:r w:rsidRPr="00C94BBC">
              <w:rPr>
                <w:i/>
                <w:iCs/>
                <w:szCs w:val="22"/>
              </w:rPr>
              <w:t>disease who are scheduled to undergo an invasive</w:t>
            </w:r>
            <w:r>
              <w:rPr>
                <w:i/>
                <w:iCs/>
                <w:szCs w:val="22"/>
              </w:rPr>
              <w:t xml:space="preserve"> </w:t>
            </w:r>
            <w:r w:rsidRPr="00C94BBC">
              <w:rPr>
                <w:i/>
                <w:iCs/>
                <w:szCs w:val="22"/>
              </w:rPr>
              <w:t>procedure.</w:t>
            </w:r>
          </w:p>
          <w:p w14:paraId="003D0CB5" w14:textId="77AE82BF" w:rsidR="00C94BBC" w:rsidRPr="00C94BBC" w:rsidRDefault="00C94BBC" w:rsidP="00C94BBC">
            <w:pPr>
              <w:ind w:left="57"/>
              <w:cnfStyle w:val="000000000000" w:firstRow="0" w:lastRow="0" w:firstColumn="0" w:lastColumn="0" w:oddVBand="0" w:evenVBand="0" w:oddHBand="0" w:evenHBand="0" w:firstRowFirstColumn="0" w:firstRowLastColumn="0" w:lastRowFirstColumn="0" w:lastRowLastColumn="0"/>
              <w:rPr>
                <w:i/>
                <w:iCs/>
                <w:szCs w:val="22"/>
              </w:rPr>
            </w:pPr>
            <w:r w:rsidRPr="00C94BBC">
              <w:rPr>
                <w:i/>
                <w:iCs/>
                <w:szCs w:val="22"/>
              </w:rPr>
              <w:t xml:space="preserve">Doptelet is indicated for the </w:t>
            </w:r>
            <w:r>
              <w:rPr>
                <w:i/>
                <w:iCs/>
                <w:szCs w:val="22"/>
              </w:rPr>
              <w:t>t</w:t>
            </w:r>
            <w:r w:rsidRPr="00C94BBC">
              <w:rPr>
                <w:i/>
                <w:iCs/>
                <w:szCs w:val="22"/>
              </w:rPr>
              <w:t>reatment of chronic immune</w:t>
            </w:r>
            <w:r>
              <w:rPr>
                <w:i/>
                <w:iCs/>
                <w:szCs w:val="22"/>
              </w:rPr>
              <w:t xml:space="preserve"> </w:t>
            </w:r>
            <w:r w:rsidRPr="00C94BBC">
              <w:rPr>
                <w:i/>
                <w:iCs/>
                <w:szCs w:val="22"/>
              </w:rPr>
              <w:t>thrombocytopenia (ITP) in adult patients who have shown</w:t>
            </w:r>
            <w:r>
              <w:rPr>
                <w:i/>
                <w:iCs/>
                <w:szCs w:val="22"/>
              </w:rPr>
              <w:t xml:space="preserve"> </w:t>
            </w:r>
            <w:r w:rsidRPr="00C94BBC">
              <w:rPr>
                <w:i/>
                <w:iCs/>
                <w:szCs w:val="22"/>
              </w:rPr>
              <w:t>insufficient response to at least one prior treatment</w:t>
            </w:r>
            <w:r>
              <w:rPr>
                <w:i/>
                <w:iCs/>
                <w:szCs w:val="22"/>
              </w:rPr>
              <w:t>.</w:t>
            </w:r>
          </w:p>
        </w:tc>
      </w:tr>
      <w:tr w:rsidR="00C94BBC" w:rsidRPr="00D01DDB" w14:paraId="772DF2DB" w14:textId="77777777" w:rsidTr="00C94BBC">
        <w:tc>
          <w:tcPr>
            <w:cnfStyle w:val="001000000000" w:firstRow="0" w:lastRow="0" w:firstColumn="1" w:lastColumn="0" w:oddVBand="0" w:evenVBand="0" w:oddHBand="0" w:evenHBand="0" w:firstRowFirstColumn="0" w:firstRowLastColumn="0" w:lastRowFirstColumn="0" w:lastRowLastColumn="0"/>
            <w:tcW w:w="991" w:type="pct"/>
          </w:tcPr>
          <w:p w14:paraId="252CD815" w14:textId="497304EB" w:rsidR="00C94BBC" w:rsidRDefault="00C94BBC" w:rsidP="00C94BBC">
            <w:pPr>
              <w:ind w:left="57"/>
              <w:rPr>
                <w:szCs w:val="22"/>
              </w:rPr>
            </w:pPr>
            <w:r>
              <w:rPr>
                <w:szCs w:val="22"/>
              </w:rPr>
              <w:t>Canada</w:t>
            </w:r>
          </w:p>
        </w:tc>
        <w:tc>
          <w:tcPr>
            <w:tcW w:w="1087" w:type="pct"/>
          </w:tcPr>
          <w:p w14:paraId="446A54B4" w14:textId="1FBE0A85" w:rsidR="00C94BBC"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14 April 2021</w:t>
            </w:r>
          </w:p>
        </w:tc>
        <w:tc>
          <w:tcPr>
            <w:tcW w:w="1150" w:type="pct"/>
          </w:tcPr>
          <w:p w14:paraId="3E404446" w14:textId="3EC8B113" w:rsidR="00C94BBC"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73" w:type="pct"/>
          </w:tcPr>
          <w:p w14:paraId="428804D3" w14:textId="1EC69F96" w:rsidR="00C94BBC" w:rsidRPr="00C94BBC" w:rsidRDefault="00C94BBC" w:rsidP="00C94BBC">
            <w:pPr>
              <w:ind w:left="57"/>
              <w:cnfStyle w:val="000000000000" w:firstRow="0" w:lastRow="0" w:firstColumn="0" w:lastColumn="0" w:oddVBand="0" w:evenVBand="0" w:oddHBand="0" w:evenHBand="0" w:firstRowFirstColumn="0" w:firstRowLastColumn="0" w:lastRowFirstColumn="0" w:lastRowLastColumn="0"/>
              <w:rPr>
                <w:szCs w:val="22"/>
              </w:rPr>
            </w:pPr>
            <w:r w:rsidRPr="00C94BBC">
              <w:rPr>
                <w:szCs w:val="22"/>
              </w:rPr>
              <w:t>Under consideration</w:t>
            </w:r>
          </w:p>
        </w:tc>
      </w:tr>
    </w:tbl>
    <w:p w14:paraId="6D92589C" w14:textId="77777777" w:rsidR="00324B33" w:rsidRDefault="00324B33" w:rsidP="00324B33">
      <w:pPr>
        <w:pStyle w:val="Heading2"/>
      </w:pPr>
      <w:bookmarkStart w:id="30" w:name="_Toc504480011"/>
      <w:bookmarkStart w:id="31" w:name="_Toc103679293"/>
      <w:bookmarkStart w:id="32" w:name="_Toc158284394"/>
      <w:r>
        <w:t>Registration timeline</w:t>
      </w:r>
      <w:bookmarkEnd w:id="30"/>
      <w:bookmarkEnd w:id="31"/>
      <w:bookmarkEnd w:id="32"/>
    </w:p>
    <w:p w14:paraId="20644ED4" w14:textId="765CDD02" w:rsidR="00477C4E" w:rsidRPr="00C94BBC" w:rsidRDefault="00324B33" w:rsidP="00C94BBC">
      <w:pPr>
        <w:rPr>
          <w:szCs w:val="22"/>
        </w:rPr>
      </w:pPr>
      <w:r w:rsidRPr="00BD5DBD">
        <w:rPr>
          <w:szCs w:val="22"/>
        </w:rPr>
        <w:t>The following table captures the key steps and dates for this submission.</w:t>
      </w:r>
    </w:p>
    <w:p w14:paraId="6BB76942" w14:textId="3A3CBFEC" w:rsidR="00477C4E" w:rsidRPr="00BD5DBD" w:rsidRDefault="00477C4E" w:rsidP="00324B33">
      <w:pPr>
        <w:rPr>
          <w:szCs w:val="22"/>
        </w:rPr>
      </w:pPr>
      <w:r w:rsidRPr="00BD5DBD">
        <w:rPr>
          <w:szCs w:val="22"/>
        </w:rPr>
        <w:t xml:space="preserve">This submission was evaluated under the </w:t>
      </w:r>
      <w:hyperlink r:id="rId23" w:history="1">
        <w:r w:rsidRPr="00BD5DBD">
          <w:rPr>
            <w:rStyle w:val="Hyperlink"/>
            <w:szCs w:val="22"/>
          </w:rPr>
          <w:t>standard prescription medicines registration process</w:t>
        </w:r>
      </w:hyperlink>
      <w:r w:rsidRPr="00BD5DBD">
        <w:rPr>
          <w:szCs w:val="22"/>
        </w:rPr>
        <w:t>.</w:t>
      </w:r>
    </w:p>
    <w:p w14:paraId="44628C5F" w14:textId="5CC574D2" w:rsidR="00324B33" w:rsidRDefault="00324B33" w:rsidP="0013528C">
      <w:pPr>
        <w:pStyle w:val="TableTitle"/>
      </w:pPr>
      <w:r>
        <w:t xml:space="preserve">Table </w:t>
      </w:r>
      <w:r w:rsidR="0013528C">
        <w:fldChar w:fldCharType="begin"/>
      </w:r>
      <w:r w:rsidR="0013528C">
        <w:rPr>
          <w:b w:val="0"/>
        </w:rPr>
        <w:instrText xml:space="preserve"> SEQ Table \* ARABIC </w:instrText>
      </w:r>
      <w:r w:rsidR="0013528C">
        <w:fldChar w:fldCharType="separate"/>
      </w:r>
      <w:r w:rsidR="00197355">
        <w:rPr>
          <w:b w:val="0"/>
          <w:noProof/>
        </w:rPr>
        <w:t>2</w:t>
      </w:r>
      <w:r w:rsidR="0013528C">
        <w:rPr>
          <w:noProof/>
        </w:rPr>
        <w:fldChar w:fldCharType="end"/>
      </w:r>
      <w:r>
        <w:t>:</w:t>
      </w:r>
      <w:r w:rsidRPr="006A58A8">
        <w:t xml:space="preserve"> Timeline for Submission </w:t>
      </w:r>
      <w:r w:rsidR="00C94BBC" w:rsidRPr="00C634CD">
        <w:t>PM</w:t>
      </w:r>
      <w:r w:rsidR="00C94BBC">
        <w:t>-</w:t>
      </w:r>
      <w:r w:rsidR="00C94BBC" w:rsidRPr="00C634CD">
        <w:t>2021</w:t>
      </w:r>
      <w:r w:rsidR="00C94BBC">
        <w:t>-</w:t>
      </w:r>
      <w:r w:rsidR="00C94BBC" w:rsidRPr="00C634CD">
        <w:t>04302-1-6</w:t>
      </w:r>
    </w:p>
    <w:tbl>
      <w:tblPr>
        <w:tblStyle w:val="TableTGAblue2023"/>
        <w:tblW w:w="9067" w:type="dxa"/>
        <w:tblLook w:val="04A0" w:firstRow="1" w:lastRow="0" w:firstColumn="1" w:lastColumn="0" w:noHBand="0" w:noVBand="1"/>
      </w:tblPr>
      <w:tblGrid>
        <w:gridCol w:w="6658"/>
        <w:gridCol w:w="2409"/>
      </w:tblGrid>
      <w:tr w:rsidR="00324B33" w:rsidRPr="00D01DDB" w14:paraId="6C59BE9C" w14:textId="77777777" w:rsidTr="008A4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6D80E78" w14:textId="3EC0CCAF" w:rsidR="00324B33" w:rsidRPr="00D01DDB" w:rsidRDefault="00324B33" w:rsidP="00324B33">
            <w:pPr>
              <w:rPr>
                <w:szCs w:val="22"/>
              </w:rPr>
            </w:pPr>
            <w:r w:rsidRPr="00D01DDB">
              <w:rPr>
                <w:szCs w:val="22"/>
              </w:rPr>
              <w:t>Description</w:t>
            </w:r>
          </w:p>
        </w:tc>
        <w:tc>
          <w:tcPr>
            <w:tcW w:w="2409"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759D2A12" w14:textId="0D705F83" w:rsidR="00324B33" w:rsidRPr="00D01DDB" w:rsidRDefault="00324B33" w:rsidP="008A4248">
            <w:pPr>
              <w:ind w:left="0"/>
              <w:rPr>
                <w:szCs w:val="22"/>
              </w:rPr>
            </w:pPr>
            <w:r w:rsidRPr="00D01DDB">
              <w:rPr>
                <w:szCs w:val="22"/>
              </w:rPr>
              <w:t>Submission dossier accepted and first round evaluation commenced</w:t>
            </w:r>
          </w:p>
        </w:tc>
        <w:tc>
          <w:tcPr>
            <w:tcW w:w="2409" w:type="dxa"/>
          </w:tcPr>
          <w:p w14:paraId="2963D9D8" w14:textId="1F39E6A8" w:rsidR="00324B33" w:rsidRPr="00D01DDB" w:rsidRDefault="00C94BBC" w:rsidP="008A4248">
            <w:pPr>
              <w:ind w:left="28"/>
              <w:cnfStyle w:val="000000000000" w:firstRow="0" w:lastRow="0" w:firstColumn="0" w:lastColumn="0" w:oddVBand="0" w:evenVBand="0" w:oddHBand="0" w:evenHBand="0" w:firstRowFirstColumn="0" w:firstRowLastColumn="0" w:lastRowFirstColumn="0" w:lastRowLastColumn="0"/>
              <w:rPr>
                <w:szCs w:val="22"/>
              </w:rPr>
            </w:pPr>
            <w:r>
              <w:rPr>
                <w:szCs w:val="22"/>
              </w:rPr>
              <w:t>1 November 2021</w:t>
            </w:r>
          </w:p>
        </w:tc>
      </w:tr>
      <w:tr w:rsidR="00324B33" w:rsidRPr="00D01DDB" w14:paraId="53437815"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4C037D4E" w14:textId="2B0CE255" w:rsidR="00324B33" w:rsidRPr="00D01DDB" w:rsidRDefault="00324B33" w:rsidP="008A4248">
            <w:pPr>
              <w:ind w:left="0"/>
              <w:rPr>
                <w:szCs w:val="22"/>
              </w:rPr>
            </w:pPr>
            <w:r w:rsidRPr="00D01DDB">
              <w:rPr>
                <w:szCs w:val="22"/>
              </w:rPr>
              <w:t>First round evaluation completed</w:t>
            </w:r>
          </w:p>
        </w:tc>
        <w:tc>
          <w:tcPr>
            <w:tcW w:w="2409" w:type="dxa"/>
          </w:tcPr>
          <w:p w14:paraId="3CEAFAAB" w14:textId="5018009A" w:rsidR="00324B33" w:rsidRPr="00D01DDB" w:rsidRDefault="00C94BBC" w:rsidP="008A42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31 March 2022</w:t>
            </w:r>
          </w:p>
        </w:tc>
      </w:tr>
      <w:tr w:rsidR="00324B33" w:rsidRPr="00D01DDB" w14:paraId="60DA57CC"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02EA1147" w14:textId="2853A422" w:rsidR="00324B33" w:rsidRPr="00D01DDB" w:rsidRDefault="00324B33" w:rsidP="008A4248">
            <w:pPr>
              <w:ind w:left="0"/>
              <w:rPr>
                <w:szCs w:val="22"/>
              </w:rPr>
            </w:pPr>
            <w:r w:rsidRPr="00D01DDB">
              <w:rPr>
                <w:szCs w:val="22"/>
              </w:rPr>
              <w:t>Sponsor provides responses on questions raised in first round evaluation</w:t>
            </w:r>
          </w:p>
        </w:tc>
        <w:tc>
          <w:tcPr>
            <w:tcW w:w="2409" w:type="dxa"/>
          </w:tcPr>
          <w:p w14:paraId="68A577C1" w14:textId="7187C234" w:rsidR="00324B33" w:rsidRPr="00D01DDB" w:rsidRDefault="00C94BBC" w:rsidP="008A42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30 May 2022</w:t>
            </w:r>
          </w:p>
        </w:tc>
      </w:tr>
      <w:tr w:rsidR="00324B33" w:rsidRPr="00D01DDB" w14:paraId="767E33A4"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4AFC5B50" w14:textId="2BCC6A3E" w:rsidR="00324B33" w:rsidRPr="00D01DDB" w:rsidRDefault="00324B33" w:rsidP="008A4248">
            <w:pPr>
              <w:ind w:left="0"/>
              <w:rPr>
                <w:szCs w:val="22"/>
              </w:rPr>
            </w:pPr>
            <w:r w:rsidRPr="00D01DDB">
              <w:rPr>
                <w:szCs w:val="22"/>
              </w:rPr>
              <w:t>Second round evaluation completed</w:t>
            </w:r>
          </w:p>
        </w:tc>
        <w:tc>
          <w:tcPr>
            <w:tcW w:w="2409" w:type="dxa"/>
          </w:tcPr>
          <w:p w14:paraId="4E47DF62" w14:textId="0971D426" w:rsidR="00324B33" w:rsidRPr="00D01DDB" w:rsidRDefault="00C94BBC" w:rsidP="008A42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11 July 2022</w:t>
            </w:r>
          </w:p>
        </w:tc>
      </w:tr>
      <w:tr w:rsidR="00324B33" w:rsidRPr="00D01DDB" w14:paraId="302FCB45"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716E9DC1" w14:textId="6EE47B8F" w:rsidR="00324B33" w:rsidRPr="00D01DDB" w:rsidRDefault="00324B33" w:rsidP="008A4248">
            <w:pPr>
              <w:ind w:left="0"/>
              <w:rPr>
                <w:szCs w:val="22"/>
              </w:rPr>
            </w:pPr>
            <w:r w:rsidRPr="00D01DDB">
              <w:rPr>
                <w:szCs w:val="22"/>
              </w:rPr>
              <w:t xml:space="preserve">Delegate’s Overall benefit-risk assessment </w:t>
            </w:r>
          </w:p>
        </w:tc>
        <w:tc>
          <w:tcPr>
            <w:tcW w:w="2409" w:type="dxa"/>
          </w:tcPr>
          <w:p w14:paraId="3BA6EF79" w14:textId="3F1537C2" w:rsidR="00324B33" w:rsidRPr="00D01DDB" w:rsidRDefault="00C94BBC" w:rsidP="008A42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24 October 2022</w:t>
            </w:r>
          </w:p>
        </w:tc>
      </w:tr>
      <w:tr w:rsidR="00324B33" w:rsidRPr="00D01DDB" w14:paraId="6E5D32FE"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4E95C44C" w14:textId="7A91C710" w:rsidR="00324B33" w:rsidRPr="00D01DDB" w:rsidRDefault="00324B33" w:rsidP="008A4248">
            <w:pPr>
              <w:ind w:left="0"/>
              <w:rPr>
                <w:szCs w:val="22"/>
              </w:rPr>
            </w:pPr>
            <w:r w:rsidRPr="00D01DDB">
              <w:rPr>
                <w:szCs w:val="22"/>
              </w:rPr>
              <w:t>Registration decision (Outcome)</w:t>
            </w:r>
          </w:p>
        </w:tc>
        <w:tc>
          <w:tcPr>
            <w:tcW w:w="2409" w:type="dxa"/>
          </w:tcPr>
          <w:p w14:paraId="62987ABD" w14:textId="0ADF304F" w:rsidR="00324B33" w:rsidRPr="00D01DDB" w:rsidRDefault="00C94BBC" w:rsidP="008A42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13 January 2023</w:t>
            </w:r>
          </w:p>
        </w:tc>
      </w:tr>
      <w:tr w:rsidR="00324B33" w:rsidRPr="00D01DDB" w14:paraId="6DDCDDA4"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192FD19D" w14:textId="7D5F96C5" w:rsidR="00324B33" w:rsidRPr="00D01DDB" w:rsidRDefault="0013132F" w:rsidP="008A4248">
            <w:pPr>
              <w:ind w:left="0"/>
              <w:rPr>
                <w:szCs w:val="22"/>
              </w:rPr>
            </w:pPr>
            <w:r>
              <w:t>Administrative activities and registration on the ARTG completed</w:t>
            </w:r>
          </w:p>
        </w:tc>
        <w:tc>
          <w:tcPr>
            <w:tcW w:w="2409" w:type="dxa"/>
          </w:tcPr>
          <w:p w14:paraId="5A8923FD" w14:textId="4BD01A12" w:rsidR="00324B33" w:rsidRPr="00D01DDB" w:rsidRDefault="00C94BBC" w:rsidP="008A42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16 January 2023</w:t>
            </w:r>
          </w:p>
        </w:tc>
      </w:tr>
      <w:tr w:rsidR="00324B33" w:rsidRPr="00D01DDB" w14:paraId="56D922E2" w14:textId="77777777" w:rsidTr="008A4248">
        <w:tc>
          <w:tcPr>
            <w:cnfStyle w:val="001000000000" w:firstRow="0" w:lastRow="0" w:firstColumn="1" w:lastColumn="0" w:oddVBand="0" w:evenVBand="0" w:oddHBand="0" w:evenHBand="0" w:firstRowFirstColumn="0" w:firstRowLastColumn="0" w:lastRowFirstColumn="0" w:lastRowLastColumn="0"/>
            <w:tcW w:w="6658" w:type="dxa"/>
          </w:tcPr>
          <w:p w14:paraId="787FD8DD" w14:textId="0E0CF97F" w:rsidR="00324B33" w:rsidRPr="00D01DDB" w:rsidRDefault="00324B33" w:rsidP="008A4248">
            <w:pPr>
              <w:ind w:left="0"/>
              <w:rPr>
                <w:szCs w:val="22"/>
              </w:rPr>
            </w:pPr>
            <w:r w:rsidRPr="00D01DDB">
              <w:rPr>
                <w:szCs w:val="22"/>
              </w:rPr>
              <w:t>Number of working days from submission dossier acceptance to registration decision*</w:t>
            </w:r>
          </w:p>
        </w:tc>
        <w:tc>
          <w:tcPr>
            <w:tcW w:w="2409" w:type="dxa"/>
          </w:tcPr>
          <w:p w14:paraId="5BAF9FA1" w14:textId="0C834490" w:rsidR="00324B33" w:rsidRPr="00D01DDB" w:rsidRDefault="00C94BBC" w:rsidP="008A42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247</w:t>
            </w:r>
          </w:p>
        </w:tc>
      </w:tr>
    </w:tbl>
    <w:p w14:paraId="096B8688" w14:textId="3B12B38A" w:rsidR="007072A1" w:rsidRPr="00C94BBC" w:rsidRDefault="00433318" w:rsidP="00C94BBC">
      <w:pPr>
        <w:pStyle w:val="TableDescription"/>
        <w:rPr>
          <w:rStyle w:val="Hyperlink"/>
          <w:color w:val="auto"/>
          <w:u w:val="none"/>
        </w:rPr>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3" w:name="_Toc196046504"/>
      <w:bookmarkStart w:id="34" w:name="_Toc247691527"/>
      <w:bookmarkStart w:id="35" w:name="_Toc314842510"/>
      <w:bookmarkStart w:id="36" w:name="_Toc103679294"/>
      <w:bookmarkStart w:id="37" w:name="_Toc158284395"/>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33"/>
      <w:bookmarkEnd w:id="34"/>
      <w:bookmarkEnd w:id="35"/>
      <w:bookmarkEnd w:id="36"/>
      <w:bookmarkEnd w:id="37"/>
    </w:p>
    <w:p w14:paraId="540151FC" w14:textId="77777777" w:rsidR="00C22214" w:rsidRPr="00BD5DBD" w:rsidRDefault="00C22214" w:rsidP="00BD5DBD">
      <w:pPr>
        <w:rPr>
          <w:szCs w:val="22"/>
        </w:rPr>
      </w:pPr>
      <w:bookmarkStart w:id="38" w:name="_Toc247691528"/>
      <w:bookmarkStart w:id="39"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40" w:name="_Toc103679295"/>
      <w:bookmarkStart w:id="41" w:name="_Toc158284396"/>
      <w:r>
        <w:t>Quality</w:t>
      </w:r>
      <w:bookmarkEnd w:id="38"/>
      <w:bookmarkEnd w:id="39"/>
      <w:bookmarkEnd w:id="40"/>
      <w:bookmarkEnd w:id="41"/>
    </w:p>
    <w:p w14:paraId="53ADE14A" w14:textId="2AB613C5" w:rsidR="00C94BBC" w:rsidRPr="005D5F8E" w:rsidRDefault="00C94BBC" w:rsidP="00C94BBC">
      <w:r>
        <w:t xml:space="preserve">The quality evaluation recommended approval of </w:t>
      </w:r>
      <w:r w:rsidRPr="00C94BBC">
        <w:t xml:space="preserve">avatrombopag </w:t>
      </w:r>
      <w:r>
        <w:t>based on the quality aspects.</w:t>
      </w:r>
    </w:p>
    <w:p w14:paraId="50A8A388" w14:textId="4BCD0FD9" w:rsidR="00C94BBC" w:rsidRDefault="00C94BBC" w:rsidP="00C94BBC">
      <w:pPr>
        <w:pStyle w:val="FigureTitle"/>
      </w:pPr>
      <w:r>
        <w:t xml:space="preserve">Figure </w:t>
      </w:r>
      <w:r w:rsidR="008A4248">
        <w:fldChar w:fldCharType="begin"/>
      </w:r>
      <w:r w:rsidR="008A4248">
        <w:instrText xml:space="preserve"> SEQ Figure \* ARABIC </w:instrText>
      </w:r>
      <w:r w:rsidR="008A4248">
        <w:fldChar w:fldCharType="separate"/>
      </w:r>
      <w:r w:rsidR="00197355">
        <w:rPr>
          <w:noProof/>
        </w:rPr>
        <w:t>3</w:t>
      </w:r>
      <w:r w:rsidR="008A4248">
        <w:rPr>
          <w:noProof/>
        </w:rPr>
        <w:fldChar w:fldCharType="end"/>
      </w:r>
      <w:r>
        <w:rPr>
          <w:noProof/>
        </w:rPr>
        <w:t>:</w:t>
      </w:r>
      <w:r>
        <w:t xml:space="preserve"> Chemical structure of avatrombopag</w:t>
      </w:r>
    </w:p>
    <w:p w14:paraId="70967577" w14:textId="77777777" w:rsidR="00C94BBC" w:rsidRDefault="00C94BBC" w:rsidP="00C94BBC">
      <w:r w:rsidRPr="00304F54">
        <w:rPr>
          <w:noProof/>
        </w:rPr>
        <w:drawing>
          <wp:inline distT="0" distB="0" distL="0" distR="0" wp14:anchorId="72707B79" wp14:editId="452109E6">
            <wp:extent cx="3561551" cy="1871657"/>
            <wp:effectExtent l="0" t="0" r="1270" b="0"/>
            <wp:docPr id="4" name="Picture 4" descr="Chemical structure of avatrombo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emical structure of avatrombop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849" cy="1886528"/>
                    </a:xfrm>
                    <a:prstGeom prst="rect">
                      <a:avLst/>
                    </a:prstGeom>
                    <a:noFill/>
                    <a:ln>
                      <a:noFill/>
                    </a:ln>
                  </pic:spPr>
                </pic:pic>
              </a:graphicData>
            </a:graphic>
          </wp:inline>
        </w:drawing>
      </w:r>
    </w:p>
    <w:p w14:paraId="4C218CB6" w14:textId="031B9A94" w:rsidR="00C94BBC" w:rsidRPr="00C94BBC" w:rsidRDefault="00C94BBC" w:rsidP="00C94BBC">
      <w:r w:rsidRPr="00C94BBC">
        <w:t xml:space="preserve">The quality evaluation was satisfied with the quality controls on starting materials. The drug substance is a white to off-white </w:t>
      </w:r>
      <w:r w:rsidR="00D20727">
        <w:t>non-</w:t>
      </w:r>
      <w:r w:rsidRPr="00C94BBC">
        <w:t>hygroscopic powder, practically insoluble in water at all pH values. The sponsor considered the compound was BCS Class IV.</w:t>
      </w:r>
    </w:p>
    <w:p w14:paraId="3E20076C" w14:textId="77777777" w:rsidR="00C94BBC" w:rsidRPr="00C94BBC" w:rsidRDefault="00C94BBC" w:rsidP="00C94BBC">
      <w:r w:rsidRPr="00C94BBC">
        <w:t>Assay limits for the drug substance were acceptable. Specified related substances and impurity limits were justified, in line with relevant ICH standards, and were considered acceptable. Particle size limits were acceptable as were the residual solvent limits. Excipients were conventional for the dose form and acceptable, with appropriate controls.</w:t>
      </w:r>
    </w:p>
    <w:p w14:paraId="6DC983E3" w14:textId="0B809343" w:rsidR="00C94BBC" w:rsidRPr="00C94BBC" w:rsidRDefault="00C94BBC" w:rsidP="00C94BBC">
      <w:r w:rsidRPr="00C94BBC">
        <w:t>The drug product was a pale yellow, round biconvex, film coated tablet, debossed, ‘AVA’ on one side and ‘20’ on the other.</w:t>
      </w:r>
    </w:p>
    <w:p w14:paraId="66D58A82" w14:textId="5FB0FA9D" w:rsidR="00C94BBC" w:rsidRPr="00C94BBC" w:rsidRDefault="00C94BBC" w:rsidP="00C94BBC">
      <w:r w:rsidRPr="00C94BBC">
        <w:t>Nitrite impurities and the possibility of nitrosamine formation was addressed sufficiently for the evaluation to recommend approval. The sponsor has undertaken to conduct a nitrosamines impurity reassessment and provide the results to the TGA. The evaluation found this was sufficient.</w:t>
      </w:r>
    </w:p>
    <w:p w14:paraId="292F7E8F" w14:textId="5AC10893" w:rsidR="00C94BBC" w:rsidRPr="00C94BBC" w:rsidRDefault="00C94BBC" w:rsidP="00C94BBC">
      <w:r w:rsidRPr="00C94BBC">
        <w:t>The control of mutagenic impurities was below the limit of 0.2% set by international regulators, all batches tested were well within this threshold (0.01%). The evaluation accepted the sponsor’s commitment to provide the results of an Ames test post-approval to the TGA for evaluation and that, if necessary, a variation to the limits of the impurities will be sought.</w:t>
      </w:r>
    </w:p>
    <w:p w14:paraId="1E170BEB" w14:textId="7127921D" w:rsidR="00C94BBC" w:rsidRPr="00C94BBC" w:rsidRDefault="00C94BBC" w:rsidP="00C94BBC">
      <w:r w:rsidRPr="00C94BBC">
        <w:t>Three formulations were used in clinical studies: powder for oral suspension and two film</w:t>
      </w:r>
      <w:r w:rsidRPr="00C94BBC">
        <w:noBreakHyphen/>
        <w:t xml:space="preserve">coated tablet formulations A and B. Formulation A was used in the Phase I and II studies and the </w:t>
      </w:r>
      <w:proofErr w:type="gramStart"/>
      <w:r w:rsidRPr="00C94BBC">
        <w:t>second generation</w:t>
      </w:r>
      <w:proofErr w:type="gramEnd"/>
      <w:r w:rsidRPr="00C94BBC">
        <w:t xml:space="preserve"> formulation B used in the late Phase II and pivotal Phase III studies is proposed for commercialisation.</w:t>
      </w:r>
    </w:p>
    <w:p w14:paraId="7530F349" w14:textId="2AC47FDE" w:rsidR="00C94BBC" w:rsidRPr="00C94BBC" w:rsidRDefault="00C94BBC" w:rsidP="00C94BBC">
      <w:r w:rsidRPr="00C94BBC">
        <w:t>The primary container closure for the 20 mg tablet was a blister pack in a carton. The stability data provided supported the proposed shelf life of 60 months when stored below 25 °C.</w:t>
      </w:r>
    </w:p>
    <w:p w14:paraId="64EE1BEC" w14:textId="71F22B35" w:rsidR="00C94BBC" w:rsidRPr="00C94BBC" w:rsidRDefault="00C94BBC" w:rsidP="00C94BBC">
      <w:r w:rsidRPr="00C94BBC">
        <w:t>All manufacturing sites had current clearance certificates valid until after the expected decision date.</w:t>
      </w:r>
    </w:p>
    <w:p w14:paraId="2BE90AAE" w14:textId="77777777" w:rsidR="00C22214" w:rsidRDefault="00C22214" w:rsidP="00C22214">
      <w:pPr>
        <w:pStyle w:val="Heading3"/>
      </w:pPr>
      <w:bookmarkStart w:id="42" w:name="_Toc314842512"/>
      <w:bookmarkStart w:id="43" w:name="_Toc103679296"/>
      <w:bookmarkStart w:id="44" w:name="_Toc158284397"/>
      <w:r>
        <w:lastRenderedPageBreak/>
        <w:t>Nonclinical</w:t>
      </w:r>
      <w:bookmarkEnd w:id="42"/>
      <w:bookmarkEnd w:id="43"/>
      <w:bookmarkEnd w:id="44"/>
    </w:p>
    <w:p w14:paraId="6020169D" w14:textId="1B7249B5" w:rsidR="00C94BBC" w:rsidRPr="00C94BBC" w:rsidRDefault="00C94BBC" w:rsidP="00C94BBC">
      <w:bookmarkStart w:id="45" w:name="_Toc247691530"/>
      <w:bookmarkStart w:id="46" w:name="_Toc314842513"/>
      <w:bookmarkStart w:id="47" w:name="_Toc103679297"/>
      <w:r w:rsidRPr="00C94BBC">
        <w:t>The nonclinical evaluation had no objections to the registration of Doptelet for the proposed indications. The evaluation concluded the toxicity of avatrombopag may not have been fully characterised by animal studies, and the safety relies on clinical data. Careful monitoring of patients for unexpected adverse effects is therefore recommended.</w:t>
      </w:r>
    </w:p>
    <w:p w14:paraId="4A107E1E" w14:textId="5D9A3655" w:rsidR="00C94BBC" w:rsidRPr="00C94BBC" w:rsidRDefault="00C94BBC" w:rsidP="00C94BBC">
      <w:r w:rsidRPr="00C94BBC">
        <w:t>Non</w:t>
      </w:r>
      <w:r w:rsidR="00006B55">
        <w:t>clinical</w:t>
      </w:r>
      <w:r w:rsidRPr="00C94BBC">
        <w:t xml:space="preserve"> studies were conducted in species in which avatrombopag is not pharmacologically active. This is a major deficiency in the submitted package. Nevertheless, toxicity studies in the only known responsive animal species (chimpanzees) could not be conducted for ethical reasons. Due to high species specificity, adequate </w:t>
      </w:r>
      <w:r w:rsidRPr="00C94BBC">
        <w:rPr>
          <w:i/>
          <w:iCs/>
        </w:rPr>
        <w:t>in vivo</w:t>
      </w:r>
      <w:r w:rsidRPr="00C94BBC">
        <w:t xml:space="preserve"> systems were lacking to investigate efficacy.</w:t>
      </w:r>
    </w:p>
    <w:p w14:paraId="75C3331D" w14:textId="1281FCBF" w:rsidR="00C94BBC" w:rsidRPr="00C94BBC" w:rsidRDefault="00C94BBC" w:rsidP="00C94BBC">
      <w:r>
        <w:t>Avatrombopag</w:t>
      </w:r>
      <w:r w:rsidRPr="00C94BBC">
        <w:t xml:space="preserve"> induces cell proliferation via the thrombopoietin </w:t>
      </w:r>
      <w:r w:rsidRPr="00006B55">
        <w:t>receptor (TPO-R).</w:t>
      </w:r>
      <w:r w:rsidRPr="00C94BBC">
        <w:t xml:space="preserve"> </w:t>
      </w:r>
      <w:r>
        <w:t>Avatrombopag</w:t>
      </w:r>
      <w:r w:rsidRPr="00C94BBC">
        <w:t xml:space="preserve"> is expected to have an additive effect with TPO when administered together given TPO binds to an </w:t>
      </w:r>
      <w:proofErr w:type="spellStart"/>
      <w:r w:rsidRPr="00C94BBC">
        <w:t>extracytoplasmic</w:t>
      </w:r>
      <w:proofErr w:type="spellEnd"/>
      <w:r w:rsidRPr="00C94BBC">
        <w:t xml:space="preserve"> domain of the TPO receptor and </w:t>
      </w:r>
      <w:r>
        <w:t>avatrombopag</w:t>
      </w:r>
      <w:r w:rsidRPr="00C94BBC">
        <w:t xml:space="preserve"> binds to a transmembrane site on the TPO receptor. The nonclinical data findings of thrombopoietic and </w:t>
      </w:r>
      <w:proofErr w:type="spellStart"/>
      <w:r w:rsidRPr="00C94BBC">
        <w:t>megakaryopoietic</w:t>
      </w:r>
      <w:proofErr w:type="spellEnd"/>
      <w:r w:rsidRPr="00C94BBC">
        <w:t xml:space="preserve"> activity without affecting platelet function, support the proposed indication at the proposed clinical dose.</w:t>
      </w:r>
    </w:p>
    <w:p w14:paraId="5C8CE727" w14:textId="7140051B" w:rsidR="00C94BBC" w:rsidRPr="00C94BBC" w:rsidRDefault="00C94BBC" w:rsidP="00C94BBC">
      <w:r w:rsidRPr="00C94BBC">
        <w:rPr>
          <w:i/>
          <w:iCs/>
        </w:rPr>
        <w:t>In vitro</w:t>
      </w:r>
      <w:r w:rsidRPr="00C94BBC">
        <w:t xml:space="preserve"> screening assays did not identify any clinically relevant secondary pharmacological activity by </w:t>
      </w:r>
      <w:r>
        <w:t>avatrombopag</w:t>
      </w:r>
      <w:r w:rsidRPr="00C94BBC">
        <w:t>.</w:t>
      </w:r>
    </w:p>
    <w:p w14:paraId="248CBAAE" w14:textId="2D7C36C7" w:rsidR="00C94BBC" w:rsidRPr="00C94BBC" w:rsidRDefault="00C94BBC" w:rsidP="00C94BBC">
      <w:r w:rsidRPr="00C94BBC">
        <w:t xml:space="preserve">Safety pharmacology studies assessed effects on the cardiovascular, respiratory, </w:t>
      </w:r>
      <w:proofErr w:type="gramStart"/>
      <w:r w:rsidRPr="00C94BBC">
        <w:t>renal</w:t>
      </w:r>
      <w:proofErr w:type="gramEnd"/>
      <w:r w:rsidRPr="00C94BBC">
        <w:t xml:space="preserve"> and central nervous systems. </w:t>
      </w:r>
      <w:r w:rsidRPr="00C94BBC">
        <w:rPr>
          <w:i/>
          <w:iCs/>
        </w:rPr>
        <w:t>In vitro</w:t>
      </w:r>
      <w:r w:rsidRPr="00C94BBC">
        <w:t xml:space="preserve"> studies did not identify significant inhibition of human ether-a-go-go-related gene</w:t>
      </w:r>
      <w:r w:rsidR="00006B55">
        <w:t xml:space="preserve"> </w:t>
      </w:r>
      <w:r w:rsidRPr="00C94BBC">
        <w:t xml:space="preserve">channel tail current at clinically relevant concentrations of </w:t>
      </w:r>
      <w:r>
        <w:t>avatrombopag</w:t>
      </w:r>
      <w:r w:rsidRPr="00C94BBC">
        <w:t xml:space="preserve"> and no effects on action potentials were noted in isolated guinea pig papillary muscles. No adverse effects were seen on </w:t>
      </w:r>
      <w:r w:rsidR="00006B55">
        <w:t>central nervous system</w:t>
      </w:r>
      <w:r w:rsidRPr="00C94BBC">
        <w:t xml:space="preserve"> function in rats and cardiovascular or respiratory function in dogs. The reversible renal toxicity only seen in dogs has unknown clinical relevance. The nonclinical evaluat</w:t>
      </w:r>
      <w:r>
        <w:t>ion</w:t>
      </w:r>
      <w:r w:rsidRPr="00C94BBC">
        <w:t xml:space="preserve"> recommend</w:t>
      </w:r>
      <w:r>
        <w:t>ed</w:t>
      </w:r>
      <w:r w:rsidRPr="00C94BBC">
        <w:t xml:space="preserve"> post market monitoring.</w:t>
      </w:r>
    </w:p>
    <w:p w14:paraId="45E2742F" w14:textId="475733FA" w:rsidR="00C94BBC" w:rsidRPr="00C94BBC" w:rsidRDefault="00C94BBC" w:rsidP="00C94BBC">
      <w:r w:rsidRPr="00C94BBC">
        <w:t xml:space="preserve">The pharmacokinetic profile in animals was qualitatively </w:t>
      </w:r>
      <w:proofErr w:type="gramStart"/>
      <w:r w:rsidRPr="00C94BBC">
        <w:t>similar to</w:t>
      </w:r>
      <w:proofErr w:type="gramEnd"/>
      <w:r w:rsidRPr="00C94BBC">
        <w:t xml:space="preserve"> that of humans.</w:t>
      </w:r>
      <w:r w:rsidR="00305CA5">
        <w:t xml:space="preserve"> </w:t>
      </w:r>
      <w:r>
        <w:t>Avatrombopag</w:t>
      </w:r>
      <w:r w:rsidRPr="00C94BBC">
        <w:t xml:space="preserve"> was rapidly absorbed with a similar</w:t>
      </w:r>
      <w:r>
        <w:t xml:space="preserve"> time to reach maximum concentratio</w:t>
      </w:r>
      <w:r w:rsidRPr="00006B55">
        <w:t>n (</w:t>
      </w:r>
      <w:proofErr w:type="spellStart"/>
      <w:r w:rsidRPr="00006B55">
        <w:t>T</w:t>
      </w:r>
      <w:r w:rsidRPr="00006B55">
        <w:rPr>
          <w:vertAlign w:val="subscript"/>
        </w:rPr>
        <w:t>max</w:t>
      </w:r>
      <w:proofErr w:type="spellEnd"/>
      <w:r w:rsidRPr="00006B55">
        <w:t>)</w:t>
      </w:r>
      <w:r w:rsidRPr="00C94BBC">
        <w:t xml:space="preserve"> in all species; however, half-life values were highly variable in all species indicating high variability in absorption. Oral bioavailability was very high in mice (91%), high in rats (89</w:t>
      </w:r>
      <w:r>
        <w:t xml:space="preserve"> to </w:t>
      </w:r>
      <w:r w:rsidRPr="00C94BBC">
        <w:t>94%) and moderate in dogs (52%) and monkeys (49</w:t>
      </w:r>
      <w:r>
        <w:t xml:space="preserve"> to </w:t>
      </w:r>
      <w:r w:rsidRPr="00C94BBC">
        <w:t>67%) (c</w:t>
      </w:r>
      <w:r>
        <w:t>ompared with,</w:t>
      </w:r>
      <w:r w:rsidRPr="00C94BBC">
        <w:t xml:space="preserve"> 44% estimated in CLD patients). Plasma protein binding of </w:t>
      </w:r>
      <w:r>
        <w:t>avatrombopag</w:t>
      </w:r>
      <w:r w:rsidRPr="00C94BBC">
        <w:t xml:space="preserve"> was high in humans, </w:t>
      </w:r>
      <w:proofErr w:type="gramStart"/>
      <w:r w:rsidRPr="00C94BBC">
        <w:t>monkeys</w:t>
      </w:r>
      <w:proofErr w:type="gramEnd"/>
      <w:r w:rsidRPr="00C94BBC">
        <w:t xml:space="preserve"> and dogs, and medium to high in rodents and rabbits. Tissue distribution of </w:t>
      </w:r>
      <w:r>
        <w:t>avatrombopag</w:t>
      </w:r>
      <w:r w:rsidRPr="00C94BBC">
        <w:t xml:space="preserve"> was wide but brain penetration was very limited. Affinity to and retention in melanin</w:t>
      </w:r>
      <w:r>
        <w:t xml:space="preserve"> </w:t>
      </w:r>
      <w:r w:rsidRPr="00C94BBC">
        <w:t xml:space="preserve">containing tissues was evident. </w:t>
      </w:r>
      <w:r w:rsidRPr="00C94BBC">
        <w:rPr>
          <w:i/>
          <w:iCs/>
        </w:rPr>
        <w:t>In vitro</w:t>
      </w:r>
      <w:r w:rsidRPr="00C94BBC">
        <w:t xml:space="preserve"> studies indicated CYP3A4 and CYP2C9 are involved in the metabolism of </w:t>
      </w:r>
      <w:r>
        <w:t>avatrombopag</w:t>
      </w:r>
      <w:r w:rsidRPr="00C94BBC">
        <w:t>.</w:t>
      </w:r>
      <w:bookmarkStart w:id="48" w:name="_Ref151453200"/>
      <w:r>
        <w:rPr>
          <w:rStyle w:val="FootnoteReference"/>
        </w:rPr>
        <w:footnoteReference w:id="16"/>
      </w:r>
      <w:bookmarkEnd w:id="48"/>
      <w:r w:rsidRPr="00C94BBC">
        <w:t xml:space="preserve"> There was no circulating major metabolite in animals and humans. Faeces was the predominant route of excretion.</w:t>
      </w:r>
    </w:p>
    <w:p w14:paraId="1A83A04B" w14:textId="77777777" w:rsidR="00305CA5" w:rsidRDefault="00C94BBC" w:rsidP="008A4248">
      <w:pPr>
        <w:pageBreakBefore/>
      </w:pPr>
      <w:r w:rsidRPr="00C94BBC">
        <w:lastRenderedPageBreak/>
        <w:t xml:space="preserve">From </w:t>
      </w:r>
      <w:r w:rsidRPr="00C94BBC">
        <w:rPr>
          <w:i/>
          <w:iCs/>
        </w:rPr>
        <w:t>in vitro</w:t>
      </w:r>
      <w:r w:rsidRPr="00C94BBC">
        <w:t xml:space="preserve"> studies, CYP3A4 and CYP2C9 inhibitors/inducers could alter the systemic exposure to </w:t>
      </w:r>
      <w:r>
        <w:t>avatrombopag</w:t>
      </w:r>
      <w:r w:rsidRPr="00C94BBC">
        <w:t xml:space="preserve">. </w:t>
      </w:r>
      <w:r>
        <w:t>Avatrombopag</w:t>
      </w:r>
      <w:r w:rsidRPr="00C94BBC">
        <w:t xml:space="preserve"> inhibited P-glycoprotein (intestinal), </w:t>
      </w:r>
      <w:r>
        <w:t>b</w:t>
      </w:r>
      <w:r w:rsidRPr="00C94BBC">
        <w:t>reast cancer resistance protein, multi</w:t>
      </w:r>
      <w:r>
        <w:noBreakHyphen/>
      </w:r>
      <w:r w:rsidRPr="00C94BBC">
        <w:t xml:space="preserve">drug resistance protein 2, </w:t>
      </w:r>
      <w:r>
        <w:t>o</w:t>
      </w:r>
      <w:r w:rsidRPr="00C94BBC">
        <w:t xml:space="preserve">rganic anion </w:t>
      </w:r>
      <w:r w:rsidRPr="00006B55">
        <w:t>transporter (OAT)-</w:t>
      </w:r>
      <w:r w:rsidRPr="00C94BBC">
        <w:t xml:space="preserve">P1B3, OAT1, OAT3 and </w:t>
      </w:r>
      <w:r>
        <w:t>o</w:t>
      </w:r>
      <w:r w:rsidRPr="00C94BBC">
        <w:t xml:space="preserve">rganic cation transporter </w:t>
      </w:r>
      <w:r>
        <w:t>1</w:t>
      </w:r>
      <w:r w:rsidR="00305CA5">
        <w:t>.</w:t>
      </w:r>
    </w:p>
    <w:p w14:paraId="0247ECF0" w14:textId="0F646BAE" w:rsidR="00C94BBC" w:rsidRPr="00C94BBC" w:rsidRDefault="00C94BBC" w:rsidP="00C94BBC">
      <w:r>
        <w:t>Avatrombopag</w:t>
      </w:r>
      <w:r w:rsidRPr="00C94BBC">
        <w:t xml:space="preserve"> had a low order of acute oral toxicity in rats and monkeys. Repeat-dose toxicity studies by the clinical route were conducted in mice (3 months), rats (up to 6 months), dogs (4</w:t>
      </w:r>
      <w:r>
        <w:t> </w:t>
      </w:r>
      <w:r w:rsidRPr="00C94BBC">
        <w:t>weeks) and Cynomolgus monkeys (up to 13 months). Maximum exposures (</w:t>
      </w:r>
      <w:r>
        <w:t xml:space="preserve">area under the concentration </w:t>
      </w:r>
      <w:r w:rsidRPr="00006B55">
        <w:t>time curve (AUC)) were</w:t>
      </w:r>
      <w:r w:rsidRPr="00C94BBC">
        <w:t xml:space="preserve"> moderate to very high in mice and low to very high in rats, </w:t>
      </w:r>
      <w:proofErr w:type="gramStart"/>
      <w:r w:rsidRPr="00C94BBC">
        <w:t>dogs</w:t>
      </w:r>
      <w:proofErr w:type="gramEnd"/>
      <w:r w:rsidRPr="00C94BBC">
        <w:t xml:space="preserve"> and monkeys. Target organs for toxicity were the stomach in mice, rats and monkeys, the kidneys in mice</w:t>
      </w:r>
      <w:r>
        <w:t>,</w:t>
      </w:r>
      <w:r w:rsidRPr="00C94BBC">
        <w:t xml:space="preserve"> rats and dogs and skeletal muscle in monkeys. These findings were not considered clinically relevant.</w:t>
      </w:r>
    </w:p>
    <w:p w14:paraId="1C597175" w14:textId="47A99DCC" w:rsidR="00C94BBC" w:rsidRPr="00C94BBC" w:rsidRDefault="00C94BBC" w:rsidP="00C94BBC">
      <w:r>
        <w:t>Avatrombopag</w:t>
      </w:r>
      <w:r w:rsidRPr="00C94BBC">
        <w:t xml:space="preserve"> was not mutagenic in the bacterial mutation assay or clastogenic </w:t>
      </w:r>
      <w:r w:rsidRPr="00C94BBC">
        <w:rPr>
          <w:i/>
          <w:iCs/>
        </w:rPr>
        <w:t>in vitro</w:t>
      </w:r>
      <w:r w:rsidRPr="00C94BBC">
        <w:t xml:space="preserve"> (in human lymphocytes) or i</w:t>
      </w:r>
      <w:r w:rsidRPr="00C94BBC">
        <w:rPr>
          <w:i/>
          <w:iCs/>
        </w:rPr>
        <w:t>n vivo</w:t>
      </w:r>
      <w:r w:rsidRPr="00C94BBC">
        <w:t xml:space="preserve"> (in the rat micronucleus test).</w:t>
      </w:r>
    </w:p>
    <w:p w14:paraId="6306CBEF" w14:textId="77777777" w:rsidR="00305CA5" w:rsidRDefault="00C94BBC" w:rsidP="00C94BBC">
      <w:r w:rsidRPr="00C94BBC">
        <w:t>Malignant neuroendocrine cell tumours were seen in both mice and rats and hypergastrinemia</w:t>
      </w:r>
      <w:r w:rsidR="00006B55">
        <w:t xml:space="preserve"> </w:t>
      </w:r>
      <w:r w:rsidRPr="00C94BBC">
        <w:t xml:space="preserve">related gastric carcinoids in rodents are generally considered to be of low relevance to humans because </w:t>
      </w:r>
      <w:r>
        <w:t>avatrombopag</w:t>
      </w:r>
      <w:r w:rsidRPr="00C94BBC">
        <w:t xml:space="preserve"> is not pharmacologically active in rodents</w:t>
      </w:r>
      <w:r w:rsidR="00305CA5">
        <w:t>.</w:t>
      </w:r>
    </w:p>
    <w:p w14:paraId="6E3BD0D1" w14:textId="77777777" w:rsidR="00305CA5" w:rsidRDefault="00C94BBC" w:rsidP="00C94BBC">
      <w:r w:rsidRPr="00C94BBC">
        <w:t xml:space="preserve">Fertility was unaffected in male and female rats treated with </w:t>
      </w:r>
      <w:r>
        <w:t>avatrombopag</w:t>
      </w:r>
      <w:r w:rsidRPr="00C94BBC">
        <w:t xml:space="preserve"> at exposure levels </w:t>
      </w:r>
      <w:r>
        <w:t>greater than or equal to</w:t>
      </w:r>
      <w:r w:rsidRPr="00C94BBC">
        <w:t xml:space="preserve"> 22 and 114 times the clinical AUC in males and females, respectively. Decreased fetal weight and incidences of skeletal variations including incidences of 14th rib (rats), and increased abortion (rabbits) were seen in embryofetal development studies at exposures much higher than clinical exposure. Transfer of</w:t>
      </w:r>
      <w:r>
        <w:t xml:space="preserve"> avatrombopag</w:t>
      </w:r>
      <w:r w:rsidRPr="00C94BBC">
        <w:t xml:space="preserve"> was shown in lactating rats. Therefore, breastfed infants are likely to be exposed to </w:t>
      </w:r>
      <w:r>
        <w:t>avatrombopag</w:t>
      </w:r>
      <w:r w:rsidRPr="00C94BBC">
        <w:t xml:space="preserve"> following maternal exposure. Lower birth weight, increased mortality, and delay in sexual maturation were evident in pups of rats treated with </w:t>
      </w:r>
      <w:r>
        <w:t>avatrombopag</w:t>
      </w:r>
      <w:r w:rsidRPr="00C94BBC">
        <w:t xml:space="preserve"> during pregnancy and lactation at maternal exposures 30 times and pup exposures approximately </w:t>
      </w:r>
      <w:r w:rsidR="00006B55">
        <w:t>three</w:t>
      </w:r>
      <w:r w:rsidRPr="00C94BBC">
        <w:t xml:space="preserve"> times the clinical AUC</w:t>
      </w:r>
      <w:r w:rsidR="00305CA5">
        <w:t>.</w:t>
      </w:r>
    </w:p>
    <w:p w14:paraId="309EA26B" w14:textId="16CA6971" w:rsidR="00C94BBC" w:rsidRPr="00C94BBC" w:rsidRDefault="00C94BBC" w:rsidP="00C94BBC">
      <w:r>
        <w:t>Avatrombopag</w:t>
      </w:r>
      <w:r w:rsidRPr="00C94BBC">
        <w:t xml:space="preserve"> is not proposed for paediatric use. Studies in juvenile rats revealed findings that were </w:t>
      </w:r>
      <w:proofErr w:type="gramStart"/>
      <w:r w:rsidRPr="00C94BBC">
        <w:t>similar to</w:t>
      </w:r>
      <w:proofErr w:type="gramEnd"/>
      <w:r w:rsidRPr="00C94BBC">
        <w:t xml:space="preserve"> those seen in treated adults.</w:t>
      </w:r>
    </w:p>
    <w:p w14:paraId="50C9A70E" w14:textId="0DEEA060" w:rsidR="00C94BBC" w:rsidRPr="00C94BBC" w:rsidRDefault="00C94BBC" w:rsidP="00C94BBC">
      <w:r>
        <w:t>Avatrombopag</w:t>
      </w:r>
      <w:r w:rsidRPr="00C94BBC">
        <w:t xml:space="preserve"> had no eye irritation, skin irritation or phototoxicity potential in nonclinical studies, suggesting no concerns for local tolerance or phototoxic potential in humans.</w:t>
      </w:r>
    </w:p>
    <w:p w14:paraId="35B580A5" w14:textId="69B9BE44" w:rsidR="00C22214" w:rsidRDefault="00C22214" w:rsidP="008804CF">
      <w:pPr>
        <w:pStyle w:val="Heading3"/>
      </w:pPr>
      <w:bookmarkStart w:id="49" w:name="_Toc158284398"/>
      <w:r>
        <w:t>Clinical</w:t>
      </w:r>
      <w:bookmarkEnd w:id="45"/>
      <w:bookmarkEnd w:id="46"/>
      <w:bookmarkEnd w:id="47"/>
      <w:bookmarkEnd w:id="49"/>
    </w:p>
    <w:p w14:paraId="41FB14D5" w14:textId="1DACE4E5" w:rsidR="00837AB9" w:rsidRPr="00C94BBC" w:rsidRDefault="00C22214" w:rsidP="00C94BBC">
      <w:pPr>
        <w:pStyle w:val="Heading4"/>
      </w:pPr>
      <w:bookmarkStart w:id="50" w:name="_Toc98931928"/>
      <w:bookmarkStart w:id="51" w:name="_Toc158284399"/>
      <w:r>
        <w:t>Summary of clinical studies</w:t>
      </w:r>
      <w:bookmarkEnd w:id="50"/>
      <w:bookmarkEnd w:id="51"/>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5CAA4289" w:rsidR="00C22214" w:rsidRPr="00BD5DBD" w:rsidRDefault="00C94BBC" w:rsidP="00C22214">
      <w:pPr>
        <w:pStyle w:val="ListBullet"/>
        <w:rPr>
          <w:szCs w:val="22"/>
        </w:rPr>
      </w:pPr>
      <w:r>
        <w:rPr>
          <w:szCs w:val="22"/>
        </w:rPr>
        <w:t xml:space="preserve">Fifteen </w:t>
      </w:r>
      <w:r w:rsidR="00C22214" w:rsidRPr="00BD5DBD">
        <w:rPr>
          <w:szCs w:val="22"/>
        </w:rPr>
        <w:t>Phase I studies</w:t>
      </w:r>
    </w:p>
    <w:p w14:paraId="6B56CB17" w14:textId="5DBF4761" w:rsidR="00C22214" w:rsidRDefault="00C94BBC" w:rsidP="00C22214">
      <w:pPr>
        <w:pStyle w:val="ListBullet"/>
        <w:rPr>
          <w:szCs w:val="22"/>
        </w:rPr>
      </w:pPr>
      <w:r>
        <w:rPr>
          <w:szCs w:val="22"/>
        </w:rPr>
        <w:t>Five</w:t>
      </w:r>
      <w:r w:rsidR="00C22214" w:rsidRPr="00BD5DBD">
        <w:rPr>
          <w:szCs w:val="22"/>
        </w:rPr>
        <w:t xml:space="preserve"> Phase II studies</w:t>
      </w:r>
    </w:p>
    <w:p w14:paraId="0E223294" w14:textId="0CD5E209" w:rsidR="00C94BBC" w:rsidRDefault="00C94BBC" w:rsidP="00C22214">
      <w:pPr>
        <w:pStyle w:val="ListBullet"/>
        <w:rPr>
          <w:szCs w:val="22"/>
        </w:rPr>
      </w:pPr>
      <w:r>
        <w:rPr>
          <w:szCs w:val="22"/>
        </w:rPr>
        <w:t>Four Phase III studies</w:t>
      </w:r>
    </w:p>
    <w:p w14:paraId="10475406" w14:textId="77777777" w:rsidR="00C94BBC" w:rsidRDefault="00C94BBC" w:rsidP="008A4248">
      <w:pPr>
        <w:pStyle w:val="Heading4"/>
        <w:pageBreakBefore/>
        <w:rPr>
          <w:rFonts w:eastAsia="Times New Roman"/>
          <w:b w:val="0"/>
          <w:i/>
          <w:color w:val="7295D2" w:themeColor="accent1" w:themeTint="BF"/>
        </w:rPr>
      </w:pPr>
      <w:bookmarkStart w:id="52" w:name="_Toc158284400"/>
      <w:r w:rsidRPr="00AA53F4">
        <w:lastRenderedPageBreak/>
        <w:t>Pharmacology</w:t>
      </w:r>
      <w:bookmarkEnd w:id="52"/>
    </w:p>
    <w:p w14:paraId="0F1C9B5D" w14:textId="4D989A43" w:rsidR="00C94BBC" w:rsidRDefault="00C94BBC" w:rsidP="00C94BBC">
      <w:pPr>
        <w:pStyle w:val="Heading5"/>
      </w:pPr>
      <w:r w:rsidRPr="00AA53F4">
        <w:t>Pharmacokinetics</w:t>
      </w:r>
    </w:p>
    <w:p w14:paraId="5780FE66" w14:textId="2A33A656" w:rsidR="00C94BBC" w:rsidRPr="00C94BBC" w:rsidRDefault="00C94BBC" w:rsidP="00C94BBC">
      <w:r w:rsidRPr="00C94BBC">
        <w:t xml:space="preserve">The </w:t>
      </w:r>
      <w:r w:rsidR="00006B55">
        <w:t xml:space="preserve">clinical </w:t>
      </w:r>
      <w:r w:rsidRPr="00C94BBC">
        <w:t>evaluation found the conduct of the studies that were provided in support of the current submission was satisfactory, the data analyses undertaken were appropriate and the analytical methods used to measure avatrombopag exposure levels were validated.</w:t>
      </w:r>
    </w:p>
    <w:p w14:paraId="0AAC7111" w14:textId="7A658E7D" w:rsidR="00C94BBC" w:rsidRPr="00C94BBC" w:rsidRDefault="00C94BBC" w:rsidP="00C94BBC">
      <w:r w:rsidRPr="00C94BBC">
        <w:t>The absolute oral bioavailability in humans is unknown. After a single oral 20</w:t>
      </w:r>
      <w:r>
        <w:t> </w:t>
      </w:r>
      <w:r w:rsidRPr="00C94BBC">
        <w:t xml:space="preserve">mg dose the median </w:t>
      </w:r>
      <w:r>
        <w:t>time to reach maximum conc</w:t>
      </w:r>
      <w:r w:rsidRPr="00006B55">
        <w:t>entration (</w:t>
      </w:r>
      <w:proofErr w:type="spellStart"/>
      <w:r w:rsidRPr="00006B55">
        <w:t>T</w:t>
      </w:r>
      <w:r w:rsidRPr="00006B55">
        <w:rPr>
          <w:vertAlign w:val="subscript"/>
        </w:rPr>
        <w:t>max</w:t>
      </w:r>
      <w:proofErr w:type="spellEnd"/>
      <w:r w:rsidRPr="00006B55">
        <w:t>) was</w:t>
      </w:r>
      <w:r w:rsidRPr="00C94BBC">
        <w:t xml:space="preserve"> 8</w:t>
      </w:r>
      <w:r>
        <w:t> </w:t>
      </w:r>
      <w:r w:rsidRPr="00C94BBC">
        <w:t>h</w:t>
      </w:r>
      <w:r>
        <w:t>ours</w:t>
      </w:r>
      <w:r w:rsidRPr="00C94BBC">
        <w:t>.</w:t>
      </w:r>
    </w:p>
    <w:p w14:paraId="147A3CC5" w14:textId="43B42997" w:rsidR="00C94BBC" w:rsidRPr="00C94BBC" w:rsidRDefault="00C94BBC" w:rsidP="00C94BBC">
      <w:r w:rsidRPr="00C94BBC">
        <w:t xml:space="preserve">Avatrombopag should be administered with food. Under fasted conditions </w:t>
      </w:r>
      <w:r>
        <w:t>pharmacokinetics</w:t>
      </w:r>
      <w:r w:rsidRPr="00C94BBC">
        <w:t xml:space="preserve"> was highly variable (up to 4-fold differences for </w:t>
      </w:r>
      <w:r>
        <w:t>a</w:t>
      </w:r>
      <w:r w:rsidRPr="00C94BBC">
        <w:t>rea under the concentration time curve from time zero to infin</w:t>
      </w:r>
      <w:r w:rsidRPr="00006B55">
        <w:t>ity (AUC</w:t>
      </w:r>
      <w:r w:rsidRPr="00006B55">
        <w:rPr>
          <w:vertAlign w:val="subscript"/>
        </w:rPr>
        <w:t>0-inf</w:t>
      </w:r>
      <w:r w:rsidRPr="00006B55">
        <w:t>)).</w:t>
      </w:r>
      <w:r w:rsidRPr="00C94BBC">
        <w:t xml:space="preserve"> Food (low or high fat meal) reduced intra</w:t>
      </w:r>
      <w:r>
        <w:t xml:space="preserve"> </w:t>
      </w:r>
      <w:r w:rsidRPr="00C94BBC">
        <w:t>individual variability from 50 to 70% and inter individual variability from 40 to 90%.</w:t>
      </w:r>
    </w:p>
    <w:p w14:paraId="307A0FC2" w14:textId="52385778" w:rsidR="00C94BBC" w:rsidRPr="00C94BBC" w:rsidRDefault="00C94BBC" w:rsidP="00C94BBC">
      <w:r w:rsidRPr="00C94BBC">
        <w:t xml:space="preserve">Dose proportionality for </w:t>
      </w:r>
      <w:r>
        <w:t>maximum concentratio</w:t>
      </w:r>
      <w:r w:rsidRPr="00006B55">
        <w:t>n (</w:t>
      </w:r>
      <w:proofErr w:type="spellStart"/>
      <w:r w:rsidRPr="00006B55">
        <w:t>C</w:t>
      </w:r>
      <w:r w:rsidRPr="00006B55">
        <w:rPr>
          <w:vertAlign w:val="subscript"/>
        </w:rPr>
        <w:t>max</w:t>
      </w:r>
      <w:proofErr w:type="spellEnd"/>
      <w:r w:rsidRPr="00006B55">
        <w:t>) and</w:t>
      </w:r>
      <w:r w:rsidRPr="00C94BBC">
        <w:t xml:space="preserve"> </w:t>
      </w:r>
      <w:r>
        <w:t>area under the concentration time cu</w:t>
      </w:r>
      <w:r w:rsidRPr="00006B55">
        <w:t>rve (AUC) was shown for doses up to a 75 mg single dose. With dose increases to a single 100 mg dose the</w:t>
      </w:r>
      <w:r w:rsidRPr="00C94BBC">
        <w:t xml:space="preserve"> parameters appeared to plateau. Dose proportionality was demonstrated with 14 days repeated 3</w:t>
      </w:r>
      <w:r>
        <w:t> </w:t>
      </w:r>
      <w:r w:rsidRPr="00C94BBC">
        <w:t>mg or 10</w:t>
      </w:r>
      <w:r>
        <w:t> </w:t>
      </w:r>
      <w:r w:rsidRPr="00C94BBC">
        <w:t xml:space="preserve">mg </w:t>
      </w:r>
      <w:r>
        <w:t>once daily</w:t>
      </w:r>
      <w:r w:rsidRPr="00C94BBC">
        <w:t xml:space="preserve"> of the proposed formulation, and for single doses in Japanese and White patients (fed conditions).</w:t>
      </w:r>
    </w:p>
    <w:p w14:paraId="55BB562C" w14:textId="2C784E42" w:rsidR="00C94BBC" w:rsidRPr="00006B55" w:rsidRDefault="00C94BBC" w:rsidP="00C94BBC">
      <w:r w:rsidRPr="00C94BBC">
        <w:t>Half</w:t>
      </w:r>
      <w:r>
        <w:t>-</w:t>
      </w:r>
      <w:r w:rsidRPr="00C94BBC">
        <w:t>life was independent of dose in single dose and repeated dose studies. With dosing of 3</w:t>
      </w:r>
      <w:r>
        <w:t> </w:t>
      </w:r>
      <w:r w:rsidRPr="00C94BBC">
        <w:t>mg or 10</w:t>
      </w:r>
      <w:r>
        <w:t> </w:t>
      </w:r>
      <w:r w:rsidRPr="00C94BBC">
        <w:t xml:space="preserve">mg </w:t>
      </w:r>
      <w:r>
        <w:t>once daily</w:t>
      </w:r>
      <w:r w:rsidRPr="00C94BBC">
        <w:t xml:space="preserve"> for 14 days it was around 18 to 2</w:t>
      </w:r>
      <w:r>
        <w:t>1 </w:t>
      </w:r>
      <w:r w:rsidRPr="00C94BBC">
        <w:t>h</w:t>
      </w:r>
      <w:r>
        <w:t>ours</w:t>
      </w:r>
      <w:r w:rsidRPr="00C94BBC">
        <w:t>, and accumulation rates were 1.8- and 2.0-fold, resp</w:t>
      </w:r>
      <w:r w:rsidRPr="00006B55">
        <w:t>ectively. The half-life was considered supportive of once daily dosing.</w:t>
      </w:r>
    </w:p>
    <w:p w14:paraId="0EE5C7E1" w14:textId="5C5ED48E" w:rsidR="00C94BBC" w:rsidRPr="00C94BBC" w:rsidRDefault="00C94BBC" w:rsidP="00C94BBC">
      <w:r w:rsidRPr="00006B55">
        <w:t>Apparent volume of distribution (V/F) was</w:t>
      </w:r>
      <w:r w:rsidRPr="00C94BBC">
        <w:t xml:space="preserve"> 180</w:t>
      </w:r>
      <w:r>
        <w:t> </w:t>
      </w:r>
      <w:r w:rsidRPr="00C94BBC">
        <w:t xml:space="preserve">L (25% </w:t>
      </w:r>
      <w:r>
        <w:t>coefficient of variation</w:t>
      </w:r>
      <w:r w:rsidRPr="00C94BBC">
        <w:t>) after a single oral 20</w:t>
      </w:r>
      <w:r>
        <w:t> </w:t>
      </w:r>
      <w:r w:rsidRPr="00C94BBC">
        <w:t xml:space="preserve">mg dose (fed conditions). </w:t>
      </w:r>
      <w:r w:rsidRPr="00C94BBC">
        <w:rPr>
          <w:i/>
          <w:iCs/>
        </w:rPr>
        <w:t>In vitro</w:t>
      </w:r>
      <w:r w:rsidRPr="00C94BBC">
        <w:t xml:space="preserve"> plasma protein binding was independent of concentration over the range of 0.05 to 50</w:t>
      </w:r>
      <w:r>
        <w:t> </w:t>
      </w:r>
      <w:r>
        <w:sym w:font="Symbol" w:char="F06D"/>
      </w:r>
      <w:r w:rsidRPr="00C94BBC">
        <w:t>g/mL and ranged from 96.3% to 96.6% in humans. The concentration in erythrocytes was 50% of that in plasma.</w:t>
      </w:r>
    </w:p>
    <w:p w14:paraId="2031B9D0" w14:textId="50FCB5E5" w:rsidR="00C94BBC" w:rsidRPr="00C94BBC" w:rsidRDefault="00C94BBC" w:rsidP="00C94BBC">
      <w:r w:rsidRPr="00C94BBC">
        <w:t>CYP2C9 is the primary enzyme involved in the metabolic clearance and CYP3A4 played a minor role.</w:t>
      </w:r>
      <w:r>
        <w:fldChar w:fldCharType="begin"/>
      </w:r>
      <w:r>
        <w:instrText xml:space="preserve"> NOTEREF _Ref151453200 \f \h </w:instrText>
      </w:r>
      <w:r>
        <w:fldChar w:fldCharType="separate"/>
      </w:r>
      <w:r w:rsidR="00197355" w:rsidRPr="00197355">
        <w:rPr>
          <w:rStyle w:val="FootnoteReference"/>
        </w:rPr>
        <w:t>16</w:t>
      </w:r>
      <w:r>
        <w:fldChar w:fldCharType="end"/>
      </w:r>
      <w:r w:rsidRPr="00C94BBC">
        <w:t xml:space="preserve"> Avatrombopag has a weak inhibitory effect on </w:t>
      </w:r>
      <w:r>
        <w:t>u</w:t>
      </w:r>
      <w:r w:rsidRPr="00C94BBC">
        <w:t>ridine 5'-diphospho-glucuronosyltransferase, but there was no relationship between CYP3A5 genotype or P</w:t>
      </w:r>
      <w:r w:rsidR="00006B55">
        <w:noBreakHyphen/>
      </w:r>
      <w:r w:rsidRPr="00C94BBC">
        <w:t>glycoprotein sequence variant. No specific studies were conducted in CYP2D9 poor</w:t>
      </w:r>
      <w:r w:rsidR="00006B55">
        <w:t xml:space="preserve"> </w:t>
      </w:r>
      <w:r w:rsidRPr="00C94BBC">
        <w:t>metabolisers.</w:t>
      </w:r>
    </w:p>
    <w:p w14:paraId="6FE72B76" w14:textId="77777777" w:rsidR="00305CA5" w:rsidRDefault="00C94BBC" w:rsidP="00C94BBC">
      <w:r w:rsidRPr="00C94BBC">
        <w:t>Around 88% of a 20</w:t>
      </w:r>
      <w:r>
        <w:t> </w:t>
      </w:r>
      <w:r w:rsidRPr="00C94BBC">
        <w:t xml:space="preserve">mg dose of </w:t>
      </w:r>
      <w:r>
        <w:t>carbon 14 [</w:t>
      </w:r>
      <w:r w:rsidRPr="00C94BBC">
        <w:rPr>
          <w:vertAlign w:val="superscript"/>
        </w:rPr>
        <w:t>14</w:t>
      </w:r>
      <w:r w:rsidRPr="00C94BBC">
        <w:t>C</w:t>
      </w:r>
      <w:r>
        <w:t xml:space="preserve">] </w:t>
      </w:r>
      <w:r w:rsidRPr="00C94BBC">
        <w:t xml:space="preserve">avatrombopag was recovered in faeces while 6% was </w:t>
      </w:r>
      <w:r w:rsidRPr="00006B55">
        <w:t>recovered in urine. No circulating metabolites were identified in human plasma. Population pharmacokinetics (</w:t>
      </w:r>
      <w:proofErr w:type="spellStart"/>
      <w:r w:rsidRPr="00006B55">
        <w:t>popPK</w:t>
      </w:r>
      <w:proofErr w:type="spellEnd"/>
      <w:r w:rsidRPr="00006B55">
        <w:t>) analyses indicated that mild and moderate renal impairment had no effect on the oral clearance. No studies were undertaken in patients with severe renal impairment, with or without dialysis</w:t>
      </w:r>
      <w:r w:rsidR="00305CA5">
        <w:t>.</w:t>
      </w:r>
    </w:p>
    <w:p w14:paraId="03A013D0" w14:textId="07C6C7AF" w:rsidR="00C94BBC" w:rsidRPr="00C94BBC" w:rsidRDefault="00C94BBC" w:rsidP="00C94BBC">
      <w:r w:rsidRPr="00C94BBC">
        <w:t xml:space="preserve">Age and gender had no effect in the </w:t>
      </w:r>
      <w:proofErr w:type="spellStart"/>
      <w:r w:rsidRPr="00C94BBC">
        <w:t>popPK</w:t>
      </w:r>
      <w:proofErr w:type="spellEnd"/>
      <w:r w:rsidRPr="00C94BBC">
        <w:t xml:space="preserve"> analyses.</w:t>
      </w:r>
    </w:p>
    <w:p w14:paraId="2F24CC69" w14:textId="5C066091" w:rsidR="00C94BBC" w:rsidRPr="00C94BBC" w:rsidRDefault="00C94BBC" w:rsidP="00C94BBC">
      <w:r>
        <w:t xml:space="preserve">Population pharmacokinetic </w:t>
      </w:r>
      <w:r w:rsidRPr="00C94BBC">
        <w:t xml:space="preserve">analysis of CLD patients estimated the mean </w:t>
      </w:r>
      <w:proofErr w:type="spellStart"/>
      <w:r w:rsidRPr="00C94BBC">
        <w:t>C</w:t>
      </w:r>
      <w:r w:rsidRPr="00C94BBC">
        <w:rPr>
          <w:vertAlign w:val="subscript"/>
        </w:rPr>
        <w:t>max</w:t>
      </w:r>
      <w:proofErr w:type="spellEnd"/>
      <w:r w:rsidRPr="00C94BBC">
        <w:t xml:space="preserve"> and AUC and median </w:t>
      </w:r>
      <w:proofErr w:type="spellStart"/>
      <w:r w:rsidRPr="00C94BBC">
        <w:t>T</w:t>
      </w:r>
      <w:r w:rsidRPr="00C94BBC">
        <w:rPr>
          <w:vertAlign w:val="subscript"/>
        </w:rPr>
        <w:t>max</w:t>
      </w:r>
      <w:proofErr w:type="spellEnd"/>
      <w:r w:rsidRPr="00C94BBC">
        <w:t xml:space="preserve"> values after a 40</w:t>
      </w:r>
      <w:r>
        <w:t> </w:t>
      </w:r>
      <w:r w:rsidRPr="00C94BBC">
        <w:t>mg dose were 214</w:t>
      </w:r>
      <w:r>
        <w:t> </w:t>
      </w:r>
      <w:r w:rsidRPr="00C94BBC">
        <w:t>ng/mL, 3717</w:t>
      </w:r>
      <w:r>
        <w:t> </w:t>
      </w:r>
      <w:proofErr w:type="spellStart"/>
      <w:r w:rsidRPr="00C94BBC">
        <w:t>ng.h</w:t>
      </w:r>
      <w:proofErr w:type="spellEnd"/>
      <w:r w:rsidRPr="00C94BBC">
        <w:t>/mL and 7</w:t>
      </w:r>
      <w:r>
        <w:t> </w:t>
      </w:r>
      <w:r w:rsidRPr="00C94BBC">
        <w:t>h</w:t>
      </w:r>
      <w:r>
        <w:t>ours</w:t>
      </w:r>
      <w:r w:rsidRPr="00C94BBC">
        <w:t xml:space="preserve">, respectively. Estimated AUC and </w:t>
      </w:r>
      <w:proofErr w:type="spellStart"/>
      <w:r w:rsidRPr="00C94BBC">
        <w:t>C</w:t>
      </w:r>
      <w:r w:rsidRPr="00C94BBC">
        <w:rPr>
          <w:vertAlign w:val="subscript"/>
        </w:rPr>
        <w:t>max</w:t>
      </w:r>
      <w:proofErr w:type="spellEnd"/>
      <w:r w:rsidRPr="00C94BBC">
        <w:rPr>
          <w:vertAlign w:val="subscript"/>
        </w:rPr>
        <w:t xml:space="preserve"> </w:t>
      </w:r>
      <w:r w:rsidRPr="00C94BBC">
        <w:t>increased approximately proportionally with dose between 40</w:t>
      </w:r>
      <w:r>
        <w:t> </w:t>
      </w:r>
      <w:r w:rsidRPr="00C94BBC">
        <w:t>mg and 60</w:t>
      </w:r>
      <w:r>
        <w:t> </w:t>
      </w:r>
      <w:r w:rsidRPr="00C94BBC">
        <w:t xml:space="preserve">mg doses, but </w:t>
      </w:r>
      <w:r>
        <w:t>apparen</w:t>
      </w:r>
      <w:r w:rsidRPr="00006B55">
        <w:t>t clearance (CL/F)</w:t>
      </w:r>
      <w:r w:rsidRPr="00C94BBC">
        <w:t xml:space="preserve"> and </w:t>
      </w:r>
      <w:r w:rsidRPr="00006B55">
        <w:t>V/F</w:t>
      </w:r>
      <w:r w:rsidRPr="00C94BBC">
        <w:t xml:space="preserve"> values were similar. </w:t>
      </w:r>
      <w:r>
        <w:t>Apparent volume of distribution (</w:t>
      </w:r>
      <w:r w:rsidRPr="00C94BBC">
        <w:t>V/F</w:t>
      </w:r>
      <w:r>
        <w:t>)</w:t>
      </w:r>
      <w:r w:rsidRPr="00C94BBC">
        <w:t xml:space="preserve"> was 65% higher in patients with CLD than in healthy participants, but no relationship between CL/F and degree of liver impairment was shown.</w:t>
      </w:r>
    </w:p>
    <w:p w14:paraId="31C29450" w14:textId="0E2328F4" w:rsidR="00C94BBC" w:rsidRPr="00C94BBC" w:rsidRDefault="00C94BBC" w:rsidP="00C94BBC">
      <w:r>
        <w:t xml:space="preserve">Population pharmacokinetic </w:t>
      </w:r>
      <w:r w:rsidRPr="00C94BBC">
        <w:t xml:space="preserve">analysis of an ITP population estimated </w:t>
      </w:r>
      <w:r w:rsidR="00006B55" w:rsidRPr="00C94BBC">
        <w:t>steady</w:t>
      </w:r>
      <w:r w:rsidR="00006B55">
        <w:t>-state</w:t>
      </w:r>
      <w:r w:rsidRPr="00C94BBC">
        <w:t xml:space="preserve"> mean </w:t>
      </w:r>
      <w:proofErr w:type="spellStart"/>
      <w:r w:rsidRPr="00C94BBC">
        <w:t>C</w:t>
      </w:r>
      <w:r w:rsidRPr="00C94BBC">
        <w:rPr>
          <w:vertAlign w:val="subscript"/>
        </w:rPr>
        <w:t>max</w:t>
      </w:r>
      <w:proofErr w:type="spellEnd"/>
      <w:r w:rsidRPr="00C94BBC">
        <w:rPr>
          <w:vertAlign w:val="subscript"/>
        </w:rPr>
        <w:t xml:space="preserve"> </w:t>
      </w:r>
      <w:r w:rsidRPr="00C94BBC">
        <w:t xml:space="preserve">and AUC and median </w:t>
      </w:r>
      <w:proofErr w:type="spellStart"/>
      <w:r w:rsidRPr="00C94BBC">
        <w:t>T</w:t>
      </w:r>
      <w:r w:rsidRPr="00C94BBC">
        <w:rPr>
          <w:vertAlign w:val="subscript"/>
        </w:rPr>
        <w:t>max</w:t>
      </w:r>
      <w:proofErr w:type="spellEnd"/>
      <w:r w:rsidRPr="00C94BBC">
        <w:t xml:space="preserve"> after a 20</w:t>
      </w:r>
      <w:r>
        <w:t> </w:t>
      </w:r>
      <w:r w:rsidRPr="00C94BBC">
        <w:t xml:space="preserve">mg </w:t>
      </w:r>
      <w:r>
        <w:t>once daily</w:t>
      </w:r>
      <w:r w:rsidRPr="00C94BBC">
        <w:t xml:space="preserve"> dose were 190</w:t>
      </w:r>
      <w:r>
        <w:t> </w:t>
      </w:r>
      <w:r w:rsidRPr="00C94BBC">
        <w:t>ng/mL, 3824</w:t>
      </w:r>
      <w:r>
        <w:t> </w:t>
      </w:r>
      <w:proofErr w:type="spellStart"/>
      <w:r w:rsidRPr="00C94BBC">
        <w:t>ng.h</w:t>
      </w:r>
      <w:proofErr w:type="spellEnd"/>
      <w:r w:rsidRPr="00C94BBC">
        <w:t>/mL and 5</w:t>
      </w:r>
      <w:r>
        <w:t> </w:t>
      </w:r>
      <w:r w:rsidRPr="00C94BBC">
        <w:t>h</w:t>
      </w:r>
      <w:r>
        <w:t>ours</w:t>
      </w:r>
      <w:r w:rsidRPr="00C94BBC">
        <w:t>, respectively, and CL/F and V/F were 8.23</w:t>
      </w:r>
      <w:r>
        <w:t> </w:t>
      </w:r>
      <w:r w:rsidRPr="00C94BBC">
        <w:t>L/h and 351</w:t>
      </w:r>
      <w:r>
        <w:t> </w:t>
      </w:r>
      <w:r w:rsidRPr="00C94BBC">
        <w:t>L, respectively.</w:t>
      </w:r>
    </w:p>
    <w:p w14:paraId="10C0956F" w14:textId="00F817FC" w:rsidR="00C94BBC" w:rsidRPr="00C94BBC" w:rsidRDefault="00C94BBC" w:rsidP="008A4248">
      <w:pPr>
        <w:pageBreakBefore/>
      </w:pPr>
      <w:r w:rsidRPr="00C94BBC">
        <w:lastRenderedPageBreak/>
        <w:t>No clinically relevant exposure differences were identified between Japanese and White participants administered either 40</w:t>
      </w:r>
      <w:r w:rsidR="00006B55">
        <w:t xml:space="preserve"> mg </w:t>
      </w:r>
      <w:r w:rsidRPr="00C94BBC">
        <w:t>or 60 mg under fed conditions.</w:t>
      </w:r>
    </w:p>
    <w:p w14:paraId="47318B08" w14:textId="60018EAD" w:rsidR="00C94BBC" w:rsidRPr="00C94BBC" w:rsidRDefault="00C94BBC" w:rsidP="00C94BBC">
      <w:r w:rsidRPr="00C94BBC">
        <w:t>The interaction studies with fluconazole</w:t>
      </w:r>
      <w:r>
        <w:t>,</w:t>
      </w:r>
      <w:r w:rsidRPr="00C94BBC">
        <w:t xml:space="preserve"> itraconazole and rifampicin were conducted in the fed state</w:t>
      </w:r>
      <w:r>
        <w:t>.</w:t>
      </w:r>
      <w:r w:rsidRPr="00C94BBC">
        <w:t xml:space="preserve"> The findings were: </w:t>
      </w:r>
    </w:p>
    <w:p w14:paraId="52AF853A" w14:textId="07A5C91E" w:rsidR="00C94BBC" w:rsidRPr="00C94BBC" w:rsidRDefault="00C94BBC" w:rsidP="00C94BBC">
      <w:pPr>
        <w:pStyle w:val="ListBullet"/>
      </w:pPr>
      <w:r w:rsidRPr="00C94BBC">
        <w:t>Coadministration of a single 20</w:t>
      </w:r>
      <w:r>
        <w:t> </w:t>
      </w:r>
      <w:r w:rsidRPr="00C94BBC">
        <w:t>mg tablet with steady-state fluconazole 400</w:t>
      </w:r>
      <w:r>
        <w:t> </w:t>
      </w:r>
      <w:r w:rsidRPr="00C94BBC">
        <w:t xml:space="preserve">mg </w:t>
      </w:r>
      <w:r>
        <w:t>once daily</w:t>
      </w:r>
      <w:r w:rsidRPr="00C94BBC">
        <w:t xml:space="preserve">, </w:t>
      </w:r>
      <w:proofErr w:type="spellStart"/>
      <w:r w:rsidRPr="00C94BBC">
        <w:t>C</w:t>
      </w:r>
      <w:r w:rsidRPr="00C94BBC">
        <w:rPr>
          <w:vertAlign w:val="subscript"/>
        </w:rPr>
        <w:t>max</w:t>
      </w:r>
      <w:proofErr w:type="spellEnd"/>
      <w:r w:rsidRPr="00C94BBC">
        <w:t xml:space="preserve"> and AUC</w:t>
      </w:r>
      <w:r w:rsidRPr="00C94BBC">
        <w:rPr>
          <w:vertAlign w:val="subscript"/>
        </w:rPr>
        <w:t xml:space="preserve">0-inf </w:t>
      </w:r>
      <w:r w:rsidRPr="00C94BBC">
        <w:t xml:space="preserve">increased approximately 1.17-fold and 2.2-fold, respectively. Coadministration of fluconazole extended the mean </w:t>
      </w:r>
      <w:r>
        <w:t xml:space="preserve">half-life </w:t>
      </w:r>
      <w:r w:rsidRPr="00C94BBC">
        <w:t>by approximately 20</w:t>
      </w:r>
      <w:r>
        <w:t> </w:t>
      </w:r>
      <w:r w:rsidRPr="00C94BBC">
        <w:t>h</w:t>
      </w:r>
      <w:r>
        <w:t>ours</w:t>
      </w:r>
      <w:r w:rsidRPr="00C94BBC">
        <w:t xml:space="preserve">, but </w:t>
      </w:r>
      <w:proofErr w:type="spellStart"/>
      <w:r w:rsidRPr="00C94BBC">
        <w:t>T</w:t>
      </w:r>
      <w:r w:rsidRPr="00C94BBC">
        <w:rPr>
          <w:vertAlign w:val="subscript"/>
        </w:rPr>
        <w:t>max</w:t>
      </w:r>
      <w:proofErr w:type="spellEnd"/>
      <w:r w:rsidRPr="00C94BBC">
        <w:t xml:space="preserve"> values were similar.</w:t>
      </w:r>
    </w:p>
    <w:p w14:paraId="3296DB50" w14:textId="222B2B22" w:rsidR="00C94BBC" w:rsidRPr="00C94BBC" w:rsidRDefault="00C94BBC" w:rsidP="00C94BBC">
      <w:pPr>
        <w:pStyle w:val="ListBullet"/>
      </w:pPr>
      <w:r w:rsidRPr="00C94BBC">
        <w:t>Coadministration of a single 20</w:t>
      </w:r>
      <w:r>
        <w:t> </w:t>
      </w:r>
      <w:r w:rsidRPr="00C94BBC">
        <w:t>mg avatrombopag tablet with steady-state itraconazole 200</w:t>
      </w:r>
      <w:r>
        <w:t> </w:t>
      </w:r>
      <w:r w:rsidRPr="00C94BBC">
        <w:t xml:space="preserve">mg </w:t>
      </w:r>
      <w:r>
        <w:t>once daily</w:t>
      </w:r>
      <w:r w:rsidRPr="00C94BBC">
        <w:t xml:space="preserve">, avatrombopag mean </w:t>
      </w:r>
      <w:proofErr w:type="spellStart"/>
      <w:r w:rsidRPr="00C94BBC">
        <w:t>C</w:t>
      </w:r>
      <w:r w:rsidRPr="00C94BBC">
        <w:rPr>
          <w:vertAlign w:val="subscript"/>
        </w:rPr>
        <w:t>max</w:t>
      </w:r>
      <w:proofErr w:type="spellEnd"/>
      <w:r w:rsidRPr="00C94BBC">
        <w:t xml:space="preserve"> and AUC</w:t>
      </w:r>
      <w:r w:rsidRPr="00C94BBC">
        <w:rPr>
          <w:vertAlign w:val="subscript"/>
        </w:rPr>
        <w:t xml:space="preserve">0-inf </w:t>
      </w:r>
      <w:r w:rsidRPr="00C94BBC">
        <w:t xml:space="preserve">increased 1.07-fold and 1.4-fold, respectively. Coadministration of itraconazole extended the mean </w:t>
      </w:r>
      <w:r w:rsidR="00006B55">
        <w:t xml:space="preserve">half-life </w:t>
      </w:r>
      <w:r w:rsidRPr="00C94BBC">
        <w:t>by approximately 8.5</w:t>
      </w:r>
      <w:r>
        <w:t> </w:t>
      </w:r>
      <w:r w:rsidRPr="00C94BBC">
        <w:t>h</w:t>
      </w:r>
      <w:r>
        <w:t>ours</w:t>
      </w:r>
      <w:r w:rsidRPr="00C94BBC">
        <w:t>.</w:t>
      </w:r>
    </w:p>
    <w:p w14:paraId="60684C59" w14:textId="6D66F753" w:rsidR="00C94BBC" w:rsidRPr="00C94BBC" w:rsidRDefault="00C94BBC" w:rsidP="00C94BBC">
      <w:pPr>
        <w:pStyle w:val="ListBullet"/>
      </w:pPr>
      <w:r w:rsidRPr="00C94BBC">
        <w:t>Coadministration of a single 20</w:t>
      </w:r>
      <w:r>
        <w:t> </w:t>
      </w:r>
      <w:r w:rsidRPr="00C94BBC">
        <w:t xml:space="preserve">mg tablet with steady-state </w:t>
      </w:r>
      <w:proofErr w:type="spellStart"/>
      <w:r w:rsidRPr="00C94BBC">
        <w:t>rifampin</w:t>
      </w:r>
      <w:proofErr w:type="spellEnd"/>
      <w:r w:rsidRPr="00C94BBC">
        <w:t xml:space="preserve"> 600</w:t>
      </w:r>
      <w:r>
        <w:t> </w:t>
      </w:r>
      <w:r w:rsidRPr="00C94BBC">
        <w:t xml:space="preserve">mg </w:t>
      </w:r>
      <w:r>
        <w:t>once daily</w:t>
      </w:r>
      <w:r w:rsidRPr="00C94BBC">
        <w:t xml:space="preserve"> decreased AUC</w:t>
      </w:r>
      <w:r w:rsidRPr="00C94BBC">
        <w:rPr>
          <w:vertAlign w:val="subscript"/>
        </w:rPr>
        <w:t xml:space="preserve">0-inf </w:t>
      </w:r>
      <w:r w:rsidRPr="00C94BBC">
        <w:t xml:space="preserve">2-fold but had no significant on </w:t>
      </w:r>
      <w:proofErr w:type="spellStart"/>
      <w:r w:rsidRPr="00C94BBC">
        <w:t>C</w:t>
      </w:r>
      <w:r w:rsidRPr="00C94BBC">
        <w:rPr>
          <w:vertAlign w:val="subscript"/>
        </w:rPr>
        <w:t>max</w:t>
      </w:r>
      <w:proofErr w:type="spellEnd"/>
      <w:r w:rsidRPr="00C94BBC">
        <w:t xml:space="preserve"> and </w:t>
      </w:r>
      <w:proofErr w:type="spellStart"/>
      <w:r w:rsidRPr="00C94BBC">
        <w:t>T</w:t>
      </w:r>
      <w:r w:rsidRPr="00C94BBC">
        <w:rPr>
          <w:vertAlign w:val="subscript"/>
        </w:rPr>
        <w:t>max</w:t>
      </w:r>
      <w:proofErr w:type="spellEnd"/>
      <w:r w:rsidRPr="00C94BBC">
        <w:t xml:space="preserve"> values. Coadministration of </w:t>
      </w:r>
      <w:proofErr w:type="spellStart"/>
      <w:r w:rsidRPr="00C94BBC">
        <w:t>rifampin</w:t>
      </w:r>
      <w:proofErr w:type="spellEnd"/>
      <w:r w:rsidRPr="00C94BBC">
        <w:t xml:space="preserve"> shortened avatrombopag </w:t>
      </w:r>
      <w:r w:rsidR="00006B55">
        <w:t>half-life</w:t>
      </w:r>
      <w:r w:rsidRPr="00C94BBC">
        <w:rPr>
          <w:vertAlign w:val="subscript"/>
        </w:rPr>
        <w:t xml:space="preserve"> </w:t>
      </w:r>
      <w:r w:rsidRPr="00C94BBC">
        <w:t>by 10</w:t>
      </w:r>
      <w:r>
        <w:t> </w:t>
      </w:r>
      <w:r w:rsidRPr="00C94BBC">
        <w:t>h</w:t>
      </w:r>
      <w:r>
        <w:t>ours</w:t>
      </w:r>
      <w:r w:rsidRPr="00C94BBC">
        <w:t>.</w:t>
      </w:r>
    </w:p>
    <w:p w14:paraId="1C45ECB1" w14:textId="4561BCD6" w:rsidR="00C94BBC" w:rsidRPr="00C94BBC" w:rsidRDefault="00C94BBC" w:rsidP="00C94BBC">
      <w:pPr>
        <w:pStyle w:val="ListBullet"/>
      </w:pPr>
      <w:r w:rsidRPr="00C94BBC">
        <w:t xml:space="preserve">Studies conducted in fasted conditions with highly variable </w:t>
      </w:r>
      <w:r w:rsidR="00006B55">
        <w:t>pharmacokinetics</w:t>
      </w:r>
      <w:r w:rsidRPr="00C94BBC">
        <w:t xml:space="preserve"> precluded conclusion about the effects of verapamil and cyclosporine A on avatrombopag exposure.</w:t>
      </w:r>
    </w:p>
    <w:p w14:paraId="41960D87" w14:textId="21DD5834" w:rsidR="00C94BBC" w:rsidRDefault="00C94BBC" w:rsidP="00C94BBC">
      <w:pPr>
        <w:pStyle w:val="Heading5"/>
        <w:rPr>
          <w:b w:val="0"/>
          <w:color w:val="7295D2" w:themeColor="accent1" w:themeTint="BF"/>
        </w:rPr>
      </w:pPr>
      <w:r w:rsidRPr="00AA53F4">
        <w:t>Pharmacodynamics</w:t>
      </w:r>
    </w:p>
    <w:p w14:paraId="3491DBF8" w14:textId="438D971C" w:rsidR="00C94BBC" w:rsidRPr="00C94BBC" w:rsidRDefault="00C94BBC" w:rsidP="00C94BBC">
      <w:r w:rsidRPr="00C94BBC">
        <w:t>Avatrombopag stimulates proliferation and differentiation of megakaryocytes from bone marrow progenitor cells, resulting in an increased production of platelets.</w:t>
      </w:r>
    </w:p>
    <w:p w14:paraId="5AB09075" w14:textId="7B4E0AAC" w:rsidR="00C94BBC" w:rsidRPr="00C94BBC" w:rsidRDefault="00C94BBC" w:rsidP="00C94BBC">
      <w:r w:rsidRPr="00C94BBC">
        <w:t xml:space="preserve">Food status did not appear to have a clinically meaningful impact on the </w:t>
      </w:r>
      <w:r>
        <w:t>pharmacodynamics</w:t>
      </w:r>
      <w:r w:rsidR="00006B55">
        <w:t xml:space="preserve"> </w:t>
      </w:r>
      <w:r w:rsidRPr="00C94BBC">
        <w:t>of a 40</w:t>
      </w:r>
      <w:r>
        <w:t> </w:t>
      </w:r>
      <w:r w:rsidRPr="00C94BBC">
        <w:t xml:space="preserve">mg dose of avatrombopag, with mean changes from </w:t>
      </w:r>
      <w:r w:rsidR="00006B55">
        <w:t>B</w:t>
      </w:r>
      <w:r w:rsidRPr="00C94BBC">
        <w:t>aseline up to 60.1 × 10</w:t>
      </w:r>
      <w:r w:rsidRPr="00C94BBC">
        <w:rPr>
          <w:vertAlign w:val="superscript"/>
        </w:rPr>
        <w:t>9</w:t>
      </w:r>
      <w:r w:rsidRPr="00C94BBC">
        <w:t>/L at Day 9 (192</w:t>
      </w:r>
      <w:r w:rsidR="00006B55">
        <w:t> </w:t>
      </w:r>
      <w:r w:rsidRPr="00C94BBC">
        <w:t>h</w:t>
      </w:r>
      <w:r>
        <w:t>ours</w:t>
      </w:r>
      <w:r w:rsidRPr="00C94BBC">
        <w:t>) in the fasted state and to 58.2 × 10</w:t>
      </w:r>
      <w:r w:rsidRPr="00C94BBC">
        <w:rPr>
          <w:vertAlign w:val="superscript"/>
        </w:rPr>
        <w:t>9</w:t>
      </w:r>
      <w:r w:rsidRPr="00C94BBC">
        <w:t>/L at Day 9 (192 h</w:t>
      </w:r>
      <w:r>
        <w:t>ours</w:t>
      </w:r>
      <w:r w:rsidRPr="00C94BBC">
        <w:t>) post-dose in fed conditions.</w:t>
      </w:r>
    </w:p>
    <w:p w14:paraId="42A2D0C4" w14:textId="5C7F8DFC" w:rsidR="00C94BBC" w:rsidRPr="00C94BBC" w:rsidRDefault="00C94BBC" w:rsidP="00C94BBC">
      <w:r w:rsidRPr="00C94BBC">
        <w:t xml:space="preserve">No effect on QT interval or other </w:t>
      </w:r>
      <w:r>
        <w:t>e</w:t>
      </w:r>
      <w:r w:rsidRPr="00C94BBC">
        <w:t xml:space="preserve">lectrocardiogram </w:t>
      </w:r>
      <w:r>
        <w:t>(</w:t>
      </w:r>
      <w:r w:rsidRPr="00C94BBC">
        <w:t>ECG</w:t>
      </w:r>
      <w:r>
        <w:t>)</w:t>
      </w:r>
      <w:r w:rsidRPr="00C94BBC">
        <w:t xml:space="preserve"> parameters was demonstrated after a 100</w:t>
      </w:r>
      <w:r>
        <w:t> </w:t>
      </w:r>
      <w:r w:rsidRPr="00C94BBC">
        <w:t>mg dose.</w:t>
      </w:r>
      <w:bookmarkStart w:id="53" w:name="_Ref151631889"/>
      <w:r>
        <w:rPr>
          <w:rStyle w:val="FootnoteReference"/>
        </w:rPr>
        <w:footnoteReference w:id="17"/>
      </w:r>
      <w:bookmarkEnd w:id="53"/>
      <w:r w:rsidRPr="00C94BBC">
        <w:t xml:space="preserve"> This was confirmed by </w:t>
      </w:r>
      <w:proofErr w:type="spellStart"/>
      <w:r w:rsidRPr="00C94BBC">
        <w:t>popPK</w:t>
      </w:r>
      <w:proofErr w:type="spellEnd"/>
      <w:r w:rsidRPr="00C94BBC">
        <w:t>/</w:t>
      </w:r>
      <w:r w:rsidR="00006B55">
        <w:t xml:space="preserve"> pharmacodynamics </w:t>
      </w:r>
      <w:r w:rsidRPr="00C94BBC">
        <w:t>analysis using the CLD dataset.</w:t>
      </w:r>
    </w:p>
    <w:p w14:paraId="7B2FB722" w14:textId="347A58AB" w:rsidR="00C94BBC" w:rsidRPr="00C94BBC" w:rsidRDefault="00C94BBC" w:rsidP="00C94BBC">
      <w:r w:rsidRPr="00C94BBC">
        <w:t>Following single doses, changes in platelet counts were evident 3 to 5 days after dosing, and the highest observed changes in platelet counts were observed by approximately 6 to 16 days.</w:t>
      </w:r>
    </w:p>
    <w:p w14:paraId="70917B93" w14:textId="1997BAC4" w:rsidR="00C94BBC" w:rsidRPr="00C94BBC" w:rsidRDefault="00C94BBC" w:rsidP="00C94BBC">
      <w:r w:rsidRPr="00C94BBC">
        <w:t xml:space="preserve">Linear increases in platelet count from </w:t>
      </w:r>
      <w:r>
        <w:t>B</w:t>
      </w:r>
      <w:r w:rsidRPr="00C94BBC">
        <w:t>aseline were seen after single doses of 1</w:t>
      </w:r>
      <w:r w:rsidR="00006B55">
        <w:t> mg</w:t>
      </w:r>
      <w:r w:rsidRPr="00C94BBC">
        <w:t>, 3</w:t>
      </w:r>
      <w:r w:rsidR="00006B55">
        <w:t> mg</w:t>
      </w:r>
      <w:r w:rsidRPr="00C94BBC">
        <w:t>, 10</w:t>
      </w:r>
      <w:r w:rsidR="00006B55">
        <w:t> mg</w:t>
      </w:r>
      <w:r w:rsidRPr="00C94BBC">
        <w:t>, 20</w:t>
      </w:r>
      <w:r w:rsidR="00006B55">
        <w:t> mg</w:t>
      </w:r>
      <w:r w:rsidRPr="00C94BBC">
        <w:t>, 50</w:t>
      </w:r>
      <w:r w:rsidR="00006B55">
        <w:t> mg</w:t>
      </w:r>
      <w:r w:rsidRPr="00C94BBC">
        <w:t>, 75</w:t>
      </w:r>
      <w:r w:rsidR="00006B55">
        <w:t> mg</w:t>
      </w:r>
      <w:r w:rsidRPr="00C94BBC">
        <w:t xml:space="preserve"> or 100</w:t>
      </w:r>
      <w:r>
        <w:t> </w:t>
      </w:r>
      <w:r w:rsidRPr="00C94BBC">
        <w:t>mg or multiple doses of 3</w:t>
      </w:r>
      <w:r w:rsidR="00006B55">
        <w:t> mg</w:t>
      </w:r>
      <w:r w:rsidRPr="00C94BBC">
        <w:t>, 10</w:t>
      </w:r>
      <w:r w:rsidR="00006B55">
        <w:t> mg</w:t>
      </w:r>
      <w:r w:rsidRPr="00C94BBC">
        <w:t xml:space="preserve"> or 20</w:t>
      </w:r>
      <w:r>
        <w:t> </w:t>
      </w:r>
      <w:r w:rsidRPr="00C94BBC">
        <w:t>mg given to healthy subjects.</w:t>
      </w:r>
    </w:p>
    <w:p w14:paraId="183EA9B8" w14:textId="7D31B9C3" w:rsidR="00C94BBC" w:rsidRPr="00C94BBC" w:rsidRDefault="00C94BBC" w:rsidP="00C94BBC">
      <w:r>
        <w:t>Thrombopoietin</w:t>
      </w:r>
      <w:r w:rsidRPr="00C94BBC">
        <w:t xml:space="preserve">, albumin and baseline body weight were identified as covariates of avatrombopag </w:t>
      </w:r>
      <w:r w:rsidR="00006B55">
        <w:t>pharmacodynamics</w:t>
      </w:r>
      <w:r w:rsidRPr="00C94BBC">
        <w:t>. While subjects of East Asian race (</w:t>
      </w:r>
      <w:r>
        <w:t>that is,</w:t>
      </w:r>
      <w:r w:rsidRPr="00C94BBC">
        <w:t xml:space="preserve"> Japanese, </w:t>
      </w:r>
      <w:proofErr w:type="gramStart"/>
      <w:r w:rsidRPr="00C94BBC">
        <w:t>Chinese</w:t>
      </w:r>
      <w:proofErr w:type="gramEnd"/>
      <w:r w:rsidRPr="00C94BBC">
        <w:t xml:space="preserve"> or Korean) had comparatively reduced platelet levels but the magnitude of the effects of these parameters were not likely to be clinically relevant.</w:t>
      </w:r>
    </w:p>
    <w:p w14:paraId="3701C04D" w14:textId="74E8154F" w:rsidR="00C94BBC" w:rsidRPr="00C94BBC" w:rsidRDefault="00C94BBC" w:rsidP="00C94BBC">
      <w:r w:rsidRPr="00C94BBC">
        <w:t xml:space="preserve">When </w:t>
      </w:r>
      <w:r w:rsidR="00197355" w:rsidRPr="00C94BBC">
        <w:t>administe</w:t>
      </w:r>
      <w:r w:rsidR="00197355">
        <w:t>red</w:t>
      </w:r>
      <w:r w:rsidRPr="00C94BBC">
        <w:t xml:space="preserve"> with 400</w:t>
      </w:r>
      <w:r>
        <w:t> </w:t>
      </w:r>
      <w:r w:rsidRPr="00C94BBC">
        <w:t xml:space="preserve">mg </w:t>
      </w:r>
      <w:r>
        <w:t>once daily</w:t>
      </w:r>
      <w:r w:rsidRPr="00C94BBC">
        <w:t xml:space="preserve"> fluconazole, avatrombopag</w:t>
      </w:r>
      <w:r>
        <w:t xml:space="preserve"> </w:t>
      </w:r>
      <w:r w:rsidRPr="00C94BBC">
        <w:t xml:space="preserve">induced </w:t>
      </w:r>
      <w:r>
        <w:t>m</w:t>
      </w:r>
      <w:r w:rsidRPr="00C94BBC">
        <w:t xml:space="preserve">aximum </w:t>
      </w:r>
      <w:r>
        <w:t>platelet counts after do</w:t>
      </w:r>
      <w:r w:rsidRPr="00006B55">
        <w:t>sing (E</w:t>
      </w:r>
      <w:r w:rsidRPr="00006B55">
        <w:rPr>
          <w:vertAlign w:val="subscript"/>
        </w:rPr>
        <w:t>max</w:t>
      </w:r>
      <w:r w:rsidRPr="00006B55">
        <w:t>), maximum</w:t>
      </w:r>
      <w:r>
        <w:t xml:space="preserve"> change from Baseline in platelet coun</w:t>
      </w:r>
      <w:r w:rsidRPr="00006B55">
        <w:t>t (</w:t>
      </w:r>
      <w:proofErr w:type="spellStart"/>
      <w:r w:rsidRPr="00006B55">
        <w:t>ΔE</w:t>
      </w:r>
      <w:r w:rsidRPr="00006B55">
        <w:rPr>
          <w:vertAlign w:val="subscript"/>
        </w:rPr>
        <w:t>max</w:t>
      </w:r>
      <w:proofErr w:type="spellEnd"/>
      <w:r w:rsidRPr="00006B55">
        <w:t>) and</w:t>
      </w:r>
      <w:r>
        <w:t xml:space="preserve"> area under the effect curve for platelet count from time 0 to Day 28</w:t>
      </w:r>
      <w:r w:rsidRPr="00C94BBC">
        <w:t xml:space="preserve"> </w:t>
      </w:r>
      <w:r>
        <w:t>(</w:t>
      </w:r>
      <w:r w:rsidRPr="00006B55">
        <w:t>AUEC</w:t>
      </w:r>
      <w:r w:rsidRPr="00006B55">
        <w:rPr>
          <w:vertAlign w:val="subscript"/>
        </w:rPr>
        <w:t>0-28d</w:t>
      </w:r>
      <w:r w:rsidRPr="00C94BBC">
        <w:t>) were increased 1.1-fold, 1.30-</w:t>
      </w:r>
      <w:proofErr w:type="gramStart"/>
      <w:r w:rsidRPr="00C94BBC">
        <w:t>fold</w:t>
      </w:r>
      <w:proofErr w:type="gramEnd"/>
      <w:r w:rsidRPr="00C94BBC">
        <w:t xml:space="preserve"> and 1.5-fold, respectively. The effects of itraconazole 200</w:t>
      </w:r>
      <w:r>
        <w:t> </w:t>
      </w:r>
      <w:r w:rsidRPr="00C94BBC">
        <w:t xml:space="preserve">mg </w:t>
      </w:r>
      <w:r>
        <w:t>once daily o</w:t>
      </w:r>
      <w:r w:rsidRPr="00C94BBC">
        <w:t xml:space="preserve">n </w:t>
      </w:r>
      <w:r w:rsidRPr="00C94BBC">
        <w:lastRenderedPageBreak/>
        <w:t xml:space="preserve">avatrombopag </w:t>
      </w:r>
      <w:r w:rsidR="00006B55">
        <w:t>pharmacodynamics</w:t>
      </w:r>
      <w:r w:rsidRPr="00C94BBC">
        <w:t xml:space="preserve"> for avatrombopag</w:t>
      </w:r>
      <w:r>
        <w:t xml:space="preserve"> </w:t>
      </w:r>
      <w:r w:rsidRPr="00C94BBC">
        <w:t>induced were similar for E</w:t>
      </w:r>
      <w:r w:rsidRPr="00C94BBC">
        <w:rPr>
          <w:vertAlign w:val="subscript"/>
        </w:rPr>
        <w:t>max</w:t>
      </w:r>
      <w:r w:rsidRPr="00C94BBC">
        <w:t xml:space="preserve">, </w:t>
      </w:r>
      <w:proofErr w:type="spellStart"/>
      <w:r w:rsidRPr="00C94BBC">
        <w:t>ΔE</w:t>
      </w:r>
      <w:r w:rsidRPr="00C94BBC">
        <w:rPr>
          <w:vertAlign w:val="subscript"/>
        </w:rPr>
        <w:t>max</w:t>
      </w:r>
      <w:proofErr w:type="spellEnd"/>
      <w:r w:rsidRPr="00C94BBC">
        <w:t xml:space="preserve"> and was increased 1.4</w:t>
      </w:r>
      <w:r>
        <w:noBreakHyphen/>
      </w:r>
      <w:r w:rsidRPr="00C94BBC">
        <w:t>fold for AUEC</w:t>
      </w:r>
      <w:r w:rsidRPr="00C94BBC">
        <w:rPr>
          <w:vertAlign w:val="subscript"/>
        </w:rPr>
        <w:t>0-28d</w:t>
      </w:r>
      <w:r w:rsidRPr="00C94BBC">
        <w:t>.</w:t>
      </w:r>
    </w:p>
    <w:p w14:paraId="593B1640" w14:textId="5EE0D6AE" w:rsidR="00C94BBC" w:rsidRPr="00C94BBC" w:rsidRDefault="00C94BBC" w:rsidP="00C94BBC">
      <w:r w:rsidRPr="00C94BBC">
        <w:t xml:space="preserve">Coadministration with </w:t>
      </w:r>
      <w:proofErr w:type="spellStart"/>
      <w:r w:rsidRPr="00C94BBC">
        <w:t>rifampin</w:t>
      </w:r>
      <w:proofErr w:type="spellEnd"/>
      <w:r w:rsidRPr="00C94BBC">
        <w:t xml:space="preserve"> resulted in essentially no change in E</w:t>
      </w:r>
      <w:r w:rsidRPr="00C94BBC">
        <w:rPr>
          <w:vertAlign w:val="subscript"/>
        </w:rPr>
        <w:t>max</w:t>
      </w:r>
      <w:r w:rsidRPr="00C94BBC">
        <w:t xml:space="preserve">, a 1.1-fold decrease in </w:t>
      </w:r>
      <w:proofErr w:type="spellStart"/>
      <w:r w:rsidRPr="00C94BBC">
        <w:t>ΔE</w:t>
      </w:r>
      <w:r w:rsidRPr="00C94BBC">
        <w:rPr>
          <w:vertAlign w:val="subscript"/>
        </w:rPr>
        <w:t>max</w:t>
      </w:r>
      <w:proofErr w:type="spellEnd"/>
      <w:r w:rsidRPr="00C94BBC">
        <w:t xml:space="preserve"> and a 4.6-fold decrease in AUEC</w:t>
      </w:r>
      <w:r w:rsidRPr="00C94BBC">
        <w:rPr>
          <w:vertAlign w:val="subscript"/>
        </w:rPr>
        <w:t xml:space="preserve">0-28d </w:t>
      </w:r>
      <w:r w:rsidRPr="00C94BBC">
        <w:t>compared to avatrombopag administered alone.</w:t>
      </w:r>
    </w:p>
    <w:p w14:paraId="4AD16BA4" w14:textId="4B53DEBA" w:rsidR="00C94BBC" w:rsidRPr="00C94BBC" w:rsidRDefault="00C94BBC" w:rsidP="00C94BBC">
      <w:r w:rsidRPr="00C94BBC">
        <w:t>Avatrombopag</w:t>
      </w:r>
      <w:r>
        <w:t xml:space="preserve"> </w:t>
      </w:r>
      <w:r w:rsidRPr="00C94BBC">
        <w:t>related platelet activation was assessed in a sub-study of 30 patients (20</w:t>
      </w:r>
      <w:r>
        <w:t> </w:t>
      </w:r>
      <w:r w:rsidRPr="00C94BBC">
        <w:t xml:space="preserve">avatrombopag, 10 placebo) from the pivotal Phase </w:t>
      </w:r>
      <w:r>
        <w:t>III</w:t>
      </w:r>
      <w:r w:rsidRPr="00C94BBC">
        <w:t xml:space="preserve"> studies. Platelet function was assessed using specified flow cytometric markers or platelet aggregometry. The findings were:</w:t>
      </w:r>
    </w:p>
    <w:p w14:paraId="5F1B5CFA" w14:textId="5C3E7120" w:rsidR="00C94BBC" w:rsidRPr="00C94BBC" w:rsidRDefault="00C94BBC" w:rsidP="00C94BBC">
      <w:pPr>
        <w:pStyle w:val="ListBullet"/>
      </w:pPr>
      <w:r w:rsidRPr="00C94BBC">
        <w:t>Almost 2-fold increase in platelet counts at Day 10</w:t>
      </w:r>
      <w:r>
        <w:t xml:space="preserve"> </w:t>
      </w:r>
      <w:r w:rsidRPr="00C94BBC">
        <w:t>after administration of 60</w:t>
      </w:r>
      <w:r>
        <w:t> </w:t>
      </w:r>
      <w:r w:rsidRPr="00C94BBC">
        <w:t>mg and 40</w:t>
      </w:r>
      <w:r>
        <w:t> </w:t>
      </w:r>
      <w:r w:rsidRPr="00C94BBC">
        <w:t>mg avatrombopag, but not with placebo</w:t>
      </w:r>
      <w:r>
        <w:t>.</w:t>
      </w:r>
    </w:p>
    <w:p w14:paraId="37CAB9F6" w14:textId="609004EE" w:rsidR="00C94BBC" w:rsidRPr="00C94BBC" w:rsidRDefault="00C94BBC" w:rsidP="00C94BBC">
      <w:pPr>
        <w:pStyle w:val="ListBullet"/>
      </w:pPr>
      <w:r w:rsidRPr="00C94BBC">
        <w:t xml:space="preserve">Similar magnitude increases in surface P-selectin and surface activated </w:t>
      </w:r>
      <w:r>
        <w:t xml:space="preserve">glycoprotein IIb/IIIa </w:t>
      </w:r>
      <w:r w:rsidRPr="00C94BBC">
        <w:t xml:space="preserve">in response to both low and high concentrations of </w:t>
      </w:r>
      <w:r>
        <w:t>a</w:t>
      </w:r>
      <w:r w:rsidRPr="00C94BBC">
        <w:t>denosine diphosphat</w:t>
      </w:r>
      <w:r w:rsidR="00006B55">
        <w:t>e</w:t>
      </w:r>
      <w:r w:rsidRPr="00C94BBC">
        <w:t xml:space="preserve"> and thrombin receptor activating peptide</w:t>
      </w:r>
      <w:r w:rsidR="00006B55">
        <w:t xml:space="preserve"> </w:t>
      </w:r>
      <w:r w:rsidRPr="00C94BBC">
        <w:t>in both avatrombopag</w:t>
      </w:r>
      <w:r>
        <w:t xml:space="preserve"> </w:t>
      </w:r>
      <w:r w:rsidRPr="00C94BBC">
        <w:t>treated and placebo</w:t>
      </w:r>
      <w:r>
        <w:t xml:space="preserve"> </w:t>
      </w:r>
      <w:r w:rsidRPr="00C94BBC">
        <w:t>treated patients</w:t>
      </w:r>
      <w:r>
        <w:t>.</w:t>
      </w:r>
    </w:p>
    <w:p w14:paraId="774CF5B8" w14:textId="7E8CA8CB" w:rsidR="00C94BBC" w:rsidRPr="00C94BBC" w:rsidRDefault="00C94BBC" w:rsidP="00C94BBC">
      <w:pPr>
        <w:pStyle w:val="ListBullet"/>
      </w:pPr>
      <w:r w:rsidRPr="00C94BBC">
        <w:t>No increase in circulating activated platelets in avatrombopag</w:t>
      </w:r>
      <w:r>
        <w:t xml:space="preserve"> </w:t>
      </w:r>
      <w:r w:rsidRPr="00C94BBC">
        <w:t>treated v</w:t>
      </w:r>
      <w:r>
        <w:t>ersus</w:t>
      </w:r>
      <w:r w:rsidRPr="00C94BBC">
        <w:t xml:space="preserve"> placebo</w:t>
      </w:r>
      <w:r>
        <w:t xml:space="preserve"> </w:t>
      </w:r>
      <w:r w:rsidRPr="00C94BBC">
        <w:t xml:space="preserve">treated patients, measured by platelet surface activated </w:t>
      </w:r>
      <w:r w:rsidR="00006B55" w:rsidRPr="00006B55">
        <w:t xml:space="preserve">glycoprotein </w:t>
      </w:r>
      <w:r w:rsidRPr="00C94BBC">
        <w:t>IIb-IIIa and platelet surface P</w:t>
      </w:r>
      <w:r>
        <w:noBreakHyphen/>
      </w:r>
      <w:r w:rsidRPr="00C94BBC">
        <w:t>selectin.</w:t>
      </w:r>
    </w:p>
    <w:p w14:paraId="5E7B8E80" w14:textId="08563EBB" w:rsidR="00C94BBC" w:rsidRPr="00C94BBC" w:rsidRDefault="00C94BBC" w:rsidP="00C94BBC">
      <w:pPr>
        <w:pStyle w:val="ListBullet"/>
      </w:pPr>
      <w:r w:rsidRPr="00C94BBC">
        <w:t>No increase in platelet reactivity in avatrombopag treated v</w:t>
      </w:r>
      <w:r>
        <w:t>ersus</w:t>
      </w:r>
      <w:r w:rsidRPr="00C94BBC">
        <w:t xml:space="preserve"> placebo</w:t>
      </w:r>
      <w:r>
        <w:t xml:space="preserve"> </w:t>
      </w:r>
      <w:r w:rsidRPr="00C94BBC">
        <w:t>treated patients, assessed by the response to low and high concentrations of adenosine diphosphate and low and high thrombin receptor activating peptide.</w:t>
      </w:r>
    </w:p>
    <w:p w14:paraId="4516ABAD" w14:textId="77777777" w:rsidR="00C94BBC" w:rsidRDefault="00C94BBC" w:rsidP="00C94BBC">
      <w:pPr>
        <w:pStyle w:val="Heading4"/>
      </w:pPr>
      <w:bookmarkStart w:id="54" w:name="_Toc158284401"/>
      <w:r w:rsidRPr="00E9222E">
        <w:t>Efficacy by Indication</w:t>
      </w:r>
      <w:bookmarkEnd w:id="54"/>
    </w:p>
    <w:p w14:paraId="11C4EA43" w14:textId="0D0E0E5F" w:rsidR="00C94BBC" w:rsidRPr="00246847" w:rsidRDefault="00C94BBC" w:rsidP="00C94BBC">
      <w:r>
        <w:t>This submission sought two indications. For clarity this AusPAR has been divided into separate sections based on requested indication. The clinical efficacy evidence is presented separately for each indication.</w:t>
      </w:r>
    </w:p>
    <w:p w14:paraId="4A5BBAB8" w14:textId="30473C81" w:rsidR="00C94BBC" w:rsidRPr="00030CFD" w:rsidRDefault="00C94BBC" w:rsidP="00C94BBC">
      <w:pPr>
        <w:pStyle w:val="Heading5"/>
      </w:pPr>
      <w:r w:rsidRPr="00030CFD">
        <w:t xml:space="preserve">Chronic </w:t>
      </w:r>
      <w:r w:rsidR="00305CA5">
        <w:t>l</w:t>
      </w:r>
      <w:r w:rsidRPr="00030CFD">
        <w:t xml:space="preserve">iver </w:t>
      </w:r>
      <w:r w:rsidR="00305CA5">
        <w:t>d</w:t>
      </w:r>
      <w:r w:rsidRPr="00030CFD">
        <w:t>isease</w:t>
      </w:r>
    </w:p>
    <w:p w14:paraId="3C170F64" w14:textId="11BDAC14" w:rsidR="00C94BBC" w:rsidRDefault="00C94BBC" w:rsidP="00C94BBC">
      <w:pPr>
        <w:pStyle w:val="Heading6"/>
        <w:rPr>
          <w:rFonts w:eastAsia="TimesNewRoman"/>
          <w:lang w:val="en-US"/>
        </w:rPr>
      </w:pPr>
      <w:r w:rsidRPr="00A821FB">
        <w:rPr>
          <w:rFonts w:eastAsia="TimesNewRoman"/>
          <w:lang w:val="en-US"/>
        </w:rPr>
        <w:t>Pivotal studies</w:t>
      </w:r>
    </w:p>
    <w:p w14:paraId="5BB65468" w14:textId="70A26621" w:rsidR="00C94BBC" w:rsidRPr="00C94BBC" w:rsidRDefault="00C94BBC" w:rsidP="00C94BBC">
      <w:r w:rsidRPr="00C94BBC">
        <w:t xml:space="preserve">Two similarly designed </w:t>
      </w:r>
      <w:r>
        <w:t>P</w:t>
      </w:r>
      <w:r w:rsidRPr="00C94BBC">
        <w:t xml:space="preserve">hase </w:t>
      </w:r>
      <w:r>
        <w:t>III</w:t>
      </w:r>
      <w:r w:rsidRPr="00C94BBC">
        <w:t xml:space="preserve"> studies were submitted in support of this indication.</w:t>
      </w:r>
    </w:p>
    <w:p w14:paraId="7CD0F4E4" w14:textId="44296A7C" w:rsidR="00C94BBC" w:rsidRPr="00C94BBC" w:rsidRDefault="00C94BBC" w:rsidP="00C94BBC">
      <w:r w:rsidRPr="00C94BBC">
        <w:t>Both studies were conducted according to the schematic, below</w:t>
      </w:r>
      <w:r>
        <w:t xml:space="preserve"> (see </w:t>
      </w:r>
      <w:r>
        <w:fldChar w:fldCharType="begin"/>
      </w:r>
      <w:r>
        <w:instrText xml:space="preserve"> REF _Ref151457272 \h </w:instrText>
      </w:r>
      <w:r>
        <w:fldChar w:fldCharType="separate"/>
      </w:r>
      <w:r w:rsidR="00197355">
        <w:t xml:space="preserve">Figure </w:t>
      </w:r>
      <w:r w:rsidR="00197355">
        <w:rPr>
          <w:noProof/>
        </w:rPr>
        <w:t>4</w:t>
      </w:r>
      <w:r>
        <w:fldChar w:fldCharType="end"/>
      </w:r>
      <w:r>
        <w:t>)</w:t>
      </w:r>
      <w:r w:rsidRPr="00C94BBC">
        <w:t xml:space="preserve">. The </w:t>
      </w:r>
      <w:r>
        <w:t>p</w:t>
      </w:r>
      <w:r w:rsidRPr="00C94BBC">
        <w:t xml:space="preserve">rocedure </w:t>
      </w:r>
      <w:r>
        <w:t>d</w:t>
      </w:r>
      <w:r w:rsidRPr="00C94BBC">
        <w:t>ay occurred 5 to 8 days after the last dose of study drug (</w:t>
      </w:r>
      <w:r>
        <w:t>s</w:t>
      </w:r>
      <w:r w:rsidRPr="00C94BBC">
        <w:t>tudy Day 10 to 13) and all assessments were to be completed prior to the procedure.</w:t>
      </w:r>
    </w:p>
    <w:p w14:paraId="774FCA3B" w14:textId="0A243834" w:rsidR="00C94BBC" w:rsidRDefault="00C94BBC" w:rsidP="00C94BBC">
      <w:pPr>
        <w:pStyle w:val="FigureTitle"/>
      </w:pPr>
      <w:bookmarkStart w:id="55" w:name="_Ref151457272"/>
      <w:r>
        <w:lastRenderedPageBreak/>
        <w:t xml:space="preserve">Figure </w:t>
      </w:r>
      <w:r w:rsidR="008A4248">
        <w:fldChar w:fldCharType="begin"/>
      </w:r>
      <w:r w:rsidR="008A4248">
        <w:instrText xml:space="preserve"> SEQ Figure \* ARABIC</w:instrText>
      </w:r>
      <w:r w:rsidR="008A4248">
        <w:instrText xml:space="preserve"> </w:instrText>
      </w:r>
      <w:r w:rsidR="008A4248">
        <w:fldChar w:fldCharType="separate"/>
      </w:r>
      <w:r w:rsidR="00197355">
        <w:rPr>
          <w:noProof/>
        </w:rPr>
        <w:t>4</w:t>
      </w:r>
      <w:r w:rsidR="008A4248">
        <w:rPr>
          <w:noProof/>
        </w:rPr>
        <w:fldChar w:fldCharType="end"/>
      </w:r>
      <w:bookmarkEnd w:id="55"/>
      <w:r>
        <w:t xml:space="preserve">: </w:t>
      </w:r>
      <w:r w:rsidR="007F165A">
        <w:t>Pivotal stud</w:t>
      </w:r>
      <w:r w:rsidR="00E9222E">
        <w:t>y</w:t>
      </w:r>
      <w:r w:rsidR="007F165A">
        <w:t xml:space="preserve"> d</w:t>
      </w:r>
      <w:r>
        <w:t>esign</w:t>
      </w:r>
    </w:p>
    <w:p w14:paraId="3E734B71" w14:textId="7319B2F0" w:rsidR="00C94BBC" w:rsidRDefault="00C94BBC" w:rsidP="008A4248">
      <w:r>
        <w:rPr>
          <w:noProof/>
        </w:rPr>
        <w:drawing>
          <wp:inline distT="0" distB="0" distL="0" distR="0" wp14:anchorId="3BF28EBC" wp14:editId="4FB14BAF">
            <wp:extent cx="5759450" cy="2668270"/>
            <wp:effectExtent l="0" t="0" r="0" b="0"/>
            <wp:docPr id="7" name="Picture 7" descr="Participants were assigned to 1 of 2 cohorts according to their mean Baseline platelet count. Within each Baseline platelet group participants were randomised 2:1 to receive either avatrombopag or the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ticipants were assigned to 1 of 2 cohorts according to their mean Baseline platelet count. Within each Baseline platelet group participants were randomised 2:1 to receive either avatrombopag or the placebo."/>
                    <pic:cNvPicPr/>
                  </pic:nvPicPr>
                  <pic:blipFill>
                    <a:blip r:embed="rId25"/>
                    <a:stretch>
                      <a:fillRect/>
                    </a:stretch>
                  </pic:blipFill>
                  <pic:spPr>
                    <a:xfrm>
                      <a:off x="0" y="0"/>
                      <a:ext cx="5759450" cy="2668270"/>
                    </a:xfrm>
                    <a:prstGeom prst="rect">
                      <a:avLst/>
                    </a:prstGeom>
                  </pic:spPr>
                </pic:pic>
              </a:graphicData>
            </a:graphic>
          </wp:inline>
        </w:drawing>
      </w:r>
    </w:p>
    <w:p w14:paraId="7C6407B9" w14:textId="1F4A5227" w:rsidR="00C94BBC" w:rsidRDefault="00C94BBC" w:rsidP="00C94BBC">
      <w:pPr>
        <w:pStyle w:val="FigureDescription"/>
      </w:pPr>
      <w:r>
        <w:t>Abbreviations:</w:t>
      </w:r>
      <w:r w:rsidRPr="00C94BBC">
        <w:t xml:space="preserve"> PLT = platelet count, R = randomi</w:t>
      </w:r>
      <w:r>
        <w:t>s</w:t>
      </w:r>
      <w:r w:rsidRPr="00C94BBC">
        <w:t>ation.</w:t>
      </w:r>
    </w:p>
    <w:p w14:paraId="7E337FDC" w14:textId="1BFE0DCC" w:rsidR="00C94BBC" w:rsidRPr="00C94BBC" w:rsidRDefault="00C94BBC" w:rsidP="00C94BBC">
      <w:pPr>
        <w:pStyle w:val="FigureDescription"/>
      </w:pPr>
      <w:r w:rsidRPr="00C94BBC">
        <w:t xml:space="preserve">Low </w:t>
      </w:r>
      <w:r>
        <w:t>b</w:t>
      </w:r>
      <w:r w:rsidRPr="00C94BBC">
        <w:t xml:space="preserve">aseline </w:t>
      </w:r>
      <w:r>
        <w:t>p</w:t>
      </w:r>
      <w:r w:rsidRPr="00C94BBC">
        <w:t xml:space="preserve">latelet </w:t>
      </w:r>
      <w:r>
        <w:t>c</w:t>
      </w:r>
      <w:r w:rsidRPr="00C94BBC">
        <w:t xml:space="preserve">ount </w:t>
      </w:r>
      <w:r>
        <w:t>c</w:t>
      </w:r>
      <w:r w:rsidRPr="00C94BBC">
        <w:t>ohort: Group A = 60</w:t>
      </w:r>
      <w:r>
        <w:t> </w:t>
      </w:r>
      <w:r w:rsidRPr="00C94BBC">
        <w:t>mg avatrombopag treatment group</w:t>
      </w:r>
      <w:r>
        <w:t>,</w:t>
      </w:r>
      <w:r w:rsidRPr="00C94BBC">
        <w:t xml:space="preserve"> Group</w:t>
      </w:r>
      <w:r>
        <w:t> </w:t>
      </w:r>
      <w:r w:rsidRPr="00C94BBC">
        <w:t>B</w:t>
      </w:r>
      <w:r>
        <w:rPr>
          <w:vertAlign w:val="superscript"/>
        </w:rPr>
        <w:t> </w:t>
      </w:r>
      <w:r w:rsidRPr="00C94BBC">
        <w:t>=</w:t>
      </w:r>
      <w:r>
        <w:t> </w:t>
      </w:r>
      <w:r w:rsidRPr="00C94BBC">
        <w:t>placebo treatment group</w:t>
      </w:r>
      <w:r>
        <w:t xml:space="preserve">. </w:t>
      </w:r>
      <w:r w:rsidRPr="00C94BBC">
        <w:t xml:space="preserve">High </w:t>
      </w:r>
      <w:r>
        <w:t>b</w:t>
      </w:r>
      <w:r w:rsidRPr="00C94BBC">
        <w:t xml:space="preserve">aseline </w:t>
      </w:r>
      <w:r>
        <w:t>p</w:t>
      </w:r>
      <w:r w:rsidRPr="00C94BBC">
        <w:t xml:space="preserve">latelet </w:t>
      </w:r>
      <w:r>
        <w:t>c</w:t>
      </w:r>
      <w:r w:rsidRPr="00C94BBC">
        <w:t xml:space="preserve">ount </w:t>
      </w:r>
      <w:r>
        <w:t>c</w:t>
      </w:r>
      <w:r w:rsidRPr="00C94BBC">
        <w:t>ohort: Group</w:t>
      </w:r>
      <w:r>
        <w:t> </w:t>
      </w:r>
      <w:r w:rsidRPr="00C94BBC">
        <w:t>C</w:t>
      </w:r>
      <w:r>
        <w:t> </w:t>
      </w:r>
      <w:r w:rsidRPr="00C94BBC">
        <w:t>=</w:t>
      </w:r>
      <w:r>
        <w:t> </w:t>
      </w:r>
      <w:r w:rsidRPr="00C94BBC">
        <w:t>40</w:t>
      </w:r>
      <w:r>
        <w:t xml:space="preserve"> mg </w:t>
      </w:r>
      <w:r w:rsidRPr="00C94BBC">
        <w:t>avatrombopag treatment group</w:t>
      </w:r>
      <w:r>
        <w:t>,</w:t>
      </w:r>
      <w:r w:rsidRPr="00C94BBC">
        <w:t xml:space="preserve"> Group D = placebo treatment group.</w:t>
      </w:r>
    </w:p>
    <w:p w14:paraId="28E35684" w14:textId="337B50FA" w:rsidR="00C94BBC" w:rsidRPr="00C94BBC" w:rsidRDefault="00C94BBC" w:rsidP="00C94BBC">
      <w:pPr>
        <w:pStyle w:val="FigureDescription"/>
      </w:pPr>
      <w:r w:rsidRPr="00C94BBC">
        <w:t xml:space="preserve">Platelet counts were measured on </w:t>
      </w:r>
      <w:r>
        <w:t>two</w:t>
      </w:r>
      <w:r w:rsidRPr="00C94BBC">
        <w:t xml:space="preserve"> separate occasions, during the </w:t>
      </w:r>
      <w:r>
        <w:t>s</w:t>
      </w:r>
      <w:r w:rsidRPr="00C94BBC">
        <w:t xml:space="preserve">creening </w:t>
      </w:r>
      <w:r>
        <w:t>p</w:t>
      </w:r>
      <w:r w:rsidRPr="00C94BBC">
        <w:t>eriod and at Baseline, at least 1 day apart with neither platelet count greater than 60×10</w:t>
      </w:r>
      <w:r w:rsidRPr="00C94BBC">
        <w:rPr>
          <w:vertAlign w:val="superscript"/>
        </w:rPr>
        <w:t>9</w:t>
      </w:r>
      <w:r w:rsidRPr="00C94BBC">
        <w:t>/L. The</w:t>
      </w:r>
      <w:r>
        <w:t xml:space="preserve"> </w:t>
      </w:r>
      <w:r w:rsidRPr="00C94BBC">
        <w:t xml:space="preserve">mean of these </w:t>
      </w:r>
      <w:r>
        <w:t>two</w:t>
      </w:r>
      <w:r w:rsidRPr="00C94BBC">
        <w:t xml:space="preserve"> platelet counts (mean </w:t>
      </w:r>
      <w:r>
        <w:t>b</w:t>
      </w:r>
      <w:r w:rsidRPr="00C94BBC">
        <w:t xml:space="preserve">aseline platelet count </w:t>
      </w:r>
      <w:r>
        <w:t xml:space="preserve">less than </w:t>
      </w:r>
      <w:r w:rsidRPr="00C94BBC">
        <w:t>50×10</w:t>
      </w:r>
      <w:r w:rsidRPr="00C94BBC">
        <w:rPr>
          <w:vertAlign w:val="superscript"/>
        </w:rPr>
        <w:t>9</w:t>
      </w:r>
      <w:r w:rsidRPr="00C94BBC">
        <w:t xml:space="preserve">/L) were used for entry criteria and determination of </w:t>
      </w:r>
      <w:r>
        <w:t>b</w:t>
      </w:r>
      <w:r w:rsidRPr="00C94BBC">
        <w:t>aseline platelet count.</w:t>
      </w:r>
    </w:p>
    <w:p w14:paraId="1942134F" w14:textId="06C63CB6" w:rsidR="00C94BBC" w:rsidRPr="00C94BBC" w:rsidRDefault="00C94BBC" w:rsidP="00C94BBC">
      <w:pPr>
        <w:pStyle w:val="FigureDescription"/>
      </w:pPr>
      <w:r w:rsidRPr="00C94BBC">
        <w:t xml:space="preserve">a: Visit 3 occurred on Day 4 (±1 day) during the </w:t>
      </w:r>
      <w:r>
        <w:t>t</w:t>
      </w:r>
      <w:r w:rsidRPr="00C94BBC">
        <w:t xml:space="preserve">reatment </w:t>
      </w:r>
      <w:r>
        <w:t>p</w:t>
      </w:r>
      <w:r w:rsidRPr="00C94BBC">
        <w:t>eriod.</w:t>
      </w:r>
    </w:p>
    <w:p w14:paraId="2347C38B" w14:textId="2C83DC72" w:rsidR="00C94BBC" w:rsidRPr="00C94BBC" w:rsidRDefault="00C94BBC" w:rsidP="00C94BBC">
      <w:r w:rsidRPr="00C94BBC">
        <w:t xml:space="preserve">The main inclusion criteria were: </w:t>
      </w:r>
      <w:r>
        <w:t>m</w:t>
      </w:r>
      <w:r w:rsidRPr="00C94BBC">
        <w:t>ale or female subjects 18 years of age</w:t>
      </w:r>
      <w:r>
        <w:t xml:space="preserve"> or older</w:t>
      </w:r>
      <w:r w:rsidRPr="00C94BBC">
        <w:t xml:space="preserve"> with CLD; a mean </w:t>
      </w:r>
      <w:r w:rsidR="00E9222E">
        <w:t>B</w:t>
      </w:r>
      <w:r w:rsidRPr="00C94BBC">
        <w:t xml:space="preserve">aseline platelet count </w:t>
      </w:r>
      <w:r>
        <w:t xml:space="preserve">less than </w:t>
      </w:r>
      <w:r w:rsidRPr="00C94BBC">
        <w:t>50</w:t>
      </w:r>
      <w:r w:rsidR="00E9222E">
        <w:rPr>
          <w:rFonts w:hint="eastAsia"/>
        </w:rPr>
        <w:t> </w:t>
      </w:r>
      <w:r w:rsidR="00E9222E">
        <w:t>x </w:t>
      </w:r>
      <w:r w:rsidRPr="00C94BBC">
        <w:t>10</w:t>
      </w:r>
      <w:r w:rsidRPr="00C94BBC">
        <w:rPr>
          <w:vertAlign w:val="superscript"/>
        </w:rPr>
        <w:t>9</w:t>
      </w:r>
      <w:r w:rsidRPr="00C94BBC">
        <w:t>/L;</w:t>
      </w:r>
      <w:r w:rsidRPr="00C94BBC">
        <w:rPr>
          <w:vertAlign w:val="superscript"/>
        </w:rPr>
        <w:footnoteReference w:id="18"/>
      </w:r>
      <w:r>
        <w:t xml:space="preserve"> </w:t>
      </w:r>
      <w:r w:rsidRPr="00C94BBC">
        <w:t>Model for End-Stage Liver D</w:t>
      </w:r>
      <w:r w:rsidRPr="00E9222E">
        <w:t>isease (MELD)</w:t>
      </w:r>
      <w:bookmarkStart w:id="56" w:name="_Ref153263846"/>
      <w:r w:rsidRPr="00E9222E">
        <w:rPr>
          <w:vertAlign w:val="superscript"/>
        </w:rPr>
        <w:footnoteReference w:id="19"/>
      </w:r>
      <w:bookmarkEnd w:id="56"/>
      <w:r w:rsidRPr="00C94BBC">
        <w:rPr>
          <w:vertAlign w:val="superscript"/>
        </w:rPr>
        <w:t xml:space="preserve"> </w:t>
      </w:r>
      <w:r w:rsidRPr="00C94BBC">
        <w:t xml:space="preserve">scores </w:t>
      </w:r>
      <w:r>
        <w:t xml:space="preserve">less than </w:t>
      </w:r>
      <w:r w:rsidRPr="00C94BBC">
        <w:t>24; scheduled to undergo a permitted scheduled procedure that would require a platelet transfusion to address a risk of bleeding associated with the procedure unless there was a clinically significant increase in platelet count from Baseline. Patients undergoing neurosurgical interventions, thoracotomy, laparotomy, or organ resection were not eligible.</w:t>
      </w:r>
    </w:p>
    <w:p w14:paraId="13256EDC" w14:textId="2C7B073A" w:rsidR="00C94BBC" w:rsidRPr="00C94BBC" w:rsidRDefault="00C94BBC" w:rsidP="00C94BBC">
      <w:r w:rsidRPr="00C94BBC">
        <w:t>The main exclusion criteria were: history of arterial or venous thrombosis including partial or complete thrombosis in main portal vein,</w:t>
      </w:r>
      <w:r w:rsidRPr="00C94BBC">
        <w:rPr>
          <w:vertAlign w:val="superscript"/>
        </w:rPr>
        <w:footnoteReference w:id="20"/>
      </w:r>
      <w:r w:rsidRPr="00C94BBC">
        <w:t xml:space="preserve"> portal vein branches or any part of the splenic mesenteric system; </w:t>
      </w:r>
      <w:r>
        <w:t>h</w:t>
      </w:r>
      <w:r w:rsidRPr="00C94BBC">
        <w:t xml:space="preserve">epatic encephalopathy that could not be effectively treated; </w:t>
      </w:r>
      <w:r>
        <w:t>s</w:t>
      </w:r>
      <w:r w:rsidRPr="00C94BBC">
        <w:t xml:space="preserve">ubjects with hepatocellular </w:t>
      </w:r>
      <w:r>
        <w:t>carcinoma</w:t>
      </w:r>
      <w:r w:rsidRPr="00C94BBC">
        <w:t xml:space="preserve"> and Barcelona-Clinic Liver Cancer staging classification C or D;</w:t>
      </w:r>
      <w:bookmarkStart w:id="57" w:name="_Ref151469443"/>
      <w:r w:rsidR="007F165A">
        <w:rPr>
          <w:rStyle w:val="FootnoteReference"/>
        </w:rPr>
        <w:footnoteReference w:id="21"/>
      </w:r>
      <w:bookmarkEnd w:id="57"/>
      <w:r w:rsidRPr="00C94BBC">
        <w:t xml:space="preserve"> </w:t>
      </w:r>
      <w:r>
        <w:t>p</w:t>
      </w:r>
      <w:r w:rsidRPr="00C94BBC">
        <w:t>latelet transfusion or receipt of blood products containing platelets within 7 days of screening (packed red blood cells were permitted); erythropoietin</w:t>
      </w:r>
      <w:r>
        <w:t xml:space="preserve"> </w:t>
      </w:r>
      <w:r w:rsidRPr="00C94BBC">
        <w:t xml:space="preserve">stimulating agents, Heparin, warfarin, </w:t>
      </w:r>
      <w:r w:rsidRPr="00C94BBC">
        <w:lastRenderedPageBreak/>
        <w:t>nonsteroidal anti-inflammatory drugs, aspirin, verapamil, and antiplatelet therapy with ticlopidine or glycoprotein IIb/IIIa antagonists (</w:t>
      </w:r>
      <w:r>
        <w:t>for example,</w:t>
      </w:r>
      <w:r w:rsidRPr="00C94BBC">
        <w:t xml:space="preserve"> tirofiban) within 7 days of screening; </w:t>
      </w:r>
      <w:r>
        <w:t>i</w:t>
      </w:r>
      <w:r w:rsidRPr="00C94BBC">
        <w:t>nterferon use within 14 days of screening; estrogen</w:t>
      </w:r>
      <w:r>
        <w:t xml:space="preserve"> </w:t>
      </w:r>
      <w:r w:rsidRPr="00C94BBC">
        <w:t xml:space="preserve">containing hormonal contraceptive or hormone replacement therapy use within 30 days of screening; </w:t>
      </w:r>
      <w:r>
        <w:t>a</w:t>
      </w:r>
      <w:r w:rsidRPr="00C94BBC">
        <w:t xml:space="preserve">ctive infection requiring systemic antibiotic therapy within 7 days of screening (but prophylactic use of antibiotics was permitted), </w:t>
      </w:r>
      <w:r>
        <w:t>k</w:t>
      </w:r>
      <w:r w:rsidRPr="00C94BBC">
        <w:t>nown human immunodeficienc</w:t>
      </w:r>
      <w:r w:rsidRPr="00E9222E">
        <w:t>y virus (HIV) infection</w:t>
      </w:r>
      <w:r w:rsidRPr="00C94BBC">
        <w:t xml:space="preserve">, primary haematological disorder (idiopathic thrombocytopenic </w:t>
      </w:r>
      <w:r>
        <w:t>purpura</w:t>
      </w:r>
      <w:r w:rsidRPr="00C94BBC">
        <w:t xml:space="preserve">, </w:t>
      </w:r>
      <w:r>
        <w:t>m</w:t>
      </w:r>
      <w:r w:rsidRPr="00C94BBC">
        <w:t>yelodysplastic syndrom</w:t>
      </w:r>
      <w:r>
        <w:t>es</w:t>
      </w:r>
      <w:r w:rsidRPr="00C94BBC">
        <w:t>).</w:t>
      </w:r>
    </w:p>
    <w:p w14:paraId="1E1AACB7" w14:textId="7F5877AA" w:rsidR="00C94BBC" w:rsidRPr="007F165A" w:rsidRDefault="00C94BBC" w:rsidP="007F165A">
      <w:r w:rsidRPr="007F165A">
        <w:t xml:space="preserve">Eligible subjects were enrolled into </w:t>
      </w:r>
      <w:r w:rsidR="007F165A">
        <w:t>two</w:t>
      </w:r>
      <w:r w:rsidRPr="007F165A">
        <w:t xml:space="preserve"> cohorts according to mean </w:t>
      </w:r>
      <w:r w:rsidR="007F165A">
        <w:t>B</w:t>
      </w:r>
      <w:r w:rsidRPr="007F165A">
        <w:t xml:space="preserve">aseline platelet count, and within each </w:t>
      </w:r>
      <w:r w:rsidR="007F165A">
        <w:t>B</w:t>
      </w:r>
      <w:r w:rsidRPr="007F165A">
        <w:t>aseline platelet count cohort, and were further stratified by hepatocellular carcinoma status (</w:t>
      </w:r>
      <w:r w:rsidR="007F165A">
        <w:t>y</w:t>
      </w:r>
      <w:r w:rsidRPr="007F165A">
        <w:t xml:space="preserve">es or </w:t>
      </w:r>
      <w:r w:rsidR="007F165A">
        <w:t>n</w:t>
      </w:r>
      <w:r w:rsidRPr="007F165A">
        <w:t>o) and the risk of bleeding associated with the scheduled procedure (low, moderate, or high).</w:t>
      </w:r>
    </w:p>
    <w:p w14:paraId="1B3EAA9A" w14:textId="77777777" w:rsidR="00305CA5" w:rsidRDefault="00C94BBC" w:rsidP="007F165A">
      <w:r w:rsidRPr="007F165A">
        <w:t xml:space="preserve">Within each Baseline platelet count cohort and each further stratum, subjects were randomised in a 2:1 ratio to receive either </w:t>
      </w:r>
      <w:r w:rsidR="007F165A" w:rsidRPr="00C94BBC">
        <w:t>avatrombopag</w:t>
      </w:r>
      <w:r w:rsidR="007F165A" w:rsidRPr="007F165A">
        <w:t xml:space="preserve"> </w:t>
      </w:r>
      <w:r w:rsidRPr="007F165A">
        <w:t>or placebo once a day for 5 days</w:t>
      </w:r>
      <w:r w:rsidR="00305CA5">
        <w:t>.</w:t>
      </w:r>
    </w:p>
    <w:p w14:paraId="16880974" w14:textId="127B3220" w:rsidR="00C94BBC" w:rsidRPr="007F165A" w:rsidRDefault="00C94BBC" w:rsidP="007F165A">
      <w:r w:rsidRPr="007F165A">
        <w:t xml:space="preserve">Dosing was based on dose ranging </w:t>
      </w:r>
      <w:r w:rsidR="007F165A">
        <w:t>S</w:t>
      </w:r>
      <w:r w:rsidRPr="007F165A">
        <w:t>tudy 202</w:t>
      </w:r>
      <w:r w:rsidR="007F165A">
        <w:t xml:space="preserve">. </w:t>
      </w:r>
      <w:r w:rsidRPr="007F165A">
        <w:t xml:space="preserve">Dosing was based on platelet cohort. </w:t>
      </w:r>
      <w:r w:rsidR="007F165A" w:rsidRPr="007F165A">
        <w:t xml:space="preserve">Avatrombopag </w:t>
      </w:r>
      <w:r w:rsidRPr="007F165A">
        <w:t>was administered with food.</w:t>
      </w:r>
    </w:p>
    <w:p w14:paraId="7BDF6135" w14:textId="2F57D1CA" w:rsidR="00C94BBC" w:rsidRPr="007F165A" w:rsidRDefault="00C94BBC" w:rsidP="007F165A">
      <w:r w:rsidRPr="007F165A">
        <w:rPr>
          <w:u w:val="single"/>
        </w:rPr>
        <w:t xml:space="preserve">Low </w:t>
      </w:r>
      <w:r w:rsidR="00E9222E">
        <w:rPr>
          <w:u w:val="single"/>
        </w:rPr>
        <w:t>B</w:t>
      </w:r>
      <w:r w:rsidRPr="007F165A">
        <w:rPr>
          <w:u w:val="single"/>
        </w:rPr>
        <w:t xml:space="preserve">aseline </w:t>
      </w:r>
      <w:r w:rsidR="007F165A">
        <w:rPr>
          <w:u w:val="single"/>
        </w:rPr>
        <w:t>p</w:t>
      </w:r>
      <w:r w:rsidRPr="007F165A">
        <w:rPr>
          <w:u w:val="single"/>
        </w:rPr>
        <w:t xml:space="preserve">latelet </w:t>
      </w:r>
      <w:r w:rsidR="007F165A">
        <w:rPr>
          <w:u w:val="single"/>
        </w:rPr>
        <w:t>c</w:t>
      </w:r>
      <w:r w:rsidRPr="007F165A">
        <w:rPr>
          <w:u w:val="single"/>
        </w:rPr>
        <w:t xml:space="preserve">ount </w:t>
      </w:r>
      <w:r w:rsidR="007F165A">
        <w:rPr>
          <w:u w:val="single"/>
        </w:rPr>
        <w:t>c</w:t>
      </w:r>
      <w:r w:rsidRPr="007F165A">
        <w:rPr>
          <w:u w:val="single"/>
        </w:rPr>
        <w:t>ohort</w:t>
      </w:r>
      <w:r w:rsidRPr="007F165A">
        <w:t xml:space="preserve"> (</w:t>
      </w:r>
      <w:r w:rsidR="007F165A">
        <w:t xml:space="preserve">less than </w:t>
      </w:r>
      <w:r w:rsidRPr="007F165A">
        <w:t>40</w:t>
      </w:r>
      <w:r w:rsidR="00E9222E">
        <w:t> </w:t>
      </w:r>
      <w:r w:rsidRPr="007F165A">
        <w:t>×</w:t>
      </w:r>
      <w:r w:rsidR="00E9222E">
        <w:t> </w:t>
      </w:r>
      <w:r w:rsidRPr="007F165A">
        <w:t>10</w:t>
      </w:r>
      <w:r w:rsidRPr="007F165A">
        <w:rPr>
          <w:vertAlign w:val="superscript"/>
        </w:rPr>
        <w:t>9</w:t>
      </w:r>
      <w:r w:rsidRPr="007F165A">
        <w:t>/L): 60</w:t>
      </w:r>
      <w:r w:rsidR="00E9222E">
        <w:t> </w:t>
      </w:r>
      <w:r w:rsidRPr="007F165A">
        <w:t xml:space="preserve">mg </w:t>
      </w:r>
      <w:r w:rsidR="007F165A" w:rsidRPr="007F165A">
        <w:t xml:space="preserve">avatrombopag </w:t>
      </w:r>
      <w:r w:rsidRPr="007F165A">
        <w:t>(3</w:t>
      </w:r>
      <w:r w:rsidR="00E9222E">
        <w:t> </w:t>
      </w:r>
      <w:r w:rsidRPr="007F165A">
        <w:t>×</w:t>
      </w:r>
      <w:r w:rsidR="00E9222E">
        <w:t> </w:t>
      </w:r>
      <w:r w:rsidRPr="007F165A">
        <w:t>20</w:t>
      </w:r>
      <w:r w:rsidR="00E9222E">
        <w:t> </w:t>
      </w:r>
      <w:r w:rsidRPr="007F165A">
        <w:t>mg tablets) once daily on Days 1 through 5, or matching placebo.</w:t>
      </w:r>
    </w:p>
    <w:p w14:paraId="43A1340F" w14:textId="4F623942" w:rsidR="00C94BBC" w:rsidRPr="007F165A" w:rsidRDefault="00C94BBC" w:rsidP="007F165A">
      <w:r w:rsidRPr="007F165A">
        <w:rPr>
          <w:u w:val="single"/>
        </w:rPr>
        <w:t xml:space="preserve">High </w:t>
      </w:r>
      <w:r w:rsidR="007F165A">
        <w:rPr>
          <w:u w:val="single"/>
        </w:rPr>
        <w:t>b</w:t>
      </w:r>
      <w:r w:rsidRPr="007F165A">
        <w:rPr>
          <w:u w:val="single"/>
        </w:rPr>
        <w:t xml:space="preserve">aseline </w:t>
      </w:r>
      <w:r w:rsidR="007F165A">
        <w:rPr>
          <w:u w:val="single"/>
        </w:rPr>
        <w:t>p</w:t>
      </w:r>
      <w:r w:rsidRPr="007F165A">
        <w:rPr>
          <w:u w:val="single"/>
        </w:rPr>
        <w:t xml:space="preserve">latelet </w:t>
      </w:r>
      <w:r w:rsidR="007F165A">
        <w:rPr>
          <w:u w:val="single"/>
        </w:rPr>
        <w:t>c</w:t>
      </w:r>
      <w:r w:rsidRPr="007F165A">
        <w:rPr>
          <w:u w:val="single"/>
        </w:rPr>
        <w:t xml:space="preserve">ount </w:t>
      </w:r>
      <w:r w:rsidR="007F165A">
        <w:rPr>
          <w:u w:val="single"/>
        </w:rPr>
        <w:t>c</w:t>
      </w:r>
      <w:r w:rsidRPr="007F165A">
        <w:rPr>
          <w:u w:val="single"/>
        </w:rPr>
        <w:t>ohort</w:t>
      </w:r>
      <w:r w:rsidRPr="007F165A">
        <w:t xml:space="preserve"> (40 to 50</w:t>
      </w:r>
      <w:r w:rsidR="00E9222E">
        <w:t> </w:t>
      </w:r>
      <w:r w:rsidRPr="007F165A">
        <w:t>×</w:t>
      </w:r>
      <w:r w:rsidR="00E9222E">
        <w:t> </w:t>
      </w:r>
      <w:r w:rsidRPr="007F165A">
        <w:t>10</w:t>
      </w:r>
      <w:r w:rsidRPr="007F165A">
        <w:rPr>
          <w:vertAlign w:val="superscript"/>
        </w:rPr>
        <w:t>9</w:t>
      </w:r>
      <w:r w:rsidRPr="007F165A">
        <w:t>/L): 40</w:t>
      </w:r>
      <w:r w:rsidR="007F165A">
        <w:t> </w:t>
      </w:r>
      <w:r w:rsidRPr="007F165A">
        <w:t xml:space="preserve">mg </w:t>
      </w:r>
      <w:r w:rsidR="007F165A" w:rsidRPr="007F165A">
        <w:t xml:space="preserve">avatrombopag </w:t>
      </w:r>
      <w:r w:rsidRPr="007F165A">
        <w:t>(2</w:t>
      </w:r>
      <w:r w:rsidR="00E9222E">
        <w:t> </w:t>
      </w:r>
      <w:r w:rsidRPr="007F165A">
        <w:t>×</w:t>
      </w:r>
      <w:r w:rsidR="00E9222E">
        <w:t> </w:t>
      </w:r>
      <w:r w:rsidRPr="007F165A">
        <w:t>20</w:t>
      </w:r>
      <w:r w:rsidR="00E9222E">
        <w:t> </w:t>
      </w:r>
      <w:r w:rsidRPr="007F165A">
        <w:t>mg tablets) once daily on Days 1 through 5, or matching placebo.</w:t>
      </w:r>
    </w:p>
    <w:p w14:paraId="1A56EE9B" w14:textId="77777777" w:rsidR="00C94BBC" w:rsidRPr="007F165A" w:rsidRDefault="00C94BBC" w:rsidP="007F165A">
      <w:r w:rsidRPr="007F165A">
        <w:t>Permitted procedures and estimated bleeding risk associated with each procedure are included below.</w:t>
      </w:r>
    </w:p>
    <w:p w14:paraId="140C6AE8" w14:textId="5CC64DB1" w:rsidR="00C94BBC" w:rsidRDefault="00C94BBC" w:rsidP="007F165A">
      <w:pPr>
        <w:pStyle w:val="TableTitle"/>
      </w:pPr>
      <w:r>
        <w:t xml:space="preserve">Table </w:t>
      </w:r>
      <w:r w:rsidR="008A4248">
        <w:fldChar w:fldCharType="begin"/>
      </w:r>
      <w:r w:rsidR="008A4248">
        <w:instrText xml:space="preserve"> SEQ Table \* ARABIC </w:instrText>
      </w:r>
      <w:r w:rsidR="008A4248">
        <w:fldChar w:fldCharType="separate"/>
      </w:r>
      <w:r w:rsidR="00197355">
        <w:rPr>
          <w:noProof/>
        </w:rPr>
        <w:t>3</w:t>
      </w:r>
      <w:r w:rsidR="008A4248">
        <w:rPr>
          <w:noProof/>
        </w:rPr>
        <w:fldChar w:fldCharType="end"/>
      </w:r>
      <w:r w:rsidR="007F165A">
        <w:rPr>
          <w:noProof/>
        </w:rPr>
        <w:t>:</w:t>
      </w:r>
      <w:r>
        <w:t xml:space="preserve"> Permitted </w:t>
      </w:r>
      <w:r w:rsidR="007F165A">
        <w:t>p</w:t>
      </w:r>
      <w:r>
        <w:t xml:space="preserve">rocedure and </w:t>
      </w:r>
      <w:r w:rsidR="007F165A">
        <w:t>b</w:t>
      </w:r>
      <w:r>
        <w:t xml:space="preserve">leeding </w:t>
      </w:r>
      <w:r w:rsidR="007F165A">
        <w:t>r</w:t>
      </w:r>
      <w:r>
        <w:t xml:space="preserve">isk </w:t>
      </w:r>
      <w:r w:rsidR="007F165A">
        <w:t>a</w:t>
      </w:r>
      <w:r>
        <w:t xml:space="preserve">ttributed to </w:t>
      </w:r>
      <w:r w:rsidR="007F165A">
        <w:t>e</w:t>
      </w:r>
      <w:r>
        <w:t xml:space="preserve">ach </w:t>
      </w:r>
      <w:r w:rsidR="007F165A">
        <w:t>p</w:t>
      </w:r>
      <w:r>
        <w:t>rocedure</w:t>
      </w:r>
    </w:p>
    <w:p w14:paraId="3B6DFB68" w14:textId="643460DB" w:rsidR="00C94BBC" w:rsidRDefault="007F165A" w:rsidP="008A4248">
      <w:pPr>
        <w:rPr>
          <w:lang w:val="en-US"/>
        </w:rPr>
      </w:pPr>
      <w:r>
        <w:rPr>
          <w:noProof/>
        </w:rPr>
        <w:drawing>
          <wp:inline distT="0" distB="0" distL="0" distR="0" wp14:anchorId="7D97DC2C" wp14:editId="29A13E7A">
            <wp:extent cx="5711825" cy="3429000"/>
            <wp:effectExtent l="0" t="0" r="3175" b="0"/>
            <wp:docPr id="14" name="Picture 14" descr="Permitted procedure and bleeding risk attributed to each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rmitted procedure and bleeding risk attributed to each procedure"/>
                    <pic:cNvPicPr/>
                  </pic:nvPicPr>
                  <pic:blipFill rotWithShape="1">
                    <a:blip r:embed="rId26"/>
                    <a:srcRect l="827" b="18576"/>
                    <a:stretch/>
                  </pic:blipFill>
                  <pic:spPr bwMode="auto">
                    <a:xfrm>
                      <a:off x="0" y="0"/>
                      <a:ext cx="5711825" cy="3429000"/>
                    </a:xfrm>
                    <a:prstGeom prst="rect">
                      <a:avLst/>
                    </a:prstGeom>
                    <a:ln>
                      <a:noFill/>
                    </a:ln>
                    <a:extLst>
                      <a:ext uri="{53640926-AAD7-44D8-BBD7-CCE9431645EC}">
                        <a14:shadowObscured xmlns:a14="http://schemas.microsoft.com/office/drawing/2010/main"/>
                      </a:ext>
                    </a:extLst>
                  </pic:spPr>
                </pic:pic>
              </a:graphicData>
            </a:graphic>
          </wp:inline>
        </w:drawing>
      </w:r>
    </w:p>
    <w:p w14:paraId="0CD97A38" w14:textId="77777777" w:rsidR="007F165A" w:rsidRDefault="007F165A" w:rsidP="007F165A">
      <w:pPr>
        <w:pStyle w:val="TableDescription"/>
        <w:rPr>
          <w:lang w:val="en-US"/>
        </w:rPr>
      </w:pPr>
      <w:r>
        <w:rPr>
          <w:lang w:val="en-US"/>
        </w:rPr>
        <w:t>Abbreviations:</w:t>
      </w:r>
      <w:r w:rsidRPr="007F165A">
        <w:rPr>
          <w:lang w:val="en-US"/>
        </w:rPr>
        <w:t xml:space="preserve"> HCC = hepatocellular carcinoma, KOL = key opinion leaders.</w:t>
      </w:r>
    </w:p>
    <w:p w14:paraId="5DB62FE1" w14:textId="515260AC" w:rsidR="007F165A" w:rsidRPr="007F165A" w:rsidRDefault="007F165A" w:rsidP="007F165A">
      <w:pPr>
        <w:pStyle w:val="TableDescription"/>
        <w:rPr>
          <w:lang w:val="en-US"/>
        </w:rPr>
      </w:pPr>
      <w:r w:rsidRPr="007F165A">
        <w:rPr>
          <w:lang w:val="en-US"/>
        </w:rPr>
        <w:t xml:space="preserve">Level of risk based on KOL input and Malloy PC, Grassi CJ, Kundu S, Gervais DA, Miller DL, </w:t>
      </w:r>
      <w:proofErr w:type="spellStart"/>
      <w:r w:rsidRPr="007F165A">
        <w:rPr>
          <w:lang w:val="en-US"/>
        </w:rPr>
        <w:t>Osnis</w:t>
      </w:r>
      <w:proofErr w:type="spellEnd"/>
      <w:r w:rsidRPr="007F165A">
        <w:rPr>
          <w:lang w:val="en-US"/>
        </w:rPr>
        <w:t xml:space="preserve"> RB, et al. for the</w:t>
      </w:r>
      <w:r>
        <w:rPr>
          <w:lang w:val="en-US"/>
        </w:rPr>
        <w:t xml:space="preserve"> </w:t>
      </w:r>
      <w:r w:rsidRPr="007F165A">
        <w:rPr>
          <w:lang w:val="en-US"/>
        </w:rPr>
        <w:t>Standards of Practice Committee with Cardiovascular and Interventional Radiological Society of Europe (CIRSE)</w:t>
      </w:r>
      <w:r>
        <w:rPr>
          <w:lang w:val="en-US"/>
        </w:rPr>
        <w:t xml:space="preserve"> </w:t>
      </w:r>
      <w:r w:rsidRPr="007F165A">
        <w:rPr>
          <w:lang w:val="en-US"/>
        </w:rPr>
        <w:t>Endorsement. Consensus Guidelines for Periprocedural Management of Coagulation Status and Hemostasis Risk in</w:t>
      </w:r>
      <w:r>
        <w:rPr>
          <w:lang w:val="en-US"/>
        </w:rPr>
        <w:t xml:space="preserve"> </w:t>
      </w:r>
      <w:r w:rsidRPr="007F165A">
        <w:rPr>
          <w:lang w:val="en-US"/>
        </w:rPr>
        <w:t>Percutaneous Image-guided Interventions (Malloy, et al., 2009)</w:t>
      </w:r>
    </w:p>
    <w:p w14:paraId="0552964F" w14:textId="77777777" w:rsidR="00C94BBC" w:rsidRPr="007F165A" w:rsidRDefault="00C94BBC" w:rsidP="007F165A">
      <w:r w:rsidRPr="007F165A">
        <w:lastRenderedPageBreak/>
        <w:t>The primary efficacy endpoint was the proportion of patients (responders) who did not require a platelet transfusion or any rescue procedure for bleeding after randomisation and up to 7 days following a scheduled procedure.</w:t>
      </w:r>
    </w:p>
    <w:p w14:paraId="4C5CF9CA" w14:textId="77777777" w:rsidR="00C94BBC" w:rsidRPr="007F165A" w:rsidRDefault="00C94BBC" w:rsidP="007F165A">
      <w:r w:rsidRPr="007F165A">
        <w:t>The key secondary endpoints were:</w:t>
      </w:r>
    </w:p>
    <w:p w14:paraId="25E790DA" w14:textId="2575934C" w:rsidR="00C94BBC" w:rsidRPr="007F165A" w:rsidRDefault="00C94BBC" w:rsidP="007F165A">
      <w:pPr>
        <w:pStyle w:val="ListBullet"/>
      </w:pPr>
      <w:r w:rsidRPr="007F165A">
        <w:t>The proportion of patients who achieved the target platelet count 50</w:t>
      </w:r>
      <w:r w:rsidR="007F165A">
        <w:t> </w:t>
      </w:r>
      <w:r w:rsidRPr="007F165A">
        <w:t>x</w:t>
      </w:r>
      <w:r w:rsidR="007F165A">
        <w:t> </w:t>
      </w:r>
      <w:r w:rsidRPr="007F165A">
        <w:t>10</w:t>
      </w:r>
      <w:r w:rsidR="007F165A" w:rsidRPr="007F165A">
        <w:rPr>
          <w:vertAlign w:val="superscript"/>
        </w:rPr>
        <w:t>9</w:t>
      </w:r>
      <w:r w:rsidRPr="007F165A">
        <w:t xml:space="preserve">/L </w:t>
      </w:r>
      <w:r w:rsidR="007F165A">
        <w:t xml:space="preserve">or greater </w:t>
      </w:r>
      <w:r w:rsidRPr="007F165A">
        <w:t xml:space="preserve">by </w:t>
      </w:r>
      <w:r w:rsidR="007F165A">
        <w:t>B</w:t>
      </w:r>
      <w:r w:rsidRPr="007F165A">
        <w:t>aseline platelet cohort, adjusted for the risk of bleeding in the scheduled procedure</w:t>
      </w:r>
      <w:r w:rsidR="007F165A">
        <w:t>.</w:t>
      </w:r>
    </w:p>
    <w:p w14:paraId="3FACC633" w14:textId="721588EC" w:rsidR="00C94BBC" w:rsidRPr="007F165A" w:rsidRDefault="00C94BBC" w:rsidP="007F165A">
      <w:pPr>
        <w:pStyle w:val="ListBullet"/>
      </w:pPr>
      <w:r w:rsidRPr="007F165A">
        <w:t xml:space="preserve">The change in platelet count from </w:t>
      </w:r>
      <w:r w:rsidR="007F165A">
        <w:t>B</w:t>
      </w:r>
      <w:r w:rsidRPr="007F165A">
        <w:t xml:space="preserve">aseline to procedure day by </w:t>
      </w:r>
      <w:r w:rsidR="007F165A">
        <w:t>B</w:t>
      </w:r>
      <w:r w:rsidRPr="007F165A">
        <w:t>aseline platelet cohort</w:t>
      </w:r>
      <w:r w:rsidR="007F165A">
        <w:t>.</w:t>
      </w:r>
    </w:p>
    <w:p w14:paraId="42108F97" w14:textId="28DDE32D" w:rsidR="00C94BBC" w:rsidRPr="007F165A" w:rsidRDefault="00C94BBC" w:rsidP="007F165A">
      <w:r w:rsidRPr="007F165A">
        <w:t>Each study included several exploratory endpoints</w:t>
      </w:r>
      <w:r w:rsidR="007F165A">
        <w:t xml:space="preserve">. </w:t>
      </w:r>
      <w:r w:rsidRPr="007F165A">
        <w:t>Adjustments for multiple comparisons were made for the primary and first secondary endpoints. No alfa adjustments were made for other secondary or exploratory endpoints, therefore all p values for these comparisons are considered nominal.</w:t>
      </w:r>
    </w:p>
    <w:p w14:paraId="5408E32D" w14:textId="544E67F0" w:rsidR="007F165A" w:rsidRPr="007F165A" w:rsidRDefault="007F165A" w:rsidP="007F165A">
      <w:pPr>
        <w:pStyle w:val="Heading7"/>
        <w:rPr>
          <w:rStyle w:val="Heading7Char"/>
          <w:rFonts w:eastAsia="TimesNewRoman"/>
          <w:bCs/>
          <w:szCs w:val="22"/>
        </w:rPr>
      </w:pPr>
      <w:r w:rsidRPr="007F165A">
        <w:rPr>
          <w:rStyle w:val="Heading7Char"/>
          <w:rFonts w:eastAsia="TimesNewRoman"/>
          <w:bCs/>
          <w:szCs w:val="22"/>
        </w:rPr>
        <w:t>Study 310 (</w:t>
      </w:r>
      <w:r w:rsidR="00C94BBC" w:rsidRPr="007F165A">
        <w:rPr>
          <w:rStyle w:val="Heading7Char"/>
          <w:rFonts w:eastAsia="TimesNewRoman"/>
          <w:bCs/>
          <w:szCs w:val="22"/>
        </w:rPr>
        <w:t>E5501-G000-310</w:t>
      </w:r>
      <w:r w:rsidRPr="007F165A">
        <w:rPr>
          <w:rStyle w:val="Heading7Char"/>
          <w:rFonts w:eastAsia="TimesNewRoman"/>
          <w:bCs/>
          <w:szCs w:val="22"/>
        </w:rPr>
        <w:t>)</w:t>
      </w:r>
    </w:p>
    <w:p w14:paraId="106164A2" w14:textId="0252A656" w:rsidR="00C94BBC" w:rsidRPr="007F165A" w:rsidRDefault="00C94BBC" w:rsidP="007F165A">
      <w:r w:rsidRPr="007F165A">
        <w:t>A randomised, global, double</w:t>
      </w:r>
      <w:r w:rsidR="007F165A">
        <w:t xml:space="preserve"> </w:t>
      </w:r>
      <w:r w:rsidRPr="007F165A">
        <w:t>blind, placebo</w:t>
      </w:r>
      <w:r w:rsidR="007F165A">
        <w:t xml:space="preserve"> </w:t>
      </w:r>
      <w:r w:rsidRPr="007F165A">
        <w:t>controlled, parallel</w:t>
      </w:r>
      <w:r w:rsidR="007F165A">
        <w:t xml:space="preserve"> </w:t>
      </w:r>
      <w:r w:rsidRPr="007F165A">
        <w:t>group study to evaluate the efficacy and safety of once</w:t>
      </w:r>
      <w:r w:rsidR="007F165A">
        <w:t xml:space="preserve"> </w:t>
      </w:r>
      <w:r w:rsidRPr="007F165A">
        <w:t xml:space="preserve">daily oral </w:t>
      </w:r>
      <w:r w:rsidR="007F165A" w:rsidRPr="007F165A">
        <w:t xml:space="preserve">avatrombopag </w:t>
      </w:r>
      <w:r w:rsidRPr="007F165A">
        <w:t>for the treatment of adults with thrombocytopenia associated with liver disease prior to an elective procedure.</w:t>
      </w:r>
    </w:p>
    <w:p w14:paraId="035E46FD" w14:textId="4DDA473D" w:rsidR="00C94BBC" w:rsidRPr="007F165A" w:rsidRDefault="00C94BBC" w:rsidP="007F165A">
      <w:r w:rsidRPr="007F165A">
        <w:t>The study was conducted from Feb</w:t>
      </w:r>
      <w:r w:rsidR="007F165A">
        <w:t>ruary</w:t>
      </w:r>
      <w:r w:rsidRPr="007F165A">
        <w:t xml:space="preserve"> 2014 to Jan</w:t>
      </w:r>
      <w:r w:rsidR="007F165A">
        <w:t>uary</w:t>
      </w:r>
      <w:r w:rsidRPr="007F165A">
        <w:t xml:space="preserve"> 2017 at 75 sites in the following countries: Argentina, Australia, Austria, Belgium, Brazil, Canada, Chile, China, France, Germany, Hungary, Italy, Republic of Korea, Poland, Portugal, Spain, Taiwan, Thailand, United Kingdom, and the United States</w:t>
      </w:r>
      <w:r w:rsidR="00E9222E">
        <w:t xml:space="preserve"> of America</w:t>
      </w:r>
      <w:r w:rsidRPr="007F165A">
        <w:t>.</w:t>
      </w:r>
    </w:p>
    <w:p w14:paraId="52D60ADC" w14:textId="489889F3" w:rsidR="00C94BBC" w:rsidRDefault="00C94BBC" w:rsidP="007F165A">
      <w:pPr>
        <w:pStyle w:val="FigureTitle"/>
      </w:pPr>
      <w:r>
        <w:t xml:space="preserve">Figure </w:t>
      </w:r>
      <w:r w:rsidR="008A4248">
        <w:fldChar w:fldCharType="begin"/>
      </w:r>
      <w:r w:rsidR="008A4248">
        <w:instrText xml:space="preserve"> SEQ Figure \* ARABIC </w:instrText>
      </w:r>
      <w:r w:rsidR="008A4248">
        <w:fldChar w:fldCharType="separate"/>
      </w:r>
      <w:r w:rsidR="00197355">
        <w:rPr>
          <w:noProof/>
        </w:rPr>
        <w:t>5</w:t>
      </w:r>
      <w:r w:rsidR="008A4248">
        <w:rPr>
          <w:noProof/>
        </w:rPr>
        <w:fldChar w:fldCharType="end"/>
      </w:r>
      <w:r w:rsidR="007F165A">
        <w:rPr>
          <w:noProof/>
        </w:rPr>
        <w:t>:</w:t>
      </w:r>
      <w:r>
        <w:t xml:space="preserve"> Study 310 </w:t>
      </w:r>
      <w:r w:rsidR="007F165A">
        <w:t>p</w:t>
      </w:r>
      <w:r>
        <w:t xml:space="preserve">articipant </w:t>
      </w:r>
      <w:r w:rsidR="007F165A">
        <w:t>f</w:t>
      </w:r>
      <w:r>
        <w:t>low</w:t>
      </w:r>
    </w:p>
    <w:p w14:paraId="0943CD4D" w14:textId="3C697E4A" w:rsidR="007F165A" w:rsidRDefault="007F165A" w:rsidP="008A4248">
      <w:r>
        <w:rPr>
          <w:noProof/>
        </w:rPr>
        <w:drawing>
          <wp:inline distT="0" distB="0" distL="0" distR="0" wp14:anchorId="361EC45C" wp14:editId="5821AD25">
            <wp:extent cx="5711825" cy="3545205"/>
            <wp:effectExtent l="0" t="0" r="3175" b="0"/>
            <wp:docPr id="15" name="Picture 15" descr="Study 310 had 370 participants enrolled, of these 231 were randomised and 139 were considered screen failures. of the participants randomised 227 were treated and four were not treated. Participants were assigned to 1 of 2 cohorts according to their mean Baseline platelet count. Within each Baseline platelet count group participants were randomised 2:1 to receive either avatrombopag or the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310 had 370 participants enrolled, of these 231 were randomised and 139 were considered screen failures. of the participants randomised 227 were treated and four were not treated. Participants were assigned to 1 of 2 cohorts according to their mean Baseline platelet count. Within each Baseline platelet count group participants were randomised 2:1 to receive either avatrombopag or the placebo."/>
                    <pic:cNvPicPr/>
                  </pic:nvPicPr>
                  <pic:blipFill rotWithShape="1">
                    <a:blip r:embed="rId27"/>
                    <a:srcRect l="827" t="4121"/>
                    <a:stretch/>
                  </pic:blipFill>
                  <pic:spPr bwMode="auto">
                    <a:xfrm>
                      <a:off x="0" y="0"/>
                      <a:ext cx="5711825" cy="3545205"/>
                    </a:xfrm>
                    <a:prstGeom prst="rect">
                      <a:avLst/>
                    </a:prstGeom>
                    <a:ln>
                      <a:noFill/>
                    </a:ln>
                    <a:extLst>
                      <a:ext uri="{53640926-AAD7-44D8-BBD7-CCE9431645EC}">
                        <a14:shadowObscured xmlns:a14="http://schemas.microsoft.com/office/drawing/2010/main"/>
                      </a:ext>
                    </a:extLst>
                  </pic:spPr>
                </pic:pic>
              </a:graphicData>
            </a:graphic>
          </wp:inline>
        </w:drawing>
      </w:r>
    </w:p>
    <w:p w14:paraId="503BAF5E" w14:textId="77777777" w:rsidR="00C94BBC" w:rsidRPr="007F165A" w:rsidRDefault="00C94BBC" w:rsidP="007F165A">
      <w:pPr>
        <w:pStyle w:val="Heading8"/>
        <w:rPr>
          <w:rFonts w:eastAsia="TimesNewRoman"/>
          <w:szCs w:val="22"/>
          <w:lang w:val="en-US"/>
        </w:rPr>
      </w:pPr>
      <w:r w:rsidRPr="007F165A">
        <w:rPr>
          <w:rFonts w:eastAsia="TimesNewRoman"/>
          <w:szCs w:val="22"/>
          <w:lang w:val="en-US"/>
        </w:rPr>
        <w:t>Baseline data</w:t>
      </w:r>
    </w:p>
    <w:p w14:paraId="1CC39B44" w14:textId="4F75103D" w:rsidR="00C94BBC" w:rsidRPr="007F165A" w:rsidRDefault="00C94BBC" w:rsidP="007F165A">
      <w:r w:rsidRPr="007F165A">
        <w:t xml:space="preserve">The mean age of randomised patients was 56.3 years, and 80.5% were aged </w:t>
      </w:r>
      <w:r w:rsidR="007F165A">
        <w:t>less than</w:t>
      </w:r>
      <w:r w:rsidRPr="007F165A">
        <w:t xml:space="preserve"> 65 years. Most were male (68.4%) and White (56.4%) followed by Korean (19.1%), Chinese (10.7%), and other Asian (9.8%). The median </w:t>
      </w:r>
      <w:r w:rsidR="00E9222E">
        <w:t>B</w:t>
      </w:r>
      <w:r w:rsidRPr="007F165A">
        <w:t>aseline count was 38</w:t>
      </w:r>
      <w:r w:rsidR="007F165A">
        <w:t> </w:t>
      </w:r>
      <w:r w:rsidRPr="007F165A">
        <w:t>x</w:t>
      </w:r>
      <w:r w:rsidR="007F165A">
        <w:t> </w:t>
      </w:r>
      <w:r w:rsidRPr="007F165A">
        <w:t>10</w:t>
      </w:r>
      <w:r w:rsidRPr="007F165A">
        <w:rPr>
          <w:vertAlign w:val="superscript"/>
        </w:rPr>
        <w:t>9</w:t>
      </w:r>
      <w:r w:rsidRPr="007F165A">
        <w:t>/L (min, max 10, 50.5 x</w:t>
      </w:r>
      <w:r w:rsidR="007F165A">
        <w:t> </w:t>
      </w:r>
      <w:r w:rsidRPr="007F165A">
        <w:t>10</w:t>
      </w:r>
      <w:r w:rsidRPr="007F165A">
        <w:rPr>
          <w:vertAlign w:val="superscript"/>
        </w:rPr>
        <w:t>9</w:t>
      </w:r>
      <w:r w:rsidRPr="007F165A">
        <w:t>/L).</w:t>
      </w:r>
    </w:p>
    <w:p w14:paraId="17284BAF" w14:textId="12C0F5DC" w:rsidR="00C94BBC" w:rsidRPr="007F165A" w:rsidRDefault="00C94BBC" w:rsidP="007F165A">
      <w:r w:rsidRPr="007F165A">
        <w:t xml:space="preserve">Baseline demographic and disease characteristics were similar across treatment groups and between subjects in the </w:t>
      </w:r>
      <w:r w:rsidR="007F165A">
        <w:t>l</w:t>
      </w:r>
      <w:r w:rsidRPr="007F165A">
        <w:t xml:space="preserve">ow and </w:t>
      </w:r>
      <w:r w:rsidR="007F165A">
        <w:t>h</w:t>
      </w:r>
      <w:r w:rsidRPr="007F165A">
        <w:t xml:space="preserve">igh </w:t>
      </w:r>
      <w:r w:rsidR="00E9222E">
        <w:t>B</w:t>
      </w:r>
      <w:r w:rsidRPr="007F165A">
        <w:t>aseline platelet count cohorts.</w:t>
      </w:r>
    </w:p>
    <w:p w14:paraId="7FEC3317" w14:textId="53CE1A79" w:rsidR="00C94BBC" w:rsidRPr="007F165A" w:rsidRDefault="00C94BBC" w:rsidP="007F165A">
      <w:bookmarkStart w:id="58" w:name="_Hlk114757799"/>
      <w:r w:rsidRPr="007F165A">
        <w:lastRenderedPageBreak/>
        <w:t xml:space="preserve">The </w:t>
      </w:r>
      <w:proofErr w:type="spellStart"/>
      <w:r w:rsidRPr="007F165A">
        <w:t>etiologies</w:t>
      </w:r>
      <w:proofErr w:type="spellEnd"/>
      <w:r w:rsidRPr="007F165A">
        <w:t xml:space="preserve"> of CLD were most commonly chronic viral hepatitis (62.7%, of which 2</w:t>
      </w:r>
      <w:r w:rsidR="007F165A">
        <w:t xml:space="preserve"> out of </w:t>
      </w:r>
      <w:r w:rsidRPr="007F165A">
        <w:t xml:space="preserve">3 had chronic hepatitis C), </w:t>
      </w:r>
      <w:r w:rsidR="007F165A">
        <w:t>‘</w:t>
      </w:r>
      <w:r w:rsidRPr="007F165A">
        <w:t>other</w:t>
      </w:r>
      <w:r w:rsidR="007F165A">
        <w:t>’</w:t>
      </w:r>
      <w:r w:rsidRPr="007F165A">
        <w:t xml:space="preserve"> CLD (16.7%), and alcoholic liver disease (14.5%). By Child</w:t>
      </w:r>
      <w:r w:rsidR="007F165A">
        <w:noBreakHyphen/>
      </w:r>
      <w:r w:rsidRPr="007F165A">
        <w:t>Turcotte-Pugh Grade,</w:t>
      </w:r>
      <w:bookmarkStart w:id="59" w:name="_Ref151469402"/>
      <w:r w:rsidR="007F165A">
        <w:rPr>
          <w:rStyle w:val="FootnoteReference"/>
        </w:rPr>
        <w:footnoteReference w:id="22"/>
      </w:r>
      <w:bookmarkEnd w:id="59"/>
      <w:r w:rsidRPr="007F165A">
        <w:t xml:space="preserve"> 57% were Grade A, and 39% were Grade B. Of the 24.5% of participants with hepatocellular carcinoma, around half had Barcelona-Clinic Liver Cancer Grade of A (13.1% of study).</w:t>
      </w:r>
    </w:p>
    <w:bookmarkEnd w:id="58"/>
    <w:p w14:paraId="2370F43D" w14:textId="3A34ABF8" w:rsidR="00C94BBC" w:rsidRPr="007F165A" w:rsidRDefault="00C94BBC" w:rsidP="007F165A">
      <w:r w:rsidRPr="007F165A">
        <w:t xml:space="preserve">Most participants had scheduled procedures of low bleeding risk (64.6%). By </w:t>
      </w:r>
      <w:r w:rsidR="007F165A">
        <w:t>B</w:t>
      </w:r>
      <w:r w:rsidRPr="007F165A">
        <w:t xml:space="preserve">aseline platelet cohort (for the </w:t>
      </w:r>
      <w:r w:rsidR="007F165A" w:rsidRPr="007F165A">
        <w:t xml:space="preserve">avatrombopag </w:t>
      </w:r>
      <w:r w:rsidRPr="007F165A">
        <w:t>groups v</w:t>
      </w:r>
      <w:r w:rsidR="007F165A">
        <w:t>ersus</w:t>
      </w:r>
      <w:r w:rsidRPr="007F165A">
        <w:t xml:space="preserve"> the placebo groups, respectively):</w:t>
      </w:r>
    </w:p>
    <w:p w14:paraId="3F569DCE" w14:textId="11B61932" w:rsidR="00C94BBC" w:rsidRPr="007F165A" w:rsidRDefault="00C94BBC" w:rsidP="007F165A">
      <w:pPr>
        <w:pStyle w:val="ListBullet"/>
      </w:pPr>
      <w:r w:rsidRPr="007F165A">
        <w:t>Low risk procedures</w:t>
      </w:r>
    </w:p>
    <w:p w14:paraId="78F0B2E9" w14:textId="3487F1F9" w:rsidR="00C94BBC" w:rsidRPr="007F165A" w:rsidRDefault="00C94BBC" w:rsidP="007F165A">
      <w:pPr>
        <w:pStyle w:val="ListBullet2"/>
      </w:pPr>
      <w:r w:rsidRPr="007F165A">
        <w:t xml:space="preserve">low </w:t>
      </w:r>
      <w:r w:rsidR="00E9222E">
        <w:t>B</w:t>
      </w:r>
      <w:r w:rsidRPr="007F165A">
        <w:t xml:space="preserve">aseline </w:t>
      </w:r>
      <w:r w:rsidR="00E9222E" w:rsidRPr="007F165A">
        <w:t xml:space="preserve">platelet </w:t>
      </w:r>
      <w:r w:rsidRPr="007F165A">
        <w:t>cohort 66.7% v</w:t>
      </w:r>
      <w:r w:rsidR="007F165A">
        <w:t>ersus</w:t>
      </w:r>
      <w:r w:rsidRPr="007F165A">
        <w:t xml:space="preserve"> 67.5%</w:t>
      </w:r>
    </w:p>
    <w:p w14:paraId="450C94FF" w14:textId="631772CB" w:rsidR="00C94BBC" w:rsidRPr="007F165A" w:rsidRDefault="00C94BBC" w:rsidP="007F165A">
      <w:pPr>
        <w:pStyle w:val="ListBullet2"/>
      </w:pPr>
      <w:r w:rsidRPr="007F165A">
        <w:t xml:space="preserve">high </w:t>
      </w:r>
      <w:r w:rsidR="00E9222E">
        <w:t>B</w:t>
      </w:r>
      <w:r w:rsidRPr="007F165A">
        <w:t>aseline platelet cohorts 58.9% v</w:t>
      </w:r>
      <w:r w:rsidR="007F165A">
        <w:t>ersus</w:t>
      </w:r>
      <w:r w:rsidRPr="007F165A">
        <w:t xml:space="preserve"> 65.6%</w:t>
      </w:r>
    </w:p>
    <w:p w14:paraId="0EBCDA53" w14:textId="5D42F8F3" w:rsidR="00C94BBC" w:rsidRPr="007F165A" w:rsidRDefault="00C94BBC" w:rsidP="007F165A">
      <w:pPr>
        <w:pStyle w:val="ListBullet"/>
      </w:pPr>
      <w:r w:rsidRPr="007F165A">
        <w:t>Moderate risk procedures</w:t>
      </w:r>
    </w:p>
    <w:p w14:paraId="7E1053E7" w14:textId="1BC27F14" w:rsidR="00C94BBC" w:rsidRPr="007F165A" w:rsidRDefault="00C94BBC" w:rsidP="007F165A">
      <w:pPr>
        <w:pStyle w:val="ListBullet2"/>
      </w:pPr>
      <w:r w:rsidRPr="007F165A">
        <w:t xml:space="preserve">low </w:t>
      </w:r>
      <w:r w:rsidR="00E9222E">
        <w:t>B</w:t>
      </w:r>
      <w:r w:rsidRPr="007F165A">
        <w:t xml:space="preserve">aseline </w:t>
      </w:r>
      <w:r w:rsidR="00E9222E" w:rsidRPr="007F165A">
        <w:t xml:space="preserve">platelet </w:t>
      </w:r>
      <w:r w:rsidRPr="007F165A">
        <w:t>cohort 11.9% v</w:t>
      </w:r>
      <w:r w:rsidR="007F165A">
        <w:t>ersus</w:t>
      </w:r>
      <w:r w:rsidRPr="007F165A">
        <w:t xml:space="preserve"> 20%</w:t>
      </w:r>
    </w:p>
    <w:p w14:paraId="536FB622" w14:textId="69FDDD78" w:rsidR="00C94BBC" w:rsidRPr="007F165A" w:rsidRDefault="00C94BBC" w:rsidP="007F165A">
      <w:pPr>
        <w:pStyle w:val="ListBullet2"/>
      </w:pPr>
      <w:r w:rsidRPr="007F165A">
        <w:t xml:space="preserve">high </w:t>
      </w:r>
      <w:r w:rsidR="00E9222E">
        <w:t>B</w:t>
      </w:r>
      <w:r w:rsidRPr="007F165A">
        <w:t>aseline platelet cohorts 19.6% v</w:t>
      </w:r>
      <w:r w:rsidR="007F165A">
        <w:t>ersus</w:t>
      </w:r>
      <w:r w:rsidRPr="007F165A">
        <w:t xml:space="preserve"> 9.4%</w:t>
      </w:r>
    </w:p>
    <w:p w14:paraId="7FAB21DF" w14:textId="4A36D15A" w:rsidR="00C94BBC" w:rsidRPr="007F165A" w:rsidRDefault="00C94BBC" w:rsidP="007F165A">
      <w:pPr>
        <w:pStyle w:val="ListBullet"/>
      </w:pPr>
      <w:r w:rsidRPr="007F165A">
        <w:t>High risk procedures</w:t>
      </w:r>
    </w:p>
    <w:p w14:paraId="633F5AF3" w14:textId="726531CE" w:rsidR="00C94BBC" w:rsidRPr="007F165A" w:rsidRDefault="00C94BBC" w:rsidP="007F165A">
      <w:pPr>
        <w:pStyle w:val="ListBullet2"/>
      </w:pPr>
      <w:r w:rsidRPr="007F165A">
        <w:t xml:space="preserve">low </w:t>
      </w:r>
      <w:r w:rsidR="00E9222E">
        <w:t>B</w:t>
      </w:r>
      <w:r w:rsidRPr="007F165A">
        <w:t xml:space="preserve">aseline </w:t>
      </w:r>
      <w:r w:rsidR="00E9222E" w:rsidRPr="007F165A">
        <w:t xml:space="preserve">platelet </w:t>
      </w:r>
      <w:r w:rsidRPr="007F165A">
        <w:t>cohort 21.4% v</w:t>
      </w:r>
      <w:r w:rsidR="007F165A">
        <w:t>ersus</w:t>
      </w:r>
      <w:r w:rsidRPr="007F165A">
        <w:t xml:space="preserve"> 12.5%</w:t>
      </w:r>
    </w:p>
    <w:p w14:paraId="10910EB2" w14:textId="11D2D7BB" w:rsidR="00C94BBC" w:rsidRPr="007F165A" w:rsidRDefault="00C94BBC" w:rsidP="007F165A">
      <w:pPr>
        <w:pStyle w:val="ListBullet2"/>
      </w:pPr>
      <w:r w:rsidRPr="007F165A">
        <w:t xml:space="preserve">high </w:t>
      </w:r>
      <w:r w:rsidR="00E9222E">
        <w:t>B</w:t>
      </w:r>
      <w:r w:rsidRPr="007F165A">
        <w:t>aseline platelet cohorts 21.4% v</w:t>
      </w:r>
      <w:r w:rsidR="007F165A">
        <w:t>ersus</w:t>
      </w:r>
      <w:r w:rsidRPr="007F165A">
        <w:t xml:space="preserve"> 25%</w:t>
      </w:r>
    </w:p>
    <w:p w14:paraId="27ED8427" w14:textId="42D543CF" w:rsidR="00C94BBC" w:rsidRPr="007F165A" w:rsidRDefault="00C94BBC" w:rsidP="007F165A">
      <w:r w:rsidRPr="007F165A">
        <w:t xml:space="preserve">Treatment compliance rates were high for the </w:t>
      </w:r>
      <w:r w:rsidR="007F165A" w:rsidRPr="007F165A">
        <w:t xml:space="preserve">avatrombopag </w:t>
      </w:r>
      <w:r w:rsidRPr="007F165A">
        <w:t>and placebo groups (96% v</w:t>
      </w:r>
      <w:r w:rsidR="007F165A">
        <w:t xml:space="preserve">ersus </w:t>
      </w:r>
      <w:r w:rsidRPr="007F165A">
        <w:t>97.6%). Three patients who were less than 80% compliant were excluded from the per</w:t>
      </w:r>
      <w:r w:rsidR="007F165A">
        <w:t>-</w:t>
      </w:r>
      <w:r w:rsidRPr="007F165A">
        <w:t>protocol analysis set.</w:t>
      </w:r>
    </w:p>
    <w:p w14:paraId="5DF39C91" w14:textId="57EC8842" w:rsidR="00C94BBC" w:rsidRPr="007F165A" w:rsidRDefault="00C94BBC" w:rsidP="007F165A">
      <w:r w:rsidRPr="007F165A">
        <w:t xml:space="preserve">The initial planned enrolment of 300 patients was adjusted to 200 at </w:t>
      </w:r>
      <w:r w:rsidR="007F165A">
        <w:t>p</w:t>
      </w:r>
      <w:r w:rsidRPr="007F165A">
        <w:t xml:space="preserve">rotocol </w:t>
      </w:r>
      <w:r w:rsidR="007F165A">
        <w:t>a</w:t>
      </w:r>
      <w:r w:rsidRPr="007F165A">
        <w:t xml:space="preserve">mendment 04, but the stratification and randomisation strategy was unchanged. The rationale was provided and was accepted by the </w:t>
      </w:r>
      <w:r w:rsidR="007F165A">
        <w:t>c</w:t>
      </w:r>
      <w:r w:rsidRPr="007F165A">
        <w:t xml:space="preserve">linical </w:t>
      </w:r>
      <w:r w:rsidR="007F165A">
        <w:t>e</w:t>
      </w:r>
      <w:r w:rsidRPr="007F165A">
        <w:t>valuat</w:t>
      </w:r>
      <w:r w:rsidR="007F165A">
        <w:t>ion</w:t>
      </w:r>
      <w:r w:rsidRPr="007F165A">
        <w:t xml:space="preserve">. The final study size gave </w:t>
      </w:r>
      <w:r w:rsidR="007F165A">
        <w:t>greater than</w:t>
      </w:r>
      <w:r w:rsidRPr="007F165A">
        <w:t xml:space="preserve"> 90% power to detect an absolute difference of 35% between the </w:t>
      </w:r>
      <w:r w:rsidR="007F165A" w:rsidRPr="007F165A">
        <w:t xml:space="preserve">avatrombopag </w:t>
      </w:r>
      <w:r w:rsidRPr="007F165A">
        <w:t>response rate and the projected 18% placebo response rate, using the Fisher’s Exact tests with a 2-sided α</w:t>
      </w:r>
      <w:r w:rsidR="007F165A">
        <w:t> </w:t>
      </w:r>
      <w:r w:rsidRPr="007F165A">
        <w:t>=</w:t>
      </w:r>
      <w:r w:rsidR="007F165A">
        <w:t> </w:t>
      </w:r>
      <w:r w:rsidRPr="007F165A">
        <w:t>0.05.</w:t>
      </w:r>
    </w:p>
    <w:p w14:paraId="65CA3CB1" w14:textId="3CFA5857" w:rsidR="00C94BBC" w:rsidRPr="007F165A" w:rsidRDefault="00C94BBC" w:rsidP="007F165A">
      <w:r w:rsidRPr="007F165A">
        <w:t xml:space="preserve">Around 19% of the </w:t>
      </w:r>
      <w:r w:rsidR="007F165A" w:rsidRPr="007F165A">
        <w:t xml:space="preserve">avatrombopag </w:t>
      </w:r>
      <w:r w:rsidRPr="007F165A">
        <w:t xml:space="preserve">groups and around 34% of the placebo groups had a major protocol deviation. Around 11% and 24% of the </w:t>
      </w:r>
      <w:r w:rsidR="007F165A" w:rsidRPr="007F165A">
        <w:t xml:space="preserve">avatrombopag </w:t>
      </w:r>
      <w:r w:rsidRPr="007F165A">
        <w:t>and placebo treatment groups, respectively, were excluded from the</w:t>
      </w:r>
      <w:r w:rsidR="007F165A">
        <w:t xml:space="preserve"> per-protocol analysis set</w:t>
      </w:r>
      <w:r w:rsidRPr="007F165A">
        <w:t xml:space="preserve">, including for reasons of no scheduled procedure (6.1%), no platelet transfusion even though they did not have a significant increase of platelet count from Baseline to </w:t>
      </w:r>
      <w:r w:rsidR="007F165A">
        <w:t>p</w:t>
      </w:r>
      <w:r w:rsidRPr="007F165A">
        <w:t xml:space="preserve">rocedure </w:t>
      </w:r>
      <w:r w:rsidR="007F165A">
        <w:t>d</w:t>
      </w:r>
      <w:r w:rsidRPr="007F165A">
        <w:t>ay (3.9%), or platelet transfusion after a significant on-treatment increase in platelet count (3.5%).</w:t>
      </w:r>
    </w:p>
    <w:p w14:paraId="1A874039" w14:textId="77777777" w:rsidR="00C94BBC" w:rsidRPr="00727298" w:rsidRDefault="00C94BBC" w:rsidP="007F165A">
      <w:pPr>
        <w:pStyle w:val="Heading8"/>
        <w:rPr>
          <w:rFonts w:eastAsia="TimesNewRoman"/>
          <w:lang w:val="en-US"/>
        </w:rPr>
      </w:pPr>
      <w:r w:rsidRPr="00727298">
        <w:rPr>
          <w:rFonts w:eastAsia="TimesNewRoman"/>
          <w:lang w:val="en-US"/>
        </w:rPr>
        <w:t>Primary endpoint</w:t>
      </w:r>
    </w:p>
    <w:p w14:paraId="51B79017" w14:textId="2D51A52E" w:rsidR="00C94BBC" w:rsidRPr="007F165A" w:rsidRDefault="00C94BBC" w:rsidP="007F165A">
      <w:r w:rsidRPr="007F165A">
        <w:t xml:space="preserve">The primary efficacy endpoint was the proportion of patients (responders) who did not require a platelet transfusion or any rescue procedure for bleeding after randomisation and up to 7 days following a scheduled procedure. The </w:t>
      </w:r>
      <w:r w:rsidR="007F165A">
        <w:t>f</w:t>
      </w:r>
      <w:r w:rsidRPr="007F165A">
        <w:t xml:space="preserve">ull </w:t>
      </w:r>
      <w:r w:rsidR="007F165A">
        <w:t>a</w:t>
      </w:r>
      <w:r w:rsidRPr="007F165A">
        <w:t xml:space="preserve">nalysis </w:t>
      </w:r>
      <w:r w:rsidR="007F165A">
        <w:t>s</w:t>
      </w:r>
      <w:r w:rsidRPr="007F165A">
        <w:t>et was used as the primary efficacy analysis population.</w:t>
      </w:r>
    </w:p>
    <w:p w14:paraId="0A1FA3D7" w14:textId="346059FB" w:rsidR="00C94BBC" w:rsidRDefault="00C94BBC" w:rsidP="007F165A">
      <w:pPr>
        <w:pStyle w:val="TableTitle"/>
      </w:pPr>
      <w:r>
        <w:lastRenderedPageBreak/>
        <w:t xml:space="preserve">Table </w:t>
      </w:r>
      <w:r w:rsidR="008A4248">
        <w:fldChar w:fldCharType="begin"/>
      </w:r>
      <w:r w:rsidR="008A4248">
        <w:instrText xml:space="preserve"> SEQ Table \* ARABIC </w:instrText>
      </w:r>
      <w:r w:rsidR="008A4248">
        <w:fldChar w:fldCharType="separate"/>
      </w:r>
      <w:r w:rsidR="00197355">
        <w:rPr>
          <w:noProof/>
        </w:rPr>
        <w:t>4</w:t>
      </w:r>
      <w:r w:rsidR="008A4248">
        <w:rPr>
          <w:noProof/>
        </w:rPr>
        <w:fldChar w:fldCharType="end"/>
      </w:r>
      <w:r w:rsidR="007F165A">
        <w:rPr>
          <w:noProof/>
        </w:rPr>
        <w:t>:</w:t>
      </w:r>
      <w:r>
        <w:t xml:space="preserve"> Study 310 </w:t>
      </w:r>
      <w:r w:rsidR="007F165A">
        <w:t>s</w:t>
      </w:r>
      <w:r>
        <w:t>ummary of proportion of patient not requiring a platelet transfusion or any rescue procedure for bleeding, full analysis set</w:t>
      </w:r>
    </w:p>
    <w:p w14:paraId="7ADD2EA4" w14:textId="3B1D0DD4" w:rsidR="00C94BBC" w:rsidRDefault="007F165A" w:rsidP="008A4248">
      <w:r>
        <w:rPr>
          <w:noProof/>
        </w:rPr>
        <w:drawing>
          <wp:inline distT="0" distB="0" distL="0" distR="0" wp14:anchorId="75CD755C" wp14:editId="163D4F79">
            <wp:extent cx="5759450" cy="2714625"/>
            <wp:effectExtent l="0" t="0" r="0" b="9525"/>
            <wp:docPr id="16" name="Picture 16" descr="Study 310 summary of proportion of patient not requiring a platelet transfusion or any rescue procedure for bleeding,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310 summary of proportion of patient not requiring a platelet transfusion or any rescue procedure for bleeding, full analysis set"/>
                    <pic:cNvPicPr/>
                  </pic:nvPicPr>
                  <pic:blipFill rotWithShape="1">
                    <a:blip r:embed="rId28"/>
                    <a:srcRect b="39180"/>
                    <a:stretch/>
                  </pic:blipFill>
                  <pic:spPr bwMode="auto">
                    <a:xfrm>
                      <a:off x="0" y="0"/>
                      <a:ext cx="5759450" cy="2714625"/>
                    </a:xfrm>
                    <a:prstGeom prst="rect">
                      <a:avLst/>
                    </a:prstGeom>
                    <a:ln>
                      <a:noFill/>
                    </a:ln>
                    <a:extLst>
                      <a:ext uri="{53640926-AAD7-44D8-BBD7-CCE9431645EC}">
                        <a14:shadowObscured xmlns:a14="http://schemas.microsoft.com/office/drawing/2010/main"/>
                      </a:ext>
                    </a:extLst>
                  </pic:spPr>
                </pic:pic>
              </a:graphicData>
            </a:graphic>
          </wp:inline>
        </w:drawing>
      </w:r>
    </w:p>
    <w:p w14:paraId="0D46481E" w14:textId="7C9BCD76" w:rsidR="007F165A" w:rsidRPr="007F165A" w:rsidRDefault="007F165A" w:rsidP="007F165A">
      <w:pPr>
        <w:pStyle w:val="TableDescription"/>
      </w:pPr>
      <w:r>
        <w:t xml:space="preserve">Abbreviations: </w:t>
      </w:r>
      <w:r w:rsidRPr="007F165A">
        <w:t>CMH = Cochran-Mantel-Haenszel.</w:t>
      </w:r>
    </w:p>
    <w:p w14:paraId="045C4F37" w14:textId="491E988B" w:rsidR="007F165A" w:rsidRPr="007F165A" w:rsidRDefault="007F165A" w:rsidP="007F165A">
      <w:pPr>
        <w:pStyle w:val="TableDescription"/>
      </w:pPr>
      <w:r w:rsidRPr="007F165A">
        <w:t>a: Responders are defined as the subjects not requiring a platelet transfusion or any rescue procedure for</w:t>
      </w:r>
      <w:r>
        <w:t xml:space="preserve"> </w:t>
      </w:r>
      <w:r w:rsidRPr="007F165A">
        <w:t>bleeding after randomi</w:t>
      </w:r>
      <w:r>
        <w:t>s</w:t>
      </w:r>
      <w:r w:rsidRPr="007F165A">
        <w:t>ation and up to 7 days following a scheduled procedure.</w:t>
      </w:r>
    </w:p>
    <w:p w14:paraId="125E01E5" w14:textId="6A1D283A" w:rsidR="007F165A" w:rsidRPr="007F165A" w:rsidRDefault="007F165A" w:rsidP="007F165A">
      <w:pPr>
        <w:pStyle w:val="TableDescription"/>
      </w:pPr>
      <w:r w:rsidRPr="007F165A">
        <w:t>b: Subjects with missing information due to early withdrawal or other reasons were conservatively</w:t>
      </w:r>
      <w:r>
        <w:t xml:space="preserve"> </w:t>
      </w:r>
      <w:r w:rsidRPr="007F165A">
        <w:t xml:space="preserve">considered as having received a transfusion in the analysis, </w:t>
      </w:r>
      <w:r>
        <w:t>that is</w:t>
      </w:r>
      <w:r w:rsidRPr="007F165A">
        <w:t xml:space="preserve">, a </w:t>
      </w:r>
      <w:r>
        <w:t>n</w:t>
      </w:r>
      <w:r w:rsidRPr="007F165A">
        <w:t>on</w:t>
      </w:r>
      <w:r>
        <w:t>-r</w:t>
      </w:r>
      <w:r w:rsidRPr="007F165A">
        <w:t>esponder.</w:t>
      </w:r>
    </w:p>
    <w:p w14:paraId="3B7B595A" w14:textId="77777777" w:rsidR="007F165A" w:rsidRPr="007F165A" w:rsidRDefault="007F165A" w:rsidP="007F165A">
      <w:pPr>
        <w:pStyle w:val="TableDescription"/>
      </w:pPr>
      <w:r w:rsidRPr="007F165A">
        <w:t>c: Two-sided 95% confidence interval based on normal approximation.</w:t>
      </w:r>
    </w:p>
    <w:p w14:paraId="05DC9147" w14:textId="4FBBBACF" w:rsidR="007F165A" w:rsidRPr="007F165A" w:rsidRDefault="007F165A" w:rsidP="007F165A">
      <w:pPr>
        <w:pStyle w:val="TableDescription"/>
      </w:pPr>
      <w:r w:rsidRPr="007F165A">
        <w:t>d: Difference of proportion v</w:t>
      </w:r>
      <w:r>
        <w:t>ersus</w:t>
      </w:r>
      <w:r w:rsidRPr="007F165A">
        <w:t xml:space="preserve"> placebo = proportion of </w:t>
      </w:r>
      <w:r>
        <w:t>r</w:t>
      </w:r>
      <w:r w:rsidRPr="007F165A">
        <w:t>esponders for avatrombopag – proportion of</w:t>
      </w:r>
      <w:r>
        <w:t xml:space="preserve"> r</w:t>
      </w:r>
      <w:r w:rsidRPr="007F165A">
        <w:t>esponders for placebo; 95% confidence interval is calculated based on normal approximation.</w:t>
      </w:r>
    </w:p>
    <w:p w14:paraId="7331F1B2" w14:textId="75D7FDEA" w:rsidR="007F165A" w:rsidRPr="007F165A" w:rsidRDefault="007F165A" w:rsidP="007F165A">
      <w:pPr>
        <w:pStyle w:val="TableDescription"/>
      </w:pPr>
      <w:r w:rsidRPr="007F165A">
        <w:t>e: P-value is based on Cochran-Mantel-Haenszel test stratified by the risk of bleeding associated with the scheduled procedure within each Baseline platelet count cohort.</w:t>
      </w:r>
    </w:p>
    <w:p w14:paraId="64A85BE6" w14:textId="5E1230CC" w:rsidR="007F165A" w:rsidRPr="007F165A" w:rsidRDefault="007F165A" w:rsidP="007F165A">
      <w:pPr>
        <w:pStyle w:val="TableDescription"/>
      </w:pPr>
      <w:r w:rsidRPr="007F165A">
        <w:t>f: P-value is based on Fisher’s exact test within each Baseline platelet count cohort.</w:t>
      </w:r>
    </w:p>
    <w:p w14:paraId="12534AFB" w14:textId="269F6068" w:rsidR="00C94BBC" w:rsidRDefault="00C94BBC" w:rsidP="00C94BBC">
      <w:r w:rsidRPr="0058557A">
        <w:t>Sensitivity analys</w:t>
      </w:r>
      <w:r>
        <w:t>e</w:t>
      </w:r>
      <w:r w:rsidRPr="0058557A">
        <w:t xml:space="preserve">s confirmed the </w:t>
      </w:r>
      <w:r>
        <w:t xml:space="preserve">benefit for </w:t>
      </w:r>
      <w:r w:rsidR="007F165A" w:rsidRPr="00C94BBC">
        <w:t>avatrombopag</w:t>
      </w:r>
      <w:r w:rsidR="007F165A">
        <w:t xml:space="preserve"> </w:t>
      </w:r>
      <w:r>
        <w:t>over placebo in the primary analysis.</w:t>
      </w:r>
    </w:p>
    <w:p w14:paraId="20704D56" w14:textId="24F16582" w:rsidR="00C94BBC" w:rsidRDefault="00C94BBC" w:rsidP="007F165A">
      <w:pPr>
        <w:pStyle w:val="FigureTitle"/>
      </w:pPr>
      <w:r>
        <w:lastRenderedPageBreak/>
        <w:t xml:space="preserve">Figure </w:t>
      </w:r>
      <w:r w:rsidR="008A4248">
        <w:fldChar w:fldCharType="begin"/>
      </w:r>
      <w:r w:rsidR="008A4248">
        <w:instrText xml:space="preserve"> SEQ Figure \* ARAB</w:instrText>
      </w:r>
      <w:r w:rsidR="008A4248">
        <w:instrText xml:space="preserve">IC </w:instrText>
      </w:r>
      <w:r w:rsidR="008A4248">
        <w:fldChar w:fldCharType="separate"/>
      </w:r>
      <w:r w:rsidR="00197355">
        <w:rPr>
          <w:noProof/>
        </w:rPr>
        <w:t>6</w:t>
      </w:r>
      <w:r w:rsidR="008A4248">
        <w:rPr>
          <w:noProof/>
        </w:rPr>
        <w:fldChar w:fldCharType="end"/>
      </w:r>
      <w:r w:rsidR="007F165A">
        <w:rPr>
          <w:noProof/>
        </w:rPr>
        <w:t>:</w:t>
      </w:r>
      <w:r>
        <w:t xml:space="preserve"> </w:t>
      </w:r>
      <w:r w:rsidR="007F165A">
        <w:t>Study 310 m</w:t>
      </w:r>
      <w:r>
        <w:t>ean platelet counts b</w:t>
      </w:r>
      <w:r w:rsidR="007F165A">
        <w:t>y</w:t>
      </w:r>
      <w:r>
        <w:t xml:space="preserve"> treatment group and visit day</w:t>
      </w:r>
      <w:r w:rsidR="007F165A">
        <w:t>,</w:t>
      </w:r>
      <w:r>
        <w:t xml:space="preserve"> </w:t>
      </w:r>
      <w:r w:rsidR="007F165A">
        <w:t>f</w:t>
      </w:r>
      <w:r>
        <w:t xml:space="preserve">ull </w:t>
      </w:r>
      <w:r w:rsidR="007F165A">
        <w:t>a</w:t>
      </w:r>
      <w:r>
        <w:t xml:space="preserve">nalysis </w:t>
      </w:r>
      <w:r w:rsidR="007F165A">
        <w:t>s</w:t>
      </w:r>
      <w:r>
        <w:t>et</w:t>
      </w:r>
    </w:p>
    <w:p w14:paraId="3C16C806" w14:textId="5376FA87" w:rsidR="007F165A" w:rsidRDefault="007F165A" w:rsidP="008A4248">
      <w:r>
        <w:rPr>
          <w:noProof/>
        </w:rPr>
        <w:drawing>
          <wp:inline distT="0" distB="0" distL="0" distR="0" wp14:anchorId="1675FC04" wp14:editId="599B3AA7">
            <wp:extent cx="4800600" cy="3476862"/>
            <wp:effectExtent l="0" t="0" r="0" b="9525"/>
            <wp:docPr id="17" name="Picture 17" descr="Study 310 mean platelet counts by treatment group and visit da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310 mean platelet counts by treatment group and visit day, full analysis set"/>
                    <pic:cNvPicPr/>
                  </pic:nvPicPr>
                  <pic:blipFill>
                    <a:blip r:embed="rId29"/>
                    <a:stretch>
                      <a:fillRect/>
                    </a:stretch>
                  </pic:blipFill>
                  <pic:spPr>
                    <a:xfrm>
                      <a:off x="0" y="0"/>
                      <a:ext cx="4800600" cy="3476862"/>
                    </a:xfrm>
                    <a:prstGeom prst="rect">
                      <a:avLst/>
                    </a:prstGeom>
                  </pic:spPr>
                </pic:pic>
              </a:graphicData>
            </a:graphic>
          </wp:inline>
        </w:drawing>
      </w:r>
    </w:p>
    <w:p w14:paraId="165559A5" w14:textId="29CD8293" w:rsidR="00C94BBC" w:rsidRPr="00663A18" w:rsidRDefault="00C94BBC" w:rsidP="007F165A">
      <w:pPr>
        <w:pStyle w:val="Heading8"/>
      </w:pPr>
      <w:r w:rsidRPr="00663A18">
        <w:t>Secondary efficacy results</w:t>
      </w:r>
    </w:p>
    <w:p w14:paraId="635CC915" w14:textId="789DB6CF" w:rsidR="00C94BBC" w:rsidRPr="00E42C45" w:rsidRDefault="00C94BBC" w:rsidP="00C94BBC">
      <w:pPr>
        <w:rPr>
          <w:lang w:val="en-US"/>
        </w:rPr>
      </w:pPr>
      <w:r w:rsidRPr="007F165A">
        <w:t>The proportion of responders achieving the targeted platelet count (</w:t>
      </w:r>
      <w:r w:rsidR="007F165A">
        <w:t xml:space="preserve">greater than </w:t>
      </w:r>
      <w:r w:rsidRPr="007F165A">
        <w:t>50</w:t>
      </w:r>
      <w:r w:rsidR="007F165A">
        <w:t> </w:t>
      </w:r>
      <w:r w:rsidRPr="007F165A">
        <w:t>x</w:t>
      </w:r>
      <w:r w:rsidR="007F165A">
        <w:t> </w:t>
      </w:r>
      <w:r w:rsidRPr="007F165A">
        <w:t>10</w:t>
      </w:r>
      <w:r w:rsidRPr="007F165A">
        <w:rPr>
          <w:vertAlign w:val="superscript"/>
        </w:rPr>
        <w:t>9</w:t>
      </w:r>
      <w:r w:rsidRPr="007F165A">
        <w:t xml:space="preserve">/L on procedure </w:t>
      </w:r>
      <w:r w:rsidR="007F165A">
        <w:t>D</w:t>
      </w:r>
      <w:r w:rsidRPr="007F165A">
        <w:t>ay 10</w:t>
      </w:r>
      <w:r w:rsidR="007F165A">
        <w:t xml:space="preserve"> to </w:t>
      </w:r>
      <w:r w:rsidRPr="007F165A">
        <w:t>13), are summarised below</w:t>
      </w:r>
      <w:r w:rsidRPr="00765BFF">
        <w:rPr>
          <w:lang w:val="en-US"/>
        </w:rPr>
        <w:t>.</w:t>
      </w:r>
    </w:p>
    <w:p w14:paraId="799B2908" w14:textId="29C52ECD" w:rsidR="00C94BBC" w:rsidRDefault="00C94BBC" w:rsidP="007F165A">
      <w:pPr>
        <w:pStyle w:val="TableTitle"/>
        <w:rPr>
          <w:lang w:val="en-US"/>
        </w:rPr>
      </w:pPr>
      <w:r>
        <w:t xml:space="preserve">Table </w:t>
      </w:r>
      <w:r w:rsidR="008A4248">
        <w:fldChar w:fldCharType="begin"/>
      </w:r>
      <w:r w:rsidR="008A4248">
        <w:instrText xml:space="preserve"> SEQ Table \* ARABIC </w:instrText>
      </w:r>
      <w:r w:rsidR="008A4248">
        <w:fldChar w:fldCharType="separate"/>
      </w:r>
      <w:r w:rsidR="00197355">
        <w:rPr>
          <w:noProof/>
        </w:rPr>
        <w:t>5</w:t>
      </w:r>
      <w:r w:rsidR="008A4248">
        <w:rPr>
          <w:noProof/>
        </w:rPr>
        <w:fldChar w:fldCharType="end"/>
      </w:r>
      <w:r w:rsidR="007F165A">
        <w:rPr>
          <w:noProof/>
        </w:rPr>
        <w:t>: Study 310 p</w:t>
      </w:r>
      <w:r w:rsidRPr="00693F11">
        <w:t xml:space="preserve">roportions of patients who achieved a platelet count 50 x </w:t>
      </w:r>
      <w:r w:rsidRPr="00693F11">
        <w:rPr>
          <w:lang w:val="en-US"/>
        </w:rPr>
        <w:t>10</w:t>
      </w:r>
      <w:r w:rsidRPr="00693F11">
        <w:rPr>
          <w:vertAlign w:val="superscript"/>
          <w:lang w:val="en-US"/>
        </w:rPr>
        <w:t>9</w:t>
      </w:r>
      <w:r w:rsidRPr="00693F11">
        <w:rPr>
          <w:lang w:val="en-US"/>
        </w:rPr>
        <w:t>/L</w:t>
      </w:r>
      <w:r w:rsidR="007F165A">
        <w:rPr>
          <w:lang w:val="en-US"/>
        </w:rPr>
        <w:t xml:space="preserve"> or great</w:t>
      </w:r>
      <w:r w:rsidRPr="00693F11">
        <w:rPr>
          <w:lang w:val="en-US"/>
        </w:rPr>
        <w:t xml:space="preserve"> on </w:t>
      </w:r>
      <w:r w:rsidR="007F165A">
        <w:rPr>
          <w:lang w:val="en-US"/>
        </w:rPr>
        <w:t>p</w:t>
      </w:r>
      <w:r w:rsidRPr="00693F11">
        <w:rPr>
          <w:lang w:val="en-US"/>
        </w:rPr>
        <w:t xml:space="preserve">rocedure </w:t>
      </w:r>
      <w:r w:rsidR="007F165A">
        <w:rPr>
          <w:lang w:val="en-US"/>
        </w:rPr>
        <w:t>d</w:t>
      </w:r>
      <w:r w:rsidRPr="00693F11">
        <w:rPr>
          <w:lang w:val="en-US"/>
        </w:rPr>
        <w:t>ay</w:t>
      </w:r>
      <w:r w:rsidR="007F165A">
        <w:rPr>
          <w:lang w:val="en-US"/>
        </w:rPr>
        <w:t>, full analysis set</w:t>
      </w:r>
    </w:p>
    <w:p w14:paraId="50820227" w14:textId="4D7DAE8F" w:rsidR="00C94BBC" w:rsidRDefault="007F165A" w:rsidP="007F165A">
      <w:pPr>
        <w:spacing w:line="240" w:lineRule="auto"/>
        <w:rPr>
          <w:lang w:val="en-US"/>
        </w:rPr>
      </w:pPr>
      <w:r w:rsidRPr="007F165A">
        <w:rPr>
          <w:noProof/>
        </w:rPr>
        <w:drawing>
          <wp:inline distT="0" distB="0" distL="0" distR="0" wp14:anchorId="534EF00A" wp14:editId="02F838C5">
            <wp:extent cx="5759450" cy="2514600"/>
            <wp:effectExtent l="0" t="0" r="0" b="0"/>
            <wp:docPr id="18" name="Picture 18" descr="Study 310 proportions of patients who achieved a platelet count 50 x 109/L or great on procedure da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310 proportions of patients who achieved a platelet count 50 x 109/L or great on procedure day, full analysis set"/>
                    <pic:cNvPicPr/>
                  </pic:nvPicPr>
                  <pic:blipFill rotWithShape="1">
                    <a:blip r:embed="rId30"/>
                    <a:srcRect b="1980"/>
                    <a:stretch/>
                  </pic:blipFill>
                  <pic:spPr bwMode="auto">
                    <a:xfrm>
                      <a:off x="0" y="0"/>
                      <a:ext cx="5759450" cy="2514600"/>
                    </a:xfrm>
                    <a:prstGeom prst="rect">
                      <a:avLst/>
                    </a:prstGeom>
                    <a:ln>
                      <a:noFill/>
                    </a:ln>
                    <a:extLst>
                      <a:ext uri="{53640926-AAD7-44D8-BBD7-CCE9431645EC}">
                        <a14:shadowObscured xmlns:a14="http://schemas.microsoft.com/office/drawing/2010/main"/>
                      </a:ext>
                    </a:extLst>
                  </pic:spPr>
                </pic:pic>
              </a:graphicData>
            </a:graphic>
          </wp:inline>
        </w:drawing>
      </w:r>
    </w:p>
    <w:p w14:paraId="4F1F07BF" w14:textId="55BF536E" w:rsidR="007F165A" w:rsidRPr="007F165A" w:rsidRDefault="007F165A" w:rsidP="007F165A">
      <w:pPr>
        <w:pStyle w:val="TableDescription"/>
        <w:rPr>
          <w:lang w:val="en-US"/>
        </w:rPr>
      </w:pPr>
      <w:r>
        <w:rPr>
          <w:lang w:val="en-US"/>
        </w:rPr>
        <w:t xml:space="preserve">Abbreviations: </w:t>
      </w:r>
      <w:r w:rsidRPr="007F165A">
        <w:rPr>
          <w:lang w:val="en-US"/>
        </w:rPr>
        <w:t>CI = confidence interval</w:t>
      </w:r>
      <w:r>
        <w:rPr>
          <w:lang w:val="en-US"/>
        </w:rPr>
        <w:t>,</w:t>
      </w:r>
      <w:r w:rsidRPr="007F165A">
        <w:rPr>
          <w:lang w:val="en-US"/>
        </w:rPr>
        <w:t xml:space="preserve"> CMH = Cochran-Mantel-Haenszel</w:t>
      </w:r>
      <w:r>
        <w:rPr>
          <w:lang w:val="en-US"/>
        </w:rPr>
        <w:t>,</w:t>
      </w:r>
      <w:r w:rsidRPr="007F165A">
        <w:rPr>
          <w:lang w:val="en-US"/>
        </w:rPr>
        <w:t xml:space="preserve"> N = total number of subjects in sample group</w:t>
      </w:r>
      <w:r>
        <w:rPr>
          <w:lang w:val="en-US"/>
        </w:rPr>
        <w:t xml:space="preserve">, </w:t>
      </w:r>
      <w:r w:rsidRPr="007F165A">
        <w:rPr>
          <w:lang w:val="en-US"/>
        </w:rPr>
        <w:t>n = number of subjects in specified group.</w:t>
      </w:r>
    </w:p>
    <w:p w14:paraId="60F77E80" w14:textId="55675C10" w:rsidR="007F165A" w:rsidRPr="007F165A" w:rsidRDefault="007F165A" w:rsidP="007F165A">
      <w:pPr>
        <w:pStyle w:val="TableDescription"/>
        <w:rPr>
          <w:lang w:val="en-US"/>
        </w:rPr>
      </w:pPr>
      <w:r w:rsidRPr="007F165A">
        <w:rPr>
          <w:lang w:val="en-US"/>
        </w:rPr>
        <w:t>a:</w:t>
      </w:r>
      <w:r>
        <w:rPr>
          <w:lang w:val="en-US"/>
        </w:rPr>
        <w:t xml:space="preserve"> </w:t>
      </w:r>
      <w:r w:rsidRPr="007F165A">
        <w:rPr>
          <w:lang w:val="en-US"/>
        </w:rPr>
        <w:t>Responders were defined as the subjects who achieved platelet count greater than or equal to 50</w:t>
      </w:r>
      <w:r>
        <w:rPr>
          <w:lang w:val="en-US"/>
        </w:rPr>
        <w:t> </w:t>
      </w:r>
      <w:r w:rsidRPr="007F165A">
        <w:rPr>
          <w:lang w:val="en-US"/>
        </w:rPr>
        <w:t>×</w:t>
      </w:r>
      <w:r>
        <w:t> </w:t>
      </w:r>
      <w:r w:rsidRPr="007F165A">
        <w:rPr>
          <w:lang w:val="en-US"/>
        </w:rPr>
        <w:t>10</w:t>
      </w:r>
      <w:r w:rsidRPr="007F165A">
        <w:rPr>
          <w:vertAlign w:val="superscript"/>
          <w:lang w:val="en-US"/>
        </w:rPr>
        <w:t>9</w:t>
      </w:r>
      <w:r w:rsidRPr="007F165A">
        <w:rPr>
          <w:lang w:val="en-US"/>
        </w:rPr>
        <w:t>/L on the</w:t>
      </w:r>
      <w:r>
        <w:rPr>
          <w:lang w:val="en-US"/>
        </w:rPr>
        <w:t xml:space="preserve"> p</w:t>
      </w:r>
      <w:r w:rsidRPr="007F165A">
        <w:rPr>
          <w:lang w:val="en-US"/>
        </w:rPr>
        <w:t xml:space="preserve">rocedure </w:t>
      </w:r>
      <w:r>
        <w:rPr>
          <w:lang w:val="en-US"/>
        </w:rPr>
        <w:t>d</w:t>
      </w:r>
      <w:r w:rsidRPr="007F165A">
        <w:rPr>
          <w:lang w:val="en-US"/>
        </w:rPr>
        <w:t>ay.</w:t>
      </w:r>
    </w:p>
    <w:p w14:paraId="15C89450" w14:textId="39F3DDFD" w:rsidR="007F165A" w:rsidRPr="007F165A" w:rsidRDefault="007F165A" w:rsidP="007F165A">
      <w:pPr>
        <w:pStyle w:val="TableDescription"/>
        <w:rPr>
          <w:lang w:val="en-US"/>
        </w:rPr>
      </w:pPr>
      <w:r w:rsidRPr="007F165A">
        <w:rPr>
          <w:lang w:val="en-US"/>
        </w:rPr>
        <w:t>b:</w:t>
      </w:r>
      <w:r>
        <w:rPr>
          <w:lang w:val="en-US"/>
        </w:rPr>
        <w:t xml:space="preserve"> </w:t>
      </w:r>
      <w:r w:rsidRPr="007F165A">
        <w:rPr>
          <w:lang w:val="en-US"/>
        </w:rPr>
        <w:t>Subjects with missing platelet count on the procedure day were conservatively considered as not achieving</w:t>
      </w:r>
      <w:r>
        <w:rPr>
          <w:lang w:val="en-US"/>
        </w:rPr>
        <w:t xml:space="preserve"> </w:t>
      </w:r>
      <w:r w:rsidRPr="007F165A">
        <w:rPr>
          <w:lang w:val="en-US"/>
        </w:rPr>
        <w:t>platelet count 50</w:t>
      </w:r>
      <w:r>
        <w:rPr>
          <w:lang w:val="en-US"/>
        </w:rPr>
        <w:t> </w:t>
      </w:r>
      <w:r w:rsidRPr="007F165A">
        <w:rPr>
          <w:lang w:val="en-US"/>
        </w:rPr>
        <w:t>×</w:t>
      </w:r>
      <w:r>
        <w:rPr>
          <w:lang w:val="en-US"/>
        </w:rPr>
        <w:t> </w:t>
      </w:r>
      <w:r w:rsidRPr="007F165A">
        <w:rPr>
          <w:lang w:val="en-US"/>
        </w:rPr>
        <w:t>10</w:t>
      </w:r>
      <w:r w:rsidRPr="007F165A">
        <w:rPr>
          <w:vertAlign w:val="superscript"/>
          <w:lang w:val="en-US"/>
        </w:rPr>
        <w:t>9</w:t>
      </w:r>
      <w:r w:rsidRPr="007F165A">
        <w:rPr>
          <w:lang w:val="en-US"/>
        </w:rPr>
        <w:t xml:space="preserve">/L in the analysis, </w:t>
      </w:r>
      <w:r>
        <w:rPr>
          <w:lang w:val="en-US"/>
        </w:rPr>
        <w:t>that is</w:t>
      </w:r>
      <w:r w:rsidRPr="007F165A">
        <w:rPr>
          <w:lang w:val="en-US"/>
        </w:rPr>
        <w:t>, non-responders.</w:t>
      </w:r>
    </w:p>
    <w:p w14:paraId="4AEE71B1" w14:textId="16C9A78E" w:rsidR="007F165A" w:rsidRPr="007F165A" w:rsidRDefault="007F165A" w:rsidP="007F165A">
      <w:pPr>
        <w:pStyle w:val="TableDescription"/>
        <w:rPr>
          <w:lang w:val="en-US"/>
        </w:rPr>
      </w:pPr>
      <w:r w:rsidRPr="007F165A">
        <w:rPr>
          <w:lang w:val="en-US"/>
        </w:rPr>
        <w:t>c:</w:t>
      </w:r>
      <w:r>
        <w:rPr>
          <w:lang w:val="en-US"/>
        </w:rPr>
        <w:t xml:space="preserve"> </w:t>
      </w:r>
      <w:r w:rsidRPr="007F165A">
        <w:rPr>
          <w:lang w:val="en-US"/>
        </w:rPr>
        <w:t>Two-sided 95% CI based on normal approximation.</w:t>
      </w:r>
    </w:p>
    <w:p w14:paraId="7D9A3760" w14:textId="613FD673" w:rsidR="007F165A" w:rsidRPr="007F165A" w:rsidRDefault="007F165A" w:rsidP="007F165A">
      <w:pPr>
        <w:pStyle w:val="TableDescription"/>
        <w:rPr>
          <w:lang w:val="en-US"/>
        </w:rPr>
      </w:pPr>
      <w:r w:rsidRPr="007F165A">
        <w:rPr>
          <w:lang w:val="en-US"/>
        </w:rPr>
        <w:lastRenderedPageBreak/>
        <w:t>d:</w:t>
      </w:r>
      <w:r>
        <w:rPr>
          <w:lang w:val="en-US"/>
        </w:rPr>
        <w:t xml:space="preserve"> </w:t>
      </w:r>
      <w:r w:rsidRPr="007F165A">
        <w:rPr>
          <w:lang w:val="en-US"/>
        </w:rPr>
        <w:t xml:space="preserve">Difference of proportion </w:t>
      </w:r>
      <w:r>
        <w:rPr>
          <w:lang w:val="en-US"/>
        </w:rPr>
        <w:t>versus</w:t>
      </w:r>
      <w:r w:rsidRPr="007F165A">
        <w:rPr>
          <w:lang w:val="en-US"/>
        </w:rPr>
        <w:t xml:space="preserve"> placebo = proportion of </w:t>
      </w:r>
      <w:r>
        <w:rPr>
          <w:lang w:val="en-US"/>
        </w:rPr>
        <w:t>r</w:t>
      </w:r>
      <w:r w:rsidRPr="007F165A">
        <w:rPr>
          <w:lang w:val="en-US"/>
        </w:rPr>
        <w:t xml:space="preserve">esponders for avatrombopag – proportion of </w:t>
      </w:r>
      <w:r>
        <w:rPr>
          <w:lang w:val="en-US"/>
        </w:rPr>
        <w:t>r</w:t>
      </w:r>
      <w:r w:rsidRPr="007F165A">
        <w:rPr>
          <w:lang w:val="en-US"/>
        </w:rPr>
        <w:t>esponders</w:t>
      </w:r>
      <w:r>
        <w:rPr>
          <w:lang w:val="en-US"/>
        </w:rPr>
        <w:t xml:space="preserve"> </w:t>
      </w:r>
      <w:r w:rsidRPr="007F165A">
        <w:rPr>
          <w:lang w:val="en-US"/>
        </w:rPr>
        <w:t>for placebo; 95% CI is calculated on normal approximation.</w:t>
      </w:r>
    </w:p>
    <w:p w14:paraId="699E74B8" w14:textId="1EB68744" w:rsidR="007F165A" w:rsidRPr="007F165A" w:rsidRDefault="007F165A" w:rsidP="007F165A">
      <w:pPr>
        <w:pStyle w:val="TableDescription"/>
        <w:rPr>
          <w:lang w:val="en-US"/>
        </w:rPr>
      </w:pPr>
      <w:r w:rsidRPr="007F165A">
        <w:rPr>
          <w:lang w:val="en-US"/>
        </w:rPr>
        <w:t>e:</w:t>
      </w:r>
      <w:r>
        <w:rPr>
          <w:lang w:val="en-US"/>
        </w:rPr>
        <w:t xml:space="preserve"> </w:t>
      </w:r>
      <w:r w:rsidRPr="007F165A">
        <w:rPr>
          <w:lang w:val="en-US"/>
        </w:rPr>
        <w:t>P-value is based on CMH test stratified by the risk of bleeding associated with the scheduled procedure within</w:t>
      </w:r>
      <w:r>
        <w:rPr>
          <w:lang w:val="en-US"/>
        </w:rPr>
        <w:t xml:space="preserve"> </w:t>
      </w:r>
      <w:r w:rsidRPr="007F165A">
        <w:rPr>
          <w:lang w:val="en-US"/>
        </w:rPr>
        <w:t>each Baseline platelet count cohort.</w:t>
      </w:r>
    </w:p>
    <w:p w14:paraId="6A18B4A2" w14:textId="10E2487B" w:rsidR="00C94BBC" w:rsidRPr="00A14718" w:rsidRDefault="00C94BBC" w:rsidP="00C94BBC">
      <w:pPr>
        <w:rPr>
          <w:lang w:val="en-US"/>
        </w:rPr>
      </w:pPr>
      <w:r>
        <w:t xml:space="preserve">For each </w:t>
      </w:r>
      <w:r w:rsidR="00E9222E">
        <w:t>B</w:t>
      </w:r>
      <w:r>
        <w:t xml:space="preserve">aseline platelet cohort, the results for the </w:t>
      </w:r>
      <w:r w:rsidR="00E9222E">
        <w:t>B</w:t>
      </w:r>
      <w:r>
        <w:t xml:space="preserve">aseline and procedure day platelet counts, together with comparisons of the </w:t>
      </w:r>
      <w:r w:rsidR="00E9222E">
        <w:t>B</w:t>
      </w:r>
      <w:r>
        <w:t>aseline-adjusted platelet counts, are included in the table below.</w:t>
      </w:r>
    </w:p>
    <w:p w14:paraId="50D69C84" w14:textId="1E44F955" w:rsidR="00C94BBC" w:rsidRDefault="00C94BBC" w:rsidP="007F165A">
      <w:pPr>
        <w:pStyle w:val="TableTitle"/>
      </w:pPr>
      <w:r>
        <w:t xml:space="preserve">Table </w:t>
      </w:r>
      <w:r w:rsidR="008A4248">
        <w:fldChar w:fldCharType="begin"/>
      </w:r>
      <w:r w:rsidR="008A4248">
        <w:instrText xml:space="preserve"> SEQ Table \* </w:instrText>
      </w:r>
      <w:r w:rsidR="008A4248">
        <w:instrText xml:space="preserve">ARABIC </w:instrText>
      </w:r>
      <w:r w:rsidR="008A4248">
        <w:fldChar w:fldCharType="separate"/>
      </w:r>
      <w:r w:rsidR="00197355">
        <w:rPr>
          <w:noProof/>
        </w:rPr>
        <w:t>6</w:t>
      </w:r>
      <w:r w:rsidR="008A4248">
        <w:rPr>
          <w:noProof/>
        </w:rPr>
        <w:fldChar w:fldCharType="end"/>
      </w:r>
      <w:r w:rsidR="007F165A">
        <w:rPr>
          <w:noProof/>
        </w:rPr>
        <w:t>: Study 310 c</w:t>
      </w:r>
      <w:r>
        <w:t>hange</w:t>
      </w:r>
      <w:r w:rsidR="007F165A">
        <w:t xml:space="preserve"> from Baseline of</w:t>
      </w:r>
      <w:r>
        <w:t xml:space="preserve"> platelet count</w:t>
      </w:r>
      <w:r w:rsidR="007F165A">
        <w:t xml:space="preserve"> on procedure day, full analysis set</w:t>
      </w:r>
    </w:p>
    <w:p w14:paraId="140D46E6" w14:textId="13F3D486" w:rsidR="007F165A" w:rsidRDefault="007F165A" w:rsidP="007F165A">
      <w:r w:rsidRPr="007F165A">
        <w:rPr>
          <w:noProof/>
        </w:rPr>
        <w:drawing>
          <wp:inline distT="0" distB="0" distL="0" distR="0" wp14:anchorId="0C2CD753" wp14:editId="65F38999">
            <wp:extent cx="5759450" cy="4582795"/>
            <wp:effectExtent l="0" t="0" r="0" b="8255"/>
            <wp:docPr id="20" name="Picture 20" descr="Study 310 change from Baseline of platelet count on procedure da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310 change from Baseline of platelet count on procedure day, full analysis set"/>
                    <pic:cNvPicPr/>
                  </pic:nvPicPr>
                  <pic:blipFill>
                    <a:blip r:embed="rId31"/>
                    <a:stretch>
                      <a:fillRect/>
                    </a:stretch>
                  </pic:blipFill>
                  <pic:spPr>
                    <a:xfrm>
                      <a:off x="0" y="0"/>
                      <a:ext cx="5759450" cy="4582795"/>
                    </a:xfrm>
                    <a:prstGeom prst="rect">
                      <a:avLst/>
                    </a:prstGeom>
                  </pic:spPr>
                </pic:pic>
              </a:graphicData>
            </a:graphic>
          </wp:inline>
        </w:drawing>
      </w:r>
    </w:p>
    <w:p w14:paraId="543F62D9" w14:textId="4FEEF060" w:rsidR="00C94BBC" w:rsidRDefault="007F165A" w:rsidP="007F165A">
      <w:pPr>
        <w:pStyle w:val="TableDescription"/>
      </w:pPr>
      <w:r w:rsidRPr="007F165A">
        <w:t>Abbreviations:</w:t>
      </w:r>
      <w:r>
        <w:t xml:space="preserve"> CI = confidence interval, N = total number of subjects in sample group, n = number of subjects in specified group.</w:t>
      </w:r>
    </w:p>
    <w:p w14:paraId="6EADC2DB" w14:textId="49C5B80A" w:rsidR="007F165A" w:rsidRDefault="007F165A" w:rsidP="007F165A">
      <w:pPr>
        <w:pStyle w:val="TableDescription"/>
      </w:pPr>
      <w:r>
        <w:t>a: Last observation carried forward was used for subjects with missing platelet count on procedure day. Platelet count was measured pre-procedure and before any platelet transfusion.</w:t>
      </w:r>
    </w:p>
    <w:p w14:paraId="3463DAB9" w14:textId="3D44C4C5" w:rsidR="007F165A" w:rsidRDefault="007F165A" w:rsidP="007F165A">
      <w:pPr>
        <w:pStyle w:val="TableDescription"/>
      </w:pPr>
      <w:r>
        <w:t>b: Difference in change from Baseline of platelet count for avatrombopag versus placebo within each Baseline platelet count cohort was based on Hodges Lehmann estimation; 95% CI was the asymptotic (Moses) CI.</w:t>
      </w:r>
    </w:p>
    <w:p w14:paraId="1C886573" w14:textId="5BFFB479" w:rsidR="007F165A" w:rsidRPr="007F165A" w:rsidRDefault="007F165A" w:rsidP="007F165A">
      <w:pPr>
        <w:pStyle w:val="TableDescription"/>
      </w:pPr>
      <w:r>
        <w:t>c: P value was based on Wilcoxon rank sum test for each avatrombopag treatment group versus placebo within each Baseline platelet count cohort.</w:t>
      </w:r>
    </w:p>
    <w:p w14:paraId="44B6BB89" w14:textId="1463D4D3" w:rsidR="00C94BBC" w:rsidRPr="007F165A" w:rsidRDefault="00C94BBC" w:rsidP="008A4248">
      <w:pPr>
        <w:pageBreakBefore/>
      </w:pPr>
      <w:r w:rsidRPr="007F165A">
        <w:lastRenderedPageBreak/>
        <w:t>Exploratory endpoints are described in more detail in the clinical evaluation report.</w:t>
      </w:r>
    </w:p>
    <w:p w14:paraId="3145618B" w14:textId="7B28C9AA" w:rsidR="00C94BBC" w:rsidRPr="007F165A" w:rsidRDefault="00C94BBC" w:rsidP="007F165A">
      <w:pPr>
        <w:pStyle w:val="ListBullet"/>
      </w:pPr>
      <w:r w:rsidRPr="007F165A">
        <w:t xml:space="preserve">The target platelet count of </w:t>
      </w:r>
      <w:r w:rsidR="007F165A">
        <w:t xml:space="preserve">greater than </w:t>
      </w:r>
      <w:r w:rsidRPr="007F165A">
        <w:t>50</w:t>
      </w:r>
      <w:r w:rsidR="007F165A">
        <w:t> </w:t>
      </w:r>
      <w:r w:rsidRPr="007F165A">
        <w:t>×</w:t>
      </w:r>
      <w:r w:rsidR="007F165A">
        <w:t> </w:t>
      </w:r>
      <w:r w:rsidRPr="007F165A">
        <w:t>10</w:t>
      </w:r>
      <w:r w:rsidRPr="007F165A">
        <w:rPr>
          <w:vertAlign w:val="superscript"/>
        </w:rPr>
        <w:t>9</w:t>
      </w:r>
      <w:r w:rsidRPr="007F165A">
        <w:t xml:space="preserve">/L on </w:t>
      </w:r>
      <w:r w:rsidR="007F165A">
        <w:t>p</w:t>
      </w:r>
      <w:r w:rsidRPr="007F165A">
        <w:t xml:space="preserve">rocedure </w:t>
      </w:r>
      <w:r w:rsidR="007F165A">
        <w:t>d</w:t>
      </w:r>
      <w:r w:rsidRPr="007F165A">
        <w:t xml:space="preserve">ay by </w:t>
      </w:r>
      <w:r w:rsidR="007F165A">
        <w:t>B</w:t>
      </w:r>
      <w:r w:rsidRPr="007F165A">
        <w:t>aseline cohort:</w:t>
      </w:r>
    </w:p>
    <w:p w14:paraId="4DBBE51E" w14:textId="5A7429B1" w:rsidR="00C94BBC" w:rsidRPr="007F165A" w:rsidRDefault="00C94BBC" w:rsidP="007F165A">
      <w:pPr>
        <w:pStyle w:val="ListBullet2"/>
      </w:pPr>
      <w:r w:rsidRPr="007F165A">
        <w:t xml:space="preserve">Low </w:t>
      </w:r>
      <w:r w:rsidR="00E9222E">
        <w:t>B</w:t>
      </w:r>
      <w:r w:rsidRPr="007F165A">
        <w:t xml:space="preserve">aseline </w:t>
      </w:r>
      <w:r w:rsidR="007F165A">
        <w:t>p</w:t>
      </w:r>
      <w:r w:rsidRPr="007F165A">
        <w:t xml:space="preserve">latelet </w:t>
      </w:r>
      <w:r w:rsidR="007F165A">
        <w:t>c</w:t>
      </w:r>
      <w:r w:rsidRPr="007F165A">
        <w:t xml:space="preserve">ount </w:t>
      </w:r>
      <w:r w:rsidR="007F165A">
        <w:t>c</w:t>
      </w:r>
      <w:r w:rsidRPr="007F165A">
        <w:t xml:space="preserve">ohort - </w:t>
      </w:r>
      <w:r w:rsidR="007F165A" w:rsidRPr="007F165A">
        <w:t xml:space="preserve">avatrombopag </w:t>
      </w:r>
      <w:r w:rsidRPr="007F165A">
        <w:t>v</w:t>
      </w:r>
      <w:r w:rsidR="007F165A">
        <w:t>ersus</w:t>
      </w:r>
      <w:r w:rsidRPr="007F165A">
        <w:t xml:space="preserve"> placebo: 77.5% v</w:t>
      </w:r>
      <w:r w:rsidR="007F165A">
        <w:t>ersus</w:t>
      </w:r>
      <w:r w:rsidRPr="007F165A">
        <w:t xml:space="preserve"> 4.8%</w:t>
      </w:r>
    </w:p>
    <w:p w14:paraId="3C517EA6" w14:textId="31AE6A02" w:rsidR="00C94BBC" w:rsidRPr="007F165A" w:rsidRDefault="00C94BBC" w:rsidP="007F165A">
      <w:pPr>
        <w:pStyle w:val="ListBullet2"/>
      </w:pPr>
      <w:r w:rsidRPr="007F165A">
        <w:t xml:space="preserve">High </w:t>
      </w:r>
      <w:r w:rsidR="00E9222E">
        <w:t>B</w:t>
      </w:r>
      <w:r w:rsidRPr="007F165A">
        <w:t xml:space="preserve">aseline </w:t>
      </w:r>
      <w:r w:rsidR="007F165A">
        <w:t>p</w:t>
      </w:r>
      <w:r w:rsidRPr="007F165A">
        <w:t xml:space="preserve">latelet </w:t>
      </w:r>
      <w:r w:rsidR="007F165A">
        <w:t>c</w:t>
      </w:r>
      <w:r w:rsidRPr="007F165A">
        <w:t xml:space="preserve">ount </w:t>
      </w:r>
      <w:r w:rsidR="007F165A">
        <w:t>c</w:t>
      </w:r>
      <w:r w:rsidRPr="007F165A">
        <w:t xml:space="preserve">ohort- </w:t>
      </w:r>
      <w:r w:rsidR="007F165A" w:rsidRPr="007F165A">
        <w:t xml:space="preserve">avatrombopag </w:t>
      </w:r>
      <w:r w:rsidRPr="007F165A">
        <w:t>v</w:t>
      </w:r>
      <w:r w:rsidR="007F165A">
        <w:t>ersus</w:t>
      </w:r>
      <w:r w:rsidRPr="007F165A">
        <w:t xml:space="preserve"> placebo: 92.9% v</w:t>
      </w:r>
      <w:r w:rsidR="007F165A">
        <w:t>ersus</w:t>
      </w:r>
      <w:r w:rsidRPr="007F165A">
        <w:t xml:space="preserve"> 22.6%.</w:t>
      </w:r>
    </w:p>
    <w:p w14:paraId="1D747C7A" w14:textId="54D8CC00" w:rsidR="00C94BBC" w:rsidRPr="007F165A" w:rsidRDefault="00C94BBC" w:rsidP="007F165A">
      <w:pPr>
        <w:pStyle w:val="ListBullet"/>
      </w:pPr>
      <w:r w:rsidRPr="007F165A">
        <w:t xml:space="preserve">No patients reached platelet count </w:t>
      </w:r>
      <w:r w:rsidR="007F165A">
        <w:t>greater than</w:t>
      </w:r>
      <w:r w:rsidRPr="007F165A">
        <w:t xml:space="preserve"> 200</w:t>
      </w:r>
      <w:r w:rsidR="007F165A">
        <w:t> </w:t>
      </w:r>
      <w:r w:rsidRPr="007F165A">
        <w:t>×</w:t>
      </w:r>
      <w:r w:rsidR="007F165A">
        <w:t> </w:t>
      </w:r>
      <w:r w:rsidRPr="007F165A">
        <w:t>10</w:t>
      </w:r>
      <w:r w:rsidRPr="007F165A">
        <w:rPr>
          <w:vertAlign w:val="superscript"/>
        </w:rPr>
        <w:t>9</w:t>
      </w:r>
      <w:r w:rsidRPr="007F165A">
        <w:t>/L during the study.</w:t>
      </w:r>
    </w:p>
    <w:p w14:paraId="18D80374" w14:textId="38A536BA" w:rsidR="00C94BBC" w:rsidRPr="007F165A" w:rsidRDefault="00C94BBC" w:rsidP="007F165A">
      <w:pPr>
        <w:pStyle w:val="ListBullet"/>
      </w:pPr>
      <w:r w:rsidRPr="007F165A">
        <w:t>Platelet transfusions needed:</w:t>
      </w:r>
    </w:p>
    <w:p w14:paraId="32093649" w14:textId="3A9EC3F1" w:rsidR="00C94BBC" w:rsidRPr="007F165A" w:rsidRDefault="00C94BBC" w:rsidP="007F165A">
      <w:pPr>
        <w:pStyle w:val="ListBullet2"/>
      </w:pPr>
      <w:r w:rsidRPr="007F165A">
        <w:t xml:space="preserve">Low </w:t>
      </w:r>
      <w:r w:rsidR="00E9222E">
        <w:t>B</w:t>
      </w:r>
      <w:r w:rsidRPr="007F165A">
        <w:t xml:space="preserve">aseline </w:t>
      </w:r>
      <w:r w:rsidR="007F165A">
        <w:t>p</w:t>
      </w:r>
      <w:r w:rsidRPr="007F165A">
        <w:t xml:space="preserve">latelet </w:t>
      </w:r>
      <w:r w:rsidR="007F165A">
        <w:t>c</w:t>
      </w:r>
      <w:r w:rsidRPr="007F165A">
        <w:t xml:space="preserve">ount </w:t>
      </w:r>
      <w:r w:rsidR="007F165A">
        <w:t>c</w:t>
      </w:r>
      <w:r w:rsidRPr="007F165A">
        <w:t xml:space="preserve">ohort: </w:t>
      </w:r>
      <w:r w:rsidR="007F165A" w:rsidRPr="007F165A">
        <w:t xml:space="preserve">avatrombopag </w:t>
      </w:r>
      <w:r w:rsidRPr="007F165A">
        <w:t>v</w:t>
      </w:r>
      <w:r w:rsidR="007F165A">
        <w:t>ersus</w:t>
      </w:r>
      <w:r w:rsidRPr="007F165A">
        <w:t xml:space="preserve"> placebo 28.9% v</w:t>
      </w:r>
      <w:r w:rsidR="007F165A">
        <w:t>ersus</w:t>
      </w:r>
      <w:r w:rsidRPr="007F165A">
        <w:t xml:space="preserve"> 66.7%; mean transfusion requirements 3.2 (</w:t>
      </w:r>
      <w:r w:rsidR="007F165A" w:rsidRPr="007F165A">
        <w:t xml:space="preserve">avatrombopag </w:t>
      </w:r>
      <w:r w:rsidRPr="007F165A">
        <w:t>group) v</w:t>
      </w:r>
      <w:r w:rsidR="007F165A">
        <w:t>ersus</w:t>
      </w:r>
      <w:r w:rsidRPr="007F165A">
        <w:t xml:space="preserve"> 4.3 units (placebo group)</w:t>
      </w:r>
    </w:p>
    <w:p w14:paraId="26744A64" w14:textId="776A83D0" w:rsidR="00C94BBC" w:rsidRPr="007F165A" w:rsidRDefault="00C94BBC" w:rsidP="007F165A">
      <w:pPr>
        <w:pStyle w:val="ListBullet2"/>
      </w:pPr>
      <w:r w:rsidRPr="007F165A">
        <w:t xml:space="preserve">High </w:t>
      </w:r>
      <w:r w:rsidR="00E9222E">
        <w:t>B</w:t>
      </w:r>
      <w:r w:rsidRPr="007F165A">
        <w:t xml:space="preserve">aseline </w:t>
      </w:r>
      <w:r w:rsidR="007F165A">
        <w:t>p</w:t>
      </w:r>
      <w:r w:rsidRPr="007F165A">
        <w:t xml:space="preserve">latelet </w:t>
      </w:r>
      <w:r w:rsidR="007F165A">
        <w:t>c</w:t>
      </w:r>
      <w:r w:rsidRPr="007F165A">
        <w:t xml:space="preserve">ount </w:t>
      </w:r>
      <w:r w:rsidR="007F165A">
        <w:t>c</w:t>
      </w:r>
      <w:r w:rsidRPr="007F165A">
        <w:t xml:space="preserve">ohort: </w:t>
      </w:r>
      <w:r w:rsidR="007F165A" w:rsidRPr="007F165A">
        <w:t>avatrombopag v</w:t>
      </w:r>
      <w:r w:rsidR="007F165A">
        <w:t xml:space="preserve">ersus </w:t>
      </w:r>
      <w:r w:rsidRPr="007F165A">
        <w:t>placebo 6.8% v</w:t>
      </w:r>
      <w:r w:rsidR="007F165A">
        <w:t>ersus</w:t>
      </w:r>
      <w:r w:rsidRPr="007F165A">
        <w:t xml:space="preserve"> 55.9%; mean platelet transfusion requirement 6.2 units (</w:t>
      </w:r>
      <w:r w:rsidR="007F165A" w:rsidRPr="007F165A">
        <w:t xml:space="preserve">avatrombopag </w:t>
      </w:r>
      <w:r w:rsidRPr="007F165A">
        <w:t>group) v</w:t>
      </w:r>
      <w:r w:rsidR="007F165A">
        <w:t>ersus</w:t>
      </w:r>
      <w:r w:rsidRPr="007F165A">
        <w:t xml:space="preserve"> 5.6 units (placebo group)</w:t>
      </w:r>
    </w:p>
    <w:p w14:paraId="565696D3" w14:textId="4C4FAC49" w:rsidR="00C94BBC" w:rsidRPr="007F165A" w:rsidRDefault="007F165A" w:rsidP="007F165A">
      <w:pPr>
        <w:pStyle w:val="ListBullet"/>
      </w:pPr>
      <w:r>
        <w:t>World Health Organisation (</w:t>
      </w:r>
      <w:r w:rsidR="00C94BBC" w:rsidRPr="007F165A">
        <w:t>WHO</w:t>
      </w:r>
      <w:r>
        <w:t>)</w:t>
      </w:r>
      <w:r w:rsidR="00C94BBC" w:rsidRPr="007F165A">
        <w:t xml:space="preserve"> bleeding score 2</w:t>
      </w:r>
      <w:r w:rsidR="00E9222E">
        <w:t xml:space="preserve"> </w:t>
      </w:r>
      <w:r>
        <w:t>or greater:</w:t>
      </w:r>
      <w:bookmarkStart w:id="60" w:name="_Ref151472569"/>
      <w:r w:rsidR="00C94BBC" w:rsidRPr="007F165A">
        <w:rPr>
          <w:vertAlign w:val="superscript"/>
        </w:rPr>
        <w:footnoteReference w:id="23"/>
      </w:r>
      <w:bookmarkEnd w:id="60"/>
      <w:r>
        <w:t xml:space="preserve"> </w:t>
      </w:r>
      <w:r w:rsidR="00C94BBC" w:rsidRPr="007F165A">
        <w:t xml:space="preserve">3.4% combined </w:t>
      </w:r>
      <w:r w:rsidRPr="007F165A">
        <w:t xml:space="preserve">avatrombopag </w:t>
      </w:r>
      <w:r w:rsidR="00C94BBC" w:rsidRPr="007F165A">
        <w:t>v</w:t>
      </w:r>
      <w:r>
        <w:t>ersus</w:t>
      </w:r>
      <w:r w:rsidR="00C94BBC" w:rsidRPr="007F165A">
        <w:t xml:space="preserve"> 4.9% combined placebo groups, </w:t>
      </w:r>
      <w:r>
        <w:t>five</w:t>
      </w:r>
      <w:r w:rsidR="00C94BBC" w:rsidRPr="007F165A">
        <w:t xml:space="preserve"> patients (</w:t>
      </w:r>
      <w:r>
        <w:t xml:space="preserve">three </w:t>
      </w:r>
      <w:r w:rsidR="00C94BBC" w:rsidRPr="007F165A">
        <w:t xml:space="preserve">in the </w:t>
      </w:r>
      <w:r w:rsidRPr="007F165A">
        <w:t xml:space="preserve">avatrombopag </w:t>
      </w:r>
      <w:r w:rsidR="00C94BBC" w:rsidRPr="007F165A">
        <w:t xml:space="preserve">group) had bleeding and platelet transfusion and </w:t>
      </w:r>
      <w:r>
        <w:t>one</w:t>
      </w:r>
      <w:r w:rsidR="00C94BBC" w:rsidRPr="007F165A">
        <w:t xml:space="preserve"> in each group had Grade 3 bleeding events</w:t>
      </w:r>
      <w:r>
        <w:t>.</w:t>
      </w:r>
    </w:p>
    <w:p w14:paraId="7E68BCCE" w14:textId="2FE3B76D" w:rsidR="007F165A" w:rsidRDefault="007F165A" w:rsidP="007F165A">
      <w:pPr>
        <w:pStyle w:val="Heading7"/>
        <w:rPr>
          <w:rFonts w:eastAsia="TimesNewRoman"/>
          <w:lang w:val="en-US"/>
        </w:rPr>
      </w:pPr>
      <w:r>
        <w:rPr>
          <w:rFonts w:eastAsia="TimesNewRoman"/>
          <w:lang w:val="en-US"/>
        </w:rPr>
        <w:t>Study 311 (</w:t>
      </w:r>
      <w:r w:rsidR="00C94BBC" w:rsidRPr="00A821FB">
        <w:rPr>
          <w:rFonts w:eastAsia="TimesNewRoman"/>
          <w:lang w:val="en-US"/>
        </w:rPr>
        <w:t>E5501-G000-311</w:t>
      </w:r>
      <w:r>
        <w:rPr>
          <w:rFonts w:eastAsia="TimesNewRoman"/>
          <w:lang w:val="en-US"/>
        </w:rPr>
        <w:t>)</w:t>
      </w:r>
      <w:r w:rsidR="00C94BBC" w:rsidRPr="00A821FB">
        <w:rPr>
          <w:rFonts w:eastAsia="TimesNewRoman"/>
          <w:lang w:val="en-US"/>
        </w:rPr>
        <w:t xml:space="preserve"> </w:t>
      </w:r>
    </w:p>
    <w:p w14:paraId="52E4F4D8" w14:textId="31AEFA90" w:rsidR="00C94BBC" w:rsidRPr="007F165A" w:rsidRDefault="00C94BBC" w:rsidP="007F165A">
      <w:r w:rsidRPr="007F165A">
        <w:t xml:space="preserve">A </w:t>
      </w:r>
      <w:r w:rsidR="007F165A">
        <w:t>r</w:t>
      </w:r>
      <w:r w:rsidRPr="007F165A">
        <w:t xml:space="preserve">andomised, </w:t>
      </w:r>
      <w:r w:rsidR="007F165A">
        <w:t>g</w:t>
      </w:r>
      <w:r w:rsidRPr="007F165A">
        <w:t xml:space="preserve">lobal, </w:t>
      </w:r>
      <w:r w:rsidR="007F165A">
        <w:t>d</w:t>
      </w:r>
      <w:r w:rsidRPr="007F165A">
        <w:t>ouble</w:t>
      </w:r>
      <w:r w:rsidR="007F165A">
        <w:t xml:space="preserve"> bl</w:t>
      </w:r>
      <w:r w:rsidRPr="007F165A">
        <w:t xml:space="preserve">ind, </w:t>
      </w:r>
      <w:r w:rsidR="007F165A">
        <w:t>p</w:t>
      </w:r>
      <w:r w:rsidRPr="007F165A">
        <w:t>lacebo</w:t>
      </w:r>
      <w:r w:rsidR="007F165A">
        <w:t xml:space="preserve"> c</w:t>
      </w:r>
      <w:r w:rsidRPr="007F165A">
        <w:t xml:space="preserve">ontrolled, </w:t>
      </w:r>
      <w:r w:rsidR="007F165A">
        <w:t>p</w:t>
      </w:r>
      <w:r w:rsidRPr="007F165A">
        <w:t>arallel</w:t>
      </w:r>
      <w:r w:rsidR="007F165A">
        <w:t xml:space="preserve"> g</w:t>
      </w:r>
      <w:r w:rsidRPr="007F165A">
        <w:t xml:space="preserve">roup </w:t>
      </w:r>
      <w:r w:rsidR="007F165A">
        <w:t>s</w:t>
      </w:r>
      <w:r w:rsidRPr="007F165A">
        <w:t xml:space="preserve">tudy to </w:t>
      </w:r>
      <w:r w:rsidR="007F165A">
        <w:t>e</w:t>
      </w:r>
      <w:r w:rsidRPr="007F165A">
        <w:t xml:space="preserve">valuate the </w:t>
      </w:r>
      <w:r w:rsidR="007F165A">
        <w:t>e</w:t>
      </w:r>
      <w:r w:rsidRPr="007F165A">
        <w:t xml:space="preserve">fficacy and </w:t>
      </w:r>
      <w:r w:rsidR="007F165A">
        <w:t>s</w:t>
      </w:r>
      <w:r w:rsidRPr="007F165A">
        <w:t xml:space="preserve">afety of </w:t>
      </w:r>
      <w:r w:rsidR="007F165A">
        <w:t>o</w:t>
      </w:r>
      <w:r w:rsidRPr="007F165A">
        <w:t>nce</w:t>
      </w:r>
      <w:r w:rsidR="007F165A">
        <w:t xml:space="preserve"> d</w:t>
      </w:r>
      <w:r w:rsidRPr="007F165A">
        <w:t xml:space="preserve">aily </w:t>
      </w:r>
      <w:r w:rsidR="007F165A">
        <w:t>o</w:t>
      </w:r>
      <w:r w:rsidRPr="007F165A">
        <w:t xml:space="preserve">ral </w:t>
      </w:r>
      <w:r w:rsidR="007F165A" w:rsidRPr="007F165A">
        <w:t>a</w:t>
      </w:r>
      <w:r w:rsidRPr="007F165A">
        <w:t xml:space="preserve">vatrombopag for the </w:t>
      </w:r>
      <w:r w:rsidR="007F165A">
        <w:t>t</w:t>
      </w:r>
      <w:r w:rsidRPr="007F165A">
        <w:t xml:space="preserve">reatment of </w:t>
      </w:r>
      <w:r w:rsidR="007F165A">
        <w:t>a</w:t>
      </w:r>
      <w:r w:rsidRPr="007F165A">
        <w:t xml:space="preserve">dults with </w:t>
      </w:r>
      <w:r w:rsidR="007F165A">
        <w:t>t</w:t>
      </w:r>
      <w:r w:rsidRPr="007F165A">
        <w:t xml:space="preserve">hrombocytopenia </w:t>
      </w:r>
      <w:r w:rsidR="007F165A">
        <w:t>a</w:t>
      </w:r>
      <w:r w:rsidRPr="007F165A">
        <w:t xml:space="preserve">ssociated with </w:t>
      </w:r>
      <w:r w:rsidR="007F165A">
        <w:t>l</w:t>
      </w:r>
      <w:r w:rsidRPr="007F165A">
        <w:t xml:space="preserve">iver </w:t>
      </w:r>
      <w:r w:rsidR="007F165A">
        <w:t>d</w:t>
      </w:r>
      <w:r w:rsidRPr="007F165A">
        <w:t xml:space="preserve">isease </w:t>
      </w:r>
      <w:r w:rsidR="007F165A">
        <w:t>p</w:t>
      </w:r>
      <w:r w:rsidRPr="007F165A">
        <w:t xml:space="preserve">rior to an </w:t>
      </w:r>
      <w:r w:rsidR="007F165A">
        <w:t>e</w:t>
      </w:r>
      <w:r w:rsidRPr="007F165A">
        <w:t xml:space="preserve">lective </w:t>
      </w:r>
      <w:r w:rsidR="007F165A">
        <w:t>p</w:t>
      </w:r>
      <w:r w:rsidRPr="007F165A">
        <w:t>rocedure.</w:t>
      </w:r>
    </w:p>
    <w:p w14:paraId="3491D44B" w14:textId="385D81C3" w:rsidR="00C94BBC" w:rsidRPr="007F165A" w:rsidRDefault="00C94BBC" w:rsidP="007F165A">
      <w:r w:rsidRPr="007F165A">
        <w:t>It was conducted from Dec</w:t>
      </w:r>
      <w:r w:rsidR="007F165A">
        <w:t>ember</w:t>
      </w:r>
      <w:r w:rsidRPr="007F165A">
        <w:t xml:space="preserve"> 2013 to Jan</w:t>
      </w:r>
      <w:r w:rsidR="007F165A">
        <w:t>uary</w:t>
      </w:r>
      <w:r w:rsidRPr="007F165A">
        <w:t xml:space="preserve"> 2017 at 74 sites in Argentina, Australia, Belgium, Brazil, China, Czech Republic, France, Germany, Israel, Italy, Japan, Mexico, Romania, Russia, Spain, and the United States</w:t>
      </w:r>
      <w:r w:rsidR="00E9222E">
        <w:t xml:space="preserve"> of America</w:t>
      </w:r>
      <w:r w:rsidRPr="007F165A">
        <w:t>.</w:t>
      </w:r>
    </w:p>
    <w:p w14:paraId="598A0235" w14:textId="2C0756BC" w:rsidR="00C94BBC" w:rsidRPr="007F165A" w:rsidRDefault="00C94BBC" w:rsidP="007F165A">
      <w:r w:rsidRPr="007F165A">
        <w:t>Patient flow through the study is summarised, below</w:t>
      </w:r>
      <w:r w:rsidR="007F165A">
        <w:t xml:space="preserve"> (see </w:t>
      </w:r>
      <w:r w:rsidR="007F165A">
        <w:fldChar w:fldCharType="begin"/>
      </w:r>
      <w:r w:rsidR="007F165A">
        <w:instrText xml:space="preserve"> REF _Ref151468863 \h </w:instrText>
      </w:r>
      <w:r w:rsidR="007F165A">
        <w:fldChar w:fldCharType="separate"/>
      </w:r>
      <w:r w:rsidR="00197355">
        <w:t xml:space="preserve">Figure </w:t>
      </w:r>
      <w:r w:rsidR="00197355">
        <w:rPr>
          <w:noProof/>
        </w:rPr>
        <w:t>7</w:t>
      </w:r>
      <w:r w:rsidR="007F165A">
        <w:fldChar w:fldCharType="end"/>
      </w:r>
      <w:r w:rsidR="007F165A">
        <w:t>)</w:t>
      </w:r>
      <w:r w:rsidRPr="007F165A">
        <w:t>.</w:t>
      </w:r>
    </w:p>
    <w:p w14:paraId="1E83979A" w14:textId="77952ABA" w:rsidR="00C94BBC" w:rsidRDefault="00C94BBC" w:rsidP="007F165A">
      <w:pPr>
        <w:pStyle w:val="FigureTitle"/>
      </w:pPr>
      <w:bookmarkStart w:id="61" w:name="_Ref151468863"/>
      <w:r>
        <w:lastRenderedPageBreak/>
        <w:t xml:space="preserve">Figure </w:t>
      </w:r>
      <w:r w:rsidR="008A4248">
        <w:fldChar w:fldCharType="begin"/>
      </w:r>
      <w:r w:rsidR="008A4248">
        <w:instrText xml:space="preserve"> SEQ Figure \* ARABIC </w:instrText>
      </w:r>
      <w:r w:rsidR="008A4248">
        <w:fldChar w:fldCharType="separate"/>
      </w:r>
      <w:r w:rsidR="00197355">
        <w:rPr>
          <w:noProof/>
        </w:rPr>
        <w:t>7</w:t>
      </w:r>
      <w:r w:rsidR="008A4248">
        <w:rPr>
          <w:noProof/>
        </w:rPr>
        <w:fldChar w:fldCharType="end"/>
      </w:r>
      <w:bookmarkEnd w:id="61"/>
      <w:r w:rsidR="007F165A">
        <w:rPr>
          <w:noProof/>
        </w:rPr>
        <w:t>:</w:t>
      </w:r>
      <w:r>
        <w:t xml:space="preserve"> Study 311 </w:t>
      </w:r>
      <w:r w:rsidR="007F165A">
        <w:t>p</w:t>
      </w:r>
      <w:r>
        <w:t xml:space="preserve">atient </w:t>
      </w:r>
      <w:r w:rsidR="007F165A">
        <w:t>f</w:t>
      </w:r>
      <w:r>
        <w:t>low</w:t>
      </w:r>
    </w:p>
    <w:p w14:paraId="7042DBBB" w14:textId="76679583" w:rsidR="007F165A" w:rsidRDefault="007F165A" w:rsidP="008A4248">
      <w:r>
        <w:rPr>
          <w:noProof/>
        </w:rPr>
        <w:drawing>
          <wp:inline distT="0" distB="0" distL="0" distR="0" wp14:anchorId="7EDFBBE5" wp14:editId="48D4FB14">
            <wp:extent cx="5588000" cy="3456940"/>
            <wp:effectExtent l="0" t="0" r="0" b="0"/>
            <wp:docPr id="21" name="Picture 21" descr="Study 311 had 346 participants enrolled, 204 of these were randomised and 142 were considered screen failures. Of the participants randomised all 204 were treated. Participants were assigned to 1 of 2 cohorts according to their mean Baseline platelet count. Within each Baseline platelet count group participants were randomised 2:1 to either receive avatrombopag or the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311 had 346 participants enrolled, 204 of these were randomised and 142 were considered screen failures. Of the participants randomised all 204 were treated. Participants were assigned to 1 of 2 cohorts according to their mean Baseline platelet count. Within each Baseline platelet count group participants were randomised 2:1 to either receive avatrombopag or the placebo."/>
                    <pic:cNvPicPr/>
                  </pic:nvPicPr>
                  <pic:blipFill rotWithShape="1">
                    <a:blip r:embed="rId32"/>
                    <a:srcRect l="2977" t="4975"/>
                    <a:stretch/>
                  </pic:blipFill>
                  <pic:spPr bwMode="auto">
                    <a:xfrm>
                      <a:off x="0" y="0"/>
                      <a:ext cx="5588000" cy="3456940"/>
                    </a:xfrm>
                    <a:prstGeom prst="rect">
                      <a:avLst/>
                    </a:prstGeom>
                    <a:ln>
                      <a:noFill/>
                    </a:ln>
                    <a:extLst>
                      <a:ext uri="{53640926-AAD7-44D8-BBD7-CCE9431645EC}">
                        <a14:shadowObscured xmlns:a14="http://schemas.microsoft.com/office/drawing/2010/main"/>
                      </a:ext>
                    </a:extLst>
                  </pic:spPr>
                </pic:pic>
              </a:graphicData>
            </a:graphic>
          </wp:inline>
        </w:drawing>
      </w:r>
    </w:p>
    <w:p w14:paraId="0F32EFB7" w14:textId="77777777" w:rsidR="00C94BBC" w:rsidRPr="00A63082" w:rsidRDefault="00C94BBC" w:rsidP="007F165A">
      <w:pPr>
        <w:pStyle w:val="Heading8"/>
        <w:rPr>
          <w:rFonts w:eastAsia="TimesNewRoman"/>
          <w:lang w:val="en-US"/>
        </w:rPr>
      </w:pPr>
      <w:r w:rsidRPr="00A63082">
        <w:rPr>
          <w:rFonts w:eastAsia="TimesNewRoman"/>
          <w:lang w:val="en-US"/>
        </w:rPr>
        <w:t>Baseline data</w:t>
      </w:r>
    </w:p>
    <w:p w14:paraId="3022F727" w14:textId="7C48BD33" w:rsidR="00C94BBC" w:rsidRPr="007F165A" w:rsidRDefault="00C94BBC" w:rsidP="007F165A">
      <w:r w:rsidRPr="007F165A">
        <w:t xml:space="preserve">The mean age of randomised patients was 58.2 years, and 69.1% were aged </w:t>
      </w:r>
      <w:r w:rsidR="007F165A">
        <w:t>less than</w:t>
      </w:r>
      <w:r w:rsidRPr="007F165A">
        <w:t xml:space="preserve"> 65 years. Most were male (62.3%) and White (64.5%) with 24.6% being Japanese. The median </w:t>
      </w:r>
      <w:r w:rsidR="00E9222E">
        <w:t>B</w:t>
      </w:r>
      <w:r w:rsidRPr="007F165A">
        <w:t>aseline count was 39</w:t>
      </w:r>
      <w:r w:rsidR="007F165A">
        <w:t> </w:t>
      </w:r>
      <w:r w:rsidRPr="007F165A">
        <w:t>x</w:t>
      </w:r>
      <w:r w:rsidR="007F165A">
        <w:t> </w:t>
      </w:r>
      <w:r w:rsidRPr="007F165A">
        <w:t>10</w:t>
      </w:r>
      <w:r w:rsidRPr="007F165A">
        <w:rPr>
          <w:vertAlign w:val="superscript"/>
        </w:rPr>
        <w:t>9</w:t>
      </w:r>
      <w:r w:rsidRPr="007F165A">
        <w:t>/L (min, max 12, 50 x</w:t>
      </w:r>
      <w:r w:rsidR="007F165A">
        <w:t> </w:t>
      </w:r>
      <w:r w:rsidRPr="007F165A">
        <w:t>10</w:t>
      </w:r>
      <w:r w:rsidRPr="007F165A">
        <w:rPr>
          <w:vertAlign w:val="superscript"/>
        </w:rPr>
        <w:t>9</w:t>
      </w:r>
      <w:r w:rsidRPr="007F165A">
        <w:t>/L).</w:t>
      </w:r>
    </w:p>
    <w:p w14:paraId="48706B6F" w14:textId="1DF2968F" w:rsidR="00C94BBC" w:rsidRPr="007F165A" w:rsidRDefault="00C94BBC" w:rsidP="007F165A">
      <w:r w:rsidRPr="007F165A">
        <w:t xml:space="preserve">Baseline demographic and disease characteristics were similar across all treatment groups and the </w:t>
      </w:r>
      <w:r w:rsidR="007F165A">
        <w:t>l</w:t>
      </w:r>
      <w:r w:rsidRPr="007F165A">
        <w:t xml:space="preserve">ow and </w:t>
      </w:r>
      <w:r w:rsidR="007F165A">
        <w:t>h</w:t>
      </w:r>
      <w:r w:rsidRPr="007F165A">
        <w:t>igh Baseline platelet cohorts.</w:t>
      </w:r>
    </w:p>
    <w:p w14:paraId="1BD65A1E" w14:textId="6CD58B1A" w:rsidR="00C94BBC" w:rsidRPr="007F165A" w:rsidRDefault="00C94BBC" w:rsidP="007F165A">
      <w:r w:rsidRPr="007F165A">
        <w:t xml:space="preserve">The </w:t>
      </w:r>
      <w:proofErr w:type="spellStart"/>
      <w:r w:rsidRPr="007F165A">
        <w:t>etiologies</w:t>
      </w:r>
      <w:proofErr w:type="spellEnd"/>
      <w:r w:rsidRPr="007F165A">
        <w:t xml:space="preserve"> of CLD were most commonly chronic viral hepatitis (52.5%, of which 85% (43.6% of the study population) had chronic hepatitis C), </w:t>
      </w:r>
      <w:r w:rsidR="007F165A">
        <w:t>‘</w:t>
      </w:r>
      <w:r w:rsidRPr="007F165A">
        <w:t>other</w:t>
      </w:r>
      <w:r w:rsidR="007F165A">
        <w:t>’</w:t>
      </w:r>
      <w:r w:rsidRPr="007F165A">
        <w:t xml:space="preserve"> CLD (20.1%), and alcoholic liver disease (14.7%). By Child-Turcotte-Pugh Grade,</w:t>
      </w:r>
      <w:r w:rsidR="007F165A">
        <w:fldChar w:fldCharType="begin"/>
      </w:r>
      <w:r w:rsidR="007F165A">
        <w:instrText xml:space="preserve"> NOTEREF _Ref151469402 \f \h </w:instrText>
      </w:r>
      <w:r w:rsidR="007F165A">
        <w:fldChar w:fldCharType="separate"/>
      </w:r>
      <w:r w:rsidR="00197355" w:rsidRPr="00197355">
        <w:rPr>
          <w:rStyle w:val="FootnoteReference"/>
        </w:rPr>
        <w:t>22</w:t>
      </w:r>
      <w:r w:rsidR="007F165A">
        <w:fldChar w:fldCharType="end"/>
      </w:r>
      <w:r w:rsidRPr="007F165A">
        <w:t xml:space="preserve"> 55.7% were Grade A, and 36.9% were Grade B. Of the 24.5% of participants with hepatocellular carcinoma, around half had Barcelona-Clinic Liver Cancer Grade of A (13.1% of study).</w:t>
      </w:r>
      <w:r w:rsidR="007F165A">
        <w:fldChar w:fldCharType="begin"/>
      </w:r>
      <w:r w:rsidR="007F165A">
        <w:instrText xml:space="preserve"> NOTEREF _Ref151469443 \f \h </w:instrText>
      </w:r>
      <w:r w:rsidR="007F165A">
        <w:fldChar w:fldCharType="separate"/>
      </w:r>
      <w:r w:rsidR="00197355" w:rsidRPr="00197355">
        <w:rPr>
          <w:rStyle w:val="FootnoteReference"/>
        </w:rPr>
        <w:t>21</w:t>
      </w:r>
      <w:r w:rsidR="007F165A">
        <w:fldChar w:fldCharType="end"/>
      </w:r>
    </w:p>
    <w:p w14:paraId="094BEDBE" w14:textId="3DEC0E57" w:rsidR="00C94BBC" w:rsidRPr="007F165A" w:rsidRDefault="00C94BBC" w:rsidP="007F165A">
      <w:r w:rsidRPr="007F165A">
        <w:t>Of the 29.9% of participants with hepatocellular carcinoma, around half had Barcelona</w:t>
      </w:r>
      <w:r w:rsidR="007F165A">
        <w:noBreakHyphen/>
      </w:r>
      <w:r w:rsidRPr="007F165A">
        <w:t>Clinic Liver Cancer Grade of A or B (13.2% of study for each Grade)</w:t>
      </w:r>
      <w:r w:rsidR="007F165A">
        <w:t>.</w:t>
      </w:r>
    </w:p>
    <w:p w14:paraId="40EC5862" w14:textId="04E79EC4" w:rsidR="00C94BBC" w:rsidRPr="007F165A" w:rsidRDefault="00C94BBC" w:rsidP="007F165A">
      <w:r w:rsidRPr="007F165A">
        <w:t xml:space="preserve">Most participants had scheduled procedures of low bleeding risk (64.6%). By </w:t>
      </w:r>
      <w:r w:rsidR="007F165A">
        <w:t>B</w:t>
      </w:r>
      <w:r w:rsidRPr="007F165A">
        <w:t xml:space="preserve">aseline platelet cohort (for the </w:t>
      </w:r>
      <w:r w:rsidR="007F165A" w:rsidRPr="007F165A">
        <w:t xml:space="preserve">avatrombopag </w:t>
      </w:r>
      <w:r w:rsidRPr="007F165A">
        <w:t>group</w:t>
      </w:r>
      <w:r w:rsidR="007F165A">
        <w:t>s</w:t>
      </w:r>
      <w:r w:rsidRPr="007F165A">
        <w:t xml:space="preserve"> v</w:t>
      </w:r>
      <w:r w:rsidR="007F165A">
        <w:t>ersus</w:t>
      </w:r>
      <w:r w:rsidRPr="007F165A">
        <w:t xml:space="preserve"> the placebo groups, respectively):</w:t>
      </w:r>
    </w:p>
    <w:p w14:paraId="46077095" w14:textId="44C2687F" w:rsidR="00C94BBC" w:rsidRPr="007F165A" w:rsidRDefault="00C94BBC" w:rsidP="007F165A">
      <w:pPr>
        <w:pStyle w:val="ListBullet"/>
      </w:pPr>
      <w:r w:rsidRPr="007F165A">
        <w:t>Low risk procedures</w:t>
      </w:r>
    </w:p>
    <w:p w14:paraId="2676DAD3" w14:textId="1BDFF25E" w:rsidR="00C94BBC" w:rsidRPr="007F165A" w:rsidRDefault="00C94BBC" w:rsidP="007F165A">
      <w:pPr>
        <w:pStyle w:val="ListBullet2"/>
      </w:pPr>
      <w:r w:rsidRPr="007F165A">
        <w:t xml:space="preserve">low </w:t>
      </w:r>
      <w:r w:rsidR="00E9222E">
        <w:t>B</w:t>
      </w:r>
      <w:r w:rsidRPr="007F165A">
        <w:t xml:space="preserve">aseline </w:t>
      </w:r>
      <w:r w:rsidR="00E9222E" w:rsidRPr="007F165A">
        <w:t xml:space="preserve">platelet </w:t>
      </w:r>
      <w:r w:rsidRPr="007F165A">
        <w:t>cohort 59.7% v</w:t>
      </w:r>
      <w:r w:rsidR="007F165A">
        <w:t>ersus</w:t>
      </w:r>
      <w:r w:rsidRPr="007F165A">
        <w:t xml:space="preserve"> 52.5%</w:t>
      </w:r>
    </w:p>
    <w:p w14:paraId="38B58A33" w14:textId="383FA43E" w:rsidR="00C94BBC" w:rsidRPr="007F165A" w:rsidRDefault="00C94BBC" w:rsidP="007F165A">
      <w:pPr>
        <w:pStyle w:val="ListBullet2"/>
      </w:pPr>
      <w:r w:rsidRPr="007F165A">
        <w:t xml:space="preserve">high </w:t>
      </w:r>
      <w:r w:rsidR="00E9222E">
        <w:t>B</w:t>
      </w:r>
      <w:r w:rsidRPr="007F165A">
        <w:t>aseline platelet cohorts 57.9% v</w:t>
      </w:r>
      <w:r w:rsidR="007F165A">
        <w:t>ersus</w:t>
      </w:r>
      <w:r w:rsidRPr="007F165A">
        <w:t xml:space="preserve"> 53.1%</w:t>
      </w:r>
    </w:p>
    <w:p w14:paraId="27838D30" w14:textId="6595FEA3" w:rsidR="00C94BBC" w:rsidRPr="007F165A" w:rsidRDefault="00C94BBC" w:rsidP="007F165A">
      <w:pPr>
        <w:pStyle w:val="ListBullet"/>
      </w:pPr>
      <w:r w:rsidRPr="007F165A">
        <w:t>Moderate risk procedures</w:t>
      </w:r>
    </w:p>
    <w:p w14:paraId="7CCC28ED" w14:textId="1D81C226" w:rsidR="00C94BBC" w:rsidRPr="007F165A" w:rsidRDefault="00C94BBC" w:rsidP="007F165A">
      <w:pPr>
        <w:pStyle w:val="ListBullet2"/>
      </w:pPr>
      <w:r w:rsidRPr="007F165A">
        <w:t xml:space="preserve">low </w:t>
      </w:r>
      <w:r w:rsidR="00E9222E">
        <w:t>B</w:t>
      </w:r>
      <w:r w:rsidRPr="007F165A">
        <w:t xml:space="preserve">aseline </w:t>
      </w:r>
      <w:r w:rsidR="00E9222E" w:rsidRPr="007F165A">
        <w:t xml:space="preserve">platelet </w:t>
      </w:r>
      <w:r w:rsidRPr="007F165A">
        <w:t>cohort 16.4% v</w:t>
      </w:r>
      <w:r w:rsidR="007F165A">
        <w:t>ersus</w:t>
      </w:r>
      <w:r w:rsidRPr="007F165A">
        <w:t xml:space="preserve"> 22.5%</w:t>
      </w:r>
    </w:p>
    <w:p w14:paraId="3F4AF8AB" w14:textId="62CE0895" w:rsidR="00C94BBC" w:rsidRPr="007F165A" w:rsidRDefault="00C94BBC" w:rsidP="007F165A">
      <w:pPr>
        <w:pStyle w:val="ListBullet2"/>
      </w:pPr>
      <w:r w:rsidRPr="007F165A">
        <w:t xml:space="preserve">high </w:t>
      </w:r>
      <w:r w:rsidR="00E9222E">
        <w:t>B</w:t>
      </w:r>
      <w:r w:rsidRPr="007F165A">
        <w:t>aseline platelet cohorts 15.8% v</w:t>
      </w:r>
      <w:r w:rsidR="007F165A">
        <w:t>ersus</w:t>
      </w:r>
      <w:r w:rsidRPr="007F165A">
        <w:t xml:space="preserve"> 28.1%</w:t>
      </w:r>
    </w:p>
    <w:p w14:paraId="3A32999A" w14:textId="7AE9EF78" w:rsidR="00C94BBC" w:rsidRPr="007F165A" w:rsidRDefault="00C94BBC" w:rsidP="007F165A">
      <w:pPr>
        <w:pStyle w:val="ListBullet"/>
      </w:pPr>
      <w:r w:rsidRPr="007F165A">
        <w:t>High risk procedures</w:t>
      </w:r>
    </w:p>
    <w:p w14:paraId="423B8ED9" w14:textId="4FA652CF" w:rsidR="00C94BBC" w:rsidRPr="007F165A" w:rsidRDefault="00C94BBC" w:rsidP="007F165A">
      <w:pPr>
        <w:pStyle w:val="ListBullet2"/>
      </w:pPr>
      <w:r w:rsidRPr="007F165A">
        <w:t xml:space="preserve">low </w:t>
      </w:r>
      <w:r w:rsidR="00E9222E">
        <w:t>B</w:t>
      </w:r>
      <w:r w:rsidRPr="007F165A">
        <w:t xml:space="preserve">aseline </w:t>
      </w:r>
      <w:r w:rsidR="00E9222E" w:rsidRPr="007F165A">
        <w:t xml:space="preserve">platelet </w:t>
      </w:r>
      <w:r w:rsidRPr="007F165A">
        <w:t>cohort 23.9% v</w:t>
      </w:r>
      <w:r w:rsidR="007F165A">
        <w:t>ersus</w:t>
      </w:r>
      <w:r w:rsidRPr="007F165A">
        <w:t xml:space="preserve"> 25%</w:t>
      </w:r>
    </w:p>
    <w:p w14:paraId="01E3F5E0" w14:textId="7D69EB1F" w:rsidR="00C94BBC" w:rsidRPr="007F165A" w:rsidRDefault="00C94BBC" w:rsidP="007F165A">
      <w:pPr>
        <w:pStyle w:val="ListBullet2"/>
      </w:pPr>
      <w:r w:rsidRPr="007F165A">
        <w:lastRenderedPageBreak/>
        <w:t xml:space="preserve">high </w:t>
      </w:r>
      <w:r w:rsidR="00E9222E">
        <w:t>B</w:t>
      </w:r>
      <w:r w:rsidRPr="007F165A">
        <w:t>aseline platelet cohorts 26.3% v</w:t>
      </w:r>
      <w:r w:rsidR="007F165A">
        <w:t>ersus</w:t>
      </w:r>
      <w:r w:rsidRPr="007F165A">
        <w:t xml:space="preserve"> 18.8%</w:t>
      </w:r>
    </w:p>
    <w:p w14:paraId="215C3A17" w14:textId="1A09A6B3" w:rsidR="00C94BBC" w:rsidRPr="007F165A" w:rsidRDefault="00C94BBC" w:rsidP="007F165A">
      <w:r w:rsidRPr="007F165A">
        <w:t xml:space="preserve">Compliance rates were high in the combined </w:t>
      </w:r>
      <w:r w:rsidR="007F165A" w:rsidRPr="007F165A">
        <w:t xml:space="preserve">avatrombopag </w:t>
      </w:r>
      <w:r w:rsidRPr="007F165A">
        <w:t>and placebo treatment groups (96.1% v</w:t>
      </w:r>
      <w:r w:rsidR="007F165A">
        <w:t>ersus</w:t>
      </w:r>
      <w:r w:rsidRPr="007F165A">
        <w:t xml:space="preserve"> 98.7%). Two patients who were less than 80% compliant were excluded from the </w:t>
      </w:r>
      <w:r w:rsidR="007F165A">
        <w:t>per-protocol analysis set</w:t>
      </w:r>
      <w:r w:rsidRPr="007F165A">
        <w:t>.</w:t>
      </w:r>
    </w:p>
    <w:p w14:paraId="65507D34" w14:textId="279C019F" w:rsidR="00C94BBC" w:rsidRPr="007F165A" w:rsidRDefault="00C94BBC" w:rsidP="007F165A">
      <w:r w:rsidRPr="007F165A">
        <w:t xml:space="preserve">Major protocol deviations were reported for around 15% of the combined </w:t>
      </w:r>
      <w:r w:rsidR="007F165A" w:rsidRPr="007F165A">
        <w:t xml:space="preserve">avatrombopag </w:t>
      </w:r>
      <w:r w:rsidRPr="007F165A">
        <w:t xml:space="preserve">treatment group and around 24% of the combined placebo treatment group. The most frequent deviation occurred in 1.6% and 6.6% of the </w:t>
      </w:r>
      <w:r w:rsidR="007F165A" w:rsidRPr="007F165A">
        <w:t xml:space="preserve">avatrombopag </w:t>
      </w:r>
      <w:r w:rsidRPr="007F165A">
        <w:t xml:space="preserve">placebo treatment group: patients who underwent their scheduled procedure without </w:t>
      </w:r>
      <w:proofErr w:type="spellStart"/>
      <w:r w:rsidRPr="007F165A">
        <w:t>i</w:t>
      </w:r>
      <w:proofErr w:type="spellEnd"/>
      <w:r w:rsidRPr="007F165A">
        <w:t>) a platelet count response reaching the</w:t>
      </w:r>
      <w:r w:rsidR="007F165A">
        <w:t xml:space="preserve"> </w:t>
      </w:r>
      <w:r w:rsidRPr="007F165A">
        <w:t>50</w:t>
      </w:r>
      <w:r w:rsidR="007F165A">
        <w:t> </w:t>
      </w:r>
      <w:r w:rsidRPr="007F165A">
        <w:t>×</w:t>
      </w:r>
      <w:r w:rsidR="007F165A">
        <w:t> </w:t>
      </w:r>
      <w:r w:rsidRPr="007F165A">
        <w:t>10</w:t>
      </w:r>
      <w:r w:rsidRPr="007F165A">
        <w:rPr>
          <w:vertAlign w:val="superscript"/>
        </w:rPr>
        <w:t>9</w:t>
      </w:r>
      <w:r w:rsidRPr="007F165A">
        <w:t>/L</w:t>
      </w:r>
      <w:r w:rsidR="007F165A">
        <w:t xml:space="preserve"> or greater</w:t>
      </w:r>
      <w:r w:rsidRPr="007F165A">
        <w:t xml:space="preserve"> threshold on </w:t>
      </w:r>
      <w:r w:rsidR="007F165A">
        <w:t>p</w:t>
      </w:r>
      <w:r w:rsidRPr="007F165A">
        <w:t xml:space="preserve">rocedure </w:t>
      </w:r>
      <w:r w:rsidR="007F165A">
        <w:t>d</w:t>
      </w:r>
      <w:r w:rsidRPr="007F165A">
        <w:t xml:space="preserve">ay or ii) a preprocedural platelet transfusion. An additional 2.3% and 2.6% of the </w:t>
      </w:r>
      <w:r w:rsidR="007F165A" w:rsidRPr="007F165A">
        <w:t xml:space="preserve">avatrombopag </w:t>
      </w:r>
      <w:r w:rsidRPr="007F165A">
        <w:t xml:space="preserve">and placebo groups received a platelet transfusion prior to a scheduled procedure, despite having a significant increase in platelet count. These patients were included in the </w:t>
      </w:r>
      <w:r w:rsidR="007F165A">
        <w:t xml:space="preserve">full analysis set </w:t>
      </w:r>
      <w:r w:rsidRPr="007F165A">
        <w:t xml:space="preserve">but not the </w:t>
      </w:r>
      <w:r w:rsidR="007F165A">
        <w:t>per-protocol analysis set</w:t>
      </w:r>
      <w:r w:rsidRPr="007F165A">
        <w:t xml:space="preserve"> analysis.</w:t>
      </w:r>
    </w:p>
    <w:p w14:paraId="5BE03152" w14:textId="77777777" w:rsidR="00C94BBC" w:rsidRPr="000439B0" w:rsidRDefault="00C94BBC" w:rsidP="007F165A">
      <w:pPr>
        <w:pStyle w:val="Heading8"/>
      </w:pPr>
      <w:r w:rsidRPr="000439B0">
        <w:t>Primary endpoint</w:t>
      </w:r>
    </w:p>
    <w:p w14:paraId="42D0F32D" w14:textId="4CCB3ED4" w:rsidR="00C94BBC" w:rsidRPr="007F165A" w:rsidRDefault="00C94BBC" w:rsidP="007F165A">
      <w:r w:rsidRPr="007F165A">
        <w:t xml:space="preserve">The primary efficacy endpoint was the proportion of patients (responders) who did not require a platelet transfusion or any rescue procedure for bleeding after randomisation and up to 7 days following a scheduled procedure. The </w:t>
      </w:r>
      <w:r w:rsidR="007F165A">
        <w:t xml:space="preserve">full analysis set </w:t>
      </w:r>
      <w:r w:rsidRPr="007F165A">
        <w:t>was the primary efficacy analysis population.</w:t>
      </w:r>
    </w:p>
    <w:p w14:paraId="650DDDC3" w14:textId="7E717D0E" w:rsidR="00C94BBC" w:rsidRDefault="00C94BBC" w:rsidP="007F165A">
      <w:pPr>
        <w:pStyle w:val="TableTitle"/>
        <w:tabs>
          <w:tab w:val="left" w:pos="5220"/>
        </w:tabs>
      </w:pPr>
      <w:r>
        <w:t xml:space="preserve">Table </w:t>
      </w:r>
      <w:r w:rsidR="008A4248">
        <w:fldChar w:fldCharType="begin"/>
      </w:r>
      <w:r w:rsidR="008A4248">
        <w:instrText xml:space="preserve"> SEQ Table \* ARABIC </w:instrText>
      </w:r>
      <w:r w:rsidR="008A4248">
        <w:fldChar w:fldCharType="separate"/>
      </w:r>
      <w:r w:rsidR="00197355">
        <w:rPr>
          <w:noProof/>
        </w:rPr>
        <w:t>7</w:t>
      </w:r>
      <w:r w:rsidR="008A4248">
        <w:rPr>
          <w:noProof/>
        </w:rPr>
        <w:fldChar w:fldCharType="end"/>
      </w:r>
      <w:r w:rsidR="007F165A">
        <w:rPr>
          <w:noProof/>
        </w:rPr>
        <w:t>:</w:t>
      </w:r>
      <w:r>
        <w:t xml:space="preserve"> Study 311 </w:t>
      </w:r>
      <w:r w:rsidR="007F165A">
        <w:t>p</w:t>
      </w:r>
      <w:r>
        <w:t>rimary endpoint</w:t>
      </w:r>
      <w:r w:rsidR="007F165A">
        <w:tab/>
      </w:r>
    </w:p>
    <w:p w14:paraId="44C08C6C" w14:textId="3A6434F8" w:rsidR="007F165A" w:rsidRPr="007F165A" w:rsidRDefault="007F165A" w:rsidP="007F165A">
      <w:r>
        <w:rPr>
          <w:noProof/>
        </w:rPr>
        <w:drawing>
          <wp:inline distT="0" distB="0" distL="0" distR="0" wp14:anchorId="3150E5D6" wp14:editId="5B1EB753">
            <wp:extent cx="5759450" cy="3226435"/>
            <wp:effectExtent l="0" t="0" r="0" b="0"/>
            <wp:docPr id="22" name="Picture 22" descr="Study 311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311 primary endpoint"/>
                    <pic:cNvPicPr/>
                  </pic:nvPicPr>
                  <pic:blipFill>
                    <a:blip r:embed="rId33"/>
                    <a:stretch>
                      <a:fillRect/>
                    </a:stretch>
                  </pic:blipFill>
                  <pic:spPr>
                    <a:xfrm>
                      <a:off x="0" y="0"/>
                      <a:ext cx="5759450" cy="3226435"/>
                    </a:xfrm>
                    <a:prstGeom prst="rect">
                      <a:avLst/>
                    </a:prstGeom>
                  </pic:spPr>
                </pic:pic>
              </a:graphicData>
            </a:graphic>
          </wp:inline>
        </w:drawing>
      </w:r>
    </w:p>
    <w:p w14:paraId="606915E7" w14:textId="6F57756C" w:rsidR="007F165A" w:rsidRPr="007F165A" w:rsidRDefault="007F165A" w:rsidP="007F165A">
      <w:pPr>
        <w:pStyle w:val="TableDescription"/>
      </w:pPr>
      <w:r w:rsidRPr="007F165A">
        <w:t>Abbreviations: CMH = Cochran-Mantel-Haenszel</w:t>
      </w:r>
      <w:r>
        <w:t>,</w:t>
      </w:r>
      <w:r w:rsidRPr="007F165A">
        <w:t xml:space="preserve"> N = total number of subjects in sample group</w:t>
      </w:r>
      <w:r>
        <w:t>,</w:t>
      </w:r>
      <w:r w:rsidRPr="007F165A">
        <w:t xml:space="preserve"> n</w:t>
      </w:r>
      <w:r>
        <w:t> </w:t>
      </w:r>
      <w:r w:rsidRPr="007F165A">
        <w:t>= number of subjects in</w:t>
      </w:r>
      <w:r>
        <w:t xml:space="preserve"> </w:t>
      </w:r>
      <w:r w:rsidRPr="007F165A">
        <w:t>individual group.</w:t>
      </w:r>
      <w:r w:rsidR="008A4248">
        <w:br/>
      </w:r>
      <w:r w:rsidRPr="007F165A">
        <w:t>a: Responders were defined as the subjects not requiring a platelet transfusion or any rescue procedure for</w:t>
      </w:r>
      <w:r>
        <w:t xml:space="preserve"> </w:t>
      </w:r>
      <w:r w:rsidRPr="007F165A">
        <w:t>bleeding after randomi</w:t>
      </w:r>
      <w:r>
        <w:t>s</w:t>
      </w:r>
      <w:r w:rsidRPr="007F165A">
        <w:t>ation and up to 7 days following a scheduled procedure.</w:t>
      </w:r>
    </w:p>
    <w:p w14:paraId="7C8FB40E" w14:textId="774B609A" w:rsidR="007F165A" w:rsidRPr="007F165A" w:rsidRDefault="007F165A" w:rsidP="007F165A">
      <w:pPr>
        <w:pStyle w:val="TableDescription"/>
      </w:pPr>
      <w:r w:rsidRPr="007F165A">
        <w:t>b: Subjects with missing information due to early withdrawal or other reasons were conservatively considered</w:t>
      </w:r>
      <w:r>
        <w:t xml:space="preserve"> </w:t>
      </w:r>
      <w:r w:rsidRPr="007F165A">
        <w:t xml:space="preserve">as having </w:t>
      </w:r>
      <w:r w:rsidR="00E9222E" w:rsidRPr="007F165A">
        <w:t>received</w:t>
      </w:r>
      <w:r w:rsidRPr="007F165A">
        <w:t xml:space="preserve"> a transfusion in the analysis, </w:t>
      </w:r>
      <w:r>
        <w:t>that is</w:t>
      </w:r>
      <w:r w:rsidRPr="007F165A">
        <w:t xml:space="preserve">, a </w:t>
      </w:r>
      <w:r>
        <w:t>n</w:t>
      </w:r>
      <w:r w:rsidRPr="007F165A">
        <w:t>on</w:t>
      </w:r>
      <w:r>
        <w:noBreakHyphen/>
        <w:t>r</w:t>
      </w:r>
      <w:r w:rsidRPr="007F165A">
        <w:t>esponder.</w:t>
      </w:r>
    </w:p>
    <w:p w14:paraId="2FFB714D" w14:textId="77777777" w:rsidR="007F165A" w:rsidRPr="007F165A" w:rsidRDefault="007F165A" w:rsidP="007F165A">
      <w:pPr>
        <w:pStyle w:val="TableDescription"/>
      </w:pPr>
      <w:r w:rsidRPr="007F165A">
        <w:t>c: Two-sided 95% CI based on normal approximation.</w:t>
      </w:r>
    </w:p>
    <w:p w14:paraId="2E003F57" w14:textId="3C2E3C0E" w:rsidR="007F165A" w:rsidRPr="007F165A" w:rsidRDefault="007F165A" w:rsidP="007F165A">
      <w:pPr>
        <w:pStyle w:val="TableDescription"/>
      </w:pPr>
      <w:r w:rsidRPr="007F165A">
        <w:t>d: Difference of proportion v</w:t>
      </w:r>
      <w:r>
        <w:t>ersus</w:t>
      </w:r>
      <w:r w:rsidRPr="007F165A">
        <w:t xml:space="preserve"> placebo = proportion of </w:t>
      </w:r>
      <w:r>
        <w:t>r</w:t>
      </w:r>
      <w:r w:rsidRPr="007F165A">
        <w:t>esponders for avatrombopag – proportion of</w:t>
      </w:r>
      <w:r>
        <w:t xml:space="preserve"> r</w:t>
      </w:r>
      <w:r w:rsidRPr="007F165A">
        <w:t>esponders for placebo; 95% CI is calculated on normal approximation.</w:t>
      </w:r>
    </w:p>
    <w:p w14:paraId="19141347" w14:textId="4F73ACA3" w:rsidR="007F165A" w:rsidRPr="007F165A" w:rsidRDefault="007F165A" w:rsidP="007F165A">
      <w:pPr>
        <w:pStyle w:val="TableDescription"/>
      </w:pPr>
      <w:r w:rsidRPr="007F165A">
        <w:t>e: P-value was based on CMH test stratified by the risk of bleeding associated with the scheduled procedure</w:t>
      </w:r>
      <w:r>
        <w:t xml:space="preserve"> </w:t>
      </w:r>
      <w:r w:rsidRPr="007F165A">
        <w:t>within each Baseline platelet count cohort.</w:t>
      </w:r>
    </w:p>
    <w:p w14:paraId="60016891" w14:textId="323450DA" w:rsidR="00C94BBC" w:rsidRPr="007F165A" w:rsidRDefault="007F165A" w:rsidP="007F165A">
      <w:pPr>
        <w:pStyle w:val="TableDescription"/>
      </w:pPr>
      <w:r w:rsidRPr="007F165A">
        <w:t>f: P-value was based on Fisher’s exact test within each Baseline platelet count cohort.</w:t>
      </w:r>
    </w:p>
    <w:p w14:paraId="1BB623B0" w14:textId="5DF640F7" w:rsidR="00C94BBC" w:rsidRPr="007F165A" w:rsidRDefault="00C94BBC" w:rsidP="007F165A">
      <w:r w:rsidRPr="007F165A">
        <w:lastRenderedPageBreak/>
        <w:t xml:space="preserve">The </w:t>
      </w:r>
      <w:r w:rsidR="007F165A">
        <w:t>per-protocol analysis set</w:t>
      </w:r>
      <w:r w:rsidRPr="007F165A">
        <w:t xml:space="preserve"> and observed case sensitivity analyses confirmed results of the primary </w:t>
      </w:r>
      <w:r w:rsidR="007F165A">
        <w:t>full analysis set</w:t>
      </w:r>
      <w:r w:rsidRPr="007F165A">
        <w:t xml:space="preserve"> analysis.</w:t>
      </w:r>
    </w:p>
    <w:p w14:paraId="3583D8E0" w14:textId="0A4B69EB" w:rsidR="00C94BBC" w:rsidRPr="007F165A" w:rsidRDefault="00C94BBC" w:rsidP="007F165A">
      <w:r w:rsidRPr="007F165A">
        <w:t xml:space="preserve">Subgroup results (age, sex, race, region, MELD score category, </w:t>
      </w:r>
      <w:r w:rsidR="007F165A" w:rsidRPr="007F165A">
        <w:t>Child-Turcotte-Pugh</w:t>
      </w:r>
      <w:r w:rsidRPr="007F165A">
        <w:t xml:space="preserve"> grade, and disease </w:t>
      </w:r>
      <w:proofErr w:type="spellStart"/>
      <w:r w:rsidRPr="007F165A">
        <w:t>etiology</w:t>
      </w:r>
      <w:proofErr w:type="spellEnd"/>
      <w:r w:rsidRPr="007F165A">
        <w:t xml:space="preserve">, procedure bleeding risk category) were also numerically in favour of </w:t>
      </w:r>
      <w:r w:rsidR="007F165A" w:rsidRPr="007F165A">
        <w:t>avatrombopag</w:t>
      </w:r>
      <w:r w:rsidRPr="007F165A">
        <w:t>.</w:t>
      </w:r>
    </w:p>
    <w:p w14:paraId="1E23DD39" w14:textId="7E3B4AFB" w:rsidR="00C94BBC" w:rsidRPr="007F165A" w:rsidRDefault="00C94BBC" w:rsidP="007F165A">
      <w:r w:rsidRPr="007F165A">
        <w:t>The evaluator noted in the ‘low bleeding risk’ subgroup more placebo patients (10</w:t>
      </w:r>
      <w:r w:rsidR="007F165A">
        <w:t xml:space="preserve"> out of </w:t>
      </w:r>
      <w:r w:rsidRPr="007F165A">
        <w:t xml:space="preserve">13) than </w:t>
      </w:r>
      <w:r w:rsidR="007F165A" w:rsidRPr="007F165A">
        <w:t xml:space="preserve">avatrombopag </w:t>
      </w:r>
      <w:r w:rsidRPr="007F165A">
        <w:t>(4</w:t>
      </w:r>
      <w:r w:rsidR="007F165A">
        <w:t xml:space="preserve"> out of </w:t>
      </w:r>
      <w:r w:rsidRPr="007F165A">
        <w:t>28) patients were counted as responders because they received no transfusion or rescue procedure, although they did not have platelet counts 50</w:t>
      </w:r>
      <w:r w:rsidR="007F165A">
        <w:t> </w:t>
      </w:r>
      <w:r w:rsidRPr="007F165A">
        <w:t>×</w:t>
      </w:r>
      <w:r w:rsidR="007F165A">
        <w:t> </w:t>
      </w:r>
      <w:r w:rsidRPr="007F165A">
        <w:t>10</w:t>
      </w:r>
      <w:r w:rsidRPr="007F165A">
        <w:rPr>
          <w:vertAlign w:val="superscript"/>
        </w:rPr>
        <w:t>9</w:t>
      </w:r>
      <w:r w:rsidRPr="007F165A">
        <w:t xml:space="preserve">/L </w:t>
      </w:r>
      <w:r w:rsidR="007F165A">
        <w:t xml:space="preserve">or greater </w:t>
      </w:r>
      <w:r w:rsidRPr="007F165A">
        <w:t xml:space="preserve">on </w:t>
      </w:r>
      <w:r w:rsidR="007F165A">
        <w:t>p</w:t>
      </w:r>
      <w:r w:rsidRPr="007F165A">
        <w:t xml:space="preserve">rocedure </w:t>
      </w:r>
      <w:r w:rsidR="007F165A">
        <w:t>d</w:t>
      </w:r>
      <w:r w:rsidRPr="007F165A">
        <w:t>ay.</w:t>
      </w:r>
    </w:p>
    <w:p w14:paraId="60EA90FF" w14:textId="11FE4443" w:rsidR="00C94BBC" w:rsidRPr="007F165A" w:rsidRDefault="00C94BBC" w:rsidP="007F165A">
      <w:pPr>
        <w:pStyle w:val="Heading8"/>
        <w:rPr>
          <w:rFonts w:eastAsia="TimesNewRoman"/>
          <w:lang w:val="en-US"/>
        </w:rPr>
      </w:pPr>
      <w:r w:rsidRPr="007F165A">
        <w:t>Secondary</w:t>
      </w:r>
      <w:r w:rsidRPr="007F165A">
        <w:rPr>
          <w:rFonts w:eastAsia="TimesNewRoman"/>
          <w:lang w:val="en-US"/>
        </w:rPr>
        <w:t xml:space="preserve"> </w:t>
      </w:r>
      <w:r w:rsidR="007F165A" w:rsidRPr="007F165A">
        <w:rPr>
          <w:rFonts w:eastAsia="TimesNewRoman"/>
          <w:lang w:val="en-US"/>
        </w:rPr>
        <w:t>endpoint</w:t>
      </w:r>
    </w:p>
    <w:p w14:paraId="21C976CE" w14:textId="5950E73A" w:rsidR="00C94BBC" w:rsidRPr="007F165A" w:rsidRDefault="00C94BBC" w:rsidP="007F165A">
      <w:r w:rsidRPr="007F165A">
        <w:t xml:space="preserve">The key secondary endpoint of the achievement of a platelet </w:t>
      </w:r>
      <w:proofErr w:type="gramStart"/>
      <w:r w:rsidRPr="007F165A">
        <w:t>count</w:t>
      </w:r>
      <w:proofErr w:type="gramEnd"/>
      <w:r w:rsidRPr="007F165A">
        <w:t xml:space="preserve"> 50</w:t>
      </w:r>
      <w:r w:rsidR="007F165A">
        <w:t> </w:t>
      </w:r>
      <w:r w:rsidRPr="007F165A">
        <w:t>x</w:t>
      </w:r>
      <w:r w:rsidR="007F165A">
        <w:t> </w:t>
      </w:r>
      <w:r w:rsidRPr="007F165A">
        <w:t>10</w:t>
      </w:r>
      <w:r w:rsidRPr="007F165A">
        <w:rPr>
          <w:vertAlign w:val="superscript"/>
        </w:rPr>
        <w:t>9</w:t>
      </w:r>
      <w:r w:rsidRPr="007F165A">
        <w:t xml:space="preserve">/L </w:t>
      </w:r>
      <w:r w:rsidR="007F165A">
        <w:t xml:space="preserve">or greater </w:t>
      </w:r>
      <w:r w:rsidRPr="007F165A">
        <w:t xml:space="preserve">on procedure </w:t>
      </w:r>
      <w:r w:rsidR="007F165A">
        <w:t>D</w:t>
      </w:r>
      <w:r w:rsidRPr="007F165A">
        <w:t>ay 10</w:t>
      </w:r>
      <w:r w:rsidR="007F165A">
        <w:t xml:space="preserve"> to </w:t>
      </w:r>
      <w:r w:rsidRPr="007F165A">
        <w:t xml:space="preserve">13, was reported in a statistically significantly greater proportion of the </w:t>
      </w:r>
      <w:r w:rsidR="007F165A" w:rsidRPr="007F165A">
        <w:t xml:space="preserve">avatrombopag </w:t>
      </w:r>
      <w:r w:rsidRPr="007F165A">
        <w:t>v</w:t>
      </w:r>
      <w:r w:rsidR="007F165A">
        <w:t>ersus</w:t>
      </w:r>
      <w:r w:rsidRPr="007F165A">
        <w:t xml:space="preserve"> placebo treatment group in both </w:t>
      </w:r>
      <w:r w:rsidR="007F165A">
        <w:t>B</w:t>
      </w:r>
      <w:r w:rsidRPr="007F165A">
        <w:t>aseline platelet count cohorts.</w:t>
      </w:r>
    </w:p>
    <w:p w14:paraId="48DF9374" w14:textId="7F61B03E" w:rsidR="00C94BBC" w:rsidRPr="00E647CA" w:rsidRDefault="00C94BBC" w:rsidP="007F165A">
      <w:pPr>
        <w:pStyle w:val="TableTitle"/>
      </w:pPr>
      <w:bookmarkStart w:id="62" w:name="_Toc106171234"/>
      <w:r>
        <w:t xml:space="preserve">Table </w:t>
      </w:r>
      <w:r w:rsidR="008A4248">
        <w:fldChar w:fldCharType="begin"/>
      </w:r>
      <w:r w:rsidR="008A4248">
        <w:instrText xml:space="preserve"> SEQ Table \* ARABIC </w:instrText>
      </w:r>
      <w:r w:rsidR="008A4248">
        <w:fldChar w:fldCharType="separate"/>
      </w:r>
      <w:r w:rsidR="00197355">
        <w:rPr>
          <w:noProof/>
        </w:rPr>
        <w:t>8</w:t>
      </w:r>
      <w:r w:rsidR="008A4248">
        <w:rPr>
          <w:noProof/>
        </w:rPr>
        <w:fldChar w:fldCharType="end"/>
      </w:r>
      <w:r w:rsidR="007F165A">
        <w:rPr>
          <w:noProof/>
        </w:rPr>
        <w:t>:</w:t>
      </w:r>
      <w:r w:rsidRPr="00E647CA">
        <w:t xml:space="preserve"> </w:t>
      </w:r>
      <w:r w:rsidR="007F165A">
        <w:t>Study 311 s</w:t>
      </w:r>
      <w:r w:rsidRPr="00E647CA">
        <w:t xml:space="preserve">ummary of the </w:t>
      </w:r>
      <w:r w:rsidR="007F165A">
        <w:t>p</w:t>
      </w:r>
      <w:r w:rsidRPr="00E647CA">
        <w:t xml:space="preserve">roportion of </w:t>
      </w:r>
      <w:r w:rsidR="007F165A">
        <w:t>p</w:t>
      </w:r>
      <w:r>
        <w:t>atients</w:t>
      </w:r>
      <w:r w:rsidRPr="00E647CA">
        <w:t xml:space="preserve"> who achieved a </w:t>
      </w:r>
      <w:r w:rsidR="007F165A">
        <w:t>p</w:t>
      </w:r>
      <w:r w:rsidRPr="00E647CA">
        <w:t xml:space="preserve">latelet </w:t>
      </w:r>
      <w:r w:rsidR="007F165A">
        <w:t>c</w:t>
      </w:r>
      <w:r w:rsidRPr="00E647CA">
        <w:t>ount 50</w:t>
      </w:r>
      <w:r w:rsidR="007F165A">
        <w:t> </w:t>
      </w:r>
      <w:r w:rsidRPr="00E647CA">
        <w:t>x</w:t>
      </w:r>
      <w:r w:rsidR="007F165A">
        <w:t> </w:t>
      </w:r>
      <w:r w:rsidRPr="00E647CA">
        <w:t>10</w:t>
      </w:r>
      <w:r w:rsidRPr="00B22CF2">
        <w:rPr>
          <w:vertAlign w:val="superscript"/>
        </w:rPr>
        <w:t>9</w:t>
      </w:r>
      <w:r w:rsidRPr="00E647CA">
        <w:t xml:space="preserve">/L </w:t>
      </w:r>
      <w:r w:rsidR="007F165A">
        <w:t xml:space="preserve">or greater </w:t>
      </w:r>
      <w:r w:rsidRPr="00E647CA">
        <w:t xml:space="preserve">on </w:t>
      </w:r>
      <w:r w:rsidR="007F165A">
        <w:t>p</w:t>
      </w:r>
      <w:r w:rsidRPr="00E647CA">
        <w:t xml:space="preserve">rocedure </w:t>
      </w:r>
      <w:r w:rsidR="007F165A">
        <w:t>d</w:t>
      </w:r>
      <w:r w:rsidRPr="00E647CA">
        <w:t>ay</w:t>
      </w:r>
      <w:r w:rsidR="007F165A">
        <w:t>, full analysis set</w:t>
      </w:r>
    </w:p>
    <w:p w14:paraId="4428A215" w14:textId="22BAF134" w:rsidR="00C94BBC" w:rsidRDefault="007F165A" w:rsidP="007F165A">
      <w:r>
        <w:rPr>
          <w:noProof/>
        </w:rPr>
        <w:drawing>
          <wp:inline distT="0" distB="0" distL="0" distR="0" wp14:anchorId="639BECA5" wp14:editId="42E5CF7F">
            <wp:extent cx="5711825" cy="3084195"/>
            <wp:effectExtent l="0" t="0" r="3175" b="1905"/>
            <wp:docPr id="23" name="Picture 23" descr="Study 311 summary of the proportion of patients who achieved a platelet count 50 x 109/L or greater on procedure da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311 summary of the proportion of patients who achieved a platelet count 50 x 109/L or greater on procedure day, full analysis set"/>
                    <pic:cNvPicPr/>
                  </pic:nvPicPr>
                  <pic:blipFill rotWithShape="1">
                    <a:blip r:embed="rId34"/>
                    <a:srcRect l="827"/>
                    <a:stretch/>
                  </pic:blipFill>
                  <pic:spPr bwMode="auto">
                    <a:xfrm>
                      <a:off x="0" y="0"/>
                      <a:ext cx="5711825" cy="3084195"/>
                    </a:xfrm>
                    <a:prstGeom prst="rect">
                      <a:avLst/>
                    </a:prstGeom>
                    <a:ln>
                      <a:noFill/>
                    </a:ln>
                    <a:extLst>
                      <a:ext uri="{53640926-AAD7-44D8-BBD7-CCE9431645EC}">
                        <a14:shadowObscured xmlns:a14="http://schemas.microsoft.com/office/drawing/2010/main"/>
                      </a:ext>
                    </a:extLst>
                  </pic:spPr>
                </pic:pic>
              </a:graphicData>
            </a:graphic>
          </wp:inline>
        </w:drawing>
      </w:r>
    </w:p>
    <w:p w14:paraId="51105B93" w14:textId="27B2E803" w:rsidR="007F165A" w:rsidRPr="007F165A" w:rsidRDefault="007F165A" w:rsidP="00E9222E">
      <w:pPr>
        <w:pStyle w:val="TableDescription"/>
      </w:pPr>
      <w:r w:rsidRPr="007F165A">
        <w:t>CMH = Cochran-Mantel-Haenszel</w:t>
      </w:r>
      <w:r>
        <w:t>,</w:t>
      </w:r>
      <w:r w:rsidRPr="007F165A">
        <w:t xml:space="preserve"> N = total number of subjects in sample group</w:t>
      </w:r>
      <w:r>
        <w:t>,</w:t>
      </w:r>
      <w:r w:rsidRPr="007F165A">
        <w:t xml:space="preserve"> n = number of subjects in</w:t>
      </w:r>
      <w:r>
        <w:t xml:space="preserve"> </w:t>
      </w:r>
      <w:r w:rsidRPr="007F165A">
        <w:t>individual group.</w:t>
      </w:r>
    </w:p>
    <w:p w14:paraId="435C1E9E" w14:textId="2FADAC82" w:rsidR="007F165A" w:rsidRPr="007F165A" w:rsidRDefault="007F165A" w:rsidP="00E9222E">
      <w:pPr>
        <w:pStyle w:val="TableDescription"/>
      </w:pPr>
      <w:r w:rsidRPr="007F165A">
        <w:t>a: Responders were defined as the subjects who achieved platelet count greater than or equal to 50</w:t>
      </w:r>
      <w:r>
        <w:t> </w:t>
      </w:r>
      <w:r w:rsidRPr="007F165A">
        <w:t>×</w:t>
      </w:r>
      <w:r>
        <w:t> </w:t>
      </w:r>
      <w:r w:rsidRPr="007F165A">
        <w:t>10</w:t>
      </w:r>
      <w:r w:rsidRPr="007F165A">
        <w:rPr>
          <w:vertAlign w:val="superscript"/>
        </w:rPr>
        <w:t>9</w:t>
      </w:r>
      <w:r w:rsidRPr="007F165A">
        <w:t>/L on</w:t>
      </w:r>
      <w:r>
        <w:t xml:space="preserve"> </w:t>
      </w:r>
      <w:r w:rsidRPr="007F165A">
        <w:t>the Procedure Day.</w:t>
      </w:r>
    </w:p>
    <w:p w14:paraId="293521F9" w14:textId="3153FFDB" w:rsidR="007F165A" w:rsidRPr="007F165A" w:rsidRDefault="007F165A" w:rsidP="00E9222E">
      <w:pPr>
        <w:pStyle w:val="TableDescription"/>
      </w:pPr>
      <w:r w:rsidRPr="007F165A">
        <w:t>b: Subjects with missing platelet count on the procedure day were conservatively considered as not achieving</w:t>
      </w:r>
      <w:r>
        <w:t xml:space="preserve"> </w:t>
      </w:r>
      <w:r w:rsidRPr="007F165A">
        <w:t>platelet count greater than or equal to 50</w:t>
      </w:r>
      <w:r>
        <w:t> </w:t>
      </w:r>
      <w:r w:rsidRPr="007F165A">
        <w:t>×</w:t>
      </w:r>
      <w:r>
        <w:t> </w:t>
      </w:r>
      <w:r w:rsidRPr="007F165A">
        <w:t>10</w:t>
      </w:r>
      <w:r w:rsidRPr="007F165A">
        <w:rPr>
          <w:vertAlign w:val="superscript"/>
        </w:rPr>
        <w:t>9</w:t>
      </w:r>
      <w:r w:rsidRPr="007F165A">
        <w:t xml:space="preserve">/L in the analysis, </w:t>
      </w:r>
      <w:r>
        <w:t>that is</w:t>
      </w:r>
      <w:r w:rsidRPr="007F165A">
        <w:t xml:space="preserve">, </w:t>
      </w:r>
      <w:r>
        <w:t>n</w:t>
      </w:r>
      <w:r w:rsidRPr="007F165A">
        <w:t>on</w:t>
      </w:r>
      <w:r>
        <w:noBreakHyphen/>
        <w:t>r</w:t>
      </w:r>
      <w:r w:rsidRPr="007F165A">
        <w:t>esponders.</w:t>
      </w:r>
    </w:p>
    <w:p w14:paraId="766522F2" w14:textId="77777777" w:rsidR="007F165A" w:rsidRPr="007F165A" w:rsidRDefault="007F165A" w:rsidP="00E9222E">
      <w:pPr>
        <w:pStyle w:val="TableDescription"/>
      </w:pPr>
      <w:r w:rsidRPr="007F165A">
        <w:t>c: Two-sided 95% CI based on normal approximation.</w:t>
      </w:r>
    </w:p>
    <w:p w14:paraId="4B0385E3" w14:textId="6E481791" w:rsidR="007F165A" w:rsidRPr="007F165A" w:rsidRDefault="007F165A" w:rsidP="00E9222E">
      <w:pPr>
        <w:pStyle w:val="TableDescription"/>
      </w:pPr>
      <w:r w:rsidRPr="007F165A">
        <w:t xml:space="preserve">d: Difference of proportion vs placebo = proportion of </w:t>
      </w:r>
      <w:r>
        <w:t>r</w:t>
      </w:r>
      <w:r w:rsidRPr="007F165A">
        <w:t>esponders for avatrombopag – proportion of</w:t>
      </w:r>
      <w:r>
        <w:t xml:space="preserve"> r</w:t>
      </w:r>
      <w:r w:rsidRPr="007F165A">
        <w:t>esponders for placebo; 95% CI is calculated on normal approximation.</w:t>
      </w:r>
    </w:p>
    <w:p w14:paraId="2DD1579B" w14:textId="7D3D8260" w:rsidR="007F165A" w:rsidRPr="007F165A" w:rsidRDefault="007F165A" w:rsidP="00E9222E">
      <w:pPr>
        <w:pStyle w:val="TableDescription"/>
      </w:pPr>
      <w:r w:rsidRPr="007F165A">
        <w:t>e: P-value is based on CMH test stratified by</w:t>
      </w:r>
      <w:r>
        <w:t xml:space="preserve"> </w:t>
      </w:r>
      <w:bookmarkEnd w:id="62"/>
      <w:r w:rsidRPr="007F165A">
        <w:t>the risk of bleeding associated with the scheduled procedure</w:t>
      </w:r>
      <w:r>
        <w:t xml:space="preserve"> </w:t>
      </w:r>
      <w:r w:rsidRPr="007F165A">
        <w:t>within each Baseline platelet count cohort.</w:t>
      </w:r>
    </w:p>
    <w:p w14:paraId="46C5CA1A" w14:textId="77777777" w:rsidR="00305CA5" w:rsidRDefault="00C94BBC" w:rsidP="007F165A">
      <w:r w:rsidRPr="007F165A">
        <w:t xml:space="preserve">The other secondary endpoint of the mean change in platelet count (from </w:t>
      </w:r>
      <w:r w:rsidR="00E9222E">
        <w:t>B</w:t>
      </w:r>
      <w:r w:rsidRPr="007F165A">
        <w:t xml:space="preserve">aseline on procedure day) was also statistically significantly greater in the </w:t>
      </w:r>
      <w:r w:rsidR="007F165A" w:rsidRPr="007F165A">
        <w:t xml:space="preserve">avatrombopag </w:t>
      </w:r>
      <w:r w:rsidRPr="007F165A">
        <w:t>v</w:t>
      </w:r>
      <w:r w:rsidR="00E9222E">
        <w:t>ersus</w:t>
      </w:r>
      <w:r w:rsidRPr="007F165A">
        <w:t xml:space="preserve"> placebo treatment group in both </w:t>
      </w:r>
      <w:r w:rsidR="00E9222E">
        <w:t>B</w:t>
      </w:r>
      <w:r w:rsidRPr="007F165A">
        <w:t>aseline platelet count cohorts</w:t>
      </w:r>
      <w:r w:rsidR="00305CA5">
        <w:t>.</w:t>
      </w:r>
    </w:p>
    <w:p w14:paraId="5B99C011" w14:textId="7F0F0E25" w:rsidR="00C94BBC" w:rsidRDefault="00C94BBC" w:rsidP="007F165A">
      <w:pPr>
        <w:pStyle w:val="TableTitle"/>
      </w:pPr>
      <w:r>
        <w:lastRenderedPageBreak/>
        <w:t xml:space="preserve">Table </w:t>
      </w:r>
      <w:r w:rsidR="008A4248">
        <w:fldChar w:fldCharType="begin"/>
      </w:r>
      <w:r w:rsidR="008A4248">
        <w:instrText xml:space="preserve"> SEQ Table \* ARABIC </w:instrText>
      </w:r>
      <w:r w:rsidR="008A4248">
        <w:fldChar w:fldCharType="separate"/>
      </w:r>
      <w:r w:rsidR="00197355">
        <w:rPr>
          <w:noProof/>
        </w:rPr>
        <w:t>9</w:t>
      </w:r>
      <w:r w:rsidR="008A4248">
        <w:rPr>
          <w:noProof/>
        </w:rPr>
        <w:fldChar w:fldCharType="end"/>
      </w:r>
      <w:r w:rsidR="007F165A">
        <w:rPr>
          <w:noProof/>
        </w:rPr>
        <w:t>:</w:t>
      </w:r>
      <w:r>
        <w:t xml:space="preserve"> Study 311 </w:t>
      </w:r>
      <w:r w:rsidR="007F165A">
        <w:t>s</w:t>
      </w:r>
      <w:r>
        <w:t xml:space="preserve">ummary of </w:t>
      </w:r>
      <w:r w:rsidR="007F165A">
        <w:t>c</w:t>
      </w:r>
      <w:r>
        <w:t xml:space="preserve">hange in </w:t>
      </w:r>
      <w:r w:rsidR="007F165A">
        <w:t>p</w:t>
      </w:r>
      <w:r>
        <w:t xml:space="preserve">latelet </w:t>
      </w:r>
      <w:r w:rsidR="007F165A">
        <w:t>c</w:t>
      </w:r>
      <w:r>
        <w:t xml:space="preserve">ount from Baseline to </w:t>
      </w:r>
      <w:r w:rsidR="007F165A">
        <w:t>p</w:t>
      </w:r>
      <w:r>
        <w:t xml:space="preserve">rocedure </w:t>
      </w:r>
      <w:r w:rsidR="007F165A">
        <w:t>d</w:t>
      </w:r>
      <w:r>
        <w:t>ay</w:t>
      </w:r>
      <w:r w:rsidR="007F165A">
        <w:t>, full analysis set</w:t>
      </w:r>
    </w:p>
    <w:p w14:paraId="0F00BB24" w14:textId="015A22D8" w:rsidR="007F165A" w:rsidRPr="007F165A" w:rsidRDefault="007F165A" w:rsidP="007F165A">
      <w:r>
        <w:rPr>
          <w:noProof/>
        </w:rPr>
        <w:drawing>
          <wp:inline distT="0" distB="0" distL="0" distR="0" wp14:anchorId="79F7753B" wp14:editId="0E10FD0F">
            <wp:extent cx="5759450" cy="5281930"/>
            <wp:effectExtent l="0" t="0" r="0" b="0"/>
            <wp:docPr id="24" name="Picture 24" descr="Study 311 summary of change in platelet count from Baseline to procedure da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311 summary of change in platelet count from Baseline to procedure day, full analysis set"/>
                    <pic:cNvPicPr/>
                  </pic:nvPicPr>
                  <pic:blipFill>
                    <a:blip r:embed="rId35"/>
                    <a:stretch>
                      <a:fillRect/>
                    </a:stretch>
                  </pic:blipFill>
                  <pic:spPr>
                    <a:xfrm>
                      <a:off x="0" y="0"/>
                      <a:ext cx="5759450" cy="5281930"/>
                    </a:xfrm>
                    <a:prstGeom prst="rect">
                      <a:avLst/>
                    </a:prstGeom>
                  </pic:spPr>
                </pic:pic>
              </a:graphicData>
            </a:graphic>
          </wp:inline>
        </w:drawing>
      </w:r>
    </w:p>
    <w:p w14:paraId="6F0ABDD8" w14:textId="6827CF58" w:rsidR="007F165A" w:rsidRPr="007F165A" w:rsidRDefault="007F165A" w:rsidP="007F165A">
      <w:pPr>
        <w:pStyle w:val="TableDescription"/>
        <w:rPr>
          <w:lang w:eastAsia="ja-JP"/>
        </w:rPr>
      </w:pPr>
      <w:r>
        <w:rPr>
          <w:lang w:eastAsia="ja-JP"/>
        </w:rPr>
        <w:t xml:space="preserve">Abbreviations: </w:t>
      </w:r>
      <w:r w:rsidRPr="007F165A">
        <w:rPr>
          <w:lang w:eastAsia="ja-JP"/>
        </w:rPr>
        <w:t>N = total number of subjects in sample group</w:t>
      </w:r>
      <w:r>
        <w:rPr>
          <w:lang w:eastAsia="ja-JP"/>
        </w:rPr>
        <w:t>,</w:t>
      </w:r>
      <w:r w:rsidRPr="007F165A">
        <w:rPr>
          <w:lang w:eastAsia="ja-JP"/>
        </w:rPr>
        <w:t xml:space="preserve"> n = number of subjects in individual group.</w:t>
      </w:r>
    </w:p>
    <w:p w14:paraId="55D52B82" w14:textId="6CEF3047" w:rsidR="007F165A" w:rsidRPr="007F165A" w:rsidRDefault="007F165A" w:rsidP="007F165A">
      <w:pPr>
        <w:pStyle w:val="TableDescription"/>
        <w:rPr>
          <w:lang w:eastAsia="ja-JP"/>
        </w:rPr>
      </w:pPr>
      <w:r w:rsidRPr="007F165A">
        <w:rPr>
          <w:lang w:eastAsia="ja-JP"/>
        </w:rPr>
        <w:t>a: Last</w:t>
      </w:r>
      <w:r>
        <w:rPr>
          <w:lang w:eastAsia="ja-JP"/>
        </w:rPr>
        <w:t xml:space="preserve"> </w:t>
      </w:r>
      <w:r w:rsidRPr="007F165A">
        <w:rPr>
          <w:lang w:eastAsia="ja-JP"/>
        </w:rPr>
        <w:t>observation</w:t>
      </w:r>
      <w:r>
        <w:rPr>
          <w:lang w:eastAsia="ja-JP"/>
        </w:rPr>
        <w:t xml:space="preserve"> </w:t>
      </w:r>
      <w:r w:rsidRPr="007F165A">
        <w:rPr>
          <w:lang w:eastAsia="ja-JP"/>
        </w:rPr>
        <w:t>carried</w:t>
      </w:r>
      <w:r>
        <w:rPr>
          <w:lang w:eastAsia="ja-JP"/>
        </w:rPr>
        <w:t xml:space="preserve"> </w:t>
      </w:r>
      <w:r w:rsidRPr="007F165A">
        <w:rPr>
          <w:lang w:eastAsia="ja-JP"/>
        </w:rPr>
        <w:t xml:space="preserve">forward was used for subjects with missing platelet count on the </w:t>
      </w:r>
      <w:r>
        <w:rPr>
          <w:lang w:eastAsia="ja-JP"/>
        </w:rPr>
        <w:t>p</w:t>
      </w:r>
      <w:r w:rsidRPr="007F165A">
        <w:rPr>
          <w:lang w:eastAsia="ja-JP"/>
        </w:rPr>
        <w:t xml:space="preserve">rocedure </w:t>
      </w:r>
      <w:r>
        <w:rPr>
          <w:lang w:eastAsia="ja-JP"/>
        </w:rPr>
        <w:t>d</w:t>
      </w:r>
      <w:r w:rsidRPr="007F165A">
        <w:rPr>
          <w:lang w:eastAsia="ja-JP"/>
        </w:rPr>
        <w:t>ay.</w:t>
      </w:r>
      <w:r>
        <w:rPr>
          <w:lang w:eastAsia="ja-JP"/>
        </w:rPr>
        <w:t xml:space="preserve"> </w:t>
      </w:r>
      <w:r w:rsidRPr="007F165A">
        <w:rPr>
          <w:lang w:eastAsia="ja-JP"/>
        </w:rPr>
        <w:t>Platelet count was measured pre</w:t>
      </w:r>
      <w:r>
        <w:rPr>
          <w:lang w:eastAsia="ja-JP"/>
        </w:rPr>
        <w:t>-</w:t>
      </w:r>
      <w:r w:rsidRPr="007F165A">
        <w:rPr>
          <w:lang w:eastAsia="ja-JP"/>
        </w:rPr>
        <w:t>procedure and before any platelet transfusion.</w:t>
      </w:r>
    </w:p>
    <w:p w14:paraId="1CCC1EE0" w14:textId="6329901A" w:rsidR="007F165A" w:rsidRPr="007F165A" w:rsidRDefault="007F165A" w:rsidP="007F165A">
      <w:pPr>
        <w:pStyle w:val="TableDescription"/>
        <w:rPr>
          <w:lang w:eastAsia="ja-JP"/>
        </w:rPr>
      </w:pPr>
      <w:r w:rsidRPr="007F165A">
        <w:rPr>
          <w:lang w:eastAsia="ja-JP"/>
        </w:rPr>
        <w:t>b: Difference in change from Baseline of platelet count for avatrombopag versus placebo within each Baseline</w:t>
      </w:r>
      <w:r>
        <w:rPr>
          <w:lang w:eastAsia="ja-JP"/>
        </w:rPr>
        <w:t xml:space="preserve"> </w:t>
      </w:r>
      <w:r w:rsidRPr="007F165A">
        <w:rPr>
          <w:lang w:eastAsia="ja-JP"/>
        </w:rPr>
        <w:t>platelet count cohort was based on Hodges-Lehmann estimation; 95% CI was the asymptotic (Moses) CI.</w:t>
      </w:r>
    </w:p>
    <w:p w14:paraId="346A4230" w14:textId="6C951A59" w:rsidR="00C94BBC" w:rsidRPr="007F165A" w:rsidRDefault="007F165A" w:rsidP="007F165A">
      <w:pPr>
        <w:pStyle w:val="TableDescription"/>
      </w:pPr>
      <w:r w:rsidRPr="007F165A">
        <w:rPr>
          <w:lang w:eastAsia="ja-JP"/>
        </w:rPr>
        <w:t>c: P-value was based on Wilcoxon Rank Sum Test for each avatrombopag treatment group versus placebo</w:t>
      </w:r>
      <w:r>
        <w:rPr>
          <w:lang w:eastAsia="ja-JP"/>
        </w:rPr>
        <w:t xml:space="preserve"> </w:t>
      </w:r>
      <w:r w:rsidRPr="007F165A">
        <w:rPr>
          <w:lang w:eastAsia="ja-JP"/>
        </w:rPr>
        <w:t>within each Baseline platelet count cohort.</w:t>
      </w:r>
    </w:p>
    <w:p w14:paraId="6B7A087F" w14:textId="5A1C5AB6" w:rsidR="00C94BBC" w:rsidRPr="00E647CA" w:rsidRDefault="00C94BBC" w:rsidP="00C94BBC">
      <w:r w:rsidRPr="00E647CA">
        <w:t xml:space="preserve">The pre-and post-procedure time platelet count by treatment and </w:t>
      </w:r>
      <w:r w:rsidR="007F165A">
        <w:t>B</w:t>
      </w:r>
      <w:r w:rsidRPr="00E647CA">
        <w:t>aseline platelet cohort are summarised, below</w:t>
      </w:r>
      <w:r w:rsidR="007F165A">
        <w:t xml:space="preserve"> (see </w:t>
      </w:r>
      <w:r w:rsidR="007F165A">
        <w:fldChar w:fldCharType="begin"/>
      </w:r>
      <w:r w:rsidR="007F165A">
        <w:instrText xml:space="preserve"> REF _Ref151472125 \h </w:instrText>
      </w:r>
      <w:r w:rsidR="007F165A">
        <w:fldChar w:fldCharType="separate"/>
      </w:r>
      <w:r w:rsidR="00197355">
        <w:t xml:space="preserve">Figure </w:t>
      </w:r>
      <w:r w:rsidR="00197355">
        <w:rPr>
          <w:noProof/>
        </w:rPr>
        <w:t>8</w:t>
      </w:r>
      <w:r w:rsidR="007F165A">
        <w:fldChar w:fldCharType="end"/>
      </w:r>
      <w:r w:rsidR="007F165A">
        <w:t>)</w:t>
      </w:r>
      <w:r w:rsidRPr="00E647CA">
        <w:t>.</w:t>
      </w:r>
    </w:p>
    <w:p w14:paraId="43A4E0E7" w14:textId="0AEFC99D" w:rsidR="00C94BBC" w:rsidRDefault="00C94BBC" w:rsidP="007F165A">
      <w:pPr>
        <w:pStyle w:val="FigureTitle"/>
      </w:pPr>
      <w:bookmarkStart w:id="63" w:name="_Ref151472125"/>
      <w:r>
        <w:lastRenderedPageBreak/>
        <w:t xml:space="preserve">Figure </w:t>
      </w:r>
      <w:r w:rsidR="008A4248">
        <w:fldChar w:fldCharType="begin"/>
      </w:r>
      <w:r w:rsidR="008A4248">
        <w:instrText xml:space="preserve"> SEQ Figure \* ARABIC </w:instrText>
      </w:r>
      <w:r w:rsidR="008A4248">
        <w:fldChar w:fldCharType="separate"/>
      </w:r>
      <w:r w:rsidR="00197355">
        <w:rPr>
          <w:noProof/>
        </w:rPr>
        <w:t>8</w:t>
      </w:r>
      <w:r w:rsidR="008A4248">
        <w:rPr>
          <w:noProof/>
        </w:rPr>
        <w:fldChar w:fldCharType="end"/>
      </w:r>
      <w:bookmarkEnd w:id="63"/>
      <w:r w:rsidR="007F165A">
        <w:rPr>
          <w:noProof/>
        </w:rPr>
        <w:t>:</w:t>
      </w:r>
      <w:r>
        <w:t xml:space="preserve"> Study 311 </w:t>
      </w:r>
      <w:r w:rsidR="007F165A">
        <w:t>m</w:t>
      </w:r>
      <w:r>
        <w:t xml:space="preserve">ean </w:t>
      </w:r>
      <w:r w:rsidR="007F165A">
        <w:t>p</w:t>
      </w:r>
      <w:r>
        <w:t xml:space="preserve">latelet </w:t>
      </w:r>
      <w:r w:rsidR="007F165A">
        <w:t>c</w:t>
      </w:r>
      <w:r>
        <w:t xml:space="preserve">ounts by </w:t>
      </w:r>
      <w:r w:rsidR="007F165A">
        <w:t>t</w:t>
      </w:r>
      <w:r>
        <w:t xml:space="preserve">reatment </w:t>
      </w:r>
      <w:r w:rsidR="007F165A">
        <w:t>g</w:t>
      </w:r>
      <w:r>
        <w:t xml:space="preserve">roup and </w:t>
      </w:r>
      <w:r w:rsidR="007F165A">
        <w:t>v</w:t>
      </w:r>
      <w:r>
        <w:t xml:space="preserve">isit </w:t>
      </w:r>
      <w:r w:rsidR="007F165A">
        <w:t>d</w:t>
      </w:r>
      <w:r>
        <w:t>ay</w:t>
      </w:r>
      <w:r w:rsidR="007F165A">
        <w:t>, full analysis set</w:t>
      </w:r>
    </w:p>
    <w:p w14:paraId="1271C1A9" w14:textId="02A21D71" w:rsidR="007F165A" w:rsidRPr="007F165A" w:rsidRDefault="007F165A" w:rsidP="007F165A">
      <w:r>
        <w:rPr>
          <w:noProof/>
        </w:rPr>
        <w:drawing>
          <wp:inline distT="0" distB="0" distL="0" distR="0" wp14:anchorId="20503352" wp14:editId="06DB79D1">
            <wp:extent cx="5000625" cy="3638299"/>
            <wp:effectExtent l="0" t="0" r="0" b="635"/>
            <wp:docPr id="25" name="Picture 25" descr="Study 311 mean platelet counts by treatment group and visit da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311 mean platelet counts by treatment group and visit day, full analysis set"/>
                    <pic:cNvPicPr/>
                  </pic:nvPicPr>
                  <pic:blipFill rotWithShape="1">
                    <a:blip r:embed="rId36"/>
                    <a:srcRect l="1819"/>
                    <a:stretch/>
                  </pic:blipFill>
                  <pic:spPr bwMode="auto">
                    <a:xfrm>
                      <a:off x="0" y="0"/>
                      <a:ext cx="5006510" cy="3642580"/>
                    </a:xfrm>
                    <a:prstGeom prst="rect">
                      <a:avLst/>
                    </a:prstGeom>
                    <a:ln>
                      <a:noFill/>
                    </a:ln>
                    <a:extLst>
                      <a:ext uri="{53640926-AAD7-44D8-BBD7-CCE9431645EC}">
                        <a14:shadowObscured xmlns:a14="http://schemas.microsoft.com/office/drawing/2010/main"/>
                      </a:ext>
                    </a:extLst>
                  </pic:spPr>
                </pic:pic>
              </a:graphicData>
            </a:graphic>
          </wp:inline>
        </w:drawing>
      </w:r>
    </w:p>
    <w:p w14:paraId="7F082693" w14:textId="55BF2A77" w:rsidR="00C94BBC" w:rsidRPr="00246EE4" w:rsidRDefault="00C94BBC" w:rsidP="007F165A">
      <w:pPr>
        <w:pStyle w:val="Heading8"/>
      </w:pPr>
      <w:r w:rsidRPr="00246EE4">
        <w:t>Exploratory</w:t>
      </w:r>
      <w:r w:rsidR="007F165A">
        <w:t xml:space="preserve"> endpoints</w:t>
      </w:r>
    </w:p>
    <w:p w14:paraId="76BCC56B" w14:textId="619372C2" w:rsidR="00C94BBC" w:rsidRPr="007F165A" w:rsidRDefault="00C94BBC" w:rsidP="007F165A">
      <w:r w:rsidRPr="007F165A">
        <w:t>Exploratory endpoints were generally consistent with primary and secondary endpoints. Results of note were:</w:t>
      </w:r>
    </w:p>
    <w:p w14:paraId="42EE88FD" w14:textId="77A0F652" w:rsidR="00C94BBC" w:rsidRPr="007F165A" w:rsidRDefault="00C94BBC" w:rsidP="007F165A">
      <w:pPr>
        <w:pStyle w:val="ListBullet"/>
      </w:pPr>
      <w:bookmarkStart w:id="64" w:name="_Hlk117494236"/>
      <w:r w:rsidRPr="007F165A">
        <w:t xml:space="preserve">The target platelet count of </w:t>
      </w:r>
      <w:r w:rsidR="007F165A">
        <w:t xml:space="preserve">greater than </w:t>
      </w:r>
      <w:r w:rsidRPr="007F165A">
        <w:t>50</w:t>
      </w:r>
      <w:r w:rsidR="007F165A">
        <w:t> </w:t>
      </w:r>
      <w:r w:rsidRPr="007F165A">
        <w:t>×</w:t>
      </w:r>
      <w:r w:rsidR="007F165A">
        <w:t> </w:t>
      </w:r>
      <w:r w:rsidRPr="007F165A">
        <w:t>10</w:t>
      </w:r>
      <w:r w:rsidRPr="007F165A">
        <w:rPr>
          <w:vertAlign w:val="superscript"/>
        </w:rPr>
        <w:t>9</w:t>
      </w:r>
      <w:r w:rsidRPr="007F165A">
        <w:t xml:space="preserve">/L on </w:t>
      </w:r>
      <w:r w:rsidR="007F165A">
        <w:t>p</w:t>
      </w:r>
      <w:r w:rsidRPr="007F165A">
        <w:t xml:space="preserve">rocedure </w:t>
      </w:r>
      <w:r w:rsidR="007F165A">
        <w:t>d</w:t>
      </w:r>
      <w:r w:rsidRPr="007F165A">
        <w:t xml:space="preserve">ay by </w:t>
      </w:r>
      <w:r w:rsidR="007F165A">
        <w:t>B</w:t>
      </w:r>
      <w:r w:rsidRPr="007F165A">
        <w:t>aseline cohort:</w:t>
      </w:r>
    </w:p>
    <w:p w14:paraId="540A3A22" w14:textId="74BF34E7" w:rsidR="00C94BBC" w:rsidRPr="007F165A" w:rsidRDefault="00C94BBC" w:rsidP="007F165A">
      <w:pPr>
        <w:pStyle w:val="ListBullet2"/>
      </w:pPr>
      <w:r w:rsidRPr="007F165A">
        <w:t xml:space="preserve">Low </w:t>
      </w:r>
      <w:r w:rsidR="00E9222E">
        <w:t>B</w:t>
      </w:r>
      <w:r w:rsidRPr="007F165A">
        <w:t xml:space="preserve">aseline </w:t>
      </w:r>
      <w:r w:rsidR="007F165A">
        <w:t>p</w:t>
      </w:r>
      <w:r w:rsidRPr="007F165A">
        <w:t xml:space="preserve">latelet </w:t>
      </w:r>
      <w:r w:rsidR="007F165A">
        <w:t>c</w:t>
      </w:r>
      <w:r w:rsidRPr="007F165A">
        <w:t xml:space="preserve">ount </w:t>
      </w:r>
      <w:r w:rsidR="007F165A">
        <w:t>c</w:t>
      </w:r>
      <w:r w:rsidRPr="007F165A">
        <w:t xml:space="preserve">ohort - </w:t>
      </w:r>
      <w:r w:rsidR="007F165A" w:rsidRPr="007F165A">
        <w:t xml:space="preserve">avatrombopag </w:t>
      </w:r>
      <w:r w:rsidRPr="007F165A">
        <w:t>v</w:t>
      </w:r>
      <w:r w:rsidR="007F165A">
        <w:t>ersus</w:t>
      </w:r>
      <w:r w:rsidRPr="007F165A">
        <w:t xml:space="preserve"> placebo: 77.5% v</w:t>
      </w:r>
      <w:r w:rsidR="007F165A">
        <w:t>ersus</w:t>
      </w:r>
      <w:r w:rsidRPr="007F165A">
        <w:t xml:space="preserve"> 4.8%</w:t>
      </w:r>
    </w:p>
    <w:p w14:paraId="27651D98" w14:textId="2D022940" w:rsidR="00C94BBC" w:rsidRPr="007F165A" w:rsidRDefault="00C94BBC" w:rsidP="007F165A">
      <w:pPr>
        <w:pStyle w:val="ListBullet2"/>
      </w:pPr>
      <w:r w:rsidRPr="007F165A">
        <w:t xml:space="preserve">High </w:t>
      </w:r>
      <w:r w:rsidR="00E9222E">
        <w:t>B</w:t>
      </w:r>
      <w:r w:rsidRPr="007F165A">
        <w:t xml:space="preserve">aseline </w:t>
      </w:r>
      <w:r w:rsidR="007F165A">
        <w:t>p</w:t>
      </w:r>
      <w:r w:rsidRPr="007F165A">
        <w:t xml:space="preserve">latelet </w:t>
      </w:r>
      <w:r w:rsidR="007F165A">
        <w:t>c</w:t>
      </w:r>
      <w:r w:rsidRPr="007F165A">
        <w:t xml:space="preserve">ount </w:t>
      </w:r>
      <w:r w:rsidR="007F165A">
        <w:t>c</w:t>
      </w:r>
      <w:r w:rsidRPr="007F165A">
        <w:t xml:space="preserve">ohort- </w:t>
      </w:r>
      <w:r w:rsidR="007F165A" w:rsidRPr="007F165A">
        <w:t xml:space="preserve">avatrombopag </w:t>
      </w:r>
      <w:r w:rsidRPr="007F165A">
        <w:t>v</w:t>
      </w:r>
      <w:r w:rsidR="007F165A">
        <w:t>ersus</w:t>
      </w:r>
      <w:r w:rsidRPr="007F165A">
        <w:t xml:space="preserve"> placebo: 92.9% v</w:t>
      </w:r>
      <w:r w:rsidR="007F165A">
        <w:t xml:space="preserve">ersus </w:t>
      </w:r>
      <w:r w:rsidRPr="007F165A">
        <w:t>22.6%.</w:t>
      </w:r>
    </w:p>
    <w:p w14:paraId="6D2D11A1" w14:textId="629942DB" w:rsidR="00C94BBC" w:rsidRPr="007F165A" w:rsidRDefault="007F165A" w:rsidP="007F165A">
      <w:pPr>
        <w:pStyle w:val="ListBullet"/>
      </w:pPr>
      <w:r>
        <w:t xml:space="preserve">Three </w:t>
      </w:r>
      <w:r w:rsidRPr="007F165A">
        <w:t xml:space="preserve">avatrombopag </w:t>
      </w:r>
      <w:r w:rsidR="00C94BBC" w:rsidRPr="007F165A">
        <w:t xml:space="preserve">treated patients (0 placebo patients) reached platelet count </w:t>
      </w:r>
      <w:r>
        <w:t>greater than</w:t>
      </w:r>
      <w:r w:rsidR="00C94BBC" w:rsidRPr="007F165A">
        <w:t xml:space="preserve"> 200</w:t>
      </w:r>
      <w:r>
        <w:t> </w:t>
      </w:r>
      <w:r w:rsidR="00C94BBC" w:rsidRPr="007F165A">
        <w:t>×</w:t>
      </w:r>
      <w:r>
        <w:t> </w:t>
      </w:r>
      <w:r w:rsidR="00C94BBC" w:rsidRPr="007F165A">
        <w:t>10</w:t>
      </w:r>
      <w:r w:rsidR="00C94BBC" w:rsidRPr="007F165A">
        <w:rPr>
          <w:vertAlign w:val="superscript"/>
        </w:rPr>
        <w:t>9</w:t>
      </w:r>
      <w:r w:rsidR="00C94BBC" w:rsidRPr="007F165A">
        <w:t>/L during the study</w:t>
      </w:r>
      <w:r>
        <w:t>.</w:t>
      </w:r>
    </w:p>
    <w:p w14:paraId="750A3D47" w14:textId="2CA6AA7F" w:rsidR="00C94BBC" w:rsidRPr="007F165A" w:rsidRDefault="00C94BBC" w:rsidP="007F165A">
      <w:pPr>
        <w:pStyle w:val="ListBullet"/>
      </w:pPr>
      <w:r w:rsidRPr="007F165A">
        <w:t>Platelet transfusions needed:</w:t>
      </w:r>
    </w:p>
    <w:p w14:paraId="24DDCD4C" w14:textId="00E77FF2" w:rsidR="00C94BBC" w:rsidRPr="007F165A" w:rsidRDefault="00C94BBC" w:rsidP="007F165A">
      <w:pPr>
        <w:pStyle w:val="ListBullet2"/>
      </w:pPr>
      <w:r w:rsidRPr="007F165A">
        <w:t xml:space="preserve">Low Baseline Platelet Count Cohort: </w:t>
      </w:r>
      <w:r w:rsidR="007F165A" w:rsidRPr="007F165A">
        <w:t xml:space="preserve">avatrombopag </w:t>
      </w:r>
      <w:r w:rsidRPr="007F165A">
        <w:t>v</w:t>
      </w:r>
      <w:r w:rsidR="00E9222E">
        <w:t>ersus</w:t>
      </w:r>
      <w:r w:rsidRPr="007F165A">
        <w:t xml:space="preserve"> placebo 27.1% v</w:t>
      </w:r>
      <w:r w:rsidR="00E9222E">
        <w:t>ersus</w:t>
      </w:r>
      <w:r w:rsidRPr="007F165A">
        <w:t xml:space="preserve"> 58.1%; mean transfusion requirements 7.1 units in both groups</w:t>
      </w:r>
    </w:p>
    <w:p w14:paraId="6C19A3DD" w14:textId="5EB84DDC" w:rsidR="00C94BBC" w:rsidRPr="007F165A" w:rsidRDefault="00C94BBC" w:rsidP="007F165A">
      <w:pPr>
        <w:pStyle w:val="ListBullet2"/>
      </w:pPr>
      <w:r w:rsidRPr="007F165A">
        <w:t xml:space="preserve">High Baseline Platelet Count Cohort: </w:t>
      </w:r>
      <w:r w:rsidR="007F165A" w:rsidRPr="007F165A">
        <w:t xml:space="preserve">avatrombopag </w:t>
      </w:r>
      <w:r w:rsidRPr="007F165A">
        <w:t>v</w:t>
      </w:r>
      <w:r w:rsidR="00E9222E">
        <w:t xml:space="preserve">ersus </w:t>
      </w:r>
      <w:r w:rsidRPr="007F165A">
        <w:t>placebo 8.6% v</w:t>
      </w:r>
      <w:r w:rsidR="00E9222E">
        <w:t>ersus</w:t>
      </w:r>
      <w:r w:rsidRPr="007F165A">
        <w:t xml:space="preserve"> 63.6%; mean platelet transfusion requirement 2.0 units in the </w:t>
      </w:r>
      <w:r w:rsidR="007F165A" w:rsidRPr="007F165A">
        <w:t xml:space="preserve">avatrombopag </w:t>
      </w:r>
      <w:r w:rsidRPr="007F165A">
        <w:t xml:space="preserve">group </w:t>
      </w:r>
      <w:r w:rsidR="00E9222E">
        <w:t>versus</w:t>
      </w:r>
      <w:r w:rsidRPr="007F165A">
        <w:t xml:space="preserve"> 5.0</w:t>
      </w:r>
      <w:r w:rsidR="00E9222E">
        <w:t> </w:t>
      </w:r>
      <w:r w:rsidRPr="007F165A">
        <w:t xml:space="preserve">units in the placebo group </w:t>
      </w:r>
    </w:p>
    <w:p w14:paraId="2EB04B86" w14:textId="45F3290F" w:rsidR="00C94BBC" w:rsidRPr="007F165A" w:rsidRDefault="007F165A" w:rsidP="007F165A">
      <w:pPr>
        <w:pStyle w:val="ListBullet"/>
      </w:pPr>
      <w:r>
        <w:t>World health organisation (</w:t>
      </w:r>
      <w:r w:rsidR="00C94BBC" w:rsidRPr="007F165A">
        <w:t>WHO</w:t>
      </w:r>
      <w:r>
        <w:t>)</w:t>
      </w:r>
      <w:r w:rsidR="00C94BBC" w:rsidRPr="007F165A">
        <w:t xml:space="preserve"> bleeding score 2</w:t>
      </w:r>
      <w:r>
        <w:t xml:space="preserve"> or greater</w:t>
      </w:r>
      <w:r w:rsidR="00C94BBC" w:rsidRPr="007F165A">
        <w:t>:</w:t>
      </w:r>
      <w:r>
        <w:fldChar w:fldCharType="begin"/>
      </w:r>
      <w:r>
        <w:instrText xml:space="preserve"> NOTEREF _Ref151472569 \f \h </w:instrText>
      </w:r>
      <w:r>
        <w:fldChar w:fldCharType="separate"/>
      </w:r>
      <w:r w:rsidR="00197355" w:rsidRPr="00197355">
        <w:rPr>
          <w:rStyle w:val="FootnoteReference"/>
        </w:rPr>
        <w:t>23</w:t>
      </w:r>
      <w:r>
        <w:fldChar w:fldCharType="end"/>
      </w:r>
      <w:r w:rsidR="00C94BBC" w:rsidRPr="007F165A">
        <w:t xml:space="preserve"> 1.6% combined </w:t>
      </w:r>
      <w:r w:rsidRPr="007F165A">
        <w:t xml:space="preserve">avatrombopag </w:t>
      </w:r>
      <w:r w:rsidR="00C94BBC" w:rsidRPr="007F165A">
        <w:t>v</w:t>
      </w:r>
      <w:r>
        <w:t>ersus</w:t>
      </w:r>
      <w:r w:rsidR="00C94BBC" w:rsidRPr="007F165A">
        <w:t xml:space="preserve"> 2.6% combined placebo groups</w:t>
      </w:r>
      <w:r>
        <w:t>.</w:t>
      </w:r>
    </w:p>
    <w:bookmarkEnd w:id="64"/>
    <w:p w14:paraId="3C4E1F6F" w14:textId="77777777" w:rsidR="00C94BBC" w:rsidRPr="00A821FB" w:rsidRDefault="00C94BBC" w:rsidP="007F165A">
      <w:pPr>
        <w:pStyle w:val="Heading6"/>
        <w:rPr>
          <w:rFonts w:eastAsia="TimesNewRoman"/>
          <w:lang w:val="en-US"/>
        </w:rPr>
      </w:pPr>
      <w:r>
        <w:rPr>
          <w:rFonts w:eastAsia="TimesNewRoman"/>
          <w:lang w:val="en-US"/>
        </w:rPr>
        <w:t>Supportive studies</w:t>
      </w:r>
    </w:p>
    <w:p w14:paraId="1C18B14E" w14:textId="2834F401" w:rsidR="00C94BBC" w:rsidRPr="00A821FB" w:rsidRDefault="00C94BBC" w:rsidP="007F165A">
      <w:pPr>
        <w:pStyle w:val="Heading7"/>
        <w:rPr>
          <w:rFonts w:eastAsia="TimesNewRoman"/>
          <w:lang w:val="en-US"/>
        </w:rPr>
      </w:pPr>
      <w:r w:rsidRPr="00A821FB">
        <w:rPr>
          <w:rFonts w:eastAsia="TimesNewRoman"/>
          <w:lang w:val="en-US"/>
        </w:rPr>
        <w:t>Controlled studies</w:t>
      </w:r>
    </w:p>
    <w:p w14:paraId="0E2702E0" w14:textId="28DA096E" w:rsidR="007F165A" w:rsidRDefault="007F165A" w:rsidP="007F165A">
      <w:pPr>
        <w:pStyle w:val="Heading8"/>
        <w:rPr>
          <w:rFonts w:eastAsia="TimesNewRoman"/>
          <w:lang w:val="en-US"/>
        </w:rPr>
      </w:pPr>
      <w:r w:rsidRPr="00794E2D">
        <w:rPr>
          <w:rFonts w:eastAsia="TimesNewRoman"/>
          <w:lang w:val="en-US"/>
        </w:rPr>
        <w:t xml:space="preserve">Study </w:t>
      </w:r>
      <w:r w:rsidR="00C94BBC" w:rsidRPr="00794E2D">
        <w:rPr>
          <w:rFonts w:eastAsia="TimesNewRoman"/>
          <w:lang w:val="en-US"/>
        </w:rPr>
        <w:t>E5501-G000-202</w:t>
      </w:r>
    </w:p>
    <w:p w14:paraId="7A56B7DA" w14:textId="13EFE209" w:rsidR="00C94BBC" w:rsidRPr="00794E2D" w:rsidRDefault="00C94BBC" w:rsidP="00794E2D">
      <w:r w:rsidRPr="00794E2D">
        <w:t xml:space="preserve">A Phase </w:t>
      </w:r>
      <w:r w:rsidR="007F165A" w:rsidRPr="00794E2D">
        <w:t>II</w:t>
      </w:r>
      <w:r w:rsidRPr="00794E2D">
        <w:t xml:space="preserve">, </w:t>
      </w:r>
      <w:r w:rsidR="00794E2D">
        <w:t>r</w:t>
      </w:r>
      <w:r w:rsidRPr="00794E2D">
        <w:t xml:space="preserve">andomised, </w:t>
      </w:r>
      <w:r w:rsidR="00794E2D">
        <w:t>m</w:t>
      </w:r>
      <w:r w:rsidRPr="00794E2D">
        <w:t xml:space="preserve">ulticentre, </w:t>
      </w:r>
      <w:r w:rsidR="00794E2D">
        <w:t>p</w:t>
      </w:r>
      <w:r w:rsidRPr="00794E2D">
        <w:t>lacebo</w:t>
      </w:r>
      <w:r w:rsidR="00794E2D">
        <w:t xml:space="preserve"> c</w:t>
      </w:r>
      <w:r w:rsidRPr="00794E2D">
        <w:t xml:space="preserve">ontrolled, </w:t>
      </w:r>
      <w:r w:rsidR="00794E2D">
        <w:t>d</w:t>
      </w:r>
      <w:r w:rsidRPr="00794E2D">
        <w:t>ouble</w:t>
      </w:r>
      <w:r w:rsidR="00794E2D">
        <w:t xml:space="preserve"> b</w:t>
      </w:r>
      <w:r w:rsidRPr="00794E2D">
        <w:t xml:space="preserve">lind, </w:t>
      </w:r>
      <w:r w:rsidR="00794E2D">
        <w:t>p</w:t>
      </w:r>
      <w:r w:rsidRPr="00794E2D">
        <w:t>arallel</w:t>
      </w:r>
      <w:r w:rsidR="00794E2D">
        <w:t xml:space="preserve"> g</w:t>
      </w:r>
      <w:r w:rsidRPr="00794E2D">
        <w:t xml:space="preserve">roup </w:t>
      </w:r>
      <w:r w:rsidR="00794E2D">
        <w:t>s</w:t>
      </w:r>
      <w:r w:rsidRPr="00794E2D">
        <w:t xml:space="preserve">tudy to </w:t>
      </w:r>
      <w:r w:rsidR="00794E2D">
        <w:t>e</w:t>
      </w:r>
      <w:r w:rsidRPr="00794E2D">
        <w:t xml:space="preserve">valuate the </w:t>
      </w:r>
      <w:r w:rsidR="00794E2D">
        <w:t>e</w:t>
      </w:r>
      <w:r w:rsidRPr="00794E2D">
        <w:t xml:space="preserve">fficacy, </w:t>
      </w:r>
      <w:r w:rsidR="00794E2D">
        <w:t>s</w:t>
      </w:r>
      <w:r w:rsidRPr="00794E2D">
        <w:t xml:space="preserve">afety, and </w:t>
      </w:r>
      <w:r w:rsidR="00794E2D">
        <w:t>p</w:t>
      </w:r>
      <w:r w:rsidRPr="00794E2D">
        <w:t xml:space="preserve">opulation </w:t>
      </w:r>
      <w:r w:rsidR="00794E2D">
        <w:t>p</w:t>
      </w:r>
      <w:r w:rsidRPr="00794E2D">
        <w:t xml:space="preserve">harmacokinetics of </w:t>
      </w:r>
      <w:r w:rsidR="00794E2D">
        <w:t>o</w:t>
      </w:r>
      <w:r w:rsidRPr="00794E2D">
        <w:t>nce</w:t>
      </w:r>
      <w:r w:rsidR="00794E2D">
        <w:t xml:space="preserve"> d</w:t>
      </w:r>
      <w:r w:rsidRPr="00794E2D">
        <w:t xml:space="preserve">aily </w:t>
      </w:r>
      <w:r w:rsidR="00794E2D">
        <w:t>o</w:t>
      </w:r>
      <w:r w:rsidRPr="00794E2D">
        <w:t xml:space="preserve">ral </w:t>
      </w:r>
      <w:r w:rsidR="00794E2D" w:rsidRPr="00794E2D">
        <w:t>avatrombopag</w:t>
      </w:r>
      <w:r w:rsidRPr="00794E2D">
        <w:t xml:space="preserve"> </w:t>
      </w:r>
      <w:r w:rsidR="00794E2D">
        <w:lastRenderedPageBreak/>
        <w:t>t</w:t>
      </w:r>
      <w:r w:rsidRPr="00794E2D">
        <w:t xml:space="preserve">ablets </w:t>
      </w:r>
      <w:r w:rsidR="00794E2D">
        <w:t>u</w:t>
      </w:r>
      <w:r w:rsidRPr="00794E2D">
        <w:t xml:space="preserve">sed </w:t>
      </w:r>
      <w:r w:rsidR="00794E2D">
        <w:t>u</w:t>
      </w:r>
      <w:r w:rsidRPr="00794E2D">
        <w:t xml:space="preserve">p to 7 </w:t>
      </w:r>
      <w:r w:rsidR="00794E2D">
        <w:t>d</w:t>
      </w:r>
      <w:r w:rsidRPr="00794E2D">
        <w:t xml:space="preserve">ays in 130 </w:t>
      </w:r>
      <w:r w:rsidR="00794E2D">
        <w:t>s</w:t>
      </w:r>
      <w:r w:rsidRPr="00794E2D">
        <w:t xml:space="preserve">ubjects with </w:t>
      </w:r>
      <w:r w:rsidR="00794E2D">
        <w:t>c</w:t>
      </w:r>
      <w:r w:rsidRPr="00794E2D">
        <w:t xml:space="preserve">hronic </w:t>
      </w:r>
      <w:r w:rsidR="00794E2D">
        <w:t>l</w:t>
      </w:r>
      <w:r w:rsidRPr="00794E2D">
        <w:t xml:space="preserve">iver </w:t>
      </w:r>
      <w:r w:rsidR="00794E2D">
        <w:t>d</w:t>
      </w:r>
      <w:r w:rsidRPr="00794E2D">
        <w:t xml:space="preserve">iseases and </w:t>
      </w:r>
      <w:r w:rsidR="00794E2D">
        <w:t>t</w:t>
      </w:r>
      <w:r w:rsidRPr="00794E2D">
        <w:t xml:space="preserve">hrombocytopenia </w:t>
      </w:r>
      <w:r w:rsidR="00794E2D">
        <w:t>p</w:t>
      </w:r>
      <w:r w:rsidRPr="00794E2D">
        <w:t xml:space="preserve">rior to </w:t>
      </w:r>
      <w:r w:rsidR="00794E2D">
        <w:t>e</w:t>
      </w:r>
      <w:r w:rsidRPr="00794E2D">
        <w:t xml:space="preserve">lective </w:t>
      </w:r>
      <w:r w:rsidR="00794E2D">
        <w:t>s</w:t>
      </w:r>
      <w:r w:rsidRPr="00794E2D">
        <w:t xml:space="preserve">urgical or </w:t>
      </w:r>
      <w:r w:rsidR="00794E2D">
        <w:t>d</w:t>
      </w:r>
      <w:r w:rsidRPr="00794E2D">
        <w:t xml:space="preserve">iagnostic </w:t>
      </w:r>
      <w:r w:rsidR="00794E2D">
        <w:t>p</w:t>
      </w:r>
      <w:r w:rsidRPr="00794E2D">
        <w:t xml:space="preserve">rocedures. This study compared the dose response of different formulations of </w:t>
      </w:r>
      <w:r w:rsidR="007F165A" w:rsidRPr="00794E2D">
        <w:t>avatrombopag</w:t>
      </w:r>
      <w:r w:rsidRPr="00794E2D">
        <w:t xml:space="preserve">. The outcomes contributed data to the </w:t>
      </w:r>
      <w:proofErr w:type="spellStart"/>
      <w:r w:rsidRPr="00794E2D">
        <w:t>popPK</w:t>
      </w:r>
      <w:proofErr w:type="spellEnd"/>
      <w:r w:rsidRPr="00794E2D">
        <w:t xml:space="preserve"> analysis and supported. It did not demonstrate there was an advantage in a dosing regimen with a loading dose</w:t>
      </w:r>
      <w:r w:rsidR="00794E2D">
        <w:t>.</w:t>
      </w:r>
    </w:p>
    <w:p w14:paraId="4049342A" w14:textId="029CF23A" w:rsidR="00794E2D" w:rsidRDefault="00794E2D" w:rsidP="00794E2D">
      <w:pPr>
        <w:pStyle w:val="Heading8"/>
        <w:rPr>
          <w:rFonts w:eastAsia="TimesNewRoman"/>
          <w:lang w:val="en-US"/>
        </w:rPr>
      </w:pPr>
      <w:r>
        <w:rPr>
          <w:rFonts w:eastAsia="TimesNewRoman"/>
          <w:lang w:val="en-US"/>
        </w:rPr>
        <w:t xml:space="preserve">Study </w:t>
      </w:r>
      <w:r w:rsidR="00C94BBC" w:rsidRPr="00A821FB">
        <w:rPr>
          <w:rFonts w:eastAsia="TimesNewRoman"/>
          <w:lang w:val="en-US"/>
        </w:rPr>
        <w:t>E5501-J081-204</w:t>
      </w:r>
    </w:p>
    <w:p w14:paraId="6BD82113" w14:textId="60B54AD8" w:rsidR="00C94BBC" w:rsidRPr="00794E2D" w:rsidRDefault="00C94BBC" w:rsidP="00794E2D">
      <w:r w:rsidRPr="00794E2D">
        <w:t xml:space="preserve">A Phase </w:t>
      </w:r>
      <w:r w:rsidR="00794E2D">
        <w:t>II</w:t>
      </w:r>
      <w:r w:rsidRPr="00794E2D">
        <w:t xml:space="preserve">, </w:t>
      </w:r>
      <w:r w:rsidR="00794E2D">
        <w:t>r</w:t>
      </w:r>
      <w:r w:rsidRPr="00794E2D">
        <w:t xml:space="preserve">andomised, </w:t>
      </w:r>
      <w:r w:rsidR="00794E2D">
        <w:t>d</w:t>
      </w:r>
      <w:r w:rsidRPr="00794E2D">
        <w:t>ouble</w:t>
      </w:r>
      <w:r w:rsidR="00794E2D">
        <w:t xml:space="preserve"> b</w:t>
      </w:r>
      <w:r w:rsidRPr="00794E2D">
        <w:t xml:space="preserve">lind, </w:t>
      </w:r>
      <w:r w:rsidR="00794E2D">
        <w:t>p</w:t>
      </w:r>
      <w:r w:rsidRPr="00794E2D">
        <w:t>lacebo</w:t>
      </w:r>
      <w:r w:rsidR="00794E2D">
        <w:t xml:space="preserve"> c</w:t>
      </w:r>
      <w:r w:rsidRPr="00794E2D">
        <w:t xml:space="preserve">ontrolled, </w:t>
      </w:r>
      <w:r w:rsidR="00794E2D">
        <w:t>p</w:t>
      </w:r>
      <w:r w:rsidRPr="00794E2D">
        <w:t>arallel</w:t>
      </w:r>
      <w:r w:rsidR="00794E2D">
        <w:t xml:space="preserve"> g</w:t>
      </w:r>
      <w:r w:rsidRPr="00794E2D">
        <w:t xml:space="preserve">roup </w:t>
      </w:r>
      <w:r w:rsidR="00794E2D">
        <w:t>s</w:t>
      </w:r>
      <w:r w:rsidRPr="00794E2D">
        <w:t xml:space="preserve">tudy to </w:t>
      </w:r>
      <w:r w:rsidR="00794E2D">
        <w:t>e</w:t>
      </w:r>
      <w:r w:rsidRPr="00794E2D">
        <w:t xml:space="preserve">valuate the </w:t>
      </w:r>
      <w:r w:rsidR="00794E2D">
        <w:t>e</w:t>
      </w:r>
      <w:r w:rsidRPr="00794E2D">
        <w:t xml:space="preserve">fficacy, </w:t>
      </w:r>
      <w:r w:rsidR="00794E2D">
        <w:t>s</w:t>
      </w:r>
      <w:r w:rsidRPr="00794E2D">
        <w:t xml:space="preserve">afety, and </w:t>
      </w:r>
      <w:r w:rsidR="00794E2D">
        <w:t>p</w:t>
      </w:r>
      <w:r w:rsidRPr="00794E2D">
        <w:t xml:space="preserve">harmacokinetics of </w:t>
      </w:r>
      <w:r w:rsidR="00794E2D">
        <w:t>o</w:t>
      </w:r>
      <w:r w:rsidRPr="00794E2D">
        <w:t>nce</w:t>
      </w:r>
      <w:r w:rsidR="00794E2D">
        <w:t xml:space="preserve"> d</w:t>
      </w:r>
      <w:r w:rsidRPr="00794E2D">
        <w:t xml:space="preserve">aily </w:t>
      </w:r>
      <w:r w:rsidR="00794E2D">
        <w:t>o</w:t>
      </w:r>
      <w:r w:rsidRPr="00794E2D">
        <w:t xml:space="preserve">ral </w:t>
      </w:r>
      <w:r w:rsidR="007F165A" w:rsidRPr="00794E2D">
        <w:t>a</w:t>
      </w:r>
      <w:r w:rsidRPr="00794E2D">
        <w:t xml:space="preserve">vatrombopag in 39 Japanese </w:t>
      </w:r>
      <w:r w:rsidR="00794E2D">
        <w:t>p</w:t>
      </w:r>
      <w:r w:rsidRPr="00794E2D">
        <w:t xml:space="preserve">atients with </w:t>
      </w:r>
      <w:r w:rsidR="00794E2D">
        <w:t>c</w:t>
      </w:r>
      <w:r w:rsidRPr="00794E2D">
        <w:t xml:space="preserve">hronic </w:t>
      </w:r>
      <w:r w:rsidR="00794E2D">
        <w:t>l</w:t>
      </w:r>
      <w:r w:rsidRPr="00794E2D">
        <w:t xml:space="preserve">iver </w:t>
      </w:r>
      <w:r w:rsidR="00794E2D">
        <w:t>d</w:t>
      </w:r>
      <w:r w:rsidRPr="00794E2D">
        <w:t xml:space="preserve">isease and </w:t>
      </w:r>
      <w:r w:rsidR="00794E2D">
        <w:t>t</w:t>
      </w:r>
      <w:r w:rsidRPr="00794E2D">
        <w:t>hrombocytopenia. Patients were from two patient groups (</w:t>
      </w:r>
      <w:r w:rsidR="00794E2D">
        <w:t>l</w:t>
      </w:r>
      <w:r w:rsidRPr="00794E2D">
        <w:t>ow (n</w:t>
      </w:r>
      <w:r w:rsidR="00794E2D">
        <w:t> </w:t>
      </w:r>
      <w:r w:rsidRPr="00794E2D">
        <w:t>=</w:t>
      </w:r>
      <w:r w:rsidR="00794E2D">
        <w:t> </w:t>
      </w:r>
      <w:r w:rsidRPr="00794E2D">
        <w:t xml:space="preserve">19) and </w:t>
      </w:r>
      <w:r w:rsidR="00794E2D">
        <w:t>h</w:t>
      </w:r>
      <w:r w:rsidRPr="00794E2D">
        <w:t>igh (n</w:t>
      </w:r>
      <w:r w:rsidR="00794E2D">
        <w:t> </w:t>
      </w:r>
      <w:r w:rsidRPr="00794E2D">
        <w:t>=</w:t>
      </w:r>
      <w:r w:rsidR="00794E2D">
        <w:t> </w:t>
      </w:r>
      <w:r w:rsidRPr="00794E2D">
        <w:t xml:space="preserve">20) </w:t>
      </w:r>
      <w:r w:rsidR="00E9222E">
        <w:t>B</w:t>
      </w:r>
      <w:r w:rsidRPr="00794E2D">
        <w:t>aseline platelet groups). The evaluat</w:t>
      </w:r>
      <w:r w:rsidR="00E9222E">
        <w:t>ion</w:t>
      </w:r>
      <w:r w:rsidRPr="00794E2D">
        <w:t xml:space="preserve"> found the groups too small to draw specific conclusions.</w:t>
      </w:r>
    </w:p>
    <w:p w14:paraId="3BB21EC3" w14:textId="04A4E6E6" w:rsidR="00794E2D" w:rsidRDefault="00794E2D" w:rsidP="00794E2D">
      <w:pPr>
        <w:pStyle w:val="Heading8"/>
        <w:rPr>
          <w:rFonts w:eastAsia="TimesNewRoman"/>
          <w:lang w:val="en-US"/>
        </w:rPr>
      </w:pPr>
      <w:r>
        <w:rPr>
          <w:rFonts w:eastAsia="TimesNewRoman"/>
          <w:lang w:val="en-US"/>
        </w:rPr>
        <w:t xml:space="preserve">Study </w:t>
      </w:r>
      <w:r w:rsidR="00C94BBC" w:rsidRPr="00A821FB">
        <w:rPr>
          <w:rFonts w:eastAsia="TimesNewRoman"/>
          <w:lang w:val="en-US"/>
        </w:rPr>
        <w:t>E5501-G000-203</w:t>
      </w:r>
    </w:p>
    <w:p w14:paraId="5D79D1E8" w14:textId="42A26F5F" w:rsidR="00C94BBC" w:rsidRPr="00794E2D" w:rsidRDefault="00C94BBC" w:rsidP="00794E2D">
      <w:r w:rsidRPr="00794E2D">
        <w:t xml:space="preserve">A Phase </w:t>
      </w:r>
      <w:r w:rsidR="00794E2D" w:rsidRPr="00794E2D">
        <w:t>II</w:t>
      </w:r>
      <w:r w:rsidRPr="00794E2D">
        <w:t xml:space="preserve">, </w:t>
      </w:r>
      <w:r w:rsidR="00794E2D" w:rsidRPr="00794E2D">
        <w:t>r</w:t>
      </w:r>
      <w:r w:rsidRPr="00794E2D">
        <w:t xml:space="preserve">andomised, </w:t>
      </w:r>
      <w:r w:rsidR="00794E2D" w:rsidRPr="00794E2D">
        <w:t>m</w:t>
      </w:r>
      <w:r w:rsidRPr="00794E2D">
        <w:t xml:space="preserve">ulticentre, </w:t>
      </w:r>
      <w:r w:rsidR="00794E2D">
        <w:t>p</w:t>
      </w:r>
      <w:r w:rsidRPr="00794E2D">
        <w:t>lacebo</w:t>
      </w:r>
      <w:r w:rsidR="00794E2D">
        <w:t xml:space="preserve"> c</w:t>
      </w:r>
      <w:r w:rsidRPr="00794E2D">
        <w:t xml:space="preserve">ontrolled, </w:t>
      </w:r>
      <w:r w:rsidR="00794E2D">
        <w:t>d</w:t>
      </w:r>
      <w:r w:rsidRPr="00794E2D">
        <w:t>ouble</w:t>
      </w:r>
      <w:r w:rsidR="00794E2D">
        <w:t xml:space="preserve"> b</w:t>
      </w:r>
      <w:r w:rsidRPr="00794E2D">
        <w:t xml:space="preserve">lind, </w:t>
      </w:r>
      <w:r w:rsidR="00794E2D">
        <w:t>p</w:t>
      </w:r>
      <w:r w:rsidRPr="00794E2D">
        <w:t>arallel</w:t>
      </w:r>
      <w:r w:rsidR="00794E2D">
        <w:t xml:space="preserve"> g</w:t>
      </w:r>
      <w:r w:rsidRPr="00794E2D">
        <w:t xml:space="preserve">roup </w:t>
      </w:r>
      <w:r w:rsidR="00794E2D">
        <w:t>s</w:t>
      </w:r>
      <w:r w:rsidRPr="00794E2D">
        <w:t xml:space="preserve">tudy, with an </w:t>
      </w:r>
      <w:r w:rsidR="00794E2D">
        <w:t>o</w:t>
      </w:r>
      <w:r w:rsidRPr="00794E2D">
        <w:t>pen</w:t>
      </w:r>
      <w:r w:rsidR="00794E2D">
        <w:t xml:space="preserve"> l</w:t>
      </w:r>
      <w:r w:rsidRPr="00794E2D">
        <w:t xml:space="preserve">abel </w:t>
      </w:r>
      <w:r w:rsidR="00794E2D">
        <w:t>e</w:t>
      </w:r>
      <w:r w:rsidRPr="00794E2D">
        <w:t xml:space="preserve">xtension to </w:t>
      </w:r>
      <w:r w:rsidR="00794E2D">
        <w:t>e</w:t>
      </w:r>
      <w:r w:rsidRPr="00794E2D">
        <w:t xml:space="preserve">valuate the </w:t>
      </w:r>
      <w:r w:rsidR="00794E2D">
        <w:t>e</w:t>
      </w:r>
      <w:r w:rsidRPr="00794E2D">
        <w:t xml:space="preserve">fficacy, </w:t>
      </w:r>
      <w:r w:rsidR="00794E2D">
        <w:t>s</w:t>
      </w:r>
      <w:r w:rsidRPr="00794E2D">
        <w:t xml:space="preserve">afety, and </w:t>
      </w:r>
      <w:r w:rsidR="00794E2D">
        <w:t>p</w:t>
      </w:r>
      <w:r w:rsidRPr="00794E2D">
        <w:t xml:space="preserve">harmacokinetics of </w:t>
      </w:r>
      <w:r w:rsidR="00794E2D" w:rsidRPr="00794E2D">
        <w:t xml:space="preserve">avatrombopag </w:t>
      </w:r>
      <w:r w:rsidRPr="00794E2D">
        <w:t xml:space="preserve">in 65 patients with </w:t>
      </w:r>
      <w:r w:rsidR="00794E2D">
        <w:t>c</w:t>
      </w:r>
      <w:r w:rsidRPr="00794E2D">
        <w:t xml:space="preserve">hronic </w:t>
      </w:r>
      <w:r w:rsidR="00794E2D">
        <w:t>h</w:t>
      </w:r>
      <w:r w:rsidRPr="00794E2D">
        <w:t>epatitis C</w:t>
      </w:r>
      <w:r w:rsidR="00794E2D">
        <w:t xml:space="preserve"> v</w:t>
      </w:r>
      <w:r w:rsidRPr="00794E2D">
        <w:t xml:space="preserve">irus </w:t>
      </w:r>
      <w:r w:rsidR="00794E2D">
        <w:t>r</w:t>
      </w:r>
      <w:r w:rsidRPr="00794E2D">
        <w:t xml:space="preserve">elated </w:t>
      </w:r>
      <w:r w:rsidR="00794E2D">
        <w:t>t</w:t>
      </w:r>
      <w:r w:rsidRPr="00794E2D">
        <w:t xml:space="preserve">hrombocytopenia who were </w:t>
      </w:r>
      <w:r w:rsidR="00794E2D">
        <w:t>p</w:t>
      </w:r>
      <w:r w:rsidRPr="00794E2D">
        <w:t xml:space="preserve">otential </w:t>
      </w:r>
      <w:r w:rsidR="00794E2D">
        <w:t>c</w:t>
      </w:r>
      <w:r w:rsidRPr="00794E2D">
        <w:t xml:space="preserve">andidates for </w:t>
      </w:r>
      <w:r w:rsidR="00794E2D">
        <w:t>a</w:t>
      </w:r>
      <w:r w:rsidRPr="00794E2D">
        <w:t xml:space="preserve">ntiviral </w:t>
      </w:r>
      <w:r w:rsidR="00794E2D">
        <w:t>t</w:t>
      </w:r>
      <w:r w:rsidRPr="00794E2D">
        <w:t xml:space="preserve">reatment. The study tested placebo, </w:t>
      </w:r>
      <w:r w:rsidR="007F165A" w:rsidRPr="00794E2D">
        <w:t xml:space="preserve">avatrombopag </w:t>
      </w:r>
      <w:r w:rsidRPr="00794E2D">
        <w:t>10</w:t>
      </w:r>
      <w:r w:rsidR="00E9222E">
        <w:t> mg</w:t>
      </w:r>
      <w:r w:rsidRPr="00794E2D">
        <w:t>, 20</w:t>
      </w:r>
      <w:r w:rsidR="00E9222E">
        <w:t> </w:t>
      </w:r>
      <w:proofErr w:type="gramStart"/>
      <w:r w:rsidR="00E9222E">
        <w:t>mg</w:t>
      </w:r>
      <w:proofErr w:type="gramEnd"/>
      <w:r w:rsidRPr="00794E2D">
        <w:t xml:space="preserve"> and 30</w:t>
      </w:r>
      <w:r w:rsidR="00794E2D">
        <w:t> </w:t>
      </w:r>
      <w:r w:rsidRPr="00794E2D">
        <w:t>mg prior to antiviral treatment (period A1) then during antiviral treatment (period A2). The primary efficacy endpoint was the achievement of a platelet count 100</w:t>
      </w:r>
      <w:r w:rsidR="00794E2D">
        <w:t> </w:t>
      </w:r>
      <w:r w:rsidRPr="00794E2D">
        <w:t>×</w:t>
      </w:r>
      <w:r w:rsidR="00794E2D">
        <w:t> </w:t>
      </w:r>
      <w:r w:rsidRPr="00794E2D">
        <w:t>10</w:t>
      </w:r>
      <w:r w:rsidRPr="00794E2D">
        <w:rPr>
          <w:vertAlign w:val="superscript"/>
        </w:rPr>
        <w:t>9</w:t>
      </w:r>
      <w:r w:rsidRPr="00794E2D">
        <w:t xml:space="preserve">/L </w:t>
      </w:r>
      <w:r w:rsidR="00794E2D">
        <w:t xml:space="preserve">or greater </w:t>
      </w:r>
      <w:r w:rsidRPr="00794E2D">
        <w:t>by Day</w:t>
      </w:r>
      <w:r w:rsidR="00794E2D">
        <w:t> </w:t>
      </w:r>
      <w:r w:rsidRPr="00794E2D">
        <w:t xml:space="preserve">21 of period A1, and was 5.88%, 37.5%, 66.67% and 64.29% for placebo, </w:t>
      </w:r>
      <w:r w:rsidR="007F165A" w:rsidRPr="00794E2D">
        <w:t xml:space="preserve">avatrombopag </w:t>
      </w:r>
      <w:r w:rsidRPr="00794E2D">
        <w:t>10</w:t>
      </w:r>
      <w:r w:rsidR="00E9222E">
        <w:t> mg</w:t>
      </w:r>
      <w:r w:rsidRPr="00794E2D">
        <w:t>, 20</w:t>
      </w:r>
      <w:r w:rsidR="00E9222E">
        <w:t> </w:t>
      </w:r>
      <w:proofErr w:type="gramStart"/>
      <w:r w:rsidR="00E9222E">
        <w:t>mg</w:t>
      </w:r>
      <w:proofErr w:type="gramEnd"/>
      <w:r w:rsidR="00E9222E">
        <w:t xml:space="preserve"> </w:t>
      </w:r>
      <w:r w:rsidRPr="00794E2D">
        <w:t>and 30</w:t>
      </w:r>
      <w:r w:rsidR="00E9222E">
        <w:t> </w:t>
      </w:r>
      <w:r w:rsidRPr="00794E2D">
        <w:t xml:space="preserve">mg, respectively. The proportion of patients with a platelet count </w:t>
      </w:r>
      <w:r w:rsidR="00794E2D">
        <w:t xml:space="preserve">greater than </w:t>
      </w:r>
      <w:r w:rsidRPr="00794E2D">
        <w:t>30</w:t>
      </w:r>
      <w:r w:rsidR="00794E2D">
        <w:t> </w:t>
      </w:r>
      <w:r w:rsidRPr="00794E2D">
        <w:t>×</w:t>
      </w:r>
      <w:r w:rsidR="00794E2D">
        <w:t> </w:t>
      </w:r>
      <w:r w:rsidRPr="00794E2D">
        <w:t>10</w:t>
      </w:r>
      <w:r w:rsidRPr="00794E2D">
        <w:rPr>
          <w:vertAlign w:val="superscript"/>
        </w:rPr>
        <w:t>9</w:t>
      </w:r>
      <w:r w:rsidRPr="00794E2D">
        <w:t>/L above Baseline by Day 21 during period A1 was statistically significantly (p</w:t>
      </w:r>
      <w:r w:rsidR="00794E2D">
        <w:t> </w:t>
      </w:r>
      <w:r w:rsidRPr="00794E2D">
        <w:t>&lt;</w:t>
      </w:r>
      <w:r w:rsidR="00794E2D">
        <w:t> </w:t>
      </w:r>
      <w:r w:rsidRPr="00794E2D">
        <w:t xml:space="preserve">0.002) higher in all </w:t>
      </w:r>
      <w:r w:rsidR="007F165A" w:rsidRPr="00794E2D">
        <w:t xml:space="preserve">avatrombopag </w:t>
      </w:r>
      <w:r w:rsidRPr="00794E2D">
        <w:t xml:space="preserve">groups compared with placebo (5.88%, 56.25%, 88.89% and 78.57% for placebo, </w:t>
      </w:r>
      <w:r w:rsidR="007F165A" w:rsidRPr="00794E2D">
        <w:t xml:space="preserve">avatrombopag </w:t>
      </w:r>
      <w:r w:rsidRPr="00794E2D">
        <w:t>10</w:t>
      </w:r>
      <w:r w:rsidR="00E9222E">
        <w:t> mg</w:t>
      </w:r>
      <w:r w:rsidRPr="00794E2D">
        <w:t>, 20</w:t>
      </w:r>
      <w:r w:rsidR="00E9222E">
        <w:t> </w:t>
      </w:r>
      <w:proofErr w:type="gramStart"/>
      <w:r w:rsidR="00E9222E">
        <w:t>mg</w:t>
      </w:r>
      <w:proofErr w:type="gramEnd"/>
      <w:r w:rsidRPr="00794E2D">
        <w:t xml:space="preserve"> and 30</w:t>
      </w:r>
      <w:r w:rsidR="00794E2D">
        <w:t> </w:t>
      </w:r>
      <w:r w:rsidRPr="00794E2D">
        <w:t>mg, respectively). The proportion of patients who initiated antiviral treatment at end of period A1 was statistically significantly (p</w:t>
      </w:r>
      <w:r w:rsidR="00794E2D">
        <w:t> </w:t>
      </w:r>
      <w:r w:rsidRPr="00794E2D">
        <w:t>&lt;</w:t>
      </w:r>
      <w:r w:rsidR="00794E2D">
        <w:t> </w:t>
      </w:r>
      <w:r w:rsidRPr="00794E2D">
        <w:t xml:space="preserve">0.03) higher in all </w:t>
      </w:r>
      <w:r w:rsidR="007F165A" w:rsidRPr="00794E2D">
        <w:t xml:space="preserve">avatrombopag </w:t>
      </w:r>
      <w:r w:rsidRPr="00794E2D">
        <w:t xml:space="preserve">groups compared with placebo (5.88%, 37.5%, 72.22% and 64.29% for placebo, </w:t>
      </w:r>
      <w:r w:rsidR="007F165A" w:rsidRPr="00794E2D">
        <w:t xml:space="preserve">avatrombopag </w:t>
      </w:r>
      <w:r w:rsidRPr="00794E2D">
        <w:t>10</w:t>
      </w:r>
      <w:r w:rsidR="00E9222E">
        <w:t> mg</w:t>
      </w:r>
      <w:r w:rsidRPr="00794E2D">
        <w:t>, 20</w:t>
      </w:r>
      <w:r w:rsidR="00E9222E">
        <w:t> </w:t>
      </w:r>
      <w:proofErr w:type="gramStart"/>
      <w:r w:rsidR="00E9222E">
        <w:t>mg</w:t>
      </w:r>
      <w:proofErr w:type="gramEnd"/>
      <w:r w:rsidRPr="00794E2D">
        <w:t xml:space="preserve"> and 30</w:t>
      </w:r>
      <w:r w:rsidR="00794E2D">
        <w:t> </w:t>
      </w:r>
      <w:r w:rsidRPr="00794E2D">
        <w:t>mg, respectively).</w:t>
      </w:r>
    </w:p>
    <w:p w14:paraId="2576A2CD" w14:textId="0EFE70A6" w:rsidR="00C94BBC" w:rsidRPr="00A821FB" w:rsidRDefault="00C94BBC" w:rsidP="00794E2D">
      <w:pPr>
        <w:pStyle w:val="Heading7"/>
        <w:rPr>
          <w:rFonts w:eastAsia="TimesNewRoman"/>
          <w:lang w:val="en-US"/>
        </w:rPr>
      </w:pPr>
      <w:r w:rsidRPr="00A821FB">
        <w:rPr>
          <w:rFonts w:eastAsia="TimesNewRoman"/>
          <w:lang w:val="en-US"/>
        </w:rPr>
        <w:t>Uncontrolled studies</w:t>
      </w:r>
    </w:p>
    <w:p w14:paraId="271C7540" w14:textId="71647780" w:rsidR="00794E2D" w:rsidRDefault="00794E2D" w:rsidP="00794E2D">
      <w:pPr>
        <w:pStyle w:val="Heading8"/>
        <w:rPr>
          <w:rFonts w:eastAsia="TimesNewRoman"/>
          <w:lang w:val="en-US"/>
        </w:rPr>
      </w:pPr>
      <w:r>
        <w:rPr>
          <w:rFonts w:eastAsia="TimesNewRoman"/>
          <w:lang w:val="en-US"/>
        </w:rPr>
        <w:t xml:space="preserve">Study </w:t>
      </w:r>
      <w:r w:rsidR="00C94BBC" w:rsidRPr="00A821FB">
        <w:rPr>
          <w:rFonts w:eastAsia="TimesNewRoman"/>
          <w:lang w:val="en-US"/>
        </w:rPr>
        <w:t>AVA-PST-320</w:t>
      </w:r>
    </w:p>
    <w:p w14:paraId="53504D11" w14:textId="2AB24897" w:rsidR="00C94BBC" w:rsidRPr="00794E2D" w:rsidRDefault="00C94BBC" w:rsidP="00794E2D">
      <w:r w:rsidRPr="00794E2D">
        <w:t xml:space="preserve">An </w:t>
      </w:r>
      <w:r w:rsidR="00794E2D">
        <w:t>o</w:t>
      </w:r>
      <w:r w:rsidRPr="00794E2D">
        <w:t>pen</w:t>
      </w:r>
      <w:r w:rsidR="00794E2D">
        <w:t xml:space="preserve"> l</w:t>
      </w:r>
      <w:r w:rsidRPr="00794E2D">
        <w:t xml:space="preserve">abel </w:t>
      </w:r>
      <w:r w:rsidR="00794E2D">
        <w:t>s</w:t>
      </w:r>
      <w:r w:rsidRPr="00794E2D">
        <w:t xml:space="preserve">tudy to </w:t>
      </w:r>
      <w:r w:rsidR="00794E2D">
        <w:t>e</w:t>
      </w:r>
      <w:r w:rsidRPr="00794E2D">
        <w:t xml:space="preserve">valuate the </w:t>
      </w:r>
      <w:r w:rsidR="00794E2D">
        <w:t>e</w:t>
      </w:r>
      <w:r w:rsidRPr="00794E2D">
        <w:t xml:space="preserve">fficacy and </w:t>
      </w:r>
      <w:r w:rsidR="00794E2D">
        <w:t>s</w:t>
      </w:r>
      <w:r w:rsidRPr="00794E2D">
        <w:t xml:space="preserve">afety of </w:t>
      </w:r>
      <w:r w:rsidR="00794E2D">
        <w:t>a</w:t>
      </w:r>
      <w:r w:rsidRPr="00794E2D">
        <w:t xml:space="preserve">vatrombopag for the </w:t>
      </w:r>
      <w:r w:rsidR="00794E2D">
        <w:t>t</w:t>
      </w:r>
      <w:r w:rsidRPr="00794E2D">
        <w:t xml:space="preserve">reatment of </w:t>
      </w:r>
      <w:r w:rsidR="00794E2D">
        <w:t>s</w:t>
      </w:r>
      <w:r w:rsidRPr="00794E2D">
        <w:t xml:space="preserve">ubjects with </w:t>
      </w:r>
      <w:r w:rsidR="00794E2D">
        <w:t>t</w:t>
      </w:r>
      <w:r w:rsidRPr="00794E2D">
        <w:t xml:space="preserve">hrombocytopenia </w:t>
      </w:r>
      <w:r w:rsidR="00794E2D">
        <w:t>s</w:t>
      </w:r>
      <w:r w:rsidRPr="00794E2D">
        <w:t xml:space="preserve">cheduled for a </w:t>
      </w:r>
      <w:r w:rsidR="00794E2D">
        <w:t>s</w:t>
      </w:r>
      <w:r w:rsidRPr="00794E2D">
        <w:t xml:space="preserve">urgical </w:t>
      </w:r>
      <w:r w:rsidR="00794E2D">
        <w:t>p</w:t>
      </w:r>
      <w:r w:rsidRPr="00794E2D">
        <w:t>rocedure. This study was terminated early due to low enrolment (</w:t>
      </w:r>
      <w:r w:rsidR="00794E2D">
        <w:t>three</w:t>
      </w:r>
      <w:r w:rsidRPr="00794E2D">
        <w:t xml:space="preserve"> patients) and did not contribute to the conclusions for this indication.</w:t>
      </w:r>
    </w:p>
    <w:p w14:paraId="02DE253C" w14:textId="09958B1B" w:rsidR="00794E2D" w:rsidRDefault="00794E2D" w:rsidP="00794E2D">
      <w:pPr>
        <w:pStyle w:val="Heading8"/>
        <w:rPr>
          <w:rFonts w:eastAsia="TimesNewRoman"/>
          <w:lang w:val="en-US"/>
        </w:rPr>
      </w:pPr>
      <w:r>
        <w:rPr>
          <w:rFonts w:eastAsia="TimesNewRoman"/>
          <w:lang w:val="en-US"/>
        </w:rPr>
        <w:t xml:space="preserve">Study </w:t>
      </w:r>
      <w:r w:rsidR="00C94BBC" w:rsidRPr="00A821FB">
        <w:rPr>
          <w:rFonts w:eastAsia="TimesNewRoman"/>
          <w:lang w:val="en-US"/>
        </w:rPr>
        <w:t>AVA-CLD-401</w:t>
      </w:r>
    </w:p>
    <w:p w14:paraId="4AA960AA" w14:textId="09F8F91E" w:rsidR="00C94BBC" w:rsidRPr="00794E2D" w:rsidRDefault="00C94BBC" w:rsidP="00794E2D">
      <w:r w:rsidRPr="00794E2D">
        <w:t xml:space="preserve">An </w:t>
      </w:r>
      <w:r w:rsidR="00794E2D">
        <w:t>o</w:t>
      </w:r>
      <w:r w:rsidRPr="00794E2D">
        <w:t xml:space="preserve">bservational </w:t>
      </w:r>
      <w:r w:rsidR="00794E2D">
        <w:t>c</w:t>
      </w:r>
      <w:r w:rsidRPr="00794E2D">
        <w:t xml:space="preserve">ohort </w:t>
      </w:r>
      <w:r w:rsidR="00794E2D">
        <w:t>s</w:t>
      </w:r>
      <w:r w:rsidRPr="00794E2D">
        <w:t xml:space="preserve">tudy of the </w:t>
      </w:r>
      <w:r w:rsidR="00794E2D">
        <w:t>u</w:t>
      </w:r>
      <w:r w:rsidRPr="00794E2D">
        <w:t xml:space="preserve">se of </w:t>
      </w:r>
      <w:r w:rsidR="00794E2D">
        <w:t>a</w:t>
      </w:r>
      <w:r w:rsidRPr="00794E2D">
        <w:t xml:space="preserve">vatrombopag in </w:t>
      </w:r>
      <w:r w:rsidR="00794E2D">
        <w:t>p</w:t>
      </w:r>
      <w:r w:rsidRPr="00794E2D">
        <w:t xml:space="preserve">atients with </w:t>
      </w:r>
      <w:r w:rsidR="00794E2D">
        <w:t>t</w:t>
      </w:r>
      <w:r w:rsidRPr="00794E2D">
        <w:t xml:space="preserve">hrombocytopenia </w:t>
      </w:r>
      <w:r w:rsidR="00794E2D">
        <w:t>a</w:t>
      </w:r>
      <w:r w:rsidRPr="00794E2D">
        <w:t xml:space="preserve">ssociated with </w:t>
      </w:r>
      <w:r w:rsidR="00794E2D">
        <w:t>c</w:t>
      </w:r>
      <w:r w:rsidRPr="00794E2D">
        <w:t xml:space="preserve">hronic </w:t>
      </w:r>
      <w:r w:rsidR="00794E2D">
        <w:t>l</w:t>
      </w:r>
      <w:r w:rsidRPr="00794E2D">
        <w:t xml:space="preserve">iver </w:t>
      </w:r>
      <w:r w:rsidR="00794E2D">
        <w:t>d</w:t>
      </w:r>
      <w:r w:rsidRPr="00794E2D">
        <w:t xml:space="preserve">isease </w:t>
      </w:r>
      <w:r w:rsidR="00794E2D">
        <w:t>u</w:t>
      </w:r>
      <w:r w:rsidRPr="00794E2D">
        <w:t xml:space="preserve">ndergoing a </w:t>
      </w:r>
      <w:r w:rsidR="00794E2D">
        <w:t>p</w:t>
      </w:r>
      <w:r w:rsidRPr="00794E2D">
        <w:t>rocedure. This was a real-world cohort study that included data from 48 unique patients (50 enrolments) with a median age of 61.2</w:t>
      </w:r>
      <w:r w:rsidR="00794E2D">
        <w:t> </w:t>
      </w:r>
      <w:r w:rsidRPr="00794E2D">
        <w:t xml:space="preserve">years, mostly male (5%), White (82%) and with a range of conditions underlying their chronic liver disease. The mean </w:t>
      </w:r>
      <w:r w:rsidR="00E9222E">
        <w:t>B</w:t>
      </w:r>
      <w:r w:rsidRPr="00794E2D">
        <w:t>aseline platelet count was 47</w:t>
      </w:r>
      <w:r w:rsidR="00794E2D">
        <w:t> </w:t>
      </w:r>
      <w:r w:rsidRPr="00794E2D">
        <w:t>x</w:t>
      </w:r>
      <w:r w:rsidR="00794E2D">
        <w:t> 1</w:t>
      </w:r>
      <w:r w:rsidRPr="00794E2D">
        <w:t>0</w:t>
      </w:r>
      <w:r w:rsidRPr="00794E2D">
        <w:rPr>
          <w:vertAlign w:val="superscript"/>
        </w:rPr>
        <w:t>9</w:t>
      </w:r>
      <w:r w:rsidRPr="00794E2D">
        <w:t xml:space="preserve">/L and </w:t>
      </w:r>
      <w:r w:rsidR="00794E2D">
        <w:t>five</w:t>
      </w:r>
      <w:r w:rsidRPr="00794E2D">
        <w:t xml:space="preserve"> patients had prior Doptelet exposure. The median increase in platelet count from </w:t>
      </w:r>
      <w:r w:rsidR="00794E2D">
        <w:t>B</w:t>
      </w:r>
      <w:r w:rsidRPr="00794E2D">
        <w:t>aseline was 41.1</w:t>
      </w:r>
      <w:r w:rsidR="00794E2D">
        <w:t> </w:t>
      </w:r>
      <w:r w:rsidRPr="00794E2D">
        <w:t>x</w:t>
      </w:r>
      <w:r w:rsidR="00794E2D">
        <w:t> </w:t>
      </w:r>
      <w:r w:rsidRPr="00794E2D">
        <w:t>10</w:t>
      </w:r>
      <w:r w:rsidRPr="00794E2D">
        <w:rPr>
          <w:vertAlign w:val="superscript"/>
        </w:rPr>
        <w:t>9</w:t>
      </w:r>
      <w:r w:rsidRPr="00794E2D">
        <w:t xml:space="preserve">/L. Procedures included upper </w:t>
      </w:r>
      <w:r w:rsidR="00794E2D">
        <w:t>gastrointestinal</w:t>
      </w:r>
      <w:r w:rsidRPr="00794E2D">
        <w:t xml:space="preserve"> endoscopy (56% primary procedure, 4% secondary procedure) or colonoscopy (10% primary procedure, 6% secondary procedure). From the main analysis, only </w:t>
      </w:r>
      <w:r w:rsidR="00794E2D">
        <w:t>one</w:t>
      </w:r>
      <w:r w:rsidRPr="00794E2D">
        <w:t xml:space="preserve"> patient, with a </w:t>
      </w:r>
      <w:r w:rsidR="00794E2D">
        <w:t>B</w:t>
      </w:r>
      <w:r w:rsidRPr="00794E2D">
        <w:t>aseline platelet count of 34</w:t>
      </w:r>
      <w:r w:rsidR="00794E2D">
        <w:t> </w:t>
      </w:r>
      <w:r w:rsidRPr="00794E2D">
        <w:t>x</w:t>
      </w:r>
      <w:r w:rsidR="00794E2D">
        <w:t> </w:t>
      </w:r>
      <w:r w:rsidRPr="00794E2D">
        <w:t>10</w:t>
      </w:r>
      <w:r w:rsidRPr="00794E2D">
        <w:rPr>
          <w:vertAlign w:val="superscript"/>
        </w:rPr>
        <w:t>9</w:t>
      </w:r>
      <w:r w:rsidRPr="00794E2D">
        <w:t xml:space="preserve">/L required a platelet transfusion. From exploratory analyses 50% of patients with a </w:t>
      </w:r>
      <w:r w:rsidR="00794E2D">
        <w:t>B</w:t>
      </w:r>
      <w:r w:rsidRPr="00794E2D">
        <w:t>aseline platelet count of 40</w:t>
      </w:r>
      <w:r w:rsidR="00794E2D">
        <w:t> </w:t>
      </w:r>
      <w:r w:rsidRPr="00794E2D">
        <w:t>x</w:t>
      </w:r>
      <w:r w:rsidR="00794E2D">
        <w:t> </w:t>
      </w:r>
      <w:r w:rsidRPr="00794E2D">
        <w:t>10</w:t>
      </w:r>
      <w:r w:rsidRPr="00794E2D">
        <w:rPr>
          <w:vertAlign w:val="superscript"/>
        </w:rPr>
        <w:t>9</w:t>
      </w:r>
      <w:r w:rsidRPr="00794E2D">
        <w:t>/L</w:t>
      </w:r>
      <w:r w:rsidR="00794E2D">
        <w:t xml:space="preserve"> </w:t>
      </w:r>
      <w:r w:rsidRPr="00794E2D">
        <w:t xml:space="preserve">and 82.4% with a </w:t>
      </w:r>
      <w:r w:rsidR="00794E2D">
        <w:t>B</w:t>
      </w:r>
      <w:r w:rsidRPr="00794E2D">
        <w:t>aseline platelet count 40</w:t>
      </w:r>
      <w:r w:rsidR="00794E2D">
        <w:t> </w:t>
      </w:r>
      <w:r w:rsidRPr="00794E2D">
        <w:t>x</w:t>
      </w:r>
      <w:r w:rsidR="00794E2D">
        <w:t> </w:t>
      </w:r>
      <w:r w:rsidRPr="00794E2D">
        <w:t>10</w:t>
      </w:r>
      <w:r w:rsidRPr="00794E2D">
        <w:rPr>
          <w:vertAlign w:val="superscript"/>
        </w:rPr>
        <w:t>9</w:t>
      </w:r>
      <w:r w:rsidRPr="00794E2D">
        <w:t>/L to 50</w:t>
      </w:r>
      <w:r w:rsidR="00794E2D">
        <w:t> </w:t>
      </w:r>
      <w:r w:rsidRPr="00794E2D">
        <w:t>x</w:t>
      </w:r>
      <w:r w:rsidR="00794E2D">
        <w:t> </w:t>
      </w:r>
      <w:r w:rsidRPr="00794E2D">
        <w:t>10</w:t>
      </w:r>
      <w:r w:rsidRPr="00794E2D">
        <w:rPr>
          <w:vertAlign w:val="superscript"/>
        </w:rPr>
        <w:t>9</w:t>
      </w:r>
      <w:r w:rsidRPr="00794E2D">
        <w:t xml:space="preserve">/L achieved a platelet count </w:t>
      </w:r>
      <w:r w:rsidR="00794E2D">
        <w:t>5</w:t>
      </w:r>
      <w:r w:rsidRPr="00794E2D">
        <w:t>0</w:t>
      </w:r>
      <w:r w:rsidR="00794E2D">
        <w:t> </w:t>
      </w:r>
      <w:r w:rsidRPr="00794E2D">
        <w:t>x</w:t>
      </w:r>
      <w:r w:rsidR="00794E2D">
        <w:t> </w:t>
      </w:r>
      <w:r w:rsidRPr="00794E2D">
        <w:t>10</w:t>
      </w:r>
      <w:r w:rsidRPr="00794E2D">
        <w:rPr>
          <w:vertAlign w:val="superscript"/>
        </w:rPr>
        <w:t>9</w:t>
      </w:r>
      <w:r w:rsidRPr="00794E2D">
        <w:t>/L</w:t>
      </w:r>
      <w:r w:rsidR="00794E2D">
        <w:t xml:space="preserve"> or greater</w:t>
      </w:r>
      <w:r w:rsidRPr="00794E2D">
        <w:t xml:space="preserve"> on the day of procedure.</w:t>
      </w:r>
    </w:p>
    <w:p w14:paraId="5EEE2B47" w14:textId="77777777" w:rsidR="00C94BBC" w:rsidRPr="00340669" w:rsidRDefault="00C94BBC" w:rsidP="00794E2D">
      <w:pPr>
        <w:pStyle w:val="Heading7"/>
      </w:pPr>
      <w:r>
        <w:t>Pooled efficacy analysis</w:t>
      </w:r>
    </w:p>
    <w:p w14:paraId="71FF349B" w14:textId="6F612C11" w:rsidR="00C94BBC" w:rsidRPr="00794E2D" w:rsidRDefault="00C94BBC" w:rsidP="00794E2D">
      <w:r w:rsidRPr="00794E2D">
        <w:t xml:space="preserve">Pooled analyses of the primary, secondary, and other efficacy endpoints in the pooled </w:t>
      </w:r>
      <w:r w:rsidR="00794E2D">
        <w:t>full analysis set</w:t>
      </w:r>
      <w:r w:rsidRPr="00794E2D">
        <w:t xml:space="preserve"> from </w:t>
      </w:r>
      <w:r w:rsidR="00794E2D">
        <w:t>S</w:t>
      </w:r>
      <w:r w:rsidRPr="00794E2D">
        <w:t xml:space="preserve">tudies 310 and 311 were conducted. The </w:t>
      </w:r>
      <w:r w:rsidR="00794E2D">
        <w:t>c</w:t>
      </w:r>
      <w:r w:rsidRPr="00794E2D">
        <w:t xml:space="preserve">linical </w:t>
      </w:r>
      <w:r w:rsidR="00794E2D">
        <w:t>e</w:t>
      </w:r>
      <w:r w:rsidRPr="00794E2D">
        <w:t>valuat</w:t>
      </w:r>
      <w:r w:rsidR="00794E2D">
        <w:t>ion</w:t>
      </w:r>
      <w:r w:rsidRPr="00794E2D">
        <w:t xml:space="preserve"> noted the results </w:t>
      </w:r>
      <w:r w:rsidRPr="00794E2D">
        <w:lastRenderedPageBreak/>
        <w:t>should be interpreted considering the definition of response was based on intervention rather than platelet count per se.</w:t>
      </w:r>
    </w:p>
    <w:p w14:paraId="66921B23" w14:textId="7DE48DC5" w:rsidR="00C94BBC" w:rsidRPr="00794E2D" w:rsidRDefault="00C94BBC" w:rsidP="00794E2D">
      <w:r w:rsidRPr="00794E2D">
        <w:t>For the primary endpoint the following comparison demonstrates similar results between Studies 310 and 311.</w:t>
      </w:r>
    </w:p>
    <w:p w14:paraId="0E27FF3C" w14:textId="10346B8C" w:rsidR="00C94BBC" w:rsidRDefault="00C94BBC" w:rsidP="00794E2D">
      <w:pPr>
        <w:pStyle w:val="FigureTitle"/>
      </w:pPr>
      <w:r>
        <w:t xml:space="preserve">Figure </w:t>
      </w:r>
      <w:r w:rsidR="008A4248">
        <w:fldChar w:fldCharType="begin"/>
      </w:r>
      <w:r w:rsidR="008A4248">
        <w:instrText xml:space="preserve"> SEQ Figure \* ARABIC </w:instrText>
      </w:r>
      <w:r w:rsidR="008A4248">
        <w:fldChar w:fldCharType="separate"/>
      </w:r>
      <w:r w:rsidR="00197355">
        <w:rPr>
          <w:noProof/>
        </w:rPr>
        <w:t>9</w:t>
      </w:r>
      <w:r w:rsidR="008A4248">
        <w:rPr>
          <w:noProof/>
        </w:rPr>
        <w:fldChar w:fldCharType="end"/>
      </w:r>
      <w:r w:rsidR="00794E2D">
        <w:rPr>
          <w:color w:val="7030A0"/>
          <w:szCs w:val="22"/>
        </w:rPr>
        <w:t xml:space="preserve">: </w:t>
      </w:r>
      <w:r w:rsidRPr="00AC4D46">
        <w:t>Comparison of avatrombopag</w:t>
      </w:r>
      <w:r w:rsidR="00794E2D">
        <w:t xml:space="preserve"> </w:t>
      </w:r>
      <w:r w:rsidRPr="00AC4D46">
        <w:t xml:space="preserve">induced treatment difference in the proportion of </w:t>
      </w:r>
      <w:r>
        <w:t>patient</w:t>
      </w:r>
      <w:r w:rsidRPr="00AC4D46">
        <w:t xml:space="preserve">s not requiring a platelet transfusion or any rescue procedure for bleeding across </w:t>
      </w:r>
      <w:r w:rsidR="00794E2D">
        <w:t>P</w:t>
      </w:r>
      <w:r w:rsidRPr="00AC4D46">
        <w:t xml:space="preserve">hase </w:t>
      </w:r>
      <w:r w:rsidR="00794E2D">
        <w:t>III</w:t>
      </w:r>
      <w:r w:rsidRPr="00AC4D46">
        <w:t xml:space="preserve"> studies</w:t>
      </w:r>
      <w:r w:rsidR="00794E2D">
        <w:t>, full analysis set</w:t>
      </w:r>
    </w:p>
    <w:p w14:paraId="0CCF62FA" w14:textId="787431B9" w:rsidR="00794E2D" w:rsidRDefault="00794E2D" w:rsidP="00794E2D">
      <w:r>
        <w:rPr>
          <w:noProof/>
        </w:rPr>
        <w:drawing>
          <wp:inline distT="0" distB="0" distL="0" distR="0" wp14:anchorId="567BB9CB" wp14:editId="7875F388">
            <wp:extent cx="4648200" cy="4136744"/>
            <wp:effectExtent l="0" t="0" r="0" b="0"/>
            <wp:docPr id="5" name="Picture 5" descr="Comparison of avatrombopag induced treatment difference in the proportion of patients not requiring a platelet transfusion or any rescue procedure for bleeding across Phase III studi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parison of avatrombopag induced treatment difference in the proportion of patients not requiring a platelet transfusion or any rescue procedure for bleeding across Phase III studies, full analysis set"/>
                    <pic:cNvPicPr/>
                  </pic:nvPicPr>
                  <pic:blipFill>
                    <a:blip r:embed="rId37"/>
                    <a:stretch>
                      <a:fillRect/>
                    </a:stretch>
                  </pic:blipFill>
                  <pic:spPr>
                    <a:xfrm>
                      <a:off x="0" y="0"/>
                      <a:ext cx="4657752" cy="4145245"/>
                    </a:xfrm>
                    <a:prstGeom prst="rect">
                      <a:avLst/>
                    </a:prstGeom>
                  </pic:spPr>
                </pic:pic>
              </a:graphicData>
            </a:graphic>
          </wp:inline>
        </w:drawing>
      </w:r>
    </w:p>
    <w:p w14:paraId="39D565B3" w14:textId="47F5A0F6" w:rsidR="00794E2D" w:rsidRDefault="00794E2D" w:rsidP="00794E2D">
      <w:pPr>
        <w:pStyle w:val="FigureDescription"/>
      </w:pPr>
      <w:r>
        <w:t>Responders were defined as the subjects not requiring a platelet transfusion or any rescue procedure for bleeding after randomisation and up to 7 days following a scheduled procedure.</w:t>
      </w:r>
    </w:p>
    <w:p w14:paraId="4AAB44FD" w14:textId="5454C682" w:rsidR="00794E2D" w:rsidRDefault="00794E2D" w:rsidP="00794E2D">
      <w:pPr>
        <w:pStyle w:val="FigureDescription"/>
      </w:pPr>
      <w:r>
        <w:t>Values represent the difference in proportion versus placebo = proportion of responders for avatrombopag – proportion of responders for placebo.</w:t>
      </w:r>
    </w:p>
    <w:p w14:paraId="1CA48B35" w14:textId="27828A42" w:rsidR="00794E2D" w:rsidRPr="00794E2D" w:rsidRDefault="00794E2D" w:rsidP="00794E2D">
      <w:pPr>
        <w:pStyle w:val="FigureDescription"/>
      </w:pPr>
      <w:r>
        <w:rPr>
          <w:i/>
          <w:iCs/>
        </w:rPr>
        <w:t xml:space="preserve">P </w:t>
      </w:r>
      <w:r>
        <w:t>value is based on Cochran-Mantel-Haenszel test stratified by the risk of bleeding associated with the scheduled procedure within each Baseline platelet count cohort.</w:t>
      </w:r>
    </w:p>
    <w:p w14:paraId="10F9E6D2" w14:textId="77777777" w:rsidR="00C94BBC" w:rsidRPr="00794E2D" w:rsidRDefault="00C94BBC" w:rsidP="00794E2D">
      <w:r w:rsidRPr="00794E2D">
        <w:t>The similarity of the pooled and individual study analyses was demonstrated for the secondary endpoints also.</w:t>
      </w:r>
    </w:p>
    <w:p w14:paraId="5E18B172" w14:textId="60B2FA29" w:rsidR="00C94BBC" w:rsidRDefault="00C94BBC" w:rsidP="00794E2D">
      <w:pPr>
        <w:pStyle w:val="Heading5"/>
      </w:pPr>
      <w:r>
        <w:t xml:space="preserve">Immune </w:t>
      </w:r>
      <w:r w:rsidR="00E9222E">
        <w:t>t</w:t>
      </w:r>
      <w:r>
        <w:t>hrombocytopenia</w:t>
      </w:r>
    </w:p>
    <w:p w14:paraId="745C543A" w14:textId="77777777" w:rsidR="00C94BBC" w:rsidRDefault="00C94BBC" w:rsidP="00794E2D">
      <w:pPr>
        <w:pStyle w:val="Heading6"/>
      </w:pPr>
      <w:r>
        <w:t>Study 302</w:t>
      </w:r>
    </w:p>
    <w:p w14:paraId="151831E7" w14:textId="410626F7" w:rsidR="00C94BBC" w:rsidRPr="00794E2D" w:rsidRDefault="00C94BBC" w:rsidP="00794E2D">
      <w:r w:rsidRPr="00794E2D">
        <w:t xml:space="preserve">A Phase </w:t>
      </w:r>
      <w:r w:rsidR="00794E2D">
        <w:t>III</w:t>
      </w:r>
      <w:r w:rsidRPr="00794E2D">
        <w:t>, multicentre, multinational, randomised, double</w:t>
      </w:r>
      <w:r w:rsidR="00794E2D">
        <w:t xml:space="preserve"> </w:t>
      </w:r>
      <w:r w:rsidRPr="00794E2D">
        <w:t>blind, placebo</w:t>
      </w:r>
      <w:r w:rsidR="00794E2D">
        <w:t xml:space="preserve"> </w:t>
      </w:r>
      <w:r w:rsidRPr="00794E2D">
        <w:t>controlled, parallel</w:t>
      </w:r>
      <w:r w:rsidR="00794E2D">
        <w:t xml:space="preserve"> </w:t>
      </w:r>
      <w:r w:rsidRPr="00794E2D">
        <w:t>group trial with an open</w:t>
      </w:r>
      <w:r w:rsidR="00794E2D">
        <w:t xml:space="preserve"> </w:t>
      </w:r>
      <w:r w:rsidRPr="00794E2D">
        <w:t xml:space="preserve">label extension phase to evaluate the efficacy and safety of </w:t>
      </w:r>
      <w:r w:rsidR="007F165A" w:rsidRPr="00794E2D">
        <w:t xml:space="preserve">avatrombopag </w:t>
      </w:r>
      <w:r w:rsidRPr="00794E2D">
        <w:t xml:space="preserve">plus standard of care for the treatment of thrombocytopenia in 49 </w:t>
      </w:r>
      <w:r w:rsidR="00794E2D">
        <w:t>a</w:t>
      </w:r>
      <w:r w:rsidRPr="00794E2D">
        <w:t xml:space="preserve">dults with chronic </w:t>
      </w:r>
      <w:r w:rsidR="00794E2D">
        <w:t>immune thrombocytop</w:t>
      </w:r>
      <w:r w:rsidR="00794E2D" w:rsidRPr="00E9222E">
        <w:t>enia (</w:t>
      </w:r>
      <w:r w:rsidRPr="00E9222E">
        <w:t>ITP</w:t>
      </w:r>
      <w:r w:rsidR="00794E2D" w:rsidRPr="00E9222E">
        <w:t>)</w:t>
      </w:r>
      <w:r w:rsidRPr="00794E2D">
        <w:t xml:space="preserve"> conducted from February 2012 to April 2015.</w:t>
      </w:r>
    </w:p>
    <w:p w14:paraId="5C3F3612" w14:textId="6090122C" w:rsidR="00C94BBC" w:rsidRPr="00794E2D" w:rsidRDefault="00C94BBC" w:rsidP="00794E2D">
      <w:r w:rsidRPr="00794E2D">
        <w:t>The study was conducted at 27 sites in Australia, Belgium, Bulgaria, Czech Republic, Netherlands, New Zealand, Poland, Singapore, Slovakia, South Africa, and Ukraine.</w:t>
      </w:r>
    </w:p>
    <w:p w14:paraId="000A3180" w14:textId="3FF2EB7D" w:rsidR="00C94BBC" w:rsidRPr="00794E2D" w:rsidRDefault="00C94BBC" w:rsidP="00794E2D">
      <w:r w:rsidRPr="00794E2D">
        <w:lastRenderedPageBreak/>
        <w:t>The study had three main phases: a pre</w:t>
      </w:r>
      <w:r w:rsidR="00E9222E">
        <w:t>-</w:t>
      </w:r>
      <w:r w:rsidRPr="00794E2D">
        <w:t>randomisation phase, a double</w:t>
      </w:r>
      <w:r w:rsidR="00794E2D">
        <w:t xml:space="preserve"> </w:t>
      </w:r>
      <w:r w:rsidRPr="00794E2D">
        <w:t xml:space="preserve">blind, randomised study (the </w:t>
      </w:r>
      <w:r w:rsidR="00794E2D">
        <w:t>c</w:t>
      </w:r>
      <w:r w:rsidRPr="00794E2D">
        <w:t>ore part of the study) and an open</w:t>
      </w:r>
      <w:r w:rsidR="00794E2D">
        <w:t xml:space="preserve"> </w:t>
      </w:r>
      <w:r w:rsidRPr="00794E2D">
        <w:t xml:space="preserve">label </w:t>
      </w:r>
      <w:r w:rsidR="00794E2D">
        <w:t>e</w:t>
      </w:r>
      <w:r w:rsidRPr="00794E2D">
        <w:t xml:space="preserve">xtension phase. This is summarised in </w:t>
      </w:r>
      <w:r w:rsidR="00794E2D">
        <w:fldChar w:fldCharType="begin"/>
      </w:r>
      <w:r w:rsidR="00794E2D">
        <w:instrText xml:space="preserve"> REF _Ref151623862 \h </w:instrText>
      </w:r>
      <w:r w:rsidR="00794E2D">
        <w:fldChar w:fldCharType="separate"/>
      </w:r>
      <w:r w:rsidR="00197355">
        <w:t xml:space="preserve">Figure </w:t>
      </w:r>
      <w:r w:rsidR="00197355">
        <w:rPr>
          <w:noProof/>
        </w:rPr>
        <w:t>10</w:t>
      </w:r>
      <w:r w:rsidR="00794E2D">
        <w:fldChar w:fldCharType="end"/>
      </w:r>
      <w:r w:rsidR="00794E2D">
        <w:t xml:space="preserve"> and </w:t>
      </w:r>
      <w:r w:rsidR="00794E2D">
        <w:fldChar w:fldCharType="begin"/>
      </w:r>
      <w:r w:rsidR="00794E2D">
        <w:instrText xml:space="preserve"> REF _Ref151623871 \h </w:instrText>
      </w:r>
      <w:r w:rsidR="00794E2D">
        <w:fldChar w:fldCharType="separate"/>
      </w:r>
      <w:r w:rsidR="00197355">
        <w:t xml:space="preserve">Figure </w:t>
      </w:r>
      <w:r w:rsidR="00197355">
        <w:rPr>
          <w:noProof/>
        </w:rPr>
        <w:t>12</w:t>
      </w:r>
      <w:r w:rsidR="00794E2D">
        <w:fldChar w:fldCharType="end"/>
      </w:r>
      <w:r w:rsidR="00794E2D">
        <w:t xml:space="preserve"> </w:t>
      </w:r>
      <w:r w:rsidRPr="00794E2D">
        <w:t xml:space="preserve">below. Dose tapering and follow-up at the end of the </w:t>
      </w:r>
      <w:r w:rsidR="00794E2D">
        <w:t>c</w:t>
      </w:r>
      <w:r w:rsidRPr="00794E2D">
        <w:t xml:space="preserve">ore </w:t>
      </w:r>
      <w:r w:rsidR="00794E2D">
        <w:t>s</w:t>
      </w:r>
      <w:r w:rsidRPr="00794E2D">
        <w:t xml:space="preserve">tudy was only needed for patients not continuing into the </w:t>
      </w:r>
      <w:r w:rsidR="00794E2D">
        <w:t>e</w:t>
      </w:r>
      <w:r w:rsidRPr="00794E2D">
        <w:t>xtension phase.</w:t>
      </w:r>
    </w:p>
    <w:p w14:paraId="2219B0A0" w14:textId="4A3BE152" w:rsidR="00C94BBC" w:rsidRDefault="00C94BBC" w:rsidP="00794E2D">
      <w:pPr>
        <w:pStyle w:val="FigureTitle"/>
      </w:pPr>
      <w:bookmarkStart w:id="65" w:name="_Ref151623862"/>
      <w:r>
        <w:t xml:space="preserve">Figure </w:t>
      </w:r>
      <w:r w:rsidR="008A4248">
        <w:fldChar w:fldCharType="begin"/>
      </w:r>
      <w:r w:rsidR="008A4248">
        <w:instrText xml:space="preserve"> SEQ Figure \* ARABIC </w:instrText>
      </w:r>
      <w:r w:rsidR="008A4248">
        <w:fldChar w:fldCharType="separate"/>
      </w:r>
      <w:r w:rsidR="00197355">
        <w:rPr>
          <w:noProof/>
        </w:rPr>
        <w:t>10</w:t>
      </w:r>
      <w:r w:rsidR="008A4248">
        <w:rPr>
          <w:noProof/>
        </w:rPr>
        <w:fldChar w:fldCharType="end"/>
      </w:r>
      <w:bookmarkEnd w:id="65"/>
      <w:r w:rsidR="00794E2D">
        <w:rPr>
          <w:noProof/>
        </w:rPr>
        <w:t>:</w:t>
      </w:r>
      <w:r>
        <w:t xml:space="preserve"> Study 302</w:t>
      </w:r>
      <w:r w:rsidR="00794E2D">
        <w:t xml:space="preserve"> d</w:t>
      </w:r>
      <w:r>
        <w:t xml:space="preserve">esign </w:t>
      </w:r>
      <w:r w:rsidR="00794E2D">
        <w:t>s</w:t>
      </w:r>
      <w:r>
        <w:t>chematic</w:t>
      </w:r>
    </w:p>
    <w:p w14:paraId="149A322C" w14:textId="5EE193C4" w:rsidR="00794E2D" w:rsidRDefault="00794E2D" w:rsidP="008A4248">
      <w:r>
        <w:rPr>
          <w:noProof/>
        </w:rPr>
        <w:drawing>
          <wp:inline distT="0" distB="0" distL="0" distR="0" wp14:anchorId="0EEEB207" wp14:editId="2E722E15">
            <wp:extent cx="5759450" cy="3219450"/>
            <wp:effectExtent l="0" t="0" r="0" b="0"/>
            <wp:docPr id="19" name="Picture 19" descr="Study 302 consisted of three main phases, pre-randomisation, randomisation and extension. Pre-randomisation had 1 screening period. Randomisation had 6 periods including, Baseline/randomisation, titration, concomitant ITP medication reduction, maintenance, dose tapering and follow-up. Dose tapering and follow-up were only required for participants that did not continue to the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302 consisted of three main phases, pre-randomisation, randomisation and extension. Pre-randomisation had 1 screening period. Randomisation had 6 periods including, Baseline/randomisation, titration, concomitant ITP medication reduction, maintenance, dose tapering and follow-up. Dose tapering and follow-up were only required for participants that did not continue to the extension phase."/>
                    <pic:cNvPicPr/>
                  </pic:nvPicPr>
                  <pic:blipFill>
                    <a:blip r:embed="rId38"/>
                    <a:stretch>
                      <a:fillRect/>
                    </a:stretch>
                  </pic:blipFill>
                  <pic:spPr>
                    <a:xfrm>
                      <a:off x="0" y="0"/>
                      <a:ext cx="5759450" cy="3219450"/>
                    </a:xfrm>
                    <a:prstGeom prst="rect">
                      <a:avLst/>
                    </a:prstGeom>
                  </pic:spPr>
                </pic:pic>
              </a:graphicData>
            </a:graphic>
          </wp:inline>
        </w:drawing>
      </w:r>
    </w:p>
    <w:p w14:paraId="30DCC371" w14:textId="4D6F96F7" w:rsidR="00794E2D" w:rsidRPr="00794E2D" w:rsidRDefault="00794E2D" w:rsidP="00794E2D">
      <w:pPr>
        <w:pStyle w:val="FigureDescription"/>
        <w:rPr>
          <w:lang w:val="en-US"/>
        </w:rPr>
      </w:pPr>
      <w:r w:rsidRPr="00794E2D">
        <w:t xml:space="preserve">Abbreviations: </w:t>
      </w:r>
      <w:r w:rsidRPr="00794E2D">
        <w:rPr>
          <w:lang w:val="en-US"/>
        </w:rPr>
        <w:t>BL = baseline, EOT = end-of-treatment, ITP = immune thrombocytopenia (idiopathic thrombocytopenic purpura), PR =</w:t>
      </w:r>
      <w:r w:rsidRPr="00794E2D">
        <w:t xml:space="preserve"> </w:t>
      </w:r>
      <w:r w:rsidRPr="00794E2D">
        <w:rPr>
          <w:lang w:val="en-US"/>
        </w:rPr>
        <w:t>pre</w:t>
      </w:r>
      <w:r>
        <w:rPr>
          <w:lang w:val="en-US"/>
        </w:rPr>
        <w:t>-</w:t>
      </w:r>
      <w:proofErr w:type="spellStart"/>
      <w:r w:rsidRPr="00794E2D">
        <w:rPr>
          <w:lang w:val="en-US"/>
        </w:rPr>
        <w:t>randomi</w:t>
      </w:r>
      <w:r>
        <w:rPr>
          <w:lang w:val="en-US"/>
        </w:rPr>
        <w:t>s</w:t>
      </w:r>
      <w:r w:rsidRPr="00794E2D">
        <w:rPr>
          <w:lang w:val="en-US"/>
        </w:rPr>
        <w:t>ation</w:t>
      </w:r>
      <w:proofErr w:type="spellEnd"/>
      <w:r w:rsidRPr="00794E2D">
        <w:rPr>
          <w:lang w:val="en-US"/>
        </w:rPr>
        <w:t xml:space="preserve">, R = </w:t>
      </w:r>
      <w:proofErr w:type="spellStart"/>
      <w:r w:rsidRPr="00794E2D">
        <w:rPr>
          <w:lang w:val="en-US"/>
        </w:rPr>
        <w:t>randomi</w:t>
      </w:r>
      <w:r>
        <w:rPr>
          <w:lang w:val="en-US"/>
        </w:rPr>
        <w:t>s</w:t>
      </w:r>
      <w:r w:rsidRPr="00794E2D">
        <w:rPr>
          <w:lang w:val="en-US"/>
        </w:rPr>
        <w:t>ation</w:t>
      </w:r>
      <w:proofErr w:type="spellEnd"/>
    </w:p>
    <w:p w14:paraId="3D96F427" w14:textId="77777777" w:rsidR="00794E2D" w:rsidRPr="00794E2D" w:rsidRDefault="00794E2D" w:rsidP="00794E2D">
      <w:pPr>
        <w:pStyle w:val="FigureDescription"/>
      </w:pPr>
      <w:r>
        <w:t xml:space="preserve">Note: </w:t>
      </w:r>
      <w:r w:rsidRPr="00794E2D">
        <w:t>E5501 is the code for avatrombopag</w:t>
      </w:r>
      <w:r>
        <w:t>.</w:t>
      </w:r>
    </w:p>
    <w:p w14:paraId="3EA57B2C" w14:textId="360E3751" w:rsidR="00794E2D" w:rsidRPr="00794E2D" w:rsidRDefault="00794E2D" w:rsidP="00794E2D">
      <w:pPr>
        <w:pStyle w:val="FigureDescription"/>
        <w:rPr>
          <w:lang w:val="en-US"/>
        </w:rPr>
      </w:pPr>
      <w:r w:rsidRPr="00794E2D">
        <w:rPr>
          <w:lang w:val="en-US"/>
        </w:rPr>
        <w:t xml:space="preserve">a: At the EOT Visit (Visit 22), subjects had the choice to enter the </w:t>
      </w:r>
      <w:r>
        <w:rPr>
          <w:lang w:val="en-US"/>
        </w:rPr>
        <w:t>e</w:t>
      </w:r>
      <w:r w:rsidRPr="00794E2D">
        <w:rPr>
          <w:lang w:val="en-US"/>
        </w:rPr>
        <w:t xml:space="preserve">xtension </w:t>
      </w:r>
      <w:r>
        <w:rPr>
          <w:lang w:val="en-US"/>
        </w:rPr>
        <w:t>p</w:t>
      </w:r>
      <w:r w:rsidRPr="00794E2D">
        <w:rPr>
          <w:lang w:val="en-US"/>
        </w:rPr>
        <w:t>hase and to receive open</w:t>
      </w:r>
      <w:r>
        <w:rPr>
          <w:lang w:val="en-US"/>
        </w:rPr>
        <w:t xml:space="preserve"> </w:t>
      </w:r>
      <w:r w:rsidRPr="00794E2D">
        <w:rPr>
          <w:lang w:val="en-US"/>
        </w:rPr>
        <w:t>label</w:t>
      </w:r>
      <w:r>
        <w:rPr>
          <w:lang w:val="en-US"/>
        </w:rPr>
        <w:t xml:space="preserve"> </w:t>
      </w:r>
      <w:r w:rsidRPr="00794E2D">
        <w:rPr>
          <w:lang w:val="en-US"/>
        </w:rPr>
        <w:t xml:space="preserve">avatrombopag therapy. Subjects who did not continue into the </w:t>
      </w:r>
      <w:r>
        <w:rPr>
          <w:lang w:val="en-US"/>
        </w:rPr>
        <w:t>e</w:t>
      </w:r>
      <w:r w:rsidRPr="00794E2D">
        <w:rPr>
          <w:lang w:val="en-US"/>
        </w:rPr>
        <w:t xml:space="preserve">xtension </w:t>
      </w:r>
      <w:r>
        <w:rPr>
          <w:lang w:val="en-US"/>
        </w:rPr>
        <w:t>p</w:t>
      </w:r>
      <w:r w:rsidRPr="00794E2D">
        <w:rPr>
          <w:lang w:val="en-US"/>
        </w:rPr>
        <w:t xml:space="preserve">hase entered the </w:t>
      </w:r>
      <w:r>
        <w:rPr>
          <w:lang w:val="en-US"/>
        </w:rPr>
        <w:t>d</w:t>
      </w:r>
      <w:r w:rsidRPr="00794E2D">
        <w:rPr>
          <w:lang w:val="en-US"/>
        </w:rPr>
        <w:t xml:space="preserve">ose-tapering and </w:t>
      </w:r>
      <w:r>
        <w:rPr>
          <w:lang w:val="en-US"/>
        </w:rPr>
        <w:t>f</w:t>
      </w:r>
      <w:r w:rsidRPr="00794E2D">
        <w:rPr>
          <w:lang w:val="en-US"/>
        </w:rPr>
        <w:t>ollow</w:t>
      </w:r>
      <w:r>
        <w:rPr>
          <w:lang w:val="en-US"/>
        </w:rPr>
        <w:t>-</w:t>
      </w:r>
      <w:r w:rsidRPr="00794E2D">
        <w:rPr>
          <w:lang w:val="en-US"/>
        </w:rPr>
        <w:t>up</w:t>
      </w:r>
      <w:r>
        <w:rPr>
          <w:lang w:val="en-US"/>
        </w:rPr>
        <w:t xml:space="preserve"> p</w:t>
      </w:r>
      <w:r w:rsidRPr="00794E2D">
        <w:rPr>
          <w:lang w:val="en-US"/>
        </w:rPr>
        <w:t>eriods.</w:t>
      </w:r>
    </w:p>
    <w:p w14:paraId="6D7321F2" w14:textId="4114382C" w:rsidR="00794E2D" w:rsidRPr="00794E2D" w:rsidRDefault="00794E2D" w:rsidP="00794E2D">
      <w:pPr>
        <w:pStyle w:val="FigureDescription"/>
        <w:rPr>
          <w:lang w:val="en-US"/>
        </w:rPr>
      </w:pPr>
      <w:r w:rsidRPr="00794E2D">
        <w:rPr>
          <w:lang w:val="en-US"/>
        </w:rPr>
        <w:t xml:space="preserve">b: Only for subjects who did not enter the </w:t>
      </w:r>
      <w:r>
        <w:rPr>
          <w:lang w:val="en-US"/>
        </w:rPr>
        <w:t>e</w:t>
      </w:r>
      <w:r w:rsidRPr="00794E2D">
        <w:rPr>
          <w:lang w:val="en-US"/>
        </w:rPr>
        <w:t xml:space="preserve">xtension </w:t>
      </w:r>
      <w:r>
        <w:rPr>
          <w:lang w:val="en-US"/>
        </w:rPr>
        <w:t>p</w:t>
      </w:r>
      <w:r w:rsidRPr="00794E2D">
        <w:rPr>
          <w:lang w:val="en-US"/>
        </w:rPr>
        <w:t>hase.</w:t>
      </w:r>
    </w:p>
    <w:p w14:paraId="0E764AB6" w14:textId="4ED655EB" w:rsidR="00794E2D" w:rsidRPr="00794E2D" w:rsidRDefault="00794E2D" w:rsidP="00794E2D">
      <w:pPr>
        <w:pStyle w:val="FigureDescription"/>
        <w:rPr>
          <w:lang w:val="en-US"/>
        </w:rPr>
      </w:pPr>
      <w:r w:rsidRPr="00794E2D">
        <w:rPr>
          <w:lang w:val="en-US"/>
        </w:rPr>
        <w:t xml:space="preserve">c: See </w:t>
      </w:r>
      <w:r>
        <w:rPr>
          <w:highlight w:val="yellow"/>
          <w:lang w:val="en-US"/>
        </w:rPr>
        <w:fldChar w:fldCharType="begin"/>
      </w:r>
      <w:r>
        <w:rPr>
          <w:lang w:val="en-US"/>
        </w:rPr>
        <w:instrText xml:space="preserve"> REF _Ref151624993 \h </w:instrText>
      </w:r>
      <w:r>
        <w:rPr>
          <w:highlight w:val="yellow"/>
          <w:lang w:val="en-US"/>
        </w:rPr>
      </w:r>
      <w:r>
        <w:rPr>
          <w:highlight w:val="yellow"/>
          <w:lang w:val="en-US"/>
        </w:rPr>
        <w:fldChar w:fldCharType="separate"/>
      </w:r>
      <w:r w:rsidR="00197355">
        <w:t xml:space="preserve">Figure </w:t>
      </w:r>
      <w:r w:rsidR="00197355">
        <w:rPr>
          <w:noProof/>
        </w:rPr>
        <w:t>11</w:t>
      </w:r>
      <w:r>
        <w:rPr>
          <w:highlight w:val="yellow"/>
          <w:lang w:val="en-US"/>
        </w:rPr>
        <w:fldChar w:fldCharType="end"/>
      </w:r>
      <w:r w:rsidRPr="00794E2D">
        <w:rPr>
          <w:lang w:val="en-US"/>
        </w:rPr>
        <w:t xml:space="preserve"> for detailed design of </w:t>
      </w:r>
      <w:r>
        <w:rPr>
          <w:lang w:val="en-US"/>
        </w:rPr>
        <w:t>e</w:t>
      </w:r>
      <w:r w:rsidRPr="00794E2D">
        <w:rPr>
          <w:lang w:val="en-US"/>
        </w:rPr>
        <w:t xml:space="preserve">xtension </w:t>
      </w:r>
      <w:r>
        <w:rPr>
          <w:lang w:val="en-US"/>
        </w:rPr>
        <w:t>p</w:t>
      </w:r>
      <w:r w:rsidRPr="00794E2D">
        <w:rPr>
          <w:lang w:val="en-US"/>
        </w:rPr>
        <w:t xml:space="preserve">hase. The </w:t>
      </w:r>
      <w:r>
        <w:rPr>
          <w:lang w:val="en-US"/>
        </w:rPr>
        <w:t>e</w:t>
      </w:r>
      <w:r w:rsidRPr="00794E2D">
        <w:rPr>
          <w:lang w:val="en-US"/>
        </w:rPr>
        <w:t xml:space="preserve">xtension </w:t>
      </w:r>
      <w:r>
        <w:rPr>
          <w:lang w:val="en-US"/>
        </w:rPr>
        <w:t>p</w:t>
      </w:r>
      <w:r w:rsidRPr="00794E2D">
        <w:rPr>
          <w:lang w:val="en-US"/>
        </w:rPr>
        <w:t>hase consisted of 4</w:t>
      </w:r>
      <w:r>
        <w:rPr>
          <w:lang w:val="en-US"/>
        </w:rPr>
        <w:t> </w:t>
      </w:r>
      <w:r w:rsidRPr="00794E2D">
        <w:rPr>
          <w:lang w:val="en-US"/>
        </w:rPr>
        <w:t xml:space="preserve">periods: </w:t>
      </w:r>
      <w:r>
        <w:rPr>
          <w:lang w:val="en-US"/>
        </w:rPr>
        <w:t>c</w:t>
      </w:r>
      <w:r w:rsidRPr="00794E2D">
        <w:rPr>
          <w:lang w:val="en-US"/>
        </w:rPr>
        <w:t>onversion</w:t>
      </w:r>
      <w:r>
        <w:rPr>
          <w:lang w:val="en-US"/>
        </w:rPr>
        <w:t xml:space="preserve"> </w:t>
      </w:r>
      <w:r w:rsidRPr="00794E2D">
        <w:rPr>
          <w:lang w:val="en-US"/>
        </w:rPr>
        <w:t xml:space="preserve">(6 weeks), </w:t>
      </w:r>
      <w:r>
        <w:rPr>
          <w:lang w:val="en-US"/>
        </w:rPr>
        <w:t>m</w:t>
      </w:r>
      <w:r w:rsidRPr="00794E2D">
        <w:rPr>
          <w:lang w:val="en-US"/>
        </w:rPr>
        <w:t xml:space="preserve">aintenance </w:t>
      </w:r>
      <w:r>
        <w:rPr>
          <w:lang w:val="en-US"/>
        </w:rPr>
        <w:t>p</w:t>
      </w:r>
      <w:r w:rsidRPr="00794E2D">
        <w:rPr>
          <w:lang w:val="en-US"/>
        </w:rPr>
        <w:t>eriod/</w:t>
      </w:r>
      <w:r>
        <w:rPr>
          <w:lang w:val="en-US"/>
        </w:rPr>
        <w:t>c</w:t>
      </w:r>
      <w:r w:rsidRPr="00794E2D">
        <w:rPr>
          <w:lang w:val="en-US"/>
        </w:rPr>
        <w:t xml:space="preserve">oncomitant ITP </w:t>
      </w:r>
      <w:r>
        <w:rPr>
          <w:lang w:val="en-US"/>
        </w:rPr>
        <w:t>m</w:t>
      </w:r>
      <w:r w:rsidRPr="00794E2D">
        <w:rPr>
          <w:lang w:val="en-US"/>
        </w:rPr>
        <w:t xml:space="preserve">edication </w:t>
      </w:r>
      <w:r>
        <w:rPr>
          <w:lang w:val="en-US"/>
        </w:rPr>
        <w:t>r</w:t>
      </w:r>
      <w:r w:rsidRPr="00794E2D">
        <w:rPr>
          <w:lang w:val="en-US"/>
        </w:rPr>
        <w:t xml:space="preserve">eduction </w:t>
      </w:r>
      <w:r>
        <w:rPr>
          <w:lang w:val="en-US"/>
        </w:rPr>
        <w:t>p</w:t>
      </w:r>
      <w:r w:rsidRPr="00794E2D">
        <w:rPr>
          <w:lang w:val="en-US"/>
        </w:rPr>
        <w:t xml:space="preserve">eriod (90 weeks), </w:t>
      </w:r>
      <w:r>
        <w:rPr>
          <w:lang w:val="en-US"/>
        </w:rPr>
        <w:t>d</w:t>
      </w:r>
      <w:r w:rsidRPr="00794E2D">
        <w:rPr>
          <w:lang w:val="en-US"/>
        </w:rPr>
        <w:t>ose-tapering (up to</w:t>
      </w:r>
      <w:r>
        <w:rPr>
          <w:lang w:val="en-US"/>
        </w:rPr>
        <w:t xml:space="preserve"> </w:t>
      </w:r>
      <w:r w:rsidRPr="00794E2D">
        <w:rPr>
          <w:lang w:val="en-US"/>
        </w:rPr>
        <w:t xml:space="preserve">4 weeks), and </w:t>
      </w:r>
      <w:r>
        <w:rPr>
          <w:lang w:val="en-US"/>
        </w:rPr>
        <w:t>f</w:t>
      </w:r>
      <w:r w:rsidRPr="00794E2D">
        <w:rPr>
          <w:lang w:val="en-US"/>
        </w:rPr>
        <w:t>ollow-up (30 days).</w:t>
      </w:r>
    </w:p>
    <w:p w14:paraId="588016D0" w14:textId="55790F9B" w:rsidR="00794E2D" w:rsidRPr="00794E2D" w:rsidRDefault="00794E2D" w:rsidP="00794E2D">
      <w:pPr>
        <w:pStyle w:val="FigureDescription"/>
        <w:rPr>
          <w:lang w:val="en-US"/>
        </w:rPr>
      </w:pPr>
      <w:r w:rsidRPr="00794E2D">
        <w:rPr>
          <w:lang w:val="en-US"/>
        </w:rPr>
        <w:t xml:space="preserve">d: The </w:t>
      </w:r>
      <w:r>
        <w:rPr>
          <w:lang w:val="en-US"/>
        </w:rPr>
        <w:t>s</w:t>
      </w:r>
      <w:r w:rsidRPr="00794E2D">
        <w:rPr>
          <w:lang w:val="en-US"/>
        </w:rPr>
        <w:t xml:space="preserve">creening </w:t>
      </w:r>
      <w:r>
        <w:rPr>
          <w:lang w:val="en-US"/>
        </w:rPr>
        <w:t>v</w:t>
      </w:r>
      <w:r w:rsidRPr="00794E2D">
        <w:rPr>
          <w:lang w:val="en-US"/>
        </w:rPr>
        <w:t xml:space="preserve">isit and Day 1 </w:t>
      </w:r>
      <w:r>
        <w:rPr>
          <w:lang w:val="en-US"/>
        </w:rPr>
        <w:t>B</w:t>
      </w:r>
      <w:r w:rsidRPr="00794E2D">
        <w:rPr>
          <w:lang w:val="en-US"/>
        </w:rPr>
        <w:t>aseline/</w:t>
      </w:r>
      <w:proofErr w:type="spellStart"/>
      <w:r>
        <w:rPr>
          <w:lang w:val="en-US"/>
        </w:rPr>
        <w:t>r</w:t>
      </w:r>
      <w:r w:rsidRPr="00794E2D">
        <w:rPr>
          <w:lang w:val="en-US"/>
        </w:rPr>
        <w:t>andomi</w:t>
      </w:r>
      <w:r>
        <w:rPr>
          <w:lang w:val="en-US"/>
        </w:rPr>
        <w:t>s</w:t>
      </w:r>
      <w:r w:rsidRPr="00794E2D">
        <w:rPr>
          <w:lang w:val="en-US"/>
        </w:rPr>
        <w:t>ation</w:t>
      </w:r>
      <w:proofErr w:type="spellEnd"/>
      <w:r w:rsidRPr="00794E2D">
        <w:rPr>
          <w:lang w:val="en-US"/>
        </w:rPr>
        <w:t xml:space="preserve"> </w:t>
      </w:r>
      <w:r>
        <w:rPr>
          <w:lang w:val="en-US"/>
        </w:rPr>
        <w:t>v</w:t>
      </w:r>
      <w:r w:rsidRPr="00794E2D">
        <w:rPr>
          <w:lang w:val="en-US"/>
        </w:rPr>
        <w:t xml:space="preserve">isit platelet counts averaged to obtain the </w:t>
      </w:r>
      <w:r>
        <w:rPr>
          <w:lang w:val="en-US"/>
        </w:rPr>
        <w:t>B</w:t>
      </w:r>
      <w:r w:rsidRPr="00794E2D">
        <w:rPr>
          <w:lang w:val="en-US"/>
        </w:rPr>
        <w:t>aseline platelet</w:t>
      </w:r>
      <w:r>
        <w:rPr>
          <w:lang w:val="en-US"/>
        </w:rPr>
        <w:t xml:space="preserve"> </w:t>
      </w:r>
      <w:r w:rsidRPr="00794E2D">
        <w:rPr>
          <w:lang w:val="en-US"/>
        </w:rPr>
        <w:t xml:space="preserve">count value. The </w:t>
      </w:r>
      <w:r>
        <w:rPr>
          <w:lang w:val="en-US"/>
        </w:rPr>
        <w:t>two</w:t>
      </w:r>
      <w:r w:rsidRPr="00794E2D">
        <w:rPr>
          <w:lang w:val="en-US"/>
        </w:rPr>
        <w:t xml:space="preserve"> samples were obtained 48 hours </w:t>
      </w:r>
      <w:r>
        <w:rPr>
          <w:lang w:val="en-US"/>
        </w:rPr>
        <w:t xml:space="preserve">or more </w:t>
      </w:r>
      <w:r w:rsidRPr="00794E2D">
        <w:rPr>
          <w:lang w:val="en-US"/>
        </w:rPr>
        <w:t xml:space="preserve">and 2 weeks </w:t>
      </w:r>
      <w:r>
        <w:rPr>
          <w:lang w:val="en-US"/>
        </w:rPr>
        <w:t xml:space="preserve">or less </w:t>
      </w:r>
      <w:r w:rsidRPr="00794E2D">
        <w:rPr>
          <w:lang w:val="en-US"/>
        </w:rPr>
        <w:t>apart and the results</w:t>
      </w:r>
      <w:r>
        <w:rPr>
          <w:lang w:val="en-US"/>
        </w:rPr>
        <w:t xml:space="preserve"> </w:t>
      </w:r>
      <w:r w:rsidRPr="00794E2D">
        <w:rPr>
          <w:lang w:val="en-US"/>
        </w:rPr>
        <w:t>were available prior to</w:t>
      </w:r>
      <w:r>
        <w:rPr>
          <w:lang w:val="en-US"/>
        </w:rPr>
        <w:t xml:space="preserve"> </w:t>
      </w:r>
      <w:proofErr w:type="spellStart"/>
      <w:r w:rsidRPr="00794E2D">
        <w:rPr>
          <w:lang w:val="en-US"/>
        </w:rPr>
        <w:t>randomi</w:t>
      </w:r>
      <w:r>
        <w:rPr>
          <w:lang w:val="en-US"/>
        </w:rPr>
        <w:t>s</w:t>
      </w:r>
      <w:r w:rsidRPr="00794E2D">
        <w:rPr>
          <w:lang w:val="en-US"/>
        </w:rPr>
        <w:t>ation</w:t>
      </w:r>
      <w:proofErr w:type="spellEnd"/>
      <w:r w:rsidRPr="00794E2D">
        <w:rPr>
          <w:lang w:val="en-US"/>
        </w:rPr>
        <w:t>. Therefore, an additional screening platelet count may have been required due to issues with scheduling.</w:t>
      </w:r>
    </w:p>
    <w:p w14:paraId="7AC0A864" w14:textId="39C3EAD1" w:rsidR="00C94BBC" w:rsidRDefault="00794E2D" w:rsidP="00794E2D">
      <w:pPr>
        <w:pStyle w:val="FigureDescription"/>
        <w:keepNext w:val="0"/>
        <w:rPr>
          <w:lang w:val="en-US"/>
        </w:rPr>
      </w:pPr>
      <w:r w:rsidRPr="00794E2D">
        <w:rPr>
          <w:lang w:val="en-US"/>
        </w:rPr>
        <w:t>e: Subjects who discontinued early who met the criteria for a lack of treatment effect may have moved directly into the</w:t>
      </w:r>
      <w:r>
        <w:rPr>
          <w:lang w:val="en-US"/>
        </w:rPr>
        <w:t xml:space="preserve"> o</w:t>
      </w:r>
      <w:r w:rsidRPr="00794E2D">
        <w:rPr>
          <w:lang w:val="en-US"/>
        </w:rPr>
        <w:t>pen</w:t>
      </w:r>
      <w:r>
        <w:rPr>
          <w:lang w:val="en-US"/>
        </w:rPr>
        <w:t xml:space="preserve"> </w:t>
      </w:r>
      <w:r w:rsidRPr="00794E2D">
        <w:rPr>
          <w:lang w:val="en-US"/>
        </w:rPr>
        <w:t xml:space="preserve">label </w:t>
      </w:r>
      <w:r>
        <w:rPr>
          <w:lang w:val="en-US"/>
        </w:rPr>
        <w:t>e</w:t>
      </w:r>
      <w:r w:rsidRPr="00794E2D">
        <w:rPr>
          <w:lang w:val="en-US"/>
        </w:rPr>
        <w:t>xtension.</w:t>
      </w:r>
    </w:p>
    <w:p w14:paraId="2C142047" w14:textId="103C4414" w:rsidR="00794E2D" w:rsidRDefault="00794E2D" w:rsidP="00794E2D">
      <w:pPr>
        <w:pStyle w:val="FigureTitle"/>
        <w:rPr>
          <w:lang w:val="en-US"/>
        </w:rPr>
      </w:pPr>
      <w:bookmarkStart w:id="66" w:name="_Ref151624993"/>
      <w:r>
        <w:lastRenderedPageBreak/>
        <w:t xml:space="preserve">Figure </w:t>
      </w:r>
      <w:r w:rsidR="008A4248">
        <w:fldChar w:fldCharType="begin"/>
      </w:r>
      <w:r w:rsidR="008A4248">
        <w:instrText xml:space="preserve"> SEQ Figure \* ARABIC </w:instrText>
      </w:r>
      <w:r w:rsidR="008A4248">
        <w:fldChar w:fldCharType="separate"/>
      </w:r>
      <w:r w:rsidR="00197355">
        <w:rPr>
          <w:noProof/>
        </w:rPr>
        <w:t>11</w:t>
      </w:r>
      <w:r w:rsidR="008A4248">
        <w:rPr>
          <w:noProof/>
        </w:rPr>
        <w:fldChar w:fldCharType="end"/>
      </w:r>
      <w:bookmarkEnd w:id="66"/>
      <w:r>
        <w:t xml:space="preserve">: </w:t>
      </w:r>
      <w:r>
        <w:rPr>
          <w:lang w:val="en-US"/>
        </w:rPr>
        <w:t>Study 302 extension phase design</w:t>
      </w:r>
    </w:p>
    <w:p w14:paraId="0D5B27E7" w14:textId="5F657C4C" w:rsidR="00794E2D" w:rsidRDefault="00794E2D" w:rsidP="00794E2D">
      <w:pPr>
        <w:pStyle w:val="FigureDescription"/>
        <w:keepNext w:val="0"/>
      </w:pPr>
      <w:r>
        <w:rPr>
          <w:noProof/>
        </w:rPr>
        <w:drawing>
          <wp:inline distT="0" distB="0" distL="0" distR="0" wp14:anchorId="1139FD1A" wp14:editId="754A0F72">
            <wp:extent cx="4719982" cy="3076575"/>
            <wp:effectExtent l="0" t="0" r="4445" b="0"/>
            <wp:docPr id="26" name="Picture 26" descr="Study 302 extension phase consisted of 4 periods including, conversion, maintenance/concomitant ITP medication reduction, dose tapering and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302 extension phase consisted of 4 periods including, conversion, maintenance/concomitant ITP medication reduction, dose tapering and follow-up."/>
                    <pic:cNvPicPr/>
                  </pic:nvPicPr>
                  <pic:blipFill>
                    <a:blip r:embed="rId39"/>
                    <a:stretch>
                      <a:fillRect/>
                    </a:stretch>
                  </pic:blipFill>
                  <pic:spPr>
                    <a:xfrm>
                      <a:off x="0" y="0"/>
                      <a:ext cx="4722385" cy="3078141"/>
                    </a:xfrm>
                    <a:prstGeom prst="rect">
                      <a:avLst/>
                    </a:prstGeom>
                  </pic:spPr>
                </pic:pic>
              </a:graphicData>
            </a:graphic>
          </wp:inline>
        </w:drawing>
      </w:r>
    </w:p>
    <w:p w14:paraId="505C8751" w14:textId="6312FF26" w:rsidR="00794E2D" w:rsidRPr="00794E2D" w:rsidRDefault="00794E2D" w:rsidP="00794E2D">
      <w:pPr>
        <w:pStyle w:val="FigureDescription"/>
      </w:pPr>
      <w:r w:rsidRPr="00794E2D">
        <w:t xml:space="preserve">a: All subjects who entered the </w:t>
      </w:r>
      <w:r>
        <w:t>e</w:t>
      </w:r>
      <w:r w:rsidRPr="00794E2D">
        <w:t xml:space="preserve">xtension </w:t>
      </w:r>
      <w:r>
        <w:t>p</w:t>
      </w:r>
      <w:r w:rsidRPr="00794E2D">
        <w:t>hase had a starting dose of 20</w:t>
      </w:r>
      <w:r>
        <w:t> </w:t>
      </w:r>
      <w:r w:rsidRPr="00794E2D">
        <w:t>mg avatrombopag.</w:t>
      </w:r>
    </w:p>
    <w:p w14:paraId="10D48905" w14:textId="49C31B32" w:rsidR="00C94BBC" w:rsidRDefault="00794E2D" w:rsidP="00794E2D">
      <w:pPr>
        <w:pStyle w:val="FigureDescription"/>
      </w:pPr>
      <w:r w:rsidRPr="00794E2D">
        <w:t xml:space="preserve">b: For those subjects who completed the entire </w:t>
      </w:r>
      <w:r>
        <w:t>c</w:t>
      </w:r>
      <w:r w:rsidRPr="00794E2D">
        <w:t xml:space="preserve">ore </w:t>
      </w:r>
      <w:r>
        <w:t>s</w:t>
      </w:r>
      <w:r w:rsidRPr="00794E2D">
        <w:t xml:space="preserve">tudy, Visit E1 was the same day as </w:t>
      </w:r>
      <w:r>
        <w:t>c</w:t>
      </w:r>
      <w:r w:rsidRPr="00794E2D">
        <w:t xml:space="preserve">ore </w:t>
      </w:r>
      <w:r>
        <w:t>s</w:t>
      </w:r>
      <w:r w:rsidRPr="00794E2D">
        <w:t xml:space="preserve">tudy Visit 22. For those subjects who demonstrated a lack of treatment effect, Visit E1 was the same day as the </w:t>
      </w:r>
      <w:r>
        <w:t>c</w:t>
      </w:r>
      <w:r w:rsidRPr="00794E2D">
        <w:t xml:space="preserve">ore </w:t>
      </w:r>
      <w:r>
        <w:t>s</w:t>
      </w:r>
      <w:r w:rsidRPr="00794E2D">
        <w:t xml:space="preserve">tudy </w:t>
      </w:r>
      <w:r>
        <w:t xml:space="preserve">end of treater </w:t>
      </w:r>
      <w:r w:rsidRPr="00794E2D">
        <w:t>visit.</w:t>
      </w:r>
    </w:p>
    <w:p w14:paraId="5CF727E7" w14:textId="3C790548" w:rsidR="00794E2D" w:rsidRDefault="00794E2D" w:rsidP="00794E2D">
      <w:pPr>
        <w:pStyle w:val="Heading7"/>
        <w:rPr>
          <w:rFonts w:eastAsia="TimesNewRoman"/>
        </w:rPr>
      </w:pPr>
      <w:r>
        <w:rPr>
          <w:rFonts w:eastAsia="TimesNewRoman"/>
        </w:rPr>
        <w:t>Inclusion criteria for Study 302</w:t>
      </w:r>
    </w:p>
    <w:p w14:paraId="436CEFA0" w14:textId="140AAB5F" w:rsidR="00794E2D" w:rsidRPr="00797C89" w:rsidRDefault="00794E2D" w:rsidP="00794E2D">
      <w:pPr>
        <w:pStyle w:val="ListBullet"/>
        <w:rPr>
          <w:lang w:val="en-US"/>
        </w:rPr>
      </w:pPr>
      <w:r w:rsidRPr="00797C89">
        <w:rPr>
          <w:lang w:val="en-US"/>
        </w:rPr>
        <w:t>Age 18 years</w:t>
      </w:r>
      <w:r>
        <w:rPr>
          <w:lang w:val="en-US"/>
        </w:rPr>
        <w:t xml:space="preserve"> or older</w:t>
      </w:r>
      <w:r w:rsidRPr="00797C89">
        <w:rPr>
          <w:lang w:val="en-US"/>
        </w:rPr>
        <w:t xml:space="preserve"> and:</w:t>
      </w:r>
    </w:p>
    <w:p w14:paraId="45319C40" w14:textId="6D9DABB7" w:rsidR="00794E2D" w:rsidRPr="00797C89" w:rsidRDefault="00794E2D" w:rsidP="00794E2D">
      <w:pPr>
        <w:pStyle w:val="ListBullet2"/>
        <w:rPr>
          <w:lang w:val="en-US"/>
        </w:rPr>
      </w:pPr>
      <w:r>
        <w:rPr>
          <w:lang w:val="en-US"/>
        </w:rPr>
        <w:t>D</w:t>
      </w:r>
      <w:r w:rsidRPr="00797C89">
        <w:rPr>
          <w:lang w:val="en-US"/>
        </w:rPr>
        <w:t xml:space="preserve">iagnosed with chronic ITP (12 months </w:t>
      </w:r>
      <w:r>
        <w:rPr>
          <w:lang w:val="en-US"/>
        </w:rPr>
        <w:t xml:space="preserve">or greater </w:t>
      </w:r>
      <w:r w:rsidRPr="00797C89">
        <w:rPr>
          <w:lang w:val="en-US"/>
        </w:rPr>
        <w:t>duration) according to the American Society for Hematology/British Committee for Standards in Hematology guidelines</w:t>
      </w:r>
      <w:r>
        <w:rPr>
          <w:lang w:val="en-US"/>
        </w:rPr>
        <w:t>.</w:t>
      </w:r>
    </w:p>
    <w:p w14:paraId="1B4415E6" w14:textId="698A781F" w:rsidR="00794E2D" w:rsidRPr="00794E2D" w:rsidRDefault="00794E2D" w:rsidP="00794E2D">
      <w:pPr>
        <w:pStyle w:val="ListBullet2"/>
      </w:pPr>
      <w:r>
        <w:t>A</w:t>
      </w:r>
      <w:r w:rsidRPr="00794E2D">
        <w:t>verage of two platelet counts less than 30</w:t>
      </w:r>
      <w:r>
        <w:t> </w:t>
      </w:r>
      <w:r w:rsidRPr="00794E2D">
        <w:t>×</w:t>
      </w:r>
      <w:r>
        <w:t> </w:t>
      </w:r>
      <w:r w:rsidRPr="00794E2D">
        <w:t>10</w:t>
      </w:r>
      <w:r w:rsidRPr="00794E2D">
        <w:rPr>
          <w:vertAlign w:val="superscript"/>
        </w:rPr>
        <w:t>9</w:t>
      </w:r>
      <w:r w:rsidRPr="00794E2D">
        <w:t xml:space="preserve">/L (no single count should have been </w:t>
      </w:r>
      <w:r>
        <w:t xml:space="preserve">greater than </w:t>
      </w:r>
      <w:r w:rsidRPr="00794E2D">
        <w:t>35</w:t>
      </w:r>
      <w:r>
        <w:t> </w:t>
      </w:r>
      <w:r w:rsidRPr="00794E2D">
        <w:t>×</w:t>
      </w:r>
      <w:r>
        <w:t> </w:t>
      </w:r>
      <w:r w:rsidRPr="00794E2D">
        <w:t>10</w:t>
      </w:r>
      <w:r w:rsidRPr="00794E2D">
        <w:rPr>
          <w:vertAlign w:val="superscript"/>
        </w:rPr>
        <w:t>9</w:t>
      </w:r>
      <w:r w:rsidRPr="00794E2D">
        <w:t>/L).</w:t>
      </w:r>
    </w:p>
    <w:p w14:paraId="1E08D972" w14:textId="2A034D34" w:rsidR="00794E2D" w:rsidRPr="00797C89" w:rsidRDefault="00794E2D" w:rsidP="00794E2D">
      <w:pPr>
        <w:pStyle w:val="ListBullet2"/>
        <w:rPr>
          <w:lang w:val="en-US"/>
        </w:rPr>
      </w:pPr>
      <w:r>
        <w:rPr>
          <w:lang w:val="en-US"/>
        </w:rPr>
        <w:t>P</w:t>
      </w:r>
      <w:r w:rsidRPr="00797C89">
        <w:rPr>
          <w:lang w:val="en-US"/>
        </w:rPr>
        <w:t>eripheral blood smear should have supported the diagnosis of ITP with no evidence of other causes of thrombocytopenia (</w:t>
      </w:r>
      <w:r>
        <w:rPr>
          <w:lang w:val="en-US"/>
        </w:rPr>
        <w:t>for example</w:t>
      </w:r>
      <w:r w:rsidRPr="00797C89">
        <w:rPr>
          <w:lang w:val="en-US"/>
        </w:rPr>
        <w:t xml:space="preserve">, </w:t>
      </w:r>
      <w:proofErr w:type="spellStart"/>
      <w:r w:rsidRPr="00797C89">
        <w:rPr>
          <w:lang w:val="en-US"/>
        </w:rPr>
        <w:t>pseudothrombocytopenia</w:t>
      </w:r>
      <w:proofErr w:type="spellEnd"/>
      <w:r w:rsidRPr="00797C89">
        <w:rPr>
          <w:lang w:val="en-US"/>
        </w:rPr>
        <w:t>, myelofibrosis).</w:t>
      </w:r>
    </w:p>
    <w:p w14:paraId="548AA96E" w14:textId="60E6F533" w:rsidR="00794E2D" w:rsidRPr="00797C89" w:rsidRDefault="00794E2D" w:rsidP="00794E2D">
      <w:pPr>
        <w:pStyle w:val="ListBullet2"/>
        <w:rPr>
          <w:lang w:val="en-US"/>
        </w:rPr>
      </w:pPr>
      <w:r>
        <w:rPr>
          <w:lang w:val="en-US"/>
        </w:rPr>
        <w:t>P</w:t>
      </w:r>
      <w:r w:rsidRPr="00797C89">
        <w:rPr>
          <w:lang w:val="en-US"/>
        </w:rPr>
        <w:t>hysical examination did not suggest any disease that might have caused thrombocytopenia other than ITP.</w:t>
      </w:r>
    </w:p>
    <w:p w14:paraId="6692B195" w14:textId="3E1D0864" w:rsidR="00794E2D" w:rsidRPr="00794E2D" w:rsidRDefault="00794E2D" w:rsidP="00794E2D">
      <w:pPr>
        <w:pStyle w:val="ListBullet"/>
      </w:pPr>
      <w:r w:rsidRPr="00794E2D">
        <w:t xml:space="preserve">Previously 1 </w:t>
      </w:r>
      <w:r>
        <w:t xml:space="preserve">or more </w:t>
      </w:r>
      <w:r w:rsidRPr="00794E2D">
        <w:t>ITP therapies (including, but not limited to corticosteroids, immunoglobulins, azathioprine, danazol, cyclophosphamide and/or rituximab).</w:t>
      </w:r>
    </w:p>
    <w:p w14:paraId="24B38C0E" w14:textId="123504CA" w:rsidR="00794E2D" w:rsidRPr="00794E2D" w:rsidRDefault="00794E2D" w:rsidP="00794E2D">
      <w:pPr>
        <w:pStyle w:val="ListBullet"/>
      </w:pPr>
      <w:r w:rsidRPr="00794E2D">
        <w:t xml:space="preserve">Must have had either initially responded (platelet count </w:t>
      </w:r>
      <w:r>
        <w:t xml:space="preserve">greater than </w:t>
      </w:r>
      <w:r w:rsidRPr="00794E2D">
        <w:t>50</w:t>
      </w:r>
      <w:r>
        <w:t> </w:t>
      </w:r>
      <w:r w:rsidRPr="00794E2D">
        <w:t>×</w:t>
      </w:r>
      <w:r>
        <w:t> </w:t>
      </w:r>
      <w:r w:rsidRPr="00794E2D">
        <w:t>10</w:t>
      </w:r>
      <w:r w:rsidRPr="00794E2D">
        <w:rPr>
          <w:vertAlign w:val="superscript"/>
        </w:rPr>
        <w:t>9</w:t>
      </w:r>
      <w:r w:rsidRPr="00794E2D">
        <w:t>/L) to a previous ITP therapy or have had a bone marrow examination consistent with ITP within 3</w:t>
      </w:r>
      <w:r>
        <w:t> </w:t>
      </w:r>
      <w:r w:rsidRPr="00794E2D">
        <w:t>years to rule out myelodysplastic syndrome or other causes of thrombocytopenia.</w:t>
      </w:r>
    </w:p>
    <w:p w14:paraId="1710B048" w14:textId="3E4FB482" w:rsidR="00794E2D" w:rsidRPr="00794E2D" w:rsidRDefault="00794E2D" w:rsidP="00794E2D">
      <w:pPr>
        <w:pStyle w:val="ListBullet"/>
      </w:pPr>
      <w:r w:rsidRPr="00794E2D">
        <w:t>Prothrombin time/International Normalised Ratio</w:t>
      </w:r>
      <w:r>
        <w:t xml:space="preserve"> </w:t>
      </w:r>
      <w:r w:rsidRPr="00794E2D">
        <w:t>and activated partial thromboplastin time must have been within 80% to 120% of the normal range with no history of hypercoagulable state.</w:t>
      </w:r>
    </w:p>
    <w:p w14:paraId="764780A9" w14:textId="5DB2EB25" w:rsidR="00794E2D" w:rsidRPr="00794E2D" w:rsidRDefault="00794E2D" w:rsidP="00794E2D">
      <w:pPr>
        <w:pStyle w:val="ListBullet"/>
      </w:pPr>
      <w:r w:rsidRPr="00794E2D">
        <w:t xml:space="preserve">Had a complete blood count (excluding platelet count), within the reference range (with </w:t>
      </w:r>
      <w:r>
        <w:t>white blood cell</w:t>
      </w:r>
      <w:r w:rsidRPr="00794E2D">
        <w:t xml:space="preserve"> differential not indicative of any significant haematological disorder), with the following exceptions:</w:t>
      </w:r>
    </w:p>
    <w:p w14:paraId="301FD0AD" w14:textId="27059573" w:rsidR="00794E2D" w:rsidRPr="00794E2D" w:rsidRDefault="00794E2D" w:rsidP="00794E2D">
      <w:pPr>
        <w:pStyle w:val="ListBullet2"/>
      </w:pPr>
      <w:r w:rsidRPr="00794E2D">
        <w:lastRenderedPageBreak/>
        <w:t>Haemoglo</w:t>
      </w:r>
      <w:r w:rsidRPr="00E9222E">
        <w:t>bin: patients with haemoglobin levels between 10 g/dL (100 g/L) and the lower limit of normal (LLN) were</w:t>
      </w:r>
      <w:r w:rsidRPr="00794E2D">
        <w:t xml:space="preserve"> eligible for </w:t>
      </w:r>
      <w:proofErr w:type="gramStart"/>
      <w:r w:rsidRPr="00794E2D">
        <w:t>inclusion, if</w:t>
      </w:r>
      <w:proofErr w:type="gramEnd"/>
      <w:r w:rsidRPr="00794E2D">
        <w:t xml:space="preserve"> anaemia was clearly attributable to ITP (excessive blood loss)</w:t>
      </w:r>
      <w:r>
        <w:t>.</w:t>
      </w:r>
    </w:p>
    <w:p w14:paraId="4F954B4C" w14:textId="0BCC8C41" w:rsidR="00794E2D" w:rsidRPr="00794E2D" w:rsidRDefault="00794E2D" w:rsidP="00794E2D">
      <w:pPr>
        <w:pStyle w:val="ListBullet2"/>
      </w:pPr>
      <w:r w:rsidRPr="00794E2D">
        <w:t>Absolute neutrophil c</w:t>
      </w:r>
      <w:r w:rsidRPr="00E9222E">
        <w:t>ount (ANC) 1500</w:t>
      </w:r>
      <w:r w:rsidRPr="00794E2D">
        <w:t>/</w:t>
      </w:r>
      <w:r>
        <w:sym w:font="Symbol" w:char="F06D"/>
      </w:r>
      <w:r w:rsidRPr="00794E2D">
        <w:t>L (1.5</w:t>
      </w:r>
      <w:r>
        <w:t> </w:t>
      </w:r>
      <w:r w:rsidRPr="00794E2D">
        <w:t>x</w:t>
      </w:r>
      <w:r>
        <w:t> </w:t>
      </w:r>
      <w:r w:rsidRPr="00794E2D">
        <w:t>10</w:t>
      </w:r>
      <w:r w:rsidRPr="00794E2D">
        <w:rPr>
          <w:vertAlign w:val="superscript"/>
        </w:rPr>
        <w:t>9</w:t>
      </w:r>
      <w:r w:rsidRPr="00794E2D">
        <w:t xml:space="preserve">/L) </w:t>
      </w:r>
      <w:r>
        <w:t>or greater.</w:t>
      </w:r>
    </w:p>
    <w:p w14:paraId="2D768345" w14:textId="3FC614A6" w:rsidR="00794E2D" w:rsidRPr="00794E2D" w:rsidRDefault="00794E2D" w:rsidP="00794E2D">
      <w:pPr>
        <w:pStyle w:val="ListBullet2"/>
      </w:pPr>
      <w:r w:rsidRPr="00794E2D">
        <w:t xml:space="preserve">Elevated </w:t>
      </w:r>
      <w:r w:rsidR="00E9222E">
        <w:t xml:space="preserve">white blood cell </w:t>
      </w:r>
      <w:r w:rsidRPr="00794E2D">
        <w:t xml:space="preserve">or </w:t>
      </w:r>
      <w:r w:rsidR="00E9222E">
        <w:t>a</w:t>
      </w:r>
      <w:r w:rsidR="00E9222E" w:rsidRPr="00E9222E">
        <w:t>bsolute neutrophil count</w:t>
      </w:r>
      <w:r w:rsidR="00E9222E">
        <w:t xml:space="preserve"> </w:t>
      </w:r>
      <w:r w:rsidRPr="00794E2D">
        <w:t>(</w:t>
      </w:r>
      <w:r>
        <w:t>for example</w:t>
      </w:r>
      <w:r w:rsidRPr="00794E2D">
        <w:t>, due to corticosteroid treatment)</w:t>
      </w:r>
      <w:r>
        <w:t>.</w:t>
      </w:r>
    </w:p>
    <w:p w14:paraId="5DAEA346" w14:textId="544E65B2" w:rsidR="00794E2D" w:rsidRDefault="00794E2D" w:rsidP="00794E2D">
      <w:pPr>
        <w:pStyle w:val="Heading7"/>
      </w:pPr>
      <w:r w:rsidRPr="00797C89">
        <w:t xml:space="preserve">Exclusion </w:t>
      </w:r>
      <w:r>
        <w:t>c</w:t>
      </w:r>
      <w:r w:rsidRPr="00797C89">
        <w:t xml:space="preserve">riteria for </w:t>
      </w:r>
      <w:r>
        <w:t>Study 302</w:t>
      </w:r>
    </w:p>
    <w:p w14:paraId="1C44BD37" w14:textId="00714401" w:rsidR="00794E2D" w:rsidRPr="00794E2D" w:rsidRDefault="00794E2D" w:rsidP="00794E2D">
      <w:pPr>
        <w:pStyle w:val="ListBullet"/>
      </w:pPr>
      <w:r w:rsidRPr="00794E2D">
        <w:t>Known secondary immune thrombocytopenia (</w:t>
      </w:r>
      <w:r>
        <w:t>for example</w:t>
      </w:r>
      <w:r w:rsidRPr="00794E2D">
        <w:t>, with known Helicobacter pylori</w:t>
      </w:r>
      <w:r>
        <w:noBreakHyphen/>
      </w:r>
      <w:r w:rsidRPr="00794E2D">
        <w:t xml:space="preserve">induced ITP, known HIV or HCV or known </w:t>
      </w:r>
      <w:r>
        <w:t>s</w:t>
      </w:r>
      <w:r w:rsidRPr="00794E2D">
        <w:t>ystemic lupus erythematosus).</w:t>
      </w:r>
    </w:p>
    <w:p w14:paraId="141B9F1B" w14:textId="20E8C473" w:rsidR="00794E2D" w:rsidRPr="00794E2D" w:rsidRDefault="00794E2D" w:rsidP="00794E2D">
      <w:pPr>
        <w:pStyle w:val="ListBullet"/>
      </w:pPr>
      <w:r w:rsidRPr="00794E2D">
        <w:t>Significant medical conditions that may have impact on safety or interpretation of study results (</w:t>
      </w:r>
      <w:r w:rsidR="00B14411">
        <w:t>for example</w:t>
      </w:r>
      <w:r w:rsidRPr="00794E2D">
        <w:t>, acute hepatitis, active chronic hepatitis</w:t>
      </w:r>
      <w:r w:rsidR="00B14411">
        <w:t xml:space="preserve">, </w:t>
      </w:r>
      <w:r w:rsidRPr="00794E2D">
        <w:t>lymphoproliferative disease</w:t>
      </w:r>
      <w:r w:rsidR="00B14411">
        <w:t xml:space="preserve">. </w:t>
      </w:r>
      <w:r w:rsidRPr="00794E2D">
        <w:t>myeloproliferative disorders, leukemia).</w:t>
      </w:r>
    </w:p>
    <w:p w14:paraId="02B38429" w14:textId="5F914EE1" w:rsidR="00794E2D" w:rsidRPr="00794E2D" w:rsidRDefault="00794E2D" w:rsidP="00794E2D">
      <w:pPr>
        <w:pStyle w:val="ListBullet"/>
      </w:pPr>
      <w:r w:rsidRPr="00794E2D">
        <w:t>History of</w:t>
      </w:r>
      <w:r w:rsidR="00B14411">
        <w:t xml:space="preserve"> </w:t>
      </w:r>
      <w:r w:rsidR="00B14411" w:rsidRPr="00B14411">
        <w:t>myelodysplastic syndrome</w:t>
      </w:r>
      <w:r w:rsidRPr="00794E2D">
        <w:t>.</w:t>
      </w:r>
    </w:p>
    <w:p w14:paraId="3BE1D8F5" w14:textId="77777777" w:rsidR="00794E2D" w:rsidRPr="00794E2D" w:rsidRDefault="00794E2D" w:rsidP="00794E2D">
      <w:pPr>
        <w:pStyle w:val="ListBullet"/>
      </w:pPr>
      <w:r w:rsidRPr="00794E2D">
        <w:t>History of gastric atrophy.</w:t>
      </w:r>
    </w:p>
    <w:p w14:paraId="624D1475" w14:textId="66548808" w:rsidR="00794E2D" w:rsidRPr="00794E2D" w:rsidRDefault="00794E2D" w:rsidP="00794E2D">
      <w:pPr>
        <w:pStyle w:val="ListBullet"/>
      </w:pPr>
      <w:r w:rsidRPr="00794E2D">
        <w:t xml:space="preserve">History of pernicious </w:t>
      </w:r>
      <w:r w:rsidR="00B14411" w:rsidRPr="00794E2D">
        <w:t>anaemia</w:t>
      </w:r>
      <w:r w:rsidRPr="00794E2D">
        <w:t xml:space="preserve"> or patients with vitamin B12 deficiency (defined as </w:t>
      </w:r>
      <w:r w:rsidR="00B14411">
        <w:t xml:space="preserve">less than </w:t>
      </w:r>
      <w:r w:rsidRPr="00794E2D">
        <w:t xml:space="preserve">LLN) who had not had pernicious </w:t>
      </w:r>
      <w:r w:rsidR="00B14411" w:rsidRPr="00794E2D">
        <w:t>anaemia</w:t>
      </w:r>
      <w:r w:rsidRPr="00794E2D">
        <w:t xml:space="preserve"> excluded as a cause.</w:t>
      </w:r>
    </w:p>
    <w:p w14:paraId="4216BB19" w14:textId="33936571" w:rsidR="00794E2D" w:rsidRPr="00B14411" w:rsidRDefault="00794E2D" w:rsidP="00B14411">
      <w:pPr>
        <w:pStyle w:val="ListBullet"/>
      </w:pPr>
      <w:r w:rsidRPr="00B14411">
        <w:t xml:space="preserve">Any prior history of arterial or venous thrombosis (stroke, transient ischemic attack, myocardial infarction, deep vein thrombosis or pulmonary embolism), and </w:t>
      </w:r>
      <w:r w:rsidR="00B14411">
        <w:t>more than two</w:t>
      </w:r>
      <w:r w:rsidRPr="00B14411">
        <w:t xml:space="preserve"> of the following risk factors: estrogen containing hormone replacement or contraceptive therapies, smoking, diabetes, hypercholesterolemia, medication for hypertension, cancer, hereditary </w:t>
      </w:r>
      <w:proofErr w:type="spellStart"/>
      <w:r w:rsidRPr="00B14411">
        <w:t>thrombophilic</w:t>
      </w:r>
      <w:proofErr w:type="spellEnd"/>
      <w:r w:rsidRPr="00B14411">
        <w:t xml:space="preserve"> disorders (</w:t>
      </w:r>
      <w:r w:rsidR="00B14411">
        <w:t>for example</w:t>
      </w:r>
      <w:r w:rsidRPr="00B14411">
        <w:t>, Factor V Leiden, antithrombin III deficiency), or any other family history of arterial or venous thrombosis.</w:t>
      </w:r>
    </w:p>
    <w:p w14:paraId="7D148BD0" w14:textId="2DB300ED" w:rsidR="00794E2D" w:rsidRPr="00B14411" w:rsidRDefault="00794E2D" w:rsidP="00B14411">
      <w:pPr>
        <w:pStyle w:val="ListBullet"/>
      </w:pPr>
      <w:r w:rsidRPr="00B14411">
        <w:t>History of significant cardiovascular disease (</w:t>
      </w:r>
      <w:r w:rsidR="00B14411">
        <w:t>for example</w:t>
      </w:r>
      <w:r w:rsidRPr="00B14411">
        <w:t>, congestive heart failure New York Heart Association Grade III/IV,</w:t>
      </w:r>
      <w:r w:rsidR="00B14411">
        <w:rPr>
          <w:rStyle w:val="FootnoteReference"/>
        </w:rPr>
        <w:footnoteReference w:id="24"/>
      </w:r>
      <w:r w:rsidRPr="00B14411">
        <w:t xml:space="preserve"> arrhythmia known to increase the risk of thromboembolic events </w:t>
      </w:r>
      <w:r w:rsidR="00B14411">
        <w:t>(for example</w:t>
      </w:r>
      <w:r w:rsidRPr="00B14411">
        <w:t>, atrial fibrillation</w:t>
      </w:r>
      <w:r w:rsidR="00E9222E">
        <w:t>)</w:t>
      </w:r>
      <w:r w:rsidRPr="00B14411">
        <w:t xml:space="preserve">, patients with a QT interval corrected for heart rate of </w:t>
      </w:r>
      <w:r w:rsidR="00B14411">
        <w:t xml:space="preserve">greater than </w:t>
      </w:r>
      <w:r w:rsidRPr="00B14411">
        <w:t>450 msec,</w:t>
      </w:r>
      <w:r w:rsidR="00B14411">
        <w:fldChar w:fldCharType="begin"/>
      </w:r>
      <w:r w:rsidR="00B14411">
        <w:instrText xml:space="preserve"> NOTEREF _Ref151631889 \f \h </w:instrText>
      </w:r>
      <w:r w:rsidR="00B14411">
        <w:fldChar w:fldCharType="separate"/>
      </w:r>
      <w:r w:rsidR="00197355" w:rsidRPr="00197355">
        <w:rPr>
          <w:rStyle w:val="FootnoteReference"/>
        </w:rPr>
        <w:t>17</w:t>
      </w:r>
      <w:r w:rsidR="00B14411">
        <w:fldChar w:fldCharType="end"/>
      </w:r>
      <w:r w:rsidRPr="00B14411">
        <w:t xml:space="preserve"> angina, coronary artery stent placement, angioplasty, coronary artery bypass grafting).</w:t>
      </w:r>
    </w:p>
    <w:p w14:paraId="1844B3AF" w14:textId="77777777" w:rsidR="00794E2D" w:rsidRPr="00B14411" w:rsidRDefault="00794E2D" w:rsidP="00B14411">
      <w:pPr>
        <w:pStyle w:val="ListBullet"/>
      </w:pPr>
      <w:r w:rsidRPr="00B14411">
        <w:t>History of cirrhosis, portal hypertension, and chronic active hepatitis.</w:t>
      </w:r>
    </w:p>
    <w:p w14:paraId="1EAE03A3" w14:textId="77777777" w:rsidR="00794E2D" w:rsidRPr="00B14411" w:rsidRDefault="00794E2D" w:rsidP="00B14411">
      <w:pPr>
        <w:pStyle w:val="ListBullet"/>
      </w:pPr>
      <w:r w:rsidRPr="00B14411">
        <w:t>Concurrent malignant disease.</w:t>
      </w:r>
    </w:p>
    <w:p w14:paraId="14CE4D7F" w14:textId="5179ED45" w:rsidR="00794E2D" w:rsidRPr="00B14411" w:rsidRDefault="00794E2D" w:rsidP="00B14411">
      <w:pPr>
        <w:pStyle w:val="ListBullet"/>
      </w:pPr>
      <w:r w:rsidRPr="00B14411">
        <w:t>Use of immunoglobulins (</w:t>
      </w:r>
      <w:r w:rsidR="00B14411">
        <w:t xml:space="preserve">intravenous immunoglobulin </w:t>
      </w:r>
      <w:r w:rsidRPr="00B14411">
        <w:t>and anti-D) within 1 week of randomisation.</w:t>
      </w:r>
    </w:p>
    <w:p w14:paraId="497FCD57" w14:textId="77777777" w:rsidR="00794E2D" w:rsidRPr="00B14411" w:rsidRDefault="00794E2D" w:rsidP="00B14411">
      <w:pPr>
        <w:pStyle w:val="ListBullet"/>
      </w:pPr>
      <w:r w:rsidRPr="00B14411">
        <w:t>Splenectomy or use of rituximab within 12 weeks of randomisation.</w:t>
      </w:r>
    </w:p>
    <w:p w14:paraId="46F55208" w14:textId="77777777" w:rsidR="00794E2D" w:rsidRPr="00B14411" w:rsidRDefault="00794E2D" w:rsidP="00B14411">
      <w:pPr>
        <w:pStyle w:val="ListBullet"/>
      </w:pPr>
      <w:r w:rsidRPr="00B14411">
        <w:t xml:space="preserve">Use of romiplostim or </w:t>
      </w:r>
      <w:proofErr w:type="spellStart"/>
      <w:r w:rsidRPr="00B14411">
        <w:t>eltrombopag</w:t>
      </w:r>
      <w:proofErr w:type="spellEnd"/>
      <w:r w:rsidRPr="00B14411">
        <w:t xml:space="preserve"> within 4 weeks of randomisation.</w:t>
      </w:r>
    </w:p>
    <w:p w14:paraId="4C58C510" w14:textId="6CAB4046" w:rsidR="00794E2D" w:rsidRPr="00B14411" w:rsidRDefault="00794E2D" w:rsidP="00B14411">
      <w:pPr>
        <w:pStyle w:val="ListBullet"/>
      </w:pPr>
      <w:r w:rsidRPr="00B14411">
        <w:t xml:space="preserve">Treated with corticosteroids or azathioprine but had not on stable dose for 4 weeks </w:t>
      </w:r>
      <w:r w:rsidR="00B14411">
        <w:t xml:space="preserve">or more </w:t>
      </w:r>
      <w:r w:rsidRPr="00B14411">
        <w:t>prior to randomisation or had not completed these therapies</w:t>
      </w:r>
      <w:r w:rsidR="00B14411">
        <w:t xml:space="preserve"> more than</w:t>
      </w:r>
      <w:r w:rsidRPr="00B14411">
        <w:t xml:space="preserve"> 4 weeks prior to randomisation.</w:t>
      </w:r>
    </w:p>
    <w:p w14:paraId="048CCD95" w14:textId="1C0BC08F" w:rsidR="00794E2D" w:rsidRPr="00B14411" w:rsidRDefault="00794E2D" w:rsidP="00B14411">
      <w:pPr>
        <w:pStyle w:val="ListBullet"/>
      </w:pPr>
      <w:r w:rsidRPr="00B14411">
        <w:lastRenderedPageBreak/>
        <w:t xml:space="preserve">Currently being treated with mycophenolate mofetil, Cyclosporine A, or danazol but not on a stable dose for 12 weeks </w:t>
      </w:r>
      <w:r w:rsidR="00B14411">
        <w:t xml:space="preserve">or more </w:t>
      </w:r>
      <w:r w:rsidRPr="00B14411">
        <w:t xml:space="preserve">prior to randomisation or have not completed these therapies </w:t>
      </w:r>
      <w:r w:rsidR="00B14411">
        <w:t>more than</w:t>
      </w:r>
      <w:r w:rsidRPr="00B14411">
        <w:t xml:space="preserve"> 4 weeks prior to randomisation.</w:t>
      </w:r>
    </w:p>
    <w:p w14:paraId="28B78DA5" w14:textId="7A61B1C6" w:rsidR="00794E2D" w:rsidRPr="00B14411" w:rsidRDefault="00794E2D" w:rsidP="00B14411">
      <w:pPr>
        <w:pStyle w:val="ListBullet"/>
      </w:pPr>
      <w:r w:rsidRPr="00B14411">
        <w:t>Use of cyclophosphamide or vinca alkaloid regimens within 4 weeks of randomisation.</w:t>
      </w:r>
    </w:p>
    <w:p w14:paraId="24C1B57B" w14:textId="3FCC0C48" w:rsidR="00794E2D" w:rsidRPr="00B14411" w:rsidRDefault="00794E2D" w:rsidP="00B14411">
      <w:pPr>
        <w:pStyle w:val="ListBullet"/>
      </w:pPr>
      <w:r w:rsidRPr="00B14411">
        <w:t xml:space="preserve">Currently being treated with proton pump inhibitor or </w:t>
      </w:r>
      <w:r w:rsidR="00E9222E">
        <w:t>histamine</w:t>
      </w:r>
      <w:r w:rsidRPr="00B14411">
        <w:t xml:space="preserve"> antagonist therapy but not on a stable dose for 6 weeks</w:t>
      </w:r>
      <w:r w:rsidR="00B14411">
        <w:t xml:space="preserve"> or more</w:t>
      </w:r>
      <w:r w:rsidRPr="00B14411">
        <w:t xml:space="preserve"> prior to randomisation or had not completed these therapies </w:t>
      </w:r>
      <w:r w:rsidR="00B14411">
        <w:t xml:space="preserve">more than </w:t>
      </w:r>
      <w:r w:rsidRPr="00B14411">
        <w:t>2 weeks prior to randomisation.</w:t>
      </w:r>
    </w:p>
    <w:p w14:paraId="365BEE8D" w14:textId="241E66C6" w:rsidR="00794E2D" w:rsidRPr="00B14411" w:rsidRDefault="00794E2D" w:rsidP="00B14411">
      <w:pPr>
        <w:pStyle w:val="ListBullet"/>
      </w:pPr>
      <w:r w:rsidRPr="00B14411">
        <w:t xml:space="preserve">Fasting gastrin-17 blood levels </w:t>
      </w:r>
      <w:r w:rsidR="00B14411">
        <w:t>greater than</w:t>
      </w:r>
      <w:r w:rsidRPr="00B14411">
        <w:t xml:space="preserve"> </w:t>
      </w:r>
      <w:r w:rsidR="00B14411">
        <w:t>the upper limit of n</w:t>
      </w:r>
      <w:r w:rsidR="00B14411" w:rsidRPr="00E9222E">
        <w:t>ormal (</w:t>
      </w:r>
      <w:r w:rsidRPr="00E9222E">
        <w:t>ULN</w:t>
      </w:r>
      <w:r w:rsidR="00B14411" w:rsidRPr="00E9222E">
        <w:t>)</w:t>
      </w:r>
      <w:r w:rsidRPr="00E9222E">
        <w:t xml:space="preserve"> at </w:t>
      </w:r>
      <w:r w:rsidR="00B14411" w:rsidRPr="00E9222E">
        <w:t>s</w:t>
      </w:r>
      <w:r w:rsidRPr="00E9222E">
        <w:t>creening if not on</w:t>
      </w:r>
      <w:r w:rsidR="00E9222E" w:rsidRPr="00E9222E">
        <w:t xml:space="preserve"> proton pump inhibitor </w:t>
      </w:r>
      <w:r w:rsidRPr="00E9222E">
        <w:t>or</w:t>
      </w:r>
      <w:r w:rsidR="00E9222E">
        <w:t xml:space="preserve"> histamine</w:t>
      </w:r>
      <w:r w:rsidRPr="00E9222E">
        <w:t xml:space="preserve"> antagonists.</w:t>
      </w:r>
    </w:p>
    <w:p w14:paraId="7FDB59E8" w14:textId="7A9F64A0" w:rsidR="00794E2D" w:rsidRPr="00B14411" w:rsidRDefault="00794E2D" w:rsidP="00B14411">
      <w:pPr>
        <w:pStyle w:val="ListBullet"/>
      </w:pPr>
      <w:r w:rsidRPr="00B14411">
        <w:t xml:space="preserve">Fasting gastrin-17 blood levels </w:t>
      </w:r>
      <w:r w:rsidR="00B14411">
        <w:t>greater than</w:t>
      </w:r>
      <w:r w:rsidRPr="00B14411">
        <w:t xml:space="preserve"> 1.5</w:t>
      </w:r>
      <w:r w:rsidR="00B14411">
        <w:t> </w:t>
      </w:r>
      <w:r w:rsidRPr="00B14411">
        <w:t>x</w:t>
      </w:r>
      <w:r w:rsidR="00B14411">
        <w:t> </w:t>
      </w:r>
      <w:r w:rsidRPr="00B14411">
        <w:t xml:space="preserve">ULN at </w:t>
      </w:r>
      <w:r w:rsidR="00B14411">
        <w:t>s</w:t>
      </w:r>
      <w:r w:rsidRPr="00B14411">
        <w:t xml:space="preserve">creening if on </w:t>
      </w:r>
      <w:r w:rsidR="00E9222E" w:rsidRPr="00E9222E">
        <w:t>proton pump inhibitor</w:t>
      </w:r>
      <w:r w:rsidRPr="00B14411">
        <w:t xml:space="preserve"> or</w:t>
      </w:r>
      <w:r w:rsidR="00E9222E">
        <w:t xml:space="preserve"> histamine</w:t>
      </w:r>
      <w:r w:rsidR="00B14411">
        <w:t xml:space="preserve"> </w:t>
      </w:r>
      <w:r w:rsidRPr="00B14411">
        <w:t>antagonists.</w:t>
      </w:r>
    </w:p>
    <w:p w14:paraId="1D150C73" w14:textId="4F27D8AF" w:rsidR="00794E2D" w:rsidRPr="00B14411" w:rsidRDefault="00794E2D" w:rsidP="00B14411">
      <w:pPr>
        <w:pStyle w:val="ListBullet"/>
      </w:pPr>
      <w:r w:rsidRPr="00B14411">
        <w:t xml:space="preserve">Blood creatinine </w:t>
      </w:r>
      <w:r w:rsidR="00B14411">
        <w:t>greater than</w:t>
      </w:r>
      <w:r w:rsidRPr="00B14411">
        <w:t xml:space="preserve"> ULN by </w:t>
      </w:r>
      <w:r w:rsidR="00B14411">
        <w:t xml:space="preserve">more than </w:t>
      </w:r>
      <w:r w:rsidRPr="00B14411">
        <w:t xml:space="preserve">20% </w:t>
      </w:r>
      <w:r w:rsidR="00B14411">
        <w:t>or</w:t>
      </w:r>
      <w:r w:rsidRPr="00B14411">
        <w:t xml:space="preserve"> total albumin </w:t>
      </w:r>
      <w:r w:rsidR="00B14411">
        <w:t>less than</w:t>
      </w:r>
      <w:r w:rsidRPr="00B14411">
        <w:t xml:space="preserve"> LLN by 10%.</w:t>
      </w:r>
    </w:p>
    <w:p w14:paraId="4B8B524C" w14:textId="0103E314" w:rsidR="00794E2D" w:rsidRPr="00B14411" w:rsidRDefault="00B14411" w:rsidP="00B14411">
      <w:pPr>
        <w:pStyle w:val="ListBullet"/>
      </w:pPr>
      <w:r>
        <w:t>A</w:t>
      </w:r>
      <w:r w:rsidRPr="00B14411">
        <w:t xml:space="preserve">lanine aminotransferase </w:t>
      </w:r>
      <w:r>
        <w:t>or</w:t>
      </w:r>
      <w:r w:rsidR="00794E2D" w:rsidRPr="00B14411">
        <w:t xml:space="preserve"> </w:t>
      </w:r>
      <w:r w:rsidRPr="00B14411">
        <w:t xml:space="preserve">aspartate aminotransferase </w:t>
      </w:r>
      <w:r w:rsidR="00794E2D" w:rsidRPr="00B14411">
        <w:t xml:space="preserve">levels </w:t>
      </w:r>
      <w:r>
        <w:t>greater than</w:t>
      </w:r>
      <w:r w:rsidR="00794E2D" w:rsidRPr="00B14411">
        <w:t xml:space="preserve"> 3</w:t>
      </w:r>
      <w:r>
        <w:t> </w:t>
      </w:r>
      <w:r w:rsidR="00794E2D" w:rsidRPr="00B14411">
        <w:t>x</w:t>
      </w:r>
      <w:r>
        <w:t> </w:t>
      </w:r>
      <w:r w:rsidR="00794E2D" w:rsidRPr="00B14411">
        <w:t xml:space="preserve">ULN </w:t>
      </w:r>
      <w:r>
        <w:t>or</w:t>
      </w:r>
      <w:r w:rsidR="00794E2D" w:rsidRPr="00B14411">
        <w:t xml:space="preserve"> total bilirubin </w:t>
      </w:r>
      <w:r>
        <w:t xml:space="preserve">greater than </w:t>
      </w:r>
      <w:r w:rsidR="00794E2D" w:rsidRPr="00B14411">
        <w:t>2</w:t>
      </w:r>
      <w:r>
        <w:t> </w:t>
      </w:r>
      <w:r w:rsidR="00794E2D" w:rsidRPr="00B14411">
        <w:t>x</w:t>
      </w:r>
      <w:r>
        <w:t> </w:t>
      </w:r>
      <w:r w:rsidR="00794E2D" w:rsidRPr="00B14411">
        <w:t>ULN.</w:t>
      </w:r>
    </w:p>
    <w:p w14:paraId="3AE10221" w14:textId="77777777" w:rsidR="00794E2D" w:rsidRPr="00B14411" w:rsidRDefault="00794E2D" w:rsidP="00B14411">
      <w:pPr>
        <w:pStyle w:val="ListBullet"/>
      </w:pPr>
      <w:r w:rsidRPr="00B14411">
        <w:t>History of cancer treatment with cytotoxic chemotherapy ± radiotherapy. Eligible if ITP and treatment with cytotoxic chemotherapy.</w:t>
      </w:r>
    </w:p>
    <w:p w14:paraId="651B81A1" w14:textId="6871752F" w:rsidR="00794E2D" w:rsidRPr="00B14411" w:rsidRDefault="00794E2D" w:rsidP="00B14411">
      <w:pPr>
        <w:pStyle w:val="ListBullet"/>
      </w:pPr>
      <w:r w:rsidRPr="00B14411">
        <w:t xml:space="preserve">Females who were pregnant (positive </w:t>
      </w:r>
      <w:r w:rsidR="00E9222E">
        <w:t>beta-h</w:t>
      </w:r>
      <w:r w:rsidR="00E9222E" w:rsidRPr="00E9222E">
        <w:t>uman chorionic gonadotropin</w:t>
      </w:r>
      <w:r w:rsidR="00E9222E">
        <w:t xml:space="preserve">) </w:t>
      </w:r>
      <w:r w:rsidRPr="00B14411">
        <w:t>or breastfeeding.</w:t>
      </w:r>
    </w:p>
    <w:p w14:paraId="734C6606" w14:textId="21935589" w:rsidR="00794E2D" w:rsidRDefault="00794E2D" w:rsidP="00B14411">
      <w:pPr>
        <w:pStyle w:val="ListBullet"/>
      </w:pPr>
      <w:r w:rsidRPr="00B14411">
        <w:t>Known allergy to avatrombopag and any of its excipients.</w:t>
      </w:r>
    </w:p>
    <w:p w14:paraId="2C453F3D" w14:textId="2AC87C20" w:rsidR="00B14411" w:rsidRDefault="00B14411" w:rsidP="00B14411">
      <w:pPr>
        <w:pStyle w:val="Heading7"/>
      </w:pPr>
      <w:r w:rsidRPr="00B14411">
        <w:t xml:space="preserve">Inclusion </w:t>
      </w:r>
      <w:r>
        <w:t>c</w:t>
      </w:r>
      <w:r w:rsidRPr="00B14411">
        <w:t xml:space="preserve">riteria for </w:t>
      </w:r>
      <w:r>
        <w:t>e</w:t>
      </w:r>
      <w:r w:rsidRPr="00B14411">
        <w:t xml:space="preserve">xtension </w:t>
      </w:r>
      <w:r>
        <w:t>s</w:t>
      </w:r>
      <w:r w:rsidRPr="00B14411">
        <w:t>tudy</w:t>
      </w:r>
    </w:p>
    <w:p w14:paraId="21711294" w14:textId="14B3F567" w:rsidR="00B14411" w:rsidRPr="00B14411" w:rsidRDefault="00B14411" w:rsidP="00B14411">
      <w:pPr>
        <w:pStyle w:val="ListBullet"/>
      </w:pPr>
      <w:r w:rsidRPr="00B14411">
        <w:t xml:space="preserve">Completed 6 months of study treatment in the </w:t>
      </w:r>
      <w:r>
        <w:t>r</w:t>
      </w:r>
      <w:r w:rsidRPr="00B14411">
        <w:t xml:space="preserve">andomisation </w:t>
      </w:r>
      <w:r>
        <w:t>p</w:t>
      </w:r>
      <w:r w:rsidRPr="00B14411">
        <w:t>hase provided the open</w:t>
      </w:r>
      <w:r>
        <w:t xml:space="preserve"> </w:t>
      </w:r>
      <w:r w:rsidRPr="00B14411">
        <w:t xml:space="preserve">label </w:t>
      </w:r>
      <w:r>
        <w:t>e</w:t>
      </w:r>
      <w:r w:rsidRPr="00B14411">
        <w:t xml:space="preserve">xtension </w:t>
      </w:r>
      <w:r>
        <w:t>p</w:t>
      </w:r>
      <w:r w:rsidRPr="00B14411">
        <w:t>hase was still ongoing</w:t>
      </w:r>
      <w:r>
        <w:t>.</w:t>
      </w:r>
    </w:p>
    <w:p w14:paraId="09E28625" w14:textId="374010BD" w:rsidR="00B14411" w:rsidRPr="00B14411" w:rsidRDefault="00B14411" w:rsidP="00B14411">
      <w:pPr>
        <w:pStyle w:val="ListBullet"/>
      </w:pPr>
      <w:r w:rsidRPr="00B14411">
        <w:t xml:space="preserve">Discontinued from the </w:t>
      </w:r>
      <w:r>
        <w:t>c</w:t>
      </w:r>
      <w:r w:rsidRPr="00B14411">
        <w:t xml:space="preserve">ore </w:t>
      </w:r>
      <w:r>
        <w:t>s</w:t>
      </w:r>
      <w:r w:rsidRPr="00B14411">
        <w:t>tudy early due to lack of treatment effects provided the open</w:t>
      </w:r>
      <w:r>
        <w:t xml:space="preserve"> </w:t>
      </w:r>
      <w:r w:rsidRPr="00B14411">
        <w:t xml:space="preserve">label </w:t>
      </w:r>
      <w:r>
        <w:t>e</w:t>
      </w:r>
      <w:r w:rsidRPr="00B14411">
        <w:t xml:space="preserve">xtension </w:t>
      </w:r>
      <w:r>
        <w:t>p</w:t>
      </w:r>
      <w:r w:rsidRPr="00B14411">
        <w:t>hase was still ongoing</w:t>
      </w:r>
      <w:r>
        <w:t>.</w:t>
      </w:r>
    </w:p>
    <w:p w14:paraId="5240ECC4" w14:textId="0D6207B7" w:rsidR="00B14411" w:rsidRPr="00E9222E" w:rsidRDefault="00B14411" w:rsidP="00B14411">
      <w:pPr>
        <w:pStyle w:val="ListBullet"/>
      </w:pPr>
      <w:r w:rsidRPr="00B14411">
        <w:t xml:space="preserve">No significant safety or tolerability concerns with the patient’s participation of </w:t>
      </w:r>
      <w:r>
        <w:t>r</w:t>
      </w:r>
      <w:r w:rsidRPr="00B14411">
        <w:t xml:space="preserve">andomisation </w:t>
      </w:r>
      <w:r>
        <w:t>p</w:t>
      </w:r>
      <w:r w:rsidRPr="00B14411">
        <w:t>hase as determined by the investigato</w:t>
      </w:r>
      <w:r w:rsidRPr="00E9222E">
        <w:t>r.</w:t>
      </w:r>
    </w:p>
    <w:p w14:paraId="44994F4C" w14:textId="2469451D" w:rsidR="00C94BBC" w:rsidRPr="00E9222E" w:rsidRDefault="00B14411" w:rsidP="00794E2D">
      <w:pPr>
        <w:pStyle w:val="ListBullet"/>
      </w:pPr>
      <w:r w:rsidRPr="00E9222E">
        <w:t>Did not require rituximab, splenectomy or other thrombopoietin (TPO) agonists at the time of enrolment in the extension phase.</w:t>
      </w:r>
    </w:p>
    <w:p w14:paraId="3351B62E" w14:textId="041ED0A0" w:rsidR="00C94BBC" w:rsidRPr="00B14411" w:rsidRDefault="00C94BBC" w:rsidP="00B14411">
      <w:r w:rsidRPr="00B14411">
        <w:t xml:space="preserve">Patients were randomised to </w:t>
      </w:r>
      <w:r w:rsidR="007F165A" w:rsidRPr="00B14411">
        <w:t xml:space="preserve">avatrombopag </w:t>
      </w:r>
      <w:r w:rsidRPr="00B14411">
        <w:t>or placebo in a 2:1 ratio, stratified by splenectomy status,</w:t>
      </w:r>
      <w:r w:rsidR="00B14411">
        <w:t xml:space="preserve"> B</w:t>
      </w:r>
      <w:r w:rsidRPr="00B14411">
        <w:t>aseline platelet count (15</w:t>
      </w:r>
      <w:r w:rsidR="00B14411">
        <w:t> </w:t>
      </w:r>
      <w:r w:rsidRPr="00B14411">
        <w:t>x</w:t>
      </w:r>
      <w:r w:rsidR="00B14411">
        <w:t> </w:t>
      </w:r>
      <w:r w:rsidRPr="00B14411">
        <w:t>10</w:t>
      </w:r>
      <w:r w:rsidRPr="00B14411">
        <w:rPr>
          <w:vertAlign w:val="superscript"/>
        </w:rPr>
        <w:t>9</w:t>
      </w:r>
      <w:r w:rsidRPr="00B14411">
        <w:t>/L</w:t>
      </w:r>
      <w:r w:rsidR="00B14411">
        <w:t xml:space="preserve"> or less</w:t>
      </w:r>
      <w:r w:rsidRPr="00B14411">
        <w:t xml:space="preserve"> or</w:t>
      </w:r>
      <w:r w:rsidR="00B14411">
        <w:t xml:space="preserve"> </w:t>
      </w:r>
      <w:r w:rsidRPr="00B14411">
        <w:t>15</w:t>
      </w:r>
      <w:r w:rsidR="00B14411">
        <w:t> </w:t>
      </w:r>
      <w:r w:rsidRPr="00B14411">
        <w:t>x</w:t>
      </w:r>
      <w:r w:rsidR="00B14411">
        <w:t> </w:t>
      </w:r>
      <w:r w:rsidRPr="00B14411">
        <w:t>10</w:t>
      </w:r>
      <w:r w:rsidRPr="00B14411">
        <w:rPr>
          <w:vertAlign w:val="superscript"/>
        </w:rPr>
        <w:t>9</w:t>
      </w:r>
      <w:r w:rsidRPr="00B14411">
        <w:t>/L to 30</w:t>
      </w:r>
      <w:r w:rsidR="00B14411">
        <w:t> </w:t>
      </w:r>
      <w:r w:rsidRPr="00B14411">
        <w:t>x</w:t>
      </w:r>
      <w:r w:rsidR="00B14411">
        <w:t> </w:t>
      </w:r>
      <w:r w:rsidRPr="00B14411">
        <w:t>10</w:t>
      </w:r>
      <w:r w:rsidRPr="00B14411">
        <w:rPr>
          <w:vertAlign w:val="superscript"/>
        </w:rPr>
        <w:t>9</w:t>
      </w:r>
      <w:r w:rsidRPr="00B14411">
        <w:t xml:space="preserve">/L), and </w:t>
      </w:r>
      <w:r w:rsidR="00B14411">
        <w:t>B</w:t>
      </w:r>
      <w:r w:rsidRPr="00B14411">
        <w:t>aseline use of concomitant ITP medication (yes or no).</w:t>
      </w:r>
    </w:p>
    <w:p w14:paraId="60C6D0EF" w14:textId="77777777" w:rsidR="00C94BBC" w:rsidRPr="004B3436" w:rsidRDefault="00C94BBC" w:rsidP="00B14411">
      <w:pPr>
        <w:pStyle w:val="Heading7"/>
        <w:rPr>
          <w:lang w:eastAsia="ja-JP"/>
        </w:rPr>
      </w:pPr>
      <w:r w:rsidRPr="004B3436">
        <w:rPr>
          <w:lang w:eastAsia="ja-JP"/>
        </w:rPr>
        <w:t>Treatments</w:t>
      </w:r>
    </w:p>
    <w:p w14:paraId="464A52F1" w14:textId="3489D88E" w:rsidR="00C94BBC" w:rsidRPr="00B14411" w:rsidRDefault="00C94BBC" w:rsidP="00B14411">
      <w:r w:rsidRPr="00B14411">
        <w:t>The starting dose was 20</w:t>
      </w:r>
      <w:r w:rsidR="00B14411">
        <w:t> </w:t>
      </w:r>
      <w:r w:rsidRPr="00B14411">
        <w:t xml:space="preserve">mg </w:t>
      </w:r>
      <w:r w:rsidR="007F165A" w:rsidRPr="00B14411">
        <w:t xml:space="preserve">avatrombopag </w:t>
      </w:r>
      <w:r w:rsidRPr="00B14411">
        <w:t>or placebo once daily.</w:t>
      </w:r>
    </w:p>
    <w:p w14:paraId="2C5CB388" w14:textId="34791235" w:rsidR="00C94BBC" w:rsidRPr="00B14411" w:rsidRDefault="00C94BBC" w:rsidP="00B14411">
      <w:r w:rsidRPr="00B14411">
        <w:t>The treatment goal was to maintain the peripheral platelet count 50</w:t>
      </w:r>
      <w:r w:rsidR="00B14411">
        <w:t> </w:t>
      </w:r>
      <w:r w:rsidRPr="00B14411">
        <w:t>×</w:t>
      </w:r>
      <w:r w:rsidR="00B14411">
        <w:t> </w:t>
      </w:r>
      <w:r w:rsidRPr="00B14411">
        <w:t>10</w:t>
      </w:r>
      <w:r w:rsidRPr="00B14411">
        <w:rPr>
          <w:vertAlign w:val="superscript"/>
        </w:rPr>
        <w:t>9</w:t>
      </w:r>
      <w:r w:rsidRPr="00B14411">
        <w:t>/L</w:t>
      </w:r>
      <w:r w:rsidR="00B14411">
        <w:t xml:space="preserve"> or greater</w:t>
      </w:r>
      <w:r w:rsidRPr="00B14411">
        <w:t xml:space="preserve"> and 150</w:t>
      </w:r>
      <w:r w:rsidR="00B14411">
        <w:t> </w:t>
      </w:r>
      <w:r w:rsidRPr="00B14411">
        <w:t>×</w:t>
      </w:r>
      <w:r w:rsidR="00B14411">
        <w:t> </w:t>
      </w:r>
      <w:r w:rsidRPr="00B14411">
        <w:t>10</w:t>
      </w:r>
      <w:r w:rsidRPr="00B14411">
        <w:rPr>
          <w:vertAlign w:val="superscript"/>
        </w:rPr>
        <w:t>9</w:t>
      </w:r>
      <w:r w:rsidRPr="00B14411">
        <w:t>/L</w:t>
      </w:r>
      <w:r w:rsidR="00B14411">
        <w:t xml:space="preserve"> or less</w:t>
      </w:r>
      <w:r w:rsidRPr="00B14411">
        <w:t>, and to decrease the need for concomitant ITP medications, if possible. Study drug dose titration was permitted to a maximum dose of 40</w:t>
      </w:r>
      <w:r w:rsidR="00B14411">
        <w:t> </w:t>
      </w:r>
      <w:r w:rsidRPr="00B14411">
        <w:t xml:space="preserve">mg for </w:t>
      </w:r>
      <w:r w:rsidR="007F165A" w:rsidRPr="00B14411">
        <w:t xml:space="preserve">avatrombopag </w:t>
      </w:r>
      <w:r w:rsidRPr="00B14411">
        <w:t>(or matching placebo) or minimum dose of 5</w:t>
      </w:r>
      <w:r w:rsidR="00B14411">
        <w:t> </w:t>
      </w:r>
      <w:r w:rsidRPr="00B14411">
        <w:t xml:space="preserve">mg (or matching placebo) according to </w:t>
      </w:r>
      <w:r w:rsidR="00B14411">
        <w:fldChar w:fldCharType="begin"/>
      </w:r>
      <w:r w:rsidR="00B14411">
        <w:instrText xml:space="preserve"> REF _Ref151636948 \h </w:instrText>
      </w:r>
      <w:r w:rsidR="00B14411">
        <w:fldChar w:fldCharType="separate"/>
      </w:r>
      <w:r w:rsidR="00197355">
        <w:t xml:space="preserve">Table </w:t>
      </w:r>
      <w:r w:rsidR="00197355">
        <w:rPr>
          <w:noProof/>
        </w:rPr>
        <w:t>10</w:t>
      </w:r>
      <w:r w:rsidR="00B14411">
        <w:fldChar w:fldCharType="end"/>
      </w:r>
      <w:r w:rsidRPr="00B14411">
        <w:t xml:space="preserve"> below.</w:t>
      </w:r>
    </w:p>
    <w:p w14:paraId="7B6022EC" w14:textId="67EAF5B6" w:rsidR="00C94BBC" w:rsidRDefault="00C94BBC" w:rsidP="00B14411">
      <w:pPr>
        <w:pStyle w:val="TableTitle"/>
      </w:pPr>
      <w:bookmarkStart w:id="67" w:name="_Ref151636948"/>
      <w:bookmarkStart w:id="68" w:name="_Toc106171238"/>
      <w:r>
        <w:lastRenderedPageBreak/>
        <w:t xml:space="preserve">Table </w:t>
      </w:r>
      <w:r w:rsidR="008A4248">
        <w:fldChar w:fldCharType="begin"/>
      </w:r>
      <w:r w:rsidR="008A4248">
        <w:instrText xml:space="preserve"> SEQ Table \* ARABIC </w:instrText>
      </w:r>
      <w:r w:rsidR="008A4248">
        <w:fldChar w:fldCharType="separate"/>
      </w:r>
      <w:r w:rsidR="00197355">
        <w:rPr>
          <w:noProof/>
        </w:rPr>
        <w:t>10</w:t>
      </w:r>
      <w:r w:rsidR="008A4248">
        <w:rPr>
          <w:noProof/>
        </w:rPr>
        <w:fldChar w:fldCharType="end"/>
      </w:r>
      <w:bookmarkEnd w:id="67"/>
      <w:r w:rsidR="00B14411">
        <w:rPr>
          <w:noProof/>
        </w:rPr>
        <w:t>:</w:t>
      </w:r>
      <w:r>
        <w:t xml:space="preserve"> </w:t>
      </w:r>
      <w:r w:rsidR="00B14411">
        <w:t>A</w:t>
      </w:r>
      <w:r w:rsidRPr="007503C1">
        <w:t xml:space="preserve">vatrombopag </w:t>
      </w:r>
      <w:r w:rsidR="00B14411">
        <w:t>d</w:t>
      </w:r>
      <w:r w:rsidRPr="007503C1">
        <w:t>ose</w:t>
      </w:r>
      <w:r w:rsidR="00B14411">
        <w:t xml:space="preserve"> a</w:t>
      </w:r>
      <w:r w:rsidRPr="007503C1">
        <w:t xml:space="preserve">djustment </w:t>
      </w:r>
      <w:r w:rsidR="00B14411">
        <w:t>g</w:t>
      </w:r>
      <w:r w:rsidRPr="007503C1">
        <w:t>uidelines</w:t>
      </w:r>
      <w:r w:rsidR="00B14411">
        <w:t>, c</w:t>
      </w:r>
      <w:r w:rsidRPr="007503C1">
        <w:t xml:space="preserve">ore </w:t>
      </w:r>
      <w:r w:rsidR="00B14411">
        <w:t>s</w:t>
      </w:r>
      <w:r w:rsidRPr="007503C1">
        <w:t xml:space="preserve">tudy and </w:t>
      </w:r>
      <w:r w:rsidR="00B14411">
        <w:t>e</w:t>
      </w:r>
      <w:r w:rsidRPr="007503C1">
        <w:t xml:space="preserve">xtension </w:t>
      </w:r>
      <w:r w:rsidR="00B14411">
        <w:t>p</w:t>
      </w:r>
      <w:r w:rsidRPr="007503C1">
        <w:t>hase</w:t>
      </w:r>
      <w:bookmarkEnd w:id="68"/>
    </w:p>
    <w:p w14:paraId="4880956D" w14:textId="579C1CD9" w:rsidR="00B14411" w:rsidRPr="007503C1" w:rsidRDefault="00B14411" w:rsidP="008A4248">
      <w:pPr>
        <w:rPr>
          <w:rFonts w:asciiTheme="minorHAnsi" w:eastAsia="TimesNewRoman" w:hAnsiTheme="minorHAnsi" w:cstheme="minorHAnsi"/>
          <w:color w:val="657C9C" w:themeColor="text2" w:themeTint="BF"/>
          <w:lang w:val="en-US"/>
        </w:rPr>
      </w:pPr>
      <w:r>
        <w:rPr>
          <w:noProof/>
        </w:rPr>
        <w:drawing>
          <wp:inline distT="0" distB="0" distL="0" distR="0" wp14:anchorId="1B0BA4C0" wp14:editId="410DC211">
            <wp:extent cx="5702300" cy="3623310"/>
            <wp:effectExtent l="0" t="0" r="0" b="0"/>
            <wp:docPr id="27" name="Picture 27" descr="Avatrombopag dose adjustment guidelines, core study and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vatrombopag dose adjustment guidelines, core study and extension phase"/>
                    <pic:cNvPicPr/>
                  </pic:nvPicPr>
                  <pic:blipFill rotWithShape="1">
                    <a:blip r:embed="rId40"/>
                    <a:srcRect l="992" t="523"/>
                    <a:stretch/>
                  </pic:blipFill>
                  <pic:spPr bwMode="auto">
                    <a:xfrm>
                      <a:off x="0" y="0"/>
                      <a:ext cx="5702300" cy="3623310"/>
                    </a:xfrm>
                    <a:prstGeom prst="rect">
                      <a:avLst/>
                    </a:prstGeom>
                    <a:ln>
                      <a:noFill/>
                    </a:ln>
                    <a:extLst>
                      <a:ext uri="{53640926-AAD7-44D8-BBD7-CCE9431645EC}">
                        <a14:shadowObscured xmlns:a14="http://schemas.microsoft.com/office/drawing/2010/main"/>
                      </a:ext>
                    </a:extLst>
                  </pic:spPr>
                </pic:pic>
              </a:graphicData>
            </a:graphic>
          </wp:inline>
        </w:drawing>
      </w:r>
    </w:p>
    <w:p w14:paraId="5E592D0A" w14:textId="132C9D4A" w:rsidR="00C94BBC" w:rsidRPr="00B14411" w:rsidRDefault="00C94BBC" w:rsidP="00B14411">
      <w:r w:rsidRPr="00B14411">
        <w:t xml:space="preserve">Treatment duration was 26 weeks in the randomised phase and up to 76 weeks in </w:t>
      </w:r>
      <w:r w:rsidR="00B14411">
        <w:t>e</w:t>
      </w:r>
      <w:r w:rsidRPr="00B14411">
        <w:t>xtension phase.</w:t>
      </w:r>
    </w:p>
    <w:p w14:paraId="1E21CA14" w14:textId="2C1A8EA8" w:rsidR="00C94BBC" w:rsidRPr="00B14411" w:rsidRDefault="00C94BBC" w:rsidP="00B14411">
      <w:r w:rsidRPr="00B14411">
        <w:t xml:space="preserve">Rescue therapy could be considered at the discretion of the investigator or sub-investigator based on clinical assessment. It was to be considered in the event of potentially </w:t>
      </w:r>
      <w:proofErr w:type="gramStart"/>
      <w:r w:rsidRPr="00B14411">
        <w:t>life</w:t>
      </w:r>
      <w:r w:rsidR="00B14411">
        <w:t xml:space="preserve"> </w:t>
      </w:r>
      <w:r w:rsidRPr="00B14411">
        <w:t>threatening</w:t>
      </w:r>
      <w:proofErr w:type="gramEnd"/>
      <w:r w:rsidRPr="00B14411">
        <w:t xml:space="preserve"> thrombocytopenia, such as a platelet count </w:t>
      </w:r>
      <w:r w:rsidR="00B14411">
        <w:t xml:space="preserve">less than </w:t>
      </w:r>
      <w:r w:rsidRPr="00B14411">
        <w:t>10</w:t>
      </w:r>
      <w:r w:rsidR="00B14411">
        <w:t> </w:t>
      </w:r>
      <w:r w:rsidRPr="00B14411">
        <w:t>×</w:t>
      </w:r>
      <w:r w:rsidR="00B14411">
        <w:t> 1</w:t>
      </w:r>
      <w:r w:rsidRPr="00B14411">
        <w:t>0</w:t>
      </w:r>
      <w:r w:rsidRPr="00B14411">
        <w:rPr>
          <w:vertAlign w:val="superscript"/>
        </w:rPr>
        <w:t>9</w:t>
      </w:r>
      <w:r w:rsidRPr="00B14411">
        <w:t xml:space="preserve">/L, major bleed or clinical signs suggesting a major bleed. Rescue therapy could include corticosteroids, </w:t>
      </w:r>
      <w:r w:rsidR="00B14411">
        <w:t>intravenous immunoglobulin</w:t>
      </w:r>
      <w:r w:rsidRPr="00B14411">
        <w:t xml:space="preserve"> therapy</w:t>
      </w:r>
      <w:r w:rsidR="00B14411">
        <w:t>,</w:t>
      </w:r>
      <w:r w:rsidRPr="00B14411">
        <w:t xml:space="preserve"> </w:t>
      </w:r>
      <w:r w:rsidR="00B14411">
        <w:t>a</w:t>
      </w:r>
      <w:r w:rsidRPr="00B14411">
        <w:t xml:space="preserve">nti-D therapy, </w:t>
      </w:r>
      <w:r w:rsidR="00B14411" w:rsidRPr="00B14411">
        <w:t>mycophenolate mofetil</w:t>
      </w:r>
      <w:r w:rsidRPr="00B14411">
        <w:t xml:space="preserve">, azathioprine, danazol, dapsone, platelet transfusion, cyclosporin A (only if deemed medically necessary and/or no other suitable alternative treatment options are available as it is a </w:t>
      </w:r>
      <w:r w:rsidR="00B14411" w:rsidRPr="00B14411">
        <w:t>P-glycoprotein</w:t>
      </w:r>
      <w:r w:rsidR="00B14411">
        <w:t xml:space="preserve"> </w:t>
      </w:r>
      <w:r w:rsidRPr="00B14411">
        <w:t xml:space="preserve">inhibitor), or an increase in a </w:t>
      </w:r>
      <w:r w:rsidR="00E9222E">
        <w:t>B</w:t>
      </w:r>
      <w:r w:rsidRPr="00B14411">
        <w:t xml:space="preserve">aseline dose of a concomitant ITP medication. </w:t>
      </w:r>
      <w:r w:rsidR="00B14411">
        <w:t>T</w:t>
      </w:r>
      <w:r w:rsidR="00B14411" w:rsidRPr="00B14411">
        <w:t xml:space="preserve">hrombopoietin </w:t>
      </w:r>
      <w:r w:rsidRPr="00B14411">
        <w:t>agonists were not allowed as rescue therapy.</w:t>
      </w:r>
    </w:p>
    <w:p w14:paraId="115214E5" w14:textId="77777777" w:rsidR="00C94BBC" w:rsidRPr="00B14411" w:rsidRDefault="00C94BBC" w:rsidP="00B14411">
      <w:r w:rsidRPr="00B14411">
        <w:t>Patients requiring the following prohibited concomitant therapies during the treatment phase of the study were discontinued:</w:t>
      </w:r>
    </w:p>
    <w:p w14:paraId="14F84E71" w14:textId="10DDF563" w:rsidR="00C94BBC" w:rsidRPr="00B14411" w:rsidRDefault="00C94BBC" w:rsidP="00B14411">
      <w:pPr>
        <w:pStyle w:val="ListBullet"/>
      </w:pPr>
      <w:r w:rsidRPr="00B14411">
        <w:t>Platelet transfusion was prohibited within 7 days before the first dose of study drug. Antifibrinolytic agents (aprotinin, tranexamic acid, and aminocaproic acid) and recombinant activated factor VII.</w:t>
      </w:r>
    </w:p>
    <w:p w14:paraId="14E5EFD6" w14:textId="58E3DB45" w:rsidR="00C94BBC" w:rsidRPr="00B14411" w:rsidRDefault="00C94BBC" w:rsidP="00B14411">
      <w:pPr>
        <w:pStyle w:val="ListBullet"/>
      </w:pPr>
      <w:r w:rsidRPr="00B14411">
        <w:t>Heparin, warfarin, factor Xa inhibitors, direct thrombin inhibitors, fresh frozen plasma and cryoprecipitate, chronic antiplatelet therapy (</w:t>
      </w:r>
      <w:r w:rsidR="00B14411">
        <w:t xml:space="preserve">more than </w:t>
      </w:r>
      <w:r w:rsidRPr="00B14411">
        <w:t xml:space="preserve">4 weeks) with aspirin, clopidogrel, prasugrel, ticlopidine, or glycoprotein </w:t>
      </w:r>
      <w:proofErr w:type="spellStart"/>
      <w:r w:rsidRPr="00B14411">
        <w:t>Ib</w:t>
      </w:r>
      <w:proofErr w:type="spellEnd"/>
      <w:r w:rsidRPr="00B14411">
        <w:t>/IIIa antagonists (</w:t>
      </w:r>
      <w:r w:rsidR="00B14411">
        <w:t>for example</w:t>
      </w:r>
      <w:r w:rsidRPr="00B14411">
        <w:t>, tirofiban).</w:t>
      </w:r>
    </w:p>
    <w:p w14:paraId="542EB3B7" w14:textId="6F3696AE" w:rsidR="00C94BBC" w:rsidRPr="00B14411" w:rsidRDefault="00C94BBC" w:rsidP="00B14411">
      <w:pPr>
        <w:pStyle w:val="ListBullet"/>
      </w:pPr>
      <w:r w:rsidRPr="00B14411">
        <w:t xml:space="preserve">The use of nonsteroidal anti-inflammatory drugs other than aspirin for </w:t>
      </w:r>
      <w:r w:rsidR="00B14411">
        <w:t>more than</w:t>
      </w:r>
      <w:r w:rsidRPr="00B14411">
        <w:t xml:space="preserve"> 7 days per month was prohibited. Short-term use of aspirin, other salicylates, or </w:t>
      </w:r>
      <w:r w:rsidR="00B14411" w:rsidRPr="00B14411">
        <w:t>adenosine diphosphate</w:t>
      </w:r>
      <w:r w:rsidRPr="00B14411">
        <w:t xml:space="preserve"> receptor antagonists was permitted only if the platelet count had increased, and the investigator judged that the patient was at risk for thromboembolism.</w:t>
      </w:r>
    </w:p>
    <w:p w14:paraId="1EB15E8E" w14:textId="60476C8C" w:rsidR="00C94BBC" w:rsidRPr="00B14411" w:rsidRDefault="00C94BBC" w:rsidP="00B14411">
      <w:pPr>
        <w:pStyle w:val="ListBullet"/>
      </w:pPr>
      <w:r w:rsidRPr="00B14411">
        <w:t>Some ITP therapies/procedures: vinca alkaloids, cyclophosphamide, rituximab, splenectomy, and other TPO receptor agonists (</w:t>
      </w:r>
      <w:proofErr w:type="spellStart"/>
      <w:r w:rsidRPr="00B14411">
        <w:t>eltrombopag</w:t>
      </w:r>
      <w:proofErr w:type="spellEnd"/>
      <w:r w:rsidRPr="00B14411">
        <w:t>, romiplostim).</w:t>
      </w:r>
    </w:p>
    <w:p w14:paraId="158536B8" w14:textId="77777777" w:rsidR="00C94BBC" w:rsidRPr="00B14411" w:rsidRDefault="00C94BBC" w:rsidP="00B14411">
      <w:r w:rsidRPr="00B14411">
        <w:lastRenderedPageBreak/>
        <w:t xml:space="preserve">The primary efficacy endpoint was the cumulative number of weeks of platelet response as defined by: </w:t>
      </w:r>
    </w:p>
    <w:p w14:paraId="3290EF1C" w14:textId="56760D64" w:rsidR="00C94BBC" w:rsidRPr="00B14411" w:rsidRDefault="00C94BBC" w:rsidP="00B14411">
      <w:pPr>
        <w:pStyle w:val="ListBullet"/>
      </w:pPr>
      <w:r w:rsidRPr="00B14411">
        <w:t>Cumulative number of weeks in which the platelet count is 50</w:t>
      </w:r>
      <w:r w:rsidR="00B14411">
        <w:t> </w:t>
      </w:r>
      <w:r w:rsidRPr="00B14411">
        <w:t>x</w:t>
      </w:r>
      <w:r w:rsidR="00B14411">
        <w:t> </w:t>
      </w:r>
      <w:r w:rsidRPr="00B14411">
        <w:t>10</w:t>
      </w:r>
      <w:r w:rsidRPr="00B14411">
        <w:rPr>
          <w:vertAlign w:val="superscript"/>
        </w:rPr>
        <w:t>9</w:t>
      </w:r>
      <w:r w:rsidRPr="00B14411">
        <w:t>/L</w:t>
      </w:r>
      <w:r w:rsidR="00B14411">
        <w:t xml:space="preserve"> or greater</w:t>
      </w:r>
      <w:r w:rsidRPr="00B14411">
        <w:t xml:space="preserve"> (per local laboratory results) during the 6 months of treatment, in the absence of rescue therapy</w:t>
      </w:r>
      <w:r w:rsidR="00B14411">
        <w:t>.</w:t>
      </w:r>
    </w:p>
    <w:p w14:paraId="7D31DCD6" w14:textId="77777777" w:rsidR="00C94BBC" w:rsidRPr="00B14411" w:rsidRDefault="00C94BBC" w:rsidP="00B14411">
      <w:r w:rsidRPr="00B14411">
        <w:t>The key secondary efficacy endpoints were:</w:t>
      </w:r>
    </w:p>
    <w:p w14:paraId="7CF1EB82" w14:textId="4A385967" w:rsidR="00C94BBC" w:rsidRPr="00B14411" w:rsidRDefault="00C94BBC" w:rsidP="00B14411">
      <w:pPr>
        <w:pStyle w:val="ListBullet"/>
      </w:pPr>
      <w:r w:rsidRPr="00B14411">
        <w:t>Proportion of patients with a Day 8 platelet response 50</w:t>
      </w:r>
      <w:r w:rsidR="00B14411">
        <w:t> </w:t>
      </w:r>
      <w:r w:rsidRPr="00B14411">
        <w:t>x</w:t>
      </w:r>
      <w:r w:rsidR="00B14411">
        <w:t> </w:t>
      </w:r>
      <w:r w:rsidRPr="00B14411">
        <w:t>10</w:t>
      </w:r>
      <w:r w:rsidRPr="00B14411">
        <w:rPr>
          <w:vertAlign w:val="superscript"/>
        </w:rPr>
        <w:t>9</w:t>
      </w:r>
      <w:r w:rsidRPr="00B14411">
        <w:t>/L</w:t>
      </w:r>
      <w:r w:rsidR="00B14411">
        <w:t xml:space="preserve"> or greater</w:t>
      </w:r>
      <w:r w:rsidRPr="00B14411">
        <w:t>. Missing Day 8 platelet counts or use of a rescue therapy before or on Day 8 were considered platelet non</w:t>
      </w:r>
      <w:r w:rsidR="00B14411">
        <w:noBreakHyphen/>
      </w:r>
      <w:r w:rsidRPr="00B14411">
        <w:t>responses.</w:t>
      </w:r>
    </w:p>
    <w:p w14:paraId="67E4DE79" w14:textId="62D013DE" w:rsidR="00C94BBC" w:rsidRPr="00B14411" w:rsidRDefault="00C94BBC" w:rsidP="00B14411">
      <w:pPr>
        <w:pStyle w:val="ListBullet"/>
      </w:pPr>
      <w:r w:rsidRPr="00B14411">
        <w:t xml:space="preserve">Proportion of patients with a reduction in use of concomitant ITP medications from </w:t>
      </w:r>
      <w:r w:rsidR="00B14411">
        <w:t>B</w:t>
      </w:r>
      <w:r w:rsidRPr="00B14411">
        <w:t xml:space="preserve">aseline (if used concomitant ITP medication at </w:t>
      </w:r>
      <w:r w:rsidR="00B14411">
        <w:t>B</w:t>
      </w:r>
      <w:r w:rsidRPr="00B14411">
        <w:t xml:space="preserve">aseline, had no use of rescue therapy during the </w:t>
      </w:r>
      <w:proofErr w:type="gramStart"/>
      <w:r w:rsidRPr="00B14411">
        <w:t>6</w:t>
      </w:r>
      <w:r w:rsidR="00B14411">
        <w:t> </w:t>
      </w:r>
      <w:r w:rsidRPr="00B14411">
        <w:t>month</w:t>
      </w:r>
      <w:proofErr w:type="gramEnd"/>
      <w:r w:rsidRPr="00B14411">
        <w:t xml:space="preserve"> treatment period, and had at least </w:t>
      </w:r>
      <w:r w:rsidR="00B14411">
        <w:t>one</w:t>
      </w:r>
      <w:r w:rsidRPr="00B14411">
        <w:t xml:space="preserve"> concomitant ITP medication dose reduced from </w:t>
      </w:r>
      <w:r w:rsidR="00B14411">
        <w:t>B</w:t>
      </w:r>
      <w:r w:rsidRPr="00B14411">
        <w:t>aseline level during the whole maintenance period).</w:t>
      </w:r>
    </w:p>
    <w:p w14:paraId="3EB67935" w14:textId="49D7CE00" w:rsidR="00C94BBC" w:rsidRPr="00B14411" w:rsidRDefault="00C94BBC" w:rsidP="00B14411">
      <w:r w:rsidRPr="00B14411">
        <w:t>Patients had a median age of 44 years (range 18 to 69), with 4</w:t>
      </w:r>
      <w:r w:rsidR="00B14411">
        <w:t xml:space="preserve"> out of </w:t>
      </w:r>
      <w:r w:rsidRPr="00B14411">
        <w:t>49 patients aged 65 years</w:t>
      </w:r>
      <w:r w:rsidR="00B14411">
        <w:t xml:space="preserve"> or older</w:t>
      </w:r>
      <w:r w:rsidRPr="00B14411">
        <w:t xml:space="preserve">. The </w:t>
      </w:r>
      <w:r w:rsidR="007F165A" w:rsidRPr="00B14411">
        <w:t xml:space="preserve">avatrombopag </w:t>
      </w:r>
      <w:r w:rsidRPr="00B14411">
        <w:t xml:space="preserve">group was approximately 72% female, and the placebo group was approximately 53% male, and almost all (93.9%) were White. The median </w:t>
      </w:r>
      <w:r w:rsidR="00E9222E">
        <w:t>B</w:t>
      </w:r>
      <w:r w:rsidRPr="00B14411">
        <w:t>aseline platelet count was 12.5</w:t>
      </w:r>
      <w:r w:rsidR="00B14411">
        <w:t> </w:t>
      </w:r>
      <w:r w:rsidRPr="00B14411">
        <w:t>x</w:t>
      </w:r>
      <w:r w:rsidR="00B14411">
        <w:t> </w:t>
      </w:r>
      <w:r w:rsidRPr="00B14411">
        <w:t>10</w:t>
      </w:r>
      <w:r w:rsidRPr="00B14411">
        <w:rPr>
          <w:vertAlign w:val="superscript"/>
        </w:rPr>
        <w:t>9</w:t>
      </w:r>
      <w:r w:rsidRPr="00B14411">
        <w:t>/L (range 1.0</w:t>
      </w:r>
      <w:r w:rsidR="00B14411">
        <w:t> </w:t>
      </w:r>
      <w:r w:rsidRPr="00B14411">
        <w:t>x</w:t>
      </w:r>
      <w:r w:rsidR="00B14411">
        <w:t> </w:t>
      </w:r>
      <w:r w:rsidRPr="00B14411">
        <w:t>10</w:t>
      </w:r>
      <w:r w:rsidRPr="00B14411">
        <w:rPr>
          <w:vertAlign w:val="superscript"/>
        </w:rPr>
        <w:t>9</w:t>
      </w:r>
      <w:r w:rsidRPr="00B14411">
        <w:t>/L, 31.5</w:t>
      </w:r>
      <w:r w:rsidR="00B14411">
        <w:t> </w:t>
      </w:r>
      <w:r w:rsidRPr="00B14411">
        <w:t>x</w:t>
      </w:r>
      <w:r w:rsidR="00B14411">
        <w:t> </w:t>
      </w:r>
      <w:r w:rsidRPr="00B14411">
        <w:t>10</w:t>
      </w:r>
      <w:r w:rsidRPr="00B14411">
        <w:rPr>
          <w:vertAlign w:val="superscript"/>
        </w:rPr>
        <w:t>9</w:t>
      </w:r>
      <w:r w:rsidRPr="00B14411">
        <w:t xml:space="preserve">/L) in the </w:t>
      </w:r>
      <w:r w:rsidR="007F165A" w:rsidRPr="00B14411">
        <w:t xml:space="preserve">avatrombopag </w:t>
      </w:r>
      <w:r w:rsidRPr="00B14411">
        <w:t>group and 9.5</w:t>
      </w:r>
      <w:r w:rsidR="00B14411">
        <w:t> </w:t>
      </w:r>
      <w:r w:rsidRPr="00B14411">
        <w:t>x</w:t>
      </w:r>
      <w:r w:rsidR="00B14411">
        <w:t> </w:t>
      </w:r>
      <w:r w:rsidRPr="00B14411">
        <w:t>10</w:t>
      </w:r>
      <w:r w:rsidRPr="00B14411">
        <w:rPr>
          <w:vertAlign w:val="superscript"/>
        </w:rPr>
        <w:t>9</w:t>
      </w:r>
      <w:r w:rsidRPr="00B14411">
        <w:t>/L (range 4.0</w:t>
      </w:r>
      <w:r w:rsidR="00B14411">
        <w:t> </w:t>
      </w:r>
      <w:r w:rsidRPr="00B14411">
        <w:t>x</w:t>
      </w:r>
      <w:r w:rsidR="00B14411">
        <w:t> </w:t>
      </w:r>
      <w:r w:rsidRPr="00B14411">
        <w:t>10</w:t>
      </w:r>
      <w:r w:rsidRPr="00B14411">
        <w:rPr>
          <w:vertAlign w:val="superscript"/>
        </w:rPr>
        <w:t>9</w:t>
      </w:r>
      <w:r w:rsidRPr="00B14411">
        <w:t>/L, 27.0</w:t>
      </w:r>
      <w:r w:rsidR="00B14411">
        <w:t> </w:t>
      </w:r>
      <w:r w:rsidRPr="00B14411">
        <w:t>x</w:t>
      </w:r>
      <w:r w:rsidR="00B14411">
        <w:t> </w:t>
      </w:r>
      <w:r w:rsidRPr="00B14411">
        <w:t>10</w:t>
      </w:r>
      <w:r w:rsidRPr="00B14411">
        <w:rPr>
          <w:vertAlign w:val="superscript"/>
        </w:rPr>
        <w:t>9</w:t>
      </w:r>
      <w:r w:rsidRPr="00B14411">
        <w:t>/L) in the placebo group, but the distribution into categories 15</w:t>
      </w:r>
      <w:r w:rsidR="00B14411">
        <w:t> </w:t>
      </w:r>
      <w:r w:rsidRPr="00B14411">
        <w:t>x</w:t>
      </w:r>
      <w:r w:rsidR="00B14411">
        <w:t> </w:t>
      </w:r>
      <w:r w:rsidRPr="00B14411">
        <w:t>10</w:t>
      </w:r>
      <w:r w:rsidRPr="00B14411">
        <w:rPr>
          <w:vertAlign w:val="superscript"/>
        </w:rPr>
        <w:t>9</w:t>
      </w:r>
      <w:r w:rsidRPr="00B14411">
        <w:t>/L</w:t>
      </w:r>
      <w:r w:rsidR="00B14411">
        <w:t xml:space="preserve"> or less</w:t>
      </w:r>
      <w:r w:rsidRPr="00B14411">
        <w:t>, and 15</w:t>
      </w:r>
      <w:r w:rsidR="00B14411">
        <w:t> </w:t>
      </w:r>
      <w:r w:rsidRPr="00B14411">
        <w:t>x</w:t>
      </w:r>
      <w:r w:rsidR="00B14411">
        <w:t> </w:t>
      </w:r>
      <w:r w:rsidRPr="00B14411">
        <w:t>10</w:t>
      </w:r>
      <w:r w:rsidRPr="00B14411">
        <w:rPr>
          <w:vertAlign w:val="superscript"/>
        </w:rPr>
        <w:t>9</w:t>
      </w:r>
      <w:r w:rsidRPr="00B14411">
        <w:t>/L to 30</w:t>
      </w:r>
      <w:r w:rsidR="00B14411">
        <w:t> </w:t>
      </w:r>
      <w:r w:rsidRPr="00B14411">
        <w:t>x</w:t>
      </w:r>
      <w:r w:rsidR="00B14411">
        <w:t xml:space="preserve"> </w:t>
      </w:r>
      <w:r w:rsidRPr="00B14411">
        <w:t>10</w:t>
      </w:r>
      <w:r w:rsidRPr="00B14411">
        <w:rPr>
          <w:vertAlign w:val="superscript"/>
        </w:rPr>
        <w:t>9</w:t>
      </w:r>
      <w:r w:rsidRPr="00B14411">
        <w:t>/L were similar.</w:t>
      </w:r>
    </w:p>
    <w:p w14:paraId="7954C496" w14:textId="486CF88C" w:rsidR="00C94BBC" w:rsidRPr="00B14411" w:rsidRDefault="00C94BBC" w:rsidP="00B14411">
      <w:r w:rsidRPr="00B14411">
        <w:t>Around 2</w:t>
      </w:r>
      <w:r w:rsidR="00B14411">
        <w:t xml:space="preserve"> out of </w:t>
      </w:r>
      <w:r w:rsidRPr="00B14411">
        <w:t>3 of patients did not have a previous splenectomy. Prior use of immunoglobulins (15.6% v</w:t>
      </w:r>
      <w:r w:rsidR="00B14411">
        <w:t>ersus</w:t>
      </w:r>
      <w:r w:rsidRPr="00B14411">
        <w:t xml:space="preserve"> 5.9%), antihemorrhagics (25% v</w:t>
      </w:r>
      <w:r w:rsidR="00B14411">
        <w:t>ersus</w:t>
      </w:r>
      <w:r w:rsidRPr="00B14411">
        <w:t xml:space="preserve"> 17.6%) and analgesics (15.6% v</w:t>
      </w:r>
      <w:r w:rsidR="00B14411">
        <w:t>ersus</w:t>
      </w:r>
      <w:r w:rsidRPr="00B14411">
        <w:t xml:space="preserve"> 0%) were greater in the </w:t>
      </w:r>
      <w:r w:rsidR="007F165A" w:rsidRPr="00B14411">
        <w:t xml:space="preserve">avatrombopag </w:t>
      </w:r>
      <w:r w:rsidRPr="00B14411">
        <w:t>v</w:t>
      </w:r>
      <w:r w:rsidR="00B14411">
        <w:t>ersus</w:t>
      </w:r>
      <w:r w:rsidRPr="00B14411">
        <w:t xml:space="preserve"> placebo groups. Prior of use of immunosuppressants was higher in the placebo group (0% v</w:t>
      </w:r>
      <w:r w:rsidR="00B14411">
        <w:t>ersus</w:t>
      </w:r>
      <w:r w:rsidRPr="00B14411">
        <w:t xml:space="preserve"> 11.8%) and prior corticosteroid use was similar in both treatment groups. Previous use of TPO receptor agonist therapy (37.5% v</w:t>
      </w:r>
      <w:r w:rsidR="00B14411">
        <w:t>ersus</w:t>
      </w:r>
      <w:r w:rsidRPr="00B14411">
        <w:t xml:space="preserve"> 35.3%), rituximab (18.8% v</w:t>
      </w:r>
      <w:r w:rsidR="00B14411">
        <w:t>ersus</w:t>
      </w:r>
      <w:r w:rsidRPr="00B14411">
        <w:t xml:space="preserve"> 17.6%) and previous platelet transfusions (18.8% v</w:t>
      </w:r>
      <w:r w:rsidR="00B14411">
        <w:t>ersus</w:t>
      </w:r>
      <w:r w:rsidRPr="00B14411">
        <w:t xml:space="preserve"> 17.6%) was similar in the </w:t>
      </w:r>
      <w:r w:rsidR="007F165A" w:rsidRPr="00B14411">
        <w:t xml:space="preserve">avatrombopag </w:t>
      </w:r>
      <w:r w:rsidRPr="00B14411">
        <w:t>and placebo groups.</w:t>
      </w:r>
    </w:p>
    <w:p w14:paraId="4406A2A2" w14:textId="1D281317" w:rsidR="00C94BBC" w:rsidRPr="00B14411" w:rsidRDefault="00C94BBC" w:rsidP="00B14411">
      <w:r w:rsidRPr="00B14411">
        <w:t xml:space="preserve">Concomitant use of corticosteroids was higher in the </w:t>
      </w:r>
      <w:r w:rsidR="007F165A" w:rsidRPr="00B14411">
        <w:t xml:space="preserve">avatrombopag </w:t>
      </w:r>
      <w:r w:rsidRPr="00B14411">
        <w:t xml:space="preserve">group </w:t>
      </w:r>
      <w:r w:rsidR="00B14411">
        <w:t>(</w:t>
      </w:r>
      <w:r w:rsidRPr="00B14411">
        <w:t>9 (28.1%) v</w:t>
      </w:r>
      <w:r w:rsidR="00B14411">
        <w:t>ersus</w:t>
      </w:r>
      <w:r w:rsidRPr="00B14411">
        <w:t xml:space="preserve"> 0%</w:t>
      </w:r>
      <w:r w:rsidR="00B14411">
        <w:t>)</w:t>
      </w:r>
      <w:r w:rsidRPr="00B14411">
        <w:t>, and in 30.8% of the patients in the extension phase were on systemic corticosteroids.</w:t>
      </w:r>
    </w:p>
    <w:p w14:paraId="4D99E94F" w14:textId="7A2A4DB4" w:rsidR="00C94BBC" w:rsidRPr="00B14411" w:rsidRDefault="00C94BBC" w:rsidP="00B14411">
      <w:r w:rsidRPr="00B14411">
        <w:t xml:space="preserve">All randomised patients were treated in the </w:t>
      </w:r>
      <w:r w:rsidR="00B14411">
        <w:t>c</w:t>
      </w:r>
      <w:r w:rsidRPr="00B14411">
        <w:t xml:space="preserve">ore </w:t>
      </w:r>
      <w:r w:rsidR="00B14411">
        <w:t>s</w:t>
      </w:r>
      <w:r w:rsidRPr="00B14411">
        <w:t xml:space="preserve">tudy and 39 patients continued into the </w:t>
      </w:r>
      <w:r w:rsidR="00B14411">
        <w:t>e</w:t>
      </w:r>
      <w:r w:rsidRPr="00B14411">
        <w:t xml:space="preserve">xtension </w:t>
      </w:r>
      <w:r w:rsidR="00B14411">
        <w:t>p</w:t>
      </w:r>
      <w:r w:rsidRPr="00B14411">
        <w:t xml:space="preserve">hase. The reasons for discontinuations are </w:t>
      </w:r>
      <w:r w:rsidR="00B14411">
        <w:t xml:space="preserve">shown in </w:t>
      </w:r>
      <w:r w:rsidR="00B14411">
        <w:fldChar w:fldCharType="begin"/>
      </w:r>
      <w:r w:rsidR="00B14411">
        <w:instrText xml:space="preserve"> REF _Ref151637752 \h </w:instrText>
      </w:r>
      <w:r w:rsidR="00B14411">
        <w:fldChar w:fldCharType="separate"/>
      </w:r>
      <w:r w:rsidR="00197355">
        <w:t xml:space="preserve">Table </w:t>
      </w:r>
      <w:r w:rsidR="00197355">
        <w:rPr>
          <w:noProof/>
        </w:rPr>
        <w:t>11</w:t>
      </w:r>
      <w:r w:rsidR="00B14411">
        <w:fldChar w:fldCharType="end"/>
      </w:r>
      <w:r w:rsidRPr="00B14411">
        <w:t xml:space="preserve"> </w:t>
      </w:r>
      <w:r w:rsidR="00B14411">
        <w:t xml:space="preserve">and </w:t>
      </w:r>
      <w:r w:rsidR="00B14411">
        <w:fldChar w:fldCharType="begin"/>
      </w:r>
      <w:r w:rsidR="00B14411">
        <w:instrText xml:space="preserve"> REF _Ref151638643 \h </w:instrText>
      </w:r>
      <w:r w:rsidR="00B14411">
        <w:fldChar w:fldCharType="separate"/>
      </w:r>
      <w:r w:rsidR="00197355">
        <w:t xml:space="preserve">Table </w:t>
      </w:r>
      <w:r w:rsidR="00197355">
        <w:rPr>
          <w:noProof/>
        </w:rPr>
        <w:t>12</w:t>
      </w:r>
      <w:r w:rsidR="00B14411">
        <w:fldChar w:fldCharType="end"/>
      </w:r>
      <w:r w:rsidR="00B14411">
        <w:t xml:space="preserve"> </w:t>
      </w:r>
      <w:r w:rsidRPr="00B14411">
        <w:t>below.</w:t>
      </w:r>
    </w:p>
    <w:p w14:paraId="249847FA" w14:textId="2D67D0D5" w:rsidR="00C94BBC" w:rsidRDefault="00C94BBC" w:rsidP="00B14411">
      <w:pPr>
        <w:pStyle w:val="TableTitle"/>
      </w:pPr>
      <w:bookmarkStart w:id="69" w:name="_Ref151637752"/>
      <w:r>
        <w:t xml:space="preserve">Table </w:t>
      </w:r>
      <w:r w:rsidR="008A4248">
        <w:fldChar w:fldCharType="begin"/>
      </w:r>
      <w:r w:rsidR="008A4248">
        <w:instrText xml:space="preserve"> SEQ Table \* ARABIC</w:instrText>
      </w:r>
      <w:r w:rsidR="008A4248">
        <w:instrText xml:space="preserve"> </w:instrText>
      </w:r>
      <w:r w:rsidR="008A4248">
        <w:fldChar w:fldCharType="separate"/>
      </w:r>
      <w:r w:rsidR="00197355">
        <w:rPr>
          <w:noProof/>
        </w:rPr>
        <w:t>11</w:t>
      </w:r>
      <w:r w:rsidR="008A4248">
        <w:rPr>
          <w:noProof/>
        </w:rPr>
        <w:fldChar w:fldCharType="end"/>
      </w:r>
      <w:bookmarkEnd w:id="69"/>
      <w:r w:rsidR="00B14411">
        <w:rPr>
          <w:noProof/>
        </w:rPr>
        <w:t>:</w:t>
      </w:r>
      <w:r>
        <w:t xml:space="preserve"> </w:t>
      </w:r>
      <w:r w:rsidR="00B14411">
        <w:t>Study 302 p</w:t>
      </w:r>
      <w:r>
        <w:t xml:space="preserve">atient </w:t>
      </w:r>
      <w:r w:rsidR="00B14411">
        <w:t>f</w:t>
      </w:r>
      <w:r>
        <w:t xml:space="preserve">low through the </w:t>
      </w:r>
      <w:r w:rsidR="00B14411">
        <w:t>c</w:t>
      </w:r>
      <w:r>
        <w:t xml:space="preserve">ore </w:t>
      </w:r>
      <w:r w:rsidR="00B14411">
        <w:t>s</w:t>
      </w:r>
      <w:r>
        <w:t>tudy</w:t>
      </w:r>
    </w:p>
    <w:p w14:paraId="4DD406C2" w14:textId="4526F1E3" w:rsidR="00B14411" w:rsidRDefault="00B14411" w:rsidP="00B14411">
      <w:r>
        <w:rPr>
          <w:noProof/>
        </w:rPr>
        <w:drawing>
          <wp:inline distT="0" distB="0" distL="0" distR="0" wp14:anchorId="68F05562" wp14:editId="1F78B5C0">
            <wp:extent cx="5759450" cy="2222500"/>
            <wp:effectExtent l="19050" t="19050" r="12700" b="25400"/>
            <wp:docPr id="28" name="Picture 28" descr="Study 302 patient flow through the cor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302 patient flow through the core study"/>
                    <pic:cNvPicPr/>
                  </pic:nvPicPr>
                  <pic:blipFill>
                    <a:blip r:embed="rId41"/>
                    <a:stretch>
                      <a:fillRect/>
                    </a:stretch>
                  </pic:blipFill>
                  <pic:spPr>
                    <a:xfrm>
                      <a:off x="0" y="0"/>
                      <a:ext cx="5759450" cy="2222500"/>
                    </a:xfrm>
                    <a:prstGeom prst="rect">
                      <a:avLst/>
                    </a:prstGeom>
                    <a:ln>
                      <a:solidFill>
                        <a:schemeClr val="tx1"/>
                      </a:solidFill>
                    </a:ln>
                  </pic:spPr>
                </pic:pic>
              </a:graphicData>
            </a:graphic>
          </wp:inline>
        </w:drawing>
      </w:r>
    </w:p>
    <w:p w14:paraId="021A7CFE" w14:textId="341EB657" w:rsidR="00B14411" w:rsidRPr="00B14411" w:rsidRDefault="00B14411" w:rsidP="00B14411">
      <w:pPr>
        <w:pStyle w:val="TableDescription"/>
      </w:pPr>
      <w:r>
        <w:t>Abbreviations: FAS = full analysis set</w:t>
      </w:r>
      <w:r w:rsidR="008A4248">
        <w:br/>
      </w:r>
      <w:r>
        <w:t>Percentages are based on the number of subjects randomised and treated in the relevant treatment group.</w:t>
      </w:r>
      <w:r w:rsidR="008A4248">
        <w:br/>
      </w:r>
      <w:r>
        <w:t>a: As reported on the subject disposition (core study) case report form.</w:t>
      </w:r>
      <w:r w:rsidR="008A4248">
        <w:br/>
      </w:r>
      <w:r>
        <w:t>b: Corresponding adverse event(s) leading to withdrawal from the study were reported on the adverse event case report form.</w:t>
      </w:r>
    </w:p>
    <w:p w14:paraId="010E1838" w14:textId="1171E025" w:rsidR="00C94BBC" w:rsidRDefault="00B14411" w:rsidP="00B14411">
      <w:pPr>
        <w:pStyle w:val="TableTitle"/>
      </w:pPr>
      <w:bookmarkStart w:id="70" w:name="_Ref151638643"/>
      <w:r>
        <w:lastRenderedPageBreak/>
        <w:t xml:space="preserve">Table </w:t>
      </w:r>
      <w:r w:rsidR="008A4248">
        <w:fldChar w:fldCharType="begin"/>
      </w:r>
      <w:r w:rsidR="008A4248">
        <w:instrText xml:space="preserve"> SEQ Table \* ARABIC </w:instrText>
      </w:r>
      <w:r w:rsidR="008A4248">
        <w:fldChar w:fldCharType="separate"/>
      </w:r>
      <w:r w:rsidR="00197355">
        <w:rPr>
          <w:noProof/>
        </w:rPr>
        <w:t>12</w:t>
      </w:r>
      <w:r w:rsidR="008A4248">
        <w:rPr>
          <w:noProof/>
        </w:rPr>
        <w:fldChar w:fldCharType="end"/>
      </w:r>
      <w:bookmarkEnd w:id="70"/>
      <w:r>
        <w:t>: Study 302 patient flow through the extension phases</w:t>
      </w:r>
    </w:p>
    <w:p w14:paraId="18672410" w14:textId="54683F68" w:rsidR="00B14411" w:rsidRDefault="00B14411" w:rsidP="008A4248">
      <w:pPr>
        <w:rPr>
          <w:rFonts w:asciiTheme="minorHAnsi" w:eastAsia="TimesNewRoman" w:hAnsiTheme="minorHAnsi" w:cstheme="minorHAnsi"/>
          <w:bCs/>
          <w:color w:val="657C9C" w:themeColor="text2" w:themeTint="BF"/>
          <w:lang w:val="en-US"/>
        </w:rPr>
      </w:pPr>
      <w:r>
        <w:rPr>
          <w:noProof/>
        </w:rPr>
        <w:drawing>
          <wp:inline distT="0" distB="0" distL="0" distR="0" wp14:anchorId="3E55594A" wp14:editId="0A3E11A7">
            <wp:extent cx="5759450" cy="2271395"/>
            <wp:effectExtent l="19050" t="19050" r="12700" b="14605"/>
            <wp:docPr id="29" name="Picture 29" descr="Study 302 patient flow through the extension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udy 302 patient flow through the extension phases"/>
                    <pic:cNvPicPr/>
                  </pic:nvPicPr>
                  <pic:blipFill rotWithShape="1">
                    <a:blip r:embed="rId42"/>
                    <a:srcRect t="2454"/>
                    <a:stretch/>
                  </pic:blipFill>
                  <pic:spPr bwMode="auto">
                    <a:xfrm>
                      <a:off x="0" y="0"/>
                      <a:ext cx="5759450" cy="22713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755E9A" w14:textId="13AF6F75" w:rsidR="00B14411" w:rsidRPr="00B14411" w:rsidRDefault="00B14411" w:rsidP="00B14411">
      <w:pPr>
        <w:pStyle w:val="TableDescription"/>
        <w:rPr>
          <w:lang w:val="en-US"/>
        </w:rPr>
      </w:pPr>
      <w:r>
        <w:rPr>
          <w:lang w:val="en-US"/>
        </w:rPr>
        <w:t xml:space="preserve">Abbreviations: </w:t>
      </w:r>
      <w:proofErr w:type="spellStart"/>
      <w:r w:rsidRPr="00B14411">
        <w:rPr>
          <w:lang w:val="en-US"/>
        </w:rPr>
        <w:t>mFAS</w:t>
      </w:r>
      <w:proofErr w:type="spellEnd"/>
      <w:r w:rsidRPr="00B14411">
        <w:rPr>
          <w:lang w:val="en-US"/>
        </w:rPr>
        <w:t xml:space="preserve"> = modified full analysis set</w:t>
      </w:r>
    </w:p>
    <w:p w14:paraId="22BB0F84" w14:textId="0052CB0F" w:rsidR="00B14411" w:rsidRPr="00B14411" w:rsidRDefault="00B14411" w:rsidP="00B14411">
      <w:pPr>
        <w:pStyle w:val="TableDescription"/>
        <w:rPr>
          <w:lang w:val="en-US"/>
        </w:rPr>
      </w:pPr>
      <w:r w:rsidRPr="00B14411">
        <w:rPr>
          <w:lang w:val="en-US"/>
        </w:rPr>
        <w:t xml:space="preserve">Percentages are based on the number of subjects entered the </w:t>
      </w:r>
      <w:r>
        <w:rPr>
          <w:lang w:val="en-US"/>
        </w:rPr>
        <w:t>e</w:t>
      </w:r>
      <w:r w:rsidRPr="00B14411">
        <w:rPr>
          <w:lang w:val="en-US"/>
        </w:rPr>
        <w:t xml:space="preserve">xtension </w:t>
      </w:r>
      <w:r>
        <w:rPr>
          <w:lang w:val="en-US"/>
        </w:rPr>
        <w:t>p</w:t>
      </w:r>
      <w:r w:rsidRPr="00B14411">
        <w:rPr>
          <w:lang w:val="en-US"/>
        </w:rPr>
        <w:t>hase and treated in the relevant treatment group.</w:t>
      </w:r>
    </w:p>
    <w:p w14:paraId="7D4EFF0F" w14:textId="0B3CF9B7" w:rsidR="00B14411" w:rsidRPr="00B14411" w:rsidRDefault="00B14411" w:rsidP="00B14411">
      <w:pPr>
        <w:pStyle w:val="TableDescription"/>
        <w:rPr>
          <w:lang w:val="en-US"/>
        </w:rPr>
      </w:pPr>
      <w:r w:rsidRPr="00B14411">
        <w:rPr>
          <w:lang w:val="en-US"/>
        </w:rPr>
        <w:t xml:space="preserve">a: As reported on the </w:t>
      </w:r>
      <w:r>
        <w:rPr>
          <w:lang w:val="en-US"/>
        </w:rPr>
        <w:t>s</w:t>
      </w:r>
      <w:r w:rsidRPr="00B14411">
        <w:rPr>
          <w:lang w:val="en-US"/>
        </w:rPr>
        <w:t xml:space="preserve">ubject </w:t>
      </w:r>
      <w:r>
        <w:rPr>
          <w:lang w:val="en-US"/>
        </w:rPr>
        <w:t>d</w:t>
      </w:r>
      <w:r w:rsidRPr="00B14411">
        <w:rPr>
          <w:lang w:val="en-US"/>
        </w:rPr>
        <w:t>isposition (</w:t>
      </w:r>
      <w:r>
        <w:rPr>
          <w:lang w:val="en-US"/>
        </w:rPr>
        <w:t>e</w:t>
      </w:r>
      <w:r w:rsidRPr="00B14411">
        <w:rPr>
          <w:lang w:val="en-US"/>
        </w:rPr>
        <w:t xml:space="preserve">xtension </w:t>
      </w:r>
      <w:r>
        <w:rPr>
          <w:lang w:val="en-US"/>
        </w:rPr>
        <w:t>p</w:t>
      </w:r>
      <w:r w:rsidRPr="00B14411">
        <w:rPr>
          <w:lang w:val="en-US"/>
        </w:rPr>
        <w:t xml:space="preserve">hase) </w:t>
      </w:r>
      <w:r>
        <w:rPr>
          <w:lang w:val="en-US"/>
        </w:rPr>
        <w:t>case report form</w:t>
      </w:r>
      <w:r w:rsidRPr="00B14411">
        <w:rPr>
          <w:lang w:val="en-US"/>
        </w:rPr>
        <w:t>.</w:t>
      </w:r>
    </w:p>
    <w:p w14:paraId="5A9BE6EC" w14:textId="6D557525" w:rsidR="00B14411" w:rsidRPr="00B14411" w:rsidRDefault="00B14411" w:rsidP="00B14411">
      <w:pPr>
        <w:pStyle w:val="TableDescription"/>
        <w:rPr>
          <w:lang w:val="en-US"/>
        </w:rPr>
      </w:pPr>
      <w:r w:rsidRPr="00B14411">
        <w:rPr>
          <w:lang w:val="en-US"/>
        </w:rPr>
        <w:t xml:space="preserve">b: Corresponding adverse event(s) leading to withdrawal from the study were reported on the </w:t>
      </w:r>
      <w:r>
        <w:rPr>
          <w:lang w:val="en-US"/>
        </w:rPr>
        <w:t>a</w:t>
      </w:r>
      <w:r w:rsidRPr="00B14411">
        <w:rPr>
          <w:lang w:val="en-US"/>
        </w:rPr>
        <w:t xml:space="preserve">dverse </w:t>
      </w:r>
      <w:r>
        <w:rPr>
          <w:lang w:val="en-US"/>
        </w:rPr>
        <w:t>e</w:t>
      </w:r>
      <w:r w:rsidRPr="00B14411">
        <w:rPr>
          <w:lang w:val="en-US"/>
        </w:rPr>
        <w:t xml:space="preserve">vent </w:t>
      </w:r>
      <w:r>
        <w:rPr>
          <w:lang w:val="en-US"/>
        </w:rPr>
        <w:t>case report form</w:t>
      </w:r>
      <w:r w:rsidRPr="00B14411">
        <w:rPr>
          <w:lang w:val="en-US"/>
        </w:rPr>
        <w:t>.</w:t>
      </w:r>
    </w:p>
    <w:p w14:paraId="33C40299" w14:textId="2E089CB8" w:rsidR="00C94BBC" w:rsidRPr="00B14411" w:rsidRDefault="00C94BBC" w:rsidP="00B14411">
      <w:r w:rsidRPr="00B14411">
        <w:t xml:space="preserve">The sample size of 45 patients (15 placebo, 30 </w:t>
      </w:r>
      <w:r w:rsidR="007F165A" w:rsidRPr="00B14411">
        <w:t>avatrombopag</w:t>
      </w:r>
      <w:r w:rsidRPr="00B14411">
        <w:t xml:space="preserve">), was calculated by the sponsor to have </w:t>
      </w:r>
      <w:r w:rsidR="00B14411">
        <w:t xml:space="preserve">greater than </w:t>
      </w:r>
      <w:r w:rsidRPr="00B14411">
        <w:t xml:space="preserve">95% power to detect a treatment difference between </w:t>
      </w:r>
      <w:r w:rsidR="007F165A" w:rsidRPr="00B14411">
        <w:t xml:space="preserve">avatrombopag </w:t>
      </w:r>
      <w:r w:rsidRPr="00B14411">
        <w:t xml:space="preserve">and placebo in the cumulative number of weeks of platelet response during the </w:t>
      </w:r>
      <w:proofErr w:type="gramStart"/>
      <w:r w:rsidRPr="00B14411">
        <w:t>4 week</w:t>
      </w:r>
      <w:proofErr w:type="gramEnd"/>
      <w:r w:rsidRPr="00B14411">
        <w:t xml:space="preserve"> treatment period using Wilcoxon rank sum test at a 2-sided α</w:t>
      </w:r>
      <w:r w:rsidR="00B14411">
        <w:t> </w:t>
      </w:r>
      <w:r w:rsidRPr="00B14411">
        <w:t>=</w:t>
      </w:r>
      <w:r w:rsidR="00B14411">
        <w:t> </w:t>
      </w:r>
      <w:r w:rsidRPr="00B14411">
        <w:t>0.05 significant level. This assumed a platelet response for placebo v</w:t>
      </w:r>
      <w:r w:rsidR="00B14411">
        <w:t>ersus</w:t>
      </w:r>
      <w:r w:rsidRPr="00B14411">
        <w:t xml:space="preserve"> </w:t>
      </w:r>
      <w:r w:rsidR="007F165A" w:rsidRPr="00B14411">
        <w:t xml:space="preserve">avatrombopag </w:t>
      </w:r>
      <w:r w:rsidRPr="00B14411">
        <w:t>of 0% v</w:t>
      </w:r>
      <w:r w:rsidR="00B14411">
        <w:t>ersus</w:t>
      </w:r>
      <w:r w:rsidRPr="00B14411">
        <w:t xml:space="preserve"> 80% at 4 weeks based on results observed in the Phase </w:t>
      </w:r>
      <w:r w:rsidR="00B14411">
        <w:t>II</w:t>
      </w:r>
      <w:r w:rsidRPr="00B14411">
        <w:t xml:space="preserve"> </w:t>
      </w:r>
      <w:r w:rsidR="00B14411">
        <w:t>S</w:t>
      </w:r>
      <w:r w:rsidRPr="00B14411">
        <w:t>tudy 501-CL-003.</w:t>
      </w:r>
    </w:p>
    <w:p w14:paraId="01A47014" w14:textId="10C37D7D" w:rsidR="00C94BBC" w:rsidRPr="00B14411" w:rsidRDefault="00C94BBC" w:rsidP="00B14411">
      <w:r w:rsidRPr="00B14411">
        <w:t xml:space="preserve">The </w:t>
      </w:r>
      <w:r w:rsidR="00B14411">
        <w:t>full analysis set</w:t>
      </w:r>
      <w:r w:rsidRPr="00B14411">
        <w:t xml:space="preserve"> was used as the primary population for all efficacy analyses. Patients who discontinued the study or who were lost to follow-up before 6 months had all subsequent unobserved scheduled platelet assessments at the scheduled time points reported as </w:t>
      </w:r>
      <w:r w:rsidR="00B14411">
        <w:t>‘</w:t>
      </w:r>
      <w:r w:rsidRPr="00B14411">
        <w:t>missing</w:t>
      </w:r>
      <w:r w:rsidR="00B14411">
        <w:t>’</w:t>
      </w:r>
      <w:r w:rsidRPr="00B14411">
        <w:t xml:space="preserve"> platelet.</w:t>
      </w:r>
    </w:p>
    <w:p w14:paraId="1C6C6BD9" w14:textId="54C7A9E9" w:rsidR="00C94BBC" w:rsidRPr="00B14411" w:rsidRDefault="00C94BBC" w:rsidP="00B14411">
      <w:r w:rsidRPr="00B14411">
        <w:t xml:space="preserve">The comparisons of the primary and </w:t>
      </w:r>
      <w:r w:rsidR="00B14411">
        <w:t>two</w:t>
      </w:r>
      <w:r w:rsidRPr="00B14411">
        <w:t xml:space="preserve"> key secondary efficacy endpoints occurred in a sequential manner. For the </w:t>
      </w:r>
      <w:r w:rsidR="00B14411">
        <w:t>two</w:t>
      </w:r>
      <w:r w:rsidRPr="00B14411">
        <w:t xml:space="preserve"> key secondary endpoints, the comparison of platelet response at Day 8 between </w:t>
      </w:r>
      <w:r w:rsidR="007F165A" w:rsidRPr="00B14411">
        <w:t xml:space="preserve">avatrombopag </w:t>
      </w:r>
      <w:r w:rsidRPr="00B14411">
        <w:t>and placebo was performed first at 2-sided α</w:t>
      </w:r>
      <w:r w:rsidR="00B14411">
        <w:t> </w:t>
      </w:r>
      <w:r w:rsidRPr="00B14411">
        <w:t>=</w:t>
      </w:r>
      <w:r w:rsidR="00B14411">
        <w:t> </w:t>
      </w:r>
      <w:r w:rsidRPr="00B14411">
        <w:t xml:space="preserve">0.05. If this testing was significant, then the comparison of proportion of patients with a reduction in use of concomitant ITP medications from </w:t>
      </w:r>
      <w:r w:rsidR="00B14411">
        <w:t>B</w:t>
      </w:r>
      <w:r w:rsidRPr="00B14411">
        <w:t>aseline were performed at 2-sided α</w:t>
      </w:r>
      <w:r w:rsidR="00B14411">
        <w:t> </w:t>
      </w:r>
      <w:r w:rsidRPr="00B14411">
        <w:t>=</w:t>
      </w:r>
      <w:r w:rsidR="00B14411">
        <w:t> </w:t>
      </w:r>
      <w:r w:rsidRPr="00B14411">
        <w:t>0.05. The null hypothesis was to be tested using Cochran-Mantel-Haenszel test adjusting for splenectomy status (yes and no) and</w:t>
      </w:r>
      <w:r w:rsidR="00E9222E">
        <w:t xml:space="preserve"> B</w:t>
      </w:r>
      <w:r w:rsidRPr="00B14411">
        <w:t>aseline platelet count (15</w:t>
      </w:r>
      <w:r w:rsidR="00B14411">
        <w:t> </w:t>
      </w:r>
      <w:r w:rsidRPr="00B14411">
        <w:t>x</w:t>
      </w:r>
      <w:r w:rsidR="00B14411">
        <w:t> </w:t>
      </w:r>
      <w:r w:rsidRPr="00B14411">
        <w:t>10</w:t>
      </w:r>
      <w:r w:rsidRPr="00B14411">
        <w:rPr>
          <w:vertAlign w:val="superscript"/>
        </w:rPr>
        <w:t>9</w:t>
      </w:r>
      <w:r w:rsidRPr="00B14411">
        <w:t>/L</w:t>
      </w:r>
      <w:r w:rsidR="00B14411">
        <w:t xml:space="preserve"> or less</w:t>
      </w:r>
      <w:r w:rsidRPr="00B14411">
        <w:t xml:space="preserve"> and 15 to 30</w:t>
      </w:r>
      <w:r w:rsidR="00B14411">
        <w:t> </w:t>
      </w:r>
      <w:r w:rsidRPr="00B14411">
        <w:t>x</w:t>
      </w:r>
      <w:r w:rsidR="00B14411">
        <w:t> </w:t>
      </w:r>
      <w:r w:rsidRPr="00B14411">
        <w:t>10</w:t>
      </w:r>
      <w:r w:rsidRPr="00B14411">
        <w:rPr>
          <w:vertAlign w:val="superscript"/>
        </w:rPr>
        <w:t>9</w:t>
      </w:r>
      <w:r w:rsidRPr="00B14411">
        <w:t>/L) at the 2-sided α</w:t>
      </w:r>
      <w:r w:rsidR="00B14411">
        <w:t> </w:t>
      </w:r>
      <w:r w:rsidRPr="00B14411">
        <w:t>=</w:t>
      </w:r>
      <w:r w:rsidR="00B14411">
        <w:t> </w:t>
      </w:r>
      <w:r w:rsidRPr="00B14411">
        <w:t xml:space="preserve">0.05 significance level </w:t>
      </w:r>
      <w:proofErr w:type="gramStart"/>
      <w:r w:rsidRPr="00B14411">
        <w:t>as long as</w:t>
      </w:r>
      <w:proofErr w:type="gramEnd"/>
      <w:r w:rsidRPr="00B14411">
        <w:t xml:space="preserve"> none of the marginal cells </w:t>
      </w:r>
      <w:r w:rsidR="00B14411" w:rsidRPr="00B14411">
        <w:t>equalled</w:t>
      </w:r>
      <w:r w:rsidRPr="00B14411">
        <w:t xml:space="preserve"> to 0. Since at least </w:t>
      </w:r>
      <w:r w:rsidR="00B14411">
        <w:t>one</w:t>
      </w:r>
      <w:r w:rsidRPr="00B14411">
        <w:t xml:space="preserve"> of the marginal cell </w:t>
      </w:r>
      <w:proofErr w:type="gramStart"/>
      <w:r w:rsidRPr="00B14411">
        <w:t>count</w:t>
      </w:r>
      <w:proofErr w:type="gramEnd"/>
      <w:r w:rsidRPr="00B14411">
        <w:t xml:space="preserve"> was equal to 0, the Fisher’s exact test was used at the 2-sided α</w:t>
      </w:r>
      <w:r w:rsidR="00B14411">
        <w:t> </w:t>
      </w:r>
      <w:r w:rsidRPr="00B14411">
        <w:t>=</w:t>
      </w:r>
      <w:r w:rsidR="00B14411">
        <w:t> </w:t>
      </w:r>
      <w:r w:rsidRPr="00B14411">
        <w:t>0.05 significance level.</w:t>
      </w:r>
    </w:p>
    <w:p w14:paraId="067224FD" w14:textId="77777777" w:rsidR="00C94BBC" w:rsidRPr="00B14411" w:rsidRDefault="00C94BBC" w:rsidP="00B14411">
      <w:r w:rsidRPr="00B14411">
        <w:t>All other endpoints were analysed without adjustment for multiple comparisons.</w:t>
      </w:r>
    </w:p>
    <w:p w14:paraId="6401A745" w14:textId="77777777" w:rsidR="00C94BBC" w:rsidRPr="00B14411" w:rsidRDefault="00C94BBC" w:rsidP="00B14411">
      <w:r w:rsidRPr="00B14411">
        <w:t xml:space="preserve">All patients who had a </w:t>
      </w:r>
      <w:proofErr w:type="gramStart"/>
      <w:r w:rsidRPr="00B14411">
        <w:t>protocol deviations</w:t>
      </w:r>
      <w:proofErr w:type="gramEnd"/>
      <w:r w:rsidRPr="00B14411">
        <w:t xml:space="preserve"> reported in the study had at least one considered a major deviation.</w:t>
      </w:r>
    </w:p>
    <w:p w14:paraId="2E7AE619" w14:textId="6A0122CD" w:rsidR="00C94BBC" w:rsidRDefault="00C94BBC" w:rsidP="00B14411">
      <w:pPr>
        <w:pStyle w:val="TableTitle"/>
      </w:pPr>
      <w:r>
        <w:lastRenderedPageBreak/>
        <w:t xml:space="preserve">Table </w:t>
      </w:r>
      <w:r w:rsidR="008A4248">
        <w:fldChar w:fldCharType="begin"/>
      </w:r>
      <w:r w:rsidR="008A4248">
        <w:instrText xml:space="preserve"> SEQ Table \* ARABIC </w:instrText>
      </w:r>
      <w:r w:rsidR="008A4248">
        <w:fldChar w:fldCharType="separate"/>
      </w:r>
      <w:r w:rsidR="00197355">
        <w:rPr>
          <w:noProof/>
        </w:rPr>
        <w:t>13</w:t>
      </w:r>
      <w:r w:rsidR="008A4248">
        <w:rPr>
          <w:noProof/>
        </w:rPr>
        <w:fldChar w:fldCharType="end"/>
      </w:r>
      <w:r w:rsidR="00B14411">
        <w:rPr>
          <w:noProof/>
        </w:rPr>
        <w:t>:</w:t>
      </w:r>
      <w:r>
        <w:t xml:space="preserve"> Study 302 </w:t>
      </w:r>
      <w:r w:rsidR="00B14411">
        <w:t>m</w:t>
      </w:r>
      <w:r>
        <w:t xml:space="preserve">ajor </w:t>
      </w:r>
      <w:r w:rsidR="00B14411">
        <w:t>p</w:t>
      </w:r>
      <w:r>
        <w:t xml:space="preserve">rotocol </w:t>
      </w:r>
      <w:r w:rsidR="00B14411">
        <w:t>d</w:t>
      </w:r>
      <w:r>
        <w:t>eviations</w:t>
      </w:r>
      <w:r w:rsidR="00B14411">
        <w:t xml:space="preserve"> full analysis set of core study</w:t>
      </w:r>
    </w:p>
    <w:p w14:paraId="6E26B3D0" w14:textId="7D5FF4FB" w:rsidR="00B14411" w:rsidRDefault="00B14411" w:rsidP="008A4248">
      <w:r>
        <w:rPr>
          <w:noProof/>
        </w:rPr>
        <w:drawing>
          <wp:inline distT="0" distB="0" distL="0" distR="0" wp14:anchorId="66609F3D" wp14:editId="7959084C">
            <wp:extent cx="5692675" cy="952500"/>
            <wp:effectExtent l="0" t="0" r="3810" b="0"/>
            <wp:docPr id="31" name="Picture 31" descr="Study 302 major protocol deviations full analysis set of cor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udy 302 major protocol deviations full analysis set of core study"/>
                    <pic:cNvPicPr/>
                  </pic:nvPicPr>
                  <pic:blipFill rotWithShape="1">
                    <a:blip r:embed="rId43"/>
                    <a:srcRect r="7553" b="4883"/>
                    <a:stretch/>
                  </pic:blipFill>
                  <pic:spPr bwMode="auto">
                    <a:xfrm>
                      <a:off x="0" y="0"/>
                      <a:ext cx="5705034" cy="954568"/>
                    </a:xfrm>
                    <a:prstGeom prst="rect">
                      <a:avLst/>
                    </a:prstGeom>
                    <a:ln>
                      <a:noFill/>
                    </a:ln>
                    <a:extLst>
                      <a:ext uri="{53640926-AAD7-44D8-BBD7-CCE9431645EC}">
                        <a14:shadowObscured xmlns:a14="http://schemas.microsoft.com/office/drawing/2010/main"/>
                      </a:ext>
                    </a:extLst>
                  </pic:spPr>
                </pic:pic>
              </a:graphicData>
            </a:graphic>
          </wp:inline>
        </w:drawing>
      </w:r>
    </w:p>
    <w:p w14:paraId="65462E47" w14:textId="4F33D407" w:rsidR="00B14411" w:rsidRDefault="00B14411" w:rsidP="00B14411">
      <w:pPr>
        <w:pStyle w:val="TableDescription"/>
      </w:pPr>
      <w:r w:rsidRPr="00B14411">
        <w:t>Percentages are based on the number of randomi</w:t>
      </w:r>
      <w:r>
        <w:t>s</w:t>
      </w:r>
      <w:r w:rsidRPr="00B14411">
        <w:t>ed subjects in the relevant treatment group. Subjects may have multiple major deviations.</w:t>
      </w:r>
    </w:p>
    <w:p w14:paraId="1259FCAB" w14:textId="119E59FF" w:rsidR="00B14411" w:rsidRDefault="00B14411" w:rsidP="00B14411">
      <w:pPr>
        <w:pStyle w:val="TableTitle"/>
      </w:pPr>
      <w:r>
        <w:t xml:space="preserve">Table </w:t>
      </w:r>
      <w:r w:rsidR="008A4248">
        <w:fldChar w:fldCharType="begin"/>
      </w:r>
      <w:r w:rsidR="008A4248">
        <w:instrText xml:space="preserve"> SEQ Table \* ARABIC </w:instrText>
      </w:r>
      <w:r w:rsidR="008A4248">
        <w:fldChar w:fldCharType="separate"/>
      </w:r>
      <w:r w:rsidR="00197355">
        <w:rPr>
          <w:noProof/>
        </w:rPr>
        <w:t>14</w:t>
      </w:r>
      <w:r w:rsidR="008A4248">
        <w:rPr>
          <w:noProof/>
        </w:rPr>
        <w:fldChar w:fldCharType="end"/>
      </w:r>
      <w:r>
        <w:t>: Study 302 major protocol deviations modified full analysis set of extension phase</w:t>
      </w:r>
    </w:p>
    <w:p w14:paraId="0012CB5B" w14:textId="487F11E5" w:rsidR="00B14411" w:rsidRPr="00B14411" w:rsidRDefault="00B14411" w:rsidP="008A4248">
      <w:r>
        <w:rPr>
          <w:noProof/>
        </w:rPr>
        <w:drawing>
          <wp:inline distT="0" distB="0" distL="0" distR="0" wp14:anchorId="4DDE52EF" wp14:editId="2D30E4CD">
            <wp:extent cx="5715000" cy="990516"/>
            <wp:effectExtent l="0" t="0" r="0" b="635"/>
            <wp:docPr id="64" name="Picture 64" descr="Study 302 major protocol deviations modified full analysis set of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udy 302 major protocol deviations modified full analysis set of extension phase"/>
                    <pic:cNvPicPr/>
                  </pic:nvPicPr>
                  <pic:blipFill>
                    <a:blip r:embed="rId44"/>
                    <a:stretch>
                      <a:fillRect/>
                    </a:stretch>
                  </pic:blipFill>
                  <pic:spPr>
                    <a:xfrm>
                      <a:off x="0" y="0"/>
                      <a:ext cx="5724814" cy="992217"/>
                    </a:xfrm>
                    <a:prstGeom prst="rect">
                      <a:avLst/>
                    </a:prstGeom>
                  </pic:spPr>
                </pic:pic>
              </a:graphicData>
            </a:graphic>
          </wp:inline>
        </w:drawing>
      </w:r>
    </w:p>
    <w:p w14:paraId="3BDA135E" w14:textId="2311FCB5" w:rsidR="00C94BBC" w:rsidRPr="00B14411" w:rsidRDefault="00B14411" w:rsidP="00B14411">
      <w:pPr>
        <w:pStyle w:val="TableDescription"/>
      </w:pPr>
      <w:r w:rsidRPr="00B14411">
        <w:t>Percentages are based on the number of randomised subjects in the relevant treatment group. Subjects may have multiple major deviations.</w:t>
      </w:r>
    </w:p>
    <w:p w14:paraId="1B2362B6" w14:textId="77777777" w:rsidR="00C94BBC" w:rsidRPr="00091F40" w:rsidRDefault="00C94BBC" w:rsidP="00B14411">
      <w:pPr>
        <w:pStyle w:val="Heading7"/>
        <w:rPr>
          <w:rFonts w:eastAsia="TimesNewRoman"/>
          <w:lang w:val="en-US"/>
        </w:rPr>
      </w:pPr>
      <w:r w:rsidRPr="00091F40">
        <w:rPr>
          <w:rFonts w:eastAsia="TimesNewRoman"/>
          <w:lang w:val="en-US"/>
        </w:rPr>
        <w:t>Primary endpoint</w:t>
      </w:r>
    </w:p>
    <w:p w14:paraId="378E994A" w14:textId="54CC40A2" w:rsidR="00C94BBC" w:rsidRPr="00B14411" w:rsidRDefault="00C94BBC" w:rsidP="00B14411">
      <w:r w:rsidRPr="00B14411">
        <w:t xml:space="preserve">The median cumulative number of weeks with platelet count 50 x 109/L </w:t>
      </w:r>
      <w:r w:rsidR="00B14411">
        <w:t xml:space="preserve">or greater </w:t>
      </w:r>
      <w:r w:rsidRPr="00B14411">
        <w:t xml:space="preserve">during the </w:t>
      </w:r>
      <w:proofErr w:type="gramStart"/>
      <w:r w:rsidR="00B14411">
        <w:t>6 </w:t>
      </w:r>
      <w:r w:rsidRPr="00B14411">
        <w:t>month</w:t>
      </w:r>
      <w:proofErr w:type="gramEnd"/>
      <w:r w:rsidRPr="00B14411">
        <w:t xml:space="preserve"> treatment period was 12.4 weeks in the </w:t>
      </w:r>
      <w:r w:rsidR="007F165A" w:rsidRPr="00B14411">
        <w:t xml:space="preserve">avatrombopag </w:t>
      </w:r>
      <w:r w:rsidRPr="00B14411">
        <w:t>group and 0 weeks in the placebo group.</w:t>
      </w:r>
    </w:p>
    <w:p w14:paraId="749B760F" w14:textId="46256797" w:rsidR="00C94BBC" w:rsidRDefault="00C94BBC" w:rsidP="00B14411">
      <w:pPr>
        <w:pStyle w:val="TableTitle"/>
      </w:pPr>
      <w:r>
        <w:t xml:space="preserve">Table </w:t>
      </w:r>
      <w:r w:rsidR="008A4248">
        <w:fldChar w:fldCharType="begin"/>
      </w:r>
      <w:r w:rsidR="008A4248">
        <w:instrText xml:space="preserve"> SEQ Table \* ARABIC </w:instrText>
      </w:r>
      <w:r w:rsidR="008A4248">
        <w:fldChar w:fldCharType="separate"/>
      </w:r>
      <w:r w:rsidR="00197355">
        <w:rPr>
          <w:noProof/>
        </w:rPr>
        <w:t>15</w:t>
      </w:r>
      <w:r w:rsidR="008A4248">
        <w:rPr>
          <w:noProof/>
        </w:rPr>
        <w:fldChar w:fldCharType="end"/>
      </w:r>
      <w:r w:rsidR="00B14411">
        <w:rPr>
          <w:noProof/>
        </w:rPr>
        <w:t>:</w:t>
      </w:r>
      <w:r w:rsidRPr="00666352">
        <w:rPr>
          <w:color w:val="657C9C" w:themeColor="text2" w:themeTint="BF"/>
        </w:rPr>
        <w:t xml:space="preserve"> </w:t>
      </w:r>
      <w:r w:rsidRPr="00666352">
        <w:t xml:space="preserve">Summary of </w:t>
      </w:r>
      <w:r w:rsidR="00B14411">
        <w:t>c</w:t>
      </w:r>
      <w:r w:rsidRPr="00666352">
        <w:t xml:space="preserve">umulative </w:t>
      </w:r>
      <w:r w:rsidR="00B14411">
        <w:t>n</w:t>
      </w:r>
      <w:r w:rsidRPr="00666352">
        <w:t xml:space="preserve">umber of </w:t>
      </w:r>
      <w:r w:rsidR="00B14411">
        <w:t>w</w:t>
      </w:r>
      <w:r w:rsidRPr="00666352">
        <w:t xml:space="preserve">eeks with </w:t>
      </w:r>
      <w:r w:rsidR="00B14411">
        <w:t>p</w:t>
      </w:r>
      <w:r w:rsidRPr="00666352">
        <w:t xml:space="preserve">latelet </w:t>
      </w:r>
      <w:r w:rsidR="00B14411">
        <w:t>c</w:t>
      </w:r>
      <w:r w:rsidRPr="00666352">
        <w:t>ount 50 x 10</w:t>
      </w:r>
      <w:r w:rsidRPr="00666352">
        <w:rPr>
          <w:vertAlign w:val="superscript"/>
        </w:rPr>
        <w:t>9</w:t>
      </w:r>
      <w:r w:rsidRPr="00666352">
        <w:t>/L</w:t>
      </w:r>
      <w:r w:rsidR="00B14411">
        <w:t xml:space="preserve"> or greater, full analysis set of core study</w:t>
      </w:r>
    </w:p>
    <w:p w14:paraId="097E4B71" w14:textId="4685D10D" w:rsidR="00B14411" w:rsidRPr="00666352" w:rsidRDefault="00B14411" w:rsidP="008A4248">
      <w:r>
        <w:rPr>
          <w:noProof/>
        </w:rPr>
        <w:drawing>
          <wp:inline distT="0" distB="0" distL="0" distR="0" wp14:anchorId="16B1AA0E" wp14:editId="609A15C3">
            <wp:extent cx="5759450" cy="1502410"/>
            <wp:effectExtent l="0" t="0" r="0" b="2540"/>
            <wp:docPr id="65" name="Picture 65" descr="Summary of cumulative number of weeks with platelet count 50 x 109/L or greater, full analysis set of cor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ummary of cumulative number of weeks with platelet count 50 x 109/L or greater, full analysis set of core study"/>
                    <pic:cNvPicPr/>
                  </pic:nvPicPr>
                  <pic:blipFill>
                    <a:blip r:embed="rId45"/>
                    <a:stretch>
                      <a:fillRect/>
                    </a:stretch>
                  </pic:blipFill>
                  <pic:spPr>
                    <a:xfrm>
                      <a:off x="0" y="0"/>
                      <a:ext cx="5759450" cy="1502410"/>
                    </a:xfrm>
                    <a:prstGeom prst="rect">
                      <a:avLst/>
                    </a:prstGeom>
                  </pic:spPr>
                </pic:pic>
              </a:graphicData>
            </a:graphic>
          </wp:inline>
        </w:drawing>
      </w:r>
    </w:p>
    <w:p w14:paraId="04F7EE3C" w14:textId="18023980" w:rsidR="00B14411" w:rsidRPr="00B14411" w:rsidRDefault="00B14411" w:rsidP="00B14411">
      <w:pPr>
        <w:pStyle w:val="TableDescription"/>
        <w:rPr>
          <w:lang w:eastAsia="ja-JP"/>
        </w:rPr>
      </w:pPr>
      <w:r>
        <w:rPr>
          <w:lang w:eastAsia="ja-JP"/>
        </w:rPr>
        <w:t xml:space="preserve">Abbreviations: </w:t>
      </w:r>
      <w:r w:rsidRPr="00B14411">
        <w:rPr>
          <w:lang w:eastAsia="ja-JP"/>
        </w:rPr>
        <w:t>FAS = full analysis set</w:t>
      </w:r>
      <w:r>
        <w:rPr>
          <w:lang w:eastAsia="ja-JP"/>
        </w:rPr>
        <w:t>.</w:t>
      </w:r>
    </w:p>
    <w:p w14:paraId="0B0D16E9" w14:textId="63FEEA61" w:rsidR="00C94BBC" w:rsidRPr="00B14411" w:rsidRDefault="00B14411" w:rsidP="00B14411">
      <w:pPr>
        <w:pStyle w:val="TableDescription"/>
      </w:pPr>
      <w:r w:rsidRPr="00B14411">
        <w:rPr>
          <w:lang w:eastAsia="ja-JP"/>
        </w:rPr>
        <w:t>Cumulative number of weeks of platelet response is defined as the total numbers of weeks in which the platelet count is 50</w:t>
      </w:r>
      <w:r>
        <w:rPr>
          <w:lang w:eastAsia="ja-JP"/>
        </w:rPr>
        <w:t> </w:t>
      </w:r>
      <w:r w:rsidRPr="00B14411">
        <w:rPr>
          <w:lang w:eastAsia="ja-JP"/>
        </w:rPr>
        <w:t>x</w:t>
      </w:r>
      <w:r>
        <w:rPr>
          <w:lang w:eastAsia="ja-JP"/>
        </w:rPr>
        <w:t> </w:t>
      </w:r>
      <w:r w:rsidRPr="00B14411">
        <w:rPr>
          <w:lang w:eastAsia="ja-JP"/>
        </w:rPr>
        <w:t>10</w:t>
      </w:r>
      <w:r w:rsidRPr="00B14411">
        <w:rPr>
          <w:vertAlign w:val="superscript"/>
          <w:lang w:eastAsia="ja-JP"/>
        </w:rPr>
        <w:t>9</w:t>
      </w:r>
      <w:r w:rsidRPr="00B14411">
        <w:rPr>
          <w:lang w:eastAsia="ja-JP"/>
        </w:rPr>
        <w:t xml:space="preserve">/L </w:t>
      </w:r>
      <w:r>
        <w:rPr>
          <w:lang w:eastAsia="ja-JP"/>
        </w:rPr>
        <w:t xml:space="preserve">or greater </w:t>
      </w:r>
      <w:r w:rsidRPr="00B14411">
        <w:rPr>
          <w:lang w:eastAsia="ja-JP"/>
        </w:rPr>
        <w:t xml:space="preserve">during 6 months of treatment of </w:t>
      </w:r>
      <w:r>
        <w:rPr>
          <w:lang w:eastAsia="ja-JP"/>
        </w:rPr>
        <w:t>c</w:t>
      </w:r>
      <w:r w:rsidRPr="00B14411">
        <w:rPr>
          <w:lang w:eastAsia="ja-JP"/>
        </w:rPr>
        <w:t xml:space="preserve">ore </w:t>
      </w:r>
      <w:r>
        <w:rPr>
          <w:lang w:eastAsia="ja-JP"/>
        </w:rPr>
        <w:t>s</w:t>
      </w:r>
      <w:r w:rsidRPr="00B14411">
        <w:rPr>
          <w:lang w:eastAsia="ja-JP"/>
        </w:rPr>
        <w:t>tudy in the absence of rescue therapy.</w:t>
      </w:r>
    </w:p>
    <w:p w14:paraId="1034AD0F" w14:textId="2659C320" w:rsidR="00C94BBC" w:rsidRPr="00B14411" w:rsidRDefault="00C94BBC" w:rsidP="00B14411">
      <w:r w:rsidRPr="00B14411">
        <w:t>From the subgroup analyses, cumulative platelet response was lower in splenectomised patients compared to non-splenectomised patients (4.9 v</w:t>
      </w:r>
      <w:r w:rsidR="00B14411">
        <w:t xml:space="preserve">ersus </w:t>
      </w:r>
      <w:r w:rsidRPr="00B14411">
        <w:t xml:space="preserve">15.9 weeks), patients with </w:t>
      </w:r>
      <w:r w:rsidR="00E9222E">
        <w:t>B</w:t>
      </w:r>
      <w:r w:rsidRPr="00B14411">
        <w:t>aseline platelet count</w:t>
      </w:r>
      <w:r w:rsidR="00B14411">
        <w:t xml:space="preserve"> </w:t>
      </w:r>
      <w:r w:rsidRPr="00B14411">
        <w:t>15</w:t>
      </w:r>
      <w:r w:rsidR="00B14411">
        <w:t> </w:t>
      </w:r>
      <w:r w:rsidRPr="00B14411">
        <w:t>x</w:t>
      </w:r>
      <w:r w:rsidR="00B14411">
        <w:t> </w:t>
      </w:r>
      <w:r w:rsidRPr="00B14411">
        <w:t>10</w:t>
      </w:r>
      <w:r w:rsidRPr="00B14411">
        <w:rPr>
          <w:vertAlign w:val="superscript"/>
        </w:rPr>
        <w:t>9</w:t>
      </w:r>
      <w:r w:rsidRPr="00B14411">
        <w:t xml:space="preserve">/L </w:t>
      </w:r>
      <w:r w:rsidR="00B14411">
        <w:t xml:space="preserve">or less </w:t>
      </w:r>
      <w:r w:rsidRPr="00B14411">
        <w:t xml:space="preserve">compared with a </w:t>
      </w:r>
      <w:r w:rsidR="00B14411">
        <w:t>b</w:t>
      </w:r>
      <w:r w:rsidRPr="00B14411">
        <w:t>aseline count 15 to 30</w:t>
      </w:r>
      <w:r w:rsidR="00B14411">
        <w:t> </w:t>
      </w:r>
      <w:r w:rsidRPr="00B14411">
        <w:t>x</w:t>
      </w:r>
      <w:r w:rsidR="00B14411">
        <w:t> </w:t>
      </w:r>
      <w:r w:rsidRPr="00B14411">
        <w:t>10</w:t>
      </w:r>
      <w:r w:rsidRPr="00B14411">
        <w:rPr>
          <w:vertAlign w:val="superscript"/>
        </w:rPr>
        <w:t>9</w:t>
      </w:r>
      <w:r w:rsidRPr="00B14411">
        <w:t>/L (5.3 v</w:t>
      </w:r>
      <w:r w:rsidR="00B14411">
        <w:t>ersus</w:t>
      </w:r>
      <w:r w:rsidRPr="00B14411">
        <w:t xml:space="preserve"> 19.2 weeks), and in those patients who used concomitant ITP medication at </w:t>
      </w:r>
      <w:r w:rsidR="00B14411">
        <w:t>B</w:t>
      </w:r>
      <w:r w:rsidRPr="00B14411">
        <w:t>aseline compared to those who did not use concomitant ITP medication (4.9 v</w:t>
      </w:r>
      <w:r w:rsidR="00B14411">
        <w:t xml:space="preserve">ersus </w:t>
      </w:r>
      <w:r w:rsidRPr="00B14411">
        <w:t>15.9 weeks).</w:t>
      </w:r>
    </w:p>
    <w:p w14:paraId="4FDFC5B5" w14:textId="77777777" w:rsidR="00C94BBC" w:rsidRPr="00A849CB" w:rsidRDefault="00C94BBC" w:rsidP="00B14411">
      <w:pPr>
        <w:pStyle w:val="Heading7"/>
        <w:rPr>
          <w:rFonts w:eastAsia="TimesNewRoman"/>
          <w:lang w:val="en-US"/>
        </w:rPr>
      </w:pPr>
      <w:r w:rsidRPr="00A849CB">
        <w:rPr>
          <w:rFonts w:eastAsia="TimesNewRoman"/>
          <w:lang w:val="en-US"/>
        </w:rPr>
        <w:t>Secondary endpoints</w:t>
      </w:r>
    </w:p>
    <w:p w14:paraId="56B07F81" w14:textId="5C024DE9" w:rsidR="00C94BBC" w:rsidRPr="00B14411" w:rsidRDefault="00C94BBC" w:rsidP="00B14411">
      <w:r w:rsidRPr="00B14411">
        <w:t>The proportion of patients with a Day 8 platelet count 50 x 10</w:t>
      </w:r>
      <w:r w:rsidRPr="00197355">
        <w:rPr>
          <w:vertAlign w:val="superscript"/>
        </w:rPr>
        <w:t>9</w:t>
      </w:r>
      <w:r w:rsidRPr="00B14411">
        <w:t xml:space="preserve">/L </w:t>
      </w:r>
      <w:r w:rsidR="00B14411">
        <w:t xml:space="preserve">or greater </w:t>
      </w:r>
      <w:r w:rsidRPr="00B14411">
        <w:t xml:space="preserve">was greater for </w:t>
      </w:r>
      <w:r w:rsidR="007F165A" w:rsidRPr="00B14411">
        <w:t xml:space="preserve">avatrombopag </w:t>
      </w:r>
      <w:r w:rsidRPr="00B14411">
        <w:t>v</w:t>
      </w:r>
      <w:r w:rsidR="00B14411">
        <w:t>ersus</w:t>
      </w:r>
      <w:r w:rsidRPr="00B14411">
        <w:t xml:space="preserve"> placebo (65.63% </w:t>
      </w:r>
      <w:r w:rsidR="00B14411">
        <w:t>versus</w:t>
      </w:r>
      <w:r w:rsidRPr="00B14411">
        <w:t xml:space="preserve"> 0%; treatment difference</w:t>
      </w:r>
      <w:r w:rsidR="00B14411">
        <w:t> </w:t>
      </w:r>
      <w:r w:rsidRPr="00B14411">
        <w:t>=</w:t>
      </w:r>
      <w:r w:rsidR="00B14411">
        <w:t> </w:t>
      </w:r>
      <w:r w:rsidRPr="00B14411">
        <w:t>65.63%, 95% CI: 49.17%, 82.08%; p</w:t>
      </w:r>
      <w:r w:rsidR="00B14411">
        <w:t> </w:t>
      </w:r>
      <w:r w:rsidRPr="00B14411">
        <w:t>&lt;</w:t>
      </w:r>
      <w:r w:rsidR="00B14411">
        <w:t> </w:t>
      </w:r>
      <w:r w:rsidRPr="00B14411">
        <w:t>0.0001).</w:t>
      </w:r>
    </w:p>
    <w:p w14:paraId="4C184E08" w14:textId="6CCA3AA9" w:rsidR="00C94BBC" w:rsidRPr="00B14411" w:rsidRDefault="00C94BBC" w:rsidP="00B14411">
      <w:r w:rsidRPr="00B14411">
        <w:t xml:space="preserve">Only 22 patients were using ITP medication at </w:t>
      </w:r>
      <w:r w:rsidR="00B14411">
        <w:t>B</w:t>
      </w:r>
      <w:r w:rsidRPr="00B14411">
        <w:t xml:space="preserve">aseline. The proportion of patients with a reduction in use of concomitant ITP medication from </w:t>
      </w:r>
      <w:r w:rsidR="00B14411">
        <w:t>B</w:t>
      </w:r>
      <w:r w:rsidRPr="00B14411">
        <w:t xml:space="preserve">aseline was greater in </w:t>
      </w:r>
      <w:r w:rsidR="007F165A" w:rsidRPr="00B14411">
        <w:t xml:space="preserve">avatrombopag </w:t>
      </w:r>
      <w:r w:rsidRPr="00B14411">
        <w:t>group (33.33% v</w:t>
      </w:r>
      <w:r w:rsidR="00B14411">
        <w:t>ersus</w:t>
      </w:r>
      <w:r w:rsidRPr="00B14411">
        <w:t xml:space="preserve"> 0%), but the difference was not statistically significant (treatment </w:t>
      </w:r>
      <w:r w:rsidRPr="00B14411">
        <w:lastRenderedPageBreak/>
        <w:t>difference</w:t>
      </w:r>
      <w:r w:rsidR="00B14411">
        <w:t> </w:t>
      </w:r>
      <w:r w:rsidRPr="00B14411">
        <w:t>= 33.3%, 95% CI: 9.48%, 57.19%, p</w:t>
      </w:r>
      <w:r w:rsidR="00B14411">
        <w:t> </w:t>
      </w:r>
      <w:r w:rsidRPr="00B14411">
        <w:t>=</w:t>
      </w:r>
      <w:r w:rsidR="00B14411">
        <w:t> </w:t>
      </w:r>
      <w:r w:rsidRPr="00B14411">
        <w:t xml:space="preserve">0.12348). Around half the patients on </w:t>
      </w:r>
      <w:r w:rsidR="00E9222E">
        <w:t>B</w:t>
      </w:r>
      <w:r w:rsidRPr="00B14411">
        <w:t>aseline steroid were able to reduce their dose or discontinue treatment.</w:t>
      </w:r>
    </w:p>
    <w:p w14:paraId="5B765E66" w14:textId="5119EA65" w:rsidR="00C94BBC" w:rsidRPr="00B14411" w:rsidRDefault="00C94BBC" w:rsidP="00B14411">
      <w:r w:rsidRPr="00B14411">
        <w:t>The small patient numbers and high dropout rate in the placebo group limit the interpretation of the results, as is demonstrated by the numbers of patients contributing to the figure</w:t>
      </w:r>
      <w:r w:rsidR="00B14411">
        <w:t xml:space="preserve"> (see </w:t>
      </w:r>
      <w:r w:rsidR="00B14411">
        <w:fldChar w:fldCharType="begin"/>
      </w:r>
      <w:r w:rsidR="00B14411">
        <w:instrText xml:space="preserve"> REF _Ref151623871 \h </w:instrText>
      </w:r>
      <w:r w:rsidR="00B14411">
        <w:fldChar w:fldCharType="separate"/>
      </w:r>
      <w:r w:rsidR="00197355">
        <w:t xml:space="preserve">Figure </w:t>
      </w:r>
      <w:r w:rsidR="00197355">
        <w:rPr>
          <w:noProof/>
        </w:rPr>
        <w:t>12</w:t>
      </w:r>
      <w:r w:rsidR="00B14411">
        <w:fldChar w:fldCharType="end"/>
      </w:r>
      <w:r w:rsidR="00B14411">
        <w:t xml:space="preserve"> </w:t>
      </w:r>
      <w:r w:rsidRPr="00B14411">
        <w:t>.</w:t>
      </w:r>
    </w:p>
    <w:p w14:paraId="6710528F" w14:textId="68C530C5" w:rsidR="00C94BBC" w:rsidRDefault="00C94BBC" w:rsidP="00B14411">
      <w:pPr>
        <w:pStyle w:val="FigureTitle"/>
      </w:pPr>
      <w:bookmarkStart w:id="71" w:name="_Ref151623871"/>
      <w:r>
        <w:t xml:space="preserve">Figure </w:t>
      </w:r>
      <w:r w:rsidR="008A4248">
        <w:fldChar w:fldCharType="begin"/>
      </w:r>
      <w:r w:rsidR="008A4248">
        <w:instrText xml:space="preserve"> SEQ Figure \* ARABIC </w:instrText>
      </w:r>
      <w:r w:rsidR="008A4248">
        <w:fldChar w:fldCharType="separate"/>
      </w:r>
      <w:r w:rsidR="00197355">
        <w:rPr>
          <w:noProof/>
        </w:rPr>
        <w:t>12</w:t>
      </w:r>
      <w:r w:rsidR="008A4248">
        <w:rPr>
          <w:noProof/>
        </w:rPr>
        <w:fldChar w:fldCharType="end"/>
      </w:r>
      <w:bookmarkEnd w:id="71"/>
      <w:r w:rsidR="00B14411">
        <w:rPr>
          <w:noProof/>
        </w:rPr>
        <w:t>:</w:t>
      </w:r>
      <w:r>
        <w:t xml:space="preserve"> Median (Q1, Q3) </w:t>
      </w:r>
      <w:r w:rsidR="00B14411">
        <w:t>p</w:t>
      </w:r>
      <w:r>
        <w:t xml:space="preserve">latelet </w:t>
      </w:r>
      <w:r w:rsidR="00B14411">
        <w:t>c</w:t>
      </w:r>
      <w:r>
        <w:t xml:space="preserve">ount </w:t>
      </w:r>
      <w:r w:rsidR="00B14411">
        <w:t>o</w:t>
      </w:r>
      <w:r>
        <w:t xml:space="preserve">ver </w:t>
      </w:r>
      <w:r w:rsidR="00B14411">
        <w:t>t</w:t>
      </w:r>
      <w:r>
        <w:t xml:space="preserve">ime for </w:t>
      </w:r>
      <w:r w:rsidR="00B14411">
        <w:t>c</w:t>
      </w:r>
      <w:r>
        <w:t xml:space="preserve">ore </w:t>
      </w:r>
      <w:r w:rsidR="00B14411">
        <w:t>s</w:t>
      </w:r>
      <w:r>
        <w:t xml:space="preserve">tudy </w:t>
      </w:r>
      <w:r w:rsidR="00B14411">
        <w:t>t</w:t>
      </w:r>
      <w:r>
        <w:t xml:space="preserve">reatment </w:t>
      </w:r>
      <w:r w:rsidR="00B14411">
        <w:t>p</w:t>
      </w:r>
      <w:r>
        <w:t>eriod</w:t>
      </w:r>
      <w:r w:rsidR="00B14411">
        <w:t>, full analysis set</w:t>
      </w:r>
    </w:p>
    <w:p w14:paraId="783C1A2D" w14:textId="33470D96" w:rsidR="00C94BBC" w:rsidRPr="00B14411" w:rsidRDefault="00B14411" w:rsidP="008A4248">
      <w:r>
        <w:rPr>
          <w:noProof/>
        </w:rPr>
        <w:drawing>
          <wp:inline distT="0" distB="0" distL="0" distR="0" wp14:anchorId="4B17E8E2" wp14:editId="4E4D3295">
            <wp:extent cx="5683250" cy="3014980"/>
            <wp:effectExtent l="0" t="0" r="0" b="0"/>
            <wp:docPr id="66" name="Picture 66" descr="Median (Q1, Q3) platelet count over time for core study treatment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edian (Q1, Q3) platelet count over time for core study treatment period, full analysis set"/>
                    <pic:cNvPicPr/>
                  </pic:nvPicPr>
                  <pic:blipFill rotWithShape="1">
                    <a:blip r:embed="rId46"/>
                    <a:srcRect l="1323"/>
                    <a:stretch/>
                  </pic:blipFill>
                  <pic:spPr bwMode="auto">
                    <a:xfrm>
                      <a:off x="0" y="0"/>
                      <a:ext cx="5683250" cy="3014980"/>
                    </a:xfrm>
                    <a:prstGeom prst="rect">
                      <a:avLst/>
                    </a:prstGeom>
                    <a:ln>
                      <a:noFill/>
                    </a:ln>
                    <a:extLst>
                      <a:ext uri="{53640926-AAD7-44D8-BBD7-CCE9431645EC}">
                        <a14:shadowObscured xmlns:a14="http://schemas.microsoft.com/office/drawing/2010/main"/>
                      </a:ext>
                    </a:extLst>
                  </pic:spPr>
                </pic:pic>
              </a:graphicData>
            </a:graphic>
          </wp:inline>
        </w:drawing>
      </w:r>
    </w:p>
    <w:p w14:paraId="34C53592" w14:textId="77777777" w:rsidR="00C94BBC" w:rsidRPr="00436D4E" w:rsidRDefault="00C94BBC" w:rsidP="00B14411">
      <w:pPr>
        <w:pStyle w:val="Heading6"/>
      </w:pPr>
      <w:r>
        <w:t>Study 305</w:t>
      </w:r>
    </w:p>
    <w:p w14:paraId="0CA4FA62" w14:textId="3D3898E3" w:rsidR="00C94BBC" w:rsidRPr="00B14411" w:rsidRDefault="00C94BBC" w:rsidP="00B14411">
      <w:r w:rsidRPr="00B14411">
        <w:t xml:space="preserve">A Phase </w:t>
      </w:r>
      <w:r w:rsidR="00B14411">
        <w:t>III</w:t>
      </w:r>
      <w:r w:rsidRPr="00B14411">
        <w:t xml:space="preserve">, </w:t>
      </w:r>
      <w:r w:rsidR="00B14411">
        <w:t>m</w:t>
      </w:r>
      <w:r w:rsidRPr="00B14411">
        <w:t xml:space="preserve">ulticentre, </w:t>
      </w:r>
      <w:r w:rsidR="00B14411">
        <w:t>r</w:t>
      </w:r>
      <w:r w:rsidRPr="00B14411">
        <w:t xml:space="preserve">andomised, </w:t>
      </w:r>
      <w:r w:rsidR="00B14411">
        <w:t>d</w:t>
      </w:r>
      <w:r w:rsidRPr="00B14411">
        <w:t>ouble</w:t>
      </w:r>
      <w:r w:rsidR="00B14411">
        <w:t xml:space="preserve"> b</w:t>
      </w:r>
      <w:r w:rsidRPr="00B14411">
        <w:t xml:space="preserve">lind, </w:t>
      </w:r>
      <w:r w:rsidR="00B14411">
        <w:t>a</w:t>
      </w:r>
      <w:r w:rsidRPr="00B14411">
        <w:t>ctive</w:t>
      </w:r>
      <w:r w:rsidR="00B14411">
        <w:t xml:space="preserve"> c</w:t>
      </w:r>
      <w:r w:rsidRPr="00B14411">
        <w:t xml:space="preserve">ontrolled, </w:t>
      </w:r>
      <w:r w:rsidR="00B14411">
        <w:t>p</w:t>
      </w:r>
      <w:r w:rsidRPr="00B14411">
        <w:t>arallel</w:t>
      </w:r>
      <w:r w:rsidR="00B14411">
        <w:t xml:space="preserve"> g</w:t>
      </w:r>
      <w:r w:rsidRPr="00B14411">
        <w:t xml:space="preserve">roup </w:t>
      </w:r>
      <w:r w:rsidR="00B14411">
        <w:t>t</w:t>
      </w:r>
      <w:r w:rsidRPr="00B14411">
        <w:t xml:space="preserve">rial with an </w:t>
      </w:r>
      <w:r w:rsidR="00B14411">
        <w:t>o</w:t>
      </w:r>
      <w:r w:rsidRPr="00B14411">
        <w:t>pen</w:t>
      </w:r>
      <w:r w:rsidR="00B14411">
        <w:t xml:space="preserve"> l</w:t>
      </w:r>
      <w:r w:rsidRPr="00B14411">
        <w:t xml:space="preserve">abel </w:t>
      </w:r>
      <w:r w:rsidR="00B14411">
        <w:t>e</w:t>
      </w:r>
      <w:r w:rsidRPr="00B14411">
        <w:t xml:space="preserve">xtension </w:t>
      </w:r>
      <w:r w:rsidR="00B14411">
        <w:t>p</w:t>
      </w:r>
      <w:r w:rsidRPr="00B14411">
        <w:t xml:space="preserve">hase to </w:t>
      </w:r>
      <w:r w:rsidR="00B14411">
        <w:t>e</w:t>
      </w:r>
      <w:r w:rsidRPr="00B14411">
        <w:t xml:space="preserve">valuate the </w:t>
      </w:r>
      <w:r w:rsidR="00B14411">
        <w:t>e</w:t>
      </w:r>
      <w:r w:rsidRPr="00B14411">
        <w:t xml:space="preserve">fficacy and </w:t>
      </w:r>
      <w:r w:rsidR="00B14411">
        <w:t>s</w:t>
      </w:r>
      <w:r w:rsidRPr="00B14411">
        <w:t xml:space="preserve">afety of </w:t>
      </w:r>
      <w:r w:rsidR="00B14411">
        <w:t>o</w:t>
      </w:r>
      <w:r w:rsidRPr="00B14411">
        <w:t xml:space="preserve">ral </w:t>
      </w:r>
      <w:r w:rsidR="00B14411" w:rsidRPr="00C94BBC">
        <w:t>avatrombopag</w:t>
      </w:r>
      <w:r w:rsidR="00B14411" w:rsidRPr="00B14411">
        <w:t xml:space="preserve"> </w:t>
      </w:r>
      <w:r w:rsidR="00B14411">
        <w:t>v</w:t>
      </w:r>
      <w:r w:rsidRPr="00B14411">
        <w:t xml:space="preserve">ersus </w:t>
      </w:r>
      <w:proofErr w:type="spellStart"/>
      <w:r w:rsidR="00B14411">
        <w:t>e</w:t>
      </w:r>
      <w:r w:rsidRPr="00B14411">
        <w:t>ltrombopag</w:t>
      </w:r>
      <w:proofErr w:type="spellEnd"/>
      <w:r w:rsidRPr="00B14411">
        <w:t xml:space="preserve">, in </w:t>
      </w:r>
      <w:r w:rsidR="00B14411">
        <w:t>a</w:t>
      </w:r>
      <w:r w:rsidRPr="00B14411">
        <w:t xml:space="preserve">dults with </w:t>
      </w:r>
      <w:r w:rsidR="00B14411">
        <w:t>c</w:t>
      </w:r>
      <w:r w:rsidRPr="00B14411">
        <w:t xml:space="preserve">hronic </w:t>
      </w:r>
      <w:r w:rsidR="00B14411">
        <w:t>i</w:t>
      </w:r>
      <w:r w:rsidRPr="00B14411">
        <w:t xml:space="preserve">mmune </w:t>
      </w:r>
      <w:r w:rsidR="00B14411">
        <w:t>t</w:t>
      </w:r>
      <w:r w:rsidRPr="00B14411">
        <w:t xml:space="preserve">hrombocytopenia. Only 24 were randomised and 23 treated. This study did not progress because of </w:t>
      </w:r>
      <w:r w:rsidR="00B14411" w:rsidRPr="00B14411">
        <w:t>enrolment</w:t>
      </w:r>
      <w:r w:rsidRPr="00B14411">
        <w:t xml:space="preserve"> challenges.</w:t>
      </w:r>
    </w:p>
    <w:p w14:paraId="30263AFF" w14:textId="77777777" w:rsidR="00C94BBC" w:rsidRDefault="00C94BBC" w:rsidP="00B14411">
      <w:pPr>
        <w:pStyle w:val="Heading6"/>
      </w:pPr>
      <w:r>
        <w:t>Supportive studies</w:t>
      </w:r>
    </w:p>
    <w:p w14:paraId="45B227B8" w14:textId="77777777" w:rsidR="00C94BBC" w:rsidRDefault="00C94BBC" w:rsidP="00B14411">
      <w:pPr>
        <w:pStyle w:val="Heading7"/>
      </w:pPr>
      <w:r>
        <w:t>Study 501-CL-003</w:t>
      </w:r>
    </w:p>
    <w:p w14:paraId="5EAAAAF0" w14:textId="0E942BE6" w:rsidR="00C94BBC" w:rsidRPr="00B14411" w:rsidRDefault="00C94BBC" w:rsidP="00B14411">
      <w:r w:rsidRPr="00B14411">
        <w:t xml:space="preserve">This was a </w:t>
      </w:r>
      <w:r w:rsidR="00B14411" w:rsidRPr="00B14411">
        <w:t>P</w:t>
      </w:r>
      <w:r w:rsidRPr="00B14411">
        <w:t xml:space="preserve">hase </w:t>
      </w:r>
      <w:r w:rsidR="00B14411" w:rsidRPr="00B14411">
        <w:t xml:space="preserve">II </w:t>
      </w:r>
      <w:r w:rsidRPr="00B14411">
        <w:t>prospective, multicentre, randomised, double</w:t>
      </w:r>
      <w:r w:rsidR="00B14411">
        <w:t xml:space="preserve"> </w:t>
      </w:r>
      <w:r w:rsidRPr="00B14411">
        <w:t>blind, placebo</w:t>
      </w:r>
      <w:r w:rsidR="00B14411">
        <w:t xml:space="preserve"> </w:t>
      </w:r>
      <w:r w:rsidRPr="00B14411">
        <w:t>controlled, parallel group dose ranging study (2.5</w:t>
      </w:r>
      <w:r w:rsidR="00B14411">
        <w:t> </w:t>
      </w:r>
      <w:r w:rsidRPr="00B14411">
        <w:t>mg, 5</w:t>
      </w:r>
      <w:r w:rsidR="00B14411">
        <w:t> </w:t>
      </w:r>
      <w:r w:rsidRPr="00B14411">
        <w:t>mg, 10</w:t>
      </w:r>
      <w:r w:rsidR="00B14411">
        <w:t> </w:t>
      </w:r>
      <w:proofErr w:type="gramStart"/>
      <w:r w:rsidRPr="00B14411">
        <w:t>mg</w:t>
      </w:r>
      <w:proofErr w:type="gramEnd"/>
      <w:r w:rsidRPr="00B14411">
        <w:t xml:space="preserve"> and 20</w:t>
      </w:r>
      <w:r w:rsidR="00B14411">
        <w:t> </w:t>
      </w:r>
      <w:r w:rsidRPr="00B14411">
        <w:t xml:space="preserve">mg once daily for 28 days) conducted in 64 adults with ITP. The primary endpoint (responder rate) was determined by calculating the proportion of patients with a Day 1 platelet count of </w:t>
      </w:r>
      <w:r w:rsidR="00B14411">
        <w:t xml:space="preserve">less than </w:t>
      </w:r>
      <w:r w:rsidRPr="00B14411">
        <w:t>30</w:t>
      </w:r>
      <w:r w:rsidR="00B14411">
        <w:t> </w:t>
      </w:r>
      <w:r w:rsidRPr="00B14411">
        <w:t>x</w:t>
      </w:r>
      <w:r w:rsidR="00B14411">
        <w:t> </w:t>
      </w:r>
      <w:r w:rsidRPr="00B14411">
        <w:t>10</w:t>
      </w:r>
      <w:r w:rsidRPr="00B14411">
        <w:rPr>
          <w:vertAlign w:val="superscript"/>
        </w:rPr>
        <w:t>9</w:t>
      </w:r>
      <w:r w:rsidRPr="00B14411">
        <w:t>/L who achieved platelet count of 50</w:t>
      </w:r>
      <w:r w:rsidR="00B14411">
        <w:t> </w:t>
      </w:r>
      <w:r w:rsidRPr="00B14411">
        <w:t>x</w:t>
      </w:r>
      <w:r w:rsidR="00B14411">
        <w:t> </w:t>
      </w:r>
      <w:r w:rsidRPr="00B14411">
        <w:t>10</w:t>
      </w:r>
      <w:r w:rsidRPr="00B14411">
        <w:rPr>
          <w:vertAlign w:val="superscript"/>
        </w:rPr>
        <w:t>9</w:t>
      </w:r>
      <w:r w:rsidRPr="00B14411">
        <w:t xml:space="preserve">/L </w:t>
      </w:r>
      <w:r w:rsidR="00B14411">
        <w:t xml:space="preserve">or greater </w:t>
      </w:r>
      <w:r w:rsidRPr="00B14411">
        <w:t xml:space="preserve">on Day 28 plus the proportion of patients using steroids who had a Day 1 platelet count </w:t>
      </w:r>
      <w:r w:rsidR="00B14411">
        <w:t xml:space="preserve">greater than </w:t>
      </w:r>
      <w:r w:rsidRPr="00B14411">
        <w:t>30</w:t>
      </w:r>
      <w:r w:rsidR="00B14411">
        <w:t> </w:t>
      </w:r>
      <w:r w:rsidRPr="00B14411">
        <w:t>x</w:t>
      </w:r>
      <w:r w:rsidR="00B14411">
        <w:t> </w:t>
      </w:r>
      <w:r w:rsidRPr="00B14411">
        <w:t>10</w:t>
      </w:r>
      <w:r w:rsidRPr="00B14411">
        <w:rPr>
          <w:vertAlign w:val="superscript"/>
        </w:rPr>
        <w:t>9</w:t>
      </w:r>
      <w:r w:rsidRPr="00B14411">
        <w:t xml:space="preserve">/L but </w:t>
      </w:r>
      <w:r w:rsidR="00B14411">
        <w:t>less than</w:t>
      </w:r>
      <w:r w:rsidRPr="00B14411">
        <w:t xml:space="preserve"> 50</w:t>
      </w:r>
      <w:r w:rsidR="00B14411">
        <w:t> </w:t>
      </w:r>
      <w:r w:rsidRPr="00B14411">
        <w:t>x</w:t>
      </w:r>
      <w:r w:rsidR="00B14411">
        <w:t> </w:t>
      </w:r>
      <w:r w:rsidRPr="00B14411">
        <w:t>10</w:t>
      </w:r>
      <w:r w:rsidRPr="00B14411">
        <w:rPr>
          <w:vertAlign w:val="superscript"/>
        </w:rPr>
        <w:t>9</w:t>
      </w:r>
      <w:r w:rsidRPr="00B14411">
        <w:t>/L who achieved a platelet count of 20</w:t>
      </w:r>
      <w:r w:rsidR="00B14411">
        <w:t> </w:t>
      </w:r>
      <w:r w:rsidRPr="00B14411">
        <w:t>x</w:t>
      </w:r>
      <w:r w:rsidR="00B14411">
        <w:t> </w:t>
      </w:r>
      <w:r w:rsidRPr="00B14411">
        <w:t>10</w:t>
      </w:r>
      <w:r w:rsidRPr="00B14411">
        <w:rPr>
          <w:vertAlign w:val="superscript"/>
        </w:rPr>
        <w:t>9</w:t>
      </w:r>
      <w:r w:rsidRPr="00B14411">
        <w:t xml:space="preserve">/L </w:t>
      </w:r>
      <w:r w:rsidR="00B14411">
        <w:t xml:space="preserve">or greater </w:t>
      </w:r>
      <w:r w:rsidRPr="00B14411">
        <w:t xml:space="preserve">above their Day 1 platelet count on Day 28. The study allocated </w:t>
      </w:r>
      <w:r w:rsidR="00B14411">
        <w:t>five</w:t>
      </w:r>
      <w:r w:rsidRPr="00B14411">
        <w:t>, 15, 15, 14, and 15 patients to the placebo, 2.5</w:t>
      </w:r>
      <w:r w:rsidR="00B14411">
        <w:t> </w:t>
      </w:r>
      <w:r w:rsidRPr="00B14411">
        <w:t>mg</w:t>
      </w:r>
      <w:r w:rsidR="00B14411">
        <w:t>,</w:t>
      </w:r>
      <w:r w:rsidRPr="00B14411">
        <w:t xml:space="preserve"> 5</w:t>
      </w:r>
      <w:r w:rsidR="00B14411">
        <w:t> </w:t>
      </w:r>
      <w:r w:rsidRPr="00B14411">
        <w:t>mg</w:t>
      </w:r>
      <w:r w:rsidR="00B14411">
        <w:t xml:space="preserve">, </w:t>
      </w:r>
      <w:r w:rsidRPr="00B14411">
        <w:t>10</w:t>
      </w:r>
      <w:r w:rsidR="00B14411">
        <w:t> </w:t>
      </w:r>
      <w:proofErr w:type="gramStart"/>
      <w:r w:rsidRPr="00B14411">
        <w:t>mg</w:t>
      </w:r>
      <w:proofErr w:type="gramEnd"/>
      <w:r w:rsidRPr="00B14411">
        <w:t xml:space="preserve"> and 20</w:t>
      </w:r>
      <w:r w:rsidR="00B14411">
        <w:t> </w:t>
      </w:r>
      <w:r w:rsidRPr="00B14411">
        <w:t>mg treatment groups, respectively. The primary efficacy endpoint responder rate was reported in 0%, 13.3%, 53.35%, 50% and 80% in the placebo, 2.5</w:t>
      </w:r>
      <w:r w:rsidR="00B14411">
        <w:t> </w:t>
      </w:r>
      <w:r w:rsidRPr="00B14411">
        <w:t>mg, 5</w:t>
      </w:r>
      <w:r w:rsidR="00B14411">
        <w:t> </w:t>
      </w:r>
      <w:r w:rsidRPr="00B14411">
        <w:t>mg, 10</w:t>
      </w:r>
      <w:r w:rsidR="00B14411">
        <w:t> </w:t>
      </w:r>
      <w:r w:rsidRPr="00B14411">
        <w:t>mg, and 20</w:t>
      </w:r>
      <w:r w:rsidR="00B14411">
        <w:t> </w:t>
      </w:r>
      <w:r w:rsidRPr="00B14411">
        <w:t xml:space="preserve">mg doses, respectively. A comparative safety analysis was conducted in this study for the </w:t>
      </w:r>
      <w:r w:rsidR="007F165A" w:rsidRPr="00B14411">
        <w:t xml:space="preserve">avatrombopag </w:t>
      </w:r>
      <w:r w:rsidRPr="00B14411">
        <w:t>v</w:t>
      </w:r>
      <w:r w:rsidR="00B14411">
        <w:t>ersus</w:t>
      </w:r>
      <w:r w:rsidRPr="00B14411">
        <w:t xml:space="preserve"> placebo groups.</w:t>
      </w:r>
    </w:p>
    <w:p w14:paraId="546CA502" w14:textId="77777777" w:rsidR="00C94BBC" w:rsidRDefault="00C94BBC" w:rsidP="00B14411">
      <w:pPr>
        <w:pStyle w:val="Heading7"/>
      </w:pPr>
      <w:r>
        <w:t>Study 501-CL-004</w:t>
      </w:r>
    </w:p>
    <w:p w14:paraId="6703262D" w14:textId="690A3F2E" w:rsidR="00C94BBC" w:rsidRPr="00B14411" w:rsidRDefault="00C94BBC" w:rsidP="00B14411">
      <w:r w:rsidRPr="00B14411">
        <w:t xml:space="preserve">This was a Phase </w:t>
      </w:r>
      <w:r w:rsidR="00B14411" w:rsidRPr="00B14411">
        <w:t>II</w:t>
      </w:r>
      <w:r w:rsidRPr="00B14411">
        <w:t>, double</w:t>
      </w:r>
      <w:r w:rsidR="00B14411">
        <w:t xml:space="preserve"> </w:t>
      </w:r>
      <w:r w:rsidRPr="00B14411">
        <w:t>blind, placebo</w:t>
      </w:r>
      <w:r w:rsidR="00B14411">
        <w:t xml:space="preserve"> </w:t>
      </w:r>
      <w:r w:rsidRPr="00B14411">
        <w:t xml:space="preserve">controlled, parallel group, rollover study in 53 patients with chronic ITP who completed 28 days of study treatment in </w:t>
      </w:r>
      <w:r w:rsidR="00B14411">
        <w:t>S</w:t>
      </w:r>
      <w:r w:rsidRPr="00B14411">
        <w:t xml:space="preserve">tudy 003. The 25 patients from </w:t>
      </w:r>
      <w:r w:rsidR="00B14411">
        <w:lastRenderedPageBreak/>
        <w:t>S</w:t>
      </w:r>
      <w:r w:rsidRPr="00B14411">
        <w:t xml:space="preserve">tudy 003 who had responded to treatment </w:t>
      </w:r>
      <w:proofErr w:type="gramStart"/>
      <w:r w:rsidRPr="00B14411">
        <w:t>continued on</w:t>
      </w:r>
      <w:proofErr w:type="gramEnd"/>
      <w:r w:rsidRPr="00B14411">
        <w:t xml:space="preserve"> their same (blinded) treatment in </w:t>
      </w:r>
      <w:r w:rsidR="00B14411">
        <w:t>S</w:t>
      </w:r>
      <w:r w:rsidRPr="00B14411">
        <w:t xml:space="preserve">tudy 004. An additional 28 non-responders from </w:t>
      </w:r>
      <w:r w:rsidR="00B14411">
        <w:t>S</w:t>
      </w:r>
      <w:r w:rsidRPr="00B14411">
        <w:t>tudy 003 received unblinded 10</w:t>
      </w:r>
      <w:r w:rsidR="00B14411">
        <w:t> </w:t>
      </w:r>
      <w:r w:rsidRPr="00B14411">
        <w:t>mg doses. These patients could have their dose titrated. Patients were treated for 6</w:t>
      </w:r>
      <w:r w:rsidR="00B14411">
        <w:t> </w:t>
      </w:r>
      <w:r w:rsidRPr="00B14411">
        <w:t xml:space="preserve">months to investigate the efficacy of chronic treatment with </w:t>
      </w:r>
      <w:r w:rsidR="007F165A" w:rsidRPr="00B14411">
        <w:t>avatrombopag</w:t>
      </w:r>
      <w:r w:rsidRPr="00B14411">
        <w:t>.</w:t>
      </w:r>
    </w:p>
    <w:p w14:paraId="7EDC6E20" w14:textId="0E5219A3" w:rsidR="00C94BBC" w:rsidRPr="00B14411" w:rsidRDefault="00C94BBC" w:rsidP="00B14411">
      <w:r w:rsidRPr="00B14411">
        <w:t xml:space="preserve">Safety was the primary endpoint. Efficacy endpoints were secondary endpoints. In this maintenance period all patients had an increase in platelet count from </w:t>
      </w:r>
      <w:r w:rsidR="00B14411">
        <w:t>B</w:t>
      </w:r>
      <w:r w:rsidRPr="00B14411">
        <w:t xml:space="preserve">aseline to Week 24 (in the </w:t>
      </w:r>
      <w:r w:rsidR="00B14411">
        <w:t>S</w:t>
      </w:r>
      <w:r w:rsidRPr="00B14411">
        <w:t xml:space="preserve">tudy 003 responder and non-responder groups). All patients with platelets in the target range at commencement maintained this level of response. A durable response was defined as subjects who have </w:t>
      </w:r>
      <w:r w:rsidR="00E9222E">
        <w:t>three</w:t>
      </w:r>
      <w:r w:rsidRPr="00B14411">
        <w:t xml:space="preserve"> </w:t>
      </w:r>
      <w:r w:rsidR="00B14411">
        <w:t xml:space="preserve">or more </w:t>
      </w:r>
      <w:r w:rsidRPr="00B14411">
        <w:t xml:space="preserve">measurements in the last 14 weeks of the </w:t>
      </w:r>
      <w:proofErr w:type="gramStart"/>
      <w:r w:rsidRPr="00B14411">
        <w:t>24</w:t>
      </w:r>
      <w:r w:rsidR="00B14411">
        <w:t xml:space="preserve"> </w:t>
      </w:r>
      <w:r w:rsidRPr="00B14411">
        <w:t>week</w:t>
      </w:r>
      <w:proofErr w:type="gramEnd"/>
      <w:r w:rsidRPr="00B14411">
        <w:t xml:space="preserve"> treatment period, and with platelet counts at a response level (50</w:t>
      </w:r>
      <w:r w:rsidR="00B14411">
        <w:t> </w:t>
      </w:r>
      <w:r w:rsidRPr="00B14411">
        <w:t>x</w:t>
      </w:r>
      <w:r w:rsidR="00B14411">
        <w:t> </w:t>
      </w:r>
      <w:r w:rsidRPr="00B14411">
        <w:t>10</w:t>
      </w:r>
      <w:r w:rsidRPr="00B14411">
        <w:rPr>
          <w:vertAlign w:val="superscript"/>
        </w:rPr>
        <w:t>9</w:t>
      </w:r>
      <w:r w:rsidRPr="00B14411">
        <w:t>/L</w:t>
      </w:r>
      <w:r w:rsidR="00B14411">
        <w:t xml:space="preserve"> or greater</w:t>
      </w:r>
      <w:r w:rsidRPr="00B14411">
        <w:t xml:space="preserve"> for </w:t>
      </w:r>
      <w:r w:rsidR="00B14411">
        <w:t>B</w:t>
      </w:r>
      <w:r w:rsidRPr="00B14411">
        <w:t>aseline 30</w:t>
      </w:r>
      <w:r w:rsidR="00B14411">
        <w:t> </w:t>
      </w:r>
      <w:r w:rsidRPr="00B14411">
        <w:t>x</w:t>
      </w:r>
      <w:r w:rsidR="00B14411">
        <w:t> </w:t>
      </w:r>
      <w:r w:rsidRPr="00B14411">
        <w:t>10</w:t>
      </w:r>
      <w:r w:rsidRPr="00B14411">
        <w:rPr>
          <w:vertAlign w:val="superscript"/>
        </w:rPr>
        <w:t>9</w:t>
      </w:r>
      <w:r w:rsidRPr="00B14411">
        <w:t>/L</w:t>
      </w:r>
      <w:r w:rsidR="00B14411">
        <w:t xml:space="preserve"> or greater</w:t>
      </w:r>
      <w:r w:rsidRPr="00B14411">
        <w:t>, or an increase of 20</w:t>
      </w:r>
      <w:r w:rsidR="00B14411">
        <w:t> </w:t>
      </w:r>
      <w:r w:rsidRPr="00B14411">
        <w:t>x</w:t>
      </w:r>
      <w:r w:rsidR="00B14411">
        <w:t> </w:t>
      </w:r>
      <w:r w:rsidRPr="00B14411">
        <w:t>10</w:t>
      </w:r>
      <w:r w:rsidRPr="00B14411">
        <w:rPr>
          <w:vertAlign w:val="superscript"/>
        </w:rPr>
        <w:t>9</w:t>
      </w:r>
      <w:r w:rsidRPr="00B14411">
        <w:t>/L</w:t>
      </w:r>
      <w:r w:rsidR="00B14411">
        <w:t xml:space="preserve"> or greater</w:t>
      </w:r>
      <w:r w:rsidRPr="00B14411">
        <w:t xml:space="preserve"> for </w:t>
      </w:r>
      <w:r w:rsidR="00B14411">
        <w:t>B</w:t>
      </w:r>
      <w:r w:rsidRPr="00B14411">
        <w:t xml:space="preserve">aseline </w:t>
      </w:r>
      <w:r w:rsidR="00B14411">
        <w:t xml:space="preserve">less than </w:t>
      </w:r>
      <w:r w:rsidRPr="00B14411">
        <w:t>30</w:t>
      </w:r>
      <w:r w:rsidR="00B14411">
        <w:t> </w:t>
      </w:r>
      <w:r w:rsidRPr="00B14411">
        <w:t>x</w:t>
      </w:r>
      <w:r w:rsidR="00B14411">
        <w:t> </w:t>
      </w:r>
      <w:r w:rsidRPr="00B14411">
        <w:t>10</w:t>
      </w:r>
      <w:r w:rsidRPr="00B14411">
        <w:rPr>
          <w:vertAlign w:val="superscript"/>
        </w:rPr>
        <w:t>9</w:t>
      </w:r>
      <w:r w:rsidRPr="00B14411">
        <w:t xml:space="preserve">/L) 75% </w:t>
      </w:r>
      <w:r w:rsidR="00B14411">
        <w:t xml:space="preserve">or more </w:t>
      </w:r>
      <w:r w:rsidRPr="00B14411">
        <w:t xml:space="preserve">of that time, without rescue medication. The durable response rate was 72% among the </w:t>
      </w:r>
      <w:r w:rsidR="00B14411">
        <w:t>S</w:t>
      </w:r>
      <w:r w:rsidRPr="00B14411">
        <w:t xml:space="preserve">tudy 003 responders and 35.7% among the </w:t>
      </w:r>
      <w:r w:rsidR="00B14411">
        <w:t>S</w:t>
      </w:r>
      <w:r w:rsidRPr="00B14411">
        <w:t>tudy 003 non-responders.</w:t>
      </w:r>
    </w:p>
    <w:p w14:paraId="6979C366" w14:textId="77777777" w:rsidR="00C94BBC" w:rsidRDefault="00C94BBC" w:rsidP="00C94BBC">
      <w:pPr>
        <w:pStyle w:val="Heading4"/>
      </w:pPr>
      <w:bookmarkStart w:id="72" w:name="_Toc158284402"/>
      <w:r w:rsidRPr="009E689F">
        <w:t>Safety</w:t>
      </w:r>
      <w:bookmarkEnd w:id="72"/>
    </w:p>
    <w:p w14:paraId="7F4A10F8" w14:textId="4F244EF6" w:rsidR="00C94BBC" w:rsidRPr="009E689F" w:rsidRDefault="00C94BBC" w:rsidP="009E689F">
      <w:r w:rsidRPr="009E689F">
        <w:t xml:space="preserve">Data with 1100 individuals (587 patients and 520 healthy volunteers) who had received at least one dose of </w:t>
      </w:r>
      <w:r w:rsidR="009E689F" w:rsidRPr="00B14411">
        <w:t>avatrombopag</w:t>
      </w:r>
      <w:r w:rsidR="009E689F" w:rsidRPr="009E689F">
        <w:t xml:space="preserve"> </w:t>
      </w:r>
      <w:r w:rsidRPr="009E689F">
        <w:t>in 24 studies. The patient exposure is summarised below.</w:t>
      </w:r>
    </w:p>
    <w:p w14:paraId="5779F008" w14:textId="7C1621A3" w:rsidR="00C94BBC" w:rsidRDefault="00C94BBC" w:rsidP="009E689F">
      <w:pPr>
        <w:pStyle w:val="TableTitle"/>
      </w:pPr>
      <w:r>
        <w:t xml:space="preserve">Table </w:t>
      </w:r>
      <w:r w:rsidR="008A4248">
        <w:fldChar w:fldCharType="begin"/>
      </w:r>
      <w:r w:rsidR="008A4248">
        <w:instrText xml:space="preserve"> SEQ Table \* ARABIC </w:instrText>
      </w:r>
      <w:r w:rsidR="008A4248">
        <w:fldChar w:fldCharType="separate"/>
      </w:r>
      <w:r w:rsidR="00197355">
        <w:rPr>
          <w:noProof/>
        </w:rPr>
        <w:t>16</w:t>
      </w:r>
      <w:r w:rsidR="008A4248">
        <w:rPr>
          <w:noProof/>
        </w:rPr>
        <w:fldChar w:fldCharType="end"/>
      </w:r>
      <w:r w:rsidR="009E689F">
        <w:rPr>
          <w:noProof/>
        </w:rPr>
        <w:t>:</w:t>
      </w:r>
      <w:r>
        <w:t xml:space="preserve"> Avatrombopag </w:t>
      </w:r>
      <w:r w:rsidR="00E9222E">
        <w:t>exposure</w:t>
      </w:r>
    </w:p>
    <w:p w14:paraId="24B6A2D3" w14:textId="22EA43E4" w:rsidR="009E689F" w:rsidRPr="009E689F" w:rsidRDefault="009E689F" w:rsidP="009E689F">
      <w:r>
        <w:rPr>
          <w:noProof/>
        </w:rPr>
        <w:drawing>
          <wp:inline distT="0" distB="0" distL="0" distR="0" wp14:anchorId="103B450B" wp14:editId="78F251E2">
            <wp:extent cx="5759450" cy="2857500"/>
            <wp:effectExtent l="0" t="0" r="0" b="0"/>
            <wp:docPr id="6" name="Picture 6" descr="Avatrombopag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vatrombopag exposure"/>
                    <pic:cNvPicPr/>
                  </pic:nvPicPr>
                  <pic:blipFill>
                    <a:blip r:embed="rId47"/>
                    <a:stretch>
                      <a:fillRect/>
                    </a:stretch>
                  </pic:blipFill>
                  <pic:spPr>
                    <a:xfrm>
                      <a:off x="0" y="0"/>
                      <a:ext cx="5759450" cy="2857500"/>
                    </a:xfrm>
                    <a:prstGeom prst="rect">
                      <a:avLst/>
                    </a:prstGeom>
                  </pic:spPr>
                </pic:pic>
              </a:graphicData>
            </a:graphic>
          </wp:inline>
        </w:drawing>
      </w:r>
    </w:p>
    <w:p w14:paraId="7BFA3925" w14:textId="7A759C77" w:rsidR="00C94BBC" w:rsidRPr="009E689F" w:rsidRDefault="009E689F" w:rsidP="009E689F">
      <w:pPr>
        <w:pStyle w:val="TableDescription"/>
      </w:pPr>
      <w:r w:rsidRPr="009E689F">
        <w:t>a: Total number of subject-days = summation over all subjects’ exposure durations.</w:t>
      </w:r>
    </w:p>
    <w:p w14:paraId="496F4344" w14:textId="48A977BE" w:rsidR="00C94BBC" w:rsidRDefault="00C94BBC" w:rsidP="00C94BBC">
      <w:r>
        <w:t xml:space="preserve">The sponsor pooled safety data into </w:t>
      </w:r>
      <w:r w:rsidR="009E689F">
        <w:t>six</w:t>
      </w:r>
      <w:r>
        <w:t xml:space="preserve"> groups:</w:t>
      </w:r>
    </w:p>
    <w:p w14:paraId="4C74673C" w14:textId="4305627E" w:rsidR="00C94BBC" w:rsidRPr="009E689F" w:rsidRDefault="00C94BBC" w:rsidP="00F4113C">
      <w:pPr>
        <w:pStyle w:val="ListBullet"/>
      </w:pPr>
      <w:r w:rsidRPr="009E689F">
        <w:t xml:space="preserve">Group 1: Primary </w:t>
      </w:r>
      <w:r w:rsidR="009E689F" w:rsidRPr="009E689F">
        <w:t>s</w:t>
      </w:r>
      <w:r w:rsidRPr="009E689F">
        <w:t xml:space="preserve">afety </w:t>
      </w:r>
      <w:r w:rsidR="009E689F" w:rsidRPr="009E689F">
        <w:t>d</w:t>
      </w:r>
      <w:r w:rsidRPr="009E689F">
        <w:t>ata supporting the proposed indication in CLD (</w:t>
      </w:r>
      <w:r w:rsidR="009E689F" w:rsidRPr="009E689F">
        <w:t>S</w:t>
      </w:r>
      <w:r w:rsidRPr="009E689F">
        <w:t>tudies 310 and 311 involving 435 patients).</w:t>
      </w:r>
    </w:p>
    <w:p w14:paraId="28A95957" w14:textId="414AD848" w:rsidR="00C94BBC" w:rsidRPr="009E689F" w:rsidRDefault="00C94BBC" w:rsidP="00F4113C">
      <w:pPr>
        <w:pStyle w:val="ListBullet"/>
      </w:pPr>
      <w:r w:rsidRPr="009E689F">
        <w:t xml:space="preserve">Group 2: Thrombocytopenia in </w:t>
      </w:r>
      <w:r w:rsidR="009E689F">
        <w:t>a</w:t>
      </w:r>
      <w:r w:rsidRPr="009E689F">
        <w:t xml:space="preserve">ll CLD </w:t>
      </w:r>
      <w:r w:rsidR="009E689F">
        <w:t>S</w:t>
      </w:r>
      <w:r w:rsidRPr="009E689F">
        <w:t>tudies 310, 311, 202, 204 involving 599 patients (395</w:t>
      </w:r>
      <w:r w:rsidR="009E689F">
        <w:t> </w:t>
      </w:r>
      <w:r w:rsidR="009E689F" w:rsidRPr="009E689F">
        <w:t>avatrombopag</w:t>
      </w:r>
      <w:r w:rsidRPr="009E689F">
        <w:t xml:space="preserve"> and 204 placebo).</w:t>
      </w:r>
    </w:p>
    <w:p w14:paraId="03D531B4" w14:textId="0BF8A570" w:rsidR="00C94BBC" w:rsidRPr="009E689F" w:rsidRDefault="00C94BBC" w:rsidP="00F4113C">
      <w:pPr>
        <w:pStyle w:val="ListBullet"/>
      </w:pPr>
      <w:r w:rsidRPr="009E689F">
        <w:t xml:space="preserve">Group 3: Thrombocytopenia in </w:t>
      </w:r>
      <w:r w:rsidR="009E689F">
        <w:t>a</w:t>
      </w:r>
      <w:r w:rsidRPr="009E689F">
        <w:t xml:space="preserve">ll </w:t>
      </w:r>
      <w:r w:rsidR="009E689F">
        <w:t>CLD s</w:t>
      </w:r>
      <w:r w:rsidRPr="009E689F">
        <w:t xml:space="preserve">tudies </w:t>
      </w:r>
      <w:r w:rsidR="009E689F">
        <w:t>i</w:t>
      </w:r>
      <w:r w:rsidRPr="009E689F">
        <w:t xml:space="preserve">ncluding </w:t>
      </w:r>
      <w:r w:rsidR="009E689F">
        <w:t>h</w:t>
      </w:r>
      <w:r w:rsidRPr="009E689F">
        <w:t xml:space="preserve">epatitis C </w:t>
      </w:r>
      <w:r w:rsidR="009E689F">
        <w:t>s</w:t>
      </w:r>
      <w:r w:rsidRPr="009E689F">
        <w:t>tudy:</w:t>
      </w:r>
      <w:r w:rsidR="009E689F">
        <w:t xml:space="preserve"> </w:t>
      </w:r>
      <w:r w:rsidRPr="009E689F">
        <w:t>Studies 310, 311, 202, 204, 203 involving 644 patients. Study 203 not included in Group 2 because of different study population.</w:t>
      </w:r>
    </w:p>
    <w:p w14:paraId="24E08ABA" w14:textId="3BF5524F" w:rsidR="00C94BBC" w:rsidRPr="009E689F" w:rsidRDefault="00C94BBC" w:rsidP="00F4113C">
      <w:pPr>
        <w:pStyle w:val="ListBullet"/>
      </w:pPr>
      <w:r w:rsidRPr="009E689F">
        <w:t xml:space="preserve">Group 4: Thrombocytopenia in </w:t>
      </w:r>
      <w:r w:rsidR="009E689F">
        <w:t>a</w:t>
      </w:r>
      <w:r w:rsidRPr="009E689F">
        <w:t xml:space="preserve">ll </w:t>
      </w:r>
      <w:r w:rsidR="009E689F">
        <w:t>c</w:t>
      </w:r>
      <w:r w:rsidRPr="009E689F">
        <w:t>hronic ITP Studies 302, 305, 003, 004 involving 161 patients.</w:t>
      </w:r>
    </w:p>
    <w:p w14:paraId="5536CE39" w14:textId="34D0BEF4" w:rsidR="00C94BBC" w:rsidRPr="009E689F" w:rsidRDefault="00C94BBC" w:rsidP="00F4113C">
      <w:pPr>
        <w:pStyle w:val="ListBullet"/>
      </w:pPr>
      <w:r w:rsidRPr="009E689F">
        <w:t xml:space="preserve">Group 5: Overall </w:t>
      </w:r>
      <w:r w:rsidR="009E689F">
        <w:t>t</w:t>
      </w:r>
      <w:r w:rsidRPr="009E689F">
        <w:t xml:space="preserve">hrombocytopenia in </w:t>
      </w:r>
      <w:r w:rsidR="009E689F">
        <w:t>a</w:t>
      </w:r>
      <w:r w:rsidRPr="009E689F">
        <w:t xml:space="preserve">ll </w:t>
      </w:r>
      <w:r w:rsidR="009E689F">
        <w:t>i</w:t>
      </w:r>
      <w:r w:rsidRPr="009E689F">
        <w:t>ndication</w:t>
      </w:r>
      <w:r w:rsidR="00E9222E">
        <w:t>’</w:t>
      </w:r>
      <w:r w:rsidRPr="009E689F">
        <w:t xml:space="preserve">s </w:t>
      </w:r>
      <w:r w:rsidR="009E689F">
        <w:t>s</w:t>
      </w:r>
      <w:r w:rsidRPr="009E689F">
        <w:t>tudies (n</w:t>
      </w:r>
      <w:r w:rsidR="009E689F">
        <w:t> </w:t>
      </w:r>
      <w:r w:rsidRPr="009E689F">
        <w:t>=</w:t>
      </w:r>
      <w:r w:rsidR="009E689F">
        <w:t> </w:t>
      </w:r>
      <w:r w:rsidRPr="009E689F">
        <w:t>841)</w:t>
      </w:r>
      <w:r w:rsidR="009E689F">
        <w:t>.</w:t>
      </w:r>
    </w:p>
    <w:p w14:paraId="32923394" w14:textId="67E864E5" w:rsidR="00C94BBC" w:rsidRPr="009E689F" w:rsidRDefault="00C94BBC" w:rsidP="00F4113C">
      <w:pPr>
        <w:pStyle w:val="ListBullet"/>
      </w:pPr>
      <w:r w:rsidRPr="009E689F">
        <w:lastRenderedPageBreak/>
        <w:t xml:space="preserve">Group 6: Phase </w:t>
      </w:r>
      <w:r w:rsidR="009E689F">
        <w:t>I</w:t>
      </w:r>
      <w:r w:rsidRPr="009E689F">
        <w:t xml:space="preserve"> studies in </w:t>
      </w:r>
      <w:r w:rsidR="009E689F">
        <w:t>h</w:t>
      </w:r>
      <w:r w:rsidRPr="009E689F">
        <w:t xml:space="preserve">ealthy volunteers: </w:t>
      </w:r>
      <w:r w:rsidR="009E689F">
        <w:t>c</w:t>
      </w:r>
      <w:r w:rsidRPr="009E689F">
        <w:t>linical pharmacology studies including bioavailability, drug-drug interaction and thorough QTc studies (single dose n</w:t>
      </w:r>
      <w:r w:rsidR="009E689F">
        <w:t> </w:t>
      </w:r>
      <w:r w:rsidRPr="009E689F">
        <w:t>=</w:t>
      </w:r>
      <w:r w:rsidR="009E689F">
        <w:t> </w:t>
      </w:r>
      <w:r w:rsidRPr="009E689F">
        <w:t>517; multiple dose n</w:t>
      </w:r>
      <w:r w:rsidR="009E689F">
        <w:t> </w:t>
      </w:r>
      <w:r w:rsidRPr="009E689F">
        <w:t>=</w:t>
      </w:r>
      <w:r w:rsidR="009E689F">
        <w:t> </w:t>
      </w:r>
      <w:r w:rsidRPr="009E689F">
        <w:t>64)</w:t>
      </w:r>
      <w:r w:rsidR="009E689F">
        <w:t>.</w:t>
      </w:r>
      <w:r w:rsidR="009E689F">
        <w:fldChar w:fldCharType="begin"/>
      </w:r>
      <w:r w:rsidR="009E689F">
        <w:instrText xml:space="preserve"> NOTEREF _Ref151631889 \f \h </w:instrText>
      </w:r>
      <w:r w:rsidR="00F4113C">
        <w:instrText xml:space="preserve"> \* MERGEFORMAT </w:instrText>
      </w:r>
      <w:r w:rsidR="009E689F">
        <w:fldChar w:fldCharType="separate"/>
      </w:r>
      <w:r w:rsidR="00197355" w:rsidRPr="00197355">
        <w:rPr>
          <w:rStyle w:val="FootnoteReference"/>
        </w:rPr>
        <w:t>17</w:t>
      </w:r>
      <w:r w:rsidR="009E689F">
        <w:fldChar w:fldCharType="end"/>
      </w:r>
    </w:p>
    <w:p w14:paraId="5ABD68F6" w14:textId="0233F246" w:rsidR="00C94BBC" w:rsidRDefault="00C94BBC" w:rsidP="00F4113C">
      <w:pPr>
        <w:pStyle w:val="Heading5"/>
      </w:pPr>
      <w:r>
        <w:t>C</w:t>
      </w:r>
      <w:r w:rsidR="00F4113C">
        <w:t>hronic liver disease</w:t>
      </w:r>
      <w:r>
        <w:t xml:space="preserve"> </w:t>
      </w:r>
      <w:r w:rsidR="00F4113C">
        <w:t>i</w:t>
      </w:r>
      <w:r>
        <w:t xml:space="preserve">ndication: </w:t>
      </w:r>
      <w:r w:rsidRPr="0005475A">
        <w:t>Group 1</w:t>
      </w:r>
      <w:r>
        <w:t xml:space="preserve"> </w:t>
      </w:r>
      <w:r w:rsidR="00F4113C">
        <w:t>s</w:t>
      </w:r>
      <w:r>
        <w:t xml:space="preserve">afety </w:t>
      </w:r>
      <w:r w:rsidR="00F4113C">
        <w:t>c</w:t>
      </w:r>
      <w:r>
        <w:t>ohort</w:t>
      </w:r>
    </w:p>
    <w:p w14:paraId="2F709D7B" w14:textId="77777777" w:rsidR="00C94BBC" w:rsidRPr="00F4113C" w:rsidRDefault="00C94BBC" w:rsidP="00F4113C">
      <w:r w:rsidRPr="00F4113C">
        <w:t>The Group 1 cohort provides comparative safety against placebo and is considered the main safety cohort in the consideration of benefits and harms.</w:t>
      </w:r>
    </w:p>
    <w:p w14:paraId="0E5631AE" w14:textId="336C7BA0" w:rsidR="00C94BBC" w:rsidRDefault="00C94BBC" w:rsidP="00F4113C">
      <w:pPr>
        <w:pStyle w:val="TableTitle"/>
      </w:pPr>
      <w:r>
        <w:t xml:space="preserve">Table </w:t>
      </w:r>
      <w:r w:rsidR="008A4248">
        <w:fldChar w:fldCharType="begin"/>
      </w:r>
      <w:r w:rsidR="008A4248">
        <w:instrText xml:space="preserve"> SEQ Table \* ARABIC </w:instrText>
      </w:r>
      <w:r w:rsidR="008A4248">
        <w:fldChar w:fldCharType="separate"/>
      </w:r>
      <w:r w:rsidR="00197355">
        <w:rPr>
          <w:noProof/>
        </w:rPr>
        <w:t>17</w:t>
      </w:r>
      <w:r w:rsidR="008A4248">
        <w:rPr>
          <w:noProof/>
        </w:rPr>
        <w:fldChar w:fldCharType="end"/>
      </w:r>
      <w:r w:rsidR="00F4113C">
        <w:rPr>
          <w:noProof/>
        </w:rPr>
        <w:t>:</w:t>
      </w:r>
      <w:r>
        <w:t xml:space="preserve"> Group 1 </w:t>
      </w:r>
      <w:r w:rsidR="00F4113C">
        <w:t>t</w:t>
      </w:r>
      <w:r>
        <w:t>reatment</w:t>
      </w:r>
      <w:r w:rsidR="00F4113C">
        <w:t>-emergent a</w:t>
      </w:r>
      <w:r>
        <w:t xml:space="preserve">dverse </w:t>
      </w:r>
      <w:r w:rsidR="00F4113C">
        <w:t>events</w:t>
      </w:r>
      <w:r>
        <w:t xml:space="preserve"> </w:t>
      </w:r>
      <w:r w:rsidR="00F4113C">
        <w:t>(</w:t>
      </w:r>
      <w:r>
        <w:t>Studies 310 and 311)</w:t>
      </w:r>
    </w:p>
    <w:p w14:paraId="1AF9A603" w14:textId="13998FD3" w:rsidR="00F4113C" w:rsidRDefault="00F4113C" w:rsidP="008A4248">
      <w:r>
        <w:rPr>
          <w:noProof/>
        </w:rPr>
        <w:drawing>
          <wp:inline distT="0" distB="0" distL="0" distR="0" wp14:anchorId="052F5205" wp14:editId="4C809D78">
            <wp:extent cx="5759450" cy="2544445"/>
            <wp:effectExtent l="0" t="0" r="0" b="8255"/>
            <wp:docPr id="8" name="Picture 8" descr="Group 1 treatment-emergent adverse events (Studies 310 and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oup 1 treatment-emergent adverse events (Studies 310 and 311)"/>
                    <pic:cNvPicPr/>
                  </pic:nvPicPr>
                  <pic:blipFill>
                    <a:blip r:embed="rId48"/>
                    <a:stretch>
                      <a:fillRect/>
                    </a:stretch>
                  </pic:blipFill>
                  <pic:spPr>
                    <a:xfrm>
                      <a:off x="0" y="0"/>
                      <a:ext cx="5759450" cy="2544445"/>
                    </a:xfrm>
                    <a:prstGeom prst="rect">
                      <a:avLst/>
                    </a:prstGeom>
                  </pic:spPr>
                </pic:pic>
              </a:graphicData>
            </a:graphic>
          </wp:inline>
        </w:drawing>
      </w:r>
    </w:p>
    <w:p w14:paraId="662DB182" w14:textId="1989EBFB" w:rsidR="00F4113C" w:rsidRDefault="00F4113C" w:rsidP="00F4113C">
      <w:pPr>
        <w:pStyle w:val="TableDescription"/>
      </w:pPr>
      <w:r>
        <w:t xml:space="preserve">Abbreviations: </w:t>
      </w:r>
      <w:r w:rsidRPr="00F4113C">
        <w:t xml:space="preserve">AE = adverse event, CTCAE = </w:t>
      </w:r>
      <w:r>
        <w:t>c</w:t>
      </w:r>
      <w:r w:rsidRPr="00F4113C">
        <w:t xml:space="preserve">ommon </w:t>
      </w:r>
      <w:r>
        <w:t>t</w:t>
      </w:r>
      <w:r w:rsidRPr="00F4113C">
        <w:t xml:space="preserve">erminology </w:t>
      </w:r>
      <w:r>
        <w:t>c</w:t>
      </w:r>
      <w:r w:rsidRPr="00F4113C">
        <w:t xml:space="preserve">riteria for </w:t>
      </w:r>
      <w:r>
        <w:t>a</w:t>
      </w:r>
      <w:r w:rsidRPr="00F4113C">
        <w:t xml:space="preserve">dverse </w:t>
      </w:r>
      <w:r>
        <w:t>e</w:t>
      </w:r>
      <w:r w:rsidRPr="00F4113C">
        <w:t>vents, MedDRA = Medical Dictionary for Regulatory Activities, N = total number of subjects in sample group, n = number of subjects in individual group, SAE = serious adverse event, TEAE</w:t>
      </w:r>
      <w:r>
        <w:t> </w:t>
      </w:r>
      <w:r w:rsidRPr="00F4113C">
        <w:t>=</w:t>
      </w:r>
      <w:r>
        <w:t> </w:t>
      </w:r>
      <w:r w:rsidRPr="00F4113C">
        <w:t>treatment-emergent adverse event</w:t>
      </w:r>
      <w:r>
        <w:t>.</w:t>
      </w:r>
    </w:p>
    <w:p w14:paraId="4B74C257" w14:textId="0CDDE8DA" w:rsidR="00F4113C" w:rsidRDefault="00F4113C" w:rsidP="00F4113C">
      <w:pPr>
        <w:pStyle w:val="TableDescription"/>
      </w:pPr>
      <w:r w:rsidRPr="00F4113C">
        <w:t>One subject in the 40 to 50</w:t>
      </w:r>
      <w:r>
        <w:t> </w:t>
      </w:r>
      <w:r w:rsidRPr="00F4113C">
        <w:t>×</w:t>
      </w:r>
      <w:r>
        <w:t> </w:t>
      </w:r>
      <w:r w:rsidRPr="00F4113C">
        <w:t>10</w:t>
      </w:r>
      <w:r w:rsidRPr="00F4113C">
        <w:rPr>
          <w:vertAlign w:val="superscript"/>
        </w:rPr>
        <w:t>9</w:t>
      </w:r>
      <w:r w:rsidRPr="00F4113C">
        <w:t xml:space="preserve">/L </w:t>
      </w:r>
      <w:r>
        <w:t>h</w:t>
      </w:r>
      <w:r w:rsidRPr="00F4113C">
        <w:t xml:space="preserve">igh Baseline </w:t>
      </w:r>
      <w:r>
        <w:t>p</w:t>
      </w:r>
      <w:r w:rsidRPr="00F4113C">
        <w:t xml:space="preserve">latelet </w:t>
      </w:r>
      <w:r>
        <w:t>c</w:t>
      </w:r>
      <w:r w:rsidRPr="00F4113C">
        <w:t xml:space="preserve">ount </w:t>
      </w:r>
      <w:r>
        <w:t>c</w:t>
      </w:r>
      <w:r w:rsidRPr="00F4113C">
        <w:t>ohort received 60</w:t>
      </w:r>
      <w:r>
        <w:t> </w:t>
      </w:r>
      <w:r w:rsidRPr="00F4113C">
        <w:t xml:space="preserve">mg avatrombopag and hence was included in the </w:t>
      </w:r>
      <w:r>
        <w:t>less than </w:t>
      </w:r>
      <w:r w:rsidRPr="00F4113C">
        <w:t>40</w:t>
      </w:r>
      <w:r>
        <w:t> </w:t>
      </w:r>
      <w:r w:rsidRPr="00F4113C">
        <w:t>×</w:t>
      </w:r>
      <w:r>
        <w:t> </w:t>
      </w:r>
      <w:r w:rsidRPr="00F4113C">
        <w:t>10</w:t>
      </w:r>
      <w:r w:rsidRPr="00F4113C">
        <w:rPr>
          <w:vertAlign w:val="superscript"/>
        </w:rPr>
        <w:t>9</w:t>
      </w:r>
      <w:r w:rsidRPr="00F4113C">
        <w:t xml:space="preserve">/L </w:t>
      </w:r>
      <w:r>
        <w:t>l</w:t>
      </w:r>
      <w:r w:rsidRPr="00F4113C">
        <w:t xml:space="preserve">ow Baseline </w:t>
      </w:r>
      <w:r>
        <w:t>p</w:t>
      </w:r>
      <w:r w:rsidRPr="00F4113C">
        <w:t xml:space="preserve">latelet </w:t>
      </w:r>
      <w:r>
        <w:t>c</w:t>
      </w:r>
      <w:r w:rsidRPr="00F4113C">
        <w:t xml:space="preserve">ount </w:t>
      </w:r>
      <w:r>
        <w:t>c</w:t>
      </w:r>
      <w:r w:rsidRPr="00F4113C">
        <w:t>ohort in all safety analyses.</w:t>
      </w:r>
    </w:p>
    <w:p w14:paraId="6B512DF4" w14:textId="57CC41B7" w:rsidR="00F4113C" w:rsidRDefault="00F4113C" w:rsidP="00F4113C">
      <w:pPr>
        <w:pStyle w:val="TableDescription"/>
      </w:pPr>
      <w:r w:rsidRPr="00F4113C">
        <w:t>A TEAE was defined as an AE that started on or after the date of first dose of study drug, up to 30</w:t>
      </w:r>
      <w:r>
        <w:t> </w:t>
      </w:r>
      <w:r w:rsidRPr="00F4113C">
        <w:t xml:space="preserve">days after the last dose of study drug. For each row category, a subject with </w:t>
      </w:r>
      <w:r>
        <w:t>two</w:t>
      </w:r>
      <w:r w:rsidRPr="00F4113C">
        <w:t xml:space="preserve"> or more AEs in that category is counted only once. In all safety analyses, subjects were reported in the Baseline platelet count cohort based on the actual study drug received.</w:t>
      </w:r>
    </w:p>
    <w:p w14:paraId="2985D306" w14:textId="11DFF525" w:rsidR="00F4113C" w:rsidRDefault="00F4113C" w:rsidP="00F4113C">
      <w:pPr>
        <w:pStyle w:val="TableDescription"/>
      </w:pPr>
      <w:r w:rsidRPr="00F4113C">
        <w:t>MedDRA Version 19.1 was used.</w:t>
      </w:r>
    </w:p>
    <w:p w14:paraId="6606E1D0" w14:textId="3111C5D9" w:rsidR="00F4113C" w:rsidRDefault="00F4113C" w:rsidP="00F4113C">
      <w:pPr>
        <w:pStyle w:val="TableDescription"/>
      </w:pPr>
      <w:r w:rsidRPr="00F4113C">
        <w:t xml:space="preserve">a: Includes TEAEs considered by the </w:t>
      </w:r>
      <w:r>
        <w:t>i</w:t>
      </w:r>
      <w:r w:rsidRPr="00F4113C">
        <w:t>nvestigator to be related to study drug or TEAEs with missing causality.</w:t>
      </w:r>
    </w:p>
    <w:p w14:paraId="20F2980F" w14:textId="77777777" w:rsidR="00F4113C" w:rsidRDefault="00F4113C" w:rsidP="00F4113C">
      <w:pPr>
        <w:pStyle w:val="TableDescription"/>
      </w:pPr>
      <w:r w:rsidRPr="00F4113C">
        <w:t>b: Includes all subjects with SAE resulting in death.</w:t>
      </w:r>
    </w:p>
    <w:p w14:paraId="1B91310D" w14:textId="0AB3FB52" w:rsidR="00F4113C" w:rsidRPr="00F4113C" w:rsidRDefault="00F4113C" w:rsidP="00F4113C">
      <w:pPr>
        <w:pStyle w:val="TableDescription"/>
      </w:pPr>
      <w:r w:rsidRPr="00F4113C">
        <w:t>c: Includes subjects with nonfatal SAEs only. If a subject had both fatal and nonfatal SAEs, the subject was counted in the previous row and was not counted in this row.</w:t>
      </w:r>
    </w:p>
    <w:p w14:paraId="2FDEB18E" w14:textId="78DC30B8" w:rsidR="00C94BBC" w:rsidRDefault="00C94BBC" w:rsidP="00C94BBC">
      <w:pPr>
        <w:spacing w:line="240" w:lineRule="auto"/>
        <w:rPr>
          <w:b/>
          <w:bCs/>
          <w:color w:val="7030A0"/>
        </w:rPr>
      </w:pPr>
    </w:p>
    <w:p w14:paraId="0D4E5D0C" w14:textId="2A154738" w:rsidR="00C94BBC" w:rsidRDefault="00C94BBC" w:rsidP="00F4113C">
      <w:pPr>
        <w:pStyle w:val="TableTitle"/>
      </w:pPr>
      <w:r>
        <w:lastRenderedPageBreak/>
        <w:t xml:space="preserve">Table </w:t>
      </w:r>
      <w:r w:rsidR="008A4248">
        <w:fldChar w:fldCharType="begin"/>
      </w:r>
      <w:r w:rsidR="008A4248">
        <w:instrText xml:space="preserve"> SEQ Table \* ARABIC </w:instrText>
      </w:r>
      <w:r w:rsidR="008A4248">
        <w:fldChar w:fldCharType="separate"/>
      </w:r>
      <w:r w:rsidR="00197355">
        <w:rPr>
          <w:noProof/>
        </w:rPr>
        <w:t>18</w:t>
      </w:r>
      <w:r w:rsidR="008A4248">
        <w:rPr>
          <w:noProof/>
        </w:rPr>
        <w:fldChar w:fldCharType="end"/>
      </w:r>
      <w:r w:rsidR="00F4113C">
        <w:rPr>
          <w:noProof/>
        </w:rPr>
        <w:t>:</w:t>
      </w:r>
      <w:r>
        <w:t xml:space="preserve"> Group 1 </w:t>
      </w:r>
      <w:r w:rsidR="00F4113C">
        <w:t>t</w:t>
      </w:r>
      <w:r>
        <w:t>reatment</w:t>
      </w:r>
      <w:r w:rsidR="00F4113C">
        <w:t>-e</w:t>
      </w:r>
      <w:r>
        <w:t xml:space="preserve">mergent </w:t>
      </w:r>
      <w:r w:rsidR="00F4113C">
        <w:t>a</w:t>
      </w:r>
      <w:r>
        <w:t xml:space="preserve">dverse </w:t>
      </w:r>
      <w:r w:rsidR="00F4113C">
        <w:t>e</w:t>
      </w:r>
      <w:r>
        <w:t xml:space="preserve">vents in </w:t>
      </w:r>
      <w:r w:rsidR="00F4113C">
        <w:t xml:space="preserve">greater than </w:t>
      </w:r>
      <w:r>
        <w:t xml:space="preserve">3% of patients in the </w:t>
      </w:r>
      <w:r w:rsidR="00F4113C">
        <w:t>a</w:t>
      </w:r>
      <w:r>
        <w:t>vatrombopag groups</w:t>
      </w:r>
    </w:p>
    <w:p w14:paraId="4671ACF1" w14:textId="39A0B627" w:rsidR="00F4113C" w:rsidRPr="00F4113C" w:rsidRDefault="00F4113C" w:rsidP="008A4248">
      <w:r>
        <w:rPr>
          <w:noProof/>
        </w:rPr>
        <w:drawing>
          <wp:inline distT="0" distB="0" distL="0" distR="0" wp14:anchorId="6578CCEF" wp14:editId="308B80AC">
            <wp:extent cx="5759450" cy="2298065"/>
            <wp:effectExtent l="0" t="0" r="0" b="6985"/>
            <wp:docPr id="9" name="Picture 9" descr="Group 1 treatment-emergent adverse events in greater than 3% of patients in the avatrombopa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oup 1 treatment-emergent adverse events in greater than 3% of patients in the avatrombopag groups"/>
                    <pic:cNvPicPr/>
                  </pic:nvPicPr>
                  <pic:blipFill>
                    <a:blip r:embed="rId49"/>
                    <a:stretch>
                      <a:fillRect/>
                    </a:stretch>
                  </pic:blipFill>
                  <pic:spPr>
                    <a:xfrm>
                      <a:off x="0" y="0"/>
                      <a:ext cx="5759450" cy="2298065"/>
                    </a:xfrm>
                    <a:prstGeom prst="rect">
                      <a:avLst/>
                    </a:prstGeom>
                  </pic:spPr>
                </pic:pic>
              </a:graphicData>
            </a:graphic>
          </wp:inline>
        </w:drawing>
      </w:r>
    </w:p>
    <w:p w14:paraId="2A308F5B" w14:textId="6E0142DC" w:rsidR="00F4113C" w:rsidRDefault="00F4113C" w:rsidP="00F4113C">
      <w:pPr>
        <w:pStyle w:val="TableDescription"/>
      </w:pPr>
      <w:r>
        <w:t xml:space="preserve">Abbreviations: </w:t>
      </w:r>
      <w:r w:rsidRPr="00F4113C">
        <w:t>AE = adverse event, MedDRA = Medical Dictionary for Regulatory Activities, N</w:t>
      </w:r>
      <w:r>
        <w:t> </w:t>
      </w:r>
      <w:r w:rsidRPr="00F4113C">
        <w:t>=</w:t>
      </w:r>
      <w:r>
        <w:t> </w:t>
      </w:r>
      <w:r w:rsidRPr="00F4113C">
        <w:t>total number of subjects in sample group, n = number of subjects in individual group, PT</w:t>
      </w:r>
      <w:r>
        <w:t> </w:t>
      </w:r>
      <w:r w:rsidRPr="00F4113C">
        <w:t>=</w:t>
      </w:r>
      <w:r>
        <w:t> </w:t>
      </w:r>
      <w:r w:rsidRPr="00F4113C">
        <w:t>preferred term, TEAE = treatment-emergent adverse event.</w:t>
      </w:r>
    </w:p>
    <w:p w14:paraId="2B3E049D" w14:textId="39753FAD" w:rsidR="00F4113C" w:rsidRPr="00F4113C" w:rsidRDefault="00F4113C" w:rsidP="00F4113C">
      <w:pPr>
        <w:pStyle w:val="TableDescription"/>
      </w:pPr>
      <w:r w:rsidRPr="00F4113C">
        <w:t>One subject in the 40 to</w:t>
      </w:r>
      <w:r>
        <w:t> </w:t>
      </w:r>
      <w:r w:rsidRPr="00F4113C">
        <w:t>50</w:t>
      </w:r>
      <w:r>
        <w:t> </w:t>
      </w:r>
      <w:r w:rsidRPr="00F4113C">
        <w:t>×</w:t>
      </w:r>
      <w:r>
        <w:t> </w:t>
      </w:r>
      <w:r w:rsidRPr="00F4113C">
        <w:t>10</w:t>
      </w:r>
      <w:r w:rsidRPr="00F4113C">
        <w:rPr>
          <w:vertAlign w:val="superscript"/>
        </w:rPr>
        <w:t>9</w:t>
      </w:r>
      <w:r w:rsidRPr="00F4113C">
        <w:t xml:space="preserve">/L </w:t>
      </w:r>
      <w:r>
        <w:t>h</w:t>
      </w:r>
      <w:r w:rsidRPr="00F4113C">
        <w:t xml:space="preserve">igh Baseline </w:t>
      </w:r>
      <w:r>
        <w:t>p</w:t>
      </w:r>
      <w:r w:rsidRPr="00F4113C">
        <w:t xml:space="preserve">latelet </w:t>
      </w:r>
      <w:r>
        <w:t>c</w:t>
      </w:r>
      <w:r w:rsidRPr="00F4113C">
        <w:t xml:space="preserve">ount </w:t>
      </w:r>
      <w:r>
        <w:t>c</w:t>
      </w:r>
      <w:r w:rsidRPr="00F4113C">
        <w:t>ohort received 60</w:t>
      </w:r>
      <w:r>
        <w:t> </w:t>
      </w:r>
      <w:r w:rsidRPr="00F4113C">
        <w:t xml:space="preserve">mg avatrombopag and hence was included in the </w:t>
      </w:r>
      <w:r>
        <w:t xml:space="preserve">less than </w:t>
      </w:r>
      <w:r w:rsidRPr="00F4113C">
        <w:t>40</w:t>
      </w:r>
      <w:r>
        <w:t> </w:t>
      </w:r>
      <w:r w:rsidRPr="00F4113C">
        <w:t>×</w:t>
      </w:r>
      <w:r>
        <w:t> </w:t>
      </w:r>
      <w:r w:rsidRPr="00F4113C">
        <w:t>10</w:t>
      </w:r>
      <w:r w:rsidRPr="00F4113C">
        <w:rPr>
          <w:vertAlign w:val="superscript"/>
        </w:rPr>
        <w:t>9</w:t>
      </w:r>
      <w:r w:rsidRPr="00F4113C">
        <w:t xml:space="preserve">/L </w:t>
      </w:r>
      <w:r>
        <w:t>l</w:t>
      </w:r>
      <w:r w:rsidRPr="00F4113C">
        <w:t xml:space="preserve">ow Baseline </w:t>
      </w:r>
      <w:r>
        <w:t>p</w:t>
      </w:r>
      <w:r w:rsidRPr="00F4113C">
        <w:t xml:space="preserve">latelet </w:t>
      </w:r>
      <w:r>
        <w:t>c</w:t>
      </w:r>
      <w:r w:rsidRPr="00F4113C">
        <w:t xml:space="preserve">ount </w:t>
      </w:r>
      <w:r>
        <w:t>c</w:t>
      </w:r>
      <w:r w:rsidRPr="00F4113C">
        <w:t>ohort in all safety analyses.</w:t>
      </w:r>
    </w:p>
    <w:p w14:paraId="0543BA5A" w14:textId="7892F95C" w:rsidR="00F4113C" w:rsidRPr="00F4113C" w:rsidRDefault="00F4113C" w:rsidP="00F4113C">
      <w:pPr>
        <w:pStyle w:val="TableDescription"/>
      </w:pPr>
      <w:r w:rsidRPr="00F4113C">
        <w:t>A TEAE was defined as an AE that started on or after the date of first dose of study drug, up to 30</w:t>
      </w:r>
      <w:r>
        <w:t> </w:t>
      </w:r>
      <w:r w:rsidRPr="00F4113C">
        <w:t>days after the last dose of study drug.</w:t>
      </w:r>
    </w:p>
    <w:p w14:paraId="1250D4D5" w14:textId="55DCEF30" w:rsidR="00F4113C" w:rsidRPr="00F4113C" w:rsidRDefault="00F4113C" w:rsidP="00F4113C">
      <w:pPr>
        <w:pStyle w:val="TableDescription"/>
      </w:pPr>
      <w:r w:rsidRPr="00F4113C">
        <w:t xml:space="preserve">Subjects with </w:t>
      </w:r>
      <w:r>
        <w:t>two</w:t>
      </w:r>
      <w:r w:rsidRPr="00F4113C">
        <w:t xml:space="preserve"> or more AEs with the same PT were counted only once for that PT.</w:t>
      </w:r>
    </w:p>
    <w:p w14:paraId="4201A374" w14:textId="17D0EAF1" w:rsidR="00F4113C" w:rsidRPr="00F4113C" w:rsidRDefault="00F4113C" w:rsidP="00F4113C">
      <w:pPr>
        <w:pStyle w:val="TableDescription"/>
      </w:pPr>
      <w:r w:rsidRPr="00F4113C">
        <w:t>In all safety analyses, subjects were reported in the Baseline platelet count cohort based on the actual study drug received.</w:t>
      </w:r>
    </w:p>
    <w:p w14:paraId="3956A64E" w14:textId="77777777" w:rsidR="00305CA5" w:rsidRDefault="00F4113C" w:rsidP="00F4113C">
      <w:pPr>
        <w:pStyle w:val="TableDescription"/>
      </w:pPr>
      <w:r w:rsidRPr="00F4113C">
        <w:t>MedDRA Version 19.1</w:t>
      </w:r>
      <w:r w:rsidR="00305CA5">
        <w:t>.</w:t>
      </w:r>
    </w:p>
    <w:p w14:paraId="4472C2D2" w14:textId="2CE71D2A" w:rsidR="00C94BBC" w:rsidRPr="00F4113C" w:rsidRDefault="00C94BBC" w:rsidP="00F4113C">
      <w:r w:rsidRPr="00E9222E">
        <w:t xml:space="preserve">The </w:t>
      </w:r>
      <w:r w:rsidR="00F4113C" w:rsidRPr="00E9222E">
        <w:t>common terminology criteria for adverse events</w:t>
      </w:r>
      <w:r w:rsidRPr="00E9222E">
        <w:t xml:space="preserve"> Grade 3 or 4 </w:t>
      </w:r>
      <w:r w:rsidR="00F4113C" w:rsidRPr="00E9222E">
        <w:t>treatment-emergent adverse events (</w:t>
      </w:r>
      <w:r w:rsidRPr="00E9222E">
        <w:t>TEAEs</w:t>
      </w:r>
      <w:r w:rsidR="00F4113C" w:rsidRPr="00E9222E">
        <w:t>)</w:t>
      </w:r>
      <w:r w:rsidRPr="00F4113C">
        <w:t xml:space="preserve"> reported in </w:t>
      </w:r>
      <w:r w:rsidR="00F4113C" w:rsidRPr="00F4113C">
        <w:t>two or more</w:t>
      </w:r>
      <w:r w:rsidRPr="00F4113C">
        <w:t xml:space="preserve"> patients in the combined </w:t>
      </w:r>
      <w:r w:rsidR="009E689F" w:rsidRPr="00F4113C">
        <w:t xml:space="preserve">avatrombopag </w:t>
      </w:r>
      <w:r w:rsidRPr="00F4113C">
        <w:t>group included neutrophil count decrease (1.5%), abdominal pain upper (0.7%), aspartate aminotransferase increased (0.7%), hepatic encephalopathy (0.7%), hyponatraemia (0.7%), and depression (0.7%)</w:t>
      </w:r>
      <w:r w:rsidR="00F4113C" w:rsidRPr="00F4113C">
        <w:t>.</w:t>
      </w:r>
    </w:p>
    <w:p w14:paraId="01A8DCB1" w14:textId="68C9D3B6" w:rsidR="00C94BBC" w:rsidRPr="00F4113C" w:rsidRDefault="00C94BBC" w:rsidP="00F4113C">
      <w:r w:rsidRPr="00F4113C">
        <w:t xml:space="preserve">The most frequently reported treatment-related </w:t>
      </w:r>
      <w:r w:rsidR="00F4113C">
        <w:t>adverse events</w:t>
      </w:r>
      <w:r w:rsidRPr="00F4113C">
        <w:t xml:space="preserve"> in the combined </w:t>
      </w:r>
      <w:r w:rsidR="009E689F" w:rsidRPr="00F4113C">
        <w:t xml:space="preserve">avatrombopag </w:t>
      </w:r>
      <w:r w:rsidRPr="00F4113C">
        <w:t>v</w:t>
      </w:r>
      <w:r w:rsidR="00F4113C">
        <w:t>ersu</w:t>
      </w:r>
      <w:r w:rsidRPr="00F4113C">
        <w:t>s placebo</w:t>
      </w:r>
      <w:r w:rsidR="00F4113C">
        <w:t xml:space="preserve"> </w:t>
      </w:r>
      <w:r w:rsidRPr="00F4113C">
        <w:t>treated patients included the following: headache (1.8% v</w:t>
      </w:r>
      <w:r w:rsidR="00F4113C">
        <w:t>ersus</w:t>
      </w:r>
      <w:r w:rsidRPr="00F4113C">
        <w:t xml:space="preserve"> 4.5%), nausea (1.8% v</w:t>
      </w:r>
      <w:r w:rsidR="00F4113C">
        <w:t>ersus</w:t>
      </w:r>
      <w:r w:rsidRPr="00F4113C">
        <w:t xml:space="preserve"> 1.9%), fatigue (1.5% v</w:t>
      </w:r>
      <w:r w:rsidR="00F4113C">
        <w:t>ersus</w:t>
      </w:r>
      <w:r w:rsidRPr="00F4113C">
        <w:t xml:space="preserve"> 1.3%), and dizziness (1.1% v</w:t>
      </w:r>
      <w:r w:rsidR="00F4113C">
        <w:t>ersus</w:t>
      </w:r>
      <w:r w:rsidRPr="00F4113C">
        <w:t xml:space="preserve"> 1.3%). Other treatment</w:t>
      </w:r>
      <w:r w:rsidR="00F4113C">
        <w:t>-</w:t>
      </w:r>
      <w:r w:rsidRPr="00F4113C">
        <w:t xml:space="preserve">related </w:t>
      </w:r>
      <w:r w:rsidR="00F4113C">
        <w:t>adverse events</w:t>
      </w:r>
      <w:r w:rsidRPr="00F4113C">
        <w:t xml:space="preserve"> reported in </w:t>
      </w:r>
      <w:r w:rsidR="00F4113C">
        <w:t>more than</w:t>
      </w:r>
      <w:r w:rsidRPr="00F4113C">
        <w:t xml:space="preserve"> </w:t>
      </w:r>
      <w:r w:rsidR="00F4113C">
        <w:t xml:space="preserve">one </w:t>
      </w:r>
      <w:r w:rsidR="009E689F" w:rsidRPr="00F4113C">
        <w:t>avatrombopag t</w:t>
      </w:r>
      <w:r w:rsidRPr="00F4113C">
        <w:t>reated patient were bone pain (0.7% v</w:t>
      </w:r>
      <w:r w:rsidR="00F4113C">
        <w:t>ersus</w:t>
      </w:r>
      <w:r w:rsidRPr="00F4113C">
        <w:t xml:space="preserve"> 0%), diarrhoea (0.7% v</w:t>
      </w:r>
      <w:r w:rsidR="00F4113C">
        <w:t>ersus</w:t>
      </w:r>
      <w:r w:rsidRPr="00F4113C">
        <w:t xml:space="preserve"> 1.9%), and pyrexia (0.7% v</w:t>
      </w:r>
      <w:r w:rsidR="00F4113C">
        <w:t>ersus</w:t>
      </w:r>
      <w:r w:rsidRPr="00F4113C">
        <w:t xml:space="preserve"> 0.6%).</w:t>
      </w:r>
    </w:p>
    <w:p w14:paraId="46272314" w14:textId="4762CBDA" w:rsidR="00C94BBC" w:rsidRPr="00F4113C" w:rsidRDefault="00C94BBC" w:rsidP="00F4113C">
      <w:r w:rsidRPr="00F4113C">
        <w:t xml:space="preserve">The three deaths reported were all in the </w:t>
      </w:r>
      <w:r w:rsidR="00F4113C">
        <w:t>h</w:t>
      </w:r>
      <w:r w:rsidRPr="00F4113C">
        <w:t xml:space="preserve">igh Baseline platelet count cohort. Two </w:t>
      </w:r>
      <w:r w:rsidR="009E689F" w:rsidRPr="00F4113C">
        <w:t xml:space="preserve">avatrombopag </w:t>
      </w:r>
      <w:r w:rsidRPr="00F4113C">
        <w:t xml:space="preserve">patients had multiple organ dysfunction and hepatic coma, and a patient from the placebo group died of a myocardial infarction. One additional patient in the </w:t>
      </w:r>
      <w:r w:rsidR="00F4113C">
        <w:t>l</w:t>
      </w:r>
      <w:r w:rsidRPr="00F4113C">
        <w:t xml:space="preserve">ow Baseline </w:t>
      </w:r>
      <w:r w:rsidR="00F4113C">
        <w:t>p</w:t>
      </w:r>
      <w:r w:rsidRPr="00F4113C">
        <w:t xml:space="preserve">latelet </w:t>
      </w:r>
      <w:r w:rsidR="00F4113C">
        <w:t>c</w:t>
      </w:r>
      <w:r w:rsidRPr="00F4113C">
        <w:t xml:space="preserve">ount </w:t>
      </w:r>
      <w:r w:rsidR="00F4113C">
        <w:t>c</w:t>
      </w:r>
      <w:r w:rsidRPr="00F4113C">
        <w:t>ohort 60</w:t>
      </w:r>
      <w:r w:rsidR="00F4113C">
        <w:t> </w:t>
      </w:r>
      <w:r w:rsidRPr="00F4113C">
        <w:t xml:space="preserve">mg </w:t>
      </w:r>
      <w:r w:rsidR="009E689F" w:rsidRPr="00F4113C">
        <w:t xml:space="preserve">avatrombopag </w:t>
      </w:r>
      <w:r w:rsidRPr="00F4113C">
        <w:t>group died after completing the study and undergoing additional invasive procedures.</w:t>
      </w:r>
    </w:p>
    <w:p w14:paraId="6679999F" w14:textId="278E9269" w:rsidR="00C94BBC" w:rsidRPr="00F4113C" w:rsidRDefault="00C94BBC" w:rsidP="00F4113C">
      <w:r w:rsidRPr="00F4113C">
        <w:t xml:space="preserve">Serious </w:t>
      </w:r>
      <w:r w:rsidR="00E9222E">
        <w:t>a</w:t>
      </w:r>
      <w:r w:rsidRPr="00F4113C">
        <w:t>dv</w:t>
      </w:r>
      <w:r w:rsidRPr="00E9222E">
        <w:t xml:space="preserve">erse </w:t>
      </w:r>
      <w:r w:rsidR="00E9222E" w:rsidRPr="00E9222E">
        <w:t>e</w:t>
      </w:r>
      <w:r w:rsidRPr="00E9222E">
        <w:t>vents (SAEs) occurred</w:t>
      </w:r>
      <w:r w:rsidRPr="00F4113C">
        <w:t xml:space="preserve"> in 7.3% of the combined </w:t>
      </w:r>
      <w:r w:rsidR="009E689F" w:rsidRPr="00F4113C">
        <w:t xml:space="preserve">avatrombopag </w:t>
      </w:r>
      <w:r w:rsidRPr="00F4113C">
        <w:t xml:space="preserve">group and 9% of the placebo group. Gastrointestinal haemorrhage and hyponatraemia occurred in </w:t>
      </w:r>
      <w:r w:rsidR="00F4113C">
        <w:t>more than one</w:t>
      </w:r>
      <w:r w:rsidRPr="00F4113C">
        <w:t xml:space="preserve"> patient in the combined </w:t>
      </w:r>
      <w:r w:rsidR="009E689F" w:rsidRPr="00F4113C">
        <w:t>avatrombopag</w:t>
      </w:r>
      <w:r w:rsidRPr="00F4113C">
        <w:t xml:space="preserve"> treatment group. Transfusion reaction, hepatic encephalopathy, and pyrexia each occurred in </w:t>
      </w:r>
      <w:r w:rsidR="00F4113C">
        <w:t>more than one</w:t>
      </w:r>
      <w:r w:rsidRPr="00F4113C">
        <w:t xml:space="preserve"> patient in the placebo group.</w:t>
      </w:r>
    </w:p>
    <w:p w14:paraId="62074885" w14:textId="3B5CB90E" w:rsidR="00C94BBC" w:rsidRPr="00F4113C" w:rsidRDefault="00C94BBC" w:rsidP="00F4113C">
      <w:r w:rsidRPr="00F4113C">
        <w:t xml:space="preserve">In the </w:t>
      </w:r>
      <w:r w:rsidR="00F4113C">
        <w:t>l</w:t>
      </w:r>
      <w:r w:rsidRPr="00F4113C">
        <w:t>ow Baseline platelet count cohort, SAEs were reported in 6.9% of the 60</w:t>
      </w:r>
      <w:r w:rsidR="00F4113C">
        <w:t> </w:t>
      </w:r>
      <w:r w:rsidRPr="00F4113C">
        <w:t xml:space="preserve">mg </w:t>
      </w:r>
      <w:r w:rsidR="009E689F" w:rsidRPr="00F4113C">
        <w:t xml:space="preserve">avatrombopag </w:t>
      </w:r>
      <w:r w:rsidRPr="00F4113C">
        <w:t xml:space="preserve">group and 13.2% of the placebo groups. All SAEs in the </w:t>
      </w:r>
      <w:r w:rsidR="009E689F" w:rsidRPr="00F4113C">
        <w:t xml:space="preserve">avatrombopag </w:t>
      </w:r>
      <w:r w:rsidRPr="00F4113C">
        <w:t>60</w:t>
      </w:r>
      <w:r w:rsidR="00F4113C">
        <w:t> </w:t>
      </w:r>
      <w:r w:rsidRPr="00F4113C">
        <w:t xml:space="preserve">mg group were reported in only </w:t>
      </w:r>
      <w:r w:rsidR="00F4113C">
        <w:t>one</w:t>
      </w:r>
      <w:r w:rsidRPr="00F4113C">
        <w:t xml:space="preserve"> patient. In the placebo group, transfusion reaction and hepatic encephalopathy were reported in more than </w:t>
      </w:r>
      <w:r w:rsidR="00F4113C">
        <w:t xml:space="preserve">one </w:t>
      </w:r>
      <w:r w:rsidRPr="00F4113C">
        <w:t xml:space="preserve">patient. In the </w:t>
      </w:r>
      <w:r w:rsidR="00F4113C">
        <w:t>h</w:t>
      </w:r>
      <w:r w:rsidRPr="00F4113C">
        <w:t xml:space="preserve">igh Baseline platelet count </w:t>
      </w:r>
      <w:r w:rsidRPr="00F4113C">
        <w:lastRenderedPageBreak/>
        <w:t>cohort, SAEs were reported in 7.8% of the 40</w:t>
      </w:r>
      <w:r w:rsidR="00F4113C">
        <w:t> </w:t>
      </w:r>
      <w:r w:rsidRPr="00F4113C">
        <w:t xml:space="preserve">mg </w:t>
      </w:r>
      <w:r w:rsidR="009E689F" w:rsidRPr="00F4113C">
        <w:t xml:space="preserve">avatrombopag </w:t>
      </w:r>
      <w:r w:rsidRPr="00F4113C">
        <w:t>groups and 3.1% of the placebo group. All SAEs in the 40</w:t>
      </w:r>
      <w:r w:rsidR="00F4113C">
        <w:t> </w:t>
      </w:r>
      <w:r w:rsidRPr="00F4113C">
        <w:t xml:space="preserve">mg group were only reported in single patients. Treatment-related SAEs in </w:t>
      </w:r>
      <w:r w:rsidR="009E689F" w:rsidRPr="00F4113C">
        <w:t xml:space="preserve">avatrombopag </w:t>
      </w:r>
      <w:r w:rsidRPr="00F4113C">
        <w:t xml:space="preserve">treated patients occurred in the </w:t>
      </w:r>
      <w:r w:rsidR="00F4113C">
        <w:t>l</w:t>
      </w:r>
      <w:r w:rsidRPr="00F4113C">
        <w:t xml:space="preserve">ow Baseline </w:t>
      </w:r>
      <w:r w:rsidR="00F4113C">
        <w:t>p</w:t>
      </w:r>
      <w:r w:rsidRPr="00F4113C">
        <w:t xml:space="preserve">latelet </w:t>
      </w:r>
      <w:r w:rsidR="00F4113C">
        <w:t>c</w:t>
      </w:r>
      <w:r w:rsidRPr="00F4113C">
        <w:t xml:space="preserve">ount </w:t>
      </w:r>
      <w:r w:rsidR="00F4113C">
        <w:t>c</w:t>
      </w:r>
      <w:r w:rsidRPr="00F4113C">
        <w:t>ohort 60</w:t>
      </w:r>
      <w:r w:rsidR="00F4113C">
        <w:t> </w:t>
      </w:r>
      <w:r w:rsidRPr="00F4113C">
        <w:t xml:space="preserve">mg </w:t>
      </w:r>
      <w:r w:rsidR="009E689F" w:rsidRPr="00F4113C">
        <w:t xml:space="preserve">avatrombopag </w:t>
      </w:r>
      <w:r w:rsidRPr="00F4113C">
        <w:t>group in single patients and were anaemia and myalgia. There were no treatment-related SAEs in the 40</w:t>
      </w:r>
      <w:r w:rsidR="00F4113C">
        <w:t> </w:t>
      </w:r>
      <w:r w:rsidRPr="00F4113C">
        <w:t xml:space="preserve">mg </w:t>
      </w:r>
      <w:r w:rsidR="009E689F" w:rsidRPr="00F4113C">
        <w:t xml:space="preserve">avatrombopag </w:t>
      </w:r>
      <w:r w:rsidRPr="00F4113C">
        <w:t xml:space="preserve">treated patients in the </w:t>
      </w:r>
      <w:r w:rsidR="00F4113C">
        <w:t>h</w:t>
      </w:r>
      <w:r w:rsidRPr="00F4113C">
        <w:t xml:space="preserve">igh Baseline </w:t>
      </w:r>
      <w:r w:rsidR="00F4113C">
        <w:t>p</w:t>
      </w:r>
      <w:r w:rsidRPr="00F4113C">
        <w:t xml:space="preserve">latelet </w:t>
      </w:r>
      <w:r w:rsidR="00F4113C">
        <w:t>c</w:t>
      </w:r>
      <w:r w:rsidRPr="00F4113C">
        <w:t xml:space="preserve">ount </w:t>
      </w:r>
      <w:r w:rsidR="00F4113C">
        <w:t>c</w:t>
      </w:r>
      <w:r w:rsidRPr="00F4113C">
        <w:t>ohort.</w:t>
      </w:r>
    </w:p>
    <w:p w14:paraId="4C75F566" w14:textId="6F343004" w:rsidR="00C94BBC" w:rsidRPr="00F4113C" w:rsidRDefault="00C94BBC" w:rsidP="00F4113C">
      <w:r w:rsidRPr="00F4113C">
        <w:t>There were no reports of drug-induced hepatotoxicity or renal failure.</w:t>
      </w:r>
    </w:p>
    <w:p w14:paraId="64543726" w14:textId="7968AB25" w:rsidR="00C94BBC" w:rsidRPr="00F4113C" w:rsidRDefault="00C94BBC" w:rsidP="00F4113C">
      <w:r w:rsidRPr="00F4113C">
        <w:t xml:space="preserve">Platelet counts </w:t>
      </w:r>
      <w:r w:rsidR="00F4113C">
        <w:t>greater than</w:t>
      </w:r>
      <w:r w:rsidRPr="00F4113C">
        <w:t xml:space="preserve"> 200</w:t>
      </w:r>
      <w:r w:rsidR="00F4113C">
        <w:t> </w:t>
      </w:r>
      <w:r w:rsidRPr="00F4113C">
        <w:t>×</w:t>
      </w:r>
      <w:r w:rsidR="00F4113C">
        <w:t> </w:t>
      </w:r>
      <w:r w:rsidRPr="00F4113C">
        <w:t>10</w:t>
      </w:r>
      <w:r w:rsidRPr="00F4113C">
        <w:rPr>
          <w:vertAlign w:val="superscript"/>
        </w:rPr>
        <w:t>9</w:t>
      </w:r>
      <w:r w:rsidRPr="00F4113C">
        <w:t>/L are associated with the development of portal vein thrombosis.</w:t>
      </w:r>
      <w:r w:rsidR="00F4113C">
        <w:rPr>
          <w:rStyle w:val="FootnoteReference"/>
        </w:rPr>
        <w:footnoteReference w:id="25"/>
      </w:r>
      <w:r w:rsidRPr="00F4113C">
        <w:t xml:space="preserve"> Three </w:t>
      </w:r>
      <w:r w:rsidR="009E689F" w:rsidRPr="00F4113C">
        <w:t>avatrombopag t</w:t>
      </w:r>
      <w:r w:rsidRPr="00F4113C">
        <w:t xml:space="preserve">reated patients had a platelet count </w:t>
      </w:r>
      <w:r w:rsidR="00F4113C">
        <w:t xml:space="preserve">greater than </w:t>
      </w:r>
      <w:r w:rsidRPr="00F4113C">
        <w:t>200</w:t>
      </w:r>
      <w:r w:rsidR="00F4113C">
        <w:t> </w:t>
      </w:r>
      <w:r w:rsidRPr="00F4113C">
        <w:t>×</w:t>
      </w:r>
      <w:r w:rsidR="00F4113C">
        <w:t> </w:t>
      </w:r>
      <w:r w:rsidRPr="00F4113C">
        <w:t>10</w:t>
      </w:r>
      <w:r w:rsidRPr="00F4113C">
        <w:rPr>
          <w:vertAlign w:val="superscript"/>
        </w:rPr>
        <w:t>9</w:t>
      </w:r>
      <w:r w:rsidRPr="00F4113C">
        <w:t xml:space="preserve">/L at any visit in the two pivotal Phase </w:t>
      </w:r>
      <w:r w:rsidR="00F4113C">
        <w:t>III</w:t>
      </w:r>
      <w:r w:rsidRPr="00F4113C">
        <w:t xml:space="preserve"> studies. All occurred within the first 17 days of treatment. All had decreased platelet counts starting at the next visit and all were asymptomatic.</w:t>
      </w:r>
      <w:bookmarkStart w:id="73" w:name="_Toc272414674"/>
      <w:bookmarkStart w:id="74" w:name="_Toc290888538"/>
      <w:bookmarkStart w:id="75" w:name="_Toc416353753"/>
      <w:bookmarkStart w:id="76" w:name="_Toc421005296"/>
      <w:bookmarkStart w:id="77" w:name="_Toc432079173"/>
      <w:bookmarkStart w:id="78" w:name="_Toc432080746"/>
      <w:r w:rsidRPr="00F4113C">
        <w:t xml:space="preserve"> There were no reports of severe thrombocytopenia, </w:t>
      </w:r>
      <w:proofErr w:type="gramStart"/>
      <w:r w:rsidRPr="00F4113C">
        <w:t>agranulocytosis</w:t>
      </w:r>
      <w:proofErr w:type="gramEnd"/>
      <w:r w:rsidRPr="00F4113C">
        <w:t xml:space="preserve"> or aplastic anaemia in the clinical studies.</w:t>
      </w:r>
    </w:p>
    <w:p w14:paraId="0DD498A1" w14:textId="7FFEE71E" w:rsidR="00C94BBC" w:rsidRPr="00F4113C" w:rsidRDefault="00C94BBC" w:rsidP="00F4113C">
      <w:bookmarkStart w:id="79" w:name="_Toc241374326"/>
      <w:bookmarkStart w:id="80" w:name="_Ref272333048"/>
      <w:bookmarkStart w:id="81" w:name="_Toc272414679"/>
      <w:bookmarkStart w:id="82" w:name="_Toc290888543"/>
      <w:bookmarkStart w:id="83" w:name="_Toc416353758"/>
      <w:bookmarkStart w:id="84" w:name="_Toc421005301"/>
      <w:bookmarkStart w:id="85" w:name="_Toc432079182"/>
      <w:bookmarkStart w:id="86" w:name="_Toc432080755"/>
      <w:bookmarkEnd w:id="73"/>
      <w:bookmarkEnd w:id="74"/>
      <w:bookmarkEnd w:id="75"/>
      <w:bookmarkEnd w:id="76"/>
      <w:bookmarkEnd w:id="77"/>
      <w:bookmarkEnd w:id="78"/>
      <w:r w:rsidRPr="00F4113C">
        <w:t xml:space="preserve">There were no clinically important effects of </w:t>
      </w:r>
      <w:r w:rsidR="009E689F" w:rsidRPr="00F4113C">
        <w:t xml:space="preserve">avatrombopag </w:t>
      </w:r>
      <w:r w:rsidRPr="00F4113C">
        <w:t xml:space="preserve">on any other laboratory parameters, vital signs, or </w:t>
      </w:r>
      <w:r w:rsidR="00F4113C">
        <w:t>electrocardiograms</w:t>
      </w:r>
      <w:r w:rsidRPr="00F4113C">
        <w:t>. Subgroup analyses identified no meaningful trends in the incidence, type, or severity of TEAEs by race, region, Baseline platelet count, MELD score,</w:t>
      </w:r>
      <w:r w:rsidR="00F4113C">
        <w:fldChar w:fldCharType="begin"/>
      </w:r>
      <w:r w:rsidR="00F4113C">
        <w:instrText xml:space="preserve"> NOTEREF _Ref153263846 \f \h </w:instrText>
      </w:r>
      <w:r w:rsidR="00F4113C">
        <w:fldChar w:fldCharType="separate"/>
      </w:r>
      <w:r w:rsidR="00197355" w:rsidRPr="00197355">
        <w:rPr>
          <w:rStyle w:val="FootnoteReference"/>
        </w:rPr>
        <w:t>19</w:t>
      </w:r>
      <w:r w:rsidR="00F4113C">
        <w:fldChar w:fldCharType="end"/>
      </w:r>
      <w:r w:rsidRPr="00F4113C">
        <w:t xml:space="preserve"> </w:t>
      </w:r>
      <w:r w:rsidR="00F4113C">
        <w:t xml:space="preserve">Child-Turcotte-Pugh </w:t>
      </w:r>
      <w:r w:rsidRPr="00F4113C">
        <w:t>grade,</w:t>
      </w:r>
      <w:r w:rsidR="00F4113C">
        <w:fldChar w:fldCharType="begin"/>
      </w:r>
      <w:r w:rsidR="00F4113C">
        <w:instrText xml:space="preserve"> NOTEREF _Ref151469402 \f \h </w:instrText>
      </w:r>
      <w:r w:rsidR="00F4113C">
        <w:fldChar w:fldCharType="separate"/>
      </w:r>
      <w:r w:rsidR="00197355" w:rsidRPr="00197355">
        <w:rPr>
          <w:rStyle w:val="FootnoteReference"/>
        </w:rPr>
        <w:t>22</w:t>
      </w:r>
      <w:r w:rsidR="00F4113C">
        <w:fldChar w:fldCharType="end"/>
      </w:r>
      <w:r w:rsidRPr="00F4113C">
        <w:t xml:space="preserve"> or Baseline CLD aetiology.</w:t>
      </w:r>
    </w:p>
    <w:p w14:paraId="2FF01A94" w14:textId="2439E3F3" w:rsidR="00C94BBC" w:rsidRPr="00F4113C" w:rsidRDefault="00C94BBC" w:rsidP="00F4113C">
      <w:r w:rsidRPr="00F4113C">
        <w:t xml:space="preserve">There are no data to suggest rebound thrombocytopenia following discontinuation of </w:t>
      </w:r>
      <w:r w:rsidR="009E689F" w:rsidRPr="00F4113C">
        <w:t>avatrombopag</w:t>
      </w:r>
      <w:r w:rsidRPr="00F4113C">
        <w:t>.</w:t>
      </w:r>
      <w:bookmarkEnd w:id="79"/>
      <w:bookmarkEnd w:id="80"/>
      <w:bookmarkEnd w:id="81"/>
      <w:bookmarkEnd w:id="82"/>
      <w:bookmarkEnd w:id="83"/>
      <w:bookmarkEnd w:id="84"/>
      <w:bookmarkEnd w:id="85"/>
      <w:bookmarkEnd w:id="86"/>
    </w:p>
    <w:p w14:paraId="29385B2F" w14:textId="77777777" w:rsidR="00C94BBC" w:rsidRPr="00F4113C" w:rsidRDefault="00C94BBC" w:rsidP="00F4113C">
      <w:r w:rsidRPr="00F4113C">
        <w:t xml:space="preserve">Group 3 and Group 3 safety cohort results were overall </w:t>
      </w:r>
      <w:proofErr w:type="gramStart"/>
      <w:r w:rsidRPr="00F4113C">
        <w:t>similar to</w:t>
      </w:r>
      <w:proofErr w:type="gramEnd"/>
      <w:r w:rsidRPr="00F4113C">
        <w:t xml:space="preserve"> the primary CLD safety group.</w:t>
      </w:r>
    </w:p>
    <w:p w14:paraId="720EF57C" w14:textId="49067586" w:rsidR="00C94BBC" w:rsidRDefault="00F4113C" w:rsidP="00F4113C">
      <w:pPr>
        <w:pStyle w:val="Heading5"/>
      </w:pPr>
      <w:r>
        <w:t>Immune thrombocytopenia i</w:t>
      </w:r>
      <w:r w:rsidR="00C94BBC">
        <w:t xml:space="preserve">ndication: Group 4 </w:t>
      </w:r>
      <w:r>
        <w:t>s</w:t>
      </w:r>
      <w:r w:rsidR="00C94BBC">
        <w:t xml:space="preserve">afety </w:t>
      </w:r>
      <w:r>
        <w:t>c</w:t>
      </w:r>
      <w:r w:rsidR="00C94BBC">
        <w:t>ohort</w:t>
      </w:r>
    </w:p>
    <w:p w14:paraId="42EC86F7" w14:textId="411157EA" w:rsidR="00C94BBC" w:rsidRPr="00F4113C" w:rsidRDefault="00C94BBC" w:rsidP="00F4113C">
      <w:r w:rsidRPr="00F4113C">
        <w:t xml:space="preserve">The main safety cohort included data from 128 patients from chronic ITP </w:t>
      </w:r>
      <w:r w:rsidR="00F4113C">
        <w:t>S</w:t>
      </w:r>
      <w:r w:rsidRPr="00F4113C">
        <w:t xml:space="preserve">tudies 302, 305, 003 and 004. Also in the cohort were 22 patients who received placebo and 11 patients who received </w:t>
      </w:r>
      <w:proofErr w:type="spellStart"/>
      <w:r w:rsidRPr="00F4113C">
        <w:t>eltrombopag</w:t>
      </w:r>
      <w:proofErr w:type="spellEnd"/>
      <w:r w:rsidRPr="00F4113C">
        <w:t xml:space="preserve">. The </w:t>
      </w:r>
      <w:r w:rsidR="009E689F" w:rsidRPr="00F4113C">
        <w:t xml:space="preserve">avatrombopag </w:t>
      </w:r>
      <w:r w:rsidRPr="00F4113C">
        <w:t>dosing ranged from 2.5 to 40</w:t>
      </w:r>
      <w:r w:rsidR="00F4113C">
        <w:t> </w:t>
      </w:r>
      <w:r w:rsidRPr="00F4113C">
        <w:t>mg.</w:t>
      </w:r>
    </w:p>
    <w:p w14:paraId="07028162" w14:textId="700A7260" w:rsidR="00C94BBC" w:rsidRPr="00F4113C" w:rsidRDefault="00C94BBC" w:rsidP="00F4113C">
      <w:r w:rsidRPr="00F4113C">
        <w:t xml:space="preserve">The mean duration of treatment in the ITP studies was 206.4 (135.57) days. Comparative safety for </w:t>
      </w:r>
      <w:r w:rsidR="009E689F" w:rsidRPr="00F4113C">
        <w:t>avatrombopag</w:t>
      </w:r>
      <w:r w:rsidRPr="00F4113C">
        <w:t xml:space="preserve">, placebo and </w:t>
      </w:r>
      <w:proofErr w:type="spellStart"/>
      <w:r w:rsidRPr="00F4113C">
        <w:t>eltrombopag</w:t>
      </w:r>
      <w:proofErr w:type="spellEnd"/>
      <w:r w:rsidRPr="00F4113C">
        <w:t xml:space="preserve"> was presented using exposure-adjusted incidence rates per patient-year.</w:t>
      </w:r>
      <w:bookmarkStart w:id="87" w:name="2.5.5.3.5_Common_Treatment-Emergent_Adve"/>
      <w:bookmarkStart w:id="88" w:name="_bookmark1"/>
      <w:bookmarkEnd w:id="87"/>
      <w:bookmarkEnd w:id="88"/>
    </w:p>
    <w:p w14:paraId="062A434E" w14:textId="0B1E9A2E" w:rsidR="00C94BBC" w:rsidRDefault="00C94BBC" w:rsidP="00F4113C">
      <w:pPr>
        <w:pStyle w:val="TableTitle"/>
      </w:pPr>
      <w:r>
        <w:lastRenderedPageBreak/>
        <w:t xml:space="preserve">Table </w:t>
      </w:r>
      <w:r w:rsidR="008A4248">
        <w:fldChar w:fldCharType="begin"/>
      </w:r>
      <w:r w:rsidR="008A4248">
        <w:instrText xml:space="preserve"> SEQ Table \* ARABIC </w:instrText>
      </w:r>
      <w:r w:rsidR="008A4248">
        <w:fldChar w:fldCharType="separate"/>
      </w:r>
      <w:r w:rsidR="00197355">
        <w:rPr>
          <w:noProof/>
        </w:rPr>
        <w:t>19</w:t>
      </w:r>
      <w:r w:rsidR="008A4248">
        <w:rPr>
          <w:noProof/>
        </w:rPr>
        <w:fldChar w:fldCharType="end"/>
      </w:r>
      <w:r w:rsidR="00F4113C">
        <w:rPr>
          <w:noProof/>
        </w:rPr>
        <w:t>:</w:t>
      </w:r>
      <w:r>
        <w:t xml:space="preserve"> Group 4 </w:t>
      </w:r>
      <w:r w:rsidR="00F4113C">
        <w:t>s</w:t>
      </w:r>
      <w:r>
        <w:t xml:space="preserve">afety </w:t>
      </w:r>
      <w:r w:rsidR="00F4113C">
        <w:t>c</w:t>
      </w:r>
      <w:r>
        <w:t xml:space="preserve">ohort </w:t>
      </w:r>
      <w:r w:rsidR="00F4113C">
        <w:t>t</w:t>
      </w:r>
      <w:r>
        <w:t>reatment</w:t>
      </w:r>
      <w:r w:rsidR="00F4113C">
        <w:t>-emergent a</w:t>
      </w:r>
      <w:r>
        <w:t xml:space="preserve">dverse </w:t>
      </w:r>
      <w:r w:rsidR="00F4113C">
        <w:t>e</w:t>
      </w:r>
      <w:r>
        <w:t>vents</w:t>
      </w:r>
    </w:p>
    <w:p w14:paraId="00F86B10" w14:textId="0A147C46" w:rsidR="00F4113C" w:rsidRDefault="00F4113C" w:rsidP="008A4248">
      <w:r>
        <w:rPr>
          <w:noProof/>
        </w:rPr>
        <w:drawing>
          <wp:inline distT="0" distB="0" distL="0" distR="0" wp14:anchorId="43B3AE3A" wp14:editId="15138603">
            <wp:extent cx="5730875" cy="6303645"/>
            <wp:effectExtent l="0" t="0" r="3175" b="1905"/>
            <wp:docPr id="70" name="Picture 70" descr="Group 4 safety cohort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oup 4 safety cohort treatment-emergent adverse ev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6303645"/>
                    </a:xfrm>
                    <a:prstGeom prst="rect">
                      <a:avLst/>
                    </a:prstGeom>
                    <a:noFill/>
                  </pic:spPr>
                </pic:pic>
              </a:graphicData>
            </a:graphic>
          </wp:inline>
        </w:drawing>
      </w:r>
    </w:p>
    <w:p w14:paraId="61F9550C" w14:textId="0635C4FE" w:rsidR="00F4113C" w:rsidRPr="00F4113C" w:rsidRDefault="00F4113C" w:rsidP="00F4113C">
      <w:pPr>
        <w:pStyle w:val="TableDescription"/>
      </w:pPr>
      <w:bookmarkStart w:id="89" w:name="2.5.5.3.6_Treatment-Emergent_Adverse_Eve"/>
      <w:bookmarkEnd w:id="89"/>
      <w:r w:rsidRPr="00F4113C">
        <w:t>Abbreviations: AE = adverse event</w:t>
      </w:r>
      <w:r>
        <w:t xml:space="preserve">, </w:t>
      </w:r>
      <w:r w:rsidRPr="00F4113C">
        <w:t>AVA =</w:t>
      </w:r>
      <w:r>
        <w:t xml:space="preserve"> </w:t>
      </w:r>
      <w:r w:rsidRPr="00F4113C">
        <w:t xml:space="preserve">avatrombopag, ELT = </w:t>
      </w:r>
      <w:proofErr w:type="spellStart"/>
      <w:r w:rsidRPr="00F4113C">
        <w:t>eltrombopag</w:t>
      </w:r>
      <w:proofErr w:type="spellEnd"/>
      <w:r w:rsidRPr="00F4113C">
        <w:t>, MedDRA</w:t>
      </w:r>
      <w:r>
        <w:t> </w:t>
      </w:r>
      <w:r w:rsidRPr="00F4113C">
        <w:t>=</w:t>
      </w:r>
      <w:r>
        <w:t> </w:t>
      </w:r>
      <w:r w:rsidRPr="00F4113C">
        <w:t>Medical Dictionary for Regulatory Activities, N = total number of subjects in the sample group, n = number of subjects in individual group,</w:t>
      </w:r>
      <w:r>
        <w:t xml:space="preserve"> </w:t>
      </w:r>
      <w:r w:rsidRPr="00F4113C">
        <w:t>PBO = placebo, PT = preferred term, TEAE = treatment-emergent adverse event.</w:t>
      </w:r>
    </w:p>
    <w:p w14:paraId="7B0693BF" w14:textId="10E3C72C" w:rsidR="00C94BBC" w:rsidRPr="00F4113C" w:rsidRDefault="00C94BBC" w:rsidP="00F4113C">
      <w:pPr>
        <w:pStyle w:val="TableDescription"/>
      </w:pPr>
      <w:r w:rsidRPr="00F4113C">
        <w:t>* Exposure-adjusted incidence rate per subject-year.</w:t>
      </w:r>
    </w:p>
    <w:p w14:paraId="78E6F827" w14:textId="12AC54C3" w:rsidR="00F4113C" w:rsidRDefault="00C94BBC" w:rsidP="00F4113C">
      <w:pPr>
        <w:pStyle w:val="TableDescription"/>
      </w:pPr>
      <w:r w:rsidRPr="00F4113C">
        <w:t>A TEAE was defined as an AE that started on or after the date of first dose of study drug, up to 30</w:t>
      </w:r>
      <w:r w:rsidR="00F4113C">
        <w:t> </w:t>
      </w:r>
      <w:r w:rsidRPr="00F4113C">
        <w:t>days after the last dose of study drug.</w:t>
      </w:r>
    </w:p>
    <w:p w14:paraId="3651EB65" w14:textId="77777777" w:rsidR="00F4113C" w:rsidRDefault="00C94BBC" w:rsidP="00F4113C">
      <w:pPr>
        <w:pStyle w:val="TableDescription"/>
      </w:pPr>
      <w:r w:rsidRPr="00F4113C">
        <w:t xml:space="preserve">Subjects with </w:t>
      </w:r>
      <w:r w:rsidR="00F4113C">
        <w:t>two</w:t>
      </w:r>
      <w:r w:rsidRPr="00F4113C">
        <w:t xml:space="preserve"> or more AEs with the same PT were counted only once for that PT.</w:t>
      </w:r>
    </w:p>
    <w:p w14:paraId="465EED6A" w14:textId="7FC0633F" w:rsidR="00C94BBC" w:rsidRPr="00F4113C" w:rsidRDefault="00C94BBC" w:rsidP="00F4113C">
      <w:pPr>
        <w:pStyle w:val="TableDescription"/>
      </w:pPr>
      <w:r w:rsidRPr="00F4113C">
        <w:t>MedDRA Version 19.1.</w:t>
      </w:r>
    </w:p>
    <w:p w14:paraId="0FC07A50" w14:textId="2AF67001" w:rsidR="00C94BBC" w:rsidRPr="00F4113C" w:rsidRDefault="00C94BBC" w:rsidP="00F4113C">
      <w:pPr>
        <w:pStyle w:val="TableDescription"/>
      </w:pPr>
      <w:r w:rsidRPr="00F4113C">
        <w:t xml:space="preserve">a: N denotes all subjects in the </w:t>
      </w:r>
      <w:r w:rsidR="00F4113C">
        <w:t>c</w:t>
      </w:r>
      <w:r w:rsidRPr="00F4113C">
        <w:t xml:space="preserve">ore </w:t>
      </w:r>
      <w:r w:rsidR="00F4113C">
        <w:t>s</w:t>
      </w:r>
      <w:r w:rsidRPr="00F4113C">
        <w:t>tudy and open</w:t>
      </w:r>
      <w:r w:rsidR="00F4113C">
        <w:t xml:space="preserve"> </w:t>
      </w:r>
      <w:r w:rsidRPr="00F4113C">
        <w:t xml:space="preserve">label </w:t>
      </w:r>
      <w:r w:rsidR="00F4113C">
        <w:t>e</w:t>
      </w:r>
      <w:r w:rsidRPr="00F4113C">
        <w:t xml:space="preserve">xtension </w:t>
      </w:r>
      <w:r w:rsidR="00F4113C">
        <w:t>p</w:t>
      </w:r>
      <w:r w:rsidRPr="00F4113C">
        <w:t>hases who received avatrombopag</w:t>
      </w:r>
      <w:r w:rsidR="00F4113C" w:rsidRPr="00F4113C">
        <w:t>.</w:t>
      </w:r>
    </w:p>
    <w:p w14:paraId="66211532" w14:textId="5275939D" w:rsidR="00C94BBC" w:rsidRPr="00F4113C" w:rsidRDefault="00C94BBC" w:rsidP="00F4113C">
      <w:r w:rsidRPr="00F4113C">
        <w:t>Grade 3 or 4 TEAE</w:t>
      </w:r>
      <w:r w:rsidR="00E9222E">
        <w:t>s</w:t>
      </w:r>
      <w:r w:rsidRPr="00F4113C">
        <w:t xml:space="preserve"> occurred in 35.2% of </w:t>
      </w:r>
      <w:r w:rsidR="00E9222E">
        <w:t xml:space="preserve">the </w:t>
      </w:r>
      <w:r w:rsidR="009E689F" w:rsidRPr="00F4113C">
        <w:t xml:space="preserve">avatrombopag </w:t>
      </w:r>
      <w:r w:rsidRPr="00F4113C">
        <w:t xml:space="preserve">group, 27.3% of </w:t>
      </w:r>
      <w:r w:rsidR="00E9222E">
        <w:t xml:space="preserve">the </w:t>
      </w:r>
      <w:proofErr w:type="spellStart"/>
      <w:r w:rsidRPr="00F4113C">
        <w:t>eltrombopag</w:t>
      </w:r>
      <w:proofErr w:type="spellEnd"/>
      <w:r w:rsidRPr="00F4113C">
        <w:t xml:space="preserve"> group, and none of the placebo group. Over half (55.6%) of the Grade 3 or 4 TEAEs in </w:t>
      </w:r>
      <w:r w:rsidR="009E689F" w:rsidRPr="00F4113C">
        <w:t xml:space="preserve">avatrombopag </w:t>
      </w:r>
      <w:r w:rsidRPr="00F4113C">
        <w:t xml:space="preserve">patients were increases or decreases in platelet counts. Most individual Grade 3 or 4 TEAEs in Group 4 were reported in only </w:t>
      </w:r>
      <w:r w:rsidR="00F4113C">
        <w:t>one</w:t>
      </w:r>
      <w:r w:rsidRPr="00F4113C">
        <w:t xml:space="preserve"> patient each.</w:t>
      </w:r>
    </w:p>
    <w:p w14:paraId="1E36F99B" w14:textId="46AD18C7" w:rsidR="00C94BBC" w:rsidRPr="00154B5F" w:rsidRDefault="00C94BBC" w:rsidP="00F4113C">
      <w:pPr>
        <w:pStyle w:val="Heading6"/>
      </w:pPr>
      <w:r w:rsidRPr="00154B5F">
        <w:lastRenderedPageBreak/>
        <w:t>Treatment</w:t>
      </w:r>
      <w:r w:rsidR="00F4113C">
        <w:t>-emergent a</w:t>
      </w:r>
      <w:r w:rsidRPr="00154B5F">
        <w:t xml:space="preserve">dverse </w:t>
      </w:r>
      <w:r w:rsidR="00F4113C">
        <w:t>e</w:t>
      </w:r>
      <w:r w:rsidRPr="00154B5F">
        <w:t>vents</w:t>
      </w:r>
    </w:p>
    <w:p w14:paraId="3E126C00" w14:textId="320F597D" w:rsidR="00C94BBC" w:rsidRDefault="00C94BBC" w:rsidP="00F4113C">
      <w:pPr>
        <w:pStyle w:val="TableTitle"/>
      </w:pPr>
      <w:r>
        <w:t xml:space="preserve">Table </w:t>
      </w:r>
      <w:r w:rsidR="008A4248">
        <w:fldChar w:fldCharType="begin"/>
      </w:r>
      <w:r w:rsidR="008A4248">
        <w:instrText xml:space="preserve"> SEQ Table \* ARABIC </w:instrText>
      </w:r>
      <w:r w:rsidR="008A4248">
        <w:fldChar w:fldCharType="separate"/>
      </w:r>
      <w:r w:rsidR="00197355">
        <w:rPr>
          <w:noProof/>
        </w:rPr>
        <w:t>20</w:t>
      </w:r>
      <w:r w:rsidR="008A4248">
        <w:rPr>
          <w:noProof/>
        </w:rPr>
        <w:fldChar w:fldCharType="end"/>
      </w:r>
      <w:r w:rsidR="00F4113C">
        <w:rPr>
          <w:noProof/>
        </w:rPr>
        <w:t>:</w:t>
      </w:r>
      <w:r>
        <w:t xml:space="preserve"> Group 4 </w:t>
      </w:r>
      <w:r w:rsidR="00F4113C">
        <w:t>t</w:t>
      </w:r>
      <w:r>
        <w:t>reatment</w:t>
      </w:r>
      <w:r w:rsidR="00F4113C">
        <w:t>-emergent</w:t>
      </w:r>
      <w:r>
        <w:t xml:space="preserve"> </w:t>
      </w:r>
      <w:r w:rsidR="00F4113C">
        <w:t>a</w:t>
      </w:r>
      <w:r>
        <w:t xml:space="preserve">dverse </w:t>
      </w:r>
      <w:r w:rsidR="00F4113C">
        <w:t>e</w:t>
      </w:r>
      <w:r>
        <w:t xml:space="preserve">vent </w:t>
      </w:r>
      <w:r w:rsidR="00F4113C">
        <w:t>s</w:t>
      </w:r>
      <w:r>
        <w:t>ummary</w:t>
      </w:r>
    </w:p>
    <w:p w14:paraId="0E15FE0B" w14:textId="4480DE15" w:rsidR="00F4113C" w:rsidRDefault="00F4113C" w:rsidP="008A4248">
      <w:r>
        <w:rPr>
          <w:noProof/>
        </w:rPr>
        <w:drawing>
          <wp:inline distT="0" distB="0" distL="0" distR="0" wp14:anchorId="1ED4B129" wp14:editId="76D3D86E">
            <wp:extent cx="5720937" cy="2924175"/>
            <wp:effectExtent l="0" t="0" r="0" b="0"/>
            <wp:docPr id="71" name="Picture 71" descr="Group 4 treatment-emergent adverse ev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oup 4 treatment-emergent adverse event summary"/>
                    <pic:cNvPicPr/>
                  </pic:nvPicPr>
                  <pic:blipFill>
                    <a:blip r:embed="rId51"/>
                    <a:stretch>
                      <a:fillRect/>
                    </a:stretch>
                  </pic:blipFill>
                  <pic:spPr>
                    <a:xfrm>
                      <a:off x="0" y="0"/>
                      <a:ext cx="5732578" cy="2930125"/>
                    </a:xfrm>
                    <a:prstGeom prst="rect">
                      <a:avLst/>
                    </a:prstGeom>
                  </pic:spPr>
                </pic:pic>
              </a:graphicData>
            </a:graphic>
          </wp:inline>
        </w:drawing>
      </w:r>
    </w:p>
    <w:p w14:paraId="310CAFCE" w14:textId="464CCC55" w:rsidR="00F4113C" w:rsidRPr="00F4113C" w:rsidRDefault="00F4113C" w:rsidP="00F4113C">
      <w:pPr>
        <w:pStyle w:val="TableDescription"/>
      </w:pPr>
      <w:r w:rsidRPr="00F4113C">
        <w:t xml:space="preserve">Abbreviations: AE = adverse event, AVA = avatrombopag, CTCAE = common terminology criteria for adverse events, ELT = </w:t>
      </w:r>
      <w:proofErr w:type="spellStart"/>
      <w:r w:rsidRPr="00F4113C">
        <w:t>eltrombopag</w:t>
      </w:r>
      <w:proofErr w:type="spellEnd"/>
      <w:r w:rsidRPr="00F4113C">
        <w:t>, ITP = immune thrombocytopenia, N = total number of subjects in the sample group, n = number of subjects in individual group, PBO = placebo, SAE</w:t>
      </w:r>
      <w:r>
        <w:t> </w:t>
      </w:r>
      <w:r w:rsidRPr="00F4113C">
        <w:t>=</w:t>
      </w:r>
      <w:r>
        <w:t> </w:t>
      </w:r>
      <w:r w:rsidRPr="00F4113C">
        <w:t>serious adverse event,</w:t>
      </w:r>
      <w:r>
        <w:t xml:space="preserve"> </w:t>
      </w:r>
      <w:r w:rsidRPr="00F4113C">
        <w:t>TEAE = treatment-emergent adverse event.</w:t>
      </w:r>
    </w:p>
    <w:p w14:paraId="06BF7A90" w14:textId="3F8A207A" w:rsidR="00C94BBC" w:rsidRPr="00F4113C" w:rsidRDefault="00C94BBC" w:rsidP="00F4113C">
      <w:pPr>
        <w:pStyle w:val="TableDescription"/>
      </w:pPr>
      <w:r w:rsidRPr="00F4113C">
        <w:t>* Exposure-adjusted incidence rate per subject-year.</w:t>
      </w:r>
    </w:p>
    <w:p w14:paraId="7ACD8BE3" w14:textId="764A1B18" w:rsidR="00C94BBC" w:rsidRPr="00F4113C" w:rsidRDefault="00C94BBC" w:rsidP="00F4113C">
      <w:pPr>
        <w:pStyle w:val="TableDescription"/>
      </w:pPr>
      <w:r w:rsidRPr="00F4113C">
        <w:t>A TEAE was defined as an AE that started on or after the date of first dose of study drug, up to 30</w:t>
      </w:r>
      <w:r w:rsidR="00F4113C">
        <w:t> </w:t>
      </w:r>
      <w:r w:rsidRPr="00F4113C">
        <w:t xml:space="preserve">days after the last dose of study drug. For each row category, a subject with </w:t>
      </w:r>
      <w:r w:rsidR="00F4113C">
        <w:t>two</w:t>
      </w:r>
      <w:r w:rsidRPr="00F4113C">
        <w:t xml:space="preserve"> or more AEs in that category was counted only once.</w:t>
      </w:r>
    </w:p>
    <w:p w14:paraId="720D3EBC" w14:textId="069C400E" w:rsidR="00C94BBC" w:rsidRPr="00F4113C" w:rsidRDefault="00C94BBC" w:rsidP="00F4113C">
      <w:pPr>
        <w:pStyle w:val="TableDescription"/>
      </w:pPr>
      <w:r w:rsidRPr="00F4113C">
        <w:t xml:space="preserve">a: N denotes all subjects in the </w:t>
      </w:r>
      <w:r w:rsidR="00F4113C">
        <w:t>c</w:t>
      </w:r>
      <w:r w:rsidRPr="00F4113C">
        <w:t xml:space="preserve">ore </w:t>
      </w:r>
      <w:r w:rsidR="00F4113C">
        <w:t>s</w:t>
      </w:r>
      <w:r w:rsidRPr="00F4113C">
        <w:t>tudy and open</w:t>
      </w:r>
      <w:r w:rsidR="00F4113C">
        <w:t xml:space="preserve"> </w:t>
      </w:r>
      <w:r w:rsidRPr="00F4113C">
        <w:t xml:space="preserve">label </w:t>
      </w:r>
      <w:r w:rsidR="00F4113C">
        <w:t>e</w:t>
      </w:r>
      <w:r w:rsidRPr="00F4113C">
        <w:t xml:space="preserve">xtension </w:t>
      </w:r>
      <w:r w:rsidR="00F4113C">
        <w:t>p</w:t>
      </w:r>
      <w:r w:rsidRPr="00F4113C">
        <w:t>hase who received avatrombopag.</w:t>
      </w:r>
    </w:p>
    <w:p w14:paraId="012CB281" w14:textId="335213C2" w:rsidR="00C94BBC" w:rsidRPr="00F4113C" w:rsidRDefault="00C94BBC" w:rsidP="00F4113C">
      <w:pPr>
        <w:pStyle w:val="TableDescription"/>
      </w:pPr>
      <w:r w:rsidRPr="00F4113C">
        <w:t>b: Includes TEAEs considered by the investigator to be related to study drug or TEAEs with missing causality.</w:t>
      </w:r>
    </w:p>
    <w:p w14:paraId="2AC8AA40" w14:textId="6ECCB591" w:rsidR="00C94BBC" w:rsidRPr="00F4113C" w:rsidRDefault="00C94BBC" w:rsidP="00F4113C">
      <w:pPr>
        <w:pStyle w:val="TableDescription"/>
      </w:pPr>
      <w:r w:rsidRPr="00F4113C">
        <w:t>c: Includes all subjects with SAE resulting in death.</w:t>
      </w:r>
    </w:p>
    <w:p w14:paraId="102D5E4F" w14:textId="3787BFFC" w:rsidR="006E5CA9" w:rsidRPr="00F4113C" w:rsidRDefault="00C94BBC" w:rsidP="00F4113C">
      <w:pPr>
        <w:pStyle w:val="TableDescription"/>
      </w:pPr>
      <w:r w:rsidRPr="00F4113C">
        <w:t>d: Includes subjects with nonfatal SAEs only. If a subject had both fatal and nonfatal SAEs, the subject was counted in the previous row and was not counted in this row.</w:t>
      </w:r>
    </w:p>
    <w:p w14:paraId="3FB0DAE6" w14:textId="15FFCD32" w:rsidR="00C94BBC" w:rsidRDefault="00C94BBC" w:rsidP="00F4113C">
      <w:pPr>
        <w:pStyle w:val="TableTitle"/>
      </w:pPr>
      <w:r>
        <w:lastRenderedPageBreak/>
        <w:t xml:space="preserve">Table </w:t>
      </w:r>
      <w:r w:rsidR="008A4248">
        <w:fldChar w:fldCharType="begin"/>
      </w:r>
      <w:r w:rsidR="008A4248">
        <w:instrText xml:space="preserve"> SEQ Table \*</w:instrText>
      </w:r>
      <w:r w:rsidR="008A4248">
        <w:instrText xml:space="preserve"> ARABIC </w:instrText>
      </w:r>
      <w:r w:rsidR="008A4248">
        <w:fldChar w:fldCharType="separate"/>
      </w:r>
      <w:r w:rsidR="00197355">
        <w:rPr>
          <w:noProof/>
        </w:rPr>
        <w:t>21</w:t>
      </w:r>
      <w:r w:rsidR="008A4248">
        <w:rPr>
          <w:noProof/>
        </w:rPr>
        <w:fldChar w:fldCharType="end"/>
      </w:r>
      <w:r w:rsidR="00F4113C">
        <w:rPr>
          <w:noProof/>
        </w:rPr>
        <w:t>:</w:t>
      </w:r>
      <w:r>
        <w:t xml:space="preserve"> Group 4 </w:t>
      </w:r>
      <w:r w:rsidR="00F4113C">
        <w:t>t</w:t>
      </w:r>
      <w:r>
        <w:t>reatment</w:t>
      </w:r>
      <w:r w:rsidR="00F4113C">
        <w:t>-emergent a</w:t>
      </w:r>
      <w:r>
        <w:t xml:space="preserve">dverse </w:t>
      </w:r>
      <w:r w:rsidR="00F4113C">
        <w:t>e</w:t>
      </w:r>
      <w:r>
        <w:t xml:space="preserve">vents, by </w:t>
      </w:r>
      <w:r w:rsidR="00F4113C">
        <w:t>p</w:t>
      </w:r>
      <w:r>
        <w:t xml:space="preserve">referred </w:t>
      </w:r>
      <w:r w:rsidR="00F4113C">
        <w:t>t</w:t>
      </w:r>
      <w:r>
        <w:t>erm</w:t>
      </w:r>
    </w:p>
    <w:p w14:paraId="7D4543E5" w14:textId="6DC035C6" w:rsidR="00F4113C" w:rsidRDefault="00F4113C" w:rsidP="008A4248">
      <w:r>
        <w:rPr>
          <w:noProof/>
        </w:rPr>
        <w:drawing>
          <wp:inline distT="0" distB="0" distL="0" distR="0" wp14:anchorId="3F2BB02F" wp14:editId="77E1FCAB">
            <wp:extent cx="5759450" cy="4137660"/>
            <wp:effectExtent l="0" t="0" r="0" b="0"/>
            <wp:docPr id="72" name="Picture 72" descr="Group 4 treatment-emergent adverse event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oup 4 treatment-emergent adverse events, by preferred term"/>
                    <pic:cNvPicPr/>
                  </pic:nvPicPr>
                  <pic:blipFill>
                    <a:blip r:embed="rId52"/>
                    <a:stretch>
                      <a:fillRect/>
                    </a:stretch>
                  </pic:blipFill>
                  <pic:spPr>
                    <a:xfrm>
                      <a:off x="0" y="0"/>
                      <a:ext cx="5759450" cy="4137660"/>
                    </a:xfrm>
                    <a:prstGeom prst="rect">
                      <a:avLst/>
                    </a:prstGeom>
                  </pic:spPr>
                </pic:pic>
              </a:graphicData>
            </a:graphic>
          </wp:inline>
        </w:drawing>
      </w:r>
    </w:p>
    <w:p w14:paraId="01DBE246" w14:textId="3DD823E1" w:rsidR="00F4113C" w:rsidRDefault="00F4113C" w:rsidP="00F4113C">
      <w:pPr>
        <w:pStyle w:val="TableDescription"/>
      </w:pPr>
      <w:r>
        <w:t xml:space="preserve">Abbreviations: </w:t>
      </w:r>
      <w:r w:rsidRPr="00F4113C">
        <w:t xml:space="preserve">AE = adverse event, AVA = avatrombopag, ELT = </w:t>
      </w:r>
      <w:proofErr w:type="spellStart"/>
      <w:r w:rsidRPr="00F4113C">
        <w:t>eltrombopag</w:t>
      </w:r>
      <w:proofErr w:type="spellEnd"/>
      <w:r w:rsidRPr="00F4113C">
        <w:t>, MedDRA</w:t>
      </w:r>
      <w:r>
        <w:t> </w:t>
      </w:r>
      <w:r w:rsidRPr="00F4113C">
        <w:t>=</w:t>
      </w:r>
      <w:r>
        <w:t> </w:t>
      </w:r>
      <w:r w:rsidRPr="00F4113C">
        <w:t>Medical Dictionary for Regulatory Activities, N = total number of subjects in the sample group, n = number of subjects in individual group, PBO = placebo, PT = preferred term, TEAE = treatment-emergent adverse event.</w:t>
      </w:r>
    </w:p>
    <w:p w14:paraId="5E96A192" w14:textId="77777777" w:rsidR="00F4113C" w:rsidRDefault="00F4113C" w:rsidP="00F4113C">
      <w:pPr>
        <w:pStyle w:val="TableDescription"/>
      </w:pPr>
      <w:r>
        <w:t>* Exposure-adjusted incidence rate per subject-year.</w:t>
      </w:r>
    </w:p>
    <w:p w14:paraId="53C15746" w14:textId="22C20011" w:rsidR="00F4113C" w:rsidRDefault="00F4113C" w:rsidP="00F4113C">
      <w:pPr>
        <w:pStyle w:val="TableDescription"/>
      </w:pPr>
      <w:r>
        <w:t>A TEAE was defined as an AE that started on or after the date of first dose of study drug, up to 30 days after the last dose of study drug.</w:t>
      </w:r>
    </w:p>
    <w:p w14:paraId="3B3DEE39" w14:textId="3549BBB0" w:rsidR="00F4113C" w:rsidRDefault="00F4113C" w:rsidP="00F4113C">
      <w:pPr>
        <w:pStyle w:val="TableDescription"/>
      </w:pPr>
      <w:r>
        <w:t>Subjects with two or more AEs with the same PT were counted only once for that PT.</w:t>
      </w:r>
    </w:p>
    <w:p w14:paraId="6A672D39" w14:textId="6CF55FF4" w:rsidR="00F4113C" w:rsidRDefault="00F4113C" w:rsidP="00F4113C">
      <w:pPr>
        <w:pStyle w:val="TableDescription"/>
      </w:pPr>
      <w:r>
        <w:t>MedDRA Version 19.1.</w:t>
      </w:r>
    </w:p>
    <w:p w14:paraId="1C6EF400" w14:textId="182C240E" w:rsidR="00F4113C" w:rsidRPr="00F4113C" w:rsidRDefault="00F4113C" w:rsidP="00F4113C">
      <w:pPr>
        <w:pStyle w:val="TableDescription"/>
      </w:pPr>
      <w:r w:rsidRPr="00F4113C">
        <w:t xml:space="preserve">a: N denotes all subjects in the </w:t>
      </w:r>
      <w:r>
        <w:t>c</w:t>
      </w:r>
      <w:r w:rsidRPr="00F4113C">
        <w:t xml:space="preserve">ore </w:t>
      </w:r>
      <w:r>
        <w:t>s</w:t>
      </w:r>
      <w:r w:rsidRPr="00F4113C">
        <w:t>tudy and open</w:t>
      </w:r>
      <w:r>
        <w:t xml:space="preserve"> </w:t>
      </w:r>
      <w:r w:rsidRPr="00F4113C">
        <w:t xml:space="preserve">label </w:t>
      </w:r>
      <w:r>
        <w:t>e</w:t>
      </w:r>
      <w:r w:rsidRPr="00F4113C">
        <w:t xml:space="preserve">xtension </w:t>
      </w:r>
      <w:r>
        <w:t>p</w:t>
      </w:r>
      <w:r w:rsidRPr="00F4113C">
        <w:t>hases who received avatrombopag.</w:t>
      </w:r>
    </w:p>
    <w:p w14:paraId="3728AD82" w14:textId="239AA747" w:rsidR="00C94BBC" w:rsidRPr="00F4113C" w:rsidRDefault="00C94BBC" w:rsidP="00F4113C">
      <w:r w:rsidRPr="00F4113C">
        <w:t xml:space="preserve">Liver function abnormalities were reported in 3.9% patients in the </w:t>
      </w:r>
      <w:r w:rsidR="009E689F" w:rsidRPr="00F4113C">
        <w:t xml:space="preserve">avatrombopag </w:t>
      </w:r>
      <w:r w:rsidRPr="00F4113C">
        <w:t xml:space="preserve">group (exposure-adjusted incidence rate 0.069). The most common </w:t>
      </w:r>
      <w:r w:rsidR="00F4113C">
        <w:t>adverse event</w:t>
      </w:r>
      <w:r w:rsidR="00E9222E">
        <w:t>s</w:t>
      </w:r>
      <w:r w:rsidR="00F4113C">
        <w:t xml:space="preserve"> of special interest </w:t>
      </w:r>
      <w:r w:rsidR="00F4113C" w:rsidRPr="00E9222E">
        <w:t>(</w:t>
      </w:r>
      <w:r w:rsidRPr="00E9222E">
        <w:t>AESI</w:t>
      </w:r>
      <w:r w:rsidR="00F4113C" w:rsidRPr="00E9222E">
        <w:t>)</w:t>
      </w:r>
      <w:r w:rsidRPr="00E9222E">
        <w:t xml:space="preserve"> were</w:t>
      </w:r>
      <w:r w:rsidRPr="00F4113C">
        <w:t xml:space="preserve"> </w:t>
      </w:r>
      <w:r w:rsidR="00E9222E" w:rsidRPr="00E9222E">
        <w:t>alanine transaminase</w:t>
      </w:r>
      <w:r w:rsidRPr="00F4113C">
        <w:t xml:space="preserve"> increased (3.1%) and </w:t>
      </w:r>
      <w:r w:rsidR="00E9222E" w:rsidRPr="00E9222E">
        <w:t xml:space="preserve">aspartate aminotransferase </w:t>
      </w:r>
      <w:r w:rsidRPr="00F4113C">
        <w:t>increased (2.3%). There was no clear signal for liver toxicity. No renal safety signals were identified.</w:t>
      </w:r>
    </w:p>
    <w:p w14:paraId="2E951531" w14:textId="4DBF8E8C" w:rsidR="00C94BBC" w:rsidRPr="00F4113C" w:rsidRDefault="00C94BBC" w:rsidP="00F4113C">
      <w:r w:rsidRPr="00F4113C">
        <w:t xml:space="preserve">Hypersensitivity events occurred in 6.3% of </w:t>
      </w:r>
      <w:r w:rsidR="009E689F" w:rsidRPr="00F4113C">
        <w:t xml:space="preserve">avatrombopag </w:t>
      </w:r>
      <w:r w:rsidRPr="00F4113C">
        <w:t xml:space="preserve">patients. Most were rash, with a mean time to onset of 70 days (range 1 </w:t>
      </w:r>
      <w:r w:rsidR="00F4113C">
        <w:t>to</w:t>
      </w:r>
      <w:r w:rsidRPr="00F4113C">
        <w:t xml:space="preserve"> 191 days).</w:t>
      </w:r>
    </w:p>
    <w:p w14:paraId="285ABEC9" w14:textId="48CC6886" w:rsidR="00C94BBC" w:rsidRPr="00F4113C" w:rsidRDefault="00C94BBC" w:rsidP="00F4113C">
      <w:r w:rsidRPr="00F4113C">
        <w:t>Safety in terms of baseline demographics (age, sex, race) or disease characteristics was not evaluated in the chronic ITP studies.</w:t>
      </w:r>
    </w:p>
    <w:p w14:paraId="3C55F186" w14:textId="49F5F583" w:rsidR="00C94BBC" w:rsidRPr="001D3BC3" w:rsidRDefault="00C94BBC" w:rsidP="00F4113C">
      <w:pPr>
        <w:pStyle w:val="Heading6"/>
      </w:pPr>
      <w:r w:rsidRPr="001D3BC3">
        <w:t xml:space="preserve">Deaths and </w:t>
      </w:r>
      <w:r w:rsidR="00F4113C">
        <w:t>s</w:t>
      </w:r>
      <w:r w:rsidRPr="001D3BC3">
        <w:t xml:space="preserve">erious </w:t>
      </w:r>
      <w:r w:rsidR="00F4113C">
        <w:t>a</w:t>
      </w:r>
      <w:r w:rsidRPr="001D3BC3">
        <w:t xml:space="preserve">dverse </w:t>
      </w:r>
      <w:r w:rsidR="00F4113C">
        <w:t>e</w:t>
      </w:r>
      <w:r w:rsidRPr="001D3BC3">
        <w:t>vents</w:t>
      </w:r>
    </w:p>
    <w:p w14:paraId="481F669D" w14:textId="18CFEC2F" w:rsidR="00C94BBC" w:rsidRPr="00F4113C" w:rsidRDefault="00C94BBC" w:rsidP="00F4113C">
      <w:r w:rsidRPr="00F4113C">
        <w:t>No deaths were reported in the chronic ITP studies. The SAEs exposure-adjusted incidence rates were 0.442 v</w:t>
      </w:r>
      <w:r w:rsidR="00F4113C" w:rsidRPr="00F4113C">
        <w:t>ersus</w:t>
      </w:r>
      <w:r w:rsidRPr="00F4113C">
        <w:t xml:space="preserve"> 0.302 v</w:t>
      </w:r>
      <w:r w:rsidR="00F4113C" w:rsidRPr="00F4113C">
        <w:t>ersus</w:t>
      </w:r>
      <w:r w:rsidRPr="00F4113C">
        <w:t xml:space="preserve"> 0 for </w:t>
      </w:r>
      <w:r w:rsidR="009E689F" w:rsidRPr="00F4113C">
        <w:t xml:space="preserve">avatrombopag </w:t>
      </w:r>
      <w:r w:rsidRPr="00F4113C">
        <w:t>v</w:t>
      </w:r>
      <w:r w:rsidR="00F4113C" w:rsidRPr="00F4113C">
        <w:t>ersus</w:t>
      </w:r>
      <w:r w:rsidRPr="00F4113C">
        <w:t xml:space="preserve"> placebo v</w:t>
      </w:r>
      <w:r w:rsidR="00F4113C" w:rsidRPr="00F4113C">
        <w:t>ersus</w:t>
      </w:r>
      <w:r w:rsidRPr="00F4113C">
        <w:t xml:space="preserve"> </w:t>
      </w:r>
      <w:proofErr w:type="spellStart"/>
      <w:r w:rsidRPr="00F4113C">
        <w:t>eltrombopag</w:t>
      </w:r>
      <w:proofErr w:type="spellEnd"/>
      <w:r w:rsidRPr="00F4113C">
        <w:t xml:space="preserve"> groups. SAEs occurring in </w:t>
      </w:r>
      <w:r w:rsidR="00F4113C" w:rsidRPr="00F4113C">
        <w:t>more than</w:t>
      </w:r>
      <w:r w:rsidRPr="00F4113C">
        <w:t xml:space="preserve"> </w:t>
      </w:r>
      <w:r w:rsidR="00F4113C" w:rsidRPr="00F4113C">
        <w:t>two</w:t>
      </w:r>
      <w:r w:rsidRPr="00F4113C">
        <w:t xml:space="preserve"> patients in the </w:t>
      </w:r>
      <w:r w:rsidR="009E689F" w:rsidRPr="00F4113C">
        <w:t xml:space="preserve">avatrombopag </w:t>
      </w:r>
      <w:r w:rsidRPr="00F4113C">
        <w:t xml:space="preserve">group included </w:t>
      </w:r>
      <w:r w:rsidR="00F4113C" w:rsidRPr="00F4113C">
        <w:t>t</w:t>
      </w:r>
      <w:r w:rsidRPr="00F4113C">
        <w:t xml:space="preserve">hrombocytopenia, vomiting, nausea, headache, gastric </w:t>
      </w:r>
      <w:proofErr w:type="gramStart"/>
      <w:r w:rsidRPr="00F4113C">
        <w:t>haemorrhage</w:t>
      </w:r>
      <w:proofErr w:type="gramEnd"/>
      <w:r w:rsidRPr="00F4113C">
        <w:t xml:space="preserve"> and ITP.</w:t>
      </w:r>
    </w:p>
    <w:p w14:paraId="77B07311" w14:textId="662B036C" w:rsidR="00C94BBC" w:rsidRDefault="00C94BBC" w:rsidP="00F4113C">
      <w:pPr>
        <w:pStyle w:val="TableTitle"/>
      </w:pPr>
      <w:r>
        <w:lastRenderedPageBreak/>
        <w:t xml:space="preserve">Table </w:t>
      </w:r>
      <w:r w:rsidR="008A4248">
        <w:fldChar w:fldCharType="begin"/>
      </w:r>
      <w:r w:rsidR="008A4248">
        <w:instrText xml:space="preserve"> SEQ Table \* ARABIC </w:instrText>
      </w:r>
      <w:r w:rsidR="008A4248">
        <w:fldChar w:fldCharType="separate"/>
      </w:r>
      <w:r w:rsidR="00197355">
        <w:rPr>
          <w:noProof/>
        </w:rPr>
        <w:t>22</w:t>
      </w:r>
      <w:r w:rsidR="008A4248">
        <w:rPr>
          <w:noProof/>
        </w:rPr>
        <w:fldChar w:fldCharType="end"/>
      </w:r>
      <w:r w:rsidR="00F4113C">
        <w:rPr>
          <w:noProof/>
        </w:rPr>
        <w:t>:</w:t>
      </w:r>
      <w:r>
        <w:t xml:space="preserve"> Group 4 </w:t>
      </w:r>
      <w:r w:rsidR="00F4113C">
        <w:t>s</w:t>
      </w:r>
      <w:r>
        <w:t xml:space="preserve">afety </w:t>
      </w:r>
      <w:r w:rsidR="00F4113C">
        <w:t>c</w:t>
      </w:r>
      <w:r>
        <w:t xml:space="preserve">ohort </w:t>
      </w:r>
      <w:r w:rsidR="00F4113C">
        <w:t>s</w:t>
      </w:r>
      <w:r>
        <w:t xml:space="preserve">erious </w:t>
      </w:r>
      <w:r w:rsidR="00F4113C">
        <w:t>a</w:t>
      </w:r>
      <w:r>
        <w:t xml:space="preserve">dverse </w:t>
      </w:r>
      <w:r w:rsidR="00F4113C">
        <w:t>e</w:t>
      </w:r>
      <w:r>
        <w:t xml:space="preserve">vents in </w:t>
      </w:r>
      <w:r w:rsidR="00F4113C">
        <w:t xml:space="preserve">more than two </w:t>
      </w:r>
      <w:r>
        <w:t>patients in any treatment group (decreasing frequency)</w:t>
      </w:r>
    </w:p>
    <w:p w14:paraId="7221662D" w14:textId="1EAF4660" w:rsidR="00F4113C" w:rsidRPr="00F4113C" w:rsidRDefault="00F4113C" w:rsidP="008A4248">
      <w:r>
        <w:rPr>
          <w:noProof/>
        </w:rPr>
        <w:drawing>
          <wp:inline distT="0" distB="0" distL="0" distR="0" wp14:anchorId="452BA3F8" wp14:editId="0EE9CEAE">
            <wp:extent cx="5759450" cy="3302000"/>
            <wp:effectExtent l="0" t="0" r="0" b="0"/>
            <wp:docPr id="73" name="Picture 73" descr="Group 4 safety cohort serious adverse events in more than two patients in any treatment group (decreasing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oup 4 safety cohort serious adverse events in more than two patients in any treatment group (decreasing frequency)"/>
                    <pic:cNvPicPr/>
                  </pic:nvPicPr>
                  <pic:blipFill>
                    <a:blip r:embed="rId53"/>
                    <a:stretch>
                      <a:fillRect/>
                    </a:stretch>
                  </pic:blipFill>
                  <pic:spPr>
                    <a:xfrm>
                      <a:off x="0" y="0"/>
                      <a:ext cx="5759450" cy="3302000"/>
                    </a:xfrm>
                    <a:prstGeom prst="rect">
                      <a:avLst/>
                    </a:prstGeom>
                  </pic:spPr>
                </pic:pic>
              </a:graphicData>
            </a:graphic>
          </wp:inline>
        </w:drawing>
      </w:r>
    </w:p>
    <w:p w14:paraId="19FCFB54" w14:textId="676AD87A" w:rsidR="00F4113C" w:rsidRDefault="00F4113C" w:rsidP="00F4113C">
      <w:pPr>
        <w:pStyle w:val="TableDescription"/>
      </w:pPr>
      <w:r>
        <w:t xml:space="preserve">Abbreviations: </w:t>
      </w:r>
      <w:r w:rsidRPr="00F4113C">
        <w:t xml:space="preserve">AE = adverse events, AVA = avatrombopag, ELT = </w:t>
      </w:r>
      <w:proofErr w:type="spellStart"/>
      <w:r w:rsidRPr="00F4113C">
        <w:t>eltrombopag</w:t>
      </w:r>
      <w:proofErr w:type="spellEnd"/>
      <w:r w:rsidRPr="00F4113C">
        <w:t>, MedDRA</w:t>
      </w:r>
      <w:r>
        <w:t> </w:t>
      </w:r>
      <w:r w:rsidRPr="00F4113C">
        <w:t>=</w:t>
      </w:r>
      <w:r>
        <w:t> </w:t>
      </w:r>
      <w:r w:rsidRPr="00F4113C">
        <w:t>Medical Dictionary for Regulatory Activities, N = total number of subjects in the sample group, n = number of subjects in individual group, PBO = placebo, PT = preferred term, TEAE = treatment-emergent adverse event.</w:t>
      </w:r>
    </w:p>
    <w:p w14:paraId="0AA77A91" w14:textId="30C1E863" w:rsidR="00F4113C" w:rsidRPr="00F4113C" w:rsidRDefault="00F4113C" w:rsidP="00F4113C">
      <w:pPr>
        <w:pStyle w:val="TableDescription"/>
      </w:pPr>
      <w:r w:rsidRPr="00F4113C">
        <w:t>* Exposure-adjusted incidence rate per subject-year.</w:t>
      </w:r>
    </w:p>
    <w:p w14:paraId="5615D3A2" w14:textId="52CF5149" w:rsidR="00F4113C" w:rsidRPr="00F4113C" w:rsidRDefault="00F4113C" w:rsidP="00F4113C">
      <w:pPr>
        <w:pStyle w:val="TableDescription"/>
      </w:pPr>
      <w:r w:rsidRPr="00F4113C">
        <w:t>A TEAE was defined as an AE that started on or after the date of first dose of study drug, up to 30</w:t>
      </w:r>
      <w:r>
        <w:t> </w:t>
      </w:r>
      <w:r w:rsidRPr="00F4113C">
        <w:t>days after the last dose of study drug.</w:t>
      </w:r>
    </w:p>
    <w:p w14:paraId="1E64C838" w14:textId="7FF8D41E" w:rsidR="00F4113C" w:rsidRPr="00F4113C" w:rsidRDefault="00F4113C" w:rsidP="00F4113C">
      <w:pPr>
        <w:pStyle w:val="TableDescription"/>
      </w:pPr>
      <w:r w:rsidRPr="00F4113C">
        <w:t xml:space="preserve">Subjects with </w:t>
      </w:r>
      <w:r>
        <w:t>two</w:t>
      </w:r>
      <w:r w:rsidRPr="00F4113C">
        <w:t xml:space="preserve"> or more AEs with the same PT is counted only once for that PT.</w:t>
      </w:r>
    </w:p>
    <w:p w14:paraId="1B61C212" w14:textId="77777777" w:rsidR="00F4113C" w:rsidRPr="00F4113C" w:rsidRDefault="00F4113C" w:rsidP="00F4113C">
      <w:pPr>
        <w:pStyle w:val="TableDescription"/>
      </w:pPr>
      <w:r w:rsidRPr="00F4113C">
        <w:t>MedDRA Version 19.1.</w:t>
      </w:r>
    </w:p>
    <w:p w14:paraId="473B51CE" w14:textId="59DB0D63" w:rsidR="00C94BBC" w:rsidRPr="00F4113C" w:rsidRDefault="00F4113C" w:rsidP="00F4113C">
      <w:pPr>
        <w:pStyle w:val="TableDescription"/>
      </w:pPr>
      <w:r w:rsidRPr="00F4113C">
        <w:t xml:space="preserve">a: N denotes all subjects in the </w:t>
      </w:r>
      <w:r>
        <w:t>c</w:t>
      </w:r>
      <w:r w:rsidRPr="00F4113C">
        <w:t xml:space="preserve">ore </w:t>
      </w:r>
      <w:r>
        <w:t>s</w:t>
      </w:r>
      <w:r w:rsidRPr="00F4113C">
        <w:t>tudy and open</w:t>
      </w:r>
      <w:r>
        <w:t xml:space="preserve"> </w:t>
      </w:r>
      <w:r w:rsidRPr="00F4113C">
        <w:t xml:space="preserve">label </w:t>
      </w:r>
      <w:r>
        <w:t>e</w:t>
      </w:r>
      <w:r w:rsidRPr="00F4113C">
        <w:t xml:space="preserve">xtension </w:t>
      </w:r>
      <w:r>
        <w:t>p</w:t>
      </w:r>
      <w:r w:rsidRPr="00F4113C">
        <w:t>hases who received avatrombopag.</w:t>
      </w:r>
    </w:p>
    <w:p w14:paraId="49BE24C7" w14:textId="290FAC70" w:rsidR="00C94BBC" w:rsidRPr="00B32E22" w:rsidRDefault="00C94BBC" w:rsidP="00F4113C">
      <w:pPr>
        <w:pStyle w:val="Heading6"/>
      </w:pPr>
      <w:r w:rsidRPr="00B32E22">
        <w:t xml:space="preserve">Adverse </w:t>
      </w:r>
      <w:r w:rsidR="00F4113C">
        <w:t>e</w:t>
      </w:r>
      <w:r w:rsidRPr="00B32E22">
        <w:t xml:space="preserve">vents of </w:t>
      </w:r>
      <w:r w:rsidR="00F4113C">
        <w:t>s</w:t>
      </w:r>
      <w:r w:rsidRPr="00B32E22">
        <w:t xml:space="preserve">pecial </w:t>
      </w:r>
      <w:r w:rsidR="00F4113C">
        <w:t>i</w:t>
      </w:r>
      <w:r w:rsidRPr="00B32E22">
        <w:t>nterest</w:t>
      </w:r>
    </w:p>
    <w:p w14:paraId="1E95B113" w14:textId="483D942D" w:rsidR="00C94BBC" w:rsidRPr="00F4113C" w:rsidRDefault="00C94BBC" w:rsidP="00F4113C">
      <w:r w:rsidRPr="00F4113C">
        <w:t>The Group 4 treatment</w:t>
      </w:r>
      <w:r w:rsidR="00F4113C">
        <w:t>-</w:t>
      </w:r>
      <w:r w:rsidRPr="00F4113C">
        <w:t xml:space="preserve">emergent </w:t>
      </w:r>
      <w:r w:rsidR="00F4113C">
        <w:t>adverse events of spec</w:t>
      </w:r>
      <w:r w:rsidR="00F4113C" w:rsidRPr="00E9222E">
        <w:t>ial interest (</w:t>
      </w:r>
      <w:r w:rsidRPr="00E9222E">
        <w:t>AESI</w:t>
      </w:r>
      <w:r w:rsidR="00F4113C" w:rsidRPr="00E9222E">
        <w:t>)</w:t>
      </w:r>
      <w:r w:rsidRPr="00E9222E">
        <w:t xml:space="preserve"> included</w:t>
      </w:r>
      <w:r w:rsidRPr="00F4113C">
        <w:t xml:space="preserve"> </w:t>
      </w:r>
      <w:r w:rsidR="00F4113C">
        <w:t>r</w:t>
      </w:r>
      <w:r w:rsidRPr="00F4113C">
        <w:t xml:space="preserve">ecurrence of </w:t>
      </w:r>
      <w:r w:rsidR="00F4113C">
        <w:t>t</w:t>
      </w:r>
      <w:r w:rsidRPr="00F4113C">
        <w:t xml:space="preserve">hrombocytopenia, </w:t>
      </w:r>
      <w:r w:rsidR="00F4113C">
        <w:t>t</w:t>
      </w:r>
      <w:r w:rsidRPr="00F4113C">
        <w:t xml:space="preserve">hromboembolic </w:t>
      </w:r>
      <w:r w:rsidR="00F4113C">
        <w:t>e</w:t>
      </w:r>
      <w:r w:rsidRPr="00F4113C">
        <w:t xml:space="preserve">vents, </w:t>
      </w:r>
      <w:r w:rsidR="00F4113C">
        <w:t>b</w:t>
      </w:r>
      <w:r w:rsidRPr="00F4113C">
        <w:t xml:space="preserve">leeding </w:t>
      </w:r>
      <w:r w:rsidR="00F4113C">
        <w:t>e</w:t>
      </w:r>
      <w:r w:rsidRPr="00F4113C">
        <w:t xml:space="preserve">vents, </w:t>
      </w:r>
      <w:r w:rsidR="00F4113C">
        <w:t>n</w:t>
      </w:r>
      <w:r w:rsidRPr="00F4113C">
        <w:t xml:space="preserve">eoplastic </w:t>
      </w:r>
      <w:r w:rsidR="00F4113C">
        <w:t>e</w:t>
      </w:r>
      <w:r w:rsidRPr="00F4113C">
        <w:t xml:space="preserve">vents, and </w:t>
      </w:r>
      <w:r w:rsidR="00F4113C">
        <w:t>c</w:t>
      </w:r>
      <w:r w:rsidRPr="00F4113C">
        <w:t xml:space="preserve">linically </w:t>
      </w:r>
      <w:r w:rsidR="00F4113C">
        <w:t>s</w:t>
      </w:r>
      <w:r w:rsidRPr="00F4113C">
        <w:t xml:space="preserve">ignificant </w:t>
      </w:r>
      <w:r w:rsidR="00F4113C">
        <w:t>l</w:t>
      </w:r>
      <w:r w:rsidRPr="00F4113C">
        <w:t xml:space="preserve">iver </w:t>
      </w:r>
      <w:r w:rsidR="00F4113C">
        <w:t>t</w:t>
      </w:r>
      <w:r w:rsidRPr="00F4113C">
        <w:t xml:space="preserve">est; no treatment-emergent AESI were reported in the </w:t>
      </w:r>
      <w:r w:rsidR="00F4113C">
        <w:t>g</w:t>
      </w:r>
      <w:r w:rsidRPr="00F4113C">
        <w:t xml:space="preserve">astric </w:t>
      </w:r>
      <w:r w:rsidR="00F4113C">
        <w:t>a</w:t>
      </w:r>
      <w:r w:rsidRPr="00F4113C">
        <w:t xml:space="preserve">trophy </w:t>
      </w:r>
      <w:r w:rsidR="00F4113C">
        <w:t>e</w:t>
      </w:r>
      <w:r w:rsidRPr="00F4113C">
        <w:t xml:space="preserve">vent or </w:t>
      </w:r>
      <w:r w:rsidR="00F4113C">
        <w:t>b</w:t>
      </w:r>
      <w:r w:rsidRPr="00F4113C">
        <w:t xml:space="preserve">one </w:t>
      </w:r>
      <w:r w:rsidR="00F4113C">
        <w:t>m</w:t>
      </w:r>
      <w:r w:rsidRPr="00F4113C">
        <w:t xml:space="preserve">arrow </w:t>
      </w:r>
      <w:r w:rsidR="00F4113C">
        <w:t>p</w:t>
      </w:r>
      <w:r w:rsidRPr="00F4113C">
        <w:t>athology categories.</w:t>
      </w:r>
    </w:p>
    <w:p w14:paraId="6FB6E404" w14:textId="752D7CD1" w:rsidR="00C94BBC" w:rsidRPr="00F4113C" w:rsidRDefault="00C94BBC" w:rsidP="00F4113C">
      <w:r w:rsidRPr="00F4113C">
        <w:t xml:space="preserve">All AESIs, </w:t>
      </w:r>
      <w:proofErr w:type="gramStart"/>
      <w:r w:rsidRPr="00F4113C">
        <w:t>with the exception of</w:t>
      </w:r>
      <w:proofErr w:type="gramEnd"/>
      <w:r w:rsidRPr="00F4113C">
        <w:t xml:space="preserve"> one case of petechiae in the placebo group, occurred in the </w:t>
      </w:r>
      <w:r w:rsidR="009E689F" w:rsidRPr="00F4113C">
        <w:t xml:space="preserve">avatrombopag </w:t>
      </w:r>
      <w:r w:rsidRPr="00F4113C">
        <w:t xml:space="preserve">group. Those reported in </w:t>
      </w:r>
      <w:r w:rsidR="00F4113C">
        <w:t>more than two</w:t>
      </w:r>
      <w:r w:rsidRPr="00F4113C">
        <w:t xml:space="preserve"> patients included thrombocytopenia (8.6%), contusion (3.9%), </w:t>
      </w:r>
      <w:r w:rsidR="00E9222E" w:rsidRPr="00E9222E">
        <w:t>alanine transaminase</w:t>
      </w:r>
      <w:r w:rsidRPr="00F4113C">
        <w:t xml:space="preserve"> increase</w:t>
      </w:r>
      <w:r w:rsidR="00E9222E">
        <w:t>d</w:t>
      </w:r>
      <w:r w:rsidRPr="00F4113C">
        <w:t xml:space="preserve"> and epistaxis (3.1% each), gingival bleeding, menorrhagia, petechiae, and </w:t>
      </w:r>
      <w:r w:rsidR="00E9222E" w:rsidRPr="00E9222E">
        <w:t xml:space="preserve">aspartate aminotransferase </w:t>
      </w:r>
      <w:r w:rsidRPr="00F4113C">
        <w:t xml:space="preserve">increased (2.3% each). There was one case of myelofibrosis possibly related to study treatment in </w:t>
      </w:r>
      <w:r w:rsidR="00F4113C">
        <w:t>S</w:t>
      </w:r>
      <w:r w:rsidRPr="00F4113C">
        <w:t>tudy 302.</w:t>
      </w:r>
      <w:r w:rsidR="00F4113C">
        <w:t xml:space="preserve"> </w:t>
      </w:r>
      <w:r w:rsidRPr="00F4113C">
        <w:t xml:space="preserve">The most common bleeding events were contusion 3.9% and epistaxis 3.1%; all other events were reported by </w:t>
      </w:r>
      <w:r w:rsidR="00E9222E">
        <w:t>three</w:t>
      </w:r>
      <w:r w:rsidRPr="00F4113C">
        <w:t xml:space="preserve"> patients</w:t>
      </w:r>
      <w:r w:rsidR="00F4113C">
        <w:t xml:space="preserve"> or less</w:t>
      </w:r>
      <w:r w:rsidRPr="00F4113C">
        <w:t xml:space="preserve">. The time of onset of bleeding events was </w:t>
      </w:r>
      <w:r w:rsidR="00F4113C">
        <w:t>greater than</w:t>
      </w:r>
      <w:r w:rsidRPr="00F4113C">
        <w:t xml:space="preserve"> 26 weeks for </w:t>
      </w:r>
      <w:r w:rsidR="00F4113C">
        <w:t>one</w:t>
      </w:r>
      <w:r w:rsidRPr="00F4113C">
        <w:t xml:space="preserve"> patient, 12 to </w:t>
      </w:r>
      <w:r w:rsidR="00F4113C">
        <w:t xml:space="preserve">less than </w:t>
      </w:r>
      <w:r w:rsidRPr="00F4113C">
        <w:t xml:space="preserve">26 weeks for </w:t>
      </w:r>
      <w:r w:rsidR="00F4113C">
        <w:t>four</w:t>
      </w:r>
      <w:r w:rsidRPr="00F4113C">
        <w:t xml:space="preserve"> patients, </w:t>
      </w:r>
      <w:r w:rsidR="00F4113C">
        <w:t>4</w:t>
      </w:r>
      <w:r w:rsidRPr="00F4113C">
        <w:t xml:space="preserve"> to </w:t>
      </w:r>
      <w:r w:rsidR="00F4113C">
        <w:t>less than</w:t>
      </w:r>
      <w:r w:rsidRPr="00F4113C">
        <w:t xml:space="preserve"> 12 weeks for </w:t>
      </w:r>
      <w:r w:rsidR="00F4113C">
        <w:t>eight</w:t>
      </w:r>
      <w:r w:rsidRPr="00F4113C">
        <w:t xml:space="preserve"> patients, 1 to </w:t>
      </w:r>
      <w:r w:rsidR="00F4113C">
        <w:t>less than</w:t>
      </w:r>
      <w:r w:rsidRPr="00F4113C">
        <w:t xml:space="preserve"> 4 weeks for </w:t>
      </w:r>
      <w:r w:rsidR="00F4113C">
        <w:t xml:space="preserve">four </w:t>
      </w:r>
      <w:r w:rsidRPr="00F4113C">
        <w:t xml:space="preserve">patients, and </w:t>
      </w:r>
      <w:r w:rsidR="00F4113C">
        <w:t>less than one</w:t>
      </w:r>
      <w:r w:rsidRPr="00F4113C">
        <w:t xml:space="preserve"> week for </w:t>
      </w:r>
      <w:r w:rsidR="00F4113C">
        <w:t>one</w:t>
      </w:r>
      <w:r w:rsidRPr="00F4113C">
        <w:t xml:space="preserve"> patient.</w:t>
      </w:r>
    </w:p>
    <w:p w14:paraId="56565D8B" w14:textId="6B5C4750" w:rsidR="00C94BBC" w:rsidRPr="00F4113C" w:rsidRDefault="00C94BBC" w:rsidP="00F4113C">
      <w:r w:rsidRPr="00F4113C">
        <w:t xml:space="preserve">Recurrent or rebound thrombocytopenia was defined as a platelet count </w:t>
      </w:r>
      <w:r w:rsidR="00F4113C">
        <w:t xml:space="preserve">less than </w:t>
      </w:r>
      <w:r w:rsidRPr="00F4113C">
        <w:t>10</w:t>
      </w:r>
      <w:r w:rsidR="00F4113C">
        <w:t> </w:t>
      </w:r>
      <w:r w:rsidRPr="00F4113C">
        <w:t>×</w:t>
      </w:r>
      <w:r w:rsidR="00F4113C">
        <w:t> </w:t>
      </w:r>
      <w:r w:rsidRPr="00F4113C">
        <w:t>10</w:t>
      </w:r>
      <w:r w:rsidRPr="00F4113C">
        <w:rPr>
          <w:vertAlign w:val="superscript"/>
        </w:rPr>
        <w:t>9</w:t>
      </w:r>
      <w:r w:rsidRPr="00F4113C">
        <w:t>/L and 10</w:t>
      </w:r>
      <w:r w:rsidR="00F4113C">
        <w:t> </w:t>
      </w:r>
      <w:r w:rsidRPr="00F4113C">
        <w:t>×</w:t>
      </w:r>
      <w:r w:rsidR="00F4113C">
        <w:t> </w:t>
      </w:r>
      <w:r w:rsidRPr="00F4113C">
        <w:t>10</w:t>
      </w:r>
      <w:r w:rsidRPr="00F4113C">
        <w:rPr>
          <w:vertAlign w:val="superscript"/>
        </w:rPr>
        <w:t>9</w:t>
      </w:r>
      <w:r w:rsidRPr="00F4113C">
        <w:t xml:space="preserve">/L below </w:t>
      </w:r>
      <w:r w:rsidR="00F4113C">
        <w:t>B</w:t>
      </w:r>
      <w:r w:rsidRPr="00F4113C">
        <w:t xml:space="preserve">aseline that occurred after the stopping of study drug and up to 30 days after the last dose of study drug. Recurrence of thrombocytopenia was reported in 8.6% of the </w:t>
      </w:r>
      <w:r w:rsidR="009E689F" w:rsidRPr="00F4113C">
        <w:t xml:space="preserve">avatrombopag </w:t>
      </w:r>
      <w:r w:rsidRPr="00F4113C">
        <w:t xml:space="preserve">group (exposure-adjusted incidence rate was 0.152). Among those events the </w:t>
      </w:r>
      <w:r w:rsidRPr="00F4113C">
        <w:lastRenderedPageBreak/>
        <w:t xml:space="preserve">time of onset of was </w:t>
      </w:r>
      <w:r w:rsidR="00F4113C">
        <w:t>greater than</w:t>
      </w:r>
      <w:r w:rsidRPr="00F4113C">
        <w:t xml:space="preserve"> 26 weeks for 10 patients and 12 to </w:t>
      </w:r>
      <w:r w:rsidR="00F4113C">
        <w:t>less than</w:t>
      </w:r>
      <w:r w:rsidRPr="00F4113C">
        <w:t xml:space="preserve"> 26 weeks for one patient.</w:t>
      </w:r>
    </w:p>
    <w:p w14:paraId="4A4F9382" w14:textId="32F7B985" w:rsidR="00C94BBC" w:rsidRPr="00F4113C" w:rsidRDefault="00C94BBC" w:rsidP="00F4113C">
      <w:r w:rsidRPr="00F4113C">
        <w:t xml:space="preserve">Thromboembolic events were reported in 7% of the </w:t>
      </w:r>
      <w:r w:rsidR="009E689F" w:rsidRPr="00F4113C">
        <w:t xml:space="preserve">avatrombopag </w:t>
      </w:r>
      <w:r w:rsidRPr="00F4113C">
        <w:t>treatment group (exposure</w:t>
      </w:r>
      <w:r w:rsidR="00F4113C">
        <w:noBreakHyphen/>
      </w:r>
      <w:r w:rsidRPr="00F4113C">
        <w:t xml:space="preserve">adjusted incidence rate 0.124). Cerebrovascular accident was reported by </w:t>
      </w:r>
      <w:r w:rsidR="00F4113C">
        <w:t>two</w:t>
      </w:r>
      <w:r w:rsidRPr="00F4113C">
        <w:t xml:space="preserve"> (1.6%) patients; but no safety signal was identified. Myocardial infarction and transient </w:t>
      </w:r>
      <w:r w:rsidR="00F4113C" w:rsidRPr="00F4113C">
        <w:t>ischaemic</w:t>
      </w:r>
      <w:r w:rsidRPr="00F4113C">
        <w:t xml:space="preserve"> attack were reported as single events. The time of onset of these events was </w:t>
      </w:r>
      <w:r w:rsidR="00F4113C">
        <w:t>greater than</w:t>
      </w:r>
      <w:r w:rsidRPr="00F4113C">
        <w:t xml:space="preserve"> 26</w:t>
      </w:r>
      <w:r w:rsidR="00F4113C">
        <w:t> </w:t>
      </w:r>
      <w:r w:rsidRPr="00F4113C">
        <w:t xml:space="preserve">weeks for </w:t>
      </w:r>
      <w:r w:rsidR="00F4113C">
        <w:t>two</w:t>
      </w:r>
      <w:r w:rsidRPr="00F4113C">
        <w:t xml:space="preserve"> patients, 12 to </w:t>
      </w:r>
      <w:r w:rsidR="00F4113C">
        <w:t>less than</w:t>
      </w:r>
      <w:r w:rsidRPr="00F4113C">
        <w:t xml:space="preserve"> 26 weeks for </w:t>
      </w:r>
      <w:r w:rsidR="00F4113C">
        <w:t>four</w:t>
      </w:r>
      <w:r w:rsidRPr="00F4113C">
        <w:t xml:space="preserve"> patients, 4 to </w:t>
      </w:r>
      <w:r w:rsidR="00F4113C">
        <w:t>less than</w:t>
      </w:r>
      <w:r w:rsidRPr="00F4113C">
        <w:t xml:space="preserve"> 12 weeks for one patient, and </w:t>
      </w:r>
      <w:r w:rsidR="00F4113C">
        <w:t>one</w:t>
      </w:r>
      <w:r w:rsidRPr="00F4113C">
        <w:t xml:space="preserve"> to </w:t>
      </w:r>
      <w:r w:rsidR="00F4113C">
        <w:t>less than</w:t>
      </w:r>
      <w:r w:rsidRPr="00F4113C">
        <w:t xml:space="preserve"> 4 weeks for </w:t>
      </w:r>
      <w:r w:rsidR="00F4113C">
        <w:t>two</w:t>
      </w:r>
      <w:r w:rsidRPr="00F4113C">
        <w:t xml:space="preserve"> patients.</w:t>
      </w:r>
    </w:p>
    <w:p w14:paraId="69DABF49" w14:textId="12656B0D" w:rsidR="00C94BBC" w:rsidRPr="00F6324C" w:rsidRDefault="00C94BBC" w:rsidP="00F4113C">
      <w:pPr>
        <w:pStyle w:val="Heading5"/>
      </w:pPr>
      <w:r w:rsidRPr="00F6324C">
        <w:t>Post</w:t>
      </w:r>
      <w:r>
        <w:t xml:space="preserve"> </w:t>
      </w:r>
      <w:r w:rsidRPr="00F6324C">
        <w:t>marketing</w:t>
      </w:r>
      <w:r>
        <w:t xml:space="preserve"> </w:t>
      </w:r>
      <w:r w:rsidR="00F4113C">
        <w:t>s</w:t>
      </w:r>
      <w:r>
        <w:t>afety</w:t>
      </w:r>
    </w:p>
    <w:p w14:paraId="07E9444A" w14:textId="5A20454B" w:rsidR="00C94BBC" w:rsidRPr="004C0364" w:rsidRDefault="00C94BBC" w:rsidP="00C94BBC">
      <w:pPr>
        <w:rPr>
          <w:lang w:eastAsia="ja-JP"/>
        </w:rPr>
      </w:pPr>
      <w:r>
        <w:t>The submission included 11 periodic safety update reports. The evaluat</w:t>
      </w:r>
      <w:r w:rsidR="00F4113C">
        <w:t>ion</w:t>
      </w:r>
      <w:r>
        <w:t xml:space="preserve"> reviewed the events and found cerebral haemorrhage, portal vein thrombosis, pneumonia, febrile </w:t>
      </w:r>
      <w:proofErr w:type="gramStart"/>
      <w:r>
        <w:t>neutropenia</w:t>
      </w:r>
      <w:proofErr w:type="gramEnd"/>
      <w:r>
        <w:t xml:space="preserve"> and deaths.</w:t>
      </w:r>
    </w:p>
    <w:p w14:paraId="1AED8C86" w14:textId="7CD4304B" w:rsidR="00C94BBC" w:rsidRPr="00F4113C" w:rsidRDefault="00C94BBC" w:rsidP="00F4113C">
      <w:pPr>
        <w:pStyle w:val="Heading5"/>
      </w:pPr>
      <w:r w:rsidRPr="00F4113C">
        <w:t xml:space="preserve">Other </w:t>
      </w:r>
    </w:p>
    <w:p w14:paraId="044D39A2" w14:textId="6494E1E1" w:rsidR="00C94BBC" w:rsidRPr="00C94BBC" w:rsidRDefault="00C94BBC" w:rsidP="00C94BBC">
      <w:r w:rsidRPr="00F4113C">
        <w:t>No companion diagnostics or drug delivery systems formed part of the submission. Platelet counts were based on local laboratory results.</w:t>
      </w:r>
    </w:p>
    <w:p w14:paraId="2858B006" w14:textId="77777777" w:rsidR="00C22214" w:rsidRDefault="00C22214" w:rsidP="00C22214">
      <w:pPr>
        <w:pStyle w:val="Heading3"/>
        <w:rPr>
          <w:lang w:eastAsia="en-AU"/>
        </w:rPr>
      </w:pPr>
      <w:bookmarkStart w:id="90" w:name="_Toc314842514"/>
      <w:bookmarkStart w:id="91" w:name="_Toc103679298"/>
      <w:bookmarkStart w:id="92" w:name="_Toc158284403"/>
      <w:r>
        <w:rPr>
          <w:lang w:eastAsia="en-AU"/>
        </w:rPr>
        <w:t>Risk management plan</w:t>
      </w:r>
      <w:bookmarkEnd w:id="90"/>
      <w:bookmarkEnd w:id="91"/>
      <w:bookmarkEnd w:id="92"/>
    </w:p>
    <w:p w14:paraId="1C80C6B0" w14:textId="4417EC2A" w:rsidR="00F4113C" w:rsidRPr="00F4113C" w:rsidRDefault="00F4113C" w:rsidP="00F4113C">
      <w:bookmarkStart w:id="93" w:name="_Toc247691531"/>
      <w:bookmarkStart w:id="94" w:name="_Toc314842515"/>
      <w:r w:rsidRPr="00E9222E">
        <w:t>Swedish Orphan Biovitrum Pty Ltd has submitted European Union (EU)-risk management plan (RMP) version 2.7 (dated 10 December 2020; data lock point (DLP) 20 November 2020) and Australia-specific annex (ASA) version 1.2 (dated September 2021) in support of this application. In response to TGA questions, the sponsor has submitted ASA version 1.3 (dated May 2022) to support its application.</w:t>
      </w:r>
    </w:p>
    <w:p w14:paraId="39F3CD1D" w14:textId="40A84A94"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197355" w:rsidRPr="00197355">
        <w:rPr>
          <w:szCs w:val="22"/>
        </w:rPr>
        <w:t xml:space="preserve">Table </w:t>
      </w:r>
      <w:r w:rsidR="00197355" w:rsidRPr="00197355">
        <w:rPr>
          <w:noProof/>
          <w:szCs w:val="22"/>
        </w:rPr>
        <w:t>23</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F4113C">
        <w:rPr>
          <w:szCs w:val="22"/>
        </w:rPr>
        <w:t xml:space="preserve"> </w:t>
      </w:r>
      <w:r w:rsidR="0072003B" w:rsidRPr="00BD5DBD">
        <w:rPr>
          <w:szCs w:val="22"/>
        </w:rPr>
        <w:t>cycle, during both the pre-approval and post-approval phases.</w:t>
      </w:r>
    </w:p>
    <w:p w14:paraId="56B51A93" w14:textId="6E3B6255" w:rsidR="006A277A" w:rsidRDefault="00C22214" w:rsidP="00C22214">
      <w:pPr>
        <w:pStyle w:val="TableTitle"/>
      </w:pPr>
      <w:bookmarkStart w:id="95" w:name="_Ref97629131"/>
      <w:r>
        <w:t xml:space="preserve">Table </w:t>
      </w:r>
      <w:r w:rsidR="008A4248">
        <w:fldChar w:fldCharType="begin"/>
      </w:r>
      <w:r w:rsidR="008A4248">
        <w:instrText xml:space="preserve"> SEQ Table \* ARABIC </w:instrText>
      </w:r>
      <w:r w:rsidR="008A4248">
        <w:fldChar w:fldCharType="separate"/>
      </w:r>
      <w:r w:rsidR="00197355">
        <w:rPr>
          <w:noProof/>
        </w:rPr>
        <w:t>23</w:t>
      </w:r>
      <w:r w:rsidR="008A4248">
        <w:rPr>
          <w:noProof/>
        </w:rPr>
        <w:fldChar w:fldCharType="end"/>
      </w:r>
      <w:bookmarkEnd w:id="95"/>
      <w:r>
        <w:t>: Summary of safety concerns</w:t>
      </w:r>
    </w:p>
    <w:tbl>
      <w:tblPr>
        <w:tblStyle w:val="TableGrid"/>
        <w:tblW w:w="9195"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1559"/>
        <w:gridCol w:w="3894"/>
        <w:gridCol w:w="851"/>
        <w:gridCol w:w="1020"/>
        <w:gridCol w:w="823"/>
        <w:gridCol w:w="1048"/>
      </w:tblGrid>
      <w:tr w:rsidR="00F4113C" w:rsidRPr="00BF52F4" w14:paraId="4C058508" w14:textId="77777777" w:rsidTr="00F4113C">
        <w:trPr>
          <w:trHeight w:val="131"/>
          <w:jc w:val="center"/>
        </w:trPr>
        <w:tc>
          <w:tcPr>
            <w:tcW w:w="5453" w:type="dxa"/>
            <w:gridSpan w:val="2"/>
            <w:vMerge w:val="restart"/>
            <w:tcBorders>
              <w:top w:val="single" w:sz="8" w:space="0" w:color="auto"/>
              <w:right w:val="single" w:sz="4" w:space="0" w:color="auto"/>
            </w:tcBorders>
            <w:shd w:val="clear" w:color="auto" w:fill="006DA7"/>
          </w:tcPr>
          <w:p w14:paraId="18C54872" w14:textId="77777777" w:rsidR="00F4113C" w:rsidRPr="00F4113C" w:rsidRDefault="00F4113C" w:rsidP="00687A46">
            <w:pPr>
              <w:pStyle w:val="Tabletext0"/>
              <w:rPr>
                <w:b/>
                <w:color w:val="FFFFFF" w:themeColor="background1"/>
                <w:kern w:val="0"/>
              </w:rPr>
            </w:pPr>
            <w:bookmarkStart w:id="96" w:name="_Hlk153270565"/>
            <w:r w:rsidRPr="00F4113C">
              <w:rPr>
                <w:b/>
                <w:color w:val="FFFFFF" w:themeColor="background1"/>
                <w:kern w:val="0"/>
              </w:rPr>
              <w:t>Summary of safety concerns</w:t>
            </w:r>
          </w:p>
        </w:tc>
        <w:tc>
          <w:tcPr>
            <w:tcW w:w="1871" w:type="dxa"/>
            <w:gridSpan w:val="2"/>
            <w:tcBorders>
              <w:top w:val="single" w:sz="8" w:space="0" w:color="auto"/>
              <w:left w:val="single" w:sz="4" w:space="0" w:color="auto"/>
              <w:bottom w:val="single" w:sz="4" w:space="0" w:color="auto"/>
            </w:tcBorders>
            <w:shd w:val="clear" w:color="auto" w:fill="006DA7"/>
          </w:tcPr>
          <w:p w14:paraId="6378F6F5" w14:textId="77777777" w:rsidR="00F4113C" w:rsidRPr="00F4113C" w:rsidRDefault="00F4113C" w:rsidP="00687A46">
            <w:pPr>
              <w:pStyle w:val="Tabletext0"/>
              <w:rPr>
                <w:b/>
                <w:color w:val="FFFFFF" w:themeColor="background1"/>
                <w:kern w:val="0"/>
                <w:sz w:val="18"/>
              </w:rPr>
            </w:pPr>
            <w:r w:rsidRPr="00F4113C">
              <w:rPr>
                <w:b/>
                <w:color w:val="FFFFFF" w:themeColor="background1"/>
                <w:kern w:val="0"/>
                <w:sz w:val="18"/>
              </w:rPr>
              <w:t>Pharmacovigilance</w:t>
            </w:r>
          </w:p>
        </w:tc>
        <w:tc>
          <w:tcPr>
            <w:tcW w:w="1871" w:type="dxa"/>
            <w:gridSpan w:val="2"/>
            <w:tcBorders>
              <w:top w:val="single" w:sz="8" w:space="0" w:color="auto"/>
              <w:left w:val="single" w:sz="4" w:space="0" w:color="auto"/>
              <w:bottom w:val="single" w:sz="4" w:space="0" w:color="auto"/>
            </w:tcBorders>
            <w:shd w:val="clear" w:color="auto" w:fill="006DA7"/>
          </w:tcPr>
          <w:p w14:paraId="32A70207" w14:textId="77777777" w:rsidR="00F4113C" w:rsidRPr="00F4113C" w:rsidRDefault="00F4113C" w:rsidP="00687A46">
            <w:pPr>
              <w:pStyle w:val="Tabletext0"/>
              <w:rPr>
                <w:b/>
                <w:color w:val="FFFFFF" w:themeColor="background1"/>
                <w:kern w:val="0"/>
                <w:sz w:val="18"/>
              </w:rPr>
            </w:pPr>
            <w:r w:rsidRPr="00F4113C">
              <w:rPr>
                <w:b/>
                <w:color w:val="FFFFFF" w:themeColor="background1"/>
                <w:kern w:val="0"/>
                <w:sz w:val="18"/>
              </w:rPr>
              <w:t>Risk Minimisation</w:t>
            </w:r>
          </w:p>
        </w:tc>
      </w:tr>
      <w:tr w:rsidR="00F4113C" w:rsidRPr="00BF52F4" w14:paraId="19035984" w14:textId="77777777" w:rsidTr="00F4113C">
        <w:trPr>
          <w:trHeight w:val="150"/>
          <w:jc w:val="center"/>
        </w:trPr>
        <w:tc>
          <w:tcPr>
            <w:tcW w:w="5453" w:type="dxa"/>
            <w:gridSpan w:val="2"/>
            <w:vMerge/>
            <w:tcBorders>
              <w:bottom w:val="single" w:sz="8" w:space="0" w:color="auto"/>
              <w:right w:val="single" w:sz="4" w:space="0" w:color="auto"/>
            </w:tcBorders>
            <w:shd w:val="clear" w:color="auto" w:fill="006DA7"/>
          </w:tcPr>
          <w:p w14:paraId="0ACD707B" w14:textId="77777777" w:rsidR="00F4113C" w:rsidRPr="00F4113C" w:rsidRDefault="00F4113C" w:rsidP="00687A46">
            <w:pPr>
              <w:pStyle w:val="Tabletext0"/>
              <w:rPr>
                <w:b/>
                <w:color w:val="FFFFFF" w:themeColor="background1"/>
                <w:kern w:val="0"/>
              </w:rPr>
            </w:pPr>
          </w:p>
        </w:tc>
        <w:tc>
          <w:tcPr>
            <w:tcW w:w="851" w:type="dxa"/>
            <w:tcBorders>
              <w:top w:val="single" w:sz="4" w:space="0" w:color="auto"/>
              <w:left w:val="single" w:sz="4" w:space="0" w:color="auto"/>
              <w:bottom w:val="single" w:sz="8" w:space="0" w:color="auto"/>
              <w:right w:val="dotted" w:sz="2" w:space="0" w:color="auto"/>
            </w:tcBorders>
            <w:shd w:val="clear" w:color="auto" w:fill="006DA7"/>
          </w:tcPr>
          <w:p w14:paraId="0660D9BB" w14:textId="77777777" w:rsidR="00F4113C" w:rsidRPr="00F4113C" w:rsidRDefault="00F4113C" w:rsidP="00687A46">
            <w:pPr>
              <w:pStyle w:val="Tabletext0"/>
              <w:rPr>
                <w:color w:val="FFFFFF" w:themeColor="background1"/>
                <w:kern w:val="0"/>
                <w:sz w:val="18"/>
              </w:rPr>
            </w:pPr>
            <w:r w:rsidRPr="00F4113C">
              <w:rPr>
                <w:color w:val="FFFFFF" w:themeColor="background1"/>
                <w:kern w:val="0"/>
                <w:sz w:val="18"/>
              </w:rPr>
              <w:t>Routine</w:t>
            </w:r>
          </w:p>
        </w:tc>
        <w:tc>
          <w:tcPr>
            <w:tcW w:w="1020" w:type="dxa"/>
            <w:tcBorders>
              <w:top w:val="single" w:sz="4" w:space="0" w:color="auto"/>
              <w:left w:val="dotted" w:sz="2" w:space="0" w:color="auto"/>
              <w:bottom w:val="single" w:sz="8" w:space="0" w:color="auto"/>
            </w:tcBorders>
            <w:shd w:val="clear" w:color="auto" w:fill="006DA7"/>
          </w:tcPr>
          <w:p w14:paraId="4C8D9381" w14:textId="77777777" w:rsidR="00F4113C" w:rsidRPr="00F4113C" w:rsidRDefault="00F4113C" w:rsidP="00687A46">
            <w:pPr>
              <w:pStyle w:val="Tabletext0"/>
              <w:rPr>
                <w:color w:val="FFFFFF" w:themeColor="background1"/>
                <w:kern w:val="0"/>
                <w:sz w:val="18"/>
              </w:rPr>
            </w:pPr>
            <w:r w:rsidRPr="00F4113C">
              <w:rPr>
                <w:color w:val="FFFFFF" w:themeColor="background1"/>
                <w:kern w:val="0"/>
                <w:sz w:val="18"/>
              </w:rPr>
              <w:t>Additional</w:t>
            </w:r>
          </w:p>
        </w:tc>
        <w:tc>
          <w:tcPr>
            <w:tcW w:w="823" w:type="dxa"/>
            <w:tcBorders>
              <w:top w:val="single" w:sz="4" w:space="0" w:color="auto"/>
              <w:left w:val="single" w:sz="4" w:space="0" w:color="auto"/>
              <w:bottom w:val="single" w:sz="8" w:space="0" w:color="auto"/>
              <w:right w:val="dotted" w:sz="2" w:space="0" w:color="auto"/>
            </w:tcBorders>
            <w:shd w:val="clear" w:color="auto" w:fill="006DA7"/>
          </w:tcPr>
          <w:p w14:paraId="6E609B05" w14:textId="77777777" w:rsidR="00F4113C" w:rsidRPr="00F4113C" w:rsidRDefault="00F4113C" w:rsidP="00687A46">
            <w:pPr>
              <w:pStyle w:val="Tabletext0"/>
              <w:rPr>
                <w:color w:val="FFFFFF" w:themeColor="background1"/>
                <w:kern w:val="0"/>
                <w:sz w:val="18"/>
              </w:rPr>
            </w:pPr>
            <w:r w:rsidRPr="00F4113C">
              <w:rPr>
                <w:color w:val="FFFFFF" w:themeColor="background1"/>
                <w:kern w:val="0"/>
                <w:sz w:val="18"/>
              </w:rPr>
              <w:t>Routine</w:t>
            </w:r>
          </w:p>
        </w:tc>
        <w:tc>
          <w:tcPr>
            <w:tcW w:w="1048" w:type="dxa"/>
            <w:tcBorders>
              <w:top w:val="single" w:sz="4" w:space="0" w:color="auto"/>
              <w:left w:val="dotted" w:sz="2" w:space="0" w:color="auto"/>
              <w:bottom w:val="single" w:sz="8" w:space="0" w:color="auto"/>
            </w:tcBorders>
            <w:shd w:val="clear" w:color="auto" w:fill="006DA7"/>
          </w:tcPr>
          <w:p w14:paraId="0B2802E2" w14:textId="77777777" w:rsidR="00F4113C" w:rsidRPr="00F4113C" w:rsidRDefault="00F4113C" w:rsidP="00687A46">
            <w:pPr>
              <w:pStyle w:val="Tabletext0"/>
              <w:rPr>
                <w:color w:val="FFFFFF" w:themeColor="background1"/>
                <w:kern w:val="0"/>
                <w:sz w:val="18"/>
              </w:rPr>
            </w:pPr>
            <w:r w:rsidRPr="00F4113C">
              <w:rPr>
                <w:color w:val="FFFFFF" w:themeColor="background1"/>
                <w:kern w:val="0"/>
                <w:sz w:val="18"/>
              </w:rPr>
              <w:t>Additional</w:t>
            </w:r>
          </w:p>
        </w:tc>
      </w:tr>
      <w:tr w:rsidR="00F4113C" w:rsidRPr="00BF52F4" w14:paraId="72EBB051" w14:textId="77777777" w:rsidTr="00F4113C">
        <w:trPr>
          <w:trHeight w:val="137"/>
          <w:jc w:val="center"/>
        </w:trPr>
        <w:tc>
          <w:tcPr>
            <w:tcW w:w="1559" w:type="dxa"/>
            <w:vMerge w:val="restart"/>
            <w:tcBorders>
              <w:top w:val="single" w:sz="8" w:space="0" w:color="auto"/>
            </w:tcBorders>
          </w:tcPr>
          <w:p w14:paraId="308DE662" w14:textId="77777777" w:rsidR="00F4113C" w:rsidRPr="00BF52F4" w:rsidRDefault="00F4113C" w:rsidP="00687A46">
            <w:pPr>
              <w:pStyle w:val="Tabletext0"/>
              <w:rPr>
                <w:b/>
                <w:kern w:val="0"/>
              </w:rPr>
            </w:pPr>
            <w:r w:rsidRPr="00BF52F4">
              <w:rPr>
                <w:b/>
                <w:kern w:val="0"/>
              </w:rPr>
              <w:t>Important identified risks</w:t>
            </w:r>
          </w:p>
        </w:tc>
        <w:tc>
          <w:tcPr>
            <w:tcW w:w="3894" w:type="dxa"/>
            <w:tcBorders>
              <w:top w:val="single" w:sz="8" w:space="0" w:color="auto"/>
              <w:bottom w:val="dotted" w:sz="2" w:space="0" w:color="auto"/>
              <w:right w:val="single" w:sz="4" w:space="0" w:color="auto"/>
            </w:tcBorders>
          </w:tcPr>
          <w:p w14:paraId="4ECC17BD" w14:textId="77777777" w:rsidR="00F4113C" w:rsidRPr="00BF52F4" w:rsidRDefault="00F4113C" w:rsidP="00687A46">
            <w:pPr>
              <w:pStyle w:val="Tabletext0"/>
              <w:rPr>
                <w:kern w:val="0"/>
              </w:rPr>
            </w:pPr>
            <w:r w:rsidRPr="00650BF9">
              <w:rPr>
                <w:kern w:val="0"/>
              </w:rPr>
              <w:t>Thrombotic/thromboembolic events</w:t>
            </w:r>
          </w:p>
        </w:tc>
        <w:tc>
          <w:tcPr>
            <w:tcW w:w="851" w:type="dxa"/>
            <w:tcBorders>
              <w:top w:val="single" w:sz="8" w:space="0" w:color="auto"/>
              <w:left w:val="single" w:sz="4" w:space="0" w:color="auto"/>
              <w:bottom w:val="dotted" w:sz="2" w:space="0" w:color="auto"/>
              <w:right w:val="dotted" w:sz="2" w:space="0" w:color="auto"/>
            </w:tcBorders>
            <w:vAlign w:val="center"/>
          </w:tcPr>
          <w:p w14:paraId="06B79B36" w14:textId="77777777" w:rsidR="00F4113C" w:rsidRPr="00CD603C" w:rsidRDefault="00F4113C" w:rsidP="00687A46">
            <w:pPr>
              <w:pStyle w:val="Tabletext0"/>
              <w:jc w:val="center"/>
              <w:rPr>
                <w:kern w:val="0"/>
              </w:rPr>
            </w:pPr>
            <w:r w:rsidRPr="00CD603C">
              <w:rPr>
                <w:kern w:val="0"/>
              </w:rPr>
              <w:sym w:font="Wingdings" w:char="F0FC"/>
            </w:r>
            <w:r>
              <w:rPr>
                <w:kern w:val="0"/>
              </w:rPr>
              <w:t>*</w:t>
            </w:r>
          </w:p>
        </w:tc>
        <w:tc>
          <w:tcPr>
            <w:tcW w:w="1020" w:type="dxa"/>
            <w:tcBorders>
              <w:top w:val="single" w:sz="8" w:space="0" w:color="auto"/>
              <w:left w:val="dotted" w:sz="2" w:space="0" w:color="auto"/>
              <w:bottom w:val="dotted" w:sz="2" w:space="0" w:color="auto"/>
            </w:tcBorders>
            <w:vAlign w:val="center"/>
          </w:tcPr>
          <w:p w14:paraId="4CCA0929" w14:textId="77777777" w:rsidR="00F4113C" w:rsidRPr="005D525B" w:rsidRDefault="00F4113C" w:rsidP="00687A46">
            <w:pPr>
              <w:pStyle w:val="Tabletext0"/>
              <w:jc w:val="center"/>
              <w:rPr>
                <w:kern w:val="0"/>
              </w:rPr>
            </w:pPr>
            <w:r w:rsidRPr="005D525B">
              <w:rPr>
                <w:kern w:val="0"/>
              </w:rPr>
              <w:sym w:font="Wingdings" w:char="F0FC"/>
            </w:r>
            <w:r w:rsidRPr="005D525B">
              <w:rPr>
                <w:rFonts w:asciiTheme="majorHAnsi" w:hAnsiTheme="majorHAnsi"/>
                <w:kern w:val="0"/>
                <w:szCs w:val="20"/>
              </w:rPr>
              <w:t>‡</w:t>
            </w:r>
          </w:p>
        </w:tc>
        <w:tc>
          <w:tcPr>
            <w:tcW w:w="823" w:type="dxa"/>
            <w:tcBorders>
              <w:top w:val="single" w:sz="8" w:space="0" w:color="auto"/>
              <w:left w:val="single" w:sz="4" w:space="0" w:color="auto"/>
              <w:bottom w:val="dotted" w:sz="2" w:space="0" w:color="auto"/>
              <w:right w:val="dotted" w:sz="2" w:space="0" w:color="auto"/>
            </w:tcBorders>
            <w:vAlign w:val="center"/>
          </w:tcPr>
          <w:p w14:paraId="7DCE399D" w14:textId="77777777" w:rsidR="00F4113C" w:rsidRPr="00CD603C" w:rsidRDefault="00F4113C" w:rsidP="00687A46">
            <w:pPr>
              <w:pStyle w:val="Tabletext0"/>
              <w:jc w:val="center"/>
              <w:rPr>
                <w:kern w:val="0"/>
              </w:rPr>
            </w:pPr>
            <w:r w:rsidRPr="00CD603C">
              <w:rPr>
                <w:kern w:val="0"/>
              </w:rPr>
              <w:sym w:font="Wingdings" w:char="F0FC"/>
            </w:r>
          </w:p>
        </w:tc>
        <w:tc>
          <w:tcPr>
            <w:tcW w:w="1048" w:type="dxa"/>
            <w:tcBorders>
              <w:top w:val="single" w:sz="8" w:space="0" w:color="auto"/>
              <w:left w:val="dotted" w:sz="2" w:space="0" w:color="auto"/>
              <w:bottom w:val="dotted" w:sz="2" w:space="0" w:color="auto"/>
            </w:tcBorders>
            <w:vAlign w:val="center"/>
          </w:tcPr>
          <w:p w14:paraId="6B85466D" w14:textId="77777777" w:rsidR="00F4113C" w:rsidRPr="00CD603C" w:rsidRDefault="00F4113C" w:rsidP="00687A46">
            <w:pPr>
              <w:pStyle w:val="Tabletext0"/>
              <w:jc w:val="center"/>
              <w:rPr>
                <w:kern w:val="0"/>
              </w:rPr>
            </w:pPr>
            <w:r w:rsidRPr="00CD603C">
              <w:rPr>
                <w:kern w:val="0"/>
              </w:rPr>
              <w:t>–</w:t>
            </w:r>
          </w:p>
        </w:tc>
      </w:tr>
      <w:tr w:rsidR="00F4113C" w:rsidRPr="00BF52F4" w14:paraId="4BC2E347" w14:textId="77777777" w:rsidTr="00F4113C">
        <w:trPr>
          <w:trHeight w:val="187"/>
          <w:jc w:val="center"/>
        </w:trPr>
        <w:tc>
          <w:tcPr>
            <w:tcW w:w="1559" w:type="dxa"/>
            <w:vMerge/>
          </w:tcPr>
          <w:p w14:paraId="56D802D8" w14:textId="77777777" w:rsidR="00F4113C" w:rsidRPr="00BF52F4" w:rsidRDefault="00F4113C" w:rsidP="00687A46">
            <w:pPr>
              <w:pStyle w:val="Tabletext0"/>
              <w:rPr>
                <w:b/>
                <w:kern w:val="0"/>
              </w:rPr>
            </w:pPr>
          </w:p>
        </w:tc>
        <w:tc>
          <w:tcPr>
            <w:tcW w:w="3894" w:type="dxa"/>
            <w:tcBorders>
              <w:top w:val="dotted" w:sz="2" w:space="0" w:color="auto"/>
              <w:right w:val="single" w:sz="4" w:space="0" w:color="auto"/>
            </w:tcBorders>
          </w:tcPr>
          <w:p w14:paraId="37F1F634" w14:textId="77777777" w:rsidR="00F4113C" w:rsidRPr="00BF52F4" w:rsidRDefault="00F4113C" w:rsidP="00687A46">
            <w:pPr>
              <w:pStyle w:val="Tabletext0"/>
              <w:rPr>
                <w:kern w:val="0"/>
              </w:rPr>
            </w:pPr>
            <w:r w:rsidRPr="00650BF9">
              <w:rPr>
                <w:kern w:val="0"/>
              </w:rPr>
              <w:t>Bone marrow fibrosis related to long-term and repeat use</w:t>
            </w:r>
          </w:p>
        </w:tc>
        <w:tc>
          <w:tcPr>
            <w:tcW w:w="851" w:type="dxa"/>
            <w:tcBorders>
              <w:top w:val="dotted" w:sz="2" w:space="0" w:color="auto"/>
              <w:left w:val="single" w:sz="4" w:space="0" w:color="auto"/>
              <w:right w:val="dotted" w:sz="2" w:space="0" w:color="auto"/>
            </w:tcBorders>
            <w:vAlign w:val="center"/>
          </w:tcPr>
          <w:p w14:paraId="587F0BA5" w14:textId="77777777" w:rsidR="00F4113C" w:rsidRPr="00CD603C" w:rsidRDefault="00F4113C" w:rsidP="00687A46">
            <w:pPr>
              <w:pStyle w:val="Tabletext0"/>
              <w:jc w:val="center"/>
              <w:rPr>
                <w:kern w:val="0"/>
              </w:rPr>
            </w:pPr>
            <w:r w:rsidRPr="00CD603C">
              <w:rPr>
                <w:kern w:val="0"/>
              </w:rPr>
              <w:sym w:font="Wingdings" w:char="F0FC"/>
            </w:r>
          </w:p>
        </w:tc>
        <w:tc>
          <w:tcPr>
            <w:tcW w:w="1020" w:type="dxa"/>
            <w:tcBorders>
              <w:top w:val="dotted" w:sz="2" w:space="0" w:color="auto"/>
              <w:left w:val="dotted" w:sz="2" w:space="0" w:color="auto"/>
            </w:tcBorders>
            <w:vAlign w:val="center"/>
          </w:tcPr>
          <w:p w14:paraId="1CEEA238" w14:textId="77777777" w:rsidR="00F4113C" w:rsidRPr="005D525B" w:rsidRDefault="00F4113C" w:rsidP="00687A46">
            <w:pPr>
              <w:pStyle w:val="Tabletext0"/>
              <w:jc w:val="center"/>
              <w:rPr>
                <w:kern w:val="0"/>
              </w:rPr>
            </w:pPr>
            <w:r w:rsidRPr="005D525B">
              <w:rPr>
                <w:kern w:val="0"/>
              </w:rPr>
              <w:sym w:font="Wingdings" w:char="F0FC"/>
            </w:r>
            <w:r w:rsidRPr="005D525B">
              <w:rPr>
                <w:rFonts w:asciiTheme="majorHAnsi" w:hAnsiTheme="majorHAnsi"/>
                <w:kern w:val="0"/>
                <w:szCs w:val="20"/>
              </w:rPr>
              <w:t>‡</w:t>
            </w:r>
          </w:p>
        </w:tc>
        <w:tc>
          <w:tcPr>
            <w:tcW w:w="823" w:type="dxa"/>
            <w:tcBorders>
              <w:top w:val="dotted" w:sz="2" w:space="0" w:color="auto"/>
              <w:left w:val="single" w:sz="4" w:space="0" w:color="auto"/>
              <w:right w:val="dotted" w:sz="2" w:space="0" w:color="auto"/>
            </w:tcBorders>
            <w:vAlign w:val="center"/>
          </w:tcPr>
          <w:p w14:paraId="09D1F9B1" w14:textId="77777777" w:rsidR="00F4113C" w:rsidRPr="00CD603C" w:rsidRDefault="00F4113C" w:rsidP="00687A46">
            <w:pPr>
              <w:pStyle w:val="Tabletext0"/>
              <w:jc w:val="center"/>
              <w:rPr>
                <w:kern w:val="0"/>
              </w:rPr>
            </w:pPr>
            <w:r w:rsidRPr="00CD603C">
              <w:rPr>
                <w:kern w:val="0"/>
              </w:rPr>
              <w:sym w:font="Wingdings" w:char="F0FC"/>
            </w:r>
          </w:p>
        </w:tc>
        <w:tc>
          <w:tcPr>
            <w:tcW w:w="1048" w:type="dxa"/>
            <w:tcBorders>
              <w:top w:val="dotted" w:sz="2" w:space="0" w:color="auto"/>
              <w:left w:val="dotted" w:sz="2" w:space="0" w:color="auto"/>
            </w:tcBorders>
            <w:vAlign w:val="center"/>
          </w:tcPr>
          <w:p w14:paraId="5764A961" w14:textId="77777777" w:rsidR="00F4113C" w:rsidRPr="00CD603C" w:rsidRDefault="00F4113C" w:rsidP="00687A46">
            <w:pPr>
              <w:pStyle w:val="Tabletext0"/>
              <w:jc w:val="center"/>
              <w:rPr>
                <w:kern w:val="0"/>
              </w:rPr>
            </w:pPr>
            <w:r w:rsidRPr="00CD603C">
              <w:rPr>
                <w:kern w:val="0"/>
              </w:rPr>
              <w:t>–</w:t>
            </w:r>
          </w:p>
        </w:tc>
      </w:tr>
      <w:tr w:rsidR="00F4113C" w:rsidRPr="00BF52F4" w14:paraId="5D556E6E" w14:textId="77777777" w:rsidTr="00F4113C">
        <w:trPr>
          <w:trHeight w:val="159"/>
          <w:jc w:val="center"/>
        </w:trPr>
        <w:tc>
          <w:tcPr>
            <w:tcW w:w="1559" w:type="dxa"/>
            <w:vMerge w:val="restart"/>
          </w:tcPr>
          <w:p w14:paraId="0E95E9FF" w14:textId="77777777" w:rsidR="00F4113C" w:rsidRPr="00BF52F4" w:rsidRDefault="00F4113C" w:rsidP="00687A46">
            <w:pPr>
              <w:pStyle w:val="Tabletext0"/>
              <w:rPr>
                <w:b/>
                <w:kern w:val="0"/>
              </w:rPr>
            </w:pPr>
            <w:r w:rsidRPr="00BF52F4">
              <w:rPr>
                <w:b/>
                <w:kern w:val="0"/>
              </w:rPr>
              <w:t>Important potential risks</w:t>
            </w:r>
          </w:p>
        </w:tc>
        <w:tc>
          <w:tcPr>
            <w:tcW w:w="3894" w:type="dxa"/>
            <w:tcBorders>
              <w:bottom w:val="dotted" w:sz="2" w:space="0" w:color="auto"/>
              <w:right w:val="single" w:sz="4" w:space="0" w:color="auto"/>
            </w:tcBorders>
          </w:tcPr>
          <w:p w14:paraId="283E8EE4" w14:textId="77777777" w:rsidR="00F4113C" w:rsidRPr="00BF52F4" w:rsidRDefault="00F4113C" w:rsidP="00687A46">
            <w:pPr>
              <w:pStyle w:val="Tabletext0"/>
              <w:rPr>
                <w:kern w:val="0"/>
              </w:rPr>
            </w:pPr>
            <w:r w:rsidRPr="00650BF9">
              <w:rPr>
                <w:kern w:val="0"/>
              </w:rPr>
              <w:t>Hepatic worsening function in patients with Child-Pugh class C</w:t>
            </w:r>
          </w:p>
        </w:tc>
        <w:tc>
          <w:tcPr>
            <w:tcW w:w="851" w:type="dxa"/>
            <w:tcBorders>
              <w:left w:val="single" w:sz="4" w:space="0" w:color="auto"/>
              <w:bottom w:val="dotted" w:sz="2" w:space="0" w:color="auto"/>
              <w:right w:val="dotted" w:sz="2" w:space="0" w:color="auto"/>
            </w:tcBorders>
            <w:vAlign w:val="center"/>
          </w:tcPr>
          <w:p w14:paraId="02FC7D99" w14:textId="77777777" w:rsidR="00F4113C" w:rsidRPr="00CD603C" w:rsidRDefault="00F4113C" w:rsidP="00687A46">
            <w:pPr>
              <w:pStyle w:val="Tabletext0"/>
              <w:jc w:val="center"/>
              <w:rPr>
                <w:kern w:val="0"/>
              </w:rPr>
            </w:pPr>
            <w:r w:rsidRPr="00CD603C">
              <w:rPr>
                <w:kern w:val="0"/>
              </w:rPr>
              <w:sym w:font="Wingdings" w:char="F0FC"/>
            </w:r>
            <w:r>
              <w:rPr>
                <w:kern w:val="0"/>
              </w:rPr>
              <w:t>*</w:t>
            </w:r>
          </w:p>
        </w:tc>
        <w:tc>
          <w:tcPr>
            <w:tcW w:w="1020" w:type="dxa"/>
            <w:tcBorders>
              <w:left w:val="dotted" w:sz="2" w:space="0" w:color="auto"/>
              <w:bottom w:val="dotted" w:sz="2" w:space="0" w:color="auto"/>
            </w:tcBorders>
            <w:vAlign w:val="center"/>
          </w:tcPr>
          <w:p w14:paraId="2B6B15F9" w14:textId="77777777" w:rsidR="00F4113C" w:rsidRPr="005D525B" w:rsidRDefault="00F4113C" w:rsidP="00687A46">
            <w:pPr>
              <w:pStyle w:val="Tabletext0"/>
              <w:jc w:val="center"/>
              <w:rPr>
                <w:kern w:val="0"/>
              </w:rPr>
            </w:pPr>
            <w:r w:rsidRPr="005D525B">
              <w:rPr>
                <w:kern w:val="0"/>
              </w:rPr>
              <w:sym w:font="Wingdings" w:char="F0FC"/>
            </w:r>
            <w:r w:rsidRPr="005D525B">
              <w:rPr>
                <w:rFonts w:asciiTheme="majorHAnsi" w:hAnsiTheme="majorHAnsi"/>
                <w:kern w:val="0"/>
                <w:szCs w:val="20"/>
              </w:rPr>
              <w:t>†</w:t>
            </w:r>
          </w:p>
        </w:tc>
        <w:tc>
          <w:tcPr>
            <w:tcW w:w="823" w:type="dxa"/>
            <w:tcBorders>
              <w:left w:val="single" w:sz="4" w:space="0" w:color="auto"/>
              <w:bottom w:val="dotted" w:sz="2" w:space="0" w:color="auto"/>
              <w:right w:val="dotted" w:sz="2" w:space="0" w:color="auto"/>
            </w:tcBorders>
            <w:vAlign w:val="center"/>
          </w:tcPr>
          <w:p w14:paraId="4636BE8F" w14:textId="77777777" w:rsidR="00F4113C" w:rsidRPr="00CD603C" w:rsidRDefault="00F4113C" w:rsidP="00687A46">
            <w:pPr>
              <w:pStyle w:val="Tabletext0"/>
              <w:jc w:val="center"/>
              <w:rPr>
                <w:kern w:val="0"/>
              </w:rPr>
            </w:pPr>
            <w:r w:rsidRPr="00CD603C">
              <w:rPr>
                <w:kern w:val="0"/>
              </w:rPr>
              <w:sym w:font="Wingdings" w:char="F0FC"/>
            </w:r>
          </w:p>
        </w:tc>
        <w:tc>
          <w:tcPr>
            <w:tcW w:w="1048" w:type="dxa"/>
            <w:tcBorders>
              <w:left w:val="dotted" w:sz="2" w:space="0" w:color="auto"/>
              <w:bottom w:val="dotted" w:sz="2" w:space="0" w:color="auto"/>
            </w:tcBorders>
            <w:vAlign w:val="center"/>
          </w:tcPr>
          <w:p w14:paraId="3D396145" w14:textId="77777777" w:rsidR="00F4113C" w:rsidRPr="00CD603C" w:rsidRDefault="00F4113C" w:rsidP="00687A46">
            <w:pPr>
              <w:pStyle w:val="Tabletext0"/>
              <w:jc w:val="center"/>
              <w:rPr>
                <w:kern w:val="0"/>
              </w:rPr>
            </w:pPr>
            <w:r w:rsidRPr="00CD603C">
              <w:rPr>
                <w:kern w:val="0"/>
              </w:rPr>
              <w:t>–</w:t>
            </w:r>
          </w:p>
        </w:tc>
      </w:tr>
      <w:tr w:rsidR="00F4113C" w:rsidRPr="00BF52F4" w14:paraId="64D757AE" w14:textId="77777777" w:rsidTr="00F4113C">
        <w:trPr>
          <w:trHeight w:val="112"/>
          <w:jc w:val="center"/>
        </w:trPr>
        <w:tc>
          <w:tcPr>
            <w:tcW w:w="1559" w:type="dxa"/>
            <w:vMerge/>
          </w:tcPr>
          <w:p w14:paraId="317A4E0D" w14:textId="77777777" w:rsidR="00F4113C" w:rsidRPr="00BF52F4" w:rsidRDefault="00F4113C" w:rsidP="00687A46">
            <w:pPr>
              <w:pStyle w:val="Tabletext0"/>
              <w:rPr>
                <w:b/>
                <w:kern w:val="0"/>
              </w:rPr>
            </w:pPr>
          </w:p>
        </w:tc>
        <w:tc>
          <w:tcPr>
            <w:tcW w:w="3894" w:type="dxa"/>
            <w:tcBorders>
              <w:top w:val="dotted" w:sz="2" w:space="0" w:color="auto"/>
              <w:right w:val="single" w:sz="4" w:space="0" w:color="auto"/>
            </w:tcBorders>
          </w:tcPr>
          <w:p w14:paraId="3C110544" w14:textId="77777777" w:rsidR="00F4113C" w:rsidRPr="00BF52F4" w:rsidRDefault="00F4113C" w:rsidP="00687A46">
            <w:pPr>
              <w:pStyle w:val="Tabletext0"/>
              <w:rPr>
                <w:kern w:val="0"/>
              </w:rPr>
            </w:pPr>
            <w:r w:rsidRPr="00650BF9">
              <w:rPr>
                <w:kern w:val="0"/>
              </w:rPr>
              <w:t>Haematological malignancies</w:t>
            </w:r>
          </w:p>
        </w:tc>
        <w:tc>
          <w:tcPr>
            <w:tcW w:w="851" w:type="dxa"/>
            <w:tcBorders>
              <w:top w:val="dotted" w:sz="2" w:space="0" w:color="auto"/>
              <w:left w:val="single" w:sz="4" w:space="0" w:color="auto"/>
              <w:right w:val="dotted" w:sz="2" w:space="0" w:color="auto"/>
            </w:tcBorders>
            <w:vAlign w:val="center"/>
          </w:tcPr>
          <w:p w14:paraId="7403D28C" w14:textId="77777777" w:rsidR="00F4113C" w:rsidRPr="00CD603C" w:rsidRDefault="00F4113C" w:rsidP="00687A46">
            <w:pPr>
              <w:pStyle w:val="Tabletext0"/>
              <w:jc w:val="center"/>
              <w:rPr>
                <w:kern w:val="0"/>
              </w:rPr>
            </w:pPr>
            <w:r w:rsidRPr="00CD603C">
              <w:rPr>
                <w:kern w:val="0"/>
              </w:rPr>
              <w:sym w:font="Wingdings" w:char="F0FC"/>
            </w:r>
          </w:p>
        </w:tc>
        <w:tc>
          <w:tcPr>
            <w:tcW w:w="1020" w:type="dxa"/>
            <w:tcBorders>
              <w:top w:val="dotted" w:sz="2" w:space="0" w:color="auto"/>
              <w:left w:val="dotted" w:sz="2" w:space="0" w:color="auto"/>
            </w:tcBorders>
            <w:vAlign w:val="center"/>
          </w:tcPr>
          <w:p w14:paraId="51B144B0" w14:textId="77777777" w:rsidR="00F4113C" w:rsidRPr="005D525B" w:rsidRDefault="00F4113C" w:rsidP="00687A46">
            <w:pPr>
              <w:pStyle w:val="Tabletext0"/>
              <w:jc w:val="center"/>
              <w:rPr>
                <w:kern w:val="0"/>
              </w:rPr>
            </w:pPr>
            <w:r w:rsidRPr="005D525B">
              <w:rPr>
                <w:kern w:val="0"/>
              </w:rPr>
              <w:sym w:font="Wingdings" w:char="F0FC"/>
            </w:r>
            <w:r w:rsidRPr="005D525B">
              <w:rPr>
                <w:rFonts w:asciiTheme="majorHAnsi" w:hAnsiTheme="majorHAnsi"/>
                <w:kern w:val="0"/>
                <w:szCs w:val="20"/>
              </w:rPr>
              <w:t>‡</w:t>
            </w:r>
          </w:p>
        </w:tc>
        <w:tc>
          <w:tcPr>
            <w:tcW w:w="823" w:type="dxa"/>
            <w:tcBorders>
              <w:top w:val="dotted" w:sz="2" w:space="0" w:color="auto"/>
              <w:left w:val="single" w:sz="4" w:space="0" w:color="auto"/>
              <w:right w:val="dotted" w:sz="2" w:space="0" w:color="auto"/>
            </w:tcBorders>
            <w:vAlign w:val="center"/>
          </w:tcPr>
          <w:p w14:paraId="18A4E949" w14:textId="77777777" w:rsidR="00F4113C" w:rsidRPr="00CD603C" w:rsidRDefault="00F4113C" w:rsidP="00687A46">
            <w:pPr>
              <w:pStyle w:val="Tabletext0"/>
              <w:jc w:val="center"/>
              <w:rPr>
                <w:kern w:val="0"/>
              </w:rPr>
            </w:pPr>
            <w:r w:rsidRPr="00CD603C">
              <w:rPr>
                <w:kern w:val="0"/>
              </w:rPr>
              <w:sym w:font="Wingdings" w:char="F0FC"/>
            </w:r>
          </w:p>
        </w:tc>
        <w:tc>
          <w:tcPr>
            <w:tcW w:w="1048" w:type="dxa"/>
            <w:tcBorders>
              <w:top w:val="dotted" w:sz="2" w:space="0" w:color="auto"/>
              <w:left w:val="dotted" w:sz="2" w:space="0" w:color="auto"/>
            </w:tcBorders>
            <w:vAlign w:val="center"/>
          </w:tcPr>
          <w:p w14:paraId="099644BA" w14:textId="77777777" w:rsidR="00F4113C" w:rsidRPr="00CD603C" w:rsidRDefault="00F4113C" w:rsidP="00687A46">
            <w:pPr>
              <w:pStyle w:val="Tabletext0"/>
              <w:jc w:val="center"/>
              <w:rPr>
                <w:kern w:val="0"/>
              </w:rPr>
            </w:pPr>
            <w:r w:rsidRPr="00CD603C">
              <w:rPr>
                <w:kern w:val="0"/>
              </w:rPr>
              <w:t>–</w:t>
            </w:r>
          </w:p>
        </w:tc>
      </w:tr>
      <w:tr w:rsidR="00F4113C" w:rsidRPr="00BF52F4" w14:paraId="06641437" w14:textId="77777777" w:rsidTr="00F4113C">
        <w:trPr>
          <w:trHeight w:val="178"/>
          <w:jc w:val="center"/>
        </w:trPr>
        <w:tc>
          <w:tcPr>
            <w:tcW w:w="1559" w:type="dxa"/>
            <w:vMerge w:val="restart"/>
          </w:tcPr>
          <w:p w14:paraId="344B8C52" w14:textId="77777777" w:rsidR="00F4113C" w:rsidRPr="00BF52F4" w:rsidRDefault="00F4113C" w:rsidP="00687A46">
            <w:pPr>
              <w:pStyle w:val="Tabletext0"/>
              <w:rPr>
                <w:b/>
                <w:kern w:val="0"/>
              </w:rPr>
            </w:pPr>
            <w:r w:rsidRPr="00BF52F4">
              <w:rPr>
                <w:b/>
                <w:kern w:val="0"/>
              </w:rPr>
              <w:t>Missing information</w:t>
            </w:r>
          </w:p>
        </w:tc>
        <w:tc>
          <w:tcPr>
            <w:tcW w:w="3894" w:type="dxa"/>
            <w:tcBorders>
              <w:bottom w:val="dotted" w:sz="2" w:space="0" w:color="auto"/>
              <w:right w:val="single" w:sz="4" w:space="0" w:color="auto"/>
            </w:tcBorders>
          </w:tcPr>
          <w:p w14:paraId="51530506" w14:textId="77777777" w:rsidR="00F4113C" w:rsidRPr="00BF52F4" w:rsidRDefault="00F4113C" w:rsidP="00687A46">
            <w:pPr>
              <w:pStyle w:val="Tabletext0"/>
              <w:rPr>
                <w:kern w:val="0"/>
              </w:rPr>
            </w:pPr>
            <w:r w:rsidRPr="00650BF9">
              <w:rPr>
                <w:kern w:val="0"/>
              </w:rPr>
              <w:t>Use in splenectomy patients with chronic liver disease</w:t>
            </w:r>
          </w:p>
        </w:tc>
        <w:tc>
          <w:tcPr>
            <w:tcW w:w="851" w:type="dxa"/>
            <w:tcBorders>
              <w:left w:val="single" w:sz="4" w:space="0" w:color="auto"/>
              <w:bottom w:val="dotted" w:sz="2" w:space="0" w:color="auto"/>
              <w:right w:val="dotted" w:sz="2" w:space="0" w:color="auto"/>
            </w:tcBorders>
            <w:vAlign w:val="center"/>
          </w:tcPr>
          <w:p w14:paraId="78F48BD8" w14:textId="77777777" w:rsidR="00F4113C" w:rsidRPr="00CD603C" w:rsidRDefault="00F4113C" w:rsidP="00687A46">
            <w:pPr>
              <w:pStyle w:val="Tabletext0"/>
              <w:jc w:val="center"/>
              <w:rPr>
                <w:kern w:val="0"/>
              </w:rPr>
            </w:pPr>
            <w:r w:rsidRPr="00CD603C">
              <w:rPr>
                <w:kern w:val="0"/>
              </w:rPr>
              <w:sym w:font="Wingdings" w:char="F0FC"/>
            </w:r>
          </w:p>
        </w:tc>
        <w:tc>
          <w:tcPr>
            <w:tcW w:w="1020" w:type="dxa"/>
            <w:tcBorders>
              <w:left w:val="dotted" w:sz="2" w:space="0" w:color="auto"/>
              <w:bottom w:val="dotted" w:sz="2" w:space="0" w:color="auto"/>
            </w:tcBorders>
            <w:vAlign w:val="center"/>
          </w:tcPr>
          <w:p w14:paraId="58A5E769" w14:textId="77777777" w:rsidR="00F4113C" w:rsidRPr="005D525B" w:rsidRDefault="00F4113C" w:rsidP="00687A46">
            <w:pPr>
              <w:pStyle w:val="Tabletext0"/>
              <w:jc w:val="center"/>
              <w:rPr>
                <w:kern w:val="0"/>
              </w:rPr>
            </w:pPr>
            <w:r w:rsidRPr="005D525B">
              <w:rPr>
                <w:kern w:val="0"/>
              </w:rPr>
              <w:t>–</w:t>
            </w:r>
          </w:p>
        </w:tc>
        <w:tc>
          <w:tcPr>
            <w:tcW w:w="823" w:type="dxa"/>
            <w:tcBorders>
              <w:left w:val="single" w:sz="4" w:space="0" w:color="auto"/>
              <w:bottom w:val="dotted" w:sz="2" w:space="0" w:color="auto"/>
              <w:right w:val="dotted" w:sz="2" w:space="0" w:color="auto"/>
            </w:tcBorders>
            <w:vAlign w:val="center"/>
          </w:tcPr>
          <w:p w14:paraId="6FAB906B" w14:textId="77777777" w:rsidR="00F4113C" w:rsidRPr="00CD603C" w:rsidRDefault="00F4113C" w:rsidP="00687A46">
            <w:pPr>
              <w:pStyle w:val="Tabletext0"/>
              <w:jc w:val="center"/>
              <w:rPr>
                <w:kern w:val="0"/>
              </w:rPr>
            </w:pPr>
            <w:r w:rsidRPr="00CD603C">
              <w:rPr>
                <w:kern w:val="0"/>
              </w:rPr>
              <w:t>–</w:t>
            </w:r>
          </w:p>
        </w:tc>
        <w:tc>
          <w:tcPr>
            <w:tcW w:w="1048" w:type="dxa"/>
            <w:tcBorders>
              <w:left w:val="dotted" w:sz="2" w:space="0" w:color="auto"/>
              <w:bottom w:val="dotted" w:sz="2" w:space="0" w:color="auto"/>
            </w:tcBorders>
            <w:vAlign w:val="center"/>
          </w:tcPr>
          <w:p w14:paraId="23D03A94" w14:textId="77777777" w:rsidR="00F4113C" w:rsidRPr="00CD603C" w:rsidRDefault="00F4113C" w:rsidP="00687A46">
            <w:pPr>
              <w:pStyle w:val="Tabletext0"/>
              <w:jc w:val="center"/>
              <w:rPr>
                <w:kern w:val="0"/>
              </w:rPr>
            </w:pPr>
            <w:r w:rsidRPr="00CD603C">
              <w:rPr>
                <w:kern w:val="0"/>
              </w:rPr>
              <w:t>–</w:t>
            </w:r>
          </w:p>
        </w:tc>
      </w:tr>
      <w:tr w:rsidR="00F4113C" w:rsidRPr="00BF52F4" w14:paraId="482479A8" w14:textId="77777777" w:rsidTr="00F4113C">
        <w:trPr>
          <w:trHeight w:val="103"/>
          <w:jc w:val="center"/>
        </w:trPr>
        <w:tc>
          <w:tcPr>
            <w:tcW w:w="1559" w:type="dxa"/>
            <w:vMerge/>
          </w:tcPr>
          <w:p w14:paraId="48682A4B" w14:textId="77777777" w:rsidR="00F4113C" w:rsidRPr="00BF52F4" w:rsidRDefault="00F4113C" w:rsidP="00687A46">
            <w:pPr>
              <w:pStyle w:val="Tabletext0"/>
              <w:rPr>
                <w:kern w:val="0"/>
              </w:rPr>
            </w:pPr>
          </w:p>
        </w:tc>
        <w:tc>
          <w:tcPr>
            <w:tcW w:w="3894" w:type="dxa"/>
            <w:tcBorders>
              <w:top w:val="dotted" w:sz="2" w:space="0" w:color="auto"/>
              <w:bottom w:val="dotted" w:sz="2" w:space="0" w:color="auto"/>
              <w:right w:val="single" w:sz="4" w:space="0" w:color="auto"/>
            </w:tcBorders>
          </w:tcPr>
          <w:p w14:paraId="5F2B4E72" w14:textId="77777777" w:rsidR="00F4113C" w:rsidRPr="00BF52F4" w:rsidRDefault="00F4113C" w:rsidP="00687A46">
            <w:pPr>
              <w:pStyle w:val="Tabletext0"/>
              <w:rPr>
                <w:kern w:val="0"/>
              </w:rPr>
            </w:pPr>
            <w:r w:rsidRPr="00650BF9">
              <w:rPr>
                <w:kern w:val="0"/>
              </w:rPr>
              <w:t>Use in patients receiving interferon products</w:t>
            </w:r>
          </w:p>
        </w:tc>
        <w:tc>
          <w:tcPr>
            <w:tcW w:w="851" w:type="dxa"/>
            <w:tcBorders>
              <w:top w:val="dotted" w:sz="2" w:space="0" w:color="auto"/>
              <w:left w:val="single" w:sz="4" w:space="0" w:color="auto"/>
              <w:bottom w:val="dotted" w:sz="2" w:space="0" w:color="auto"/>
              <w:right w:val="dotted" w:sz="2" w:space="0" w:color="auto"/>
            </w:tcBorders>
            <w:vAlign w:val="center"/>
          </w:tcPr>
          <w:p w14:paraId="1B6D4508" w14:textId="77777777" w:rsidR="00F4113C" w:rsidRPr="00CD603C" w:rsidRDefault="00F4113C" w:rsidP="00687A46">
            <w:pPr>
              <w:pStyle w:val="Tabletext0"/>
              <w:jc w:val="center"/>
              <w:rPr>
                <w:kern w:val="0"/>
              </w:rPr>
            </w:pPr>
            <w:r w:rsidRPr="00CD603C">
              <w:rPr>
                <w:kern w:val="0"/>
              </w:rPr>
              <w:sym w:font="Wingdings" w:char="F0FC"/>
            </w:r>
          </w:p>
        </w:tc>
        <w:tc>
          <w:tcPr>
            <w:tcW w:w="1020" w:type="dxa"/>
            <w:tcBorders>
              <w:top w:val="dotted" w:sz="2" w:space="0" w:color="auto"/>
              <w:left w:val="dotted" w:sz="2" w:space="0" w:color="auto"/>
              <w:bottom w:val="dotted" w:sz="2" w:space="0" w:color="auto"/>
            </w:tcBorders>
            <w:vAlign w:val="center"/>
          </w:tcPr>
          <w:p w14:paraId="49FE00AC" w14:textId="77777777" w:rsidR="00F4113C" w:rsidRPr="005D525B" w:rsidRDefault="00F4113C" w:rsidP="00687A46">
            <w:pPr>
              <w:pStyle w:val="Tabletext0"/>
              <w:jc w:val="center"/>
              <w:rPr>
                <w:kern w:val="0"/>
              </w:rPr>
            </w:pPr>
            <w:r w:rsidRPr="005D525B">
              <w:rPr>
                <w:kern w:val="0"/>
              </w:rPr>
              <w:t>–</w:t>
            </w:r>
          </w:p>
        </w:tc>
        <w:tc>
          <w:tcPr>
            <w:tcW w:w="823" w:type="dxa"/>
            <w:tcBorders>
              <w:top w:val="dotted" w:sz="2" w:space="0" w:color="auto"/>
              <w:left w:val="single" w:sz="4" w:space="0" w:color="auto"/>
              <w:bottom w:val="dotted" w:sz="2" w:space="0" w:color="auto"/>
              <w:right w:val="dotted" w:sz="2" w:space="0" w:color="auto"/>
            </w:tcBorders>
            <w:vAlign w:val="center"/>
          </w:tcPr>
          <w:p w14:paraId="306CAC3D" w14:textId="77777777" w:rsidR="00F4113C" w:rsidRPr="00CD603C" w:rsidRDefault="00F4113C" w:rsidP="00687A46">
            <w:pPr>
              <w:pStyle w:val="Tabletext0"/>
              <w:jc w:val="center"/>
              <w:rPr>
                <w:kern w:val="0"/>
              </w:rPr>
            </w:pPr>
            <w:r w:rsidRPr="00CD603C">
              <w:rPr>
                <w:kern w:val="0"/>
              </w:rPr>
              <w:sym w:font="Wingdings" w:char="F0FC"/>
            </w:r>
          </w:p>
        </w:tc>
        <w:tc>
          <w:tcPr>
            <w:tcW w:w="1048" w:type="dxa"/>
            <w:tcBorders>
              <w:top w:val="dotted" w:sz="2" w:space="0" w:color="auto"/>
              <w:left w:val="dotted" w:sz="2" w:space="0" w:color="auto"/>
              <w:bottom w:val="dotted" w:sz="2" w:space="0" w:color="auto"/>
            </w:tcBorders>
            <w:vAlign w:val="center"/>
          </w:tcPr>
          <w:p w14:paraId="54186D43" w14:textId="77777777" w:rsidR="00F4113C" w:rsidRPr="00CD603C" w:rsidRDefault="00F4113C" w:rsidP="00687A46">
            <w:pPr>
              <w:pStyle w:val="Tabletext0"/>
              <w:jc w:val="center"/>
              <w:rPr>
                <w:kern w:val="0"/>
              </w:rPr>
            </w:pPr>
            <w:r w:rsidRPr="00CD603C">
              <w:rPr>
                <w:kern w:val="0"/>
              </w:rPr>
              <w:t>–</w:t>
            </w:r>
          </w:p>
        </w:tc>
      </w:tr>
      <w:tr w:rsidR="00F4113C" w:rsidRPr="00BF52F4" w14:paraId="26419EE4" w14:textId="77777777" w:rsidTr="00F4113C">
        <w:trPr>
          <w:trHeight w:val="50"/>
          <w:jc w:val="center"/>
        </w:trPr>
        <w:tc>
          <w:tcPr>
            <w:tcW w:w="1559" w:type="dxa"/>
            <w:vMerge/>
          </w:tcPr>
          <w:p w14:paraId="3A5C0576" w14:textId="77777777" w:rsidR="00F4113C" w:rsidRPr="00BF52F4" w:rsidRDefault="00F4113C" w:rsidP="00687A46">
            <w:pPr>
              <w:pStyle w:val="Tabletext0"/>
              <w:rPr>
                <w:kern w:val="0"/>
              </w:rPr>
            </w:pPr>
          </w:p>
        </w:tc>
        <w:tc>
          <w:tcPr>
            <w:tcW w:w="3894" w:type="dxa"/>
            <w:tcBorders>
              <w:top w:val="dotted" w:sz="2" w:space="0" w:color="auto"/>
              <w:bottom w:val="dotted" w:sz="2" w:space="0" w:color="auto"/>
              <w:right w:val="single" w:sz="4" w:space="0" w:color="auto"/>
            </w:tcBorders>
          </w:tcPr>
          <w:p w14:paraId="774A5B20" w14:textId="77777777" w:rsidR="00F4113C" w:rsidRPr="00BF52F4" w:rsidRDefault="00F4113C" w:rsidP="00687A46">
            <w:pPr>
              <w:pStyle w:val="Tabletext0"/>
              <w:rPr>
                <w:kern w:val="0"/>
              </w:rPr>
            </w:pPr>
            <w:r w:rsidRPr="00650BF9">
              <w:rPr>
                <w:kern w:val="0"/>
              </w:rPr>
              <w:t>Safety in patients undergoing highly invasive procedures</w:t>
            </w:r>
          </w:p>
        </w:tc>
        <w:tc>
          <w:tcPr>
            <w:tcW w:w="851" w:type="dxa"/>
            <w:tcBorders>
              <w:top w:val="dotted" w:sz="2" w:space="0" w:color="auto"/>
              <w:left w:val="single" w:sz="4" w:space="0" w:color="auto"/>
              <w:bottom w:val="dotted" w:sz="2" w:space="0" w:color="auto"/>
              <w:right w:val="dotted" w:sz="2" w:space="0" w:color="auto"/>
            </w:tcBorders>
            <w:vAlign w:val="center"/>
          </w:tcPr>
          <w:p w14:paraId="7A96E3F7" w14:textId="77777777" w:rsidR="00F4113C" w:rsidRPr="00CD603C" w:rsidRDefault="00F4113C" w:rsidP="00687A46">
            <w:pPr>
              <w:pStyle w:val="Tabletext0"/>
              <w:jc w:val="center"/>
              <w:rPr>
                <w:kern w:val="0"/>
              </w:rPr>
            </w:pPr>
            <w:r w:rsidRPr="00CD603C">
              <w:rPr>
                <w:kern w:val="0"/>
              </w:rPr>
              <w:sym w:font="Wingdings" w:char="F0FC"/>
            </w:r>
          </w:p>
        </w:tc>
        <w:tc>
          <w:tcPr>
            <w:tcW w:w="1020" w:type="dxa"/>
            <w:tcBorders>
              <w:top w:val="dotted" w:sz="2" w:space="0" w:color="auto"/>
              <w:left w:val="dotted" w:sz="2" w:space="0" w:color="auto"/>
              <w:bottom w:val="dotted" w:sz="2" w:space="0" w:color="auto"/>
            </w:tcBorders>
            <w:vAlign w:val="center"/>
          </w:tcPr>
          <w:p w14:paraId="09B478FD" w14:textId="77777777" w:rsidR="00F4113C" w:rsidRPr="005D525B" w:rsidRDefault="00F4113C" w:rsidP="00687A46">
            <w:pPr>
              <w:pStyle w:val="Tabletext0"/>
              <w:jc w:val="center"/>
              <w:rPr>
                <w:kern w:val="0"/>
              </w:rPr>
            </w:pPr>
            <w:r w:rsidRPr="005D525B">
              <w:rPr>
                <w:kern w:val="0"/>
              </w:rPr>
              <w:t>–</w:t>
            </w:r>
          </w:p>
        </w:tc>
        <w:tc>
          <w:tcPr>
            <w:tcW w:w="823" w:type="dxa"/>
            <w:tcBorders>
              <w:top w:val="dotted" w:sz="2" w:space="0" w:color="auto"/>
              <w:left w:val="single" w:sz="4" w:space="0" w:color="auto"/>
              <w:bottom w:val="dotted" w:sz="2" w:space="0" w:color="auto"/>
              <w:right w:val="dotted" w:sz="2" w:space="0" w:color="auto"/>
            </w:tcBorders>
            <w:vAlign w:val="center"/>
          </w:tcPr>
          <w:p w14:paraId="6B9237EE" w14:textId="77777777" w:rsidR="00F4113C" w:rsidRPr="00CD603C" w:rsidRDefault="00F4113C" w:rsidP="00687A46">
            <w:pPr>
              <w:pStyle w:val="Tabletext0"/>
              <w:jc w:val="center"/>
              <w:rPr>
                <w:kern w:val="0"/>
              </w:rPr>
            </w:pPr>
            <w:r w:rsidRPr="00CD603C">
              <w:rPr>
                <w:kern w:val="0"/>
              </w:rPr>
              <w:sym w:font="Wingdings" w:char="F0FC"/>
            </w:r>
          </w:p>
        </w:tc>
        <w:tc>
          <w:tcPr>
            <w:tcW w:w="1048" w:type="dxa"/>
            <w:tcBorders>
              <w:top w:val="dotted" w:sz="2" w:space="0" w:color="auto"/>
              <w:left w:val="dotted" w:sz="2" w:space="0" w:color="auto"/>
              <w:bottom w:val="dotted" w:sz="2" w:space="0" w:color="auto"/>
            </w:tcBorders>
            <w:vAlign w:val="center"/>
          </w:tcPr>
          <w:p w14:paraId="6378A43D" w14:textId="77777777" w:rsidR="00F4113C" w:rsidRPr="00CD603C" w:rsidRDefault="00F4113C" w:rsidP="00687A46">
            <w:pPr>
              <w:pStyle w:val="Tabletext0"/>
              <w:jc w:val="center"/>
              <w:rPr>
                <w:kern w:val="0"/>
              </w:rPr>
            </w:pPr>
            <w:r w:rsidRPr="00CD603C">
              <w:rPr>
                <w:kern w:val="0"/>
              </w:rPr>
              <w:t>–</w:t>
            </w:r>
          </w:p>
        </w:tc>
      </w:tr>
      <w:tr w:rsidR="00F4113C" w:rsidRPr="00BF52F4" w14:paraId="27ED15EC" w14:textId="77777777" w:rsidTr="00F4113C">
        <w:trPr>
          <w:trHeight w:val="140"/>
          <w:jc w:val="center"/>
        </w:trPr>
        <w:tc>
          <w:tcPr>
            <w:tcW w:w="1559" w:type="dxa"/>
            <w:vMerge/>
          </w:tcPr>
          <w:p w14:paraId="3E79456E" w14:textId="77777777" w:rsidR="00F4113C" w:rsidRPr="00BF52F4" w:rsidRDefault="00F4113C" w:rsidP="00687A46">
            <w:pPr>
              <w:pStyle w:val="Tabletext0"/>
              <w:rPr>
                <w:kern w:val="0"/>
              </w:rPr>
            </w:pPr>
          </w:p>
        </w:tc>
        <w:tc>
          <w:tcPr>
            <w:tcW w:w="3894" w:type="dxa"/>
            <w:tcBorders>
              <w:top w:val="dotted" w:sz="2" w:space="0" w:color="auto"/>
              <w:right w:val="single" w:sz="4" w:space="0" w:color="auto"/>
            </w:tcBorders>
          </w:tcPr>
          <w:p w14:paraId="4D695411" w14:textId="77777777" w:rsidR="00F4113C" w:rsidRPr="00BF52F4" w:rsidRDefault="00F4113C" w:rsidP="00687A46">
            <w:pPr>
              <w:pStyle w:val="Tabletext0"/>
              <w:rPr>
                <w:kern w:val="0"/>
              </w:rPr>
            </w:pPr>
            <w:r w:rsidRPr="00650BF9">
              <w:rPr>
                <w:kern w:val="0"/>
              </w:rPr>
              <w:t>Use in patients with MELD scores &gt; 24</w:t>
            </w:r>
          </w:p>
        </w:tc>
        <w:tc>
          <w:tcPr>
            <w:tcW w:w="851" w:type="dxa"/>
            <w:tcBorders>
              <w:top w:val="dotted" w:sz="2" w:space="0" w:color="auto"/>
              <w:left w:val="single" w:sz="4" w:space="0" w:color="auto"/>
              <w:right w:val="dotted" w:sz="2" w:space="0" w:color="auto"/>
            </w:tcBorders>
            <w:vAlign w:val="center"/>
          </w:tcPr>
          <w:p w14:paraId="5CCAF879" w14:textId="77777777" w:rsidR="00F4113C" w:rsidRPr="00CD603C" w:rsidRDefault="00F4113C" w:rsidP="00687A46">
            <w:pPr>
              <w:pStyle w:val="Tabletext0"/>
              <w:jc w:val="center"/>
              <w:rPr>
                <w:kern w:val="0"/>
              </w:rPr>
            </w:pPr>
            <w:r w:rsidRPr="00CD603C">
              <w:rPr>
                <w:kern w:val="0"/>
              </w:rPr>
              <w:sym w:font="Wingdings" w:char="F0FC"/>
            </w:r>
            <w:r>
              <w:rPr>
                <w:kern w:val="0"/>
              </w:rPr>
              <w:t>*</w:t>
            </w:r>
          </w:p>
        </w:tc>
        <w:tc>
          <w:tcPr>
            <w:tcW w:w="1020" w:type="dxa"/>
            <w:tcBorders>
              <w:top w:val="dotted" w:sz="2" w:space="0" w:color="auto"/>
              <w:left w:val="dotted" w:sz="2" w:space="0" w:color="auto"/>
            </w:tcBorders>
            <w:vAlign w:val="center"/>
          </w:tcPr>
          <w:p w14:paraId="71AB342A" w14:textId="77777777" w:rsidR="00F4113C" w:rsidRPr="005D525B" w:rsidRDefault="00F4113C" w:rsidP="00687A46">
            <w:pPr>
              <w:pStyle w:val="Tabletext0"/>
              <w:jc w:val="center"/>
              <w:rPr>
                <w:kern w:val="0"/>
              </w:rPr>
            </w:pPr>
            <w:r w:rsidRPr="005D525B">
              <w:rPr>
                <w:kern w:val="0"/>
              </w:rPr>
              <w:sym w:font="Wingdings" w:char="F0FC"/>
            </w:r>
            <w:r w:rsidRPr="005D525B">
              <w:rPr>
                <w:rFonts w:asciiTheme="majorHAnsi" w:hAnsiTheme="majorHAnsi"/>
                <w:kern w:val="0"/>
                <w:szCs w:val="20"/>
              </w:rPr>
              <w:t>†</w:t>
            </w:r>
          </w:p>
        </w:tc>
        <w:tc>
          <w:tcPr>
            <w:tcW w:w="823" w:type="dxa"/>
            <w:tcBorders>
              <w:top w:val="dotted" w:sz="2" w:space="0" w:color="auto"/>
              <w:left w:val="single" w:sz="4" w:space="0" w:color="auto"/>
              <w:right w:val="dotted" w:sz="2" w:space="0" w:color="auto"/>
            </w:tcBorders>
            <w:vAlign w:val="center"/>
          </w:tcPr>
          <w:p w14:paraId="4FFD12E9" w14:textId="77777777" w:rsidR="00F4113C" w:rsidRPr="00CD603C" w:rsidRDefault="00F4113C" w:rsidP="00687A46">
            <w:pPr>
              <w:pStyle w:val="Tabletext0"/>
              <w:jc w:val="center"/>
              <w:rPr>
                <w:kern w:val="0"/>
              </w:rPr>
            </w:pPr>
            <w:r w:rsidRPr="00CD603C">
              <w:rPr>
                <w:kern w:val="0"/>
              </w:rPr>
              <w:sym w:font="Wingdings" w:char="F0FC"/>
            </w:r>
          </w:p>
        </w:tc>
        <w:tc>
          <w:tcPr>
            <w:tcW w:w="1048" w:type="dxa"/>
            <w:tcBorders>
              <w:top w:val="dotted" w:sz="2" w:space="0" w:color="auto"/>
              <w:left w:val="dotted" w:sz="2" w:space="0" w:color="auto"/>
            </w:tcBorders>
            <w:vAlign w:val="center"/>
          </w:tcPr>
          <w:p w14:paraId="3ACB64F6" w14:textId="77777777" w:rsidR="00F4113C" w:rsidRPr="00CD603C" w:rsidRDefault="00F4113C" w:rsidP="00687A46">
            <w:pPr>
              <w:pStyle w:val="Tabletext0"/>
              <w:jc w:val="center"/>
              <w:rPr>
                <w:kern w:val="0"/>
              </w:rPr>
            </w:pPr>
            <w:r w:rsidRPr="00CD603C">
              <w:rPr>
                <w:kern w:val="0"/>
              </w:rPr>
              <w:t>–</w:t>
            </w:r>
          </w:p>
        </w:tc>
      </w:tr>
    </w:tbl>
    <w:bookmarkEnd w:id="96"/>
    <w:p w14:paraId="3524D924" w14:textId="56D127D5" w:rsidR="00F4113C" w:rsidRPr="00F4113C" w:rsidRDefault="00F4113C" w:rsidP="00F4113C">
      <w:pPr>
        <w:pStyle w:val="TableDescription"/>
      </w:pPr>
      <w:r w:rsidRPr="00F4113C">
        <w:t>*Follow-up questionnaires</w:t>
      </w:r>
      <w:r w:rsidR="008A4248">
        <w:br/>
      </w:r>
      <w:r w:rsidRPr="00F4113C">
        <w:t>†PASS to assess hepatic safety</w:t>
      </w:r>
      <w:r w:rsidR="008A4248">
        <w:br/>
      </w:r>
      <w:r w:rsidRPr="00F4113C">
        <w:t>‡ PASS to further characterise the long-term safety profile</w:t>
      </w:r>
    </w:p>
    <w:p w14:paraId="6E77AEDF" w14:textId="77777777" w:rsidR="00305CA5" w:rsidRDefault="00F4113C" w:rsidP="00F4113C">
      <w:r w:rsidRPr="00F4113C">
        <w:lastRenderedPageBreak/>
        <w:t>The summary of safety concerns in the ASA are consistent with the EU-RMP. No new safety concerns have been identified by the clinical and nonclinical evaluat</w:t>
      </w:r>
      <w:r>
        <w:t>ion</w:t>
      </w:r>
      <w:r w:rsidRPr="00F4113C">
        <w:t>s. Therefore, the summary of safety concerns is satisfactory</w:t>
      </w:r>
      <w:r w:rsidR="00305CA5">
        <w:t>.</w:t>
      </w:r>
    </w:p>
    <w:p w14:paraId="4B0522CA" w14:textId="4C36D434" w:rsidR="00F4113C" w:rsidRPr="00F4113C" w:rsidRDefault="00F4113C" w:rsidP="00F4113C">
      <w:r w:rsidRPr="00F4113C">
        <w:t>Routine and additional pharmacovigilance activities are proposed. Routine risk minimisation activities include follow up questionnaires for thrombotic/thromboembolic events and hepatic related events (</w:t>
      </w:r>
      <w:proofErr w:type="gramStart"/>
      <w:r w:rsidRPr="00F4113C">
        <w:t>in particular in</w:t>
      </w:r>
      <w:proofErr w:type="gramEnd"/>
      <w:r w:rsidRPr="00F4113C">
        <w:t xml:space="preserve"> patients with Child-Pugh class C liver disease or patients with MELD scores </w:t>
      </w:r>
      <w:r>
        <w:t>greater than</w:t>
      </w:r>
      <w:r w:rsidRPr="00F4113C">
        <w:t xml:space="preserve"> 24). Additional pharmacovigilance activities include two planned post authorisation studies to further characterise the safety profile of avatrombopag. The studies are predicated on a positive outcome from feasibility studies which are to be submitted to the</w:t>
      </w:r>
      <w:r>
        <w:t xml:space="preserve"> European Medicines Agency</w:t>
      </w:r>
      <w:r w:rsidRPr="00F4113C">
        <w:t>.</w:t>
      </w:r>
    </w:p>
    <w:p w14:paraId="1F14825E" w14:textId="69A3A5BF" w:rsidR="00F4113C" w:rsidRDefault="00F4113C" w:rsidP="00F4113C">
      <w:r w:rsidRPr="00F4113C">
        <w:t>Routine risk minimisation activities only are proposed. This is acceptable as avatrombopag is an oral medicine and will be prescribed by specialists.</w:t>
      </w:r>
    </w:p>
    <w:p w14:paraId="74A4F87F" w14:textId="0622F3B7" w:rsidR="00C22214" w:rsidRDefault="00C22214" w:rsidP="00C22214">
      <w:pPr>
        <w:pStyle w:val="Heading3"/>
      </w:pPr>
      <w:bookmarkStart w:id="97" w:name="_Toc103679299"/>
      <w:bookmarkStart w:id="98" w:name="_Toc158284404"/>
      <w:r>
        <w:t>Risk-benefit analysis</w:t>
      </w:r>
      <w:bookmarkEnd w:id="93"/>
      <w:bookmarkEnd w:id="94"/>
      <w:bookmarkEnd w:id="97"/>
      <w:bookmarkEnd w:id="98"/>
    </w:p>
    <w:p w14:paraId="77DE2655" w14:textId="77777777" w:rsidR="00C22214" w:rsidRDefault="00C22214" w:rsidP="00C22214">
      <w:pPr>
        <w:pStyle w:val="Heading4"/>
      </w:pPr>
      <w:bookmarkStart w:id="99" w:name="_Toc98931932"/>
      <w:bookmarkStart w:id="100" w:name="_Toc158284405"/>
      <w:r>
        <w:t>Delegate’s considerations</w:t>
      </w:r>
      <w:bookmarkEnd w:id="99"/>
      <w:bookmarkEnd w:id="100"/>
    </w:p>
    <w:p w14:paraId="5693EB10" w14:textId="1E71BC05" w:rsidR="00F4113C" w:rsidRPr="00F4113C" w:rsidRDefault="00F4113C" w:rsidP="00F4113C">
      <w:r w:rsidRPr="00F4113C">
        <w:t>Avatrombopag stimulates the proliferation and differentiation of megakaryocytes from bone marrow progenitor cells, resulting in an increased production of platelets.</w:t>
      </w:r>
    </w:p>
    <w:p w14:paraId="03AD9657" w14:textId="5283EF44" w:rsidR="00F4113C" w:rsidRPr="00F4113C" w:rsidRDefault="00F4113C" w:rsidP="00F4113C">
      <w:r w:rsidRPr="00F4113C">
        <w:t xml:space="preserve">Platelet function, assessed by flow cytometry and platelet aggregometry in a small subset of the Phase </w:t>
      </w:r>
      <w:r>
        <w:t>III</w:t>
      </w:r>
      <w:r w:rsidRPr="00F4113C">
        <w:t xml:space="preserve"> patients showed similar platelet function, providing some reassurance that avatrombopag induced platelet count elevations should result in functioning platelets. The assumption that platelet numbers equate to platelet function is proposed for mention in Section 4.4 of the PI.</w:t>
      </w:r>
    </w:p>
    <w:p w14:paraId="356D2CB2" w14:textId="482D4147" w:rsidR="00F4113C" w:rsidRPr="00F4113C" w:rsidRDefault="00F4113C" w:rsidP="00F4113C">
      <w:r w:rsidRPr="00F4113C">
        <w:t xml:space="preserve">Avatrombopag should be taken with food, but dietary restriction required for </w:t>
      </w:r>
      <w:proofErr w:type="spellStart"/>
      <w:r w:rsidRPr="00F4113C">
        <w:t>eltrombopag</w:t>
      </w:r>
      <w:proofErr w:type="spellEnd"/>
      <w:r w:rsidRPr="00F4113C">
        <w:t xml:space="preserve"> has not been shown to be needed with avatrombopag making it a potentially attractive alternative. CYP2C9 is the enzyme primarily responsible for metabolism, and the proposed PI includes advice to manage demonstrated drug-drug interactions. The proposed PI also includes information about potential interactions that have not been evaluated clinically.</w:t>
      </w:r>
    </w:p>
    <w:p w14:paraId="38587F22" w14:textId="72A57253" w:rsidR="00F4113C" w:rsidRDefault="00F4113C" w:rsidP="00F4113C">
      <w:pPr>
        <w:pStyle w:val="Heading5"/>
      </w:pPr>
      <w:r w:rsidRPr="006A3A93">
        <w:t>C</w:t>
      </w:r>
      <w:r>
        <w:t xml:space="preserve">hronic liver disease </w:t>
      </w:r>
    </w:p>
    <w:p w14:paraId="3612065B" w14:textId="77777777" w:rsidR="00F4113C" w:rsidRPr="00301447" w:rsidRDefault="00F4113C" w:rsidP="00F4113C">
      <w:pPr>
        <w:pStyle w:val="Heading6"/>
      </w:pPr>
      <w:r w:rsidRPr="00301447">
        <w:t>Efficacy</w:t>
      </w:r>
    </w:p>
    <w:p w14:paraId="6C8AA414" w14:textId="0FE71CF2" w:rsidR="00F4113C" w:rsidRPr="00F4113C" w:rsidRDefault="00F4113C" w:rsidP="00F4113C">
      <w:r w:rsidRPr="00F4113C">
        <w:t>The sponsor’s requested indication for the treatment of thrombocytopenia in adult patients with chronic liver disease who are scheduled to undergo a procedure was mainly supported by data from two Phase III studies (Studies 310 and 311).</w:t>
      </w:r>
    </w:p>
    <w:p w14:paraId="1DC576FF" w14:textId="42D380BE" w:rsidR="00F4113C" w:rsidRPr="00F4113C" w:rsidRDefault="00F4113C" w:rsidP="00F4113C">
      <w:r w:rsidRPr="00F4113C">
        <w:t xml:space="preserve">Both studies were placebo controlled. The use of a placebo comparator is acceptable in the Australian context given the lack of a registered therapy with a specific indication for this use. Platelet transfusion is an option, but this therapy was available to the avatrombopag and placebo arms of each of the pivotal studies as rescue therapy. The enrolment threshold of a platelet count of </w:t>
      </w:r>
      <w:r>
        <w:t xml:space="preserve">less than </w:t>
      </w:r>
      <w:r w:rsidRPr="00F4113C">
        <w:t>50</w:t>
      </w:r>
      <w:r>
        <w:t> </w:t>
      </w:r>
      <w:r w:rsidRPr="00F4113C">
        <w:t>x</w:t>
      </w:r>
      <w:r>
        <w:t> </w:t>
      </w:r>
      <w:r w:rsidRPr="00F4113C">
        <w:t>10</w:t>
      </w:r>
      <w:r w:rsidRPr="00F4113C">
        <w:rPr>
          <w:vertAlign w:val="superscript"/>
        </w:rPr>
        <w:t>9</w:t>
      </w:r>
      <w:r w:rsidRPr="00F4113C">
        <w:t>/L is reasonable and consistent with clinical guidelines.</w:t>
      </w:r>
    </w:p>
    <w:p w14:paraId="466D01BB" w14:textId="77777777" w:rsidR="00305CA5" w:rsidRDefault="00F4113C" w:rsidP="00F4113C">
      <w:r w:rsidRPr="00F4113C">
        <w:t xml:space="preserve">In both studies platelet counts increased from </w:t>
      </w:r>
      <w:r>
        <w:t>B</w:t>
      </w:r>
      <w:r w:rsidRPr="00F4113C">
        <w:t xml:space="preserve">aseline in both the avatrombopag and placebo groups. The response in the avatrombopag compared with placebo reached statistical significance and clinical meaningfulness in both studies. Responses were seen in patients with a </w:t>
      </w:r>
      <w:r w:rsidR="00E9222E">
        <w:t>B</w:t>
      </w:r>
      <w:r w:rsidRPr="00F4113C">
        <w:t xml:space="preserve">aseline platelet count of </w:t>
      </w:r>
      <w:r>
        <w:t xml:space="preserve">less than </w:t>
      </w:r>
      <w:r w:rsidRPr="00F4113C">
        <w:t>40</w:t>
      </w:r>
      <w:r>
        <w:t> </w:t>
      </w:r>
      <w:r w:rsidRPr="00F4113C">
        <w:t>x</w:t>
      </w:r>
      <w:r>
        <w:t> </w:t>
      </w:r>
      <w:r w:rsidRPr="00F4113C">
        <w:t>10</w:t>
      </w:r>
      <w:r w:rsidRPr="00F4113C">
        <w:rPr>
          <w:vertAlign w:val="superscript"/>
        </w:rPr>
        <w:t>9</w:t>
      </w:r>
      <w:r w:rsidRPr="00F4113C">
        <w:t>/L and 40 to 50</w:t>
      </w:r>
      <w:r>
        <w:t> </w:t>
      </w:r>
      <w:r w:rsidRPr="00F4113C">
        <w:t>x</w:t>
      </w:r>
      <w:r>
        <w:t> </w:t>
      </w:r>
      <w:r w:rsidRPr="00F4113C">
        <w:t>10</w:t>
      </w:r>
      <w:r w:rsidRPr="00F4113C">
        <w:rPr>
          <w:vertAlign w:val="superscript"/>
        </w:rPr>
        <w:t>9</w:t>
      </w:r>
      <w:r w:rsidRPr="00F4113C">
        <w:t>/L. Secondary endpoints of increase in platelet count were consistent with the primary endpoint, showing a benefit of avatrombopag over placebo</w:t>
      </w:r>
      <w:r w:rsidR="00305CA5">
        <w:t>.</w:t>
      </w:r>
    </w:p>
    <w:p w14:paraId="41DA9F83" w14:textId="007C9501" w:rsidR="00F4113C" w:rsidRPr="00F4113C" w:rsidRDefault="00F4113C" w:rsidP="00F4113C">
      <w:r w:rsidRPr="00F4113C">
        <w:lastRenderedPageBreak/>
        <w:t>The functional corollary of a low platelet count is bleeding. Bleeding events were exploratory endpoints in the pivotal studies. Bleeding events were low in each group and were numerically greater in the placebo group. Although platelet count is increased with avatrombopag, other aspects of the central function of the liver in the synthesis of clotting factors and clearance of activated factors are improved with avatrombopag, therefore it is reasonable to include bleeding events as an exploratory endpoint.</w:t>
      </w:r>
    </w:p>
    <w:p w14:paraId="7B2639C8" w14:textId="77777777" w:rsidR="00F4113C" w:rsidRPr="00301447" w:rsidRDefault="00F4113C" w:rsidP="00F4113C">
      <w:pPr>
        <w:pStyle w:val="Heading6"/>
      </w:pPr>
      <w:r w:rsidRPr="00301447">
        <w:t>Safety</w:t>
      </w:r>
    </w:p>
    <w:p w14:paraId="04839BA8" w14:textId="77777777" w:rsidR="00F4113C" w:rsidRPr="00F4113C" w:rsidRDefault="00F4113C" w:rsidP="00F4113C">
      <w:r w:rsidRPr="00F4113C">
        <w:t>Adequate numbers of patients were exposed to avatrombopag for at least 5 days, allowing an assessment of the safety.</w:t>
      </w:r>
    </w:p>
    <w:p w14:paraId="47F72205" w14:textId="1C9786E9" w:rsidR="00F4113C" w:rsidRPr="00F4113C" w:rsidRDefault="00F4113C" w:rsidP="00F4113C">
      <w:r w:rsidRPr="00F4113C">
        <w:t xml:space="preserve">The most common </w:t>
      </w:r>
      <w:r>
        <w:t xml:space="preserve">adverse events </w:t>
      </w:r>
      <w:r w:rsidRPr="00F4113C">
        <w:t xml:space="preserve">were pyrexia, abdominal pain, nausea, headache, </w:t>
      </w:r>
      <w:proofErr w:type="gramStart"/>
      <w:r w:rsidRPr="00F4113C">
        <w:t>fatigue</w:t>
      </w:r>
      <w:proofErr w:type="gramEnd"/>
      <w:r w:rsidRPr="00F4113C">
        <w:t xml:space="preserve"> and abdominal pain.</w:t>
      </w:r>
    </w:p>
    <w:p w14:paraId="6EE0F72D" w14:textId="18A04687" w:rsidR="00F4113C" w:rsidRPr="00F4113C" w:rsidRDefault="00F4113C" w:rsidP="00F4113C">
      <w:r w:rsidRPr="00F4113C">
        <w:t xml:space="preserve">The risk of thrombotic or thromboembolic adverse effects with thrombopoietin receptor agonists </w:t>
      </w:r>
      <w:r w:rsidR="00E9222E">
        <w:t xml:space="preserve">(TPO-RA) </w:t>
      </w:r>
      <w:r w:rsidRPr="00F4113C">
        <w:t xml:space="preserve">is well recognised. In </w:t>
      </w:r>
      <w:r>
        <w:t>S</w:t>
      </w:r>
      <w:r w:rsidRPr="00F4113C">
        <w:t xml:space="preserve">tudies 310 and 311, only </w:t>
      </w:r>
      <w:r>
        <w:t>three</w:t>
      </w:r>
      <w:r w:rsidRPr="00F4113C">
        <w:t xml:space="preserve"> patients in the avatrombopag groups and no patients in the placebo groups had a platelet count </w:t>
      </w:r>
      <w:r>
        <w:t xml:space="preserve">greater than </w:t>
      </w:r>
      <w:r w:rsidRPr="00F4113C">
        <w:t>200</w:t>
      </w:r>
      <w:r>
        <w:t> </w:t>
      </w:r>
      <w:r w:rsidRPr="00F4113C">
        <w:t>x</w:t>
      </w:r>
      <w:r>
        <w:t> </w:t>
      </w:r>
      <w:r w:rsidRPr="00F4113C">
        <w:t>10</w:t>
      </w:r>
      <w:r w:rsidRPr="00F4113C">
        <w:rPr>
          <w:vertAlign w:val="superscript"/>
        </w:rPr>
        <w:t>9</w:t>
      </w:r>
      <w:r w:rsidRPr="00F4113C">
        <w:t xml:space="preserve">/L. Portal vein thrombosis is of particular concern in patients with CLD and a platelet count </w:t>
      </w:r>
      <w:r>
        <w:t xml:space="preserve">greater than </w:t>
      </w:r>
      <w:r w:rsidRPr="00F4113C">
        <w:t>200</w:t>
      </w:r>
      <w:r>
        <w:t> </w:t>
      </w:r>
      <w:r w:rsidRPr="00F4113C">
        <w:t>x</w:t>
      </w:r>
      <w:r>
        <w:t> </w:t>
      </w:r>
      <w:r w:rsidRPr="00F4113C">
        <w:t>10</w:t>
      </w:r>
      <w:r w:rsidRPr="00F4113C">
        <w:rPr>
          <w:vertAlign w:val="superscript"/>
        </w:rPr>
        <w:t>9</w:t>
      </w:r>
      <w:r w:rsidRPr="00F4113C">
        <w:t>/L.</w:t>
      </w:r>
    </w:p>
    <w:p w14:paraId="47775FA0" w14:textId="65C93EBD" w:rsidR="00F4113C" w:rsidRPr="00F4113C" w:rsidRDefault="00F4113C" w:rsidP="00F4113C">
      <w:r>
        <w:t>T</w:t>
      </w:r>
      <w:r w:rsidRPr="00F4113C">
        <w:t xml:space="preserve">hrombopoietin is expressed on the surface of myeloid cells, and there is a concern TPO-RAs may stimulate disease progression in patients with pre-existing haematological malignancies, including myelodysplastic syndromes. Use in patients with </w:t>
      </w:r>
      <w:r w:rsidR="00E9222E" w:rsidRPr="00E9222E">
        <w:t xml:space="preserve">myelodysplastic syndromes </w:t>
      </w:r>
      <w:r w:rsidRPr="00F4113C">
        <w:t xml:space="preserve">was specifically excluded in clinical trials, and safety in this patient population is unknown. This uncertainty is captured in the important potential risks in the </w:t>
      </w:r>
      <w:r>
        <w:t xml:space="preserve">risk management plan </w:t>
      </w:r>
      <w:r w:rsidRPr="00F4113C">
        <w:t>and in section 4.4 of the proposed PI. This risk may be greater with longer exposure.</w:t>
      </w:r>
    </w:p>
    <w:p w14:paraId="499C54B7" w14:textId="77777777" w:rsidR="00F4113C" w:rsidRPr="009E7451" w:rsidRDefault="00F4113C" w:rsidP="00F4113C">
      <w:pPr>
        <w:pStyle w:val="Heading6"/>
      </w:pPr>
      <w:r w:rsidRPr="009E7451">
        <w:t>Limitations</w:t>
      </w:r>
    </w:p>
    <w:p w14:paraId="0D6AD749" w14:textId="77777777" w:rsidR="00F4113C" w:rsidRPr="00F4113C" w:rsidRDefault="00F4113C" w:rsidP="00F4113C">
      <w:r w:rsidRPr="00F4113C">
        <w:t>Patients undergoing minor procedures such as venepuncture were not included but are potentially indicated in the proposed indication. There is a risk of overshoot of the platelet count and potential sequelae of this for patients with CLD, therefore a restriction to higher risk procedures may be more in keeping with the permitted procedures in the studies.</w:t>
      </w:r>
    </w:p>
    <w:p w14:paraId="56D1C716" w14:textId="177F0D7F" w:rsidR="00F4113C" w:rsidRPr="00F4113C" w:rsidRDefault="00F4113C" w:rsidP="00F4113C">
      <w:r w:rsidRPr="00F4113C">
        <w:t>Patients undergoing highly invasive procedures such as thoracotomy, laparotomy or craniotomy were excluded from the studies. While this may be a limitation, support for platelet numbers from a TPO is only part of the mitigation strategies for higher risk procedures, which may also include blood products and coagulation factor replacement. Care of these patients is individualised and based on clinical expertise and judgement. The sponsor proposes to disclose this limitation as a Special Warning and Precaution for Use in the PI.</w:t>
      </w:r>
    </w:p>
    <w:p w14:paraId="48CF8057" w14:textId="00358A1F" w:rsidR="00F4113C" w:rsidRPr="00F4113C" w:rsidRDefault="00F4113C" w:rsidP="00F4113C">
      <w:r w:rsidRPr="00F4113C">
        <w:t>The efficacy and safety of avatrombopag in CLD patients who have undergone splenectomy has not been characterised in this submission. Although they were not specifically excluded from the studies, no post-splenectomy patients were enrolled.</w:t>
      </w:r>
    </w:p>
    <w:p w14:paraId="5B7B7247" w14:textId="77777777" w:rsidR="00F4113C" w:rsidRPr="00F4113C" w:rsidRDefault="00F4113C" w:rsidP="00F4113C">
      <w:r w:rsidRPr="00F4113C">
        <w:t>In this preliminary consideration, the Delegate considers the evidence of an increase in platelets replicated in two main studies and supported by others in the submission, together with the platelet function study support the efficacy of avatrombopag. The exposure per the proposed dosing is short, and the most common adverse effects appear manageable. The major risk of thromboembolic events is highlighted in the PI.</w:t>
      </w:r>
    </w:p>
    <w:p w14:paraId="29DC047B" w14:textId="46DB8ED6" w:rsidR="00F4113C" w:rsidRPr="00F4113C" w:rsidRDefault="00F4113C" w:rsidP="00F4113C">
      <w:r w:rsidRPr="00F4113C">
        <w:t xml:space="preserve">The outstanding question is whether the indication should be limited to an invasive procedure per the EU wording of the indication. Specialist advice </w:t>
      </w:r>
      <w:r>
        <w:t>was</w:t>
      </w:r>
      <w:r w:rsidRPr="00F4113C">
        <w:t xml:space="preserve"> sought on this aspect.</w:t>
      </w:r>
    </w:p>
    <w:p w14:paraId="78A4B1BB" w14:textId="547A612D" w:rsidR="00F4113C" w:rsidRDefault="00F4113C" w:rsidP="00F4113C">
      <w:pPr>
        <w:pStyle w:val="Heading5"/>
      </w:pPr>
      <w:r>
        <w:lastRenderedPageBreak/>
        <w:t>Immune thrombocytopenia</w:t>
      </w:r>
    </w:p>
    <w:p w14:paraId="614344F9" w14:textId="77777777" w:rsidR="00F4113C" w:rsidRPr="00F4113C" w:rsidRDefault="00F4113C" w:rsidP="00F4113C">
      <w:r w:rsidRPr="00F4113C">
        <w:t xml:space="preserve">The following deliberations </w:t>
      </w:r>
      <w:proofErr w:type="gramStart"/>
      <w:r w:rsidRPr="00F4113C">
        <w:t>take into account</w:t>
      </w:r>
      <w:proofErr w:type="gramEnd"/>
      <w:r w:rsidRPr="00F4113C">
        <w:t xml:space="preserve"> the submission, the evaluation report and responses to the Delegate’s additional questions.</w:t>
      </w:r>
    </w:p>
    <w:p w14:paraId="6CB9EFFA" w14:textId="720581A3" w:rsidR="00F4113C" w:rsidRPr="00F4113C" w:rsidRDefault="00F4113C" w:rsidP="00F4113C">
      <w:r w:rsidRPr="00F4113C">
        <w:t xml:space="preserve">The efficacy of avatrombopag in ITP is supported primarily by </w:t>
      </w:r>
      <w:r>
        <w:t>S</w:t>
      </w:r>
      <w:r w:rsidRPr="00F4113C">
        <w:t xml:space="preserve">tudy 302, a </w:t>
      </w:r>
      <w:r>
        <w:t>P</w:t>
      </w:r>
      <w:r w:rsidRPr="00F4113C">
        <w:t xml:space="preserve">hase </w:t>
      </w:r>
      <w:r>
        <w:t>III</w:t>
      </w:r>
      <w:r w:rsidRPr="00F4113C">
        <w:t xml:space="preserve"> randomised study of 49 adults with ITP (platelet count </w:t>
      </w:r>
      <w:r>
        <w:t xml:space="preserve">less than or equal to </w:t>
      </w:r>
      <w:r w:rsidRPr="00F4113C">
        <w:t>30</w:t>
      </w:r>
      <w:r>
        <w:t> </w:t>
      </w:r>
      <w:r w:rsidRPr="00F4113C">
        <w:t>x</w:t>
      </w:r>
      <w:r>
        <w:t> </w:t>
      </w:r>
      <w:r w:rsidRPr="00F4113C">
        <w:t>10</w:t>
      </w:r>
      <w:r w:rsidRPr="00F4113C">
        <w:rPr>
          <w:vertAlign w:val="superscript"/>
        </w:rPr>
        <w:t>9</w:t>
      </w:r>
      <w:r w:rsidRPr="00F4113C">
        <w:t>/L who had received at least one prior ITP therapy</w:t>
      </w:r>
      <w:r w:rsidR="00E9222E">
        <w:t>)</w:t>
      </w:r>
      <w:r w:rsidRPr="00F4113C">
        <w:t xml:space="preserve">. Patients were stratified by </w:t>
      </w:r>
      <w:r w:rsidR="00E9222E">
        <w:t>B</w:t>
      </w:r>
      <w:r w:rsidRPr="00F4113C">
        <w:t xml:space="preserve">aseline platelet count and use of concomitant ITP therapy at </w:t>
      </w:r>
      <w:r>
        <w:t>B</w:t>
      </w:r>
      <w:r w:rsidRPr="00F4113C">
        <w:t xml:space="preserve">aseline. To be eligible patients either had an initial response to a previous ITP therapy or a bone marrow examination consistent with ITP in the previous </w:t>
      </w:r>
      <w:r>
        <w:t>three</w:t>
      </w:r>
      <w:r w:rsidRPr="00F4113C">
        <w:t xml:space="preserve"> years. Avatrombopag dosing commenced at 20</w:t>
      </w:r>
      <w:r>
        <w:t> </w:t>
      </w:r>
      <w:r w:rsidRPr="00F4113C">
        <w:t>mg once daily, orally and was titrated in a treat</w:t>
      </w:r>
      <w:r>
        <w:noBreakHyphen/>
      </w:r>
      <w:r w:rsidRPr="00F4113C">
        <w:t>to</w:t>
      </w:r>
      <w:r>
        <w:noBreakHyphen/>
      </w:r>
      <w:r w:rsidRPr="00F4113C">
        <w:t>target approach aiming for a platelet count of 50 to 150</w:t>
      </w:r>
      <w:r>
        <w:t> </w:t>
      </w:r>
      <w:r w:rsidRPr="00F4113C">
        <w:t>x</w:t>
      </w:r>
      <w:r>
        <w:t> </w:t>
      </w:r>
      <w:r w:rsidRPr="00F4113C">
        <w:t>10</w:t>
      </w:r>
      <w:r w:rsidRPr="00F4113C">
        <w:rPr>
          <w:vertAlign w:val="superscript"/>
        </w:rPr>
        <w:t>9</w:t>
      </w:r>
      <w:r w:rsidRPr="00F4113C">
        <w:t>/L.</w:t>
      </w:r>
    </w:p>
    <w:p w14:paraId="34383CC3" w14:textId="6B676C3C" w:rsidR="00F4113C" w:rsidRPr="00F4113C" w:rsidRDefault="00F4113C" w:rsidP="00F4113C">
      <w:r w:rsidRPr="00F4113C">
        <w:t xml:space="preserve">The primary endpoint was the cumulative number of weeks in which a platelet count of </w:t>
      </w:r>
      <w:r>
        <w:t xml:space="preserve">greater than or equal to </w:t>
      </w:r>
      <w:r w:rsidRPr="00F4113C">
        <w:t>50</w:t>
      </w:r>
      <w:r>
        <w:t> </w:t>
      </w:r>
      <w:r w:rsidRPr="00F4113C">
        <w:t>x</w:t>
      </w:r>
      <w:r>
        <w:t> </w:t>
      </w:r>
      <w:r w:rsidRPr="00F4113C">
        <w:t>10</w:t>
      </w:r>
      <w:r w:rsidRPr="00F4113C">
        <w:rPr>
          <w:vertAlign w:val="superscript"/>
        </w:rPr>
        <w:t>9</w:t>
      </w:r>
      <w:r w:rsidRPr="00F4113C">
        <w:t>/L was achieved in the 6 months of the treatment period for the primary analysis. Avatrombopag patients had a median 12.4 weeks in the target range compared with 0 weeks for the placebo group. This was statistically significant and clinically meaningful. Secondary endpoints were consistent with the primary endpoint in favour of avatrombopag over placebo.</w:t>
      </w:r>
    </w:p>
    <w:p w14:paraId="6C7FD0E4" w14:textId="4CA77C16" w:rsidR="00F4113C" w:rsidRPr="00F4113C" w:rsidRDefault="00F4113C" w:rsidP="00F4113C">
      <w:r w:rsidRPr="00F4113C">
        <w:t xml:space="preserve">Patients could receive a stable dose of corticosteroid. The use of corticosteroids did not confer an advantage in terms of cumulative weeks of response </w:t>
      </w:r>
      <w:r>
        <w:t>(</w:t>
      </w:r>
      <w:r w:rsidRPr="00F4113C">
        <w:t>median 4.86 weeks (range, 2, 22.43) with corticosteroid use and 13.71 weeks (range 0, 24.86) with no corticosteroids</w:t>
      </w:r>
      <w:r>
        <w:t>)</w:t>
      </w:r>
      <w:r w:rsidRPr="00F4113C">
        <w:t xml:space="preserve">. However, around half the patients on </w:t>
      </w:r>
      <w:r w:rsidR="00E9222E">
        <w:t>b</w:t>
      </w:r>
      <w:r w:rsidRPr="00F4113C">
        <w:t>aseline corticosteroids could reduce or stop that treatment, a clinically relevant finding.</w:t>
      </w:r>
    </w:p>
    <w:p w14:paraId="7E7DA2AD" w14:textId="0D320BBC" w:rsidR="00F4113C" w:rsidRPr="00F4113C" w:rsidRDefault="00F4113C" w:rsidP="00F4113C">
      <w:r w:rsidRPr="00F4113C">
        <w:t xml:space="preserve">In the extension phase of </w:t>
      </w:r>
      <w:r>
        <w:t>S</w:t>
      </w:r>
      <w:r w:rsidRPr="00F4113C">
        <w:t>tudy 302 67% (n</w:t>
      </w:r>
      <w:r>
        <w:t> </w:t>
      </w:r>
      <w:r w:rsidRPr="00F4113C">
        <w:t>=</w:t>
      </w:r>
      <w:r>
        <w:t> </w:t>
      </w:r>
      <w:r w:rsidRPr="00F4113C">
        <w:t>26) of patients received 40</w:t>
      </w:r>
      <w:r>
        <w:t> </w:t>
      </w:r>
      <w:r w:rsidRPr="00F4113C">
        <w:t xml:space="preserve">mg daily. Two patients discontinued because of lack of efficacy, but </w:t>
      </w:r>
      <w:proofErr w:type="gramStart"/>
      <w:r w:rsidRPr="00F4113C">
        <w:t>overall</w:t>
      </w:r>
      <w:proofErr w:type="gramEnd"/>
      <w:r w:rsidRPr="00F4113C">
        <w:t xml:space="preserve"> the mean daily doses were similar in the </w:t>
      </w:r>
      <w:r>
        <w:t>c</w:t>
      </w:r>
      <w:r w:rsidRPr="00F4113C">
        <w:t xml:space="preserve">ore phase and the </w:t>
      </w:r>
      <w:r>
        <w:t>e</w:t>
      </w:r>
      <w:r w:rsidRPr="00F4113C">
        <w:t xml:space="preserve">xtension phase of the studies. The sponsor has not identified any resistance mechanisms for avatrombopag, or demonstrated an exhaustion of response, but there is limited long term avatrombopag efficacy data. The EXTEND study data in </w:t>
      </w:r>
      <w:proofErr w:type="spellStart"/>
      <w:r w:rsidRPr="00F4113C">
        <w:t>eltrombopag</w:t>
      </w:r>
      <w:proofErr w:type="spellEnd"/>
      <w:r w:rsidRPr="00F4113C">
        <w:t xml:space="preserve"> does demonstrate a gradual decline in the proportion of patients with responses over time with data from 104 </w:t>
      </w:r>
      <w:r>
        <w:t xml:space="preserve">or more </w:t>
      </w:r>
      <w:r w:rsidRPr="00F4113C">
        <w:t>weeks treatment.</w:t>
      </w:r>
    </w:p>
    <w:p w14:paraId="34D6BDC3" w14:textId="203C9A0D" w:rsidR="00F4113C" w:rsidRPr="00F4113C" w:rsidRDefault="00F4113C" w:rsidP="00F4113C">
      <w:r w:rsidRPr="00F4113C">
        <w:t xml:space="preserve">A second </w:t>
      </w:r>
      <w:r>
        <w:t>P</w:t>
      </w:r>
      <w:r w:rsidRPr="00F4113C">
        <w:t xml:space="preserve">hase </w:t>
      </w:r>
      <w:r>
        <w:t xml:space="preserve">III </w:t>
      </w:r>
      <w:r w:rsidRPr="00F4113C">
        <w:t xml:space="preserve">study comparing </w:t>
      </w:r>
      <w:proofErr w:type="spellStart"/>
      <w:r w:rsidRPr="00F4113C">
        <w:t>eltrombopag</w:t>
      </w:r>
      <w:proofErr w:type="spellEnd"/>
      <w:r w:rsidRPr="00F4113C">
        <w:t xml:space="preserve"> and avatrombopag would have been helpful to understand relative efficacy and safety of the two products, however due to poor accrual in the study it was discontinued after the randomisation of only 23 patients. Interpretation of the results is limited, and the study was not considered contributory in the efficacy considerations.</w:t>
      </w:r>
    </w:p>
    <w:p w14:paraId="2D3A9F82" w14:textId="56EFD8D4" w:rsidR="00F4113C" w:rsidRPr="00F4113C" w:rsidRDefault="00F4113C" w:rsidP="00F4113C">
      <w:r w:rsidRPr="00F4113C">
        <w:t xml:space="preserve">Further support for avatrombopag in the ITP population was derived from </w:t>
      </w:r>
      <w:r>
        <w:t>S</w:t>
      </w:r>
      <w:r w:rsidRPr="00F4113C">
        <w:t>tudies 003 and 004. Study 003 was a dose ranging study conducted in 64 adults with ITP. Exposures ranged from 2.5</w:t>
      </w:r>
      <w:r>
        <w:t> </w:t>
      </w:r>
      <w:r w:rsidRPr="00F4113C">
        <w:t>mg to 20</w:t>
      </w:r>
      <w:r>
        <w:t> </w:t>
      </w:r>
      <w:r w:rsidRPr="00F4113C">
        <w:t>mg, and 15 patients commenced in the proposed starting dose of 20</w:t>
      </w:r>
      <w:r>
        <w:t> </w:t>
      </w:r>
      <w:r w:rsidRPr="00F4113C">
        <w:t xml:space="preserve">mg. The primary response in that group was 80%. Study 004 was a roll-over study of </w:t>
      </w:r>
      <w:r>
        <w:t>S</w:t>
      </w:r>
      <w:r w:rsidRPr="00F4113C">
        <w:t xml:space="preserve">tudy 003 patients who had completed 28 days of treatment. An early response was predictive of a greater likelihood of a durable response with an additional 6 months of therapy; </w:t>
      </w:r>
      <w:proofErr w:type="gramStart"/>
      <w:r w:rsidRPr="00F4113C">
        <w:t>however</w:t>
      </w:r>
      <w:proofErr w:type="gramEnd"/>
      <w:r w:rsidRPr="00F4113C">
        <w:t xml:space="preserve"> the durable response rate was 35.7% for non-responders in </w:t>
      </w:r>
      <w:r>
        <w:t>S</w:t>
      </w:r>
      <w:r w:rsidRPr="00F4113C">
        <w:t>tudy 003.</w:t>
      </w:r>
    </w:p>
    <w:p w14:paraId="3D060483" w14:textId="6D055561" w:rsidR="00F4113C" w:rsidRPr="00F4113C" w:rsidRDefault="00F4113C" w:rsidP="00F4113C">
      <w:r w:rsidRPr="00F4113C">
        <w:t>Avatrombopag does not reverse the underlying cause of ITP and platelet counts returned towards baseline after discontinuation, but it dipped below baseline in around 9% of ITP patients, mostly 6 months after stopping the drug. It is difficult to assess whether this is a consequence of the use of avatrombopag or disease progression.</w:t>
      </w:r>
    </w:p>
    <w:p w14:paraId="2AE7D79A" w14:textId="77B5455B" w:rsidR="00F4113C" w:rsidRPr="00F4113C" w:rsidRDefault="00F4113C" w:rsidP="00F4113C">
      <w:r w:rsidRPr="00F4113C">
        <w:t xml:space="preserve">The safety profile was </w:t>
      </w:r>
      <w:proofErr w:type="gramStart"/>
      <w:r w:rsidRPr="00F4113C">
        <w:t>similar to</w:t>
      </w:r>
      <w:proofErr w:type="gramEnd"/>
      <w:r w:rsidRPr="00F4113C">
        <w:t xml:space="preserve"> that seen in the CLD cohort. No deaths were reported in the ITP studies and SAEs occurring in more than two patients included vomiting and headache, with gastric haemorrhage, </w:t>
      </w:r>
      <w:proofErr w:type="gramStart"/>
      <w:r w:rsidRPr="00F4113C">
        <w:t>thrombocytopenia</w:t>
      </w:r>
      <w:proofErr w:type="gramEnd"/>
      <w:r w:rsidRPr="00F4113C">
        <w:t xml:space="preserve"> and ITP. As uncommon events, </w:t>
      </w:r>
      <w:r>
        <w:t>p</w:t>
      </w:r>
      <w:r w:rsidRPr="00F4113C">
        <w:t>ortal vein thrombosis</w:t>
      </w:r>
      <w:r>
        <w:t>,</w:t>
      </w:r>
      <w:r w:rsidRPr="00F4113C">
        <w:t xml:space="preserve"> </w:t>
      </w:r>
      <w:r w:rsidRPr="00F4113C">
        <w:lastRenderedPageBreak/>
        <w:t>cerebrovascular accident and transient ischemic attack, and retinal artery occlusion have been reported in the ITP population.</w:t>
      </w:r>
    </w:p>
    <w:p w14:paraId="1B4709C3" w14:textId="3E9173FD" w:rsidR="00F4113C" w:rsidRPr="00F4113C" w:rsidRDefault="00F4113C" w:rsidP="00F4113C">
      <w:r w:rsidRPr="00F4113C">
        <w:t xml:space="preserve">Study 302, and </w:t>
      </w:r>
      <w:r>
        <w:t>S</w:t>
      </w:r>
      <w:r w:rsidRPr="00F4113C">
        <w:t>tudies CL-003 and CL-004 conducted in patients with ITP allowed patients who were post splenectomy to be enrolled. There did not appear to be an increased risk of thromboembolic events in these patients in the studies.</w:t>
      </w:r>
    </w:p>
    <w:p w14:paraId="0F4E3703" w14:textId="77777777" w:rsidR="00F4113C" w:rsidRPr="009E7451" w:rsidRDefault="00F4113C" w:rsidP="00F4113C">
      <w:pPr>
        <w:pStyle w:val="Heading6"/>
      </w:pPr>
      <w:r w:rsidRPr="009E7451">
        <w:t>Limitations</w:t>
      </w:r>
    </w:p>
    <w:p w14:paraId="46A13845" w14:textId="05BFCB32" w:rsidR="00F4113C" w:rsidRPr="00F4113C" w:rsidRDefault="00F4113C" w:rsidP="00F4113C">
      <w:r w:rsidRPr="00F4113C">
        <w:t>In Study 302 63.3% of patients had what were described as major protocol deviations. The sponsor provided an adequate explanation that this was a stringent definition and that most were missed visits or bloods reflecting the frequent visits over a long period required of the study participants.</w:t>
      </w:r>
    </w:p>
    <w:p w14:paraId="31F8822A" w14:textId="2772C05F" w:rsidR="00F4113C" w:rsidRPr="00F4113C" w:rsidRDefault="00F4113C" w:rsidP="00F4113C">
      <w:proofErr w:type="gramStart"/>
      <w:r w:rsidRPr="00F4113C">
        <w:t>With regard to</w:t>
      </w:r>
      <w:proofErr w:type="gramEnd"/>
      <w:r w:rsidRPr="00F4113C">
        <w:t xml:space="preserve"> patient exposure in total 128 patients have received at least one dose of avatrombopag, although much smaller numbers contributed efficacy and safety data from the main studies. It is recognised that avatrombopag is not intended for initial therapy, and therefore the eligible population is limited. The sponsor points to a similar mechanism of action to that of </w:t>
      </w:r>
      <w:proofErr w:type="spellStart"/>
      <w:r w:rsidRPr="00F4113C">
        <w:t>eltrombopag</w:t>
      </w:r>
      <w:proofErr w:type="spellEnd"/>
      <w:r w:rsidRPr="00F4113C">
        <w:t xml:space="preserve"> which is already registered and has an established place in the treatment algorithm for refractory ITP in Australia.</w:t>
      </w:r>
    </w:p>
    <w:p w14:paraId="25A64998" w14:textId="20978D48" w:rsidR="00F4113C" w:rsidRPr="00F4113C" w:rsidRDefault="00F4113C" w:rsidP="00F4113C">
      <w:r w:rsidRPr="00F4113C">
        <w:t xml:space="preserve">Across the ITP studies the median duration of exposure was 6.8 months, thus there are limitations to the safety data with the number of patients exposed and the duration of response. The sponsor is collecting additional data in two Phase </w:t>
      </w:r>
      <w:r>
        <w:t>IV</w:t>
      </w:r>
      <w:r w:rsidRPr="00F4113C">
        <w:t xml:space="preserve"> studies in adults with ITP in the </w:t>
      </w:r>
      <w:r>
        <w:t>United States of America</w:t>
      </w:r>
      <w:r w:rsidRPr="00F4113C">
        <w:t xml:space="preserve"> and EU, and an open</w:t>
      </w:r>
      <w:r>
        <w:t xml:space="preserve"> </w:t>
      </w:r>
      <w:r w:rsidRPr="00F4113C">
        <w:t xml:space="preserve">label extension of studies in Japanese patients and children and adolescents with ITP. The sponsor also notes discussions are underway with the </w:t>
      </w:r>
      <w:r>
        <w:t xml:space="preserve">European Medicines Agency </w:t>
      </w:r>
      <w:r w:rsidRPr="00F4113C">
        <w:t>around post-authorisation safety studies (for the CLD and ITP indications</w:t>
      </w:r>
      <w:r w:rsidR="00E9222E">
        <w:t>)</w:t>
      </w:r>
      <w:r w:rsidRPr="00F4113C">
        <w:t xml:space="preserve"> with plans expected to be formalised in 2023. The sponsor would be expected to provide study reports from these studies for evaluation if avatrombopag were approved. The sponsor also provided top</w:t>
      </w:r>
      <w:r>
        <w:t xml:space="preserve"> </w:t>
      </w:r>
      <w:r w:rsidRPr="00F4113C">
        <w:t xml:space="preserve">line results from a yet to be published analysis of pharmacy supply data that suggest most patients take avatrombopag for a median of 7 </w:t>
      </w:r>
      <w:r>
        <w:t>to</w:t>
      </w:r>
      <w:r w:rsidRPr="00F4113C">
        <w:t xml:space="preserve"> 10 months, to support its position that adequate safety data had been provided to support registration. Avatrombopag has been available internationally for some years, so the safety information has benefitted from post-marketing surveillance.</w:t>
      </w:r>
    </w:p>
    <w:p w14:paraId="776218DE" w14:textId="45CA555A" w:rsidR="00F4113C" w:rsidRPr="00F4113C" w:rsidRDefault="00F4113C" w:rsidP="00F4113C">
      <w:r w:rsidRPr="00F4113C">
        <w:t xml:space="preserve">The restriction of the population to adult patients is supported by the available data. It is noted the sponsor was required to conduct studies in patients aged 2 to 17 years as post-marketing requirements in the initial </w:t>
      </w:r>
      <w:r>
        <w:t>United States Food and Drug Administration application.</w:t>
      </w:r>
      <w:r w:rsidRPr="00F4113C">
        <w:t xml:space="preserve"> Additional clinical studies to demonstrate the pharmacology, </w:t>
      </w:r>
      <w:proofErr w:type="gramStart"/>
      <w:r w:rsidRPr="00F4113C">
        <w:t>safety</w:t>
      </w:r>
      <w:proofErr w:type="gramEnd"/>
      <w:r w:rsidRPr="00F4113C">
        <w:t xml:space="preserve"> and efficacy of avatrombopag would be needed if the sponsor proposed an extension of the indications to paediatric patients in the future.</w:t>
      </w:r>
    </w:p>
    <w:p w14:paraId="0960F5E3" w14:textId="0D27D977" w:rsidR="00F4113C" w:rsidRPr="00F4113C" w:rsidRDefault="00F4113C" w:rsidP="00F4113C">
      <w:r w:rsidRPr="00F4113C">
        <w:t xml:space="preserve">The proposed dosing regimen is supported by the pivotal data, which in turn was supported by the responses in the </w:t>
      </w:r>
      <w:r>
        <w:t>P</w:t>
      </w:r>
      <w:r w:rsidRPr="00F4113C">
        <w:t xml:space="preserve">hase </w:t>
      </w:r>
      <w:r>
        <w:t>II</w:t>
      </w:r>
      <w:r w:rsidRPr="00F4113C">
        <w:t xml:space="preserve"> studies.</w:t>
      </w:r>
    </w:p>
    <w:p w14:paraId="67C5B50B" w14:textId="77777777" w:rsidR="00F4113C" w:rsidRPr="00F4113C" w:rsidRDefault="00F4113C" w:rsidP="00F4113C">
      <w:r w:rsidRPr="00F4113C">
        <w:t>Subject to specialist advice, in this preliminary view the Delegate considers there are features of the evidence that are supportive of registration of avatrombopag for both proposed indications. Further consideration will be provided once the specialist advice has been received.</w:t>
      </w:r>
    </w:p>
    <w:p w14:paraId="3916F296" w14:textId="77777777" w:rsidR="00C22214" w:rsidRDefault="00C22214" w:rsidP="008A4248">
      <w:pPr>
        <w:pStyle w:val="Heading4"/>
        <w:pageBreakBefore/>
      </w:pPr>
      <w:bookmarkStart w:id="101" w:name="_Toc98931933"/>
      <w:bookmarkStart w:id="102" w:name="_Toc158284406"/>
      <w:r w:rsidRPr="00D23139">
        <w:lastRenderedPageBreak/>
        <w:t>Proposed action</w:t>
      </w:r>
      <w:bookmarkEnd w:id="101"/>
      <w:bookmarkEnd w:id="102"/>
    </w:p>
    <w:p w14:paraId="11D1ABC0" w14:textId="2220C80F" w:rsidR="00F4113C" w:rsidRDefault="00F4113C" w:rsidP="00F4113C">
      <w:proofErr w:type="gramStart"/>
      <w:r>
        <w:t>Taking into account</w:t>
      </w:r>
      <w:proofErr w:type="gramEnd"/>
      <w:r>
        <w:t xml:space="preserve"> the specialist advice and while acknowledging there are limitations to the data in the submission the Delegate concludes the following:</w:t>
      </w:r>
    </w:p>
    <w:p w14:paraId="33B6AB42" w14:textId="140B9E50" w:rsidR="00F4113C" w:rsidRPr="00F4113C" w:rsidRDefault="00F4113C" w:rsidP="00F4113C">
      <w:pPr>
        <w:pStyle w:val="Heading5"/>
      </w:pPr>
      <w:r w:rsidRPr="00F4113C">
        <w:t xml:space="preserve">Proposed indication for patients with </w:t>
      </w:r>
      <w:r>
        <w:t>chronic liver disease</w:t>
      </w:r>
      <w:r w:rsidRPr="00F4113C">
        <w:t xml:space="preserve"> who are scheduled to undergo a procedure</w:t>
      </w:r>
    </w:p>
    <w:p w14:paraId="114D5417" w14:textId="77777777" w:rsidR="00305CA5" w:rsidRDefault="00F4113C" w:rsidP="00F4113C">
      <w:r w:rsidRPr="00F4113C">
        <w:t>The expert advice provides a clinical rationale that balances the efficacy safety and limitations of the data, including the limited types of procedures studied against the potential practical applications of avatrombopag in this setting</w:t>
      </w:r>
      <w:r w:rsidR="00305CA5">
        <w:t>.</w:t>
      </w:r>
    </w:p>
    <w:p w14:paraId="5DB7F4A4" w14:textId="5EE84FE1" w:rsidR="00F4113C" w:rsidRPr="00F4113C" w:rsidRDefault="00F4113C" w:rsidP="00F4113C">
      <w:r w:rsidRPr="00F4113C">
        <w:t>The Delegate, on balance, considers avatrombopag is approvable for:</w:t>
      </w:r>
    </w:p>
    <w:p w14:paraId="7531183C" w14:textId="710637CA" w:rsidR="00F4113C" w:rsidRPr="00F4113C" w:rsidRDefault="00F4113C" w:rsidP="00F4113C">
      <w:pPr>
        <w:ind w:left="720"/>
        <w:rPr>
          <w:i/>
          <w:iCs/>
        </w:rPr>
      </w:pPr>
      <w:r w:rsidRPr="00F4113C">
        <w:rPr>
          <w:i/>
          <w:iCs/>
        </w:rPr>
        <w:t>D</w:t>
      </w:r>
      <w:r>
        <w:rPr>
          <w:i/>
          <w:iCs/>
        </w:rPr>
        <w:t xml:space="preserve">optelet </w:t>
      </w:r>
      <w:r w:rsidRPr="00F4113C">
        <w:rPr>
          <w:i/>
          <w:iCs/>
        </w:rPr>
        <w:t>is indicated for the treatment of thrombocytopenia in adult patients with chronic liver disease who are scheduled to undergo a procedure.</w:t>
      </w:r>
    </w:p>
    <w:p w14:paraId="777BB2C6" w14:textId="01419555" w:rsidR="00F4113C" w:rsidRPr="00F4113C" w:rsidRDefault="00F4113C" w:rsidP="00F4113C">
      <w:pPr>
        <w:pStyle w:val="Heading5"/>
      </w:pPr>
      <w:r w:rsidRPr="00F4113C">
        <w:t xml:space="preserve">Proposed indication for second line </w:t>
      </w:r>
      <w:r>
        <w:t>i</w:t>
      </w:r>
      <w:r w:rsidRPr="00F4113C">
        <w:t>mmune thrombocytopenia</w:t>
      </w:r>
    </w:p>
    <w:p w14:paraId="5F86553B" w14:textId="181FF137" w:rsidR="00F4113C" w:rsidRPr="00F4113C" w:rsidRDefault="00F4113C" w:rsidP="00F4113C">
      <w:r w:rsidRPr="00F4113C">
        <w:t>The expert advice concluded it is reasonable that avatrombopag is available for this indication, nevertheless highlight</w:t>
      </w:r>
      <w:r w:rsidR="00E9222E">
        <w:t>ing</w:t>
      </w:r>
      <w:r w:rsidRPr="00F4113C">
        <w:t xml:space="preserve"> the limited duration of exposure in the clinical evidence presented, and the uncertainties this raises. While the Delegate agrees there is evidence of efficacy and safety to support the availability of avatrombopag for patients who have not responded to other therapies the sponsor will be required to provide additional data as part of the conditions of registration to further characterise the </w:t>
      </w:r>
      <w:proofErr w:type="gramStart"/>
      <w:r w:rsidRPr="00F4113C">
        <w:t>long term</w:t>
      </w:r>
      <w:proofErr w:type="gramEnd"/>
      <w:r w:rsidRPr="00F4113C">
        <w:t xml:space="preserve"> safety.</w:t>
      </w:r>
    </w:p>
    <w:p w14:paraId="3F80A9A7" w14:textId="4CF87BE9" w:rsidR="00F4113C" w:rsidRPr="00F4113C" w:rsidRDefault="00F4113C" w:rsidP="00F4113C">
      <w:r w:rsidRPr="00F4113C">
        <w:t>On balance, sufficient evidence has been presented to support the indication</w:t>
      </w:r>
      <w:r>
        <w:t>:</w:t>
      </w:r>
    </w:p>
    <w:p w14:paraId="45F930C0" w14:textId="39AAC15E" w:rsidR="00F4113C" w:rsidRPr="00F4113C" w:rsidRDefault="00F4113C" w:rsidP="00F4113C">
      <w:pPr>
        <w:ind w:left="720"/>
        <w:rPr>
          <w:i/>
          <w:iCs/>
        </w:rPr>
      </w:pPr>
      <w:r w:rsidRPr="00F4113C">
        <w:rPr>
          <w:i/>
          <w:iCs/>
        </w:rPr>
        <w:t>Doptelet is indicated for the treatment of thrombocytopenia in adult patients with chronic immune thrombocytopenia (ITP) who have had an insufficient response to a previous treatment.</w:t>
      </w:r>
    </w:p>
    <w:p w14:paraId="0D171812" w14:textId="77777777" w:rsidR="00C22214" w:rsidRDefault="00C22214" w:rsidP="00C22214">
      <w:pPr>
        <w:pStyle w:val="Heading4"/>
      </w:pPr>
      <w:bookmarkStart w:id="103" w:name="_Toc158284407"/>
      <w:r>
        <w:t>Independent expert advice</w:t>
      </w:r>
      <w:bookmarkEnd w:id="103"/>
    </w:p>
    <w:p w14:paraId="4A031B64" w14:textId="66C9057E" w:rsidR="00C22214" w:rsidRPr="00F4113C" w:rsidRDefault="00C22214" w:rsidP="00F4113C">
      <w:r w:rsidRPr="00F4113C">
        <w:t>The Delegate received the following independent expert advice.</w:t>
      </w:r>
    </w:p>
    <w:p w14:paraId="4C616D5A" w14:textId="36A79174" w:rsidR="00F4113C" w:rsidRPr="00F4113C" w:rsidRDefault="00F4113C" w:rsidP="00F4113C">
      <w:pPr>
        <w:pStyle w:val="Heading5"/>
      </w:pPr>
      <w:r w:rsidRPr="00F4113C">
        <w:t>Avatrombopag for chronic liver disease</w:t>
      </w:r>
    </w:p>
    <w:p w14:paraId="50AD0497" w14:textId="5583E2AF" w:rsidR="00F4113C" w:rsidRPr="00F4113C" w:rsidRDefault="00F4113C" w:rsidP="00F4113C">
      <w:pPr>
        <w:pStyle w:val="Numberbullet0"/>
        <w:rPr>
          <w:b/>
          <w:bCs/>
          <w:i/>
          <w:iCs/>
        </w:rPr>
      </w:pPr>
      <w:r w:rsidRPr="00F4113C">
        <w:rPr>
          <w:b/>
          <w:bCs/>
          <w:i/>
          <w:iCs/>
        </w:rPr>
        <w:t>Based on the same clinical trial evidence, internationally the chronic liver disease indication has a limitation on the type of procedures for which avatrombopag is indicated. For a clinical perspective, do you have any concerns about the benefits and risks if avatrombopag is used prior to any procedure?</w:t>
      </w:r>
    </w:p>
    <w:p w14:paraId="1895E81B" w14:textId="6532B2B9" w:rsidR="00F4113C" w:rsidRPr="00F4113C" w:rsidRDefault="00F4113C" w:rsidP="00F4113C">
      <w:r w:rsidRPr="00F4113C">
        <w:t>Interventions currently used to reduce the risk of bleeding in liver disease include platelet transfusions in thrombocytopenic patients. The use of platelet transfusion remains unproven as a mechanism to reduce bleeding. While it’s been assumed, two randomised studies in very different circumstances have suggested that transfusing at higher platelet thresholds may actually increase the risk of bleeding.</w:t>
      </w:r>
      <w:r>
        <w:rPr>
          <w:rStyle w:val="FootnoteReference"/>
        </w:rPr>
        <w:footnoteReference w:id="26"/>
      </w:r>
      <w:r>
        <w:rPr>
          <w:vertAlign w:val="superscript"/>
        </w:rPr>
        <w:t xml:space="preserve">, </w:t>
      </w:r>
      <w:r>
        <w:rPr>
          <w:rStyle w:val="FootnoteReference"/>
        </w:rPr>
        <w:footnoteReference w:id="27"/>
      </w:r>
      <w:r w:rsidRPr="00F4113C">
        <w:t xml:space="preserve"> In addition, the coagulopathy in liver disease is complex, with evidence based guidelines now questioning the use of blood products to prevent bleeding based on commonly used assays.</w:t>
      </w:r>
      <w:bookmarkStart w:id="104" w:name="_Ref153276263"/>
      <w:r>
        <w:rPr>
          <w:rStyle w:val="FootnoteReference"/>
        </w:rPr>
        <w:footnoteReference w:id="28"/>
      </w:r>
      <w:bookmarkEnd w:id="104"/>
      <w:r>
        <w:t xml:space="preserve"> </w:t>
      </w:r>
      <w:r w:rsidRPr="00F4113C">
        <w:t xml:space="preserve">In liver disease there is a reduction in both </w:t>
      </w:r>
      <w:r w:rsidRPr="00F4113C">
        <w:lastRenderedPageBreak/>
        <w:t>procoagulant and anticoagulant proteins and commonly used assays do not assess the latter or the balance between the two. Whole blood assays have been proposed. Current practice is largely based around opinion and the outcomes presented in support of avatrombopag show that it is effective at achieving a pre-transfusion platelet threshold regarded as acceptable to perform most procedures. Since platelet transfusion is target driven, this effectively reduced transfusion, however it did not reduce bleeding (and assuming platelet transfusions are effective, the studies were not well designed to find this outcome).</w:t>
      </w:r>
    </w:p>
    <w:p w14:paraId="7D5FFA40" w14:textId="648E9B40" w:rsidR="00F4113C" w:rsidRPr="00F4113C" w:rsidRDefault="00F4113C" w:rsidP="00F4113C">
      <w:r w:rsidRPr="00F4113C">
        <w:t>The presented studies included large numbers of procedures that have a proven low risk of bleeding, including paracentesis, which is a procedure that may be repeatedly performed in advanced liver disease to control symptoms, thoracocentesis and endoscopies without planned biopsies.</w:t>
      </w:r>
      <w:r>
        <w:fldChar w:fldCharType="begin"/>
      </w:r>
      <w:r>
        <w:instrText xml:space="preserve"> NOTEREF _Ref153276263 \f \h </w:instrText>
      </w:r>
      <w:r>
        <w:fldChar w:fldCharType="separate"/>
      </w:r>
      <w:r w:rsidR="00197355" w:rsidRPr="00197355">
        <w:rPr>
          <w:rStyle w:val="FootnoteReference"/>
        </w:rPr>
        <w:t>28</w:t>
      </w:r>
      <w:r>
        <w:fldChar w:fldCharType="end"/>
      </w:r>
      <w:r w:rsidRPr="00F4113C">
        <w:t xml:space="preserve"> These procedures are usually performed without platelet transfusion and it is hard to justify adding a novel therapy when the standard of care is to not to increase the platelet count and the risk is known to be low. It would also be paradoxical to exclude avatrombopag use specifically prior to the procedures that made up </w:t>
      </w:r>
      <w:proofErr w:type="gramStart"/>
      <w:r w:rsidRPr="00F4113C">
        <w:t>the majority of</w:t>
      </w:r>
      <w:proofErr w:type="gramEnd"/>
      <w:r w:rsidRPr="00F4113C">
        <w:t xml:space="preserve"> the procedures in the studies.</w:t>
      </w:r>
    </w:p>
    <w:p w14:paraId="1DBBC38D" w14:textId="2DCD85B2" w:rsidR="00F4113C" w:rsidRPr="00F4113C" w:rsidRDefault="00F4113C" w:rsidP="00F4113C">
      <w:r w:rsidRPr="00F4113C">
        <w:t xml:space="preserve">The studies also did not include major surgical procedures. This is unfortunate, since these also carry a risk of thrombosis and understanding this risk with avatrombopag would be useful. However, standard of care currently is the transfusion of platelets, which, carry additional risks, including increasing portal hypertension due to the additional plasma volume. </w:t>
      </w:r>
      <w:r>
        <w:t>The independent expert</w:t>
      </w:r>
      <w:r w:rsidRPr="00F4113C">
        <w:t xml:space="preserve"> would not like to see use in this circumstance prohibited, despite the limited data. As much of the current practice is opinion based, clinicians may feel the individual risk-benefit ratio is in favour of avatrombopag treatment. Current American Gastroenterology Association Guidelines do not limit use to specific procedures, although they do note that no specific therapies are required for low risk procedures, in particular thoracocentesis and paracentesis.</w:t>
      </w:r>
      <w:r>
        <w:fldChar w:fldCharType="begin"/>
      </w:r>
      <w:r>
        <w:instrText xml:space="preserve"> NOTEREF _Ref153276263 \f \h </w:instrText>
      </w:r>
      <w:r>
        <w:fldChar w:fldCharType="separate"/>
      </w:r>
      <w:r w:rsidR="00197355" w:rsidRPr="00197355">
        <w:rPr>
          <w:rStyle w:val="FootnoteReference"/>
        </w:rPr>
        <w:t>28</w:t>
      </w:r>
      <w:r>
        <w:fldChar w:fldCharType="end"/>
      </w:r>
      <w:r w:rsidRPr="00F4113C">
        <w:t xml:space="preserve"> It could be reasonable to consider use cirrhosis prior to procedures when platelet transfusion would otherwise be indicated.</w:t>
      </w:r>
    </w:p>
    <w:p w14:paraId="4749A807" w14:textId="48697D63" w:rsidR="00F4113C" w:rsidRPr="00F4113C" w:rsidRDefault="00F4113C" w:rsidP="00F4113C">
      <w:pPr>
        <w:pStyle w:val="Heading5"/>
      </w:pPr>
      <w:r w:rsidRPr="00F4113C">
        <w:t>Avatrombopag for immune thrombocytopenia</w:t>
      </w:r>
    </w:p>
    <w:p w14:paraId="6FBFEA09" w14:textId="77777777" w:rsidR="00F4113C" w:rsidRPr="00F4113C" w:rsidRDefault="00F4113C" w:rsidP="00F4113C">
      <w:pPr>
        <w:pStyle w:val="Numberbullet0"/>
        <w:numPr>
          <w:ilvl w:val="0"/>
          <w:numId w:val="38"/>
        </w:numPr>
        <w:rPr>
          <w:b/>
          <w:bCs/>
          <w:i/>
          <w:iCs/>
        </w:rPr>
      </w:pPr>
      <w:r w:rsidRPr="00F4113C">
        <w:rPr>
          <w:b/>
          <w:bCs/>
          <w:i/>
          <w:iCs/>
        </w:rPr>
        <w:t>Please comment on whether the patients in the ITP studies are representative of Australian patients who may be considered for avatrombopag for the ITP indication.</w:t>
      </w:r>
    </w:p>
    <w:p w14:paraId="0FAF142A" w14:textId="67E39832" w:rsidR="00F4113C" w:rsidRPr="00F4113C" w:rsidRDefault="00F4113C" w:rsidP="00F4113C">
      <w:r w:rsidRPr="00F4113C">
        <w:t xml:space="preserve">The pivotal study recruited from multiple countries, including Australia, with inclusion criteria that are consistent with typical ITP patients requiring treatment in Australia. An important consideration is the ethnicity of participants in the clinical development program, since it is known that there are pharmacokinetic differences between East Asians and Caucasians with </w:t>
      </w:r>
      <w:proofErr w:type="spellStart"/>
      <w:r w:rsidRPr="00F4113C">
        <w:t>eltrombopag</w:t>
      </w:r>
      <w:proofErr w:type="spellEnd"/>
      <w:r w:rsidRPr="00F4113C">
        <w:t>, which needs to be considered in Australian clinical practice. These differences are not seen with avatrombopag.</w:t>
      </w:r>
      <w:r w:rsidR="00564EF6">
        <w:rPr>
          <w:rStyle w:val="FootnoteReference"/>
        </w:rPr>
        <w:footnoteReference w:id="29"/>
      </w:r>
      <w:r w:rsidR="00564EF6" w:rsidRPr="00F4113C">
        <w:t xml:space="preserve"> </w:t>
      </w:r>
    </w:p>
    <w:p w14:paraId="530B6023" w14:textId="24D59079" w:rsidR="006E5CA9" w:rsidRPr="006E5CA9" w:rsidRDefault="00F4113C" w:rsidP="006E5CA9">
      <w:pPr>
        <w:pStyle w:val="Numberbullet0"/>
        <w:rPr>
          <w:b/>
          <w:bCs/>
          <w:i/>
          <w:iCs/>
        </w:rPr>
      </w:pPr>
      <w:r w:rsidRPr="00F4113C">
        <w:rPr>
          <w:b/>
          <w:bCs/>
          <w:i/>
          <w:iCs/>
        </w:rPr>
        <w:t>The median duration of exposure was 6.8 months across the avatrombopag clinical trial program. The sponsor states the mean length of time patients are treated with the available thrombopoietin receptor agonists is less than one year. Is this consistent with the clinical experience for patients in Australia?</w:t>
      </w:r>
    </w:p>
    <w:p w14:paraId="468C7528" w14:textId="593D2BDB" w:rsidR="00F4113C" w:rsidRPr="00F4113C" w:rsidRDefault="00564EF6" w:rsidP="00F4113C">
      <w:r>
        <w:t>The independent expert</w:t>
      </w:r>
      <w:r w:rsidR="00F4113C" w:rsidRPr="00F4113C">
        <w:t xml:space="preserve"> </w:t>
      </w:r>
      <w:r>
        <w:t xml:space="preserve">is </w:t>
      </w:r>
      <w:r w:rsidR="00F4113C" w:rsidRPr="00F4113C">
        <w:t xml:space="preserve">not aware of the median or mean duration of TPO mimetic therapy in Australia, although these data are likely obtainable from Medicare Australia. However, </w:t>
      </w:r>
      <w:r>
        <w:t>the independent expert does</w:t>
      </w:r>
      <w:r w:rsidR="00F4113C" w:rsidRPr="00F4113C">
        <w:t xml:space="preserve"> not believe that either of these measures is a clinically appropriate time frame for safety data for the ITP indication. ITP is a chronic condition. TPO mimetics are commenced usually in relapsed and refractory chronic ITP adults as </w:t>
      </w:r>
      <w:proofErr w:type="gramStart"/>
      <w:r w:rsidR="00F4113C" w:rsidRPr="00F4113C">
        <w:t>long term</w:t>
      </w:r>
      <w:proofErr w:type="gramEnd"/>
      <w:r w:rsidR="00F4113C" w:rsidRPr="00F4113C">
        <w:t xml:space="preserve"> therapy. Responding patients may remain on treatment for many years. Data about average duration of therapy will reflect responders and non-responders and is therefore not representative of the </w:t>
      </w:r>
      <w:r w:rsidR="00F4113C" w:rsidRPr="00F4113C">
        <w:lastRenderedPageBreak/>
        <w:t>intended therapy duration for which safety data should be available. The extension arm of</w:t>
      </w:r>
      <w:r>
        <w:t xml:space="preserve"> Study </w:t>
      </w:r>
      <w:r w:rsidR="00F4113C" w:rsidRPr="00F4113C">
        <w:t xml:space="preserve">302 is reflective of the need for long term therapy. In clinical practice, responding patients remain on therapy indefinitely and the </w:t>
      </w:r>
      <w:r>
        <w:t>P</w:t>
      </w:r>
      <w:r w:rsidR="00F4113C" w:rsidRPr="00F4113C">
        <w:t xml:space="preserve">hase </w:t>
      </w:r>
      <w:r>
        <w:t>IV</w:t>
      </w:r>
      <w:r w:rsidR="00F4113C" w:rsidRPr="00F4113C">
        <w:t xml:space="preserve"> data will provide additional safety data to meet that need.</w:t>
      </w:r>
    </w:p>
    <w:p w14:paraId="157766DC" w14:textId="67130B9E" w:rsidR="00F4113C" w:rsidRPr="00F4113C" w:rsidRDefault="00F4113C" w:rsidP="00F4113C">
      <w:pPr>
        <w:pStyle w:val="Numberbullet0"/>
        <w:rPr>
          <w:b/>
          <w:bCs/>
          <w:i/>
          <w:iCs/>
        </w:rPr>
      </w:pPr>
      <w:r w:rsidRPr="00F4113C">
        <w:rPr>
          <w:b/>
          <w:bCs/>
          <w:i/>
          <w:iCs/>
        </w:rPr>
        <w:t xml:space="preserve">Only 76 patients with ITP received the proposed dose. The sponsor proposes to provide data from two Phase </w:t>
      </w:r>
      <w:r w:rsidR="00564EF6">
        <w:rPr>
          <w:b/>
          <w:bCs/>
          <w:i/>
          <w:iCs/>
        </w:rPr>
        <w:t>IV</w:t>
      </w:r>
      <w:r w:rsidRPr="00F4113C">
        <w:rPr>
          <w:b/>
          <w:bCs/>
          <w:i/>
          <w:iCs/>
        </w:rPr>
        <w:t xml:space="preserve"> studies that are currently enrolling once they are complete. From a clinical perspective is this sufficient efficacy and safety data to support the availability of avatrombopag for Australian patients with ITP in the second-line setting?</w:t>
      </w:r>
    </w:p>
    <w:p w14:paraId="20B1CBE8" w14:textId="6D80BC6A" w:rsidR="00F4113C" w:rsidRPr="00F4113C" w:rsidRDefault="00F4113C" w:rsidP="00F4113C">
      <w:r w:rsidRPr="00F4113C">
        <w:t xml:space="preserve">The efficacy data shows clear responses and are adequate to establish efficacy despite the low numbers. Comparative data with other TPO mimetics would be of value, however the study comparing avatrombopag with </w:t>
      </w:r>
      <w:proofErr w:type="spellStart"/>
      <w:r w:rsidRPr="00F4113C">
        <w:t>eltrombopag</w:t>
      </w:r>
      <w:proofErr w:type="spellEnd"/>
      <w:r w:rsidRPr="00F4113C">
        <w:t xml:space="preserve"> was ceased due to poor recruitment. The comparative safety data from </w:t>
      </w:r>
      <w:r w:rsidR="00564EF6">
        <w:t>S</w:t>
      </w:r>
      <w:r w:rsidRPr="00F4113C">
        <w:t xml:space="preserve">tudies 302, 305, 003 and 004 are very limited due to the very short duration of placebo and very limited number of </w:t>
      </w:r>
      <w:proofErr w:type="spellStart"/>
      <w:r w:rsidRPr="00F4113C">
        <w:t>eltrombopag</w:t>
      </w:r>
      <w:proofErr w:type="spellEnd"/>
      <w:r w:rsidR="00564EF6">
        <w:t xml:space="preserve"> </w:t>
      </w:r>
      <w:r w:rsidRPr="00F4113C">
        <w:t xml:space="preserve">treated patients with which to compare. Effectively, the incidence of adverse events from avatrombopag in ITP is single arm data for this reason. For safety assessment, it is appropriate to examine the entire clinical development program, as has been done, </w:t>
      </w:r>
      <w:proofErr w:type="gramStart"/>
      <w:r w:rsidRPr="00F4113C">
        <w:t>and also</w:t>
      </w:r>
      <w:proofErr w:type="gramEnd"/>
      <w:r w:rsidRPr="00F4113C">
        <w:t xml:space="preserve"> to consider other TPO mimetics. In this regard, there is insufficient data on the effect on stem cells and thrombotic risk. It is noted that myelodysplastic syndrome and higher thrombotic risks were exclusion criteria from </w:t>
      </w:r>
      <w:r w:rsidR="00564EF6">
        <w:t>S</w:t>
      </w:r>
      <w:r w:rsidRPr="00F4113C">
        <w:t xml:space="preserve">tudy 302. It is also noted that while no rebound thrombocytopenia was noted, </w:t>
      </w:r>
      <w:r w:rsidR="00564EF6">
        <w:t>S</w:t>
      </w:r>
      <w:r w:rsidRPr="00F4113C">
        <w:t>tudy 302 design incorporated a dose taper at the end of treatment, a strategy specifically designed to prevent rebound thrombocytopenia. Therefore</w:t>
      </w:r>
      <w:r w:rsidR="00564EF6">
        <w:t>,</w:t>
      </w:r>
      <w:r w:rsidRPr="00F4113C">
        <w:t xml:space="preserve"> while </w:t>
      </w:r>
      <w:r w:rsidR="00564EF6">
        <w:t>the</w:t>
      </w:r>
      <w:r w:rsidRPr="00F4113C">
        <w:t xml:space="preserve"> availability is reasonable, longer term safety data are highly desirable.</w:t>
      </w:r>
    </w:p>
    <w:p w14:paraId="318CFABC" w14:textId="77777777" w:rsidR="00C22214" w:rsidRPr="00F73346" w:rsidRDefault="00C22214" w:rsidP="00C22214">
      <w:pPr>
        <w:pStyle w:val="Heading4"/>
      </w:pPr>
      <w:bookmarkStart w:id="105" w:name="_Toc98931936"/>
      <w:bookmarkStart w:id="106" w:name="_Toc247691532"/>
      <w:bookmarkStart w:id="107" w:name="_Toc314842516"/>
      <w:bookmarkStart w:id="108" w:name="_Toc158284408"/>
      <w:r w:rsidRPr="00F73346">
        <w:t>Advisory Committee considerations</w:t>
      </w:r>
      <w:bookmarkEnd w:id="105"/>
      <w:bookmarkEnd w:id="108"/>
    </w:p>
    <w:p w14:paraId="15E2951C" w14:textId="7356E000" w:rsidR="00C22214" w:rsidRPr="00BD5DBD" w:rsidRDefault="00C22214" w:rsidP="00C22214">
      <w:pPr>
        <w:rPr>
          <w:szCs w:val="22"/>
        </w:rPr>
      </w:pPr>
      <w:r w:rsidRPr="00BD5DBD">
        <w:rPr>
          <w:szCs w:val="22"/>
        </w:rPr>
        <w:t>The Delegate did not refer this submission to the Advisory Committee on Medicines</w:t>
      </w:r>
      <w:r w:rsidR="00F4113C">
        <w:rPr>
          <w:szCs w:val="22"/>
        </w:rPr>
        <w:t xml:space="preserve"> (</w:t>
      </w:r>
      <w:r w:rsidRPr="00BD5DBD">
        <w:rPr>
          <w:szCs w:val="22"/>
        </w:rPr>
        <w:t>ACM) for advice.</w:t>
      </w:r>
    </w:p>
    <w:p w14:paraId="307F236C" w14:textId="77777777" w:rsidR="00C22214" w:rsidRPr="002E238E" w:rsidRDefault="00C22214" w:rsidP="00C22214">
      <w:pPr>
        <w:pStyle w:val="Heading2"/>
      </w:pPr>
      <w:bookmarkStart w:id="109" w:name="_Toc103679300"/>
      <w:bookmarkStart w:id="110" w:name="_Toc158284409"/>
      <w:r>
        <w:t>Outcome</w:t>
      </w:r>
      <w:bookmarkEnd w:id="106"/>
      <w:bookmarkEnd w:id="107"/>
      <w:bookmarkEnd w:id="109"/>
      <w:bookmarkEnd w:id="110"/>
    </w:p>
    <w:p w14:paraId="4EF22939" w14:textId="2B9F1DB3" w:rsidR="00C22214" w:rsidRDefault="00C22214" w:rsidP="00006B55">
      <w:pPr>
        <w:rPr>
          <w:szCs w:val="22"/>
        </w:rPr>
      </w:pPr>
      <w:r w:rsidRPr="00BD5DBD">
        <w:rPr>
          <w:szCs w:val="22"/>
        </w:rPr>
        <w:t xml:space="preserve">Based on a review of quality, safety, and efficacy, the TGA approved the registration of </w:t>
      </w:r>
      <w:r w:rsidR="00006B55" w:rsidRPr="00006B55">
        <w:rPr>
          <w:szCs w:val="22"/>
        </w:rPr>
        <w:t>Doptelet (avatrombopag) 20 mg, tablet, blister pack</w:t>
      </w:r>
      <w:r w:rsidRPr="00BD5DBD">
        <w:rPr>
          <w:szCs w:val="22"/>
        </w:rPr>
        <w:t>, indicated for:</w:t>
      </w:r>
    </w:p>
    <w:p w14:paraId="1289DAC9" w14:textId="11881949" w:rsidR="00006B55" w:rsidRPr="00006B55" w:rsidRDefault="00006B55" w:rsidP="00006B55">
      <w:pPr>
        <w:ind w:left="720"/>
        <w:rPr>
          <w:i/>
          <w:iCs/>
          <w:szCs w:val="22"/>
        </w:rPr>
      </w:pPr>
      <w:r w:rsidRPr="00006B55">
        <w:rPr>
          <w:i/>
          <w:iCs/>
          <w:szCs w:val="22"/>
        </w:rPr>
        <w:t>Doptelet is indicated for the treatment of thrombocytopenia in adult patients with chronic liver disease who are scheduled to undergo a procedure.</w:t>
      </w:r>
    </w:p>
    <w:p w14:paraId="12433485" w14:textId="7EEC4C7D" w:rsidR="00006B55" w:rsidRPr="00006B55" w:rsidRDefault="00006B55" w:rsidP="00006B55">
      <w:pPr>
        <w:ind w:left="720"/>
        <w:rPr>
          <w:i/>
          <w:iCs/>
          <w:szCs w:val="22"/>
        </w:rPr>
      </w:pPr>
      <w:r w:rsidRPr="00006B55">
        <w:rPr>
          <w:i/>
          <w:iCs/>
          <w:szCs w:val="22"/>
        </w:rPr>
        <w:t>Doptelet is indicated for the treatment of thrombocytopenia in adult patients with chronic immune thrombocytopenia (ITP) who have had an insufficient response to a previous treatment.</w:t>
      </w:r>
    </w:p>
    <w:p w14:paraId="0D732DA4" w14:textId="77777777" w:rsidR="00854D98" w:rsidRPr="00D23139" w:rsidRDefault="00854D98" w:rsidP="00854D98">
      <w:pPr>
        <w:pStyle w:val="Heading3"/>
      </w:pPr>
      <w:bookmarkStart w:id="111" w:name="_Toc103679301"/>
      <w:bookmarkStart w:id="112" w:name="_Toc158284410"/>
      <w:r w:rsidRPr="00D23139">
        <w:t>Specific conditions of registration applying to these goods</w:t>
      </w:r>
      <w:bookmarkEnd w:id="111"/>
      <w:bookmarkEnd w:id="112"/>
    </w:p>
    <w:p w14:paraId="307C4872" w14:textId="77777777" w:rsidR="00305CA5" w:rsidRDefault="00006B55" w:rsidP="00006B55">
      <w:pPr>
        <w:pStyle w:val="ListBullet"/>
      </w:pPr>
      <w:r w:rsidRPr="00006B55">
        <w:t>D</w:t>
      </w:r>
      <w:r>
        <w:t>optelet</w:t>
      </w:r>
      <w:r w:rsidRPr="00006B55">
        <w:t xml:space="preserve"> (avatrombopag maleate) is to be included in the Black Triangle Scheme. The </w:t>
      </w:r>
      <w:r>
        <w:t>product information (</w:t>
      </w:r>
      <w:r w:rsidRPr="00006B55">
        <w:t>PI</w:t>
      </w:r>
      <w:r>
        <w:t xml:space="preserve">) </w:t>
      </w:r>
      <w:r w:rsidRPr="00006B55">
        <w:t xml:space="preserve">and </w:t>
      </w:r>
      <w:r>
        <w:t xml:space="preserve">Consumer Medicines Information (CMI) </w:t>
      </w:r>
      <w:r w:rsidRPr="00006B55">
        <w:t>for D</w:t>
      </w:r>
      <w:r>
        <w:t>optelet</w:t>
      </w:r>
      <w:r w:rsidRPr="00006B55">
        <w:t xml:space="preserve"> must include the black triangle symbol and mandatory accompanying text for five years, which starts from the date that the sponsor notifies the TGA of supply of the product</w:t>
      </w:r>
      <w:r w:rsidR="00305CA5">
        <w:t>.</w:t>
      </w:r>
    </w:p>
    <w:p w14:paraId="52D01FCA" w14:textId="5E9FB8AA" w:rsidR="00006B55" w:rsidRPr="00006B55" w:rsidRDefault="00006B55" w:rsidP="00006B55">
      <w:pPr>
        <w:pStyle w:val="ListBullet"/>
      </w:pPr>
      <w:r w:rsidRPr="00006B55">
        <w:t>The Doptelet EU-RMP (version 2.7, dated 10 December 2020; DLP 20 November 2020), with Australia</w:t>
      </w:r>
      <w:r w:rsidR="00E9222E">
        <w:t>-</w:t>
      </w:r>
      <w:r>
        <w:t>s</w:t>
      </w:r>
      <w:r w:rsidRPr="00006B55">
        <w:t xml:space="preserve">pecific </w:t>
      </w:r>
      <w:r>
        <w:t>a</w:t>
      </w:r>
      <w:r w:rsidRPr="00006B55">
        <w:t>nnex (version 1.3, dated May</w:t>
      </w:r>
      <w:r>
        <w:t> </w:t>
      </w:r>
      <w:r w:rsidRPr="00006B55">
        <w:t xml:space="preserve">2022), included with </w:t>
      </w:r>
      <w:r>
        <w:t>S</w:t>
      </w:r>
      <w:r w:rsidRPr="00006B55">
        <w:t>ubmission PM</w:t>
      </w:r>
      <w:r w:rsidR="00E9222E">
        <w:noBreakHyphen/>
      </w:r>
      <w:r w:rsidRPr="00006B55">
        <w:t>2021</w:t>
      </w:r>
      <w:r w:rsidR="00E9222E">
        <w:noBreakHyphen/>
      </w:r>
      <w:r w:rsidRPr="00006B55">
        <w:t>04302-1-6, and any subsequent revisions, as agreed with the TGA will be implemented in Australia.</w:t>
      </w:r>
    </w:p>
    <w:p w14:paraId="6F8EFCE8" w14:textId="77777777" w:rsidR="00305CA5" w:rsidRDefault="00006B55" w:rsidP="00006B55">
      <w:pPr>
        <w:pStyle w:val="ListBullet"/>
        <w:numPr>
          <w:ilvl w:val="0"/>
          <w:numId w:val="0"/>
        </w:numPr>
        <w:ind w:left="360"/>
      </w:pPr>
      <w:r w:rsidRPr="00006B55">
        <w:lastRenderedPageBreak/>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w:t>
      </w:r>
      <w:r>
        <w:t>e</w:t>
      </w:r>
      <w:r w:rsidRPr="00006B55">
        <w:t xml:space="preserve"> approval letter. The reports are to at least meet the requirements for PSURs as described in the European Medicines Agency’s Guideline on </w:t>
      </w:r>
      <w:r>
        <w:t>G</w:t>
      </w:r>
      <w:r w:rsidRPr="00006B55">
        <w:t xml:space="preserve">ood </w:t>
      </w:r>
      <w:r>
        <w:t>P</w:t>
      </w:r>
      <w:r w:rsidRPr="00006B55">
        <w:t xml:space="preserve">harmacovigilance </w:t>
      </w:r>
      <w:r>
        <w:t>P</w:t>
      </w:r>
      <w:r w:rsidRPr="00006B55">
        <w:t>ractices (GVP) Module VII- periodic safety update report (Rev 1), Part VII.B Structures and processes. Note that submission of a PSUR does not constitute an application to vary the registration</w:t>
      </w:r>
      <w:r w:rsidR="00305CA5">
        <w:t>.</w:t>
      </w:r>
    </w:p>
    <w:p w14:paraId="71C6D092" w14:textId="2AF40C77" w:rsidR="00006B55" w:rsidRDefault="00006B55" w:rsidP="00006B55">
      <w:pPr>
        <w:pStyle w:val="ListBullet"/>
      </w:pPr>
      <w:r w:rsidRPr="00006B55">
        <w:t>Submit the final clinical study report for study AVA-ITP-401 (NCT04638829) for evaluation once completed.</w:t>
      </w:r>
    </w:p>
    <w:p w14:paraId="79BDC30A" w14:textId="0394556F" w:rsidR="00006B55" w:rsidRPr="00006B55" w:rsidRDefault="00006B55" w:rsidP="00006B55">
      <w:pPr>
        <w:pStyle w:val="ListBullet"/>
      </w:pPr>
      <w:r w:rsidRPr="00006B55">
        <w:t>Submit the final clinical study report for study Sobi.Doptelet-001(NCT04943042) for evaluation once completed.</w:t>
      </w:r>
    </w:p>
    <w:p w14:paraId="451DC3FC" w14:textId="77777777" w:rsidR="00C22214" w:rsidRDefault="00C22214" w:rsidP="00C22214">
      <w:pPr>
        <w:pStyle w:val="Heading2"/>
      </w:pPr>
      <w:bookmarkStart w:id="113" w:name="_Toc103679303"/>
      <w:bookmarkStart w:id="114" w:name="_Toc158284411"/>
      <w:r>
        <w:t>Attachment 1. Product Information</w:t>
      </w:r>
      <w:bookmarkEnd w:id="113"/>
      <w:bookmarkEnd w:id="114"/>
    </w:p>
    <w:p w14:paraId="40740B65" w14:textId="2EEBC50F" w:rsidR="00C22214" w:rsidRPr="00006B55" w:rsidRDefault="00C94BBC" w:rsidP="00006B55">
      <w:pPr>
        <w:rPr>
          <w:szCs w:val="22"/>
        </w:rPr>
      </w:pPr>
      <w:r w:rsidRPr="00BD5DBD">
        <w:rPr>
          <w:szCs w:val="22"/>
        </w:rPr>
        <w:t xml:space="preserve">The </w:t>
      </w:r>
      <w:hyperlink r:id="rId54" w:history="1">
        <w:r w:rsidRPr="00BD5DBD">
          <w:rPr>
            <w:rStyle w:val="Hyperlink"/>
            <w:szCs w:val="22"/>
          </w:rPr>
          <w:t>Product Information</w:t>
        </w:r>
      </w:hyperlink>
      <w:r w:rsidRPr="00BD5DBD">
        <w:rPr>
          <w:szCs w:val="22"/>
        </w:rPr>
        <w:t xml:space="preserve"> (</w:t>
      </w:r>
      <w:hyperlink r:id="rId55" w:history="1">
        <w:r w:rsidRPr="00BD5DBD">
          <w:rPr>
            <w:rStyle w:val="Hyperlink"/>
            <w:szCs w:val="22"/>
          </w:rPr>
          <w:t>PI</w:t>
        </w:r>
      </w:hyperlink>
      <w:r w:rsidRPr="00BD5DBD">
        <w:rPr>
          <w:szCs w:val="22"/>
        </w:rPr>
        <w:t>) approved with the submission</w:t>
      </w:r>
      <w:r w:rsidRPr="0017005C">
        <w:rPr>
          <w:szCs w:val="22"/>
        </w:rPr>
        <w:t xml:space="preserve"> </w:t>
      </w:r>
      <w:r w:rsidRPr="00BD5DBD">
        <w:rPr>
          <w:szCs w:val="22"/>
        </w:rPr>
        <w:t xml:space="preserve">for </w:t>
      </w:r>
      <w:r w:rsidR="00006B55">
        <w:rPr>
          <w:szCs w:val="22"/>
        </w:rPr>
        <w:t>Doptelet</w:t>
      </w:r>
      <w:r>
        <w:t xml:space="preserve"> </w:t>
      </w:r>
      <w:r w:rsidRPr="00BD5DBD">
        <w:rPr>
          <w:szCs w:val="22"/>
        </w:rPr>
        <w:t xml:space="preserve">which is described in this AusPAR can be found as Attachment 1. </w:t>
      </w:r>
      <w:r>
        <w:t xml:space="preserve">It may have been superseded. </w:t>
      </w:r>
      <w:r w:rsidRPr="00BD5DBD">
        <w:rPr>
          <w:szCs w:val="22"/>
        </w:rPr>
        <w:t xml:space="preserve">For the most recent PI and </w:t>
      </w:r>
      <w:hyperlink r:id="rId56" w:history="1">
        <w:r w:rsidRPr="00BD5DBD">
          <w:rPr>
            <w:rStyle w:val="Hyperlink"/>
            <w:szCs w:val="22"/>
          </w:rPr>
          <w:t>Consumer Medicines Information</w:t>
        </w:r>
      </w:hyperlink>
      <w:r w:rsidRPr="00BD5DBD">
        <w:rPr>
          <w:szCs w:val="22"/>
        </w:rPr>
        <w:t xml:space="preserve"> (CMI), please refer to the TGA </w:t>
      </w:r>
      <w:hyperlink r:id="rId57" w:history="1">
        <w:r w:rsidRPr="00BD5DBD">
          <w:rPr>
            <w:rStyle w:val="Hyperlink"/>
            <w:szCs w:val="22"/>
          </w:rPr>
          <w:t>PI/CMI search facility.</w:t>
        </w:r>
      </w:hyperlink>
      <w:r w:rsidR="00C22214" w:rsidRPr="00C80137">
        <w:rPr>
          <w:b/>
        </w:rPr>
        <w:br w:type="page"/>
      </w:r>
    </w:p>
    <w:p w14:paraId="53357BF3" w14:textId="276457B5" w:rsidR="00C22214" w:rsidRDefault="00C22214" w:rsidP="00C22214">
      <w:pPr>
        <w:rPr>
          <w:lang w:eastAsia="ja-JP"/>
        </w:rPr>
        <w:sectPr w:rsidR="00C22214" w:rsidSect="007452E8">
          <w:headerReference w:type="default" r:id="rId58"/>
          <w:footerReference w:type="default" r:id="rId5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3E824A5E" w:rsidR="00F02AEC" w:rsidRDefault="00F02AEC">
            <w:pPr>
              <w:pStyle w:val="Address"/>
              <w:jc w:val="center"/>
              <w:rPr>
                <w:sz w:val="22"/>
                <w:szCs w:val="22"/>
              </w:rPr>
            </w:pPr>
            <w:r w:rsidRPr="00215D48">
              <w:t xml:space="preserve">Email: </w:t>
            </w:r>
            <w:hyperlink r:id="rId60" w:history="1">
              <w:r w:rsidRPr="00215D48">
                <w:rPr>
                  <w:rStyle w:val="Hyperlink"/>
                </w:rPr>
                <w:t>info@tga.gov.au</w:t>
              </w:r>
            </w:hyperlink>
            <w:r w:rsidR="00305CA5">
              <w:t xml:space="preserve"> </w:t>
            </w:r>
            <w:r w:rsidRPr="00215D48">
              <w:t>Phone: 1800 020 653</w:t>
            </w:r>
            <w:r w:rsidR="00305CA5">
              <w:t xml:space="preserve"> </w:t>
            </w:r>
            <w:r w:rsidRPr="00215D48">
              <w:t xml:space="preserve">Fax: </w:t>
            </w:r>
            <w:r w:rsidRPr="00BA0DFC">
              <w:t>02 6203 1605</w:t>
            </w:r>
          </w:p>
          <w:p w14:paraId="4533D80F" w14:textId="6B58ABA1" w:rsidR="00F02AEC" w:rsidRPr="00215D48" w:rsidRDefault="008A4248">
            <w:pPr>
              <w:pStyle w:val="Address"/>
              <w:jc w:val="center"/>
              <w:rPr>
                <w:rStyle w:val="Hyperlink"/>
                <w:b/>
                <w:color w:val="auto"/>
                <w:sz w:val="22"/>
              </w:rPr>
            </w:pPr>
            <w:hyperlink r:id="rId6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62"/>
      <w:footerReference w:type="first" r:id="rId6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5EB9" w14:textId="77777777" w:rsidR="001A1677" w:rsidRDefault="001A1677" w:rsidP="00F02AEC">
      <w:pPr>
        <w:spacing w:after="0" w:line="240" w:lineRule="auto"/>
      </w:pPr>
      <w:r>
        <w:separator/>
      </w:r>
    </w:p>
  </w:endnote>
  <w:endnote w:type="continuationSeparator" w:id="0">
    <w:p w14:paraId="7AB996E8" w14:textId="77777777" w:rsidR="001A1677" w:rsidRDefault="001A167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auto"/>
    <w:notTrueType/>
    <w:pitch w:val="default"/>
    <w:sig w:usb0="00000003"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8A4248">
                <w:fldChar w:fldCharType="begin"/>
              </w:r>
              <w:r w:rsidR="008A4248">
                <w:instrText xml:space="preserve"> NUMPAGES  </w:instrText>
              </w:r>
              <w:r w:rsidR="008A4248">
                <w:fldChar w:fldCharType="separate"/>
              </w:r>
              <w:r>
                <w:rPr>
                  <w:noProof/>
                </w:rPr>
                <w:t>2</w:t>
              </w:r>
              <w:r w:rsidR="008A4248">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43EBB10A" w14:textId="11CF498B" w:rsidR="00C634CD" w:rsidRDefault="007452E8" w:rsidP="007452E8">
          <w:pPr>
            <w:pStyle w:val="Footer"/>
          </w:pPr>
          <w:r w:rsidRPr="00487162">
            <w:t>AusPA</w:t>
          </w:r>
          <w:r>
            <w:t xml:space="preserve">R - </w:t>
          </w:r>
          <w:r w:rsidR="00C634CD" w:rsidRPr="00C634CD">
            <w:t xml:space="preserve">Doptelet - </w:t>
          </w:r>
          <w:r w:rsidR="004F36C6">
            <w:t>A</w:t>
          </w:r>
          <w:r w:rsidR="00C634CD" w:rsidRPr="00C634CD">
            <w:t xml:space="preserve">vatrombopag - Swedish Orphan Biovitrum Pty Ltd </w:t>
          </w:r>
          <w:r w:rsidR="00C634CD">
            <w:t>–</w:t>
          </w:r>
          <w:r w:rsidR="00C634CD" w:rsidRPr="00C634CD">
            <w:t xml:space="preserve"> PM</w:t>
          </w:r>
          <w:r w:rsidR="00C94BBC">
            <w:t>-</w:t>
          </w:r>
          <w:r w:rsidR="00C634CD" w:rsidRPr="00C634CD">
            <w:t>2021</w:t>
          </w:r>
          <w:r w:rsidR="00C94BBC">
            <w:t>-</w:t>
          </w:r>
          <w:r w:rsidR="00C634CD" w:rsidRPr="00C634CD">
            <w:t>04302-1-6</w:t>
          </w:r>
        </w:p>
        <w:p w14:paraId="3C421323" w14:textId="4E3513FC" w:rsidR="007452E8" w:rsidRPr="004A3084" w:rsidRDefault="00197355" w:rsidP="007452E8">
          <w:pPr>
            <w:pStyle w:val="Footer"/>
          </w:pPr>
          <w:r>
            <w:t xml:space="preserve">Final 7 February </w:t>
          </w:r>
          <w:r w:rsidR="00F44732">
            <w:t>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8A4248">
                <w:fldChar w:fldCharType="begin"/>
              </w:r>
              <w:r w:rsidR="008A4248">
                <w:instrText xml:space="preserve"> NUMPAGES  </w:instrText>
              </w:r>
              <w:r w:rsidR="008A4248">
                <w:fldChar w:fldCharType="separate"/>
              </w:r>
              <w:r w:rsidR="006D6B44">
                <w:rPr>
                  <w:noProof/>
                </w:rPr>
                <w:t>17</w:t>
              </w:r>
              <w:r w:rsidR="008A4248">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3783B" w14:textId="77777777" w:rsidR="001A1677" w:rsidRDefault="001A1677" w:rsidP="00F02AEC">
      <w:pPr>
        <w:spacing w:after="0" w:line="240" w:lineRule="auto"/>
      </w:pPr>
      <w:r>
        <w:separator/>
      </w:r>
    </w:p>
  </w:footnote>
  <w:footnote w:type="continuationSeparator" w:id="0">
    <w:p w14:paraId="16F24E4D" w14:textId="77777777" w:rsidR="001A1677" w:rsidRDefault="001A1677"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4EC11471" w14:textId="604DA6EE" w:rsidR="00EB163F" w:rsidRDefault="00EB163F">
      <w:pPr>
        <w:pStyle w:val="FootnoteText"/>
      </w:pPr>
      <w:r>
        <w:rPr>
          <w:rStyle w:val="FootnoteReference"/>
        </w:rPr>
        <w:footnoteRef/>
      </w:r>
      <w:r>
        <w:t xml:space="preserve"> </w:t>
      </w:r>
      <w:r w:rsidR="00DA7636">
        <w:t>Peck-</w:t>
      </w:r>
      <w:proofErr w:type="spellStart"/>
      <w:r w:rsidR="00EA16E8">
        <w:t>Radodaljevic</w:t>
      </w:r>
      <w:proofErr w:type="spellEnd"/>
      <w:r w:rsidR="00EA16E8">
        <w:t xml:space="preserve">, M. </w:t>
      </w:r>
      <w:r w:rsidR="00A2730D" w:rsidRPr="00A2730D">
        <w:t xml:space="preserve">Thrombocytopenia in chronic liver disease </w:t>
      </w:r>
      <w:r w:rsidR="00A2730D" w:rsidRPr="00A2730D">
        <w:rPr>
          <w:i/>
          <w:iCs/>
        </w:rPr>
        <w:t>Liver International</w:t>
      </w:r>
      <w:r w:rsidR="00A2730D" w:rsidRPr="00A2730D">
        <w:t xml:space="preserve"> 2016</w:t>
      </w:r>
      <w:r w:rsidR="00A2730D">
        <w:t xml:space="preserve">; available from </w:t>
      </w:r>
      <w:hyperlink r:id="rId1" w:history="1">
        <w:r w:rsidR="00A2730D" w:rsidRPr="00FA0FE9">
          <w:rPr>
            <w:rStyle w:val="Hyperlink"/>
          </w:rPr>
          <w:t>https://onlinelibrary.wiley.com/doi/epdf/10.1111/liv.13317</w:t>
        </w:r>
      </w:hyperlink>
    </w:p>
  </w:footnote>
  <w:footnote w:id="3">
    <w:p w14:paraId="3301038E" w14:textId="0EDC7585" w:rsidR="00303408" w:rsidRDefault="00303408">
      <w:pPr>
        <w:pStyle w:val="FootnoteText"/>
      </w:pPr>
      <w:r>
        <w:rPr>
          <w:rStyle w:val="FootnoteReference"/>
        </w:rPr>
        <w:footnoteRef/>
      </w:r>
      <w:r>
        <w:t xml:space="preserve"> </w:t>
      </w:r>
      <w:r w:rsidRPr="00303408">
        <w:t>Khan M</w:t>
      </w:r>
      <w:r w:rsidR="008D6D2D">
        <w:t>.</w:t>
      </w:r>
      <w:r w:rsidR="009D1D88">
        <w:t xml:space="preserve"> et al.</w:t>
      </w:r>
      <w:r w:rsidRPr="00303408">
        <w:t xml:space="preserve"> A review of immune thrombocytopenic purpura: focus on the novel thrombopoietin agonists</w:t>
      </w:r>
      <w:r w:rsidR="009D1D88">
        <w:t xml:space="preserve">, </w:t>
      </w:r>
      <w:r w:rsidRPr="009D1D88">
        <w:rPr>
          <w:i/>
          <w:iCs/>
        </w:rPr>
        <w:t>Blood Med</w:t>
      </w:r>
      <w:r w:rsidR="009D1D88">
        <w:t xml:space="preserve">, </w:t>
      </w:r>
      <w:r w:rsidRPr="00303408">
        <w:t>2010;</w:t>
      </w:r>
      <w:r w:rsidR="009D1D88">
        <w:t xml:space="preserve"> </w:t>
      </w:r>
      <w:r w:rsidRPr="00303408">
        <w:t>1:</w:t>
      </w:r>
      <w:r w:rsidR="009D1D88">
        <w:t xml:space="preserve"> </w:t>
      </w:r>
      <w:r w:rsidRPr="00303408">
        <w:t>21-31</w:t>
      </w:r>
      <w:r w:rsidR="009D1D88">
        <w:t>.</w:t>
      </w:r>
    </w:p>
  </w:footnote>
  <w:footnote w:id="4">
    <w:p w14:paraId="13C91966" w14:textId="0945030C" w:rsidR="00734847" w:rsidRDefault="00967A08">
      <w:pPr>
        <w:pStyle w:val="FootnoteText"/>
      </w:pPr>
      <w:r>
        <w:rPr>
          <w:rStyle w:val="FootnoteReference"/>
        </w:rPr>
        <w:footnoteRef/>
      </w:r>
      <w:r>
        <w:t xml:space="preserve"> </w:t>
      </w:r>
      <w:r w:rsidR="0015243B" w:rsidRPr="0015243B">
        <w:t xml:space="preserve">National Blood Authority Clinical Indications for Apheresis and Whole Blood Pooled Platelets </w:t>
      </w:r>
      <w:r w:rsidR="00734847">
        <w:t xml:space="preserve">A </w:t>
      </w:r>
      <w:r w:rsidR="0015243B" w:rsidRPr="0015243B">
        <w:t>National Statement</w:t>
      </w:r>
      <w:r w:rsidR="00734847">
        <w:t xml:space="preserve">, </w:t>
      </w:r>
      <w:r w:rsidR="0015243B" w:rsidRPr="0015243B">
        <w:t>November 2015</w:t>
      </w:r>
      <w:r w:rsidR="00B011D9">
        <w:t xml:space="preserve">; </w:t>
      </w:r>
      <w:hyperlink r:id="rId2" w:history="1">
        <w:r w:rsidR="00B011D9">
          <w:rPr>
            <w:rStyle w:val="Hyperlink"/>
          </w:rPr>
          <w:t>Microsoft Word - Clinical indications for Apheresis and Whole Blood Platelets.docx</w:t>
        </w:r>
      </w:hyperlink>
      <w:r w:rsidR="00B011D9" w:rsidRPr="00995D86">
        <w:t xml:space="preserve"> </w:t>
      </w:r>
      <w:hyperlink r:id="rId3" w:history="1">
        <w:r w:rsidR="00B011D9">
          <w:rPr>
            <w:rStyle w:val="Hyperlink"/>
          </w:rPr>
          <w:t>Platelets | National Blood Authority</w:t>
        </w:r>
      </w:hyperlink>
      <w:r w:rsidR="00B011D9">
        <w:rPr>
          <w:rStyle w:val="Hyperlink"/>
        </w:rPr>
        <w:t>.</w:t>
      </w:r>
    </w:p>
  </w:footnote>
  <w:footnote w:id="5">
    <w:p w14:paraId="08405B1C" w14:textId="4BA0E91C" w:rsidR="00B011D9" w:rsidRDefault="00B011D9">
      <w:pPr>
        <w:pStyle w:val="FootnoteText"/>
      </w:pPr>
      <w:r>
        <w:rPr>
          <w:rStyle w:val="FootnoteReference"/>
        </w:rPr>
        <w:footnoteRef/>
      </w:r>
      <w:r>
        <w:t xml:space="preserve"> </w:t>
      </w:r>
      <w:r w:rsidR="00571372" w:rsidRPr="00571372">
        <w:t>Mitchell, Oscar, et al. The pathophysiology of thrombocytopenia in chronic liver disease</w:t>
      </w:r>
      <w:r w:rsidR="00571372">
        <w:t>,</w:t>
      </w:r>
      <w:r w:rsidR="00571372" w:rsidRPr="00571372">
        <w:t xml:space="preserve"> </w:t>
      </w:r>
      <w:r w:rsidR="00571372" w:rsidRPr="00571372">
        <w:rPr>
          <w:i/>
          <w:iCs/>
        </w:rPr>
        <w:t>Hepatic medicine: evidence and research 8</w:t>
      </w:r>
      <w:r w:rsidR="00571372">
        <w:t xml:space="preserve">, </w:t>
      </w:r>
      <w:r w:rsidR="00571372" w:rsidRPr="00571372">
        <w:t>2016: 39.</w:t>
      </w:r>
    </w:p>
  </w:footnote>
  <w:footnote w:id="6">
    <w:p w14:paraId="36D1F370" w14:textId="5D4CEEBE" w:rsidR="00481A42" w:rsidRPr="008426D8" w:rsidRDefault="00481A42">
      <w:pPr>
        <w:pStyle w:val="FootnoteText"/>
        <w:rPr>
          <w:u w:val="single"/>
        </w:rPr>
      </w:pPr>
      <w:r>
        <w:rPr>
          <w:rStyle w:val="FootnoteReference"/>
        </w:rPr>
        <w:footnoteRef/>
      </w:r>
      <w:r>
        <w:t xml:space="preserve"> </w:t>
      </w:r>
      <w:r w:rsidRPr="00481A42">
        <w:t>National Blood Authority Patient Blood Management Guidelines: Companions Clinical Indications for Platelets</w:t>
      </w:r>
      <w:r w:rsidR="00C722F8">
        <w:t>;</w:t>
      </w:r>
      <w:r w:rsidRPr="00481A42">
        <w:t xml:space="preserve"> </w:t>
      </w:r>
      <w:hyperlink r:id="rId4" w:history="1">
        <w:r w:rsidR="008426D8" w:rsidRPr="008426D8">
          <w:rPr>
            <w:rStyle w:val="Hyperlink"/>
          </w:rPr>
          <w:t>companion-25-pbm-guidelines.pdf (blood.gov.au)</w:t>
        </w:r>
      </w:hyperlink>
      <w:r w:rsidR="008426D8">
        <w:rPr>
          <w:u w:val="single"/>
        </w:rPr>
        <w:t>.</w:t>
      </w:r>
    </w:p>
  </w:footnote>
  <w:footnote w:id="7">
    <w:p w14:paraId="44076558" w14:textId="1CDB1553" w:rsidR="00C45429" w:rsidRDefault="00C45429">
      <w:pPr>
        <w:pStyle w:val="FootnoteText"/>
      </w:pPr>
      <w:r>
        <w:rPr>
          <w:rStyle w:val="FootnoteReference"/>
        </w:rPr>
        <w:footnoteRef/>
      </w:r>
      <w:r>
        <w:t xml:space="preserve"> Prednisone was first registered in Australia on 30 August 1991. ARTG number: </w:t>
      </w:r>
      <w:r w:rsidR="00C86AFA">
        <w:t>13470.</w:t>
      </w:r>
    </w:p>
  </w:footnote>
  <w:footnote w:id="8">
    <w:p w14:paraId="5C7F8CDB" w14:textId="76AD0932" w:rsidR="00C45429" w:rsidRDefault="00C45429">
      <w:pPr>
        <w:pStyle w:val="FootnoteText"/>
      </w:pPr>
      <w:r>
        <w:rPr>
          <w:rStyle w:val="FootnoteReference"/>
        </w:rPr>
        <w:footnoteRef/>
      </w:r>
      <w:r>
        <w:t xml:space="preserve"> </w:t>
      </w:r>
      <w:r w:rsidR="00CB742B" w:rsidRPr="00CB742B">
        <w:t>Dexamethasone</w:t>
      </w:r>
      <w:r w:rsidR="00CB742B">
        <w:t xml:space="preserve"> was first registered in Australia on 30 August 1991. ARTG number: </w:t>
      </w:r>
      <w:r w:rsidR="001C1BED">
        <w:t>13539.</w:t>
      </w:r>
    </w:p>
  </w:footnote>
  <w:footnote w:id="9">
    <w:p w14:paraId="62E24C68" w14:textId="07ADE395" w:rsidR="001C1BED" w:rsidRDefault="001C1BED">
      <w:pPr>
        <w:pStyle w:val="FootnoteText"/>
      </w:pPr>
      <w:r>
        <w:rPr>
          <w:rStyle w:val="FootnoteReference"/>
        </w:rPr>
        <w:footnoteRef/>
      </w:r>
      <w:r>
        <w:t xml:space="preserve"> </w:t>
      </w:r>
      <w:r w:rsidR="00602A6F" w:rsidRPr="00602A6F">
        <w:t>Choi</w:t>
      </w:r>
      <w:r w:rsidR="00602A6F">
        <w:t>,</w:t>
      </w:r>
      <w:r w:rsidR="00602A6F" w:rsidRPr="00602A6F">
        <w:t xml:space="preserve"> PY</w:t>
      </w:r>
      <w:r w:rsidR="00602A6F">
        <w:t>. e</w:t>
      </w:r>
      <w:r w:rsidR="00602A6F" w:rsidRPr="00602A6F">
        <w:t>t al</w:t>
      </w:r>
      <w:r w:rsidR="00602A6F">
        <w:t>.</w:t>
      </w:r>
      <w:r w:rsidR="00602A6F" w:rsidRPr="00602A6F">
        <w:t xml:space="preserve"> Consensus guidelines for the management of adult immune thrombocytopenia in Australia and New Zealand</w:t>
      </w:r>
      <w:r w:rsidR="0058715A">
        <w:t>,</w:t>
      </w:r>
      <w:r w:rsidR="000F22B4">
        <w:t xml:space="preserve"> </w:t>
      </w:r>
      <w:r w:rsidR="000F22B4" w:rsidRPr="000F22B4">
        <w:rPr>
          <w:i/>
          <w:iCs/>
        </w:rPr>
        <w:t>Med J Aust</w:t>
      </w:r>
      <w:r w:rsidR="000F22B4">
        <w:t>,</w:t>
      </w:r>
      <w:r w:rsidR="000F22B4" w:rsidRPr="000F22B4">
        <w:t xml:space="preserve"> 2022; 216 (1): 43-52.</w:t>
      </w:r>
    </w:p>
  </w:footnote>
  <w:footnote w:id="10">
    <w:p w14:paraId="1E10382D" w14:textId="0B4EBA01" w:rsidR="003A3FF1" w:rsidRDefault="003A3FF1">
      <w:pPr>
        <w:pStyle w:val="FootnoteText"/>
      </w:pPr>
      <w:r>
        <w:rPr>
          <w:rStyle w:val="FootnoteReference"/>
        </w:rPr>
        <w:footnoteRef/>
      </w:r>
      <w:r>
        <w:t xml:space="preserve"> </w:t>
      </w:r>
      <w:r w:rsidR="00942D12" w:rsidRPr="003A3FF1">
        <w:t>Romiplostim</w:t>
      </w:r>
      <w:r w:rsidR="00942D12">
        <w:t xml:space="preserve"> was first registered in Australia on</w:t>
      </w:r>
      <w:r w:rsidR="00B34D9B">
        <w:t xml:space="preserve"> 8 August 2008</w:t>
      </w:r>
      <w:r w:rsidR="00942D12">
        <w:t>. ARTG number:</w:t>
      </w:r>
      <w:r w:rsidR="00C358AC">
        <w:t xml:space="preserve"> </w:t>
      </w:r>
      <w:r w:rsidR="00942D12">
        <w:t>14</w:t>
      </w:r>
      <w:r w:rsidR="00C358AC">
        <w:t>7187.</w:t>
      </w:r>
    </w:p>
  </w:footnote>
  <w:footnote w:id="11">
    <w:p w14:paraId="4B1E65DA" w14:textId="258A09D7" w:rsidR="003A3FF1" w:rsidRDefault="003A3FF1">
      <w:pPr>
        <w:pStyle w:val="FootnoteText"/>
      </w:pPr>
      <w:r>
        <w:rPr>
          <w:rStyle w:val="FootnoteReference"/>
        </w:rPr>
        <w:footnoteRef/>
      </w:r>
      <w:r>
        <w:t xml:space="preserve"> </w:t>
      </w:r>
      <w:proofErr w:type="spellStart"/>
      <w:r w:rsidR="00DF2A89" w:rsidRPr="003A3FF1">
        <w:t>Eltrombopag</w:t>
      </w:r>
      <w:proofErr w:type="spellEnd"/>
      <w:r w:rsidR="00DF2A89">
        <w:t xml:space="preserve"> was first registered in Australia on</w:t>
      </w:r>
      <w:r w:rsidR="00671392">
        <w:t xml:space="preserve"> 16 July 2010</w:t>
      </w:r>
      <w:r w:rsidR="00DF2A89">
        <w:t>. ARTG number: 15</w:t>
      </w:r>
      <w:r w:rsidR="00671392">
        <w:t>8356.</w:t>
      </w:r>
    </w:p>
  </w:footnote>
  <w:footnote w:id="12">
    <w:p w14:paraId="6910ABDD" w14:textId="0DED26D8" w:rsidR="005E58C7" w:rsidRPr="005E58C7" w:rsidRDefault="005E58C7">
      <w:pPr>
        <w:pStyle w:val="FootnoteText"/>
        <w:rPr>
          <w:szCs w:val="22"/>
        </w:rPr>
      </w:pPr>
      <w:r>
        <w:rPr>
          <w:rStyle w:val="FootnoteReference"/>
        </w:rPr>
        <w:footnoteRef/>
      </w:r>
      <w:r>
        <w:t xml:space="preserve"> </w:t>
      </w:r>
      <w:proofErr w:type="spellStart"/>
      <w:r w:rsidRPr="00430F7A">
        <w:rPr>
          <w:rStyle w:val="Hyperlink"/>
          <w:color w:val="auto"/>
          <w:szCs w:val="22"/>
          <w:u w:val="none"/>
        </w:rPr>
        <w:t>Nplate</w:t>
      </w:r>
      <w:proofErr w:type="spellEnd"/>
      <w:r w:rsidRPr="00430F7A">
        <w:rPr>
          <w:rStyle w:val="Hyperlink"/>
          <w:color w:val="auto"/>
          <w:szCs w:val="22"/>
          <w:u w:val="none"/>
        </w:rPr>
        <w:t xml:space="preserve"> (romiplostim) Product Information </w:t>
      </w:r>
      <w:hyperlink r:id="rId5" w:history="1">
        <w:r w:rsidRPr="00430F7A">
          <w:rPr>
            <w:rStyle w:val="Hyperlink"/>
            <w:u w:val="none"/>
          </w:rPr>
          <w:t>pdf (tga.gov.au)</w:t>
        </w:r>
      </w:hyperlink>
    </w:p>
  </w:footnote>
  <w:footnote w:id="13">
    <w:p w14:paraId="6AED4619" w14:textId="035AA83C" w:rsidR="0015215F" w:rsidRPr="00220004" w:rsidRDefault="0015215F">
      <w:pPr>
        <w:pStyle w:val="FootnoteText"/>
        <w:rPr>
          <w:rStyle w:val="FootnoteReference"/>
        </w:rPr>
      </w:pPr>
      <w:r>
        <w:rPr>
          <w:rStyle w:val="FootnoteReference"/>
        </w:rPr>
        <w:footnoteRef/>
      </w:r>
      <w:r>
        <w:t xml:space="preserve"> </w:t>
      </w:r>
      <w:proofErr w:type="spellStart"/>
      <w:r w:rsidR="00220004">
        <w:rPr>
          <w:iCs/>
        </w:rPr>
        <w:t>Revolade</w:t>
      </w:r>
      <w:proofErr w:type="spellEnd"/>
      <w:r w:rsidR="00220004">
        <w:rPr>
          <w:iCs/>
        </w:rPr>
        <w:t xml:space="preserve"> (</w:t>
      </w:r>
      <w:proofErr w:type="spellStart"/>
      <w:r w:rsidR="00220004">
        <w:rPr>
          <w:iCs/>
        </w:rPr>
        <w:t>eltrombopag</w:t>
      </w:r>
      <w:proofErr w:type="spellEnd"/>
      <w:r w:rsidR="00220004">
        <w:rPr>
          <w:iCs/>
        </w:rPr>
        <w:t xml:space="preserve">) Product Information </w:t>
      </w:r>
      <w:hyperlink r:id="rId6" w:history="1">
        <w:proofErr w:type="spellStart"/>
        <w:r w:rsidR="00220004">
          <w:rPr>
            <w:rStyle w:val="Hyperlink"/>
          </w:rPr>
          <w:t>Revolade</w:t>
        </w:r>
        <w:proofErr w:type="spellEnd"/>
        <w:r w:rsidR="00220004">
          <w:rPr>
            <w:rStyle w:val="Hyperlink"/>
          </w:rPr>
          <w:t xml:space="preserve"> (tga.gov.au)</w:t>
        </w:r>
      </w:hyperlink>
    </w:p>
  </w:footnote>
  <w:footnote w:id="14">
    <w:p w14:paraId="6B6E488A" w14:textId="2B539289" w:rsidR="00C94BBC" w:rsidRDefault="00C94BBC">
      <w:pPr>
        <w:pStyle w:val="FootnoteText"/>
      </w:pPr>
      <w:r>
        <w:rPr>
          <w:rStyle w:val="FootnoteReference"/>
        </w:rPr>
        <w:footnoteRef/>
      </w:r>
      <w:r>
        <w:t xml:space="preserve"> Lifeblood use of platelets </w:t>
      </w:r>
      <w:hyperlink r:id="rId7" w:anchor=":~:text=The%20usual%20dose%20for%20an%20adult%20patient%20is,transfusion%20in%20neonates%20and%20infants%20is%2010%20mL%2Fkg." w:history="1">
        <w:r>
          <w:rPr>
            <w:rStyle w:val="Hyperlink"/>
          </w:rPr>
          <w:t>Use of platelets | Lifeblood</w:t>
        </w:r>
      </w:hyperlink>
    </w:p>
  </w:footnote>
  <w:footnote w:id="15">
    <w:p w14:paraId="0519226B" w14:textId="0BD7E50B" w:rsidR="00C94BBC" w:rsidRDefault="00C94BBC">
      <w:pPr>
        <w:pStyle w:val="FootnoteText"/>
      </w:pPr>
      <w:r>
        <w:rPr>
          <w:rStyle w:val="FootnoteReference"/>
        </w:rPr>
        <w:footnoteRef/>
      </w:r>
      <w:r>
        <w:t xml:space="preserve"> </w:t>
      </w:r>
      <w:proofErr w:type="spellStart"/>
      <w:r>
        <w:t>Massoud</w:t>
      </w:r>
      <w:proofErr w:type="spellEnd"/>
      <w:r>
        <w:t xml:space="preserve"> OI, et al, </w:t>
      </w:r>
      <w:proofErr w:type="gramStart"/>
      <w:r w:rsidRPr="00C94BBC">
        <w:t>The</w:t>
      </w:r>
      <w:proofErr w:type="gramEnd"/>
      <w:r w:rsidRPr="00C94BBC">
        <w:t xml:space="preserve"> effect of </w:t>
      </w:r>
      <w:proofErr w:type="spellStart"/>
      <w:r w:rsidRPr="00C94BBC">
        <w:t>transjugular</w:t>
      </w:r>
      <w:proofErr w:type="spellEnd"/>
      <w:r w:rsidRPr="00C94BBC">
        <w:t xml:space="preserve"> intrahepatic portosystemic shunt on platelet counts in patients with liver cirrhosis</w:t>
      </w:r>
      <w:r w:rsidRPr="00C94BBC">
        <w:rPr>
          <w:i/>
          <w:iCs/>
        </w:rPr>
        <w:t xml:space="preserve"> Gastroenterol Hepatol</w:t>
      </w:r>
      <w:r>
        <w:t xml:space="preserve"> 2017; 13: 286-291</w:t>
      </w:r>
    </w:p>
  </w:footnote>
  <w:footnote w:id="16">
    <w:p w14:paraId="6607474F" w14:textId="4857DF88" w:rsidR="00C94BBC" w:rsidRDefault="00C94BBC" w:rsidP="00C94BBC">
      <w:pPr>
        <w:pStyle w:val="FootnoteText"/>
      </w:pPr>
      <w:r>
        <w:rPr>
          <w:rStyle w:val="FootnoteReference"/>
        </w:rPr>
        <w:footnoteRef/>
      </w:r>
      <w:r>
        <w:t xml:space="preserve"> </w:t>
      </w:r>
      <w:r w:rsidRPr="00C94BBC">
        <w:rPr>
          <w:b/>
          <w:bCs/>
        </w:rPr>
        <w:t>Cytochrome P450 (CYP) enzymes</w:t>
      </w:r>
      <w:r>
        <w:t xml:space="preserve">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7DC25BFE" w14:textId="40478FD8" w:rsidR="00C94BBC" w:rsidRDefault="00C94BBC" w:rsidP="00C94BBC">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17">
    <w:p w14:paraId="76A4BF10" w14:textId="35113568" w:rsidR="00C94BBC" w:rsidRDefault="00C94BBC">
      <w:pPr>
        <w:pStyle w:val="FootnoteText"/>
      </w:pPr>
      <w:r>
        <w:rPr>
          <w:rStyle w:val="FootnoteReference"/>
        </w:rPr>
        <w:footnoteRef/>
      </w:r>
      <w:r>
        <w:t xml:space="preserve"> </w:t>
      </w:r>
      <w:r w:rsidRPr="00C94BBC">
        <w:t xml:space="preserve">The </w:t>
      </w:r>
      <w:r w:rsidRPr="00C94BBC">
        <w:rPr>
          <w:b/>
          <w:bCs/>
        </w:rPr>
        <w:t>QT interval</w:t>
      </w:r>
      <w:r w:rsidRPr="00C94BBC">
        <w:t xml:space="preserve"> is the time from the start of the QRS wave complex to the end of the corresponding T wave. It approximates to the time taken for ventricular depolarisation and repolarisation</w:t>
      </w:r>
      <w:proofErr w:type="gramStart"/>
      <w:r w:rsidRPr="00C94BBC">
        <w:t>, that is to say, the</w:t>
      </w:r>
      <w:proofErr w:type="gramEnd"/>
      <w:r w:rsidRPr="00C94BBC">
        <w:t xml:space="preserve"> period of ventricular systole from ventricular isovolumetric contraction to isovolumetric relaxation.</w:t>
      </w:r>
    </w:p>
  </w:footnote>
  <w:footnote w:id="18">
    <w:p w14:paraId="7AA6CAFD" w14:textId="00C81E52" w:rsidR="00C94BBC" w:rsidRPr="00386AA7" w:rsidRDefault="00C94BBC" w:rsidP="00C94BBC">
      <w:pPr>
        <w:pStyle w:val="FootnoteText"/>
        <w:rPr>
          <w:lang w:val="en-US"/>
        </w:rPr>
      </w:pPr>
      <w:r w:rsidRPr="00386AA7">
        <w:rPr>
          <w:rStyle w:val="FootnoteReference"/>
          <w:sz w:val="16"/>
          <w:szCs w:val="16"/>
        </w:rPr>
        <w:footnoteRef/>
      </w:r>
      <w:r w:rsidRPr="00386AA7">
        <w:t xml:space="preserve"> </w:t>
      </w:r>
      <w:r>
        <w:rPr>
          <w:lang w:val="en-US"/>
        </w:rPr>
        <w:t>Measured</w:t>
      </w:r>
      <w:r w:rsidRPr="00386AA7">
        <w:rPr>
          <w:lang w:val="en-US"/>
        </w:rPr>
        <w:t xml:space="preserve"> on </w:t>
      </w:r>
      <w:r>
        <w:rPr>
          <w:lang w:val="en-US"/>
        </w:rPr>
        <w:t>two</w:t>
      </w:r>
      <w:r w:rsidRPr="00386AA7">
        <w:rPr>
          <w:lang w:val="en-US"/>
        </w:rPr>
        <w:t xml:space="preserve"> separate occasions, </w:t>
      </w:r>
      <w:r>
        <w:rPr>
          <w:lang w:val="en-US"/>
        </w:rPr>
        <w:t>in</w:t>
      </w:r>
      <w:r w:rsidRPr="00386AA7">
        <w:rPr>
          <w:lang w:val="en-US"/>
        </w:rPr>
        <w:t xml:space="preserve"> </w:t>
      </w:r>
      <w:r>
        <w:rPr>
          <w:lang w:val="en-US"/>
        </w:rPr>
        <w:t>s</w:t>
      </w:r>
      <w:r w:rsidRPr="00386AA7">
        <w:rPr>
          <w:lang w:val="en-US"/>
        </w:rPr>
        <w:t xml:space="preserve">creening </w:t>
      </w:r>
      <w:r>
        <w:rPr>
          <w:lang w:val="en-US"/>
        </w:rPr>
        <w:t>p</w:t>
      </w:r>
      <w:r w:rsidRPr="00386AA7">
        <w:rPr>
          <w:lang w:val="en-US"/>
        </w:rPr>
        <w:t xml:space="preserve">eriod and at Baseline, and performed 1 day </w:t>
      </w:r>
      <w:r>
        <w:rPr>
          <w:lang w:val="en-US"/>
        </w:rPr>
        <w:t xml:space="preserve">or more </w:t>
      </w:r>
      <w:r w:rsidRPr="00386AA7">
        <w:rPr>
          <w:lang w:val="en-US"/>
        </w:rPr>
        <w:t xml:space="preserve">apart </w:t>
      </w:r>
      <w:r>
        <w:rPr>
          <w:lang w:val="en-US"/>
        </w:rPr>
        <w:t>and</w:t>
      </w:r>
      <w:r w:rsidRPr="00386AA7">
        <w:rPr>
          <w:lang w:val="en-US"/>
        </w:rPr>
        <w:t xml:space="preserve"> platelet count 60×10</w:t>
      </w:r>
      <w:r w:rsidRPr="00386AA7">
        <w:rPr>
          <w:vertAlign w:val="superscript"/>
          <w:lang w:val="en-US"/>
        </w:rPr>
        <w:t>9</w:t>
      </w:r>
      <w:r w:rsidRPr="00386AA7">
        <w:rPr>
          <w:lang w:val="en-US"/>
        </w:rPr>
        <w:t>/L</w:t>
      </w:r>
      <w:r>
        <w:rPr>
          <w:lang w:val="en-US"/>
        </w:rPr>
        <w:t xml:space="preserve"> or less</w:t>
      </w:r>
      <w:r w:rsidRPr="00386AA7">
        <w:rPr>
          <w:lang w:val="en-US"/>
        </w:rPr>
        <w:t xml:space="preserve">. </w:t>
      </w:r>
      <w:r>
        <w:rPr>
          <w:lang w:val="en-US"/>
        </w:rPr>
        <w:t>Mean</w:t>
      </w:r>
      <w:r w:rsidRPr="00386AA7">
        <w:rPr>
          <w:lang w:val="en-US"/>
        </w:rPr>
        <w:t xml:space="preserve"> of these </w:t>
      </w:r>
      <w:r>
        <w:rPr>
          <w:lang w:val="en-US"/>
        </w:rPr>
        <w:t>two</w:t>
      </w:r>
      <w:r w:rsidRPr="00386AA7">
        <w:rPr>
          <w:lang w:val="en-US"/>
        </w:rPr>
        <w:t xml:space="preserve"> platelet counts (mean Baseline platelet count) used for entry criteria and assignment to </w:t>
      </w:r>
      <w:r>
        <w:rPr>
          <w:lang w:val="en-US"/>
        </w:rPr>
        <w:t>l</w:t>
      </w:r>
      <w:r w:rsidRPr="00386AA7">
        <w:rPr>
          <w:lang w:val="en-US"/>
        </w:rPr>
        <w:t xml:space="preserve">ow </w:t>
      </w:r>
      <w:r>
        <w:rPr>
          <w:lang w:val="en-US"/>
        </w:rPr>
        <w:t>b</w:t>
      </w:r>
      <w:r w:rsidRPr="00386AA7">
        <w:rPr>
          <w:lang w:val="en-US"/>
        </w:rPr>
        <w:t xml:space="preserve">aseline </w:t>
      </w:r>
      <w:r>
        <w:rPr>
          <w:lang w:val="en-US"/>
        </w:rPr>
        <w:t>p</w:t>
      </w:r>
      <w:r w:rsidRPr="00386AA7">
        <w:rPr>
          <w:lang w:val="en-US"/>
        </w:rPr>
        <w:t xml:space="preserve">latelet </w:t>
      </w:r>
      <w:r>
        <w:rPr>
          <w:lang w:val="en-US"/>
        </w:rPr>
        <w:t>c</w:t>
      </w:r>
      <w:r w:rsidRPr="00386AA7">
        <w:rPr>
          <w:lang w:val="en-US"/>
        </w:rPr>
        <w:t xml:space="preserve">ount </w:t>
      </w:r>
      <w:r>
        <w:rPr>
          <w:lang w:val="en-US"/>
        </w:rPr>
        <w:t>c</w:t>
      </w:r>
      <w:r w:rsidRPr="00386AA7">
        <w:rPr>
          <w:lang w:val="en-US"/>
        </w:rPr>
        <w:t>ohort (</w:t>
      </w:r>
      <w:r>
        <w:rPr>
          <w:lang w:val="en-US"/>
        </w:rPr>
        <w:t xml:space="preserve">less than </w:t>
      </w:r>
      <w:r w:rsidRPr="00386AA7">
        <w:rPr>
          <w:lang w:val="en-US"/>
        </w:rPr>
        <w:t>40×10</w:t>
      </w:r>
      <w:r w:rsidRPr="00386AA7">
        <w:rPr>
          <w:vertAlign w:val="superscript"/>
          <w:lang w:val="en-US"/>
        </w:rPr>
        <w:t>9</w:t>
      </w:r>
      <w:r w:rsidRPr="00386AA7">
        <w:rPr>
          <w:lang w:val="en-US"/>
        </w:rPr>
        <w:t xml:space="preserve">/L) or </w:t>
      </w:r>
      <w:r>
        <w:rPr>
          <w:lang w:val="en-US"/>
        </w:rPr>
        <w:t>h</w:t>
      </w:r>
      <w:r w:rsidRPr="00386AA7">
        <w:rPr>
          <w:lang w:val="en-US"/>
        </w:rPr>
        <w:t xml:space="preserve">igh </w:t>
      </w:r>
      <w:r>
        <w:rPr>
          <w:lang w:val="en-US"/>
        </w:rPr>
        <w:t>b</w:t>
      </w:r>
      <w:r w:rsidRPr="00386AA7">
        <w:rPr>
          <w:lang w:val="en-US"/>
        </w:rPr>
        <w:t xml:space="preserve">aseline </w:t>
      </w:r>
      <w:r>
        <w:rPr>
          <w:lang w:val="en-US"/>
        </w:rPr>
        <w:t>p</w:t>
      </w:r>
      <w:r w:rsidRPr="00386AA7">
        <w:rPr>
          <w:lang w:val="en-US"/>
        </w:rPr>
        <w:t xml:space="preserve">latelet </w:t>
      </w:r>
      <w:r>
        <w:rPr>
          <w:lang w:val="en-US"/>
        </w:rPr>
        <w:t>c</w:t>
      </w:r>
      <w:r w:rsidRPr="00386AA7">
        <w:rPr>
          <w:lang w:val="en-US"/>
        </w:rPr>
        <w:t xml:space="preserve">ount </w:t>
      </w:r>
      <w:r>
        <w:rPr>
          <w:lang w:val="en-US"/>
        </w:rPr>
        <w:t>c</w:t>
      </w:r>
      <w:r w:rsidRPr="00386AA7">
        <w:rPr>
          <w:lang w:val="en-US"/>
        </w:rPr>
        <w:t>ohort (40×10</w:t>
      </w:r>
      <w:r w:rsidRPr="00386AA7">
        <w:rPr>
          <w:vertAlign w:val="superscript"/>
          <w:lang w:val="en-US"/>
        </w:rPr>
        <w:t>9</w:t>
      </w:r>
      <w:r w:rsidRPr="00386AA7">
        <w:rPr>
          <w:lang w:val="en-US"/>
        </w:rPr>
        <w:t>/L to 50×10</w:t>
      </w:r>
      <w:r w:rsidRPr="00386AA7">
        <w:rPr>
          <w:vertAlign w:val="superscript"/>
          <w:lang w:val="en-US"/>
        </w:rPr>
        <w:t>9</w:t>
      </w:r>
      <w:r w:rsidRPr="00386AA7">
        <w:rPr>
          <w:lang w:val="en-US"/>
        </w:rPr>
        <w:t>/L)</w:t>
      </w:r>
    </w:p>
  </w:footnote>
  <w:footnote w:id="19">
    <w:p w14:paraId="488B3FEF" w14:textId="5746CF23" w:rsidR="00C94BBC" w:rsidRPr="00386AA7" w:rsidRDefault="00C94BBC" w:rsidP="00C94BBC">
      <w:pPr>
        <w:pStyle w:val="FootnoteText"/>
        <w:rPr>
          <w:lang w:val="en-US"/>
        </w:rPr>
      </w:pPr>
      <w:r w:rsidRPr="00386AA7">
        <w:rPr>
          <w:rStyle w:val="FootnoteReference"/>
          <w:sz w:val="16"/>
          <w:szCs w:val="16"/>
        </w:rPr>
        <w:footnoteRef/>
      </w:r>
      <w:r w:rsidRPr="00386AA7">
        <w:t xml:space="preserve"> </w:t>
      </w:r>
      <w:r>
        <w:rPr>
          <w:lang w:val="en-US"/>
        </w:rPr>
        <w:t>Patient</w:t>
      </w:r>
      <w:r w:rsidRPr="00386AA7">
        <w:rPr>
          <w:lang w:val="en-US"/>
        </w:rPr>
        <w:t xml:space="preserve">s’ MELD scores calculated based on their serum bilirubin, serum creatinine, and </w:t>
      </w:r>
      <w:r>
        <w:rPr>
          <w:lang w:val="en-US"/>
        </w:rPr>
        <w:t xml:space="preserve">international </w:t>
      </w:r>
      <w:proofErr w:type="spellStart"/>
      <w:r>
        <w:rPr>
          <w:lang w:val="en-US"/>
        </w:rPr>
        <w:t>normalised</w:t>
      </w:r>
      <w:proofErr w:type="spellEnd"/>
      <w:r>
        <w:rPr>
          <w:lang w:val="en-US"/>
        </w:rPr>
        <w:t xml:space="preserve"> ratio (</w:t>
      </w:r>
      <w:r w:rsidRPr="00386AA7">
        <w:rPr>
          <w:lang w:val="en-US"/>
        </w:rPr>
        <w:t>INR</w:t>
      </w:r>
      <w:r>
        <w:rPr>
          <w:lang w:val="en-US"/>
        </w:rPr>
        <w:t>)</w:t>
      </w:r>
      <w:r w:rsidRPr="00386AA7">
        <w:rPr>
          <w:lang w:val="en-US"/>
        </w:rPr>
        <w:t xml:space="preserve"> for prothrombin time at </w:t>
      </w:r>
      <w:r>
        <w:rPr>
          <w:lang w:val="en-US"/>
        </w:rPr>
        <w:t>s</w:t>
      </w:r>
      <w:r w:rsidRPr="00386AA7">
        <w:rPr>
          <w:lang w:val="en-US"/>
        </w:rPr>
        <w:t>creening.</w:t>
      </w:r>
    </w:p>
  </w:footnote>
  <w:footnote w:id="20">
    <w:p w14:paraId="48EB7D10" w14:textId="17DE4737" w:rsidR="00C94BBC" w:rsidRPr="00386AA7" w:rsidRDefault="00C94BBC" w:rsidP="00C94BBC">
      <w:pPr>
        <w:pStyle w:val="FootnoteText"/>
        <w:rPr>
          <w:lang w:val="en-US"/>
        </w:rPr>
      </w:pPr>
      <w:r w:rsidRPr="00386AA7">
        <w:rPr>
          <w:rStyle w:val="FootnoteReference"/>
          <w:sz w:val="16"/>
          <w:szCs w:val="16"/>
        </w:rPr>
        <w:footnoteRef/>
      </w:r>
      <w:r w:rsidRPr="00386AA7">
        <w:t xml:space="preserve"> </w:t>
      </w:r>
      <w:r>
        <w:rPr>
          <w:lang w:val="en-US"/>
        </w:rPr>
        <w:t>Patients</w:t>
      </w:r>
      <w:r w:rsidRPr="00386AA7">
        <w:rPr>
          <w:lang w:val="en-US"/>
        </w:rPr>
        <w:t xml:space="preserve"> screened for evidence of </w:t>
      </w:r>
      <w:r>
        <w:rPr>
          <w:lang w:val="en-US"/>
        </w:rPr>
        <w:t>portal vein thrombosis (</w:t>
      </w:r>
      <w:r w:rsidRPr="00386AA7">
        <w:rPr>
          <w:lang w:val="en-US"/>
        </w:rPr>
        <w:t>PVT</w:t>
      </w:r>
      <w:r>
        <w:rPr>
          <w:lang w:val="en-US"/>
        </w:rPr>
        <w:t>)</w:t>
      </w:r>
      <w:r w:rsidRPr="00386AA7">
        <w:rPr>
          <w:lang w:val="en-US"/>
        </w:rPr>
        <w:t xml:space="preserve">, including portal vein flow rate, </w:t>
      </w:r>
      <w:r>
        <w:rPr>
          <w:lang w:val="en-US"/>
        </w:rPr>
        <w:t>with</w:t>
      </w:r>
      <w:r w:rsidRPr="00386AA7">
        <w:rPr>
          <w:lang w:val="en-US"/>
        </w:rPr>
        <w:t xml:space="preserve"> </w:t>
      </w:r>
      <w:r>
        <w:rPr>
          <w:lang w:val="en-US"/>
        </w:rPr>
        <w:t>d</w:t>
      </w:r>
      <w:r w:rsidRPr="00386AA7">
        <w:rPr>
          <w:lang w:val="en-US"/>
        </w:rPr>
        <w:t xml:space="preserve">oppler sonography before study entry. </w:t>
      </w:r>
      <w:r>
        <w:rPr>
          <w:lang w:val="en-US"/>
        </w:rPr>
        <w:t xml:space="preserve">If </w:t>
      </w:r>
      <w:r w:rsidRPr="00386AA7">
        <w:rPr>
          <w:lang w:val="en-US"/>
        </w:rPr>
        <w:t>platelet</w:t>
      </w:r>
      <w:r>
        <w:rPr>
          <w:lang w:val="en-US"/>
        </w:rPr>
        <w:t>s</w:t>
      </w:r>
      <w:r w:rsidRPr="00386AA7">
        <w:rPr>
          <w:lang w:val="en-US"/>
        </w:rPr>
        <w:t xml:space="preserve"> </w:t>
      </w:r>
      <w:r>
        <w:rPr>
          <w:lang w:val="en-US"/>
        </w:rPr>
        <w:t xml:space="preserve">greater than </w:t>
      </w:r>
      <w:r w:rsidRPr="00386AA7">
        <w:rPr>
          <w:lang w:val="en-US"/>
        </w:rPr>
        <w:t>200×10</w:t>
      </w:r>
      <w:r w:rsidRPr="00386AA7">
        <w:rPr>
          <w:vertAlign w:val="superscript"/>
          <w:lang w:val="en-US"/>
        </w:rPr>
        <w:t>9</w:t>
      </w:r>
      <w:r w:rsidRPr="00386AA7">
        <w:rPr>
          <w:lang w:val="en-US"/>
        </w:rPr>
        <w:t xml:space="preserve">/L to have </w:t>
      </w:r>
      <w:r>
        <w:rPr>
          <w:lang w:val="en-US"/>
        </w:rPr>
        <w:t>d</w:t>
      </w:r>
      <w:r w:rsidRPr="00386AA7">
        <w:rPr>
          <w:lang w:val="en-US"/>
        </w:rPr>
        <w:t xml:space="preserve">oppler assessment at Visit 5. </w:t>
      </w:r>
      <w:r>
        <w:rPr>
          <w:lang w:val="en-US"/>
        </w:rPr>
        <w:t>Mean of 3</w:t>
      </w:r>
      <w:r w:rsidRPr="00386AA7">
        <w:rPr>
          <w:lang w:val="en-US"/>
        </w:rPr>
        <w:t xml:space="preserve"> main portal vein blood flow velocity measurements, lasting 4 seconds</w:t>
      </w:r>
      <w:r>
        <w:rPr>
          <w:lang w:val="en-US"/>
        </w:rPr>
        <w:t xml:space="preserve"> or more.</w:t>
      </w:r>
    </w:p>
  </w:footnote>
  <w:footnote w:id="21">
    <w:p w14:paraId="34FA0B56" w14:textId="1CFDDD12" w:rsidR="007F165A" w:rsidRPr="007F165A" w:rsidRDefault="007F165A" w:rsidP="007F165A">
      <w:pPr>
        <w:pStyle w:val="NormalWeb"/>
        <w:shd w:val="clear" w:color="auto" w:fill="FFFFFF"/>
        <w:spacing w:before="0" w:beforeAutospacing="0" w:after="0" w:afterAutospacing="0"/>
        <w:rPr>
          <w:rFonts w:ascii="inherit" w:hAnsi="inherit" w:cs="Open Sans"/>
          <w:color w:val="1B1B1B"/>
        </w:rPr>
      </w:pPr>
      <w:r w:rsidRPr="007F165A">
        <w:rPr>
          <w:rStyle w:val="FootnoteReference"/>
          <w:rFonts w:ascii="Cambria" w:hAnsi="Cambria"/>
          <w:sz w:val="17"/>
          <w:szCs w:val="17"/>
        </w:rPr>
        <w:footnoteRef/>
      </w:r>
      <w:r w:rsidRPr="007F165A">
        <w:rPr>
          <w:rStyle w:val="FootnoteReference"/>
          <w:rFonts w:ascii="Cambria" w:hAnsi="Cambria"/>
          <w:sz w:val="17"/>
          <w:szCs w:val="17"/>
        </w:rPr>
        <w:t xml:space="preserve"> </w:t>
      </w:r>
      <w:r w:rsidRPr="007F165A">
        <w:rPr>
          <w:rStyle w:val="FootnoteTextChar"/>
        </w:rPr>
        <w:t xml:space="preserve">The </w:t>
      </w:r>
      <w:r w:rsidRPr="007F165A">
        <w:rPr>
          <w:rStyle w:val="FootnoteTextChar"/>
          <w:b/>
          <w:bCs/>
        </w:rPr>
        <w:t>Barcelona Clinic Liver Cancer (BCLC) Staging System</w:t>
      </w:r>
      <w:r w:rsidRPr="007F165A">
        <w:rPr>
          <w:rStyle w:val="FootnoteTextChar"/>
        </w:rPr>
        <w:t xml:space="preserve"> is widely used to stage primary liver cancer. The system is used</w:t>
      </w:r>
      <w:r>
        <w:rPr>
          <w:rStyle w:val="FootnoteTextChar"/>
        </w:rPr>
        <w:t xml:space="preserve"> t</w:t>
      </w:r>
      <w:r w:rsidRPr="007F165A">
        <w:rPr>
          <w:rStyle w:val="FootnoteTextChar"/>
        </w:rPr>
        <w:t>o predict the patient’s chance of</w:t>
      </w:r>
      <w:r w:rsidRPr="007F165A">
        <w:rPr>
          <w:rFonts w:ascii="Open Sans" w:hAnsi="Open Sans" w:cs="Open Sans"/>
          <w:color w:val="1B1B1B"/>
        </w:rPr>
        <w:t xml:space="preserve"> </w:t>
      </w:r>
      <w:r w:rsidRPr="007F165A">
        <w:rPr>
          <w:rStyle w:val="FootnoteTextChar"/>
        </w:rPr>
        <w:t>recovery and to plan treatment, based on whether the cancer has spread within the liver or to other parts of the body, how well the liver is working, the general health and wellness of the patient, the symptoms caused by the cancer. The BCLC staging system has five stages. Stage 0: very early, stage A: early, stage B: immediate, stage C: advanced, stage D: end-stage.</w:t>
      </w:r>
    </w:p>
  </w:footnote>
  <w:footnote w:id="22">
    <w:p w14:paraId="29EBA618" w14:textId="19A63757" w:rsidR="007F165A" w:rsidRDefault="007F165A">
      <w:pPr>
        <w:pStyle w:val="FootnoteText"/>
      </w:pPr>
      <w:r>
        <w:rPr>
          <w:rStyle w:val="FootnoteReference"/>
        </w:rPr>
        <w:footnoteRef/>
      </w:r>
      <w:r>
        <w:t xml:space="preserve"> </w:t>
      </w:r>
      <w:r w:rsidRPr="007F165A">
        <w:t xml:space="preserve">The </w:t>
      </w:r>
      <w:r w:rsidRPr="007F165A">
        <w:rPr>
          <w:b/>
          <w:bCs/>
        </w:rPr>
        <w:t>Child-Pugh score</w:t>
      </w:r>
      <w:r w:rsidRPr="007F165A">
        <w:t xml:space="preserve"> is used to assess the prognosis of chronic liver disease. The score employs five clinical measures of liver disease. Each measure is scored 1 to 3, with 3 indicating most severe derangement. Class A: 5 to 6 points, least severe liver disease, </w:t>
      </w:r>
      <w:proofErr w:type="gramStart"/>
      <w:r w:rsidRPr="007F165A">
        <w:t>one to five year</w:t>
      </w:r>
      <w:proofErr w:type="gramEnd"/>
      <w:r w:rsidRPr="007F165A">
        <w:t xml:space="preserve"> survival rate of 95%. Class B: 7 to 9 points, moderately severe liver disease, </w:t>
      </w:r>
      <w:proofErr w:type="gramStart"/>
      <w:r w:rsidRPr="007F165A">
        <w:t>one to five year</w:t>
      </w:r>
      <w:proofErr w:type="gramEnd"/>
      <w:r w:rsidRPr="007F165A">
        <w:t xml:space="preserve"> survival of 75%. Class C: 10 to 15 points, most severe liver disease, </w:t>
      </w:r>
      <w:proofErr w:type="gramStart"/>
      <w:r w:rsidRPr="007F165A">
        <w:t>1 to 5 year</w:t>
      </w:r>
      <w:proofErr w:type="gramEnd"/>
      <w:r w:rsidRPr="007F165A">
        <w:t xml:space="preserve"> survival rate 50%.</w:t>
      </w:r>
    </w:p>
  </w:footnote>
  <w:footnote w:id="23">
    <w:p w14:paraId="79717E38" w14:textId="77777777" w:rsidR="00C94BBC" w:rsidRDefault="00C94BBC" w:rsidP="00C94BBC">
      <w:pPr>
        <w:pStyle w:val="FootnoteText"/>
      </w:pPr>
      <w:r>
        <w:rPr>
          <w:rStyle w:val="FootnoteReference"/>
        </w:rPr>
        <w:footnoteRef/>
      </w:r>
      <w:r>
        <w:t xml:space="preserve"> WHO bleeding scores: Grade 0-nobleeding, Grade 1-petechial bleeding, Grade 2-mild blood loss (clinically significant), Grade 3-Gross blood loss, requires transfusion (severe), Grade 4-debilitating blood loss, retinal or cerebral associated with fatality.</w:t>
      </w:r>
    </w:p>
  </w:footnote>
  <w:footnote w:id="24">
    <w:p w14:paraId="6CB7CCD3" w14:textId="60EDFD30" w:rsidR="00B14411" w:rsidRPr="00B14411" w:rsidRDefault="00B14411" w:rsidP="00B14411">
      <w:pPr>
        <w:spacing w:after="0" w:line="240" w:lineRule="auto"/>
        <w:rPr>
          <w:rFonts w:eastAsia="Cambria" w:cs="Times New Roman"/>
          <w:color w:val="333F48"/>
          <w:sz w:val="17"/>
          <w:lang w:eastAsia="en-AU"/>
        </w:rPr>
      </w:pPr>
      <w:r>
        <w:rPr>
          <w:rStyle w:val="FootnoteReference"/>
        </w:rPr>
        <w:footnoteRef/>
      </w:r>
      <w:r>
        <w:t xml:space="preserve"> </w:t>
      </w:r>
      <w:r w:rsidRPr="00B14411">
        <w:rPr>
          <w:rStyle w:val="FootnoteTextChar"/>
        </w:rPr>
        <w:t xml:space="preserve">The </w:t>
      </w:r>
      <w:r w:rsidRPr="00B14411">
        <w:rPr>
          <w:rStyle w:val="FootnoteTextChar"/>
          <w:b/>
          <w:bCs/>
        </w:rPr>
        <w:t>New York Heart Association (NYHA) Classification</w:t>
      </w:r>
      <w:r w:rsidRPr="00B14411">
        <w:rPr>
          <w:rStyle w:val="FootnoteTextChar"/>
        </w:rPr>
        <w:t xml:space="preserve"> is a way of classifying the extent of heart failure.</w:t>
      </w:r>
      <w:r>
        <w:rPr>
          <w:rStyle w:val="FootnoteTextChar"/>
        </w:rPr>
        <w:t xml:space="preserve"> </w:t>
      </w:r>
      <w:r w:rsidRPr="00B14411">
        <w:rPr>
          <w:rStyle w:val="FootnoteTextChar"/>
        </w:rPr>
        <w:t xml:space="preserve">It classifies patients in one of four categories based on their limitations during physical activity; the limitations/symptoms are </w:t>
      </w:r>
      <w:proofErr w:type="gramStart"/>
      <w:r w:rsidRPr="00B14411">
        <w:rPr>
          <w:rStyle w:val="FootnoteTextChar"/>
        </w:rPr>
        <w:t>in regards to</w:t>
      </w:r>
      <w:proofErr w:type="gramEnd"/>
      <w:r w:rsidRPr="00B14411">
        <w:rPr>
          <w:rStyle w:val="FootnoteTextChar"/>
        </w:rPr>
        <w:t xml:space="preserve"> normal breathing and varying degrees in shortness of breath and or angina pain. </w:t>
      </w:r>
      <w:r w:rsidRPr="00B14411">
        <w:rPr>
          <w:rStyle w:val="FootnoteTextChar"/>
          <w:lang w:eastAsia="en-AU"/>
        </w:rPr>
        <w:t>Class I - No symptoms and no limitation in ordinary physical activity,</w:t>
      </w:r>
      <w:r>
        <w:rPr>
          <w:rStyle w:val="FootnoteTextChar"/>
          <w:lang w:eastAsia="en-AU"/>
        </w:rPr>
        <w:t xml:space="preserve"> </w:t>
      </w:r>
      <w:r w:rsidRPr="00B14411">
        <w:rPr>
          <w:rStyle w:val="FootnoteTextChar"/>
        </w:rPr>
        <w:t xml:space="preserve">for example, </w:t>
      </w:r>
      <w:r w:rsidRPr="00B14411">
        <w:rPr>
          <w:rStyle w:val="FootnoteTextChar"/>
          <w:lang w:eastAsia="en-AU"/>
        </w:rPr>
        <w:t>shortness of breath when walking, climbing stairs etc.</w:t>
      </w:r>
      <w:r>
        <w:rPr>
          <w:rStyle w:val="FootnoteTextChar"/>
          <w:lang w:eastAsia="en-AU"/>
        </w:rPr>
        <w:t xml:space="preserve"> </w:t>
      </w:r>
      <w:r w:rsidRPr="00B14411">
        <w:rPr>
          <w:rStyle w:val="FootnoteTextChar"/>
          <w:lang w:eastAsia="en-AU"/>
        </w:rPr>
        <w:t>Class II - Mild symptoms (mild shortness of breath and/or angina) and slight limitation during ordinary activity.</w:t>
      </w:r>
      <w:r w:rsidRPr="00B14411">
        <w:rPr>
          <w:rStyle w:val="FootnoteTextChar"/>
        </w:rPr>
        <w:t xml:space="preserve"> </w:t>
      </w:r>
      <w:r w:rsidRPr="00B14411">
        <w:rPr>
          <w:rStyle w:val="FootnoteTextChar"/>
          <w:lang w:eastAsia="en-AU"/>
        </w:rPr>
        <w:t>Class III - Marked limitation in activity due to symptoms, even during less-than-ordinary activity,</w:t>
      </w:r>
      <w:r w:rsidRPr="00B14411">
        <w:rPr>
          <w:rStyle w:val="FootnoteTextChar"/>
        </w:rPr>
        <w:t xml:space="preserve"> for example</w:t>
      </w:r>
      <w:r w:rsidRPr="00B14411">
        <w:rPr>
          <w:rStyle w:val="FootnoteTextChar"/>
          <w:lang w:eastAsia="en-AU"/>
        </w:rPr>
        <w:t xml:space="preserve"> walking short distances (20</w:t>
      </w:r>
      <w:r w:rsidRPr="00B14411">
        <w:rPr>
          <w:rStyle w:val="FootnoteTextChar"/>
        </w:rPr>
        <w:t xml:space="preserve"> to </w:t>
      </w:r>
      <w:r w:rsidRPr="00B14411">
        <w:rPr>
          <w:rStyle w:val="FootnoteTextChar"/>
          <w:lang w:eastAsia="en-AU"/>
        </w:rPr>
        <w:t>100 m).</w:t>
      </w:r>
      <w:r>
        <w:rPr>
          <w:rStyle w:val="FootnoteTextChar"/>
          <w:lang w:eastAsia="en-AU"/>
        </w:rPr>
        <w:t xml:space="preserve"> </w:t>
      </w:r>
      <w:r w:rsidRPr="00B14411">
        <w:rPr>
          <w:rStyle w:val="FootnoteTextChar"/>
          <w:lang w:eastAsia="en-AU"/>
        </w:rPr>
        <w:t>Comfortable only at rest.</w:t>
      </w:r>
      <w:r w:rsidRPr="00B14411">
        <w:rPr>
          <w:rStyle w:val="FootnoteTextChar"/>
        </w:rPr>
        <w:t xml:space="preserve"> </w:t>
      </w:r>
      <w:r w:rsidRPr="00B14411">
        <w:rPr>
          <w:rStyle w:val="FootnoteTextChar"/>
          <w:lang w:eastAsia="en-AU"/>
        </w:rPr>
        <w:t>Class IV - Severe limitations.</w:t>
      </w:r>
      <w:r w:rsidRPr="00B14411">
        <w:rPr>
          <w:rStyle w:val="FootnoteTextChar"/>
        </w:rPr>
        <w:t xml:space="preserve"> </w:t>
      </w:r>
      <w:r w:rsidRPr="00B14411">
        <w:rPr>
          <w:rStyle w:val="FootnoteTextChar"/>
          <w:lang w:eastAsia="en-AU"/>
        </w:rPr>
        <w:t>Experiences symptoms even while at rest. Mostly bedbound patients.</w:t>
      </w:r>
    </w:p>
  </w:footnote>
  <w:footnote w:id="25">
    <w:p w14:paraId="5C7EACE1" w14:textId="105889CF" w:rsidR="00F4113C" w:rsidRPr="00F4113C" w:rsidRDefault="00F4113C" w:rsidP="00F4113C">
      <w:pPr>
        <w:pStyle w:val="FootnoteText"/>
      </w:pPr>
      <w:r>
        <w:rPr>
          <w:rStyle w:val="FootnoteReference"/>
        </w:rPr>
        <w:footnoteRef/>
      </w:r>
      <w:r>
        <w:t xml:space="preserve"> </w:t>
      </w:r>
      <w:proofErr w:type="spellStart"/>
      <w:r>
        <w:t>Afdhal</w:t>
      </w:r>
      <w:proofErr w:type="spellEnd"/>
      <w:r>
        <w:t xml:space="preserve">, N.H. et al. </w:t>
      </w:r>
      <w:proofErr w:type="spellStart"/>
      <w:r>
        <w:t>Eltrombopag</w:t>
      </w:r>
      <w:proofErr w:type="spellEnd"/>
      <w:r>
        <w:t xml:space="preserve"> before procedures in patients with cirrhosis and thrombocytopenia, </w:t>
      </w:r>
      <w:r>
        <w:rPr>
          <w:i/>
          <w:iCs/>
        </w:rPr>
        <w:t>New England Journal of Medicine</w:t>
      </w:r>
      <w:r>
        <w:t>, 2012; 367 (8): 716-724.</w:t>
      </w:r>
    </w:p>
  </w:footnote>
  <w:footnote w:id="26">
    <w:p w14:paraId="32C84AA5" w14:textId="2046B81F" w:rsidR="00F4113C" w:rsidRPr="00F4113C" w:rsidRDefault="00F4113C">
      <w:pPr>
        <w:pStyle w:val="FootnoteText"/>
      </w:pPr>
      <w:r>
        <w:rPr>
          <w:rStyle w:val="FootnoteReference"/>
        </w:rPr>
        <w:footnoteRef/>
      </w:r>
      <w:r>
        <w:t xml:space="preserve"> Curley, A. et al. </w:t>
      </w:r>
      <w:r w:rsidRPr="00F4113C">
        <w:t>Randomized Trial of Platelet-Transfusion Thresholds in Neonates</w:t>
      </w:r>
      <w:r>
        <w:t xml:space="preserve">, </w:t>
      </w:r>
      <w:r>
        <w:rPr>
          <w:i/>
          <w:iCs/>
        </w:rPr>
        <w:t>New England Journal of Medicine</w:t>
      </w:r>
      <w:r>
        <w:t>, 2019; 380 (3): 242-251.</w:t>
      </w:r>
    </w:p>
  </w:footnote>
  <w:footnote w:id="27">
    <w:p w14:paraId="59DD1822" w14:textId="49C9B718" w:rsidR="00F4113C" w:rsidRPr="00F4113C" w:rsidRDefault="00F4113C">
      <w:pPr>
        <w:pStyle w:val="FootnoteText"/>
      </w:pPr>
      <w:r>
        <w:rPr>
          <w:rStyle w:val="FootnoteReference"/>
        </w:rPr>
        <w:footnoteRef/>
      </w:r>
      <w:r>
        <w:t xml:space="preserve"> </w:t>
      </w:r>
      <w:proofErr w:type="spellStart"/>
      <w:r>
        <w:t>Baharoglu</w:t>
      </w:r>
      <w:proofErr w:type="spellEnd"/>
      <w:r>
        <w:t xml:space="preserve">, M.I. et al. </w:t>
      </w:r>
      <w:r w:rsidRPr="00F4113C">
        <w:t>Platelet transfusion versus standard care after acute stroke due to spontaneous cerebral haemorrhage associated with antiplatelet therapy (PATCH): a randomised, open-label, phase 3 trial</w:t>
      </w:r>
      <w:r>
        <w:t xml:space="preserve">, </w:t>
      </w:r>
      <w:r>
        <w:rPr>
          <w:i/>
          <w:iCs/>
        </w:rPr>
        <w:t>Lancet</w:t>
      </w:r>
      <w:r>
        <w:t>, 2016; 387 (10038): 2606-2613.</w:t>
      </w:r>
    </w:p>
  </w:footnote>
  <w:footnote w:id="28">
    <w:p w14:paraId="0134570A" w14:textId="162D5C18" w:rsidR="00F4113C" w:rsidRPr="00F4113C" w:rsidRDefault="00F4113C">
      <w:pPr>
        <w:pStyle w:val="FootnoteText"/>
      </w:pPr>
      <w:r>
        <w:rPr>
          <w:rStyle w:val="FootnoteReference"/>
        </w:rPr>
        <w:footnoteRef/>
      </w:r>
      <w:r>
        <w:t xml:space="preserve"> O’Leary, J.G. et al. </w:t>
      </w:r>
      <w:r w:rsidRPr="00F4113C">
        <w:t>AGA Clinical Practice Update: Coagulation in Cirrhosis.</w:t>
      </w:r>
      <w:r>
        <w:t xml:space="preserve"> </w:t>
      </w:r>
      <w:r>
        <w:rPr>
          <w:i/>
          <w:iCs/>
        </w:rPr>
        <w:t>Gastroenterology</w:t>
      </w:r>
      <w:r>
        <w:t>, 2019; 157 (1): 34-43.</w:t>
      </w:r>
    </w:p>
  </w:footnote>
  <w:footnote w:id="29">
    <w:p w14:paraId="2152AC07" w14:textId="7B4D5A39" w:rsidR="00564EF6" w:rsidRPr="00564EF6" w:rsidRDefault="00564EF6">
      <w:pPr>
        <w:pStyle w:val="FootnoteText"/>
      </w:pPr>
      <w:r>
        <w:rPr>
          <w:rStyle w:val="FootnoteReference"/>
        </w:rPr>
        <w:footnoteRef/>
      </w:r>
      <w:r>
        <w:t xml:space="preserve"> Lu, J. et al. </w:t>
      </w:r>
      <w:r w:rsidRPr="00564EF6">
        <w:t>Avatrombopag ethnic sensitivity analysis in chronic liver disease and thrombocytopenia patients: individual-level pooled analysis</w:t>
      </w:r>
      <w:r>
        <w:t xml:space="preserve">, </w:t>
      </w:r>
      <w:proofErr w:type="spellStart"/>
      <w:r w:rsidRPr="00564EF6">
        <w:rPr>
          <w:i/>
          <w:iCs/>
        </w:rPr>
        <w:t>Therap</w:t>
      </w:r>
      <w:proofErr w:type="spellEnd"/>
      <w:r w:rsidRPr="00564EF6">
        <w:rPr>
          <w:i/>
          <w:iCs/>
        </w:rPr>
        <w:t xml:space="preserve"> Adv Gastroenterol</w:t>
      </w:r>
      <w:r>
        <w:t>, 2022;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8A4248"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1BA"/>
    <w:multiLevelType w:val="hybridMultilevel"/>
    <w:tmpl w:val="AB1E2C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64B0DB9"/>
    <w:multiLevelType w:val="hybridMultilevel"/>
    <w:tmpl w:val="68BC7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54D72"/>
    <w:multiLevelType w:val="hybridMultilevel"/>
    <w:tmpl w:val="8E7EFC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4A23BDE"/>
    <w:multiLevelType w:val="hybridMultilevel"/>
    <w:tmpl w:val="C7A0F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533BE9"/>
    <w:multiLevelType w:val="hybridMultilevel"/>
    <w:tmpl w:val="B8EE35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BB7738"/>
    <w:multiLevelType w:val="hybridMultilevel"/>
    <w:tmpl w:val="028C07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E7D2D"/>
    <w:multiLevelType w:val="hybridMultilevel"/>
    <w:tmpl w:val="C270B5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5FF5275"/>
    <w:multiLevelType w:val="hybridMultilevel"/>
    <w:tmpl w:val="250E0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612EC8"/>
    <w:multiLevelType w:val="hybridMultilevel"/>
    <w:tmpl w:val="F8904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637E1"/>
    <w:multiLevelType w:val="hybridMultilevel"/>
    <w:tmpl w:val="51BE61FC"/>
    <w:lvl w:ilvl="0" w:tplc="5F7EFD2E">
      <w:start w:val="3"/>
      <w:numFmt w:val="bullet"/>
      <w:lvlText w:val="•"/>
      <w:lvlJc w:val="left"/>
      <w:pPr>
        <w:ind w:left="720" w:hanging="360"/>
      </w:pPr>
      <w:rPr>
        <w:rFonts w:ascii="Cambria" w:eastAsia="TimesNewRoman"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1C52DD"/>
    <w:multiLevelType w:val="hybridMultilevel"/>
    <w:tmpl w:val="78386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322EE2"/>
    <w:multiLevelType w:val="hybridMultilevel"/>
    <w:tmpl w:val="AF2C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C55E51"/>
    <w:multiLevelType w:val="hybridMultilevel"/>
    <w:tmpl w:val="372888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0839DD"/>
    <w:multiLevelType w:val="hybridMultilevel"/>
    <w:tmpl w:val="DF5430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E347FBD"/>
    <w:multiLevelType w:val="multilevel"/>
    <w:tmpl w:val="AEEA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353CA"/>
    <w:multiLevelType w:val="multilevel"/>
    <w:tmpl w:val="4E14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805997"/>
    <w:multiLevelType w:val="hybridMultilevel"/>
    <w:tmpl w:val="87266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5" w15:restartNumberingAfterBreak="0">
    <w:nsid w:val="4F8A1D38"/>
    <w:multiLevelType w:val="hybridMultilevel"/>
    <w:tmpl w:val="CB4A5B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D47AD6"/>
    <w:multiLevelType w:val="hybridMultilevel"/>
    <w:tmpl w:val="4B5A2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716461"/>
    <w:multiLevelType w:val="multilevel"/>
    <w:tmpl w:val="31BC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867D0"/>
    <w:multiLevelType w:val="hybridMultilevel"/>
    <w:tmpl w:val="B05EB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E1248D"/>
    <w:multiLevelType w:val="hybridMultilevel"/>
    <w:tmpl w:val="8272E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3529F"/>
    <w:multiLevelType w:val="hybridMultilevel"/>
    <w:tmpl w:val="C63C6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517090"/>
    <w:multiLevelType w:val="hybridMultilevel"/>
    <w:tmpl w:val="104A5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433521"/>
    <w:multiLevelType w:val="hybridMultilevel"/>
    <w:tmpl w:val="DE2498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0E2070"/>
    <w:multiLevelType w:val="hybridMultilevel"/>
    <w:tmpl w:val="DA1029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30559409">
    <w:abstractNumId w:val="7"/>
  </w:num>
  <w:num w:numId="2" w16cid:durableId="2125537683">
    <w:abstractNumId w:val="4"/>
  </w:num>
  <w:num w:numId="3" w16cid:durableId="287012796">
    <w:abstractNumId w:val="6"/>
  </w:num>
  <w:num w:numId="4" w16cid:durableId="1138650154">
    <w:abstractNumId w:val="26"/>
  </w:num>
  <w:num w:numId="5" w16cid:durableId="775443135">
    <w:abstractNumId w:val="12"/>
  </w:num>
  <w:num w:numId="6" w16cid:durableId="224338421">
    <w:abstractNumId w:val="24"/>
  </w:num>
  <w:num w:numId="7" w16cid:durableId="8889703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495683587">
    <w:abstractNumId w:val="30"/>
  </w:num>
  <w:num w:numId="9" w16cid:durableId="270940047">
    <w:abstractNumId w:val="11"/>
  </w:num>
  <w:num w:numId="10" w16cid:durableId="1784031949">
    <w:abstractNumId w:val="22"/>
  </w:num>
  <w:num w:numId="11" w16cid:durableId="1596668625">
    <w:abstractNumId w:val="8"/>
  </w:num>
  <w:num w:numId="12" w16cid:durableId="629093937">
    <w:abstractNumId w:val="3"/>
  </w:num>
  <w:num w:numId="13" w16cid:durableId="793135952">
    <w:abstractNumId w:val="29"/>
  </w:num>
  <w:num w:numId="14" w16cid:durableId="1866363580">
    <w:abstractNumId w:val="9"/>
  </w:num>
  <w:num w:numId="15" w16cid:durableId="1968924846">
    <w:abstractNumId w:val="27"/>
  </w:num>
  <w:num w:numId="16" w16cid:durableId="585923457">
    <w:abstractNumId w:val="16"/>
  </w:num>
  <w:num w:numId="17" w16cid:durableId="1468738979">
    <w:abstractNumId w:val="14"/>
  </w:num>
  <w:num w:numId="18" w16cid:durableId="147403790">
    <w:abstractNumId w:val="5"/>
  </w:num>
  <w:num w:numId="19" w16cid:durableId="909536891">
    <w:abstractNumId w:val="32"/>
  </w:num>
  <w:num w:numId="20" w16cid:durableId="934171012">
    <w:abstractNumId w:val="33"/>
  </w:num>
  <w:num w:numId="21" w16cid:durableId="141965631">
    <w:abstractNumId w:val="10"/>
  </w:num>
  <w:num w:numId="22" w16cid:durableId="1474173911">
    <w:abstractNumId w:val="1"/>
  </w:num>
  <w:num w:numId="23" w16cid:durableId="833255348">
    <w:abstractNumId w:val="17"/>
  </w:num>
  <w:num w:numId="24" w16cid:durableId="2009360598">
    <w:abstractNumId w:val="15"/>
  </w:num>
  <w:num w:numId="25" w16cid:durableId="595410222">
    <w:abstractNumId w:val="13"/>
  </w:num>
  <w:num w:numId="26" w16cid:durableId="1274553978">
    <w:abstractNumId w:val="23"/>
  </w:num>
  <w:num w:numId="27" w16cid:durableId="1100108312">
    <w:abstractNumId w:val="2"/>
  </w:num>
  <w:num w:numId="28" w16cid:durableId="506751932">
    <w:abstractNumId w:val="31"/>
  </w:num>
  <w:num w:numId="29" w16cid:durableId="1604337632">
    <w:abstractNumId w:val="34"/>
  </w:num>
  <w:num w:numId="30" w16cid:durableId="617685495">
    <w:abstractNumId w:val="18"/>
  </w:num>
  <w:num w:numId="31" w16cid:durableId="824247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28086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9703617">
    <w:abstractNumId w:val="25"/>
  </w:num>
  <w:num w:numId="34" w16cid:durableId="1388794898">
    <w:abstractNumId w:val="28"/>
  </w:num>
  <w:num w:numId="35" w16cid:durableId="788023">
    <w:abstractNumId w:val="20"/>
  </w:num>
  <w:num w:numId="36" w16cid:durableId="718088928">
    <w:abstractNumId w:val="21"/>
  </w:num>
  <w:num w:numId="37" w16cid:durableId="155071376">
    <w:abstractNumId w:val="0"/>
  </w:num>
  <w:num w:numId="38" w16cid:durableId="16690908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6B55"/>
    <w:rsid w:val="000248AA"/>
    <w:rsid w:val="00035820"/>
    <w:rsid w:val="00074376"/>
    <w:rsid w:val="00077844"/>
    <w:rsid w:val="00094B81"/>
    <w:rsid w:val="000975AA"/>
    <w:rsid w:val="000B24F4"/>
    <w:rsid w:val="000D54B3"/>
    <w:rsid w:val="000D7934"/>
    <w:rsid w:val="000F22B4"/>
    <w:rsid w:val="00101FB1"/>
    <w:rsid w:val="00105FAE"/>
    <w:rsid w:val="0012473C"/>
    <w:rsid w:val="0013132F"/>
    <w:rsid w:val="0013528C"/>
    <w:rsid w:val="0014472D"/>
    <w:rsid w:val="0015215F"/>
    <w:rsid w:val="0015243B"/>
    <w:rsid w:val="00164307"/>
    <w:rsid w:val="00165D28"/>
    <w:rsid w:val="00175CD8"/>
    <w:rsid w:val="00197355"/>
    <w:rsid w:val="001A1677"/>
    <w:rsid w:val="001B31D5"/>
    <w:rsid w:val="001C1BED"/>
    <w:rsid w:val="001C1C2E"/>
    <w:rsid w:val="001F7147"/>
    <w:rsid w:val="0020369B"/>
    <w:rsid w:val="002143E6"/>
    <w:rsid w:val="00220004"/>
    <w:rsid w:val="00226F39"/>
    <w:rsid w:val="00241B60"/>
    <w:rsid w:val="00245FE9"/>
    <w:rsid w:val="00253BE9"/>
    <w:rsid w:val="002A66B3"/>
    <w:rsid w:val="002C5E29"/>
    <w:rsid w:val="002D395B"/>
    <w:rsid w:val="002D52ED"/>
    <w:rsid w:val="002D7127"/>
    <w:rsid w:val="002F20AE"/>
    <w:rsid w:val="003008D8"/>
    <w:rsid w:val="00303408"/>
    <w:rsid w:val="00303959"/>
    <w:rsid w:val="00305CA5"/>
    <w:rsid w:val="00312AC3"/>
    <w:rsid w:val="00314430"/>
    <w:rsid w:val="00324B33"/>
    <w:rsid w:val="003331C6"/>
    <w:rsid w:val="00333E3D"/>
    <w:rsid w:val="00346EC2"/>
    <w:rsid w:val="0035444D"/>
    <w:rsid w:val="00363271"/>
    <w:rsid w:val="00395140"/>
    <w:rsid w:val="003A0D13"/>
    <w:rsid w:val="003A3FF1"/>
    <w:rsid w:val="003B149C"/>
    <w:rsid w:val="003C029C"/>
    <w:rsid w:val="003D71A1"/>
    <w:rsid w:val="003E6099"/>
    <w:rsid w:val="004023E3"/>
    <w:rsid w:val="0041688F"/>
    <w:rsid w:val="0042376F"/>
    <w:rsid w:val="004246B8"/>
    <w:rsid w:val="00430F7A"/>
    <w:rsid w:val="00433318"/>
    <w:rsid w:val="00477C4E"/>
    <w:rsid w:val="00481A42"/>
    <w:rsid w:val="00491A55"/>
    <w:rsid w:val="004B3081"/>
    <w:rsid w:val="004C3A0E"/>
    <w:rsid w:val="004C47B6"/>
    <w:rsid w:val="004F36C6"/>
    <w:rsid w:val="004F6F52"/>
    <w:rsid w:val="00535DFE"/>
    <w:rsid w:val="00562F42"/>
    <w:rsid w:val="00564EF6"/>
    <w:rsid w:val="0056766D"/>
    <w:rsid w:val="00571372"/>
    <w:rsid w:val="0058575E"/>
    <w:rsid w:val="0058715A"/>
    <w:rsid w:val="0058783C"/>
    <w:rsid w:val="005911AE"/>
    <w:rsid w:val="0059313A"/>
    <w:rsid w:val="005B023F"/>
    <w:rsid w:val="005B07DC"/>
    <w:rsid w:val="005D2089"/>
    <w:rsid w:val="005D7514"/>
    <w:rsid w:val="005E1A7B"/>
    <w:rsid w:val="005E42BC"/>
    <w:rsid w:val="005E4DFE"/>
    <w:rsid w:val="005E58C7"/>
    <w:rsid w:val="00602A6F"/>
    <w:rsid w:val="00611D52"/>
    <w:rsid w:val="006277A1"/>
    <w:rsid w:val="006351D9"/>
    <w:rsid w:val="00637130"/>
    <w:rsid w:val="00637F0E"/>
    <w:rsid w:val="006423F2"/>
    <w:rsid w:val="00671392"/>
    <w:rsid w:val="00692CCD"/>
    <w:rsid w:val="00696706"/>
    <w:rsid w:val="006A1F0B"/>
    <w:rsid w:val="006A277A"/>
    <w:rsid w:val="006D6B44"/>
    <w:rsid w:val="006E5CA9"/>
    <w:rsid w:val="007072A1"/>
    <w:rsid w:val="00710BC5"/>
    <w:rsid w:val="0072003B"/>
    <w:rsid w:val="00724FE5"/>
    <w:rsid w:val="00734847"/>
    <w:rsid w:val="007357B9"/>
    <w:rsid w:val="007452E8"/>
    <w:rsid w:val="00746990"/>
    <w:rsid w:val="00750D70"/>
    <w:rsid w:val="00793272"/>
    <w:rsid w:val="00794E2D"/>
    <w:rsid w:val="007B04DE"/>
    <w:rsid w:val="007C57BC"/>
    <w:rsid w:val="007D4138"/>
    <w:rsid w:val="007F0A77"/>
    <w:rsid w:val="007F165A"/>
    <w:rsid w:val="007F50D3"/>
    <w:rsid w:val="007F524D"/>
    <w:rsid w:val="00822BFE"/>
    <w:rsid w:val="008329DB"/>
    <w:rsid w:val="008361C5"/>
    <w:rsid w:val="0083628F"/>
    <w:rsid w:val="00837AB9"/>
    <w:rsid w:val="008426D8"/>
    <w:rsid w:val="00850637"/>
    <w:rsid w:val="008524CE"/>
    <w:rsid w:val="00854D98"/>
    <w:rsid w:val="00860B29"/>
    <w:rsid w:val="008804CF"/>
    <w:rsid w:val="008964B3"/>
    <w:rsid w:val="008A4248"/>
    <w:rsid w:val="008C49C6"/>
    <w:rsid w:val="008C754C"/>
    <w:rsid w:val="008D6A54"/>
    <w:rsid w:val="008D6D2D"/>
    <w:rsid w:val="008F2576"/>
    <w:rsid w:val="00900EFE"/>
    <w:rsid w:val="0090605E"/>
    <w:rsid w:val="009108CE"/>
    <w:rsid w:val="00915A9F"/>
    <w:rsid w:val="00930D58"/>
    <w:rsid w:val="00942D12"/>
    <w:rsid w:val="0095369E"/>
    <w:rsid w:val="00956AA6"/>
    <w:rsid w:val="00966EF1"/>
    <w:rsid w:val="00967A08"/>
    <w:rsid w:val="00972B56"/>
    <w:rsid w:val="009819BA"/>
    <w:rsid w:val="0098350E"/>
    <w:rsid w:val="00996FA5"/>
    <w:rsid w:val="009A2F32"/>
    <w:rsid w:val="009D1D88"/>
    <w:rsid w:val="009E689F"/>
    <w:rsid w:val="009E6F8C"/>
    <w:rsid w:val="00A01C56"/>
    <w:rsid w:val="00A03731"/>
    <w:rsid w:val="00A05406"/>
    <w:rsid w:val="00A256D1"/>
    <w:rsid w:val="00A2730D"/>
    <w:rsid w:val="00A358E7"/>
    <w:rsid w:val="00A42EB1"/>
    <w:rsid w:val="00A51A2D"/>
    <w:rsid w:val="00A531F2"/>
    <w:rsid w:val="00A6341F"/>
    <w:rsid w:val="00A63D9B"/>
    <w:rsid w:val="00A66953"/>
    <w:rsid w:val="00A93DC6"/>
    <w:rsid w:val="00AA4C94"/>
    <w:rsid w:val="00AB7CBF"/>
    <w:rsid w:val="00AC0386"/>
    <w:rsid w:val="00AE1947"/>
    <w:rsid w:val="00AF3F09"/>
    <w:rsid w:val="00B011D9"/>
    <w:rsid w:val="00B14411"/>
    <w:rsid w:val="00B34D9B"/>
    <w:rsid w:val="00B46BC0"/>
    <w:rsid w:val="00B52580"/>
    <w:rsid w:val="00B52A5D"/>
    <w:rsid w:val="00B55681"/>
    <w:rsid w:val="00B967FF"/>
    <w:rsid w:val="00B96A87"/>
    <w:rsid w:val="00BA2473"/>
    <w:rsid w:val="00BA7F7D"/>
    <w:rsid w:val="00BB1C14"/>
    <w:rsid w:val="00BB61B1"/>
    <w:rsid w:val="00BD07DF"/>
    <w:rsid w:val="00BD38BD"/>
    <w:rsid w:val="00BD3BD2"/>
    <w:rsid w:val="00BD5DBD"/>
    <w:rsid w:val="00BF34C1"/>
    <w:rsid w:val="00BF4638"/>
    <w:rsid w:val="00C07551"/>
    <w:rsid w:val="00C22214"/>
    <w:rsid w:val="00C358AC"/>
    <w:rsid w:val="00C407AB"/>
    <w:rsid w:val="00C41169"/>
    <w:rsid w:val="00C45429"/>
    <w:rsid w:val="00C570FF"/>
    <w:rsid w:val="00C634CD"/>
    <w:rsid w:val="00C6574E"/>
    <w:rsid w:val="00C722F8"/>
    <w:rsid w:val="00C7795F"/>
    <w:rsid w:val="00C816C6"/>
    <w:rsid w:val="00C86AFA"/>
    <w:rsid w:val="00C94BBC"/>
    <w:rsid w:val="00CB0550"/>
    <w:rsid w:val="00CB630D"/>
    <w:rsid w:val="00CB742B"/>
    <w:rsid w:val="00CC7097"/>
    <w:rsid w:val="00CF6098"/>
    <w:rsid w:val="00D01DDB"/>
    <w:rsid w:val="00D078BE"/>
    <w:rsid w:val="00D10CD3"/>
    <w:rsid w:val="00D13F8A"/>
    <w:rsid w:val="00D20727"/>
    <w:rsid w:val="00D46C60"/>
    <w:rsid w:val="00D47044"/>
    <w:rsid w:val="00D535A0"/>
    <w:rsid w:val="00D62877"/>
    <w:rsid w:val="00D63760"/>
    <w:rsid w:val="00D83288"/>
    <w:rsid w:val="00D918D5"/>
    <w:rsid w:val="00D94C8E"/>
    <w:rsid w:val="00DA7636"/>
    <w:rsid w:val="00DB192C"/>
    <w:rsid w:val="00DB1CF3"/>
    <w:rsid w:val="00DC631D"/>
    <w:rsid w:val="00DF2A89"/>
    <w:rsid w:val="00DF5BFE"/>
    <w:rsid w:val="00E07C87"/>
    <w:rsid w:val="00E47E0C"/>
    <w:rsid w:val="00E51813"/>
    <w:rsid w:val="00E51F57"/>
    <w:rsid w:val="00E53D3F"/>
    <w:rsid w:val="00E5579B"/>
    <w:rsid w:val="00E9222E"/>
    <w:rsid w:val="00EA16E8"/>
    <w:rsid w:val="00EB0C27"/>
    <w:rsid w:val="00EB163F"/>
    <w:rsid w:val="00EB3257"/>
    <w:rsid w:val="00ED4071"/>
    <w:rsid w:val="00F00CC8"/>
    <w:rsid w:val="00F0171E"/>
    <w:rsid w:val="00F02AEC"/>
    <w:rsid w:val="00F1467F"/>
    <w:rsid w:val="00F157FC"/>
    <w:rsid w:val="00F258E9"/>
    <w:rsid w:val="00F30AF3"/>
    <w:rsid w:val="00F4113C"/>
    <w:rsid w:val="00F44732"/>
    <w:rsid w:val="00F62F54"/>
    <w:rsid w:val="00F657B4"/>
    <w:rsid w:val="00F865A7"/>
    <w:rsid w:val="00FA0754"/>
    <w:rsid w:val="00FA1BC9"/>
    <w:rsid w:val="00FA49C3"/>
    <w:rsid w:val="00FB236E"/>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C94BBC"/>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7F165A"/>
    <w:pPr>
      <w:keepNext/>
      <w:spacing w:before="120" w:after="60" w:line="180" w:lineRule="atLeast"/>
      <w:outlineLvl w:val="6"/>
    </w:pPr>
    <w:rPr>
      <w:rFonts w:eastAsia="Times New Roman" w:cs="Times New Roman"/>
      <w:bCs/>
      <w:szCs w:val="24"/>
    </w:rPr>
  </w:style>
  <w:style w:type="paragraph" w:styleId="Heading8">
    <w:name w:val="heading 8"/>
    <w:basedOn w:val="Normal"/>
    <w:next w:val="Normal"/>
    <w:link w:val="Heading8Char"/>
    <w:uiPriority w:val="9"/>
    <w:unhideWhenUsed/>
    <w:qFormat/>
    <w:rsid w:val="007F165A"/>
    <w:pPr>
      <w:keepNext/>
      <w:keepLines/>
      <w:spacing w:before="40" w:after="0" w:line="240" w:lineRule="atLeas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94BBC"/>
    <w:pPr>
      <w:keepNext/>
      <w:keepLines/>
      <w:spacing w:before="40" w:after="0" w:line="240" w:lineRule="atLeas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972B56"/>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link w:val="ListParagraphChar"/>
    <w:uiPriority w:val="34"/>
    <w:qFormat/>
    <w:rsid w:val="007F524D"/>
    <w:pPr>
      <w:adjustRightInd w:val="0"/>
      <w:snapToGrid w:val="0"/>
      <w:spacing w:before="180" w:after="180" w:line="240" w:lineRule="atLeast"/>
      <w:ind w:left="720"/>
      <w:contextualSpacing/>
    </w:pPr>
    <w:rPr>
      <w:rFonts w:eastAsia="MS Mincho" w:cs="Times New Roman"/>
      <w:lang w:eastAsia="ja-JP"/>
    </w:rPr>
  </w:style>
  <w:style w:type="character" w:customStyle="1" w:styleId="ListParagraphChar">
    <w:name w:val="List Paragraph Char"/>
    <w:basedOn w:val="DefaultParagraphFont"/>
    <w:link w:val="ListParagraph"/>
    <w:uiPriority w:val="34"/>
    <w:locked/>
    <w:rsid w:val="007F524D"/>
    <w:rPr>
      <w:rFonts w:ascii="Cambria" w:eastAsia="MS Mincho" w:hAnsi="Cambria" w:cs="Times New Roman"/>
      <w:sz w:val="22"/>
      <w:lang w:eastAsia="ja-JP"/>
    </w:rPr>
  </w:style>
  <w:style w:type="paragraph" w:customStyle="1" w:styleId="Bulletpoint">
    <w:name w:val="Bullet point"/>
    <w:basedOn w:val="Normal"/>
    <w:rsid w:val="00C94BBC"/>
    <w:pPr>
      <w:numPr>
        <w:numId w:val="10"/>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character" w:customStyle="1" w:styleId="Heading1Char">
    <w:name w:val="Heading 1 Char"/>
    <w:basedOn w:val="DefaultParagraphFont"/>
    <w:link w:val="Heading1"/>
    <w:rsid w:val="00C94BBC"/>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7F165A"/>
    <w:rPr>
      <w:rFonts w:ascii="Cambria" w:eastAsia="Times New Roman" w:hAnsi="Cambria" w:cs="Times New Roman"/>
      <w:bCs/>
      <w:sz w:val="22"/>
      <w:szCs w:val="24"/>
    </w:rPr>
  </w:style>
  <w:style w:type="character" w:customStyle="1" w:styleId="Heading8Char">
    <w:name w:val="Heading 8 Char"/>
    <w:basedOn w:val="DefaultParagraphFont"/>
    <w:link w:val="Heading8"/>
    <w:uiPriority w:val="9"/>
    <w:rsid w:val="007F165A"/>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C94BBC"/>
    <w:rPr>
      <w:rFonts w:asciiTheme="majorHAnsi" w:eastAsiaTheme="majorEastAsia" w:hAnsiTheme="majorHAnsi" w:cstheme="majorBidi"/>
      <w:i/>
      <w:iCs/>
      <w:color w:val="272727" w:themeColor="text1" w:themeTint="D8"/>
      <w:sz w:val="21"/>
      <w:szCs w:val="21"/>
    </w:rPr>
  </w:style>
  <w:style w:type="paragraph" w:customStyle="1" w:styleId="AxisLabel">
    <w:name w:val="Axis Label"/>
    <w:basedOn w:val="Normal"/>
    <w:qFormat/>
    <w:rsid w:val="00C94BBC"/>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C94BBC"/>
    <w:pPr>
      <w:spacing w:before="120" w:after="0" w:line="240" w:lineRule="auto"/>
    </w:pPr>
    <w:rPr>
      <w:rFonts w:ascii="Arial" w:eastAsia="Cambria" w:hAnsi="Arial" w:cs="Times New Roman"/>
      <w:sz w:val="16"/>
      <w:szCs w:val="22"/>
    </w:rPr>
  </w:style>
  <w:style w:type="paragraph" w:customStyle="1" w:styleId="Contents">
    <w:name w:val="Contents"/>
    <w:basedOn w:val="Normal"/>
    <w:rsid w:val="00C94BBC"/>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C94BBC"/>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C94BBC"/>
    <w:pPr>
      <w:spacing w:before="120" w:line="240" w:lineRule="atLeast"/>
    </w:pPr>
    <w:rPr>
      <w:rFonts w:eastAsia="Cambria" w:cs="Times New Roman"/>
      <w:sz w:val="14"/>
      <w:szCs w:val="22"/>
    </w:rPr>
  </w:style>
  <w:style w:type="table" w:styleId="LightShading-Accent2">
    <w:name w:val="Light Shading Accent 2"/>
    <w:basedOn w:val="TableNormal"/>
    <w:uiPriority w:val="60"/>
    <w:rsid w:val="00C94BBC"/>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C94BBC"/>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C94BBC"/>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C94BBC"/>
    <w:rPr>
      <w:color w:val="808080"/>
    </w:rPr>
  </w:style>
  <w:style w:type="paragraph" w:customStyle="1" w:styleId="Reference">
    <w:name w:val="Reference"/>
    <w:basedOn w:val="Normal"/>
    <w:rsid w:val="00C94BBC"/>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C94BBC"/>
    <w:pPr>
      <w:spacing w:before="120" w:line="240" w:lineRule="atLeast"/>
    </w:pPr>
    <w:rPr>
      <w:rFonts w:eastAsia="Cambria" w:cs="Times New Roman"/>
      <w:kern w:val="16"/>
      <w:sz w:val="19"/>
      <w:szCs w:val="22"/>
    </w:rPr>
  </w:style>
  <w:style w:type="table" w:customStyle="1" w:styleId="TableTGAblack">
    <w:name w:val="Table TGA black"/>
    <w:basedOn w:val="TableNormal"/>
    <w:uiPriority w:val="99"/>
    <w:rsid w:val="00C94BBC"/>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C94BBC"/>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C94BBC"/>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C94BBC"/>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C94BBC"/>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C94BBC"/>
    <w:rPr>
      <w:rFonts w:ascii="Cambria" w:eastAsia="Cambria" w:hAnsi="Cambria" w:cs="Times New Roman"/>
    </w:rPr>
  </w:style>
  <w:style w:type="character" w:styleId="EndnoteReference">
    <w:name w:val="endnote reference"/>
    <w:basedOn w:val="DefaultParagraphFont"/>
    <w:uiPriority w:val="99"/>
    <w:semiHidden/>
    <w:unhideWhenUsed/>
    <w:rsid w:val="00C94BBC"/>
    <w:rPr>
      <w:vertAlign w:val="superscript"/>
    </w:rPr>
  </w:style>
  <w:style w:type="paragraph" w:customStyle="1" w:styleId="FigureCaption">
    <w:name w:val="Figure Caption"/>
    <w:basedOn w:val="Normal"/>
    <w:qFormat/>
    <w:rsid w:val="00C94BBC"/>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C94BBC"/>
    <w:pPr>
      <w:spacing w:after="240"/>
    </w:pPr>
    <w:rPr>
      <w:sz w:val="17"/>
    </w:rPr>
  </w:style>
  <w:style w:type="table" w:customStyle="1" w:styleId="TableTGA2">
    <w:name w:val="Table TGA 2"/>
    <w:basedOn w:val="TableNormal"/>
    <w:uiPriority w:val="99"/>
    <w:rsid w:val="00C94BBC"/>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C94BBC"/>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C94BBC"/>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C94BBC"/>
    <w:rPr>
      <w:rFonts w:ascii="Arial" w:hAnsi="Arial"/>
      <w:color w:val="002C47"/>
      <w:sz w:val="14"/>
    </w:rPr>
  </w:style>
  <w:style w:type="paragraph" w:customStyle="1" w:styleId="BodyCopy">
    <w:name w:val="Body Copy"/>
    <w:basedOn w:val="Normal"/>
    <w:qFormat/>
    <w:rsid w:val="00C94BBC"/>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C94BBC"/>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C94BBC"/>
    <w:rPr>
      <w:rFonts w:ascii="Cambria" w:eastAsia="Times New Roman" w:hAnsi="Cambria" w:cs="Times New Roman"/>
      <w:snapToGrid w:val="0"/>
      <w:kern w:val="16"/>
      <w:sz w:val="23"/>
      <w:szCs w:val="24"/>
    </w:rPr>
  </w:style>
  <w:style w:type="paragraph" w:customStyle="1" w:styleId="PISubsection">
    <w:name w:val="PI Subsection"/>
    <w:basedOn w:val="Standard"/>
    <w:next w:val="Standard"/>
    <w:rsid w:val="00C94BBC"/>
    <w:pPr>
      <w:keepNext/>
      <w:spacing w:after="120"/>
    </w:pPr>
    <w:rPr>
      <w:b/>
      <w:i/>
      <w:kern w:val="2"/>
      <w:sz w:val="22"/>
    </w:rPr>
  </w:style>
  <w:style w:type="paragraph" w:customStyle="1" w:styleId="SectionHeading">
    <w:name w:val="Section Heading"/>
    <w:basedOn w:val="Standard"/>
    <w:next w:val="Standard"/>
    <w:link w:val="SectionHeadingCharChar"/>
    <w:rsid w:val="00C94BBC"/>
    <w:pPr>
      <w:keepNext/>
      <w:outlineLvl w:val="0"/>
    </w:pPr>
    <w:rPr>
      <w:b/>
      <w:caps/>
      <w:sz w:val="24"/>
    </w:rPr>
  </w:style>
  <w:style w:type="character" w:customStyle="1" w:styleId="SectionHeadingCharChar">
    <w:name w:val="Section Heading Char Char"/>
    <w:basedOn w:val="DefaultParagraphFont"/>
    <w:link w:val="SectionHeading"/>
    <w:rsid w:val="00C94BBC"/>
    <w:rPr>
      <w:rFonts w:ascii="Cambria" w:eastAsia="Times New Roman" w:hAnsi="Cambria" w:cs="Times New Roman"/>
      <w:b/>
      <w:caps/>
      <w:snapToGrid w:val="0"/>
      <w:kern w:val="16"/>
      <w:sz w:val="24"/>
      <w:szCs w:val="24"/>
    </w:rPr>
  </w:style>
  <w:style w:type="paragraph" w:customStyle="1" w:styleId="Bulletlist">
    <w:name w:val="Bullet list"/>
    <w:basedOn w:val="Standard"/>
    <w:link w:val="BulletlistChar"/>
    <w:qFormat/>
    <w:rsid w:val="00C94BBC"/>
    <w:pPr>
      <w:numPr>
        <w:numId w:val="12"/>
      </w:numPr>
      <w:spacing w:after="180"/>
      <w:ind w:left="426" w:hanging="284"/>
    </w:pPr>
    <w:rPr>
      <w:kern w:val="2"/>
    </w:rPr>
  </w:style>
  <w:style w:type="character" w:customStyle="1" w:styleId="BulletlistChar">
    <w:name w:val="Bullet list Char"/>
    <w:basedOn w:val="StandardChar"/>
    <w:link w:val="Bulletlist"/>
    <w:rsid w:val="00C94BBC"/>
    <w:rPr>
      <w:rFonts w:ascii="Cambria" w:eastAsia="Times New Roman" w:hAnsi="Cambria" w:cs="Times New Roman"/>
      <w:snapToGrid w:val="0"/>
      <w:kern w:val="2"/>
      <w:sz w:val="23"/>
      <w:szCs w:val="24"/>
    </w:rPr>
  </w:style>
  <w:style w:type="character" w:customStyle="1" w:styleId="TabletextChar">
    <w:name w:val="Table text Char"/>
    <w:basedOn w:val="StandardChar"/>
    <w:link w:val="Tabletext0"/>
    <w:rsid w:val="00C94BBC"/>
    <w:rPr>
      <w:rFonts w:ascii="Cambria" w:eastAsia="Cambria" w:hAnsi="Cambria" w:cs="Times New Roman"/>
      <w:snapToGrid/>
      <w:kern w:val="16"/>
      <w:sz w:val="19"/>
      <w:szCs w:val="22"/>
    </w:rPr>
  </w:style>
  <w:style w:type="paragraph" w:customStyle="1" w:styleId="Comment1">
    <w:name w:val="Comment 1"/>
    <w:basedOn w:val="Normal"/>
    <w:next w:val="Normal"/>
    <w:qFormat/>
    <w:rsid w:val="00C94BB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8" w:hanging="1138"/>
    </w:pPr>
    <w:rPr>
      <w:rFonts w:ascii="Calibri" w:eastAsia="Times New Roman" w:hAnsi="Calibri" w:cs="Arial"/>
      <w:kern w:val="16"/>
      <w:lang w:eastAsia="en-AU"/>
    </w:rPr>
  </w:style>
  <w:style w:type="paragraph" w:styleId="BodyText">
    <w:name w:val="Body Text"/>
    <w:basedOn w:val="Normal"/>
    <w:link w:val="BodyTextChar"/>
    <w:uiPriority w:val="1"/>
    <w:qFormat/>
    <w:rsid w:val="00C94BBC"/>
    <w:pPr>
      <w:autoSpaceDE w:val="0"/>
      <w:autoSpaceDN w:val="0"/>
      <w:adjustRightInd w:val="0"/>
      <w:spacing w:before="1" w:after="0" w:line="240" w:lineRule="auto"/>
      <w:ind w:left="119"/>
    </w:pPr>
    <w:rPr>
      <w:rFonts w:ascii="Times New Roman" w:hAnsi="Times New Roman" w:cs="Times New Roman"/>
      <w:sz w:val="21"/>
      <w:szCs w:val="21"/>
    </w:rPr>
  </w:style>
  <w:style w:type="character" w:customStyle="1" w:styleId="BodyTextChar">
    <w:name w:val="Body Text Char"/>
    <w:basedOn w:val="DefaultParagraphFont"/>
    <w:link w:val="BodyText"/>
    <w:uiPriority w:val="1"/>
    <w:rsid w:val="00C94BBC"/>
    <w:rPr>
      <w:rFonts w:ascii="Times New Roman" w:hAnsi="Times New Roman" w:cs="Times New Roman"/>
      <w:sz w:val="21"/>
      <w:szCs w:val="21"/>
    </w:rPr>
  </w:style>
  <w:style w:type="paragraph" w:customStyle="1" w:styleId="TableParagraph">
    <w:name w:val="Table Paragraph"/>
    <w:basedOn w:val="Normal"/>
    <w:uiPriority w:val="1"/>
    <w:qFormat/>
    <w:rsid w:val="00C94BBC"/>
    <w:pPr>
      <w:autoSpaceDE w:val="0"/>
      <w:autoSpaceDN w:val="0"/>
      <w:adjustRightInd w:val="0"/>
      <w:spacing w:before="64" w:after="0" w:line="240" w:lineRule="auto"/>
      <w:jc w:val="center"/>
    </w:pPr>
    <w:rPr>
      <w:rFonts w:ascii="Times New Roman" w:hAnsi="Times New Roman" w:cs="Times New Roman"/>
      <w:sz w:val="24"/>
      <w:szCs w:val="24"/>
    </w:rPr>
  </w:style>
  <w:style w:type="character" w:customStyle="1" w:styleId="EndNoteBibliographyChar">
    <w:name w:val="EndNote Bibliography Char"/>
    <w:basedOn w:val="ListParagraphChar"/>
    <w:link w:val="EndNoteBibliography"/>
    <w:locked/>
    <w:rsid w:val="00C94BBC"/>
    <w:rPr>
      <w:rFonts w:ascii="Calibri" w:eastAsia="MS Mincho" w:hAnsi="Calibri" w:cs="Calibri"/>
      <w:noProof/>
      <w:sz w:val="22"/>
      <w:lang w:val="en-US" w:eastAsia="ja-JP"/>
    </w:rPr>
  </w:style>
  <w:style w:type="paragraph" w:customStyle="1" w:styleId="EndNoteBibliography">
    <w:name w:val="EndNote Bibliography"/>
    <w:basedOn w:val="Normal"/>
    <w:link w:val="EndNoteBibliographyChar"/>
    <w:rsid w:val="00C94BBC"/>
    <w:pPr>
      <w:spacing w:after="160" w:line="240" w:lineRule="auto"/>
    </w:pPr>
    <w:rPr>
      <w:rFonts w:ascii="Calibri" w:eastAsia="MS Mincho" w:hAnsi="Calibri" w:cs="Calibri"/>
      <w:noProof/>
      <w:sz w:val="20"/>
      <w:lang w:val="en-US" w:eastAsia="ja-JP"/>
    </w:rPr>
  </w:style>
  <w:style w:type="paragraph" w:styleId="NormalWeb">
    <w:name w:val="Normal (Web)"/>
    <w:basedOn w:val="Normal"/>
    <w:uiPriority w:val="99"/>
    <w:unhideWhenUsed/>
    <w:rsid w:val="007F165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794E2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930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68108366">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942178000">
      <w:bodyDiv w:val="1"/>
      <w:marLeft w:val="0"/>
      <w:marRight w:val="0"/>
      <w:marTop w:val="0"/>
      <w:marBottom w:val="0"/>
      <w:divBdr>
        <w:top w:val="none" w:sz="0" w:space="0" w:color="auto"/>
        <w:left w:val="none" w:sz="0" w:space="0" w:color="auto"/>
        <w:bottom w:val="none" w:sz="0" w:space="0" w:color="auto"/>
        <w:right w:val="none" w:sz="0" w:space="0" w:color="auto"/>
      </w:divBdr>
      <w:divsChild>
        <w:div w:id="469131459">
          <w:marLeft w:val="0"/>
          <w:marRight w:val="0"/>
          <w:marTop w:val="0"/>
          <w:marBottom w:val="0"/>
          <w:divBdr>
            <w:top w:val="none" w:sz="0" w:space="0" w:color="auto"/>
            <w:left w:val="none" w:sz="0" w:space="0" w:color="auto"/>
            <w:bottom w:val="none" w:sz="0" w:space="0" w:color="auto"/>
            <w:right w:val="none" w:sz="0" w:space="0" w:color="auto"/>
          </w:divBdr>
        </w:div>
        <w:div w:id="816802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tga.gov.au/products/australian-register-therapeutic-goods-artg/product-information-one" TargetMode="Externa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s://www.tga.gov.au/products/australian-register-therapeutic-goods-artg/product-information-one"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how-we-regulate/supply-therapeutic-good-0/supply-prescription-medicine/application-process/prescription-medicines-registration-process"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tga.gov.au/picmi-search-facility" TargetMode="External"/><Relationship Id="rId61" Type="http://schemas.openxmlformats.org/officeDocument/2006/relationships/hyperlink" Target="https://www.tga.gov.au"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mailto:info@tga.gov.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tga.gov.au/products/australian-register-therapeutic-goods-artg/consumer-medicines-information-cmi"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blood.gov.au/platelets" TargetMode="External"/><Relationship Id="rId7" Type="http://schemas.openxmlformats.org/officeDocument/2006/relationships/hyperlink" Target="https://www.lifeblood.com.au/health-professionals/clinical-practice/use-of-blood-components/use-of-platelets" TargetMode="External"/><Relationship Id="rId2" Type="http://schemas.openxmlformats.org/officeDocument/2006/relationships/hyperlink" Target="https://www.blood.gov.au/system/files/Clinical-indications-for-Apheresis-and-Whole-Blood-Platelets.pdf" TargetMode="External"/><Relationship Id="rId1" Type="http://schemas.openxmlformats.org/officeDocument/2006/relationships/hyperlink" Target="https://onlinelibrary.wiley.com/doi/epdf/10.1111/liv.13317" TargetMode="External"/><Relationship Id="rId6" Type="http://schemas.openxmlformats.org/officeDocument/2006/relationships/hyperlink" Target="https://www.ebs.tga.gov.au/ebs/picmi/picmirepository.nsf/pdf?OpenAgent&amp;id=CP-2011-PI-01377-3&amp;d=20221025172310101" TargetMode="External"/><Relationship Id="rId5" Type="http://schemas.openxmlformats.org/officeDocument/2006/relationships/hyperlink" Target="https://www.ebs.tga.gov.au/ebs/picmi/picmirepository.nsf/pdf?OpenAgent&amp;id=CP-2010-PI-06336-3&amp;d=20221025172310101" TargetMode="External"/><Relationship Id="rId4" Type="http://schemas.openxmlformats.org/officeDocument/2006/relationships/hyperlink" Target="https://www.blood.gov.au/system/files/documents/companion-25-pbm-guidelines.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F16C52568E3A46A61916D910E9CE9B" ma:contentTypeVersion="54" ma:contentTypeDescription="Create a new document." ma:contentTypeScope="" ma:versionID="f834b6eaf798d948f0c00dd764c0faec">
  <xsd:schema xmlns:xsd="http://www.w3.org/2001/XMLSchema" xmlns:xs="http://www.w3.org/2001/XMLSchema" xmlns:p="http://schemas.microsoft.com/office/2006/metadata/properties" xmlns:ns2="9633ec90-5129-4b6e-8464-6c0fb6e7bb7e" xmlns:ns3="ea3f1776-3712-492f-8c1e-934b1bad2143" xmlns:ns4="0c7d5a73-58b0-4442-945a-f9530ea5edaa" xmlns:ns5="0db9ed21-4249-4409-8970-d30602cffb0f" targetNamespace="http://schemas.microsoft.com/office/2006/metadata/properties" ma:root="true" ma:fieldsID="87c4e8db8c836ae05fad2dc6b6c70130" ns2:_="" ns3:_="" ns4:_="" ns5:_="">
    <xsd:import namespace="9633ec90-5129-4b6e-8464-6c0fb6e7bb7e"/>
    <xsd:import namespace="ea3f1776-3712-492f-8c1e-934b1bad2143"/>
    <xsd:import namespace="0c7d5a73-58b0-4442-945a-f9530ea5edaa"/>
    <xsd:import namespace="0db9ed21-4249-4409-8970-d30602cff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4:TaxCatchAll" minOccurs="0"/>
                <xsd:element ref="ns5:lcf76f155ced4ddcb4097134ff3c332f"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ec90-5129-4b6e-8464-6c0fb6e7b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f1776-3712-492f-8c1e-934b1bad21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7d5a73-58b0-4442-945a-f9530ea5eda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767927-b93a-402f-aad0-3da63888ad15}" ma:internalName="TaxCatchAll" ma:showField="CatchAllData" ma:web="0c7d5a73-58b0-4442-945a-f9530ea5ed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b9ed21-4249-4409-8970-d30602cffb0f"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5102eb-6ca8-4f1d-8f69-493f68578a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b9ed21-4249-4409-8970-d30602cffb0f">
      <Terms xmlns="http://schemas.microsoft.com/office/infopath/2007/PartnerControls"/>
    </lcf76f155ced4ddcb4097134ff3c332f>
    <TaxCatchAll xmlns="0c7d5a73-58b0-4442-945a-f9530ea5eda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1F62D-8FDC-4BD0-B1B7-E0A267389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ec90-5129-4b6e-8464-6c0fb6e7bb7e"/>
    <ds:schemaRef ds:uri="ea3f1776-3712-492f-8c1e-934b1bad2143"/>
    <ds:schemaRef ds:uri="0c7d5a73-58b0-4442-945a-f9530ea5edaa"/>
    <ds:schemaRef ds:uri="0db9ed21-4249-4409-8970-d30602cff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B7EF0D-CE17-4D16-AA46-DE772903F6C2}">
  <ds:schemaRefs>
    <ds:schemaRef ds:uri="http://schemas.microsoft.com/sharepoint/v3/contenttype/forms"/>
  </ds:schemaRefs>
</ds:datastoreItem>
</file>

<file path=customXml/itemProps3.xml><?xml version="1.0" encoding="utf-8"?>
<ds:datastoreItem xmlns:ds="http://schemas.openxmlformats.org/officeDocument/2006/customXml" ds:itemID="{B67910C0-FFD4-470F-B253-F66B51E9B093}">
  <ds:schemaRefs>
    <ds:schemaRef ds:uri="http://schemas.microsoft.com/office/2006/metadata/properties"/>
    <ds:schemaRef ds:uri="http://schemas.microsoft.com/office/infopath/2007/PartnerControls"/>
    <ds:schemaRef ds:uri="0db9ed21-4249-4409-8970-d30602cffb0f"/>
    <ds:schemaRef ds:uri="0c7d5a73-58b0-4442-945a-f9530ea5edaa"/>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18955</Words>
  <Characters>108050</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126752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Doptelet</dc:title>
  <dc:subject>Prescription medicines</dc:subject>
  <dc:creator>Therapeutic Goods Administration</dc:creator>
  <cp:keywords/>
  <dc:description/>
  <cp:lastModifiedBy>LACK, Janet</cp:lastModifiedBy>
  <cp:revision>3</cp:revision>
  <dcterms:created xsi:type="dcterms:W3CDTF">2024-02-08T00:20:00Z</dcterms:created>
  <dcterms:modified xsi:type="dcterms:W3CDTF">2024-02-08T00:33:00Z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0x01010014F16C52568E3A46A61916D910E9CE9B</vt:lpwstr>
  </property>
</Properties>
</file>