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1D62B" w14:textId="452F1AE3" w:rsidR="00375DF3" w:rsidRPr="007962FF" w:rsidRDefault="00375DF3" w:rsidP="006018AE">
      <w:pPr>
        <w:tabs>
          <w:tab w:val="left" w:pos="284"/>
        </w:tabs>
        <w:spacing w:after="480" w:line="240" w:lineRule="auto"/>
        <w:rPr>
          <w:rFonts w:asciiTheme="majorHAnsi" w:hAnsiTheme="majorHAnsi"/>
        </w:rPr>
      </w:pPr>
      <w:r w:rsidRPr="007962FF">
        <w:rPr>
          <w:noProof/>
          <w:lang w:val="en-US"/>
        </w:rPr>
        <mc:AlternateContent>
          <mc:Choice Requires="wps">
            <w:drawing>
              <wp:inline distT="0" distB="0" distL="0" distR="0" wp14:anchorId="08AAA922" wp14:editId="16274223">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260A2" w14:textId="77777777" w:rsidR="00F22DF6" w:rsidRPr="00BE2A26" w:rsidRDefault="00F22DF6"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08AAA922"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00B260A2" w14:textId="77777777" w:rsidR="00F22DF6" w:rsidRPr="00BE2A26" w:rsidRDefault="00F22DF6"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7962FF">
        <w:rPr>
          <w:rFonts w:asciiTheme="majorHAnsi" w:hAnsiTheme="majorHAnsi"/>
        </w:rPr>
        <w:t>This medicinal product is subject to additional monitoring in Australia</w:t>
      </w:r>
      <w:r w:rsidR="00841888" w:rsidRPr="007962FF">
        <w:rPr>
          <w:rFonts w:asciiTheme="majorHAnsi" w:hAnsiTheme="majorHAnsi"/>
        </w:rPr>
        <w:t xml:space="preserve"> due to provisional approval</w:t>
      </w:r>
      <w:r w:rsidR="001A3992" w:rsidRPr="007962FF">
        <w:rPr>
          <w:rFonts w:asciiTheme="majorHAnsi" w:hAnsiTheme="majorHAnsi"/>
        </w:rPr>
        <w:t xml:space="preserve">. This will allow quick identification of new safety information. Healthcare professionals are asked to report any suspected adverse events at </w:t>
      </w:r>
      <w:hyperlink r:id="rId11" w:history="1">
        <w:r w:rsidRPr="007962FF">
          <w:rPr>
            <w:rStyle w:val="Hyperlink"/>
            <w:rFonts w:asciiTheme="majorHAnsi" w:hAnsiTheme="majorHAnsi"/>
          </w:rPr>
          <w:t>www.tga.gov.au/reporting-problems</w:t>
        </w:r>
      </w:hyperlink>
      <w:r w:rsidRPr="007962FF">
        <w:rPr>
          <w:rFonts w:asciiTheme="majorHAnsi" w:hAnsiTheme="majorHAnsi"/>
        </w:rPr>
        <w:t>.</w:t>
      </w:r>
    </w:p>
    <w:p w14:paraId="05F50084" w14:textId="77777777" w:rsidR="008C4230" w:rsidRPr="007962FF" w:rsidRDefault="006018AE" w:rsidP="008C4230">
      <w:pPr>
        <w:pStyle w:val="Heading1"/>
        <w:numPr>
          <w:ilvl w:val="0"/>
          <w:numId w:val="0"/>
        </w:numPr>
        <w:spacing w:after="240"/>
        <w:jc w:val="center"/>
        <w:rPr>
          <w:rFonts w:eastAsia="SimSun"/>
        </w:rPr>
      </w:pPr>
      <w:r w:rsidRPr="007962FF">
        <w:rPr>
          <w:rFonts w:eastAsia="SimSun"/>
        </w:rPr>
        <w:t>Australian P</w:t>
      </w:r>
      <w:r w:rsidR="008C4230" w:rsidRPr="007962FF">
        <w:rPr>
          <w:rFonts w:eastAsia="SimSun"/>
        </w:rPr>
        <w:t>RODUCT INFORMATION</w:t>
      </w:r>
    </w:p>
    <w:p w14:paraId="5C7D6AF7" w14:textId="36489C68" w:rsidR="00BC151B" w:rsidRPr="007962FF" w:rsidRDefault="00FD64C9" w:rsidP="00BC151B">
      <w:pPr>
        <w:pStyle w:val="Heading1"/>
        <w:numPr>
          <w:ilvl w:val="0"/>
          <w:numId w:val="0"/>
        </w:numPr>
        <w:spacing w:before="0"/>
        <w:jc w:val="center"/>
        <w:rPr>
          <w:rFonts w:eastAsia="SimSun"/>
        </w:rPr>
      </w:pPr>
      <w:r w:rsidRPr="007962FF">
        <w:rPr>
          <w:rFonts w:eastAsia="SimSun"/>
        </w:rPr>
        <w:t>MINJUVI</w:t>
      </w:r>
      <w:r w:rsidR="00C432D4" w:rsidRPr="00467BBF">
        <w:rPr>
          <w:rFonts w:eastAsia="SimSun"/>
          <w:vertAlign w:val="superscript"/>
        </w:rPr>
        <w:sym w:font="Symbol" w:char="F0D2"/>
      </w:r>
      <w:r w:rsidR="00AF238D" w:rsidRPr="007962FF">
        <w:rPr>
          <w:rFonts w:eastAsia="SimSun"/>
        </w:rPr>
        <w:t xml:space="preserve"> </w:t>
      </w:r>
      <w:r w:rsidR="006018AE" w:rsidRPr="007962FF">
        <w:rPr>
          <w:rFonts w:eastAsia="SimSun"/>
        </w:rPr>
        <w:t>(</w:t>
      </w:r>
      <w:r w:rsidRPr="007962FF">
        <w:rPr>
          <w:rFonts w:eastAsia="SimSun"/>
        </w:rPr>
        <w:t>tafasitamab</w:t>
      </w:r>
      <w:r w:rsidR="006018AE" w:rsidRPr="007962FF">
        <w:rPr>
          <w:rFonts w:eastAsia="SimSun"/>
        </w:rPr>
        <w:t>)</w:t>
      </w:r>
      <w:r w:rsidR="00A64655" w:rsidRPr="007962FF">
        <w:rPr>
          <w:rFonts w:eastAsia="SimSun"/>
        </w:rPr>
        <w:t xml:space="preserve"> </w:t>
      </w:r>
    </w:p>
    <w:p w14:paraId="2B721407" w14:textId="5DD8AD4E" w:rsidR="006018AE" w:rsidRPr="007962FF" w:rsidRDefault="00340D71" w:rsidP="00BC151B">
      <w:pPr>
        <w:pStyle w:val="Heading1"/>
        <w:numPr>
          <w:ilvl w:val="0"/>
          <w:numId w:val="0"/>
        </w:numPr>
        <w:spacing w:before="0" w:after="240"/>
        <w:jc w:val="center"/>
        <w:rPr>
          <w:rFonts w:eastAsia="SimSun"/>
        </w:rPr>
      </w:pPr>
      <w:r w:rsidRPr="007962FF">
        <w:rPr>
          <w:rFonts w:eastAsia="SimSun"/>
        </w:rPr>
        <w:t xml:space="preserve">POWDER </w:t>
      </w:r>
      <w:r w:rsidR="00A64655" w:rsidRPr="007962FF">
        <w:rPr>
          <w:rFonts w:eastAsia="SimSun"/>
        </w:rPr>
        <w:t>for</w:t>
      </w:r>
      <w:r w:rsidRPr="007962FF">
        <w:rPr>
          <w:rFonts w:eastAsia="SimSun"/>
        </w:rPr>
        <w:t xml:space="preserve"> SOLUTION FOR INFUSION</w:t>
      </w:r>
    </w:p>
    <w:p w14:paraId="5277134E" w14:textId="77777777" w:rsidR="001A3992" w:rsidRPr="007962FF" w:rsidRDefault="001A3992" w:rsidP="001A3992">
      <w:pPr>
        <w:pStyle w:val="Heading1"/>
        <w:spacing w:before="0" w:after="120"/>
      </w:pPr>
      <w:r w:rsidRPr="007962FF">
        <w:t>Name of the medicine</w:t>
      </w:r>
    </w:p>
    <w:p w14:paraId="739DB92A" w14:textId="2610AA9F" w:rsidR="0008098F" w:rsidRPr="007962FF" w:rsidRDefault="0008098F" w:rsidP="0008098F">
      <w:pPr>
        <w:widowControl w:val="0"/>
        <w:spacing w:line="240" w:lineRule="auto"/>
        <w:rPr>
          <w:rFonts w:asciiTheme="majorHAnsi" w:hAnsiTheme="majorHAnsi"/>
        </w:rPr>
      </w:pPr>
      <w:r w:rsidRPr="007962FF">
        <w:rPr>
          <w:rFonts w:asciiTheme="majorHAnsi" w:hAnsiTheme="majorHAnsi"/>
        </w:rPr>
        <w:t>MINJUVI 200 mg powder for solution for infusion</w:t>
      </w:r>
    </w:p>
    <w:p w14:paraId="3D2C6B1B" w14:textId="77777777" w:rsidR="001A3992" w:rsidRPr="00660F1A" w:rsidRDefault="001A3992" w:rsidP="001A3992">
      <w:pPr>
        <w:pStyle w:val="Heading1"/>
        <w:spacing w:before="0" w:after="120"/>
      </w:pPr>
      <w:r w:rsidRPr="00660F1A">
        <w:t>Qualitative and quantitative composition</w:t>
      </w:r>
    </w:p>
    <w:p w14:paraId="7E7CBACE" w14:textId="04BA6C08" w:rsidR="004F0357" w:rsidRPr="00660F1A" w:rsidRDefault="004F0357" w:rsidP="004F0357">
      <w:pPr>
        <w:widowControl w:val="0"/>
        <w:spacing w:line="240" w:lineRule="auto"/>
        <w:rPr>
          <w:rFonts w:asciiTheme="majorHAnsi" w:hAnsiTheme="majorHAnsi"/>
          <w:bCs/>
        </w:rPr>
      </w:pPr>
      <w:r w:rsidRPr="00660F1A">
        <w:rPr>
          <w:rFonts w:asciiTheme="majorHAnsi" w:hAnsiTheme="majorHAnsi"/>
          <w:bCs/>
        </w:rPr>
        <w:t xml:space="preserve">One vial of powder contains 200 mg of </w:t>
      </w:r>
      <w:proofErr w:type="spellStart"/>
      <w:r w:rsidRPr="00660F1A">
        <w:rPr>
          <w:rFonts w:asciiTheme="majorHAnsi" w:hAnsiTheme="majorHAnsi"/>
          <w:bCs/>
        </w:rPr>
        <w:t>tafasitamab</w:t>
      </w:r>
      <w:proofErr w:type="spellEnd"/>
      <w:r w:rsidRPr="00660F1A">
        <w:rPr>
          <w:rFonts w:asciiTheme="majorHAnsi" w:hAnsiTheme="majorHAnsi"/>
          <w:bCs/>
        </w:rPr>
        <w:t>.</w:t>
      </w:r>
    </w:p>
    <w:p w14:paraId="27640973" w14:textId="70FAB9D6" w:rsidR="004F0357" w:rsidRPr="00660F1A" w:rsidRDefault="004F0357" w:rsidP="004F0357">
      <w:pPr>
        <w:widowControl w:val="0"/>
        <w:spacing w:line="240" w:lineRule="auto"/>
        <w:rPr>
          <w:rFonts w:asciiTheme="majorHAnsi" w:hAnsiTheme="majorHAnsi"/>
          <w:bCs/>
        </w:rPr>
      </w:pPr>
      <w:r w:rsidRPr="00660F1A">
        <w:rPr>
          <w:rFonts w:asciiTheme="majorHAnsi" w:hAnsiTheme="majorHAnsi"/>
          <w:bCs/>
        </w:rPr>
        <w:t xml:space="preserve">After reconstitution each mL of solution contains 40 mg of </w:t>
      </w:r>
      <w:proofErr w:type="spellStart"/>
      <w:r w:rsidRPr="00660F1A">
        <w:rPr>
          <w:rFonts w:asciiTheme="majorHAnsi" w:hAnsiTheme="majorHAnsi"/>
          <w:bCs/>
        </w:rPr>
        <w:t>tafasitamab</w:t>
      </w:r>
      <w:proofErr w:type="spellEnd"/>
      <w:r w:rsidRPr="00660F1A">
        <w:rPr>
          <w:rFonts w:asciiTheme="majorHAnsi" w:hAnsiTheme="majorHAnsi"/>
          <w:bCs/>
        </w:rPr>
        <w:t>.</w:t>
      </w:r>
    </w:p>
    <w:p w14:paraId="3D63BBE7" w14:textId="71786AA7" w:rsidR="004F0357" w:rsidRPr="00660F1A" w:rsidRDefault="004F0357" w:rsidP="004F0357">
      <w:pPr>
        <w:pStyle w:val="EMEAEnBodyText"/>
        <w:autoSpaceDE w:val="0"/>
        <w:autoSpaceDN w:val="0"/>
        <w:adjustRightInd w:val="0"/>
        <w:spacing w:before="0" w:after="0"/>
        <w:jc w:val="left"/>
        <w:rPr>
          <w:rFonts w:asciiTheme="majorHAnsi" w:hAnsiTheme="majorHAnsi"/>
          <w:lang w:val="en-GB"/>
        </w:rPr>
      </w:pPr>
      <w:r w:rsidRPr="00660F1A">
        <w:rPr>
          <w:rFonts w:asciiTheme="majorHAnsi" w:hAnsiTheme="majorHAnsi"/>
          <w:u w:val="single"/>
          <w:lang w:val="en-GB"/>
        </w:rPr>
        <w:t>Excipient with known effect</w:t>
      </w:r>
    </w:p>
    <w:p w14:paraId="6C15C77E" w14:textId="362C6AF4" w:rsidR="005B2812" w:rsidRPr="00660F1A" w:rsidRDefault="004F0357" w:rsidP="004F0357">
      <w:pPr>
        <w:rPr>
          <w:rFonts w:asciiTheme="majorHAnsi" w:hAnsiTheme="majorHAnsi" w:cstheme="minorHAnsi"/>
        </w:rPr>
      </w:pPr>
      <w:r w:rsidRPr="00660F1A">
        <w:rPr>
          <w:rFonts w:asciiTheme="majorHAnsi" w:hAnsiTheme="majorHAnsi"/>
        </w:rPr>
        <w:t>Each vial of MINJUVI contains 7.4 mg of sodium. For the full list of excipients, see section 6.1.</w:t>
      </w:r>
    </w:p>
    <w:p w14:paraId="1A932111" w14:textId="77777777" w:rsidR="001A3992" w:rsidRPr="00660F1A" w:rsidRDefault="001A3992" w:rsidP="001A3992">
      <w:pPr>
        <w:pStyle w:val="Heading1"/>
        <w:spacing w:before="0" w:after="120"/>
      </w:pPr>
      <w:r w:rsidRPr="00660F1A">
        <w:t>Pharmaceutical form</w:t>
      </w:r>
    </w:p>
    <w:p w14:paraId="62A8D756" w14:textId="77777777" w:rsidR="000D0788" w:rsidRPr="001667C9" w:rsidRDefault="000D0788" w:rsidP="000D0788">
      <w:pPr>
        <w:spacing w:line="240" w:lineRule="auto"/>
        <w:rPr>
          <w:rFonts w:asciiTheme="majorHAnsi" w:hAnsiTheme="majorHAnsi"/>
        </w:rPr>
      </w:pPr>
      <w:r w:rsidRPr="001667C9">
        <w:rPr>
          <w:rFonts w:asciiTheme="majorHAnsi" w:hAnsiTheme="majorHAnsi"/>
        </w:rPr>
        <w:t>Powder for concentrate for solution for infusion (powder for concentrate).</w:t>
      </w:r>
    </w:p>
    <w:p w14:paraId="4CEAB183" w14:textId="0259FBE7" w:rsidR="000D0788" w:rsidRPr="00660F1A" w:rsidRDefault="000D0788" w:rsidP="000D0788">
      <w:pPr>
        <w:rPr>
          <w:rFonts w:asciiTheme="majorHAnsi" w:hAnsiTheme="majorHAnsi"/>
        </w:rPr>
      </w:pPr>
      <w:r w:rsidRPr="00486BA8">
        <w:rPr>
          <w:rFonts w:asciiTheme="majorHAnsi" w:hAnsiTheme="majorHAnsi"/>
        </w:rPr>
        <w:t>White to slightly yellowish lyophilised powder</w:t>
      </w:r>
      <w:r w:rsidRPr="00660F1A">
        <w:rPr>
          <w:rFonts w:asciiTheme="majorHAnsi" w:hAnsiTheme="majorHAnsi"/>
        </w:rPr>
        <w:t>.</w:t>
      </w:r>
    </w:p>
    <w:p w14:paraId="1968390F" w14:textId="77777777" w:rsidR="001A3992" w:rsidRPr="00660F1A" w:rsidRDefault="001A3992" w:rsidP="001A3992">
      <w:pPr>
        <w:pStyle w:val="Heading1"/>
        <w:spacing w:before="0" w:after="120"/>
      </w:pPr>
      <w:r w:rsidRPr="00660F1A">
        <w:t>Clinical particulars</w:t>
      </w:r>
    </w:p>
    <w:p w14:paraId="4E61AA8C" w14:textId="77777777" w:rsidR="001A3992" w:rsidRPr="001667C9" w:rsidRDefault="001A3992" w:rsidP="001A3992">
      <w:pPr>
        <w:pStyle w:val="Heading2"/>
        <w:spacing w:before="0" w:after="120"/>
      </w:pPr>
      <w:r w:rsidRPr="001667C9">
        <w:t xml:space="preserve">Therapeutic indications </w:t>
      </w:r>
    </w:p>
    <w:p w14:paraId="750F591F" w14:textId="42BCC019" w:rsidR="0052087E" w:rsidRPr="00660F1A" w:rsidRDefault="0052087E" w:rsidP="0052087E">
      <w:pPr>
        <w:spacing w:line="240" w:lineRule="auto"/>
        <w:rPr>
          <w:rFonts w:asciiTheme="majorHAnsi" w:hAnsiTheme="majorHAnsi"/>
        </w:rPr>
      </w:pPr>
      <w:r w:rsidRPr="00EF3360">
        <w:rPr>
          <w:rFonts w:asciiTheme="majorHAnsi" w:hAnsiTheme="majorHAnsi"/>
        </w:rPr>
        <w:t>MINJUVI is indicated in combination with lenalidomide followed by MINJUVI monotherapy for the treatment of adult patients with relapsed or refractory diffuse large B</w:t>
      </w:r>
      <w:r w:rsidRPr="00EF3360">
        <w:rPr>
          <w:rFonts w:asciiTheme="majorHAnsi" w:hAnsiTheme="majorHAnsi"/>
        </w:rPr>
        <w:noBreakHyphen/>
        <w:t>cell lymphoma (DLBCL) who are not eligible for autologous stem cell transplant (ASCT</w:t>
      </w:r>
      <w:r w:rsidRPr="00660F1A">
        <w:rPr>
          <w:rFonts w:asciiTheme="majorHAnsi" w:hAnsiTheme="majorHAnsi"/>
        </w:rPr>
        <w:t>).</w:t>
      </w:r>
    </w:p>
    <w:p w14:paraId="57078E18" w14:textId="26CB340E" w:rsidR="00127CA3" w:rsidRPr="00660F1A" w:rsidRDefault="00127CA3" w:rsidP="00127CA3">
      <w:pPr>
        <w:autoSpaceDE w:val="0"/>
        <w:autoSpaceDN w:val="0"/>
        <w:adjustRightInd w:val="0"/>
        <w:spacing w:after="0" w:line="240" w:lineRule="auto"/>
        <w:rPr>
          <w:rFonts w:asciiTheme="majorHAnsi" w:hAnsiTheme="majorHAnsi" w:cs="Times New Roman"/>
          <w:lang w:val="en-GB"/>
        </w:rPr>
      </w:pPr>
      <w:r w:rsidRPr="00660F1A">
        <w:rPr>
          <w:rFonts w:asciiTheme="majorHAnsi" w:hAnsiTheme="majorHAnsi" w:cs="Times New Roman"/>
          <w:lang w:val="en-GB"/>
        </w:rPr>
        <w:t xml:space="preserve">This indication was approved via the </w:t>
      </w:r>
      <w:r w:rsidRPr="00660F1A">
        <w:rPr>
          <w:rFonts w:asciiTheme="majorHAnsi" w:hAnsiTheme="majorHAnsi" w:cs="Times New Roman"/>
          <w:b/>
          <w:bCs/>
          <w:lang w:val="en-GB"/>
        </w:rPr>
        <w:t>provisional approval</w:t>
      </w:r>
      <w:r w:rsidRPr="00660F1A">
        <w:rPr>
          <w:rFonts w:asciiTheme="majorHAnsi" w:hAnsiTheme="majorHAnsi" w:cs="Times New Roman"/>
          <w:lang w:val="en-GB"/>
        </w:rPr>
        <w:t xml:space="preserve"> pathway, based on objective response rate</w:t>
      </w:r>
      <w:r w:rsidR="0070064C" w:rsidRPr="001667C9">
        <w:rPr>
          <w:rFonts w:asciiTheme="majorHAnsi" w:hAnsiTheme="majorHAnsi" w:cs="Times New Roman"/>
          <w:lang w:val="en-GB"/>
        </w:rPr>
        <w:t xml:space="preserve"> and</w:t>
      </w:r>
      <w:r w:rsidR="00815AAC" w:rsidRPr="001667C9">
        <w:rPr>
          <w:rFonts w:asciiTheme="majorHAnsi" w:hAnsiTheme="majorHAnsi" w:cs="Times New Roman"/>
          <w:lang w:val="en-GB"/>
        </w:rPr>
        <w:t xml:space="preserve"> </w:t>
      </w:r>
      <w:r w:rsidRPr="00486BA8">
        <w:rPr>
          <w:rFonts w:asciiTheme="majorHAnsi" w:hAnsiTheme="majorHAnsi" w:cs="Times New Roman"/>
          <w:lang w:val="en-GB"/>
        </w:rPr>
        <w:t>duration of response</w:t>
      </w:r>
      <w:r w:rsidR="0070064C" w:rsidRPr="00486BA8">
        <w:rPr>
          <w:rFonts w:asciiTheme="majorHAnsi" w:hAnsiTheme="majorHAnsi" w:cs="Times New Roman"/>
          <w:lang w:val="en-GB"/>
        </w:rPr>
        <w:t xml:space="preserve"> </w:t>
      </w:r>
      <w:r w:rsidRPr="00486BA8">
        <w:rPr>
          <w:rFonts w:asciiTheme="majorHAnsi" w:hAnsiTheme="majorHAnsi" w:cs="Times New Roman"/>
          <w:lang w:val="en-GB"/>
        </w:rPr>
        <w:t xml:space="preserve">in a single arm trial. </w:t>
      </w:r>
      <w:r w:rsidR="000B56B8" w:rsidRPr="00486BA8">
        <w:rPr>
          <w:rFonts w:asciiTheme="majorHAnsi" w:hAnsiTheme="majorHAnsi" w:cs="Times New Roman"/>
          <w:lang w:val="en-GB"/>
        </w:rPr>
        <w:t xml:space="preserve"> </w:t>
      </w:r>
      <w:r w:rsidRPr="00486BA8">
        <w:rPr>
          <w:rFonts w:asciiTheme="majorHAnsi" w:hAnsiTheme="majorHAnsi" w:cs="Times New Roman"/>
          <w:lang w:val="en-GB"/>
        </w:rPr>
        <w:t>Continued approval for this indication depends on verification and description of clinical benefit in a confirmatory trial.</w:t>
      </w:r>
    </w:p>
    <w:p w14:paraId="168D937F" w14:textId="77777777" w:rsidR="00127CA3" w:rsidRPr="001667C9" w:rsidRDefault="00127CA3" w:rsidP="00127CA3">
      <w:pPr>
        <w:spacing w:line="240" w:lineRule="auto"/>
        <w:rPr>
          <w:rFonts w:asciiTheme="majorHAnsi" w:hAnsiTheme="majorHAnsi"/>
        </w:rPr>
      </w:pPr>
    </w:p>
    <w:p w14:paraId="13D89C3F" w14:textId="77777777" w:rsidR="001A3992" w:rsidRPr="00EF3360" w:rsidRDefault="001A3992" w:rsidP="001A3992">
      <w:pPr>
        <w:pStyle w:val="Heading2"/>
        <w:spacing w:before="0" w:after="120"/>
      </w:pPr>
      <w:r w:rsidRPr="00EF3360">
        <w:t xml:space="preserve">Dose and method of administration </w:t>
      </w:r>
    </w:p>
    <w:p w14:paraId="4F18F5CC" w14:textId="38D29295" w:rsidR="00AA5BED" w:rsidRPr="00660F1A" w:rsidRDefault="00AA5BED" w:rsidP="00AA5BED">
      <w:pPr>
        <w:spacing w:line="240" w:lineRule="auto"/>
        <w:rPr>
          <w:rFonts w:asciiTheme="majorHAnsi" w:hAnsiTheme="majorHAnsi"/>
        </w:rPr>
      </w:pPr>
      <w:r w:rsidRPr="00660F1A">
        <w:rPr>
          <w:rFonts w:asciiTheme="majorHAnsi" w:hAnsiTheme="majorHAnsi"/>
        </w:rPr>
        <w:t>MINJUVI must be administered by a healthcare professional experienced in treatment of cancer patients.</w:t>
      </w:r>
    </w:p>
    <w:p w14:paraId="0B9A623D" w14:textId="1AA8B004" w:rsidR="00AA5BED" w:rsidRPr="00660F1A" w:rsidRDefault="00AA5BED" w:rsidP="00AA5BED">
      <w:pPr>
        <w:autoSpaceDE w:val="0"/>
        <w:autoSpaceDN w:val="0"/>
        <w:adjustRightInd w:val="0"/>
        <w:spacing w:line="240" w:lineRule="auto"/>
        <w:rPr>
          <w:rFonts w:asciiTheme="majorHAnsi" w:eastAsia="MS Mincho" w:hAnsiTheme="majorHAnsi"/>
          <w:b/>
          <w:bCs/>
        </w:rPr>
      </w:pPr>
      <w:r w:rsidRPr="00660F1A">
        <w:rPr>
          <w:rFonts w:asciiTheme="majorHAnsi" w:eastAsia="MS Mincho" w:hAnsiTheme="majorHAnsi"/>
          <w:b/>
          <w:bCs/>
        </w:rPr>
        <w:t>Recommended pre-medication</w:t>
      </w:r>
    </w:p>
    <w:p w14:paraId="3CB76A71" w14:textId="77777777" w:rsidR="00AA5BED" w:rsidRPr="00660F1A" w:rsidRDefault="00AA5BED" w:rsidP="00AA5BED">
      <w:pPr>
        <w:spacing w:line="240" w:lineRule="auto"/>
        <w:rPr>
          <w:rFonts w:asciiTheme="majorHAnsi" w:hAnsiTheme="majorHAnsi"/>
        </w:rPr>
      </w:pPr>
      <w:r w:rsidRPr="00660F1A">
        <w:rPr>
          <w:rFonts w:asciiTheme="majorHAnsi" w:hAnsiTheme="majorHAnsi"/>
        </w:rPr>
        <w:t>A pre-medication to reduce the risk of infusion-related reactions should be administered 30 minutes to 2 hours prior to tafasitamab infusion. For patients not experiencing infusion-</w:t>
      </w:r>
      <w:r w:rsidRPr="00660F1A">
        <w:rPr>
          <w:rFonts w:asciiTheme="majorHAnsi" w:hAnsiTheme="majorHAnsi"/>
        </w:rPr>
        <w:lastRenderedPageBreak/>
        <w:t>related reactions during the first 3 infusions, pre-medication is optional for subsequent infusions.</w:t>
      </w:r>
    </w:p>
    <w:p w14:paraId="637B584D" w14:textId="0397461E" w:rsidR="00AA5BED" w:rsidRPr="001667C9" w:rsidRDefault="00AA5BED" w:rsidP="00AA5BED">
      <w:pPr>
        <w:spacing w:line="240" w:lineRule="auto"/>
        <w:rPr>
          <w:rFonts w:asciiTheme="majorHAnsi" w:hAnsiTheme="majorHAnsi"/>
        </w:rPr>
      </w:pPr>
      <w:r w:rsidRPr="001667C9">
        <w:rPr>
          <w:rFonts w:asciiTheme="majorHAnsi" w:hAnsiTheme="majorHAnsi"/>
        </w:rPr>
        <w:t>The pre-medication may include antipyretics (e.g. paracetamol), histamine H1 receptor blockers (e.g. diphenhydramine), histamine H2 receptor blockers (e.g. cimetidine</w:t>
      </w:r>
      <w:r w:rsidR="00AF74B1" w:rsidRPr="001667C9">
        <w:rPr>
          <w:rFonts w:asciiTheme="majorHAnsi" w:hAnsiTheme="majorHAnsi"/>
        </w:rPr>
        <w:t>), or</w:t>
      </w:r>
      <w:r w:rsidRPr="001667C9">
        <w:rPr>
          <w:rFonts w:asciiTheme="majorHAnsi" w:hAnsiTheme="majorHAnsi"/>
        </w:rPr>
        <w:t xml:space="preserve"> </w:t>
      </w:r>
      <w:proofErr w:type="spellStart"/>
      <w:r w:rsidRPr="001667C9">
        <w:rPr>
          <w:rFonts w:asciiTheme="majorHAnsi" w:hAnsiTheme="majorHAnsi"/>
        </w:rPr>
        <w:t>glucocorticosteroids</w:t>
      </w:r>
      <w:proofErr w:type="spellEnd"/>
      <w:r w:rsidRPr="001667C9">
        <w:rPr>
          <w:rFonts w:asciiTheme="majorHAnsi" w:hAnsiTheme="majorHAnsi"/>
        </w:rPr>
        <w:t xml:space="preserve"> (e.g. methylprednisolone).</w:t>
      </w:r>
    </w:p>
    <w:p w14:paraId="6744B851" w14:textId="77777777" w:rsidR="00AA5BED" w:rsidRPr="00660F1A" w:rsidRDefault="00AA5BED" w:rsidP="00AA5BED">
      <w:pPr>
        <w:autoSpaceDE w:val="0"/>
        <w:autoSpaceDN w:val="0"/>
        <w:adjustRightInd w:val="0"/>
        <w:spacing w:line="240" w:lineRule="auto"/>
        <w:rPr>
          <w:rFonts w:asciiTheme="majorHAnsi" w:eastAsia="MS Mincho" w:hAnsiTheme="majorHAnsi"/>
          <w:b/>
          <w:bCs/>
        </w:rPr>
      </w:pPr>
      <w:r w:rsidRPr="001667C9">
        <w:rPr>
          <w:rFonts w:asciiTheme="majorHAnsi" w:eastAsia="MS Mincho" w:hAnsiTheme="majorHAnsi"/>
          <w:b/>
          <w:bCs/>
        </w:rPr>
        <w:t>Treatment of infusion-related reactions</w:t>
      </w:r>
    </w:p>
    <w:p w14:paraId="525FE659" w14:textId="77777777" w:rsidR="00AA5BED" w:rsidRPr="001667C9" w:rsidRDefault="00AA5BED" w:rsidP="00AA5BED">
      <w:pPr>
        <w:spacing w:line="240" w:lineRule="auto"/>
        <w:rPr>
          <w:rFonts w:asciiTheme="majorHAnsi" w:hAnsiTheme="majorHAnsi"/>
        </w:rPr>
      </w:pPr>
      <w:r w:rsidRPr="001667C9">
        <w:rPr>
          <w:rFonts w:asciiTheme="majorHAnsi" w:hAnsiTheme="majorHAnsi"/>
        </w:rPr>
        <w:t>If an infusion-related reaction occurs (Grade 2 and higher), the infusion should be interrupted. In addition, appropriate medical treatment of symptoms should be initiated. After signs and symptoms are resolved or reduced to Grade 1, MINJUVI infusion can be resumed at a reduced infusion speed (see Table 1).</w:t>
      </w:r>
    </w:p>
    <w:p w14:paraId="6BF88255" w14:textId="77777777" w:rsidR="00AA5BED" w:rsidRPr="00EF3360" w:rsidRDefault="00AA5BED" w:rsidP="00AA5BED">
      <w:pPr>
        <w:spacing w:line="240" w:lineRule="auto"/>
        <w:rPr>
          <w:rFonts w:asciiTheme="majorHAnsi" w:hAnsiTheme="majorHAnsi"/>
          <w:color w:val="000000" w:themeColor="text1"/>
        </w:rPr>
      </w:pPr>
      <w:r w:rsidRPr="00EF3360">
        <w:rPr>
          <w:rFonts w:asciiTheme="majorHAnsi" w:hAnsiTheme="majorHAnsi"/>
          <w:color w:val="000000" w:themeColor="text1"/>
        </w:rPr>
        <w:t>If a patient has experienced a Grade 1 to 3 infusion-related reaction, pre-medication should be administered before subsequent tafasitamab infusions.</w:t>
      </w:r>
    </w:p>
    <w:p w14:paraId="011F9759" w14:textId="201D4299" w:rsidR="00AA5BED" w:rsidRPr="00660F1A" w:rsidRDefault="000850BE" w:rsidP="00AA5BED">
      <w:pPr>
        <w:spacing w:line="240" w:lineRule="auto"/>
        <w:rPr>
          <w:rFonts w:asciiTheme="majorHAnsi" w:hAnsiTheme="majorHAnsi"/>
          <w:b/>
          <w:bCs/>
        </w:rPr>
      </w:pPr>
      <w:r w:rsidRPr="00882808">
        <w:rPr>
          <w:rFonts w:asciiTheme="majorHAnsi" w:hAnsiTheme="majorHAnsi"/>
          <w:b/>
          <w:bCs/>
        </w:rPr>
        <w:t>Dosage</w:t>
      </w:r>
    </w:p>
    <w:p w14:paraId="33FDEBA1" w14:textId="77777777" w:rsidR="00AA5BED" w:rsidRPr="00660F1A" w:rsidRDefault="00AA5BED" w:rsidP="00AA5BED">
      <w:pPr>
        <w:spacing w:line="240" w:lineRule="auto"/>
        <w:rPr>
          <w:rFonts w:asciiTheme="majorHAnsi" w:hAnsiTheme="majorHAnsi"/>
        </w:rPr>
      </w:pPr>
      <w:r w:rsidRPr="00660F1A">
        <w:rPr>
          <w:rFonts w:asciiTheme="majorHAnsi" w:hAnsiTheme="majorHAnsi"/>
        </w:rPr>
        <w:t>The recommended dose of MINJUVI is 12 mg per kg body weight administered as an intravenous infusion according to the following schedule:</w:t>
      </w:r>
    </w:p>
    <w:p w14:paraId="2F453F1B" w14:textId="77777777" w:rsidR="00AA5BED" w:rsidRPr="001667C9" w:rsidRDefault="00AA5BED" w:rsidP="00AA5BED">
      <w:pPr>
        <w:pStyle w:val="ListParagraph"/>
        <w:numPr>
          <w:ilvl w:val="0"/>
          <w:numId w:val="11"/>
        </w:numPr>
        <w:autoSpaceDE w:val="0"/>
        <w:autoSpaceDN w:val="0"/>
        <w:adjustRightInd w:val="0"/>
        <w:spacing w:after="0" w:line="240" w:lineRule="auto"/>
        <w:ind w:left="567" w:hanging="567"/>
        <w:rPr>
          <w:rFonts w:asciiTheme="majorHAnsi" w:eastAsia="MS Mincho" w:hAnsiTheme="majorHAnsi"/>
          <w:color w:val="000000" w:themeColor="text1"/>
          <w:lang w:val="en-GB"/>
        </w:rPr>
      </w:pPr>
      <w:r w:rsidRPr="001667C9">
        <w:rPr>
          <w:rFonts w:asciiTheme="majorHAnsi" w:eastAsia="MS Mincho" w:hAnsiTheme="majorHAnsi"/>
          <w:color w:val="000000" w:themeColor="text1"/>
          <w:lang w:val="en-GB"/>
        </w:rPr>
        <w:t>Cycle 1: infusion on day 1, 4, 8, 15 and 22 of the cycle.</w:t>
      </w:r>
    </w:p>
    <w:p w14:paraId="0E92B5F5" w14:textId="77777777" w:rsidR="00AA5BED" w:rsidRPr="00EF3360" w:rsidRDefault="00AA5BED" w:rsidP="00AA5BED">
      <w:pPr>
        <w:pStyle w:val="ListParagraph"/>
        <w:numPr>
          <w:ilvl w:val="0"/>
          <w:numId w:val="11"/>
        </w:numPr>
        <w:autoSpaceDE w:val="0"/>
        <w:autoSpaceDN w:val="0"/>
        <w:adjustRightInd w:val="0"/>
        <w:spacing w:after="0" w:line="240" w:lineRule="auto"/>
        <w:ind w:left="567" w:hanging="567"/>
        <w:rPr>
          <w:rFonts w:asciiTheme="majorHAnsi" w:eastAsia="MS Mincho" w:hAnsiTheme="majorHAnsi"/>
          <w:color w:val="000000" w:themeColor="text1"/>
          <w:lang w:val="en-GB"/>
        </w:rPr>
      </w:pPr>
      <w:r w:rsidRPr="00EF3360">
        <w:rPr>
          <w:rFonts w:asciiTheme="majorHAnsi" w:eastAsia="MS Mincho" w:hAnsiTheme="majorHAnsi"/>
          <w:color w:val="000000" w:themeColor="text1"/>
          <w:lang w:val="en-GB"/>
        </w:rPr>
        <w:t>Cycles 2 and 3: infusion on day 1, 8, 15 and 22 of each cycle.</w:t>
      </w:r>
    </w:p>
    <w:p w14:paraId="2D5B2A3F" w14:textId="77777777" w:rsidR="00AA5BED" w:rsidRPr="00660F1A" w:rsidRDefault="00AA5BED" w:rsidP="00AA5BED">
      <w:pPr>
        <w:pStyle w:val="ListParagraph"/>
        <w:numPr>
          <w:ilvl w:val="0"/>
          <w:numId w:val="11"/>
        </w:numPr>
        <w:autoSpaceDE w:val="0"/>
        <w:autoSpaceDN w:val="0"/>
        <w:adjustRightInd w:val="0"/>
        <w:spacing w:after="0" w:line="240" w:lineRule="auto"/>
        <w:ind w:left="567" w:hanging="567"/>
        <w:rPr>
          <w:rFonts w:asciiTheme="majorHAnsi" w:eastAsia="MS Mincho" w:hAnsiTheme="majorHAnsi"/>
          <w:lang w:val="en-GB"/>
        </w:rPr>
      </w:pPr>
      <w:r w:rsidRPr="00660F1A">
        <w:rPr>
          <w:rFonts w:asciiTheme="majorHAnsi" w:eastAsia="MS Mincho" w:hAnsiTheme="majorHAnsi"/>
          <w:lang w:val="en-GB"/>
        </w:rPr>
        <w:t xml:space="preserve">Cycle 4 until disease progression: infusion on day 1 and 15 of each cycle. </w:t>
      </w:r>
    </w:p>
    <w:p w14:paraId="1D70717E" w14:textId="77777777" w:rsidR="00AA5BED" w:rsidRPr="00660F1A" w:rsidRDefault="00AA5BED" w:rsidP="00AA5BED">
      <w:pPr>
        <w:spacing w:line="240" w:lineRule="auto"/>
        <w:rPr>
          <w:rFonts w:asciiTheme="majorHAnsi" w:eastAsia="MS Mincho" w:hAnsiTheme="majorHAnsi"/>
          <w:color w:val="000000" w:themeColor="text1"/>
        </w:rPr>
      </w:pPr>
      <w:r w:rsidRPr="00660F1A">
        <w:rPr>
          <w:rFonts w:asciiTheme="majorHAnsi" w:eastAsia="MS Mincho" w:hAnsiTheme="majorHAnsi"/>
          <w:color w:val="000000" w:themeColor="text1"/>
        </w:rPr>
        <w:t>Each cycle has 28 days.</w:t>
      </w:r>
    </w:p>
    <w:p w14:paraId="16E301A9" w14:textId="4C15B700" w:rsidR="00AA5BED" w:rsidRPr="00660F1A" w:rsidRDefault="00AA5BED" w:rsidP="00AA5BED">
      <w:pPr>
        <w:spacing w:line="240" w:lineRule="auto"/>
        <w:rPr>
          <w:rFonts w:asciiTheme="majorHAnsi" w:hAnsiTheme="majorHAnsi"/>
        </w:rPr>
      </w:pPr>
      <w:r w:rsidRPr="00660F1A">
        <w:rPr>
          <w:rFonts w:asciiTheme="majorHAnsi" w:hAnsiTheme="majorHAnsi"/>
        </w:rPr>
        <w:t xml:space="preserve">In addition, patients should self-administer lenalidomide capsules at the recommended starting dose of 25 mg daily on days 1 to 21 of each cycle. The starting dose and subsequent dosing may be adjusted according to the lenalidomide </w:t>
      </w:r>
      <w:r w:rsidR="0069786D" w:rsidRPr="00660F1A">
        <w:rPr>
          <w:rFonts w:asciiTheme="majorHAnsi" w:hAnsiTheme="majorHAnsi"/>
        </w:rPr>
        <w:t>Product Information</w:t>
      </w:r>
      <w:r w:rsidRPr="00660F1A">
        <w:rPr>
          <w:rFonts w:asciiTheme="majorHAnsi" w:hAnsiTheme="majorHAnsi"/>
        </w:rPr>
        <w:t>.</w:t>
      </w:r>
    </w:p>
    <w:p w14:paraId="1DC36991" w14:textId="77777777" w:rsidR="00AA5BED" w:rsidRPr="00660F1A" w:rsidRDefault="00AA5BED" w:rsidP="00AA5BED">
      <w:pPr>
        <w:spacing w:line="240" w:lineRule="auto"/>
        <w:rPr>
          <w:rFonts w:asciiTheme="majorHAnsi" w:hAnsiTheme="majorHAnsi"/>
        </w:rPr>
      </w:pPr>
      <w:r w:rsidRPr="00660F1A">
        <w:rPr>
          <w:rFonts w:asciiTheme="majorHAnsi" w:hAnsiTheme="majorHAnsi"/>
          <w:caps/>
        </w:rPr>
        <w:t>Minjuvi</w:t>
      </w:r>
      <w:r w:rsidRPr="00660F1A">
        <w:rPr>
          <w:rFonts w:asciiTheme="majorHAnsi" w:hAnsiTheme="majorHAnsi"/>
        </w:rPr>
        <w:t xml:space="preserve"> plus lenalidomide in combination is given for up to twelve cycles.</w:t>
      </w:r>
    </w:p>
    <w:p w14:paraId="104209A8" w14:textId="77777777" w:rsidR="00AA5BED" w:rsidRPr="00422919" w:rsidRDefault="00AA5BED" w:rsidP="00AA5BED">
      <w:pPr>
        <w:spacing w:line="240" w:lineRule="auto"/>
        <w:rPr>
          <w:rFonts w:asciiTheme="majorHAnsi" w:hAnsiTheme="majorHAnsi"/>
        </w:rPr>
      </w:pPr>
      <w:r w:rsidRPr="00660F1A">
        <w:rPr>
          <w:rFonts w:asciiTheme="majorHAnsi" w:hAnsiTheme="majorHAnsi"/>
        </w:rPr>
        <w:t xml:space="preserve">Treatment with lenalidomide should be stopped after a maximum of twelve cycles of combination therapy. Patients should continue to receive </w:t>
      </w:r>
      <w:r w:rsidRPr="00660F1A">
        <w:rPr>
          <w:rFonts w:asciiTheme="majorHAnsi" w:hAnsiTheme="majorHAnsi"/>
          <w:caps/>
        </w:rPr>
        <w:t>Minjuvi</w:t>
      </w:r>
      <w:r w:rsidRPr="00660F1A">
        <w:rPr>
          <w:rFonts w:asciiTheme="majorHAnsi" w:hAnsiTheme="majorHAnsi"/>
        </w:rPr>
        <w:t xml:space="preserve"> infusions as single agent on </w:t>
      </w:r>
      <w:r w:rsidRPr="00422919">
        <w:rPr>
          <w:rFonts w:asciiTheme="majorHAnsi" w:hAnsiTheme="majorHAnsi"/>
        </w:rPr>
        <w:t>day 1 and 15 of each 28</w:t>
      </w:r>
      <w:r w:rsidRPr="00422919">
        <w:rPr>
          <w:rFonts w:asciiTheme="majorHAnsi" w:hAnsiTheme="majorHAnsi"/>
        </w:rPr>
        <w:noBreakHyphen/>
        <w:t>day cycle, until disease progression or unacceptable toxicity.</w:t>
      </w:r>
    </w:p>
    <w:p w14:paraId="552A60AB" w14:textId="77777777" w:rsidR="00AA5BED" w:rsidRPr="00422919" w:rsidRDefault="00AA5BED" w:rsidP="00AA5BED">
      <w:pPr>
        <w:spacing w:line="240" w:lineRule="auto"/>
        <w:rPr>
          <w:rFonts w:asciiTheme="majorHAnsi" w:eastAsia="MS Mincho" w:hAnsiTheme="majorHAnsi"/>
          <w:u w:val="single"/>
        </w:rPr>
      </w:pPr>
      <w:r w:rsidRPr="00422919">
        <w:rPr>
          <w:rFonts w:asciiTheme="majorHAnsi" w:eastAsia="MS Mincho" w:hAnsiTheme="majorHAnsi"/>
          <w:u w:val="single"/>
        </w:rPr>
        <w:t xml:space="preserve">Dose modifications </w:t>
      </w:r>
    </w:p>
    <w:p w14:paraId="55CB753C" w14:textId="4E361B99" w:rsidR="00AA5BED" w:rsidRPr="00EF3360" w:rsidRDefault="00AA5BED" w:rsidP="00AA5BED">
      <w:pPr>
        <w:spacing w:line="240" w:lineRule="auto"/>
        <w:rPr>
          <w:rFonts w:asciiTheme="majorHAnsi" w:hAnsiTheme="majorHAnsi"/>
        </w:rPr>
      </w:pPr>
      <w:r w:rsidRPr="001667C9">
        <w:rPr>
          <w:rFonts w:asciiTheme="majorHAnsi" w:hAnsiTheme="majorHAnsi"/>
        </w:rPr>
        <w:t xml:space="preserve">Table 1 provides dose modifications in case of adverse reactions. For dose modifications regarding lenalidomide, please also refer to the lenalidomide </w:t>
      </w:r>
      <w:r w:rsidR="000A1140" w:rsidRPr="00EF3360">
        <w:rPr>
          <w:rFonts w:asciiTheme="majorHAnsi" w:hAnsiTheme="majorHAnsi"/>
        </w:rPr>
        <w:t>Product Information</w:t>
      </w:r>
      <w:r w:rsidRPr="00EF3360">
        <w:rPr>
          <w:rFonts w:asciiTheme="majorHAnsi" w:hAnsiTheme="majorHAnsi"/>
        </w:rPr>
        <w:t>.</w:t>
      </w:r>
    </w:p>
    <w:p w14:paraId="0C915D3A" w14:textId="77777777" w:rsidR="00AA5BED" w:rsidRPr="00422919" w:rsidRDefault="00AA5BED" w:rsidP="009273B0">
      <w:pPr>
        <w:pStyle w:val="Caption"/>
        <w:tabs>
          <w:tab w:val="left" w:pos="720"/>
          <w:tab w:val="left" w:pos="1440"/>
          <w:tab w:val="left" w:pos="2160"/>
          <w:tab w:val="left" w:pos="2880"/>
          <w:tab w:val="left" w:pos="3600"/>
          <w:tab w:val="left" w:pos="4320"/>
          <w:tab w:val="left" w:pos="5040"/>
          <w:tab w:val="left" w:pos="6693"/>
        </w:tabs>
        <w:spacing w:before="0" w:after="120"/>
        <w:ind w:left="902" w:hanging="902"/>
        <w:rPr>
          <w:rFonts w:asciiTheme="majorHAnsi" w:eastAsia="MS Mincho" w:hAnsiTheme="majorHAnsi" w:cs="Times New Roman"/>
          <w:color w:val="000000"/>
          <w:sz w:val="22"/>
          <w:szCs w:val="22"/>
          <w:lang w:val="en-GB"/>
        </w:rPr>
      </w:pPr>
      <w:r w:rsidRPr="00882808">
        <w:rPr>
          <w:rFonts w:asciiTheme="majorHAnsi" w:eastAsia="MS Mincho" w:hAnsiTheme="majorHAnsi" w:cs="Times New Roman"/>
          <w:sz w:val="22"/>
          <w:szCs w:val="22"/>
          <w:lang w:val="en-GB"/>
        </w:rPr>
        <w:t xml:space="preserve">Table </w:t>
      </w:r>
      <w:r w:rsidRPr="00422919">
        <w:rPr>
          <w:rFonts w:asciiTheme="majorHAnsi" w:hAnsiTheme="majorHAnsi" w:cs="Times New Roman"/>
          <w:sz w:val="22"/>
          <w:szCs w:val="22"/>
          <w:lang w:val="en-GB"/>
        </w:rPr>
        <w:fldChar w:fldCharType="begin"/>
      </w:r>
      <w:r w:rsidRPr="00422919">
        <w:rPr>
          <w:rFonts w:asciiTheme="majorHAnsi" w:hAnsiTheme="majorHAnsi" w:cs="Times New Roman"/>
          <w:sz w:val="22"/>
          <w:szCs w:val="22"/>
          <w:lang w:val="en-GB"/>
        </w:rPr>
        <w:instrText xml:space="preserve"> SEQ Table \* ARABIC </w:instrText>
      </w:r>
      <w:r w:rsidRPr="00422919">
        <w:rPr>
          <w:rFonts w:asciiTheme="majorHAnsi" w:hAnsiTheme="majorHAnsi" w:cs="Times New Roman"/>
          <w:sz w:val="22"/>
          <w:szCs w:val="22"/>
          <w:lang w:val="en-GB"/>
        </w:rPr>
        <w:fldChar w:fldCharType="separate"/>
      </w:r>
      <w:r w:rsidRPr="00422919">
        <w:rPr>
          <w:rFonts w:asciiTheme="majorHAnsi" w:hAnsiTheme="majorHAnsi" w:cs="Times New Roman"/>
          <w:noProof/>
          <w:sz w:val="22"/>
          <w:szCs w:val="22"/>
          <w:lang w:val="en-GB"/>
        </w:rPr>
        <w:t>1</w:t>
      </w:r>
      <w:r w:rsidRPr="00422919">
        <w:rPr>
          <w:rFonts w:asciiTheme="majorHAnsi" w:hAnsiTheme="majorHAnsi" w:cs="Times New Roman"/>
          <w:sz w:val="22"/>
          <w:szCs w:val="22"/>
          <w:lang w:val="en-GB"/>
        </w:rPr>
        <w:fldChar w:fldCharType="end"/>
      </w:r>
      <w:r w:rsidRPr="00422919">
        <w:rPr>
          <w:rFonts w:asciiTheme="majorHAnsi" w:eastAsia="MS Mincho" w:hAnsiTheme="majorHAnsi" w:cs="Times New Roman"/>
          <w:color w:val="000000"/>
          <w:sz w:val="22"/>
          <w:szCs w:val="22"/>
          <w:lang w:val="en-GB"/>
        </w:rPr>
        <w:t>:</w:t>
      </w:r>
      <w:r w:rsidRPr="00422919">
        <w:rPr>
          <w:rFonts w:asciiTheme="majorHAnsi" w:eastAsia="MS Mincho" w:hAnsiTheme="majorHAnsi" w:cs="Times New Roman"/>
          <w:color w:val="000000"/>
          <w:sz w:val="22"/>
          <w:szCs w:val="22"/>
          <w:lang w:val="en-GB"/>
        </w:rPr>
        <w:tab/>
        <w:t>Dose modifications in case of adverse reactions</w:t>
      </w:r>
    </w:p>
    <w:tbl>
      <w:tblPr>
        <w:tblStyle w:val="RPtable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2820"/>
        <w:gridCol w:w="4025"/>
      </w:tblGrid>
      <w:tr w:rsidR="00AA5BED" w:rsidRPr="00422919" w14:paraId="0F6239B3" w14:textId="77777777" w:rsidTr="00C85C9F">
        <w:trPr>
          <w:trHeight w:val="544"/>
          <w:tblHeader/>
        </w:trPr>
        <w:tc>
          <w:tcPr>
            <w:tcW w:w="1204" w:type="pct"/>
            <w:vAlign w:val="center"/>
          </w:tcPr>
          <w:p w14:paraId="3FB23749" w14:textId="77777777" w:rsidR="00AA5BED" w:rsidRPr="001667C9" w:rsidRDefault="00AA5BED" w:rsidP="00C85C9F">
            <w:pPr>
              <w:rPr>
                <w:rFonts w:asciiTheme="majorHAnsi" w:hAnsiTheme="majorHAnsi" w:cs="Times New Roman"/>
                <w:b/>
                <w:lang w:val="en-GB"/>
              </w:rPr>
            </w:pPr>
            <w:r w:rsidRPr="001667C9">
              <w:rPr>
                <w:rFonts w:asciiTheme="majorHAnsi" w:hAnsiTheme="majorHAnsi" w:cs="Times New Roman"/>
                <w:b/>
                <w:lang w:val="en-GB"/>
              </w:rPr>
              <w:t xml:space="preserve">Adverse </w:t>
            </w:r>
            <w:r w:rsidRPr="001667C9">
              <w:rPr>
                <w:rFonts w:asciiTheme="majorHAnsi" w:hAnsiTheme="majorHAnsi" w:cs="Times New Roman"/>
                <w:b/>
                <w:bCs/>
                <w:lang w:val="en-GB"/>
              </w:rPr>
              <w:t>reaction</w:t>
            </w:r>
          </w:p>
        </w:tc>
        <w:tc>
          <w:tcPr>
            <w:tcW w:w="1564" w:type="pct"/>
            <w:vAlign w:val="center"/>
            <w:hideMark/>
          </w:tcPr>
          <w:p w14:paraId="32FFD4B8" w14:textId="77777777" w:rsidR="00AA5BED" w:rsidRPr="003A56B6" w:rsidRDefault="00AA5BED" w:rsidP="00C85C9F">
            <w:pPr>
              <w:jc w:val="center"/>
              <w:rPr>
                <w:rFonts w:asciiTheme="majorHAnsi" w:hAnsiTheme="majorHAnsi" w:cs="Times New Roman"/>
                <w:b/>
                <w:lang w:val="en-GB"/>
              </w:rPr>
            </w:pPr>
            <w:r w:rsidRPr="003A56B6">
              <w:rPr>
                <w:rFonts w:asciiTheme="majorHAnsi" w:hAnsiTheme="majorHAnsi" w:cs="Times New Roman"/>
                <w:b/>
                <w:lang w:val="en-GB"/>
              </w:rPr>
              <w:t>Severity</w:t>
            </w:r>
          </w:p>
        </w:tc>
        <w:tc>
          <w:tcPr>
            <w:tcW w:w="2232" w:type="pct"/>
            <w:vAlign w:val="center"/>
            <w:hideMark/>
          </w:tcPr>
          <w:p w14:paraId="1B907196" w14:textId="77777777" w:rsidR="00AA5BED" w:rsidRPr="00EF3360" w:rsidRDefault="00AA5BED" w:rsidP="00C85C9F">
            <w:pPr>
              <w:jc w:val="center"/>
              <w:rPr>
                <w:rFonts w:asciiTheme="majorHAnsi" w:hAnsiTheme="majorHAnsi" w:cs="Times New Roman"/>
                <w:b/>
                <w:lang w:val="en-GB"/>
              </w:rPr>
            </w:pPr>
            <w:r w:rsidRPr="00EF3360">
              <w:rPr>
                <w:rFonts w:asciiTheme="majorHAnsi" w:hAnsiTheme="majorHAnsi" w:cs="Times New Roman"/>
                <w:b/>
                <w:lang w:val="en-GB"/>
              </w:rPr>
              <w:t xml:space="preserve">Dosage </w:t>
            </w:r>
            <w:r w:rsidRPr="00EF3360">
              <w:rPr>
                <w:rFonts w:asciiTheme="majorHAnsi" w:hAnsiTheme="majorHAnsi" w:cs="Times New Roman"/>
                <w:b/>
                <w:bCs/>
                <w:lang w:val="en-GB"/>
              </w:rPr>
              <w:t>modification</w:t>
            </w:r>
          </w:p>
        </w:tc>
      </w:tr>
      <w:tr w:rsidR="00AA5BED" w:rsidRPr="00422919" w14:paraId="7C631B0E" w14:textId="77777777" w:rsidTr="00C85C9F">
        <w:tc>
          <w:tcPr>
            <w:tcW w:w="1204" w:type="pct"/>
            <w:vMerge w:val="restart"/>
          </w:tcPr>
          <w:p w14:paraId="464C2FF7" w14:textId="77777777" w:rsidR="00AA5BED" w:rsidRPr="00422919" w:rsidRDefault="00AA5BED" w:rsidP="00C85C9F">
            <w:pPr>
              <w:spacing w:after="120"/>
              <w:rPr>
                <w:rFonts w:asciiTheme="majorHAnsi" w:hAnsiTheme="majorHAnsi" w:cs="Times New Roman"/>
                <w:i/>
                <w:lang w:val="en-GB"/>
              </w:rPr>
            </w:pPr>
            <w:r w:rsidRPr="00422919">
              <w:rPr>
                <w:rFonts w:asciiTheme="majorHAnsi" w:hAnsiTheme="majorHAnsi" w:cs="Times New Roman"/>
                <w:lang w:val="en-GB"/>
              </w:rPr>
              <w:t>Infusion-related reactions</w:t>
            </w:r>
          </w:p>
        </w:tc>
        <w:tc>
          <w:tcPr>
            <w:tcW w:w="1564" w:type="pct"/>
            <w:vAlign w:val="center"/>
          </w:tcPr>
          <w:p w14:paraId="73D8E973" w14:textId="77777777" w:rsidR="00AA5BED" w:rsidRPr="00422919" w:rsidRDefault="00AA5BED" w:rsidP="00C85C9F">
            <w:pPr>
              <w:spacing w:after="120"/>
              <w:rPr>
                <w:rFonts w:asciiTheme="majorHAnsi" w:hAnsiTheme="majorHAnsi" w:cs="Times New Roman"/>
                <w:lang w:val="en-GB"/>
              </w:rPr>
            </w:pPr>
            <w:r w:rsidRPr="00422919">
              <w:rPr>
                <w:rFonts w:asciiTheme="majorHAnsi" w:hAnsiTheme="majorHAnsi" w:cs="Times New Roman"/>
                <w:lang w:val="en-GB"/>
              </w:rPr>
              <w:t xml:space="preserve">Grade 2 (moderate) </w:t>
            </w:r>
          </w:p>
        </w:tc>
        <w:tc>
          <w:tcPr>
            <w:tcW w:w="2232" w:type="pct"/>
          </w:tcPr>
          <w:p w14:paraId="6380CEFF" w14:textId="77777777" w:rsidR="00AA5BED" w:rsidRPr="00422919" w:rsidRDefault="00AA5BED" w:rsidP="00AA5BED">
            <w:pPr>
              <w:pStyle w:val="BodyText"/>
              <w:numPr>
                <w:ilvl w:val="0"/>
                <w:numId w:val="13"/>
              </w:numPr>
              <w:tabs>
                <w:tab w:val="left" w:pos="900"/>
              </w:tabs>
              <w:ind w:left="249" w:hanging="272"/>
              <w:rPr>
                <w:rFonts w:asciiTheme="majorHAnsi" w:eastAsiaTheme="minorEastAsia" w:hAnsiTheme="majorHAnsi"/>
                <w:i w:val="0"/>
                <w:color w:val="auto"/>
                <w:szCs w:val="22"/>
              </w:rPr>
            </w:pPr>
            <w:r w:rsidRPr="00422919">
              <w:rPr>
                <w:rFonts w:asciiTheme="majorHAnsi" w:hAnsiTheme="majorHAnsi"/>
                <w:i w:val="0"/>
                <w:color w:val="auto"/>
                <w:szCs w:val="22"/>
              </w:rPr>
              <w:t xml:space="preserve">Interrupt MINJUVI infusion immediately and manage signs and symptoms. </w:t>
            </w:r>
          </w:p>
          <w:p w14:paraId="5F91EDF8" w14:textId="77777777" w:rsidR="00AA5BED" w:rsidRPr="00422919" w:rsidRDefault="00AA5BED" w:rsidP="00AA5BED">
            <w:pPr>
              <w:pStyle w:val="BodyText"/>
              <w:numPr>
                <w:ilvl w:val="0"/>
                <w:numId w:val="13"/>
              </w:numPr>
              <w:tabs>
                <w:tab w:val="left" w:pos="900"/>
              </w:tabs>
              <w:ind w:left="249" w:hanging="272"/>
              <w:rPr>
                <w:rFonts w:asciiTheme="majorHAnsi" w:eastAsiaTheme="minorEastAsia" w:hAnsiTheme="majorHAnsi"/>
                <w:i w:val="0"/>
                <w:color w:val="auto"/>
                <w:szCs w:val="22"/>
              </w:rPr>
            </w:pPr>
            <w:r w:rsidRPr="00422919">
              <w:rPr>
                <w:rFonts w:asciiTheme="majorHAnsi" w:hAnsiTheme="majorHAnsi"/>
                <w:i w:val="0"/>
                <w:color w:val="auto"/>
                <w:szCs w:val="22"/>
              </w:rPr>
              <w:t xml:space="preserve">Once signs and symptoms resolve or reduce to Grade 1, resume MINJUVI infusion at no more than 50% of the rate at which the reaction occurred. If the patient does not experience </w:t>
            </w:r>
            <w:r w:rsidRPr="00422919">
              <w:rPr>
                <w:rFonts w:asciiTheme="majorHAnsi" w:hAnsiTheme="majorHAnsi"/>
                <w:i w:val="0"/>
                <w:color w:val="auto"/>
                <w:szCs w:val="22"/>
              </w:rPr>
              <w:lastRenderedPageBreak/>
              <w:t>further reaction within 1 hour and vital signs are stable, the infusion rate may be increased every 30 minutes as tolerated to the rate at which the reaction occurred.</w:t>
            </w:r>
          </w:p>
        </w:tc>
      </w:tr>
      <w:tr w:rsidR="00AA5BED" w:rsidRPr="00422919" w14:paraId="360963CD" w14:textId="77777777" w:rsidTr="00C85C9F">
        <w:tc>
          <w:tcPr>
            <w:tcW w:w="1204" w:type="pct"/>
            <w:vMerge/>
          </w:tcPr>
          <w:p w14:paraId="0111F1BC" w14:textId="77777777" w:rsidR="00AA5BED" w:rsidRPr="00422919" w:rsidRDefault="00AA5BED" w:rsidP="00C85C9F">
            <w:pPr>
              <w:spacing w:after="120"/>
              <w:rPr>
                <w:rFonts w:asciiTheme="majorHAnsi" w:hAnsiTheme="majorHAnsi" w:cs="Times New Roman"/>
                <w:b/>
                <w:lang w:val="en-GB"/>
              </w:rPr>
            </w:pPr>
          </w:p>
        </w:tc>
        <w:tc>
          <w:tcPr>
            <w:tcW w:w="1564" w:type="pct"/>
            <w:vAlign w:val="center"/>
          </w:tcPr>
          <w:p w14:paraId="28736056" w14:textId="77777777" w:rsidR="00AA5BED" w:rsidRPr="00422919" w:rsidRDefault="00AA5BED" w:rsidP="00C85C9F">
            <w:pPr>
              <w:spacing w:after="120"/>
              <w:rPr>
                <w:rFonts w:asciiTheme="majorHAnsi" w:hAnsiTheme="majorHAnsi" w:cs="Times New Roman"/>
                <w:lang w:val="en-GB"/>
              </w:rPr>
            </w:pPr>
            <w:r w:rsidRPr="00422919">
              <w:rPr>
                <w:rFonts w:asciiTheme="majorHAnsi" w:hAnsiTheme="majorHAnsi" w:cs="Times New Roman"/>
                <w:lang w:val="en-GB"/>
              </w:rPr>
              <w:t xml:space="preserve">Grade 3 (severe) </w:t>
            </w:r>
          </w:p>
          <w:p w14:paraId="6D438F11" w14:textId="77777777" w:rsidR="00AA5BED" w:rsidRPr="00422919" w:rsidRDefault="00AA5BED" w:rsidP="00C85C9F">
            <w:pPr>
              <w:spacing w:after="120"/>
              <w:rPr>
                <w:rFonts w:asciiTheme="majorHAnsi" w:hAnsiTheme="majorHAnsi" w:cs="Times New Roman"/>
                <w:lang w:val="en-GB"/>
              </w:rPr>
            </w:pPr>
          </w:p>
        </w:tc>
        <w:tc>
          <w:tcPr>
            <w:tcW w:w="2232" w:type="pct"/>
          </w:tcPr>
          <w:p w14:paraId="53D483FC" w14:textId="77777777" w:rsidR="00AA5BED" w:rsidRPr="00422919" w:rsidRDefault="00AA5BED" w:rsidP="00AA5BED">
            <w:pPr>
              <w:pStyle w:val="BodyText"/>
              <w:numPr>
                <w:ilvl w:val="0"/>
                <w:numId w:val="13"/>
              </w:numPr>
              <w:tabs>
                <w:tab w:val="left" w:pos="900"/>
              </w:tabs>
              <w:ind w:left="249" w:hanging="272"/>
              <w:rPr>
                <w:rFonts w:asciiTheme="majorHAnsi" w:eastAsiaTheme="minorEastAsia" w:hAnsiTheme="majorHAnsi"/>
                <w:i w:val="0"/>
                <w:color w:val="auto"/>
                <w:szCs w:val="22"/>
              </w:rPr>
            </w:pPr>
            <w:r w:rsidRPr="00422919">
              <w:rPr>
                <w:rFonts w:asciiTheme="majorHAnsi" w:hAnsiTheme="majorHAnsi"/>
                <w:i w:val="0"/>
                <w:color w:val="auto"/>
                <w:szCs w:val="22"/>
              </w:rPr>
              <w:t>Interrupt MINJUVI infusion immediately and manage signs and symptoms.</w:t>
            </w:r>
          </w:p>
          <w:p w14:paraId="1AD84612" w14:textId="77777777" w:rsidR="00AA5BED" w:rsidRPr="00422919" w:rsidRDefault="00AA5BED" w:rsidP="00AA5BED">
            <w:pPr>
              <w:pStyle w:val="BodyText"/>
              <w:numPr>
                <w:ilvl w:val="0"/>
                <w:numId w:val="13"/>
              </w:numPr>
              <w:tabs>
                <w:tab w:val="left" w:pos="900"/>
              </w:tabs>
              <w:ind w:left="249" w:hanging="272"/>
              <w:rPr>
                <w:rFonts w:asciiTheme="majorHAnsi" w:eastAsiaTheme="minorEastAsia" w:hAnsiTheme="majorHAnsi"/>
                <w:i w:val="0"/>
                <w:color w:val="auto"/>
                <w:szCs w:val="22"/>
              </w:rPr>
            </w:pPr>
            <w:r w:rsidRPr="00422919">
              <w:rPr>
                <w:rFonts w:asciiTheme="majorHAnsi" w:hAnsiTheme="majorHAnsi"/>
                <w:i w:val="0"/>
                <w:color w:val="auto"/>
                <w:szCs w:val="22"/>
              </w:rPr>
              <w:t>Once signs and symptoms resolve or reduce to Grade 1, resume MINJUVI infusion at no more than 25% of the rate at which the reaction occurred. If the patient does not experience further reaction within 1 hour and vital signs are stable, the infusion rate may be increased every 30 minutes as tolerated to a maximum of 50% of the rate at which the reaction occurred.</w:t>
            </w:r>
          </w:p>
          <w:p w14:paraId="7604ED1D" w14:textId="77777777" w:rsidR="00AA5BED" w:rsidRPr="00422919" w:rsidRDefault="00AA5BED" w:rsidP="00AA5BED">
            <w:pPr>
              <w:pStyle w:val="BodyText"/>
              <w:numPr>
                <w:ilvl w:val="0"/>
                <w:numId w:val="13"/>
              </w:numPr>
              <w:tabs>
                <w:tab w:val="left" w:pos="900"/>
              </w:tabs>
              <w:ind w:left="249" w:hanging="272"/>
              <w:rPr>
                <w:rFonts w:asciiTheme="majorHAnsi" w:hAnsiTheme="majorHAnsi"/>
                <w:i w:val="0"/>
                <w:color w:val="auto"/>
                <w:szCs w:val="22"/>
              </w:rPr>
            </w:pPr>
            <w:r w:rsidRPr="00422919">
              <w:rPr>
                <w:rFonts w:asciiTheme="majorHAnsi" w:hAnsiTheme="majorHAnsi"/>
                <w:i w:val="0"/>
                <w:color w:val="auto"/>
                <w:szCs w:val="22"/>
              </w:rPr>
              <w:t xml:space="preserve">If after rechallenge the reaction returns, stop the infusion immediately. </w:t>
            </w:r>
          </w:p>
        </w:tc>
      </w:tr>
      <w:tr w:rsidR="00AA5BED" w:rsidRPr="00422919" w14:paraId="0B5D0A92" w14:textId="77777777" w:rsidTr="00C85C9F">
        <w:tc>
          <w:tcPr>
            <w:tcW w:w="1204" w:type="pct"/>
            <w:vMerge/>
          </w:tcPr>
          <w:p w14:paraId="21468977" w14:textId="77777777" w:rsidR="00AA5BED" w:rsidRPr="00422919" w:rsidRDefault="00AA5BED" w:rsidP="00C85C9F">
            <w:pPr>
              <w:spacing w:after="120"/>
              <w:rPr>
                <w:rFonts w:asciiTheme="majorHAnsi" w:hAnsiTheme="majorHAnsi" w:cs="Times New Roman"/>
                <w:b/>
                <w:lang w:val="en-GB"/>
              </w:rPr>
            </w:pPr>
          </w:p>
        </w:tc>
        <w:tc>
          <w:tcPr>
            <w:tcW w:w="1564" w:type="pct"/>
            <w:vAlign w:val="center"/>
          </w:tcPr>
          <w:p w14:paraId="2A14537A" w14:textId="77777777" w:rsidR="00AA5BED" w:rsidRPr="00422919" w:rsidRDefault="00AA5BED" w:rsidP="00C85C9F">
            <w:pPr>
              <w:spacing w:after="120"/>
              <w:rPr>
                <w:rFonts w:asciiTheme="majorHAnsi" w:hAnsiTheme="majorHAnsi" w:cs="Times New Roman"/>
                <w:lang w:val="en-GB"/>
              </w:rPr>
            </w:pPr>
            <w:r w:rsidRPr="00422919">
              <w:rPr>
                <w:rFonts w:asciiTheme="majorHAnsi" w:hAnsiTheme="majorHAnsi" w:cs="Times New Roman"/>
                <w:lang w:val="en-GB"/>
              </w:rPr>
              <w:t>Grade 4 (life-threatening)</w:t>
            </w:r>
            <w:r w:rsidRPr="00422919">
              <w:rPr>
                <w:rFonts w:asciiTheme="majorHAnsi" w:hAnsiTheme="majorHAnsi" w:cs="Times New Roman"/>
                <w:b/>
                <w:lang w:val="en-GB"/>
              </w:rPr>
              <w:t xml:space="preserve"> </w:t>
            </w:r>
          </w:p>
        </w:tc>
        <w:tc>
          <w:tcPr>
            <w:tcW w:w="2232" w:type="pct"/>
          </w:tcPr>
          <w:p w14:paraId="68D34077" w14:textId="77777777" w:rsidR="00AA5BED" w:rsidRPr="00422919" w:rsidRDefault="00AA5BED" w:rsidP="00AA5BED">
            <w:pPr>
              <w:pStyle w:val="BodyText"/>
              <w:numPr>
                <w:ilvl w:val="0"/>
                <w:numId w:val="13"/>
              </w:numPr>
              <w:tabs>
                <w:tab w:val="left" w:pos="900"/>
              </w:tabs>
              <w:ind w:left="249" w:hanging="272"/>
              <w:rPr>
                <w:rFonts w:asciiTheme="majorHAnsi" w:hAnsiTheme="majorHAnsi"/>
                <w:i w:val="0"/>
                <w:color w:val="auto"/>
                <w:szCs w:val="22"/>
              </w:rPr>
            </w:pPr>
            <w:r w:rsidRPr="00422919">
              <w:rPr>
                <w:rFonts w:asciiTheme="majorHAnsi" w:hAnsiTheme="majorHAnsi"/>
                <w:i w:val="0"/>
                <w:color w:val="auto"/>
                <w:szCs w:val="22"/>
              </w:rPr>
              <w:t>Stop the infusion immediately and permanently discontinue MINJUVI.</w:t>
            </w:r>
          </w:p>
        </w:tc>
      </w:tr>
      <w:tr w:rsidR="00AA5BED" w:rsidRPr="00422919" w14:paraId="7CCC6B54" w14:textId="77777777" w:rsidTr="00C85C9F">
        <w:tc>
          <w:tcPr>
            <w:tcW w:w="1204" w:type="pct"/>
            <w:vMerge w:val="restart"/>
          </w:tcPr>
          <w:p w14:paraId="0B6B47C0" w14:textId="77777777" w:rsidR="00AA5BED" w:rsidRPr="00422919" w:rsidRDefault="00AA5BED" w:rsidP="00C85C9F">
            <w:pPr>
              <w:spacing w:after="120"/>
              <w:rPr>
                <w:rFonts w:asciiTheme="majorHAnsi" w:hAnsiTheme="majorHAnsi" w:cs="Times New Roman"/>
                <w:i/>
                <w:lang w:val="en-GB"/>
              </w:rPr>
            </w:pPr>
            <w:r w:rsidRPr="00422919">
              <w:rPr>
                <w:rFonts w:asciiTheme="majorHAnsi" w:hAnsiTheme="majorHAnsi" w:cs="Times New Roman"/>
                <w:lang w:val="en-GB"/>
              </w:rPr>
              <w:t xml:space="preserve">Myelosuppression </w:t>
            </w:r>
          </w:p>
        </w:tc>
        <w:tc>
          <w:tcPr>
            <w:tcW w:w="1564" w:type="pct"/>
            <w:vAlign w:val="center"/>
            <w:hideMark/>
          </w:tcPr>
          <w:p w14:paraId="2DAC59E2" w14:textId="77777777" w:rsidR="00AA5BED" w:rsidRPr="00422919" w:rsidRDefault="00AA5BED" w:rsidP="00C85C9F">
            <w:pPr>
              <w:spacing w:after="120"/>
              <w:rPr>
                <w:rFonts w:asciiTheme="majorHAnsi" w:hAnsiTheme="majorHAnsi" w:cs="Times New Roman"/>
                <w:lang w:val="en-GB"/>
              </w:rPr>
            </w:pPr>
            <w:r w:rsidRPr="00422919">
              <w:rPr>
                <w:rFonts w:asciiTheme="majorHAnsi" w:hAnsiTheme="majorHAnsi" w:cs="Times New Roman"/>
                <w:lang w:val="en-GB"/>
              </w:rPr>
              <w:t xml:space="preserve">Platelet count of less than 50,000/µL </w:t>
            </w:r>
          </w:p>
        </w:tc>
        <w:tc>
          <w:tcPr>
            <w:tcW w:w="2232" w:type="pct"/>
            <w:hideMark/>
          </w:tcPr>
          <w:p w14:paraId="4800F15E" w14:textId="77777777" w:rsidR="00AA5BED" w:rsidRPr="00422919" w:rsidRDefault="00AA5BED" w:rsidP="00AA5BED">
            <w:pPr>
              <w:pStyle w:val="BodyText"/>
              <w:numPr>
                <w:ilvl w:val="0"/>
                <w:numId w:val="13"/>
              </w:numPr>
              <w:tabs>
                <w:tab w:val="left" w:pos="900"/>
              </w:tabs>
              <w:ind w:left="249" w:hanging="272"/>
              <w:rPr>
                <w:rFonts w:asciiTheme="majorHAnsi" w:eastAsiaTheme="minorEastAsia" w:hAnsiTheme="majorHAnsi"/>
                <w:i w:val="0"/>
                <w:color w:val="auto"/>
                <w:szCs w:val="22"/>
              </w:rPr>
            </w:pPr>
            <w:r w:rsidRPr="00422919">
              <w:rPr>
                <w:rFonts w:asciiTheme="majorHAnsi" w:hAnsiTheme="majorHAnsi"/>
                <w:i w:val="0"/>
                <w:color w:val="auto"/>
                <w:szCs w:val="22"/>
              </w:rPr>
              <w:t>Withhold MINJUVI and lenalidomide and monitor complete blood count weekly until platelet count is 50,000/µL or higher.</w:t>
            </w:r>
          </w:p>
          <w:p w14:paraId="67387AD0" w14:textId="77777777" w:rsidR="00AA5BED" w:rsidRPr="00422919" w:rsidRDefault="00AA5BED" w:rsidP="00AA5BED">
            <w:pPr>
              <w:pStyle w:val="BodyText"/>
              <w:numPr>
                <w:ilvl w:val="0"/>
                <w:numId w:val="13"/>
              </w:numPr>
              <w:tabs>
                <w:tab w:val="left" w:pos="900"/>
              </w:tabs>
              <w:ind w:left="249" w:hanging="272"/>
              <w:rPr>
                <w:rFonts w:asciiTheme="majorHAnsi" w:eastAsiaTheme="minorEastAsia" w:hAnsiTheme="majorHAnsi"/>
                <w:i w:val="0"/>
                <w:color w:val="auto"/>
                <w:szCs w:val="22"/>
              </w:rPr>
            </w:pPr>
            <w:r w:rsidRPr="00422919">
              <w:rPr>
                <w:rFonts w:asciiTheme="majorHAnsi" w:hAnsiTheme="majorHAnsi"/>
                <w:i w:val="0"/>
                <w:color w:val="auto"/>
                <w:szCs w:val="22"/>
              </w:rPr>
              <w:t xml:space="preserve">Resume MINJUVI at the same dose and lenalidomide at a reduced dose if platelets return to ≥ 50,000/µL. Refer to the lenalidomide SmPC for dosage modifications. </w:t>
            </w:r>
          </w:p>
        </w:tc>
      </w:tr>
      <w:tr w:rsidR="00AA5BED" w:rsidRPr="00422919" w14:paraId="79FD539E" w14:textId="77777777" w:rsidTr="00C85C9F">
        <w:tc>
          <w:tcPr>
            <w:tcW w:w="1204" w:type="pct"/>
            <w:vMerge/>
          </w:tcPr>
          <w:p w14:paraId="493E79B0" w14:textId="77777777" w:rsidR="00AA5BED" w:rsidRPr="00422919" w:rsidRDefault="00AA5BED" w:rsidP="00C85C9F">
            <w:pPr>
              <w:spacing w:after="120"/>
              <w:rPr>
                <w:rFonts w:asciiTheme="majorHAnsi" w:hAnsiTheme="majorHAnsi" w:cs="Times New Roman"/>
                <w:b/>
                <w:lang w:val="en-GB"/>
              </w:rPr>
            </w:pPr>
          </w:p>
        </w:tc>
        <w:tc>
          <w:tcPr>
            <w:tcW w:w="1564" w:type="pct"/>
            <w:vAlign w:val="center"/>
            <w:hideMark/>
          </w:tcPr>
          <w:p w14:paraId="7CCF3EA8" w14:textId="77777777" w:rsidR="00AA5BED" w:rsidRPr="00422919" w:rsidRDefault="00AA5BED" w:rsidP="00C85C9F">
            <w:pPr>
              <w:rPr>
                <w:rFonts w:asciiTheme="majorHAnsi" w:hAnsiTheme="majorHAnsi" w:cs="Times New Roman"/>
                <w:lang w:val="en-GB"/>
              </w:rPr>
            </w:pPr>
            <w:r w:rsidRPr="00422919">
              <w:rPr>
                <w:rFonts w:asciiTheme="majorHAnsi" w:hAnsiTheme="majorHAnsi" w:cs="Times New Roman"/>
                <w:lang w:val="en-GB"/>
              </w:rPr>
              <w:t>Neutrophil count of less than 1,000/µL for at least 7 days</w:t>
            </w:r>
          </w:p>
          <w:p w14:paraId="35A3BE8C" w14:textId="77777777" w:rsidR="00AA5BED" w:rsidRPr="00422919" w:rsidRDefault="00AA5BED" w:rsidP="00C85C9F">
            <w:pPr>
              <w:rPr>
                <w:rFonts w:asciiTheme="majorHAnsi" w:hAnsiTheme="majorHAnsi" w:cs="Times New Roman"/>
                <w:lang w:val="en-GB"/>
              </w:rPr>
            </w:pPr>
          </w:p>
          <w:p w14:paraId="65D1E317" w14:textId="77777777" w:rsidR="00AA5BED" w:rsidRPr="00422919" w:rsidRDefault="00AA5BED" w:rsidP="00C85C9F">
            <w:pPr>
              <w:rPr>
                <w:rFonts w:asciiTheme="majorHAnsi" w:hAnsiTheme="majorHAnsi" w:cs="Times New Roman"/>
                <w:lang w:val="en-GB"/>
              </w:rPr>
            </w:pPr>
            <w:r w:rsidRPr="00422919">
              <w:rPr>
                <w:rFonts w:asciiTheme="majorHAnsi" w:hAnsiTheme="majorHAnsi" w:cs="Times New Roman"/>
                <w:lang w:val="en-GB"/>
              </w:rPr>
              <w:t>or</w:t>
            </w:r>
          </w:p>
          <w:p w14:paraId="4001C837" w14:textId="77777777" w:rsidR="00AA5BED" w:rsidRPr="00422919" w:rsidRDefault="00AA5BED" w:rsidP="00C85C9F">
            <w:pPr>
              <w:rPr>
                <w:rFonts w:asciiTheme="majorHAnsi" w:hAnsiTheme="majorHAnsi" w:cs="Times New Roman"/>
                <w:lang w:val="en-GB"/>
              </w:rPr>
            </w:pPr>
          </w:p>
          <w:p w14:paraId="1F6ABE2C" w14:textId="77777777" w:rsidR="00AA5BED" w:rsidRPr="00422919" w:rsidRDefault="00AA5BED" w:rsidP="00C85C9F">
            <w:pPr>
              <w:rPr>
                <w:rFonts w:asciiTheme="majorHAnsi" w:hAnsiTheme="majorHAnsi" w:cs="Times New Roman"/>
                <w:lang w:val="en-GB"/>
              </w:rPr>
            </w:pPr>
            <w:r w:rsidRPr="00422919">
              <w:rPr>
                <w:rFonts w:asciiTheme="majorHAnsi" w:hAnsiTheme="majorHAnsi" w:cs="Times New Roman"/>
                <w:lang w:val="en-GB"/>
              </w:rPr>
              <w:t>Neutrophil count of less than 1,000/µL with an increase of body temperature to 38 °C or higher</w:t>
            </w:r>
          </w:p>
          <w:p w14:paraId="5D0E6FCE" w14:textId="77777777" w:rsidR="00AA5BED" w:rsidRPr="00422919" w:rsidRDefault="00AA5BED" w:rsidP="00C85C9F">
            <w:pPr>
              <w:rPr>
                <w:rFonts w:asciiTheme="majorHAnsi" w:hAnsiTheme="majorHAnsi" w:cs="Times New Roman"/>
                <w:lang w:val="en-GB"/>
              </w:rPr>
            </w:pPr>
          </w:p>
          <w:p w14:paraId="0DE4192A" w14:textId="77777777" w:rsidR="00AA5BED" w:rsidRPr="00422919" w:rsidRDefault="00AA5BED" w:rsidP="00C85C9F">
            <w:pPr>
              <w:rPr>
                <w:rFonts w:asciiTheme="majorHAnsi" w:hAnsiTheme="majorHAnsi" w:cs="Times New Roman"/>
                <w:lang w:val="en-GB"/>
              </w:rPr>
            </w:pPr>
            <w:r w:rsidRPr="00422919">
              <w:rPr>
                <w:rFonts w:asciiTheme="majorHAnsi" w:hAnsiTheme="majorHAnsi" w:cs="Times New Roman"/>
                <w:lang w:val="en-GB"/>
              </w:rPr>
              <w:t xml:space="preserve">or </w:t>
            </w:r>
          </w:p>
          <w:p w14:paraId="02A6263F" w14:textId="77777777" w:rsidR="00AA5BED" w:rsidRPr="00422919" w:rsidRDefault="00AA5BED" w:rsidP="00C85C9F">
            <w:pPr>
              <w:rPr>
                <w:rFonts w:asciiTheme="majorHAnsi" w:hAnsiTheme="majorHAnsi" w:cs="Times New Roman"/>
                <w:lang w:val="en-GB"/>
              </w:rPr>
            </w:pPr>
          </w:p>
          <w:p w14:paraId="3B15E507" w14:textId="77777777" w:rsidR="00AA5BED" w:rsidRPr="00422919" w:rsidRDefault="00AA5BED" w:rsidP="00C85C9F">
            <w:pPr>
              <w:rPr>
                <w:rFonts w:asciiTheme="majorHAnsi" w:hAnsiTheme="majorHAnsi" w:cs="Times New Roman"/>
                <w:lang w:val="en-GB"/>
              </w:rPr>
            </w:pPr>
            <w:r w:rsidRPr="00422919">
              <w:rPr>
                <w:rFonts w:asciiTheme="majorHAnsi" w:hAnsiTheme="majorHAnsi" w:cs="Times New Roman"/>
                <w:lang w:val="en-GB"/>
              </w:rPr>
              <w:t>Neutrophil count less than 500/µL</w:t>
            </w:r>
          </w:p>
        </w:tc>
        <w:tc>
          <w:tcPr>
            <w:tcW w:w="2232" w:type="pct"/>
            <w:hideMark/>
          </w:tcPr>
          <w:p w14:paraId="5200027B" w14:textId="77777777" w:rsidR="00AA5BED" w:rsidRPr="00422919" w:rsidRDefault="00AA5BED" w:rsidP="00AA5BED">
            <w:pPr>
              <w:pStyle w:val="BodyText"/>
              <w:numPr>
                <w:ilvl w:val="0"/>
                <w:numId w:val="13"/>
              </w:numPr>
              <w:tabs>
                <w:tab w:val="left" w:pos="900"/>
              </w:tabs>
              <w:ind w:left="249" w:hanging="272"/>
              <w:rPr>
                <w:rFonts w:asciiTheme="majorHAnsi" w:hAnsiTheme="majorHAnsi"/>
                <w:i w:val="0"/>
                <w:color w:val="auto"/>
                <w:szCs w:val="22"/>
              </w:rPr>
            </w:pPr>
            <w:r w:rsidRPr="00422919">
              <w:rPr>
                <w:rFonts w:asciiTheme="majorHAnsi" w:hAnsiTheme="majorHAnsi"/>
                <w:i w:val="0"/>
                <w:color w:val="auto"/>
                <w:szCs w:val="22"/>
              </w:rPr>
              <w:t>Withhold MINJUVI and lenalidomide and monitor complete blood count weekly until neutrophil count is 1,000/µL or higher.</w:t>
            </w:r>
          </w:p>
          <w:p w14:paraId="656BF75B" w14:textId="4FB46F53" w:rsidR="00AA5BED" w:rsidRPr="00422919" w:rsidRDefault="00AA5BED" w:rsidP="00AA5BED">
            <w:pPr>
              <w:pStyle w:val="BodyText"/>
              <w:numPr>
                <w:ilvl w:val="0"/>
                <w:numId w:val="12"/>
              </w:numPr>
              <w:spacing w:after="120"/>
              <w:ind w:left="250" w:hanging="250"/>
              <w:rPr>
                <w:rFonts w:asciiTheme="majorHAnsi" w:eastAsiaTheme="minorEastAsia" w:hAnsiTheme="majorHAnsi"/>
                <w:i w:val="0"/>
                <w:color w:val="auto"/>
                <w:szCs w:val="22"/>
              </w:rPr>
            </w:pPr>
            <w:r w:rsidRPr="00422919">
              <w:rPr>
                <w:rFonts w:asciiTheme="majorHAnsi" w:hAnsiTheme="majorHAnsi"/>
                <w:i w:val="0"/>
                <w:color w:val="auto"/>
                <w:szCs w:val="22"/>
              </w:rPr>
              <w:t xml:space="preserve">Resume MINJUVI at the same dose and lenalidomide at a reduced dose if neutrophils return to ≥ 1000/µL. Refer to the lenalidomide </w:t>
            </w:r>
            <w:r w:rsidR="007E2E77" w:rsidRPr="00422919">
              <w:rPr>
                <w:rFonts w:asciiTheme="majorHAnsi" w:hAnsiTheme="majorHAnsi"/>
                <w:i w:val="0"/>
                <w:color w:val="auto"/>
                <w:szCs w:val="22"/>
              </w:rPr>
              <w:t>Product Information</w:t>
            </w:r>
            <w:r w:rsidRPr="00422919">
              <w:rPr>
                <w:rFonts w:asciiTheme="majorHAnsi" w:hAnsiTheme="majorHAnsi"/>
                <w:i w:val="0"/>
                <w:color w:val="auto"/>
                <w:szCs w:val="22"/>
              </w:rPr>
              <w:t xml:space="preserve"> for dosage modifications.</w:t>
            </w:r>
          </w:p>
        </w:tc>
      </w:tr>
    </w:tbl>
    <w:p w14:paraId="067DD461" w14:textId="77777777" w:rsidR="00AA5BED" w:rsidRPr="00486BA8" w:rsidRDefault="00AA5BED" w:rsidP="00AA5BED">
      <w:pPr>
        <w:spacing w:line="240" w:lineRule="auto"/>
        <w:rPr>
          <w:rFonts w:asciiTheme="majorHAnsi" w:hAnsiTheme="majorHAnsi"/>
          <w:bCs/>
          <w:iCs/>
          <w:highlight w:val="yellow"/>
        </w:rPr>
      </w:pPr>
    </w:p>
    <w:p w14:paraId="24494A02" w14:textId="77777777" w:rsidR="00AA5BED" w:rsidRPr="00422919" w:rsidRDefault="00AA5BED" w:rsidP="00AA5BED">
      <w:pPr>
        <w:spacing w:line="240" w:lineRule="auto"/>
        <w:rPr>
          <w:rFonts w:asciiTheme="majorHAnsi" w:hAnsiTheme="majorHAnsi"/>
          <w:b/>
          <w:bCs/>
        </w:rPr>
      </w:pPr>
      <w:r w:rsidRPr="00422919">
        <w:rPr>
          <w:rFonts w:asciiTheme="majorHAnsi" w:hAnsiTheme="majorHAnsi"/>
          <w:b/>
          <w:bCs/>
        </w:rPr>
        <w:t>Special populations</w:t>
      </w:r>
    </w:p>
    <w:p w14:paraId="2DC3C200" w14:textId="77777777" w:rsidR="00AA5BED" w:rsidRPr="00422919" w:rsidRDefault="00AA5BED" w:rsidP="00AA5BED">
      <w:pPr>
        <w:spacing w:line="240" w:lineRule="auto"/>
        <w:rPr>
          <w:rFonts w:asciiTheme="majorHAnsi" w:hAnsiTheme="majorHAnsi"/>
          <w:bCs/>
          <w:u w:val="single"/>
        </w:rPr>
      </w:pPr>
      <w:r w:rsidRPr="00422919">
        <w:rPr>
          <w:rFonts w:asciiTheme="majorHAnsi" w:hAnsiTheme="majorHAnsi"/>
          <w:bCs/>
          <w:u w:val="single"/>
        </w:rPr>
        <w:t>Paediatric population</w:t>
      </w:r>
    </w:p>
    <w:p w14:paraId="49F65051" w14:textId="77777777" w:rsidR="00AA5BED" w:rsidRPr="001667C9" w:rsidRDefault="00AA5BED" w:rsidP="00AA5BED">
      <w:pPr>
        <w:spacing w:line="240" w:lineRule="auto"/>
        <w:rPr>
          <w:rFonts w:asciiTheme="majorHAnsi" w:hAnsiTheme="majorHAnsi"/>
        </w:rPr>
      </w:pPr>
      <w:r w:rsidRPr="001667C9">
        <w:rPr>
          <w:rFonts w:asciiTheme="majorHAnsi" w:hAnsiTheme="majorHAnsi"/>
        </w:rPr>
        <w:t xml:space="preserve">The safety and efficacy of MINJUVI in children under 18 years have not been established. </w:t>
      </w:r>
    </w:p>
    <w:p w14:paraId="097416DC" w14:textId="77777777" w:rsidR="00AA5BED" w:rsidRPr="00EF3360" w:rsidRDefault="00AA5BED" w:rsidP="00AA5BED">
      <w:pPr>
        <w:autoSpaceDE w:val="0"/>
        <w:autoSpaceDN w:val="0"/>
        <w:adjustRightInd w:val="0"/>
        <w:spacing w:line="240" w:lineRule="auto"/>
        <w:rPr>
          <w:rFonts w:asciiTheme="majorHAnsi" w:hAnsiTheme="majorHAnsi"/>
        </w:rPr>
      </w:pPr>
      <w:r w:rsidRPr="00EF3360">
        <w:rPr>
          <w:rFonts w:asciiTheme="majorHAnsi" w:hAnsiTheme="majorHAnsi"/>
        </w:rPr>
        <w:t xml:space="preserve">No data are available. </w:t>
      </w:r>
    </w:p>
    <w:p w14:paraId="4CAF1D45" w14:textId="77777777" w:rsidR="00AA5BED" w:rsidRPr="00422919" w:rsidRDefault="00AA5BED" w:rsidP="00AA5BED">
      <w:pPr>
        <w:spacing w:line="240" w:lineRule="auto"/>
        <w:rPr>
          <w:rFonts w:asciiTheme="majorHAnsi" w:hAnsiTheme="majorHAnsi"/>
          <w:u w:val="single"/>
        </w:rPr>
      </w:pPr>
      <w:r w:rsidRPr="00422919">
        <w:rPr>
          <w:rFonts w:asciiTheme="majorHAnsi" w:hAnsiTheme="majorHAnsi"/>
          <w:u w:val="single"/>
        </w:rPr>
        <w:t>Elderly</w:t>
      </w:r>
    </w:p>
    <w:p w14:paraId="7502B7E1" w14:textId="77777777" w:rsidR="00AA5BED" w:rsidRPr="00422919" w:rsidRDefault="00AA5BED" w:rsidP="00AA5BED">
      <w:pPr>
        <w:autoSpaceDE w:val="0"/>
        <w:autoSpaceDN w:val="0"/>
        <w:adjustRightInd w:val="0"/>
        <w:spacing w:line="240" w:lineRule="auto"/>
        <w:rPr>
          <w:rFonts w:asciiTheme="majorHAnsi" w:hAnsiTheme="majorHAnsi"/>
        </w:rPr>
      </w:pPr>
      <w:r w:rsidRPr="00422919">
        <w:rPr>
          <w:rFonts w:asciiTheme="majorHAnsi" w:hAnsiTheme="majorHAnsi"/>
        </w:rPr>
        <w:t>No dose adjustment is needed for elderly patients (≥ 65 years).</w:t>
      </w:r>
    </w:p>
    <w:p w14:paraId="52E3A10E" w14:textId="77777777" w:rsidR="00AA5BED" w:rsidRPr="00422919" w:rsidRDefault="00AA5BED" w:rsidP="00AA5BED">
      <w:pPr>
        <w:spacing w:line="240" w:lineRule="auto"/>
        <w:rPr>
          <w:rFonts w:asciiTheme="majorHAnsi" w:hAnsiTheme="majorHAnsi"/>
          <w:bCs/>
          <w:u w:val="single"/>
        </w:rPr>
      </w:pPr>
      <w:r w:rsidRPr="00422919">
        <w:rPr>
          <w:rFonts w:asciiTheme="majorHAnsi" w:hAnsiTheme="majorHAnsi"/>
          <w:bCs/>
          <w:u w:val="single"/>
        </w:rPr>
        <w:t>Renal impairment</w:t>
      </w:r>
    </w:p>
    <w:p w14:paraId="01A68788" w14:textId="77777777" w:rsidR="00AA5BED" w:rsidRPr="001667C9" w:rsidRDefault="00AA5BED" w:rsidP="00AA5BED">
      <w:pPr>
        <w:autoSpaceDE w:val="0"/>
        <w:autoSpaceDN w:val="0"/>
        <w:adjustRightInd w:val="0"/>
        <w:spacing w:line="240" w:lineRule="auto"/>
        <w:rPr>
          <w:rFonts w:asciiTheme="majorHAnsi" w:hAnsiTheme="majorHAnsi"/>
        </w:rPr>
      </w:pPr>
      <w:r w:rsidRPr="001667C9">
        <w:rPr>
          <w:rFonts w:asciiTheme="majorHAnsi" w:hAnsiTheme="majorHAnsi"/>
        </w:rPr>
        <w:t>No dose adjustment is needed for patients with mild or moderate renal impairment (see section 5.2). There are no data in patients with severe renal impairment for dosing recommendations.</w:t>
      </w:r>
    </w:p>
    <w:p w14:paraId="559BB284" w14:textId="77777777" w:rsidR="00AA5BED" w:rsidRPr="00422919" w:rsidRDefault="00AA5BED" w:rsidP="00AA5BED">
      <w:pPr>
        <w:spacing w:line="240" w:lineRule="auto"/>
        <w:rPr>
          <w:rFonts w:asciiTheme="majorHAnsi" w:hAnsiTheme="majorHAnsi"/>
          <w:u w:val="single"/>
        </w:rPr>
      </w:pPr>
      <w:r w:rsidRPr="00486BA8">
        <w:rPr>
          <w:rFonts w:asciiTheme="majorHAnsi" w:hAnsiTheme="majorHAnsi"/>
          <w:u w:val="single"/>
        </w:rPr>
        <w:t>Hepatic impairment</w:t>
      </w:r>
    </w:p>
    <w:p w14:paraId="511C4EA4" w14:textId="77777777" w:rsidR="00AA5BED" w:rsidRPr="001667C9" w:rsidRDefault="00AA5BED" w:rsidP="00AA5BED">
      <w:pPr>
        <w:autoSpaceDE w:val="0"/>
        <w:autoSpaceDN w:val="0"/>
        <w:adjustRightInd w:val="0"/>
        <w:spacing w:line="240" w:lineRule="auto"/>
        <w:rPr>
          <w:rFonts w:asciiTheme="majorHAnsi" w:hAnsiTheme="majorHAnsi"/>
        </w:rPr>
      </w:pPr>
      <w:r w:rsidRPr="001667C9">
        <w:rPr>
          <w:rFonts w:asciiTheme="majorHAnsi" w:hAnsiTheme="majorHAnsi"/>
        </w:rPr>
        <w:t>No dose adjustment is needed for patients with mild hepatic impairment (see section 5.2). There are no data in patients with moderate or severe hepatic impairment for dosing recommendations.</w:t>
      </w:r>
    </w:p>
    <w:p w14:paraId="4AE9A61B" w14:textId="77777777" w:rsidR="00AA5BED" w:rsidRPr="00422919" w:rsidRDefault="00AA5BED" w:rsidP="00AA5BED">
      <w:pPr>
        <w:spacing w:line="240" w:lineRule="auto"/>
        <w:rPr>
          <w:rFonts w:asciiTheme="majorHAnsi" w:hAnsiTheme="majorHAnsi"/>
          <w:b/>
          <w:bCs/>
        </w:rPr>
      </w:pPr>
      <w:r w:rsidRPr="001667C9">
        <w:rPr>
          <w:rFonts w:asciiTheme="majorHAnsi" w:hAnsiTheme="majorHAnsi"/>
          <w:b/>
          <w:bCs/>
        </w:rPr>
        <w:t>Method of administration</w:t>
      </w:r>
      <w:r w:rsidRPr="00422919">
        <w:rPr>
          <w:rFonts w:asciiTheme="majorHAnsi" w:hAnsiTheme="majorHAnsi"/>
          <w:b/>
          <w:bCs/>
        </w:rPr>
        <w:t xml:space="preserve"> </w:t>
      </w:r>
    </w:p>
    <w:p w14:paraId="7E6531B6" w14:textId="54D23A58" w:rsidR="00AE72F1" w:rsidRPr="00422919" w:rsidRDefault="00AE72F1" w:rsidP="008B708D">
      <w:pPr>
        <w:spacing w:line="240" w:lineRule="auto"/>
        <w:rPr>
          <w:rFonts w:asciiTheme="majorHAnsi" w:hAnsiTheme="majorHAnsi"/>
          <w:color w:val="000000" w:themeColor="text1"/>
        </w:rPr>
      </w:pPr>
      <w:r w:rsidRPr="00422919">
        <w:rPr>
          <w:rFonts w:asciiTheme="majorHAnsi" w:hAnsiTheme="majorHAnsi"/>
          <w:color w:val="000000" w:themeColor="text1"/>
        </w:rPr>
        <w:t>MINJUVI is a cytotoxic drug.  Follow applicable</w:t>
      </w:r>
      <w:r w:rsidR="00003E0E" w:rsidRPr="00422919">
        <w:rPr>
          <w:rFonts w:asciiTheme="majorHAnsi" w:hAnsiTheme="majorHAnsi"/>
          <w:color w:val="000000" w:themeColor="text1"/>
        </w:rPr>
        <w:t xml:space="preserve"> special handling and disposal procedures.</w:t>
      </w:r>
    </w:p>
    <w:p w14:paraId="30882CE7" w14:textId="01D9FC21" w:rsidR="008B708D" w:rsidRPr="00422919" w:rsidRDefault="008B708D" w:rsidP="008B708D">
      <w:pPr>
        <w:spacing w:line="240" w:lineRule="auto"/>
        <w:rPr>
          <w:rFonts w:asciiTheme="majorHAnsi" w:hAnsiTheme="majorHAnsi"/>
          <w:color w:val="000000" w:themeColor="text1"/>
        </w:rPr>
      </w:pPr>
      <w:r w:rsidRPr="001667C9">
        <w:rPr>
          <w:rFonts w:asciiTheme="majorHAnsi" w:hAnsiTheme="majorHAnsi"/>
          <w:color w:val="000000" w:themeColor="text1"/>
        </w:rPr>
        <w:t xml:space="preserve">MINJUVI is provided in sterile, preservative-free vials. </w:t>
      </w:r>
      <w:r w:rsidR="00497B29" w:rsidRPr="001667C9">
        <w:rPr>
          <w:rFonts w:asciiTheme="majorHAnsi" w:hAnsiTheme="majorHAnsi"/>
          <w:color w:val="000000" w:themeColor="text1"/>
        </w:rPr>
        <w:t xml:space="preserve"> The vial is for single use</w:t>
      </w:r>
      <w:r w:rsidR="00AA4E83" w:rsidRPr="001667C9">
        <w:rPr>
          <w:rFonts w:asciiTheme="majorHAnsi" w:hAnsiTheme="majorHAnsi"/>
          <w:color w:val="000000" w:themeColor="text1"/>
        </w:rPr>
        <w:t xml:space="preserve"> (in one patient on one occasion) only.  Discard any residue.</w:t>
      </w:r>
    </w:p>
    <w:p w14:paraId="11602AE0" w14:textId="0228BF19" w:rsidR="00B764C0" w:rsidRPr="00422919" w:rsidRDefault="00B764C0" w:rsidP="00B764C0">
      <w:pPr>
        <w:spacing w:line="240" w:lineRule="auto"/>
        <w:rPr>
          <w:rFonts w:asciiTheme="majorHAnsi" w:hAnsiTheme="majorHAnsi"/>
          <w:color w:val="000000" w:themeColor="text1"/>
        </w:rPr>
      </w:pPr>
      <w:r w:rsidRPr="00422919">
        <w:rPr>
          <w:rFonts w:asciiTheme="majorHAnsi" w:hAnsiTheme="majorHAnsi"/>
          <w:color w:val="000000" w:themeColor="text1"/>
        </w:rPr>
        <w:t xml:space="preserve">MINJUVI </w:t>
      </w:r>
      <w:r w:rsidR="00221171" w:rsidRPr="00422919">
        <w:rPr>
          <w:rFonts w:asciiTheme="majorHAnsi" w:hAnsiTheme="majorHAnsi"/>
          <w:color w:val="000000" w:themeColor="text1"/>
        </w:rPr>
        <w:t xml:space="preserve">is for intravenous use and </w:t>
      </w:r>
      <w:r w:rsidRPr="00422919">
        <w:rPr>
          <w:rFonts w:asciiTheme="majorHAnsi" w:hAnsiTheme="majorHAnsi"/>
          <w:color w:val="000000" w:themeColor="text1"/>
        </w:rPr>
        <w:t>should be reconstituted and diluted prior to intravenous infusion.</w:t>
      </w:r>
    </w:p>
    <w:p w14:paraId="1DACD474" w14:textId="77777777" w:rsidR="00AA5BED" w:rsidRPr="001667C9" w:rsidRDefault="00AA5BED" w:rsidP="00AA5BED">
      <w:pPr>
        <w:pStyle w:val="ListParagraph"/>
        <w:numPr>
          <w:ilvl w:val="0"/>
          <w:numId w:val="11"/>
        </w:numPr>
        <w:autoSpaceDE w:val="0"/>
        <w:autoSpaceDN w:val="0"/>
        <w:adjustRightInd w:val="0"/>
        <w:spacing w:after="0" w:line="240" w:lineRule="auto"/>
        <w:ind w:left="567" w:hanging="567"/>
        <w:rPr>
          <w:rFonts w:asciiTheme="majorHAnsi" w:eastAsia="MS Mincho" w:hAnsiTheme="majorHAnsi"/>
          <w:color w:val="000000" w:themeColor="text1"/>
          <w:lang w:val="en-GB"/>
        </w:rPr>
      </w:pPr>
      <w:r w:rsidRPr="001667C9">
        <w:rPr>
          <w:rFonts w:asciiTheme="majorHAnsi" w:eastAsia="MS Mincho" w:hAnsiTheme="majorHAnsi"/>
          <w:color w:val="000000" w:themeColor="text1"/>
          <w:lang w:val="en-GB"/>
        </w:rPr>
        <w:t>For the first infusion of cycle 1, the intravenous infusion rate should be 70 mL/h for the first 30 minutes. Afterwards, the rate should be increased to complete the first infusion within a 2.5</w:t>
      </w:r>
      <w:r w:rsidRPr="001667C9">
        <w:rPr>
          <w:rFonts w:asciiTheme="majorHAnsi" w:eastAsia="MS Mincho" w:hAnsiTheme="majorHAnsi"/>
          <w:color w:val="000000" w:themeColor="text1"/>
          <w:lang w:val="en-GB"/>
        </w:rPr>
        <w:noBreakHyphen/>
        <w:t xml:space="preserve">hour period. </w:t>
      </w:r>
    </w:p>
    <w:p w14:paraId="0A5F2263" w14:textId="77777777" w:rsidR="00AA5BED" w:rsidRPr="001667C9" w:rsidRDefault="00AA5BED" w:rsidP="00AA5BED">
      <w:pPr>
        <w:pStyle w:val="ListParagraph"/>
        <w:numPr>
          <w:ilvl w:val="0"/>
          <w:numId w:val="11"/>
        </w:numPr>
        <w:autoSpaceDE w:val="0"/>
        <w:autoSpaceDN w:val="0"/>
        <w:adjustRightInd w:val="0"/>
        <w:spacing w:after="0" w:line="240" w:lineRule="auto"/>
        <w:ind w:left="567" w:hanging="567"/>
        <w:rPr>
          <w:rFonts w:asciiTheme="majorHAnsi" w:eastAsia="MS Mincho" w:hAnsiTheme="majorHAnsi"/>
          <w:color w:val="000000" w:themeColor="text1"/>
          <w:lang w:val="en-GB"/>
        </w:rPr>
      </w:pPr>
      <w:r w:rsidRPr="001667C9">
        <w:rPr>
          <w:rFonts w:asciiTheme="majorHAnsi" w:eastAsia="MS Mincho" w:hAnsiTheme="majorHAnsi"/>
          <w:color w:val="000000" w:themeColor="text1"/>
          <w:lang w:val="en-GB"/>
        </w:rPr>
        <w:t>All subsequent infusions should be administered within a 1.5 to 2</w:t>
      </w:r>
      <w:r w:rsidRPr="001667C9">
        <w:rPr>
          <w:rFonts w:asciiTheme="majorHAnsi" w:eastAsia="MS Mincho" w:hAnsiTheme="majorHAnsi"/>
          <w:color w:val="000000" w:themeColor="text1"/>
          <w:lang w:val="en-GB"/>
        </w:rPr>
        <w:noBreakHyphen/>
        <w:t>hour period.</w:t>
      </w:r>
    </w:p>
    <w:p w14:paraId="7EB6F070" w14:textId="77777777" w:rsidR="00AA5BED" w:rsidRPr="00EF3360" w:rsidRDefault="00AA5BED" w:rsidP="00AA5BED">
      <w:pPr>
        <w:pStyle w:val="ListParagraph"/>
        <w:numPr>
          <w:ilvl w:val="0"/>
          <w:numId w:val="11"/>
        </w:numPr>
        <w:spacing w:after="0" w:line="240" w:lineRule="auto"/>
        <w:ind w:left="567" w:hanging="567"/>
        <w:rPr>
          <w:rFonts w:asciiTheme="majorHAnsi" w:hAnsiTheme="majorHAnsi"/>
          <w:color w:val="000000" w:themeColor="text1"/>
          <w:lang w:val="en-GB"/>
        </w:rPr>
      </w:pPr>
      <w:r w:rsidRPr="00EF3360">
        <w:rPr>
          <w:rFonts w:asciiTheme="majorHAnsi" w:eastAsia="MS Mincho" w:hAnsiTheme="majorHAnsi"/>
          <w:color w:val="000000" w:themeColor="text1"/>
          <w:lang w:val="en-GB"/>
        </w:rPr>
        <w:t>In case of adverse reactions, consider the recommended dose modifications provided in Table 1.</w:t>
      </w:r>
    </w:p>
    <w:p w14:paraId="4B32F149" w14:textId="77777777" w:rsidR="00AA5BED" w:rsidRPr="00422919" w:rsidRDefault="00AA5BED" w:rsidP="00AA5BED">
      <w:pPr>
        <w:pStyle w:val="ListParagraph"/>
        <w:numPr>
          <w:ilvl w:val="0"/>
          <w:numId w:val="11"/>
        </w:numPr>
        <w:autoSpaceDE w:val="0"/>
        <w:autoSpaceDN w:val="0"/>
        <w:adjustRightInd w:val="0"/>
        <w:spacing w:after="0" w:line="240" w:lineRule="auto"/>
        <w:ind w:left="567" w:hanging="567"/>
        <w:rPr>
          <w:rFonts w:asciiTheme="majorHAnsi" w:hAnsiTheme="majorHAnsi"/>
          <w:color w:val="000000" w:themeColor="text1"/>
          <w:lang w:val="en-GB"/>
        </w:rPr>
      </w:pPr>
      <w:r w:rsidRPr="00422919">
        <w:rPr>
          <w:rFonts w:asciiTheme="majorHAnsi" w:eastAsia="Times New Roman" w:hAnsiTheme="majorHAnsi"/>
          <w:caps/>
          <w:color w:val="000000" w:themeColor="text1"/>
          <w:lang w:val="en-GB"/>
        </w:rPr>
        <w:t>Minjuvi</w:t>
      </w:r>
      <w:r w:rsidRPr="00422919">
        <w:rPr>
          <w:rFonts w:asciiTheme="majorHAnsi" w:eastAsia="Times New Roman" w:hAnsiTheme="majorHAnsi"/>
          <w:color w:val="000000" w:themeColor="text1"/>
          <w:lang w:val="en-GB"/>
        </w:rPr>
        <w:t xml:space="preserve"> must not </w:t>
      </w:r>
      <w:r w:rsidRPr="00422919">
        <w:rPr>
          <w:rFonts w:asciiTheme="majorHAnsi" w:eastAsia="MS Mincho" w:hAnsiTheme="majorHAnsi"/>
          <w:color w:val="000000" w:themeColor="text1"/>
          <w:lang w:val="en-GB"/>
        </w:rPr>
        <w:t>be co-administered with other medicinal products through the same infusion line.</w:t>
      </w:r>
    </w:p>
    <w:p w14:paraId="5B099A25" w14:textId="006B246F" w:rsidR="00134902" w:rsidRPr="00422919" w:rsidRDefault="00AA5BED" w:rsidP="00AA5BED">
      <w:pPr>
        <w:pStyle w:val="ListParagraph"/>
        <w:numPr>
          <w:ilvl w:val="0"/>
          <w:numId w:val="11"/>
        </w:numPr>
        <w:autoSpaceDE w:val="0"/>
        <w:autoSpaceDN w:val="0"/>
        <w:adjustRightInd w:val="0"/>
        <w:spacing w:after="0" w:line="240" w:lineRule="auto"/>
        <w:ind w:left="567" w:hanging="567"/>
        <w:rPr>
          <w:rFonts w:asciiTheme="majorHAnsi" w:hAnsiTheme="majorHAnsi"/>
          <w:lang w:val="en-GB"/>
        </w:rPr>
      </w:pPr>
      <w:r w:rsidRPr="00422919">
        <w:rPr>
          <w:rFonts w:asciiTheme="majorHAnsi" w:hAnsiTheme="majorHAnsi"/>
          <w:caps/>
          <w:lang w:val="en-GB"/>
        </w:rPr>
        <w:t>Minjuvi</w:t>
      </w:r>
      <w:r w:rsidRPr="00422919">
        <w:rPr>
          <w:rFonts w:asciiTheme="majorHAnsi" w:hAnsiTheme="majorHAnsi"/>
          <w:lang w:val="en-GB"/>
        </w:rPr>
        <w:t xml:space="preserve"> must not be administered as an intravenous push or bolus.</w:t>
      </w:r>
    </w:p>
    <w:p w14:paraId="16840D69" w14:textId="77777777" w:rsidR="004B68E3" w:rsidRPr="001667C9" w:rsidRDefault="004B68E3" w:rsidP="004B68E3">
      <w:pPr>
        <w:pStyle w:val="ListParagraph"/>
        <w:autoSpaceDE w:val="0"/>
        <w:autoSpaceDN w:val="0"/>
        <w:adjustRightInd w:val="0"/>
        <w:spacing w:after="0" w:line="240" w:lineRule="auto"/>
        <w:ind w:left="567"/>
        <w:rPr>
          <w:rFonts w:asciiTheme="majorHAnsi" w:hAnsiTheme="majorHAnsi"/>
          <w:lang w:val="en-GB"/>
        </w:rPr>
      </w:pPr>
    </w:p>
    <w:p w14:paraId="2FBB41B9" w14:textId="77777777" w:rsidR="00A77097" w:rsidRPr="001667C9" w:rsidRDefault="00A77097" w:rsidP="00A77097">
      <w:pPr>
        <w:spacing w:line="240" w:lineRule="auto"/>
        <w:rPr>
          <w:rFonts w:asciiTheme="majorHAnsi" w:hAnsiTheme="majorHAnsi"/>
          <w:color w:val="000000" w:themeColor="text1"/>
        </w:rPr>
      </w:pPr>
      <w:r w:rsidRPr="001667C9">
        <w:rPr>
          <w:rFonts w:asciiTheme="majorHAnsi" w:hAnsiTheme="majorHAnsi"/>
          <w:color w:val="000000" w:themeColor="text1"/>
        </w:rPr>
        <w:t>Use appropriate aseptic technique for reconstitution and dilution.</w:t>
      </w:r>
    </w:p>
    <w:p w14:paraId="34708740" w14:textId="77777777" w:rsidR="00A77097" w:rsidRPr="001667C9" w:rsidRDefault="00A77097" w:rsidP="00A77097">
      <w:pPr>
        <w:spacing w:line="240" w:lineRule="auto"/>
        <w:rPr>
          <w:rFonts w:asciiTheme="majorHAnsi" w:hAnsiTheme="majorHAnsi"/>
          <w:color w:val="000000" w:themeColor="text1"/>
          <w:u w:val="single"/>
        </w:rPr>
      </w:pPr>
      <w:r w:rsidRPr="001667C9">
        <w:rPr>
          <w:rFonts w:asciiTheme="majorHAnsi" w:hAnsiTheme="majorHAnsi"/>
          <w:color w:val="000000" w:themeColor="text1"/>
          <w:u w:val="single"/>
        </w:rPr>
        <w:t>Instructions for reconstitution</w:t>
      </w:r>
    </w:p>
    <w:p w14:paraId="5C01799D" w14:textId="63DDFDD3" w:rsidR="00A77097" w:rsidRPr="00EF3360" w:rsidRDefault="00A77097" w:rsidP="00A77097">
      <w:pPr>
        <w:pStyle w:val="ListParagraph"/>
        <w:numPr>
          <w:ilvl w:val="0"/>
          <w:numId w:val="15"/>
        </w:numPr>
        <w:spacing w:after="0" w:line="240" w:lineRule="auto"/>
        <w:ind w:left="567" w:hanging="567"/>
        <w:rPr>
          <w:rFonts w:asciiTheme="majorHAnsi" w:hAnsiTheme="majorHAnsi"/>
          <w:color w:val="000000" w:themeColor="text1"/>
          <w:lang w:val="en-GB"/>
        </w:rPr>
      </w:pPr>
      <w:r w:rsidRPr="001667C9">
        <w:rPr>
          <w:rFonts w:asciiTheme="majorHAnsi" w:hAnsiTheme="majorHAnsi"/>
          <w:color w:val="000000" w:themeColor="text1"/>
          <w:lang w:val="en-GB"/>
        </w:rPr>
        <w:t xml:space="preserve">Determine the dose of tafasitamab based on patient weight by multiplying 12 mg by the </w:t>
      </w:r>
      <w:r w:rsidRPr="00EF3360">
        <w:rPr>
          <w:rFonts w:asciiTheme="majorHAnsi" w:eastAsia="MS Mincho" w:hAnsiTheme="majorHAnsi"/>
          <w:color w:val="000000" w:themeColor="text1"/>
          <w:lang w:val="en-GB"/>
        </w:rPr>
        <w:t>patient</w:t>
      </w:r>
      <w:r w:rsidRPr="00EF3360">
        <w:rPr>
          <w:rFonts w:asciiTheme="majorHAnsi" w:hAnsiTheme="majorHAnsi"/>
          <w:color w:val="000000" w:themeColor="text1"/>
          <w:lang w:val="en-GB"/>
        </w:rPr>
        <w:t xml:space="preserve"> weight (kg). Then calculate the number of tafasitamab vials needed (each vial contains 200 mg tafasitamab).</w:t>
      </w:r>
    </w:p>
    <w:p w14:paraId="3FA3744C" w14:textId="77777777" w:rsidR="00A77097" w:rsidRPr="001667C9" w:rsidRDefault="00A77097" w:rsidP="00A77097">
      <w:pPr>
        <w:pStyle w:val="ListParagraph"/>
        <w:numPr>
          <w:ilvl w:val="0"/>
          <w:numId w:val="15"/>
        </w:numPr>
        <w:spacing w:after="0" w:line="240" w:lineRule="auto"/>
        <w:ind w:left="567" w:hanging="567"/>
        <w:rPr>
          <w:rFonts w:asciiTheme="majorHAnsi" w:hAnsiTheme="majorHAnsi"/>
          <w:color w:val="000000" w:themeColor="text1"/>
          <w:lang w:val="en-GB"/>
        </w:rPr>
      </w:pPr>
      <w:r w:rsidRPr="001667C9">
        <w:rPr>
          <w:rFonts w:asciiTheme="majorHAnsi" w:eastAsia="MS Mincho" w:hAnsiTheme="majorHAnsi"/>
          <w:color w:val="000000" w:themeColor="text1"/>
          <w:lang w:val="en-GB"/>
        </w:rPr>
        <w:t>Using</w:t>
      </w:r>
      <w:r w:rsidRPr="001667C9">
        <w:rPr>
          <w:rFonts w:asciiTheme="majorHAnsi" w:hAnsiTheme="majorHAnsi"/>
          <w:color w:val="000000" w:themeColor="text1"/>
          <w:lang w:val="en-GB"/>
        </w:rPr>
        <w:t xml:space="preserve"> a sterile syringe, gently add 5.0 mL sterile water for injections into each </w:t>
      </w:r>
      <w:r w:rsidRPr="001667C9">
        <w:rPr>
          <w:rFonts w:asciiTheme="majorHAnsi" w:hAnsiTheme="majorHAnsi"/>
          <w:caps/>
          <w:color w:val="000000" w:themeColor="text1"/>
          <w:lang w:val="en-GB"/>
        </w:rPr>
        <w:t>Minjuvi</w:t>
      </w:r>
      <w:r w:rsidRPr="001667C9">
        <w:rPr>
          <w:rFonts w:asciiTheme="majorHAnsi" w:hAnsiTheme="majorHAnsi"/>
          <w:color w:val="000000" w:themeColor="text1"/>
          <w:lang w:val="en-GB"/>
        </w:rPr>
        <w:t xml:space="preserve"> vial. Direct the stream toward the walls of each vial and not directly on the lyophilised powder.</w:t>
      </w:r>
    </w:p>
    <w:p w14:paraId="7CB14F8A" w14:textId="0BADD8D5" w:rsidR="00A77097" w:rsidRPr="001667C9" w:rsidRDefault="00A77097" w:rsidP="00A77097">
      <w:pPr>
        <w:pStyle w:val="ListParagraph"/>
        <w:numPr>
          <w:ilvl w:val="0"/>
          <w:numId w:val="15"/>
        </w:numPr>
        <w:spacing w:after="0" w:line="240" w:lineRule="auto"/>
        <w:ind w:left="567" w:hanging="567"/>
        <w:rPr>
          <w:rFonts w:asciiTheme="majorHAnsi" w:hAnsiTheme="majorHAnsi"/>
          <w:color w:val="000000" w:themeColor="text1"/>
          <w:lang w:val="en-GB"/>
        </w:rPr>
      </w:pPr>
      <w:r w:rsidRPr="001667C9">
        <w:rPr>
          <w:rFonts w:asciiTheme="majorHAnsi" w:hAnsiTheme="majorHAnsi"/>
          <w:color w:val="000000" w:themeColor="text1"/>
          <w:lang w:val="en-GB"/>
        </w:rPr>
        <w:lastRenderedPageBreak/>
        <w:t xml:space="preserve">Gently swirl the reconstituted vial(s) to aid the dissolution of the lyophilised powder. Do not </w:t>
      </w:r>
      <w:r w:rsidRPr="001667C9">
        <w:rPr>
          <w:rFonts w:asciiTheme="majorHAnsi" w:eastAsia="MS Mincho" w:hAnsiTheme="majorHAnsi"/>
          <w:color w:val="000000" w:themeColor="text1"/>
          <w:lang w:val="en-GB"/>
        </w:rPr>
        <w:t>shake</w:t>
      </w:r>
      <w:r w:rsidRPr="001667C9">
        <w:rPr>
          <w:rFonts w:asciiTheme="majorHAnsi" w:hAnsiTheme="majorHAnsi"/>
          <w:color w:val="000000" w:themeColor="text1"/>
          <w:lang w:val="en-GB"/>
        </w:rPr>
        <w:t xml:space="preserve"> or swirl vigorously. Do not remove the contents until </w:t>
      </w:r>
      <w:r w:rsidR="00A50ABA" w:rsidRPr="001667C9">
        <w:rPr>
          <w:rFonts w:asciiTheme="majorHAnsi" w:hAnsiTheme="majorHAnsi"/>
          <w:color w:val="000000" w:themeColor="text1"/>
          <w:lang w:val="en-GB"/>
        </w:rPr>
        <w:t>all</w:t>
      </w:r>
      <w:r w:rsidRPr="001667C9">
        <w:rPr>
          <w:rFonts w:asciiTheme="majorHAnsi" w:hAnsiTheme="majorHAnsi"/>
          <w:color w:val="000000" w:themeColor="text1"/>
          <w:lang w:val="en-GB"/>
        </w:rPr>
        <w:t xml:space="preserve"> the solids have been completely dissolved. The lyophilised powder should dissolve within 5 minutes.</w:t>
      </w:r>
    </w:p>
    <w:p w14:paraId="3945495C" w14:textId="77777777" w:rsidR="00A77097" w:rsidRPr="001667C9" w:rsidRDefault="00A77097" w:rsidP="00A77097">
      <w:pPr>
        <w:pStyle w:val="ListParagraph"/>
        <w:numPr>
          <w:ilvl w:val="0"/>
          <w:numId w:val="15"/>
        </w:numPr>
        <w:spacing w:after="0" w:line="240" w:lineRule="auto"/>
        <w:ind w:left="567" w:hanging="567"/>
        <w:rPr>
          <w:rFonts w:asciiTheme="majorHAnsi" w:hAnsiTheme="majorHAnsi"/>
          <w:color w:val="000000" w:themeColor="text1"/>
          <w:lang w:val="en-GB"/>
        </w:rPr>
      </w:pPr>
      <w:r w:rsidRPr="001667C9">
        <w:rPr>
          <w:rFonts w:asciiTheme="majorHAnsi" w:hAnsiTheme="majorHAnsi"/>
          <w:color w:val="000000" w:themeColor="text1"/>
          <w:lang w:val="en-GB"/>
        </w:rPr>
        <w:t xml:space="preserve">The </w:t>
      </w:r>
      <w:r w:rsidRPr="001667C9">
        <w:rPr>
          <w:rFonts w:asciiTheme="majorHAnsi" w:eastAsia="MS Mincho" w:hAnsiTheme="majorHAnsi"/>
          <w:color w:val="000000" w:themeColor="text1"/>
          <w:lang w:val="en-GB"/>
        </w:rPr>
        <w:t>reconstituted</w:t>
      </w:r>
      <w:r w:rsidRPr="001667C9">
        <w:rPr>
          <w:rFonts w:asciiTheme="majorHAnsi" w:hAnsiTheme="majorHAnsi"/>
          <w:color w:val="000000" w:themeColor="text1"/>
          <w:lang w:val="en-GB"/>
        </w:rPr>
        <w:t xml:space="preserve"> solution should appear as a colourless to slightly yellow solution. Before proceeding, ensure there is no particulate matter or discolouration by inspecting visually. If the solution is cloudy, discoloured or contains visible particles, discard the vial(s). </w:t>
      </w:r>
    </w:p>
    <w:p w14:paraId="2F36E933" w14:textId="77777777" w:rsidR="00351CAC" w:rsidRPr="00486BA8" w:rsidRDefault="00351CAC" w:rsidP="00351CAC">
      <w:pPr>
        <w:pStyle w:val="ListParagraph"/>
        <w:spacing w:after="0" w:line="240" w:lineRule="auto"/>
        <w:ind w:left="567"/>
        <w:rPr>
          <w:rFonts w:asciiTheme="majorHAnsi" w:hAnsiTheme="majorHAnsi"/>
          <w:color w:val="000000" w:themeColor="text1"/>
          <w:highlight w:val="yellow"/>
          <w:lang w:val="en-GB"/>
        </w:rPr>
      </w:pPr>
    </w:p>
    <w:p w14:paraId="7B52FA41" w14:textId="77777777" w:rsidR="00A77097" w:rsidRPr="001667C9" w:rsidRDefault="00A77097" w:rsidP="00A77097">
      <w:pPr>
        <w:keepNext/>
        <w:keepLines/>
        <w:spacing w:line="240" w:lineRule="auto"/>
        <w:rPr>
          <w:rFonts w:asciiTheme="majorHAnsi" w:hAnsiTheme="majorHAnsi"/>
          <w:color w:val="000000" w:themeColor="text1"/>
          <w:u w:val="single"/>
        </w:rPr>
      </w:pPr>
      <w:r w:rsidRPr="001667C9">
        <w:rPr>
          <w:rFonts w:asciiTheme="majorHAnsi" w:hAnsiTheme="majorHAnsi"/>
          <w:color w:val="000000" w:themeColor="text1"/>
          <w:u w:val="single"/>
        </w:rPr>
        <w:t>Instructions for dilution</w:t>
      </w:r>
    </w:p>
    <w:p w14:paraId="39577B49" w14:textId="77777777" w:rsidR="00A77097" w:rsidRPr="001667C9" w:rsidRDefault="00A77097" w:rsidP="00A77097">
      <w:pPr>
        <w:pStyle w:val="ListParagraph"/>
        <w:keepNext/>
        <w:keepLines/>
        <w:numPr>
          <w:ilvl w:val="0"/>
          <w:numId w:val="15"/>
        </w:numPr>
        <w:spacing w:after="0" w:line="240" w:lineRule="auto"/>
        <w:ind w:left="567" w:hanging="567"/>
        <w:rPr>
          <w:rFonts w:asciiTheme="majorHAnsi" w:hAnsiTheme="majorHAnsi"/>
          <w:color w:val="000000" w:themeColor="text1"/>
          <w:lang w:val="en-GB"/>
        </w:rPr>
      </w:pPr>
      <w:r w:rsidRPr="001667C9">
        <w:rPr>
          <w:rFonts w:asciiTheme="majorHAnsi" w:hAnsiTheme="majorHAnsi"/>
          <w:color w:val="000000" w:themeColor="text1"/>
          <w:lang w:val="en-GB"/>
        </w:rPr>
        <w:t xml:space="preserve">An </w:t>
      </w:r>
      <w:r w:rsidRPr="001667C9">
        <w:rPr>
          <w:rFonts w:asciiTheme="majorHAnsi" w:eastAsia="MS Mincho" w:hAnsiTheme="majorHAnsi"/>
          <w:color w:val="000000" w:themeColor="text1"/>
          <w:lang w:val="en-GB"/>
        </w:rPr>
        <w:t>infusion</w:t>
      </w:r>
      <w:r w:rsidRPr="001667C9">
        <w:rPr>
          <w:rFonts w:asciiTheme="majorHAnsi" w:hAnsiTheme="majorHAnsi"/>
          <w:color w:val="000000" w:themeColor="text1"/>
          <w:lang w:val="en-GB"/>
        </w:rPr>
        <w:t xml:space="preserve"> bag containing 250 mL sodium chloride 9 mg/mL (0.9%) solution for injection should be used.</w:t>
      </w:r>
    </w:p>
    <w:p w14:paraId="6C217A1B" w14:textId="77777777" w:rsidR="00A77097" w:rsidRPr="001667C9" w:rsidRDefault="00A77097" w:rsidP="00A77097">
      <w:pPr>
        <w:pStyle w:val="ListParagraph"/>
        <w:keepNext/>
        <w:keepLines/>
        <w:numPr>
          <w:ilvl w:val="0"/>
          <w:numId w:val="15"/>
        </w:numPr>
        <w:spacing w:after="0" w:line="240" w:lineRule="auto"/>
        <w:ind w:left="567" w:hanging="567"/>
        <w:rPr>
          <w:rFonts w:asciiTheme="majorHAnsi" w:hAnsiTheme="majorHAnsi"/>
          <w:color w:val="000000" w:themeColor="text1"/>
          <w:lang w:val="en-GB"/>
        </w:rPr>
      </w:pPr>
      <w:r w:rsidRPr="00EF3360">
        <w:rPr>
          <w:rFonts w:asciiTheme="majorHAnsi" w:eastAsia="MS Mincho" w:hAnsiTheme="majorHAnsi"/>
          <w:color w:val="000000" w:themeColor="text1"/>
          <w:lang w:val="en-GB"/>
        </w:rPr>
        <w:t>Calculate</w:t>
      </w:r>
      <w:r w:rsidRPr="00EF3360">
        <w:rPr>
          <w:rFonts w:asciiTheme="majorHAnsi" w:hAnsiTheme="majorHAnsi"/>
          <w:color w:val="000000" w:themeColor="text1"/>
          <w:lang w:val="en-GB"/>
        </w:rPr>
        <w:t xml:space="preserve"> th</w:t>
      </w:r>
      <w:r w:rsidRPr="001667C9">
        <w:rPr>
          <w:rFonts w:asciiTheme="majorHAnsi" w:hAnsiTheme="majorHAnsi"/>
          <w:color w:val="000000" w:themeColor="text1"/>
          <w:lang w:val="en-GB"/>
        </w:rPr>
        <w:t>e total volume of the 40 mg/mL reconstituted tafasitamab solution needed. Withdraw a volume equal to this from the infusion bag and discard the withdrawn volume.</w:t>
      </w:r>
    </w:p>
    <w:p w14:paraId="5B564ECD" w14:textId="77777777" w:rsidR="00A77097" w:rsidRPr="001667C9" w:rsidRDefault="00A77097" w:rsidP="00A77097">
      <w:pPr>
        <w:pStyle w:val="ListParagraph"/>
        <w:numPr>
          <w:ilvl w:val="0"/>
          <w:numId w:val="15"/>
        </w:numPr>
        <w:spacing w:after="0" w:line="240" w:lineRule="auto"/>
        <w:ind w:left="567" w:hanging="567"/>
        <w:rPr>
          <w:rFonts w:asciiTheme="majorHAnsi" w:hAnsiTheme="majorHAnsi"/>
          <w:color w:val="000000" w:themeColor="text1"/>
          <w:lang w:val="en-GB"/>
        </w:rPr>
      </w:pPr>
      <w:r w:rsidRPr="001667C9">
        <w:rPr>
          <w:rFonts w:asciiTheme="majorHAnsi" w:hAnsiTheme="majorHAnsi"/>
          <w:color w:val="000000" w:themeColor="text1"/>
          <w:lang w:val="en-GB"/>
        </w:rPr>
        <w:t>Withdraw the total calculated volume (mL) of reconstituted tafasitamab solution from the vial(s) and slowly add to the sodium chloride 9 mg/mL (0.9%) infusion bag. Discard any unused portion of tafasitamab remaining in the vial.</w:t>
      </w:r>
    </w:p>
    <w:p w14:paraId="1919E504" w14:textId="77777777" w:rsidR="00A77097" w:rsidRPr="001667C9" w:rsidRDefault="00A77097" w:rsidP="00A77097">
      <w:pPr>
        <w:pStyle w:val="ListParagraph"/>
        <w:numPr>
          <w:ilvl w:val="0"/>
          <w:numId w:val="15"/>
        </w:numPr>
        <w:spacing w:after="0" w:line="240" w:lineRule="auto"/>
        <w:ind w:left="567" w:hanging="567"/>
        <w:rPr>
          <w:rFonts w:asciiTheme="majorHAnsi" w:hAnsiTheme="majorHAnsi"/>
          <w:color w:val="000000" w:themeColor="text1"/>
          <w:lang w:val="en-GB"/>
        </w:rPr>
      </w:pPr>
      <w:r w:rsidRPr="001667C9">
        <w:rPr>
          <w:rFonts w:asciiTheme="majorHAnsi" w:hAnsiTheme="majorHAnsi"/>
          <w:color w:val="000000" w:themeColor="text1"/>
          <w:lang w:val="en-GB"/>
        </w:rPr>
        <w:t xml:space="preserve">The final concentration of the diluted solution should be between 2 mg/mL to 8 mg/mL of tafasitamab. </w:t>
      </w:r>
    </w:p>
    <w:p w14:paraId="11739C6E" w14:textId="77777777" w:rsidR="00A77097" w:rsidRPr="001667C9" w:rsidRDefault="00A77097" w:rsidP="00A77097">
      <w:pPr>
        <w:pStyle w:val="ListParagraph"/>
        <w:numPr>
          <w:ilvl w:val="0"/>
          <w:numId w:val="15"/>
        </w:numPr>
        <w:spacing w:after="0" w:line="240" w:lineRule="auto"/>
        <w:ind w:left="567" w:hanging="567"/>
        <w:rPr>
          <w:rFonts w:asciiTheme="majorHAnsi" w:hAnsiTheme="majorHAnsi"/>
          <w:color w:val="000000" w:themeColor="text1"/>
          <w:lang w:val="en-GB"/>
        </w:rPr>
      </w:pPr>
      <w:r w:rsidRPr="001667C9">
        <w:rPr>
          <w:rFonts w:asciiTheme="majorHAnsi" w:hAnsiTheme="majorHAnsi"/>
          <w:color w:val="000000" w:themeColor="text1"/>
          <w:lang w:val="en-GB"/>
        </w:rPr>
        <w:t>Gently mix the intravenous bag by slowly inverting the bag. Do not shake.</w:t>
      </w:r>
    </w:p>
    <w:p w14:paraId="52FC3ABC" w14:textId="77777777" w:rsidR="00A77097" w:rsidRPr="00F23342" w:rsidRDefault="00A77097" w:rsidP="00A77097">
      <w:pPr>
        <w:pStyle w:val="ListParagraph"/>
        <w:spacing w:after="0" w:line="240" w:lineRule="auto"/>
        <w:ind w:left="567"/>
        <w:rPr>
          <w:color w:val="000000" w:themeColor="text1"/>
          <w:highlight w:val="yellow"/>
          <w:lang w:val="en-GB"/>
        </w:rPr>
      </w:pPr>
    </w:p>
    <w:p w14:paraId="77EED920" w14:textId="77777777" w:rsidR="001A3992" w:rsidRPr="001667C9" w:rsidRDefault="001A3992" w:rsidP="001A3992">
      <w:pPr>
        <w:pStyle w:val="Heading2"/>
        <w:spacing w:before="0" w:after="120"/>
      </w:pPr>
      <w:r w:rsidRPr="001667C9">
        <w:t>Contraindications</w:t>
      </w:r>
    </w:p>
    <w:p w14:paraId="6EB195C7" w14:textId="02EBF472" w:rsidR="00496EF9" w:rsidRPr="001667C9" w:rsidRDefault="00496EF9" w:rsidP="00496EF9">
      <w:pPr>
        <w:spacing w:line="240" w:lineRule="auto"/>
        <w:rPr>
          <w:rFonts w:asciiTheme="majorHAnsi" w:hAnsiTheme="majorHAnsi"/>
        </w:rPr>
      </w:pPr>
      <w:r w:rsidRPr="001667C9">
        <w:rPr>
          <w:rFonts w:asciiTheme="majorHAnsi" w:hAnsiTheme="majorHAnsi"/>
        </w:rPr>
        <w:t>Hypersensitivity to the active substance or to any of the excipients listed in section 6.1.</w:t>
      </w:r>
    </w:p>
    <w:p w14:paraId="210CA254" w14:textId="77777777" w:rsidR="001A3992" w:rsidRPr="001667C9" w:rsidRDefault="00E74A56" w:rsidP="001A3992">
      <w:pPr>
        <w:pStyle w:val="Heading2"/>
        <w:spacing w:before="0" w:after="120"/>
      </w:pPr>
      <w:r w:rsidRPr="001667C9">
        <w:t>Special warnings and p</w:t>
      </w:r>
      <w:r w:rsidR="001A3992" w:rsidRPr="001667C9">
        <w:t xml:space="preserve">recautions </w:t>
      </w:r>
      <w:r w:rsidRPr="001667C9">
        <w:t>for use</w:t>
      </w:r>
    </w:p>
    <w:p w14:paraId="0C3BAB9B" w14:textId="77777777" w:rsidR="00680D4C" w:rsidRPr="00C12FA9" w:rsidRDefault="00680D4C" w:rsidP="00044A4F">
      <w:pPr>
        <w:spacing w:line="240" w:lineRule="auto"/>
        <w:rPr>
          <w:rFonts w:asciiTheme="majorHAnsi" w:hAnsiTheme="majorHAnsi"/>
          <w:u w:val="single"/>
        </w:rPr>
      </w:pPr>
      <w:r w:rsidRPr="00C12FA9">
        <w:rPr>
          <w:rFonts w:asciiTheme="majorHAnsi" w:hAnsiTheme="majorHAnsi"/>
          <w:u w:val="single"/>
        </w:rPr>
        <w:t>Traceability</w:t>
      </w:r>
    </w:p>
    <w:p w14:paraId="0C752A8E" w14:textId="52B23CD8" w:rsidR="00680D4C" w:rsidRPr="00EF3360" w:rsidRDefault="00680D4C" w:rsidP="00044A4F">
      <w:pPr>
        <w:spacing w:line="240" w:lineRule="auto"/>
        <w:rPr>
          <w:rFonts w:asciiTheme="majorHAnsi" w:hAnsiTheme="majorHAnsi"/>
        </w:rPr>
      </w:pPr>
      <w:proofErr w:type="gramStart"/>
      <w:r w:rsidRPr="00EF3360">
        <w:rPr>
          <w:rFonts w:asciiTheme="majorHAnsi" w:hAnsiTheme="majorHAnsi"/>
        </w:rPr>
        <w:t>In order to</w:t>
      </w:r>
      <w:proofErr w:type="gramEnd"/>
      <w:r w:rsidRPr="00EF3360">
        <w:rPr>
          <w:rFonts w:asciiTheme="majorHAnsi" w:hAnsiTheme="majorHAnsi"/>
        </w:rPr>
        <w:t xml:space="preserve"> improve the traceability of biological medicinal products, the name and the batch number of the administered product should be clearly recorded.</w:t>
      </w:r>
    </w:p>
    <w:p w14:paraId="05EE2ED4" w14:textId="2366A1A6" w:rsidR="00680D4C" w:rsidRPr="001667C9" w:rsidRDefault="00680D4C" w:rsidP="00044A4F">
      <w:pPr>
        <w:spacing w:line="240" w:lineRule="auto"/>
        <w:rPr>
          <w:rFonts w:asciiTheme="majorHAnsi" w:hAnsiTheme="majorHAnsi"/>
          <w:u w:val="single"/>
        </w:rPr>
      </w:pPr>
      <w:r w:rsidRPr="001667C9">
        <w:rPr>
          <w:rFonts w:asciiTheme="majorHAnsi" w:hAnsiTheme="majorHAnsi"/>
          <w:u w:val="single"/>
        </w:rPr>
        <w:t>Infusion-related reactions</w:t>
      </w:r>
    </w:p>
    <w:p w14:paraId="1D87390F" w14:textId="77777777" w:rsidR="00680D4C" w:rsidRPr="00EF3360" w:rsidRDefault="00680D4C" w:rsidP="00044A4F">
      <w:pPr>
        <w:spacing w:line="240" w:lineRule="auto"/>
        <w:rPr>
          <w:rFonts w:asciiTheme="majorHAnsi" w:hAnsiTheme="majorHAnsi"/>
        </w:rPr>
      </w:pPr>
      <w:r w:rsidRPr="001667C9">
        <w:rPr>
          <w:rFonts w:asciiTheme="majorHAnsi" w:hAnsiTheme="majorHAnsi"/>
        </w:rPr>
        <w:t>Infusion-related reactions may occur and have been reported more frequently during the first infusion (see section 4.8). Patients should be monitored closely throughout the infusion. Patients should be advised to contact their healthcare professionals if they experience signs and symptoms of infusion</w:t>
      </w:r>
      <w:r w:rsidRPr="001667C9">
        <w:rPr>
          <w:rFonts w:asciiTheme="majorHAnsi" w:hAnsiTheme="majorHAnsi"/>
        </w:rPr>
        <w:noBreakHyphen/>
        <w:t>related reactions including fever, ch</w:t>
      </w:r>
      <w:r w:rsidRPr="00EF3360">
        <w:rPr>
          <w:rFonts w:asciiTheme="majorHAnsi" w:hAnsiTheme="majorHAnsi"/>
        </w:rPr>
        <w:t>ills, rash or breathing problems within 24 hours of infusion. A premedication should be administered to patients prior to starting tafasitamab infusion. Based on the severity of the infusion-related reaction, tafasitamab infusion should be interrupted or discontinued and appropriate medical management should be instituted (see section 4.2).</w:t>
      </w:r>
    </w:p>
    <w:p w14:paraId="35156663" w14:textId="77777777" w:rsidR="00680D4C" w:rsidRPr="001667C9" w:rsidRDefault="00680D4C" w:rsidP="00044A4F">
      <w:pPr>
        <w:spacing w:line="240" w:lineRule="auto"/>
        <w:rPr>
          <w:rFonts w:asciiTheme="majorHAnsi" w:hAnsiTheme="majorHAnsi"/>
          <w:u w:val="single"/>
        </w:rPr>
      </w:pPr>
      <w:r w:rsidRPr="001667C9">
        <w:rPr>
          <w:rFonts w:asciiTheme="majorHAnsi" w:hAnsiTheme="majorHAnsi"/>
          <w:u w:val="single"/>
        </w:rPr>
        <w:t>Myelosuppression</w:t>
      </w:r>
    </w:p>
    <w:p w14:paraId="24BC9498" w14:textId="089647FD" w:rsidR="00680D4C" w:rsidRPr="00486BA8" w:rsidRDefault="00680D4C" w:rsidP="00044A4F">
      <w:pPr>
        <w:spacing w:line="240" w:lineRule="auto"/>
        <w:rPr>
          <w:rFonts w:asciiTheme="majorHAnsi" w:hAnsiTheme="majorHAnsi"/>
        </w:rPr>
      </w:pPr>
      <w:r w:rsidRPr="001667C9">
        <w:rPr>
          <w:rFonts w:asciiTheme="majorHAnsi" w:hAnsiTheme="majorHAnsi"/>
        </w:rPr>
        <w:t xml:space="preserve">Treatment with tafasitamab can cause serious and/or severe myelosuppression including neutropenia, </w:t>
      </w:r>
      <w:r w:rsidR="00CC5E4B" w:rsidRPr="001667C9">
        <w:rPr>
          <w:rFonts w:asciiTheme="majorHAnsi" w:hAnsiTheme="majorHAnsi"/>
        </w:rPr>
        <w:t>thrombocytopenia,</w:t>
      </w:r>
      <w:r w:rsidRPr="001667C9">
        <w:rPr>
          <w:rFonts w:asciiTheme="majorHAnsi" w:hAnsiTheme="majorHAnsi"/>
        </w:rPr>
        <w:t xml:space="preserve"> and anaemia (see section 4.8). Complete blood counts should be monitored throughout treatment and prior to administration of each treatment cycle. Based on the severity of the adverse reaction, tafasitamab infusion should be withheld (see Table 1). Refer to the lenalidomide </w:t>
      </w:r>
      <w:r w:rsidR="007D0578" w:rsidRPr="00486BA8">
        <w:rPr>
          <w:rFonts w:asciiTheme="majorHAnsi" w:hAnsiTheme="majorHAnsi"/>
        </w:rPr>
        <w:t>Product Information</w:t>
      </w:r>
      <w:r w:rsidRPr="00486BA8">
        <w:rPr>
          <w:rFonts w:asciiTheme="majorHAnsi" w:hAnsiTheme="majorHAnsi"/>
        </w:rPr>
        <w:t xml:space="preserve"> for dosage modifications.</w:t>
      </w:r>
    </w:p>
    <w:p w14:paraId="719D6175" w14:textId="77777777" w:rsidR="00680D4C" w:rsidRPr="001667C9" w:rsidRDefault="00680D4C" w:rsidP="00044A4F">
      <w:pPr>
        <w:pStyle w:val="TableParagraph"/>
        <w:tabs>
          <w:tab w:val="left" w:pos="467"/>
          <w:tab w:val="left" w:pos="468"/>
        </w:tabs>
        <w:ind w:right="186"/>
        <w:rPr>
          <w:rFonts w:asciiTheme="majorHAnsi" w:hAnsiTheme="majorHAnsi" w:cs="Times New Roman"/>
          <w:lang w:val="en-GB"/>
        </w:rPr>
      </w:pPr>
      <w:r w:rsidRPr="00486BA8">
        <w:rPr>
          <w:rFonts w:asciiTheme="majorHAnsi" w:hAnsiTheme="majorHAnsi" w:cs="Times New Roman"/>
          <w:i/>
          <w:iCs/>
          <w:lang w:val="en-GB"/>
        </w:rPr>
        <w:t>Neutropenia</w:t>
      </w:r>
    </w:p>
    <w:p w14:paraId="42021E0D" w14:textId="005951F4" w:rsidR="00680D4C" w:rsidRPr="001667C9" w:rsidRDefault="00680D4C" w:rsidP="00044A4F">
      <w:pPr>
        <w:spacing w:line="240" w:lineRule="auto"/>
        <w:rPr>
          <w:rFonts w:asciiTheme="majorHAnsi" w:hAnsiTheme="majorHAnsi"/>
        </w:rPr>
      </w:pPr>
      <w:r w:rsidRPr="001667C9">
        <w:rPr>
          <w:rFonts w:asciiTheme="majorHAnsi" w:hAnsiTheme="majorHAnsi"/>
        </w:rPr>
        <w:lastRenderedPageBreak/>
        <w:t>Neutropenia, including febrile neutropenia, has been reported during treatment with tafasitamab. Administration of granulocyte colony-stimulating factors (G</w:t>
      </w:r>
      <w:r w:rsidRPr="001667C9">
        <w:rPr>
          <w:rFonts w:asciiTheme="majorHAnsi" w:hAnsiTheme="majorHAnsi"/>
        </w:rPr>
        <w:noBreakHyphen/>
        <w:t xml:space="preserve">CSF) should be considered, </w:t>
      </w:r>
      <w:proofErr w:type="gramStart"/>
      <w:r w:rsidRPr="001667C9">
        <w:rPr>
          <w:rFonts w:asciiTheme="majorHAnsi" w:hAnsiTheme="majorHAnsi"/>
        </w:rPr>
        <w:t>in particular in</w:t>
      </w:r>
      <w:proofErr w:type="gramEnd"/>
      <w:r w:rsidRPr="001667C9">
        <w:rPr>
          <w:rFonts w:asciiTheme="majorHAnsi" w:hAnsiTheme="majorHAnsi"/>
        </w:rPr>
        <w:t xml:space="preserve"> patients with Grade 3 or 4 neutropenia. Any symptoms or signs of developing infection should be anticipated, </w:t>
      </w:r>
      <w:r w:rsidR="002206B3" w:rsidRPr="001667C9">
        <w:rPr>
          <w:rFonts w:asciiTheme="majorHAnsi" w:hAnsiTheme="majorHAnsi"/>
        </w:rPr>
        <w:t>evaluated,</w:t>
      </w:r>
      <w:r w:rsidRPr="001667C9">
        <w:rPr>
          <w:rFonts w:asciiTheme="majorHAnsi" w:hAnsiTheme="majorHAnsi"/>
        </w:rPr>
        <w:t xml:space="preserve"> and treated. </w:t>
      </w:r>
    </w:p>
    <w:p w14:paraId="6647A2E6" w14:textId="77777777" w:rsidR="00680D4C" w:rsidRPr="001667C9" w:rsidRDefault="00680D4C" w:rsidP="00044A4F">
      <w:pPr>
        <w:pStyle w:val="TableParagraph"/>
        <w:tabs>
          <w:tab w:val="left" w:pos="467"/>
          <w:tab w:val="left" w:pos="468"/>
        </w:tabs>
        <w:ind w:right="186"/>
        <w:rPr>
          <w:rFonts w:asciiTheme="majorHAnsi" w:hAnsiTheme="majorHAnsi" w:cs="Times New Roman"/>
          <w:lang w:val="en-GB"/>
        </w:rPr>
      </w:pPr>
      <w:r w:rsidRPr="001667C9">
        <w:rPr>
          <w:rFonts w:asciiTheme="majorHAnsi" w:hAnsiTheme="majorHAnsi" w:cs="Times New Roman"/>
          <w:i/>
          <w:iCs/>
          <w:lang w:val="en-GB"/>
        </w:rPr>
        <w:t>Thrombocytopenia</w:t>
      </w:r>
    </w:p>
    <w:p w14:paraId="14E79CCA" w14:textId="35547FFB" w:rsidR="00680D4C" w:rsidRPr="001667C9" w:rsidRDefault="00680D4C" w:rsidP="00044A4F">
      <w:pPr>
        <w:spacing w:line="240" w:lineRule="auto"/>
        <w:rPr>
          <w:rFonts w:asciiTheme="majorHAnsi" w:hAnsiTheme="majorHAnsi"/>
        </w:rPr>
      </w:pPr>
      <w:r w:rsidRPr="001667C9">
        <w:rPr>
          <w:rFonts w:asciiTheme="majorHAnsi" w:hAnsiTheme="majorHAnsi"/>
        </w:rPr>
        <w:t>Thrombocytopenia has been reported during treatment with tafasitamab. Withholding of concomitant medicinal products that may increase bleeding risk (</w:t>
      </w:r>
      <w:proofErr w:type="gramStart"/>
      <w:r w:rsidRPr="001667C9">
        <w:rPr>
          <w:rFonts w:asciiTheme="majorHAnsi" w:hAnsiTheme="majorHAnsi"/>
        </w:rPr>
        <w:t>e.g.</w:t>
      </w:r>
      <w:proofErr w:type="gramEnd"/>
      <w:r w:rsidRPr="001667C9">
        <w:rPr>
          <w:rFonts w:asciiTheme="majorHAnsi" w:hAnsiTheme="majorHAnsi"/>
        </w:rPr>
        <w:t xml:space="preserve"> platelet inhibitors, anticoagulants) should be considered. Patients should be advised to report signs or symptoms of bruising or bleeding immediately.</w:t>
      </w:r>
    </w:p>
    <w:p w14:paraId="1476BE0A" w14:textId="77777777" w:rsidR="00680D4C" w:rsidRPr="001667C9" w:rsidRDefault="00680D4C" w:rsidP="00044A4F">
      <w:pPr>
        <w:spacing w:line="240" w:lineRule="auto"/>
        <w:rPr>
          <w:rFonts w:asciiTheme="majorHAnsi" w:hAnsiTheme="majorHAnsi"/>
          <w:u w:val="single"/>
        </w:rPr>
      </w:pPr>
      <w:r w:rsidRPr="001667C9">
        <w:rPr>
          <w:rFonts w:asciiTheme="majorHAnsi" w:hAnsiTheme="majorHAnsi"/>
          <w:u w:val="single"/>
        </w:rPr>
        <w:t>Infections</w:t>
      </w:r>
    </w:p>
    <w:p w14:paraId="2A653224" w14:textId="77777777" w:rsidR="00680D4C" w:rsidRPr="00EF3360" w:rsidRDefault="00680D4C" w:rsidP="00044A4F">
      <w:pPr>
        <w:spacing w:line="240" w:lineRule="auto"/>
        <w:rPr>
          <w:rFonts w:asciiTheme="majorHAnsi" w:hAnsiTheme="majorHAnsi"/>
        </w:rPr>
      </w:pPr>
      <w:r w:rsidRPr="001667C9">
        <w:rPr>
          <w:rFonts w:asciiTheme="majorHAnsi" w:hAnsiTheme="majorHAnsi"/>
        </w:rPr>
        <w:t xml:space="preserve">Fatal and serious infections, including opportunistic infections, occurred in patients during treatment with tafasitamab. Tafasitamab should be administered to patients with an active infection only if the infection is treated appropriately and well controlled. Patients with a history of recurring or chronic </w:t>
      </w:r>
      <w:r w:rsidRPr="00EF3360">
        <w:rPr>
          <w:rFonts w:asciiTheme="majorHAnsi" w:hAnsiTheme="majorHAnsi"/>
        </w:rPr>
        <w:t>infections may be at increased risk of infection and should be monitored appropriately.</w:t>
      </w:r>
    </w:p>
    <w:p w14:paraId="2A9D853D" w14:textId="258A65DE" w:rsidR="00680D4C" w:rsidRPr="00C769CA" w:rsidRDefault="00680D4C" w:rsidP="143F8393">
      <w:pPr>
        <w:spacing w:line="240" w:lineRule="auto"/>
        <w:rPr>
          <w:rFonts w:asciiTheme="majorHAnsi" w:hAnsiTheme="majorHAnsi"/>
        </w:rPr>
      </w:pPr>
      <w:r w:rsidRPr="143F8393">
        <w:rPr>
          <w:rFonts w:asciiTheme="majorHAnsi" w:hAnsiTheme="majorHAnsi"/>
        </w:rPr>
        <w:t xml:space="preserve">Patients should be advised to contact their healthcare professionals if fever or other evidence of potential infection, such as chills, </w:t>
      </w:r>
      <w:r w:rsidR="002206B3" w:rsidRPr="143F8393">
        <w:rPr>
          <w:rFonts w:asciiTheme="majorHAnsi" w:hAnsiTheme="majorHAnsi"/>
        </w:rPr>
        <w:t>cough,</w:t>
      </w:r>
      <w:r w:rsidRPr="143F8393">
        <w:rPr>
          <w:rFonts w:asciiTheme="majorHAnsi" w:hAnsiTheme="majorHAnsi"/>
        </w:rPr>
        <w:t xml:space="preserve"> or pain on urination, develops.</w:t>
      </w:r>
    </w:p>
    <w:p w14:paraId="2DABD353" w14:textId="5F862974" w:rsidR="00680D4C" w:rsidRPr="00C769CA" w:rsidRDefault="02C99F0D" w:rsidP="00C769CA">
      <w:pPr>
        <w:spacing w:line="240" w:lineRule="auto"/>
        <w:rPr>
          <w:rFonts w:asciiTheme="majorHAnsi" w:hAnsiTheme="majorHAnsi"/>
          <w:u w:val="single"/>
        </w:rPr>
      </w:pPr>
      <w:r w:rsidRPr="00C769CA">
        <w:rPr>
          <w:rFonts w:asciiTheme="majorHAnsi" w:hAnsiTheme="majorHAnsi"/>
          <w:u w:val="single"/>
        </w:rPr>
        <w:t>Progressive Multifocal Leukoencephalopathy</w:t>
      </w:r>
    </w:p>
    <w:p w14:paraId="4EB1AFF5" w14:textId="19A6367F" w:rsidR="00680D4C" w:rsidRPr="00C769CA" w:rsidRDefault="02C99F0D" w:rsidP="00044A4F">
      <w:pPr>
        <w:spacing w:line="240" w:lineRule="auto"/>
        <w:rPr>
          <w:rFonts w:asciiTheme="majorHAnsi" w:hAnsiTheme="majorHAnsi"/>
        </w:rPr>
      </w:pPr>
      <w:r w:rsidRPr="00C769CA">
        <w:rPr>
          <w:rFonts w:asciiTheme="majorHAnsi" w:hAnsiTheme="majorHAnsi"/>
        </w:rPr>
        <w:t xml:space="preserve">Progressive multifocal leukoencephalopathy (PML) has been reported during combination therapy with tafasitamab. Patients should be monitored for new or worsening neurological symptoms or signs that may be suggestive of PML. If PML is suspected, further dosing of tafasitamab must be immediately suspended. Referral to a neurologist should be considered. Appropriate diagnostic measures may include MRI scan, cerebrospinal fluid testing for JC viral DNA and repeat neurological assessments. If PML is confirmed, tafasitamab must be permanently discontinued. </w:t>
      </w:r>
    </w:p>
    <w:p w14:paraId="6E20164A" w14:textId="282603D7" w:rsidR="00680D4C" w:rsidRPr="001667C9" w:rsidRDefault="00680D4C" w:rsidP="143F8393">
      <w:pPr>
        <w:spacing w:line="240" w:lineRule="auto"/>
        <w:rPr>
          <w:rFonts w:asciiTheme="majorHAnsi" w:hAnsiTheme="majorHAnsi"/>
          <w:u w:val="single"/>
        </w:rPr>
      </w:pPr>
      <w:r w:rsidRPr="143F8393">
        <w:rPr>
          <w:rFonts w:asciiTheme="majorHAnsi" w:hAnsiTheme="majorHAnsi"/>
          <w:u w:val="single"/>
        </w:rPr>
        <w:t xml:space="preserve">Tumour lysis syndrome </w:t>
      </w:r>
    </w:p>
    <w:p w14:paraId="12E6F594" w14:textId="510769D8" w:rsidR="00680D4C" w:rsidRPr="001667C9" w:rsidRDefault="00680D4C" w:rsidP="00044A4F">
      <w:pPr>
        <w:spacing w:line="240" w:lineRule="auto"/>
        <w:rPr>
          <w:rFonts w:asciiTheme="majorHAnsi" w:hAnsiTheme="majorHAnsi"/>
        </w:rPr>
      </w:pPr>
      <w:r w:rsidRPr="001667C9">
        <w:rPr>
          <w:rFonts w:asciiTheme="majorHAnsi" w:hAnsiTheme="majorHAnsi"/>
        </w:rPr>
        <w:t>Patients with high tumour burden and rapidly proliferative tumour may be at increased risk of tumour lysis syndrome. In patients with DLBCL, tumour lysis syndrome during treatment with tafasitamab has been observed. Appropriate measures/prophylaxis in accordance with local guidelines should be taken prior to treatment with tafasitamab. Patients should be monitored closely for tumour lysis syndrome during treatment with tafasitamab.</w:t>
      </w:r>
    </w:p>
    <w:p w14:paraId="4167D761" w14:textId="77777777" w:rsidR="00680D4C" w:rsidRPr="00EF3360" w:rsidRDefault="00680D4C" w:rsidP="00044A4F">
      <w:pPr>
        <w:keepNext/>
        <w:keepLines/>
        <w:spacing w:line="240" w:lineRule="auto"/>
        <w:rPr>
          <w:rFonts w:asciiTheme="majorHAnsi" w:hAnsiTheme="majorHAnsi"/>
          <w:u w:val="single"/>
        </w:rPr>
      </w:pPr>
      <w:r w:rsidRPr="00EF3360">
        <w:rPr>
          <w:rFonts w:asciiTheme="majorHAnsi" w:hAnsiTheme="majorHAnsi"/>
          <w:u w:val="single"/>
        </w:rPr>
        <w:t>Immunisations</w:t>
      </w:r>
    </w:p>
    <w:p w14:paraId="6ECCFB68" w14:textId="2CBD8A82" w:rsidR="00680D4C" w:rsidRPr="001667C9" w:rsidRDefault="00680D4C" w:rsidP="00044A4F">
      <w:pPr>
        <w:keepNext/>
        <w:keepLines/>
        <w:spacing w:line="240" w:lineRule="auto"/>
        <w:rPr>
          <w:rFonts w:asciiTheme="majorHAnsi" w:hAnsiTheme="majorHAnsi"/>
        </w:rPr>
      </w:pPr>
      <w:r w:rsidRPr="001667C9">
        <w:rPr>
          <w:rFonts w:asciiTheme="majorHAnsi" w:hAnsiTheme="majorHAnsi"/>
        </w:rPr>
        <w:t>The safety of immunisation with live vaccines following tafasitamab therapy has not been investigated and vaccination with live vaccines is not recommended concurrently with tafasitamab therapy.</w:t>
      </w:r>
    </w:p>
    <w:p w14:paraId="48D5A969" w14:textId="77777777" w:rsidR="00680D4C" w:rsidRPr="001667C9" w:rsidRDefault="00680D4C" w:rsidP="00044A4F">
      <w:pPr>
        <w:spacing w:line="240" w:lineRule="auto"/>
        <w:rPr>
          <w:rFonts w:asciiTheme="majorHAnsi" w:hAnsiTheme="majorHAnsi"/>
          <w:u w:val="single"/>
        </w:rPr>
      </w:pPr>
      <w:r w:rsidRPr="001667C9">
        <w:rPr>
          <w:rFonts w:asciiTheme="majorHAnsi" w:hAnsiTheme="majorHAnsi"/>
          <w:u w:val="single"/>
        </w:rPr>
        <w:t>Excipient</w:t>
      </w:r>
    </w:p>
    <w:p w14:paraId="7520C8A4" w14:textId="03FE475C" w:rsidR="007F0833" w:rsidRPr="001667C9" w:rsidRDefault="00680D4C" w:rsidP="00044A4F">
      <w:pPr>
        <w:spacing w:line="240" w:lineRule="auto"/>
        <w:rPr>
          <w:rFonts w:asciiTheme="majorHAnsi" w:hAnsiTheme="majorHAnsi"/>
        </w:rPr>
      </w:pPr>
      <w:r w:rsidRPr="001667C9">
        <w:rPr>
          <w:rFonts w:asciiTheme="majorHAnsi" w:hAnsiTheme="majorHAnsi"/>
        </w:rPr>
        <w:t>This medicinal product contains 37.0 mg sodium per 5 vials (the dose of a patient weighing 83 kg), equivalent to 1.85% of the WHO recommended maximum daily intake of 2 g sodium for an adult</w:t>
      </w:r>
      <w:r w:rsidRPr="001667C9">
        <w:rPr>
          <w:rFonts w:asciiTheme="majorHAnsi" w:hAnsiTheme="majorHAnsi"/>
          <w:iCs/>
        </w:rPr>
        <w:t>.</w:t>
      </w:r>
    </w:p>
    <w:p w14:paraId="1CBBCB1A" w14:textId="77777777" w:rsidR="001A3992" w:rsidRPr="00486BA8" w:rsidRDefault="001A3992" w:rsidP="00044A4F">
      <w:pPr>
        <w:pStyle w:val="Heading3"/>
        <w:spacing w:before="0" w:after="120"/>
        <w:ind w:left="0"/>
      </w:pPr>
      <w:r w:rsidRPr="00486BA8">
        <w:t>Use in the elderly</w:t>
      </w:r>
    </w:p>
    <w:p w14:paraId="6610E9B2" w14:textId="33B29955" w:rsidR="0010784F" w:rsidRPr="00486BA8" w:rsidRDefault="0010784F" w:rsidP="00044A4F">
      <w:pPr>
        <w:rPr>
          <w:rFonts w:asciiTheme="majorHAnsi" w:hAnsiTheme="majorHAnsi"/>
        </w:rPr>
      </w:pPr>
      <w:r w:rsidRPr="00486BA8">
        <w:rPr>
          <w:rFonts w:asciiTheme="majorHAnsi" w:hAnsiTheme="majorHAnsi"/>
        </w:rPr>
        <w:t>No data available.</w:t>
      </w:r>
    </w:p>
    <w:p w14:paraId="6B6B6E8C" w14:textId="77777777" w:rsidR="001A3992" w:rsidRPr="001667C9" w:rsidRDefault="001A3992" w:rsidP="00044A4F">
      <w:pPr>
        <w:pStyle w:val="Heading3"/>
        <w:spacing w:before="0" w:after="120"/>
        <w:ind w:left="0"/>
      </w:pPr>
      <w:r w:rsidRPr="001667C9">
        <w:lastRenderedPageBreak/>
        <w:t>Paediatric use</w:t>
      </w:r>
    </w:p>
    <w:p w14:paraId="56F7E5BB" w14:textId="1B109AE3" w:rsidR="0010784F" w:rsidRPr="001667C9" w:rsidRDefault="0010784F" w:rsidP="00044A4F">
      <w:pPr>
        <w:rPr>
          <w:rFonts w:asciiTheme="majorHAnsi" w:hAnsiTheme="majorHAnsi"/>
        </w:rPr>
      </w:pPr>
      <w:r w:rsidRPr="001667C9">
        <w:rPr>
          <w:rFonts w:asciiTheme="majorHAnsi" w:hAnsiTheme="majorHAnsi"/>
        </w:rPr>
        <w:t>No data available.</w:t>
      </w:r>
    </w:p>
    <w:p w14:paraId="137CE35A" w14:textId="77777777" w:rsidR="001A3992" w:rsidRPr="00486BA8" w:rsidRDefault="001A3992" w:rsidP="00044A4F">
      <w:pPr>
        <w:pStyle w:val="Heading3"/>
        <w:spacing w:before="0" w:after="120"/>
        <w:ind w:left="0"/>
      </w:pPr>
      <w:r w:rsidRPr="00486BA8">
        <w:t>Effects on laboratory tests</w:t>
      </w:r>
    </w:p>
    <w:p w14:paraId="52E30AA7" w14:textId="2D7ACFFF" w:rsidR="0010784F" w:rsidRPr="00EF3360" w:rsidRDefault="0010784F" w:rsidP="00044A4F">
      <w:pPr>
        <w:rPr>
          <w:rFonts w:asciiTheme="majorHAnsi" w:hAnsiTheme="majorHAnsi"/>
        </w:rPr>
      </w:pPr>
      <w:r w:rsidRPr="00EF3360">
        <w:rPr>
          <w:rFonts w:asciiTheme="majorHAnsi" w:hAnsiTheme="majorHAnsi"/>
        </w:rPr>
        <w:t>No data available.</w:t>
      </w:r>
    </w:p>
    <w:p w14:paraId="392ABC27" w14:textId="77777777" w:rsidR="001A3992" w:rsidRPr="001667C9" w:rsidRDefault="001A3992" w:rsidP="001A3992">
      <w:pPr>
        <w:pStyle w:val="Heading2"/>
        <w:keepNext/>
        <w:keepLines/>
        <w:spacing w:before="0" w:after="120"/>
      </w:pPr>
      <w:r w:rsidRPr="001667C9">
        <w:t>Interactions with other medicines and other forms of interactions</w:t>
      </w:r>
    </w:p>
    <w:p w14:paraId="3924E295" w14:textId="05D1421F" w:rsidR="00830F43" w:rsidRPr="001667C9" w:rsidRDefault="00830F43" w:rsidP="00830F43">
      <w:pPr>
        <w:spacing w:line="240" w:lineRule="auto"/>
        <w:rPr>
          <w:rFonts w:asciiTheme="majorHAnsi" w:hAnsiTheme="majorHAnsi"/>
        </w:rPr>
      </w:pPr>
      <w:r w:rsidRPr="001667C9">
        <w:rPr>
          <w:rFonts w:asciiTheme="majorHAnsi" w:hAnsiTheme="majorHAnsi"/>
        </w:rPr>
        <w:t>No interaction studies have been performed.</w:t>
      </w:r>
    </w:p>
    <w:p w14:paraId="3780F072" w14:textId="77777777" w:rsidR="001A3992" w:rsidRPr="001667C9" w:rsidRDefault="001A3992" w:rsidP="001A3992">
      <w:pPr>
        <w:pStyle w:val="Heading2"/>
        <w:spacing w:before="0" w:after="120"/>
      </w:pPr>
      <w:r w:rsidRPr="001667C9">
        <w:t xml:space="preserve">Fertility, pregnancy and lactation </w:t>
      </w:r>
    </w:p>
    <w:p w14:paraId="7FA6F7AA" w14:textId="4B48B536" w:rsidR="00096FF4" w:rsidRPr="001667C9" w:rsidRDefault="00096FF4" w:rsidP="00096FF4">
      <w:pPr>
        <w:spacing w:line="240" w:lineRule="auto"/>
        <w:rPr>
          <w:rFonts w:asciiTheme="majorHAnsi" w:hAnsiTheme="majorHAnsi"/>
        </w:rPr>
      </w:pPr>
      <w:r w:rsidRPr="001667C9">
        <w:rPr>
          <w:rFonts w:asciiTheme="majorHAnsi" w:hAnsiTheme="majorHAnsi"/>
        </w:rPr>
        <w:t xml:space="preserve">Treatment with tafasitamab in combination with lenalidomide should not be initiated in female patients unless pregnancy has been excluded. Please also refer to the </w:t>
      </w:r>
      <w:r w:rsidR="00DC6034" w:rsidRPr="001667C9">
        <w:rPr>
          <w:rFonts w:asciiTheme="majorHAnsi" w:hAnsiTheme="majorHAnsi"/>
        </w:rPr>
        <w:t>Product Information</w:t>
      </w:r>
      <w:r w:rsidRPr="001667C9">
        <w:rPr>
          <w:rFonts w:asciiTheme="majorHAnsi" w:hAnsiTheme="majorHAnsi"/>
        </w:rPr>
        <w:t xml:space="preserve"> of lenalidomide.</w:t>
      </w:r>
    </w:p>
    <w:p w14:paraId="757D9425" w14:textId="7A515F6E" w:rsidR="00096FF4" w:rsidRPr="001667C9" w:rsidRDefault="00096FF4" w:rsidP="00096FF4">
      <w:pPr>
        <w:spacing w:line="240" w:lineRule="auto"/>
        <w:rPr>
          <w:rFonts w:asciiTheme="majorHAnsi" w:hAnsiTheme="majorHAnsi"/>
          <w:b/>
          <w:bCs/>
        </w:rPr>
      </w:pPr>
      <w:r w:rsidRPr="001667C9">
        <w:rPr>
          <w:rFonts w:asciiTheme="majorHAnsi" w:hAnsiTheme="majorHAnsi"/>
          <w:b/>
          <w:bCs/>
        </w:rPr>
        <w:t>Women of childbearing potential/Contraception in females</w:t>
      </w:r>
    </w:p>
    <w:p w14:paraId="261E9E2D" w14:textId="76C02A39" w:rsidR="00096FF4" w:rsidRPr="001667C9" w:rsidRDefault="00096FF4" w:rsidP="00096FF4">
      <w:pPr>
        <w:spacing w:line="240" w:lineRule="auto"/>
        <w:rPr>
          <w:rFonts w:asciiTheme="majorHAnsi" w:hAnsiTheme="majorHAnsi"/>
        </w:rPr>
      </w:pPr>
      <w:r w:rsidRPr="001667C9">
        <w:rPr>
          <w:rFonts w:asciiTheme="majorHAnsi" w:hAnsiTheme="majorHAnsi"/>
        </w:rPr>
        <w:t>Women of childbearing potential should be advised to use effective contraception during and for at least 3 months after end of treatment with tafasitamab.</w:t>
      </w:r>
    </w:p>
    <w:p w14:paraId="68951BCE" w14:textId="65AFD8D7" w:rsidR="001A3992" w:rsidRPr="001667C9" w:rsidRDefault="001A3992" w:rsidP="00074062">
      <w:pPr>
        <w:pStyle w:val="Heading3"/>
        <w:spacing w:before="0" w:after="120"/>
        <w:ind w:left="0"/>
      </w:pPr>
      <w:r w:rsidRPr="001667C9">
        <w:t>Effects on fertility</w:t>
      </w:r>
    </w:p>
    <w:p w14:paraId="3ADE859D" w14:textId="39C1C449" w:rsidR="00D94DCF" w:rsidRPr="001667C9" w:rsidRDefault="00D94DCF" w:rsidP="00074062">
      <w:pPr>
        <w:spacing w:line="240" w:lineRule="auto"/>
        <w:rPr>
          <w:rFonts w:asciiTheme="majorHAnsi" w:hAnsiTheme="majorHAnsi"/>
        </w:rPr>
      </w:pPr>
      <w:r w:rsidRPr="001667C9">
        <w:rPr>
          <w:rFonts w:asciiTheme="majorHAnsi" w:hAnsiTheme="majorHAnsi"/>
        </w:rPr>
        <w:t xml:space="preserve">No specific studies have been conducted to evaluate potential effects of </w:t>
      </w:r>
      <w:r w:rsidR="00A218E6">
        <w:rPr>
          <w:rFonts w:asciiTheme="majorHAnsi" w:hAnsiTheme="majorHAnsi"/>
        </w:rPr>
        <w:t>MINJUVI</w:t>
      </w:r>
      <w:r w:rsidR="00A218E6" w:rsidRPr="001667C9">
        <w:rPr>
          <w:rFonts w:asciiTheme="majorHAnsi" w:hAnsiTheme="majorHAnsi"/>
        </w:rPr>
        <w:t xml:space="preserve"> </w:t>
      </w:r>
      <w:r w:rsidRPr="001667C9">
        <w:rPr>
          <w:rFonts w:asciiTheme="majorHAnsi" w:hAnsiTheme="majorHAnsi"/>
        </w:rPr>
        <w:t xml:space="preserve">on </w:t>
      </w:r>
      <w:r w:rsidR="00BA3CF2">
        <w:rPr>
          <w:rFonts w:asciiTheme="majorHAnsi" w:hAnsiTheme="majorHAnsi"/>
        </w:rPr>
        <w:t xml:space="preserve">human </w:t>
      </w:r>
      <w:r w:rsidRPr="001667C9">
        <w:rPr>
          <w:rFonts w:asciiTheme="majorHAnsi" w:hAnsiTheme="majorHAnsi"/>
        </w:rPr>
        <w:t xml:space="preserve">fertility. </w:t>
      </w:r>
      <w:r w:rsidR="00D87E1C">
        <w:rPr>
          <w:rFonts w:asciiTheme="majorHAnsi" w:hAnsiTheme="majorHAnsi"/>
        </w:rPr>
        <w:t xml:space="preserve"> No dedicated animal</w:t>
      </w:r>
      <w:r w:rsidR="00B42866">
        <w:rPr>
          <w:rFonts w:asciiTheme="majorHAnsi" w:hAnsiTheme="majorHAnsi"/>
        </w:rPr>
        <w:t xml:space="preserve"> fertility</w:t>
      </w:r>
      <w:r w:rsidR="00EC2BDD">
        <w:rPr>
          <w:rFonts w:asciiTheme="majorHAnsi" w:hAnsiTheme="majorHAnsi"/>
        </w:rPr>
        <w:t xml:space="preserve"> studies have been conducted with taf</w:t>
      </w:r>
      <w:r w:rsidR="007A72C8">
        <w:rPr>
          <w:rFonts w:asciiTheme="majorHAnsi" w:hAnsiTheme="majorHAnsi"/>
        </w:rPr>
        <w:t xml:space="preserve">asitamab. No adverse </w:t>
      </w:r>
      <w:r w:rsidR="000B3E2B">
        <w:rPr>
          <w:rFonts w:asciiTheme="majorHAnsi" w:hAnsiTheme="majorHAnsi"/>
        </w:rPr>
        <w:t>effects</w:t>
      </w:r>
      <w:r w:rsidR="007A72C8">
        <w:rPr>
          <w:rFonts w:asciiTheme="majorHAnsi" w:hAnsiTheme="majorHAnsi"/>
        </w:rPr>
        <w:t xml:space="preserve"> on reproductive organs in males and females and no effects on menstrual cycle </w:t>
      </w:r>
      <w:r w:rsidR="00455726">
        <w:rPr>
          <w:rFonts w:asciiTheme="majorHAnsi" w:hAnsiTheme="majorHAnsi"/>
        </w:rPr>
        <w:t xml:space="preserve">length in </w:t>
      </w:r>
      <w:r w:rsidR="00E5505A">
        <w:rPr>
          <w:rFonts w:asciiTheme="majorHAnsi" w:hAnsiTheme="majorHAnsi"/>
        </w:rPr>
        <w:t>females</w:t>
      </w:r>
      <w:r w:rsidR="00455726">
        <w:rPr>
          <w:rFonts w:asciiTheme="majorHAnsi" w:hAnsiTheme="majorHAnsi"/>
        </w:rPr>
        <w:t xml:space="preserve"> were observed in cynomolgus monkeys at intravenous doses up to 100</w:t>
      </w:r>
      <w:r w:rsidR="00994153">
        <w:rPr>
          <w:rFonts w:asciiTheme="majorHAnsi" w:hAnsiTheme="majorHAnsi"/>
        </w:rPr>
        <w:t xml:space="preserve"> </w:t>
      </w:r>
      <w:r w:rsidR="00F97659">
        <w:rPr>
          <w:rFonts w:asciiTheme="majorHAnsi" w:hAnsiTheme="majorHAnsi"/>
        </w:rPr>
        <w:t>mg/kg/week for 13 weeks (8 times the exposure (AUC) at maximum recommend</w:t>
      </w:r>
      <w:r w:rsidR="00196DA8">
        <w:rPr>
          <w:rFonts w:asciiTheme="majorHAnsi" w:hAnsiTheme="majorHAnsi"/>
        </w:rPr>
        <w:t>ed human dose (MRHD)).</w:t>
      </w:r>
    </w:p>
    <w:p w14:paraId="3B58983C" w14:textId="4311D127" w:rsidR="001A3992" w:rsidRPr="001667C9" w:rsidRDefault="001A3992" w:rsidP="00074062">
      <w:pPr>
        <w:pStyle w:val="Heading3"/>
        <w:spacing w:before="0" w:after="120"/>
        <w:ind w:left="0"/>
        <w:rPr>
          <w:rFonts w:cstheme="minorHAnsi"/>
        </w:rPr>
      </w:pPr>
      <w:r w:rsidRPr="001667C9">
        <w:t xml:space="preserve">Use in pregnancy </w:t>
      </w:r>
      <w:r w:rsidR="00F706F1" w:rsidRPr="001667C9">
        <w:rPr>
          <w:rFonts w:cstheme="minorHAnsi"/>
        </w:rPr>
        <w:t>-</w:t>
      </w:r>
      <w:r w:rsidR="005B2812" w:rsidRPr="001667C9">
        <w:rPr>
          <w:rFonts w:cstheme="minorHAnsi"/>
        </w:rPr>
        <w:t xml:space="preserve"> Pregnancy Category C</w:t>
      </w:r>
      <w:r w:rsidR="00D50668" w:rsidRPr="001667C9">
        <w:rPr>
          <w:rFonts w:cstheme="minorHAnsi"/>
        </w:rPr>
        <w:t xml:space="preserve"> </w:t>
      </w:r>
    </w:p>
    <w:p w14:paraId="463CFC88" w14:textId="62396799" w:rsidR="006953A1" w:rsidRDefault="004D193A" w:rsidP="00074062">
      <w:pPr>
        <w:tabs>
          <w:tab w:val="left" w:pos="284"/>
        </w:tabs>
        <w:spacing w:line="240" w:lineRule="auto"/>
        <w:rPr>
          <w:rFonts w:asciiTheme="majorHAnsi" w:hAnsiTheme="majorHAnsi"/>
        </w:rPr>
      </w:pPr>
      <w:r w:rsidRPr="001667C9">
        <w:rPr>
          <w:rFonts w:asciiTheme="majorHAnsi" w:hAnsiTheme="majorHAnsi"/>
        </w:rPr>
        <w:t xml:space="preserve">There are no data on the use of </w:t>
      </w:r>
      <w:r w:rsidR="00A70EA5">
        <w:rPr>
          <w:rFonts w:asciiTheme="majorHAnsi" w:hAnsiTheme="majorHAnsi"/>
        </w:rPr>
        <w:t>MINJUVI</w:t>
      </w:r>
      <w:r w:rsidR="00A70EA5" w:rsidRPr="001667C9">
        <w:rPr>
          <w:rFonts w:asciiTheme="majorHAnsi" w:hAnsiTheme="majorHAnsi"/>
        </w:rPr>
        <w:t xml:space="preserve"> </w:t>
      </w:r>
      <w:r w:rsidRPr="001667C9">
        <w:rPr>
          <w:rFonts w:asciiTheme="majorHAnsi" w:hAnsiTheme="majorHAnsi"/>
        </w:rPr>
        <w:t xml:space="preserve">in pregnant women. </w:t>
      </w:r>
      <w:r w:rsidR="004D3325">
        <w:rPr>
          <w:rFonts w:asciiTheme="majorHAnsi" w:hAnsiTheme="majorHAnsi"/>
        </w:rPr>
        <w:t xml:space="preserve">Animal reproductive and </w:t>
      </w:r>
      <w:r w:rsidR="002A106C">
        <w:rPr>
          <w:rFonts w:asciiTheme="majorHAnsi" w:hAnsiTheme="majorHAnsi"/>
        </w:rPr>
        <w:t>developmental</w:t>
      </w:r>
      <w:r w:rsidR="004D3325">
        <w:rPr>
          <w:rFonts w:asciiTheme="majorHAnsi" w:hAnsiTheme="majorHAnsi"/>
        </w:rPr>
        <w:t xml:space="preserve"> toxicity studies have not been conducted with tafasitamab.</w:t>
      </w:r>
    </w:p>
    <w:p w14:paraId="5A8F556E" w14:textId="22698C63" w:rsidR="004D193A" w:rsidRPr="001667C9" w:rsidRDefault="006953A1" w:rsidP="00074062">
      <w:pPr>
        <w:tabs>
          <w:tab w:val="left" w:pos="284"/>
        </w:tabs>
        <w:spacing w:line="240" w:lineRule="auto"/>
        <w:rPr>
          <w:rFonts w:asciiTheme="majorHAnsi" w:hAnsiTheme="majorHAnsi"/>
        </w:rPr>
      </w:pPr>
      <w:r>
        <w:rPr>
          <w:rFonts w:asciiTheme="majorHAnsi" w:hAnsiTheme="majorHAnsi"/>
        </w:rPr>
        <w:t>Human</w:t>
      </w:r>
      <w:r w:rsidR="004D193A" w:rsidRPr="001667C9">
        <w:rPr>
          <w:rFonts w:asciiTheme="majorHAnsi" w:hAnsiTheme="majorHAnsi"/>
        </w:rPr>
        <w:t xml:space="preserve"> IgG is known to cross the placenta and </w:t>
      </w:r>
      <w:proofErr w:type="spellStart"/>
      <w:r w:rsidR="004D193A" w:rsidRPr="001667C9">
        <w:rPr>
          <w:rFonts w:asciiTheme="majorHAnsi" w:hAnsiTheme="majorHAnsi"/>
        </w:rPr>
        <w:t>tafasitamab</w:t>
      </w:r>
      <w:proofErr w:type="spellEnd"/>
      <w:r w:rsidR="004D193A" w:rsidRPr="001667C9">
        <w:rPr>
          <w:rFonts w:asciiTheme="majorHAnsi" w:hAnsiTheme="majorHAnsi"/>
        </w:rPr>
        <w:t xml:space="preserve"> may cause fetal B</w:t>
      </w:r>
      <w:r w:rsidR="004D193A" w:rsidRPr="001667C9">
        <w:rPr>
          <w:rFonts w:asciiTheme="majorHAnsi" w:hAnsiTheme="majorHAnsi"/>
        </w:rPr>
        <w:noBreakHyphen/>
        <w:t>cell depletion based on the pharmacological properties (see section 5.1). In case of exposure during pregnancy, newborns should be monitored for B</w:t>
      </w:r>
      <w:r w:rsidR="004D193A" w:rsidRPr="001667C9">
        <w:rPr>
          <w:rFonts w:asciiTheme="majorHAnsi" w:hAnsiTheme="majorHAnsi"/>
        </w:rPr>
        <w:noBreakHyphen/>
        <w:t>cell depletion and vaccinations with live virus vaccines should be postponed until the infant’s B</w:t>
      </w:r>
      <w:r w:rsidR="004D193A" w:rsidRPr="001667C9">
        <w:rPr>
          <w:rFonts w:asciiTheme="majorHAnsi" w:hAnsiTheme="majorHAnsi"/>
        </w:rPr>
        <w:noBreakHyphen/>
        <w:t>cell count has recovered (see section 4.4).</w:t>
      </w:r>
    </w:p>
    <w:p w14:paraId="2729633B" w14:textId="77777777" w:rsidR="004D193A" w:rsidRPr="001667C9" w:rsidRDefault="004D193A" w:rsidP="00074062">
      <w:pPr>
        <w:tabs>
          <w:tab w:val="left" w:pos="284"/>
        </w:tabs>
        <w:spacing w:line="240" w:lineRule="auto"/>
        <w:rPr>
          <w:rFonts w:asciiTheme="majorHAnsi" w:hAnsiTheme="majorHAnsi"/>
        </w:rPr>
      </w:pPr>
      <w:r w:rsidRPr="001667C9">
        <w:rPr>
          <w:rFonts w:asciiTheme="majorHAnsi" w:hAnsiTheme="majorHAnsi"/>
        </w:rPr>
        <w:t>Tafasitamab is not recommended during pregnancy and in women of childbearing potential not using contraception.</w:t>
      </w:r>
    </w:p>
    <w:p w14:paraId="544A5D4F" w14:textId="463B7DDE" w:rsidR="004D193A" w:rsidRPr="001667C9" w:rsidRDefault="004D193A" w:rsidP="00074062">
      <w:pPr>
        <w:tabs>
          <w:tab w:val="left" w:pos="284"/>
        </w:tabs>
        <w:spacing w:line="240" w:lineRule="auto"/>
        <w:rPr>
          <w:rFonts w:asciiTheme="majorHAnsi" w:hAnsiTheme="majorHAnsi"/>
        </w:rPr>
      </w:pPr>
      <w:r w:rsidRPr="001667C9">
        <w:rPr>
          <w:rFonts w:asciiTheme="majorHAnsi" w:hAnsiTheme="majorHAnsi"/>
        </w:rPr>
        <w:t>Lenalidomide</w:t>
      </w:r>
      <w:r w:rsidR="001D7AE2">
        <w:rPr>
          <w:rFonts w:asciiTheme="majorHAnsi" w:hAnsiTheme="majorHAnsi"/>
        </w:rPr>
        <w:t xml:space="preserve"> (</w:t>
      </w:r>
      <w:r w:rsidR="0089641F">
        <w:rPr>
          <w:rFonts w:asciiTheme="majorHAnsi" w:hAnsiTheme="majorHAnsi"/>
        </w:rPr>
        <w:t>P</w:t>
      </w:r>
      <w:r w:rsidR="001D7AE2">
        <w:rPr>
          <w:rFonts w:asciiTheme="majorHAnsi" w:hAnsiTheme="majorHAnsi"/>
        </w:rPr>
        <w:t>regnancy Category X)</w:t>
      </w:r>
      <w:r w:rsidRPr="001667C9">
        <w:rPr>
          <w:rFonts w:asciiTheme="majorHAnsi" w:hAnsiTheme="majorHAnsi"/>
        </w:rPr>
        <w:t xml:space="preserve"> can cause embryo-fetal harm and is contraindicated for use in pregnancy and in women of childbearing potential unless </w:t>
      </w:r>
      <w:proofErr w:type="gramStart"/>
      <w:r w:rsidRPr="001667C9">
        <w:rPr>
          <w:rFonts w:asciiTheme="majorHAnsi" w:hAnsiTheme="majorHAnsi"/>
        </w:rPr>
        <w:t>all of</w:t>
      </w:r>
      <w:proofErr w:type="gramEnd"/>
      <w:r w:rsidRPr="001667C9">
        <w:rPr>
          <w:rFonts w:asciiTheme="majorHAnsi" w:hAnsiTheme="majorHAnsi"/>
        </w:rPr>
        <w:t xml:space="preserve"> the conditions of the lenalidomide pregnancy prevention programme are met.</w:t>
      </w:r>
    </w:p>
    <w:p w14:paraId="0590BA9E" w14:textId="41C70B07" w:rsidR="00CB1094" w:rsidRPr="001667C9" w:rsidRDefault="001A3992" w:rsidP="00074062">
      <w:pPr>
        <w:pStyle w:val="Heading3"/>
        <w:spacing w:before="0" w:after="120"/>
        <w:ind w:left="0"/>
      </w:pPr>
      <w:r w:rsidRPr="001667C9">
        <w:t>Use in lactation</w:t>
      </w:r>
    </w:p>
    <w:p w14:paraId="4ACCE821" w14:textId="4C17B91D" w:rsidR="00CB1094" w:rsidRPr="001667C9" w:rsidRDefault="000E06A3" w:rsidP="00074062">
      <w:pPr>
        <w:spacing w:line="240" w:lineRule="auto"/>
        <w:rPr>
          <w:rFonts w:asciiTheme="majorHAnsi" w:hAnsiTheme="majorHAnsi"/>
        </w:rPr>
      </w:pPr>
      <w:r>
        <w:rPr>
          <w:rFonts w:asciiTheme="majorHAnsi" w:hAnsiTheme="majorHAnsi"/>
        </w:rPr>
        <w:t xml:space="preserve">There are no data on the presence of </w:t>
      </w:r>
      <w:proofErr w:type="spellStart"/>
      <w:r w:rsidR="00CB1094" w:rsidRPr="001667C9">
        <w:rPr>
          <w:rFonts w:asciiTheme="majorHAnsi" w:hAnsiTheme="majorHAnsi"/>
        </w:rPr>
        <w:t>tafasitamab</w:t>
      </w:r>
      <w:proofErr w:type="spellEnd"/>
      <w:r w:rsidR="00CB1094" w:rsidRPr="001667C9">
        <w:rPr>
          <w:rFonts w:asciiTheme="majorHAnsi" w:hAnsiTheme="majorHAnsi"/>
        </w:rPr>
        <w:t xml:space="preserve"> in human milk</w:t>
      </w:r>
      <w:r w:rsidR="00C8424B">
        <w:rPr>
          <w:rFonts w:asciiTheme="majorHAnsi" w:hAnsiTheme="majorHAnsi"/>
        </w:rPr>
        <w:t xml:space="preserve">, the effects on the breastfed infant, or the effects on milk </w:t>
      </w:r>
      <w:r w:rsidR="00690BA8">
        <w:rPr>
          <w:rFonts w:asciiTheme="majorHAnsi" w:hAnsiTheme="majorHAnsi"/>
        </w:rPr>
        <w:t>production</w:t>
      </w:r>
      <w:r w:rsidR="00CB1094" w:rsidRPr="001667C9">
        <w:rPr>
          <w:rFonts w:asciiTheme="majorHAnsi" w:hAnsiTheme="majorHAnsi"/>
        </w:rPr>
        <w:t xml:space="preserve">. However, maternal IgG is known to be excreted in human milk. There are no data on the use of </w:t>
      </w:r>
      <w:r w:rsidR="00E42229">
        <w:rPr>
          <w:rFonts w:asciiTheme="majorHAnsi" w:hAnsiTheme="majorHAnsi"/>
        </w:rPr>
        <w:t>MINJUVI</w:t>
      </w:r>
      <w:r w:rsidR="00690BA8">
        <w:rPr>
          <w:rFonts w:asciiTheme="majorHAnsi" w:hAnsiTheme="majorHAnsi"/>
        </w:rPr>
        <w:t xml:space="preserve"> </w:t>
      </w:r>
      <w:r w:rsidR="00CB1094" w:rsidRPr="001667C9">
        <w:rPr>
          <w:rFonts w:asciiTheme="majorHAnsi" w:hAnsiTheme="majorHAnsi"/>
        </w:rPr>
        <w:t>in breast-feeding women and a risk for breast-feeding children cannot be excluded. Women should be advised not to breast-feed during and for at least 3 months after the last dose of tafasitamab.</w:t>
      </w:r>
    </w:p>
    <w:p w14:paraId="185E368C" w14:textId="77777777" w:rsidR="001A3992" w:rsidRPr="003D30C6" w:rsidRDefault="001A3992" w:rsidP="001A3992">
      <w:pPr>
        <w:pStyle w:val="Heading2"/>
        <w:spacing w:before="0" w:after="120"/>
      </w:pPr>
      <w:r w:rsidRPr="003D30C6">
        <w:lastRenderedPageBreak/>
        <w:t xml:space="preserve">Effects on ability to drive and use machines </w:t>
      </w:r>
    </w:p>
    <w:p w14:paraId="715F46CA" w14:textId="200A8DED" w:rsidR="005B2812" w:rsidRPr="003D30C6" w:rsidRDefault="00A60E52" w:rsidP="00A60E52">
      <w:pPr>
        <w:spacing w:line="240" w:lineRule="auto"/>
        <w:rPr>
          <w:rFonts w:asciiTheme="majorHAnsi" w:hAnsiTheme="majorHAnsi"/>
        </w:rPr>
      </w:pPr>
      <w:r w:rsidRPr="003D30C6">
        <w:rPr>
          <w:rFonts w:asciiTheme="majorHAnsi" w:hAnsiTheme="majorHAnsi"/>
        </w:rPr>
        <w:t>MINJUVI has no or negligible influence on the ability to drive and use machines. However, fatigue has been reported in patients taking tafasitamab and this should be taken into account when driving or using machines.</w:t>
      </w:r>
    </w:p>
    <w:p w14:paraId="6F2B9A7B" w14:textId="77777777" w:rsidR="001A3992" w:rsidRPr="003D30C6" w:rsidRDefault="001A3992" w:rsidP="001A3992">
      <w:pPr>
        <w:pStyle w:val="Heading2"/>
        <w:keepNext/>
        <w:keepLines/>
        <w:spacing w:before="0" w:after="120"/>
      </w:pPr>
      <w:r w:rsidRPr="003D30C6">
        <w:t>Adverse effects (Undesirable effects)</w:t>
      </w:r>
    </w:p>
    <w:p w14:paraId="43663E71" w14:textId="77777777" w:rsidR="000448E0" w:rsidRPr="00486BA8" w:rsidRDefault="000448E0" w:rsidP="000448E0">
      <w:pPr>
        <w:autoSpaceDE w:val="0"/>
        <w:autoSpaceDN w:val="0"/>
        <w:adjustRightInd w:val="0"/>
        <w:spacing w:line="240" w:lineRule="auto"/>
        <w:rPr>
          <w:rFonts w:asciiTheme="majorHAnsi" w:hAnsiTheme="majorHAnsi"/>
          <w:b/>
          <w:bCs/>
        </w:rPr>
      </w:pPr>
      <w:r w:rsidRPr="00486BA8">
        <w:rPr>
          <w:rFonts w:asciiTheme="majorHAnsi" w:hAnsiTheme="majorHAnsi"/>
          <w:b/>
          <w:bCs/>
        </w:rPr>
        <w:t>Reporting of suspected adverse reactions</w:t>
      </w:r>
    </w:p>
    <w:p w14:paraId="4BB394F4" w14:textId="7742D1C5" w:rsidR="000448E0" w:rsidRPr="003D30C6" w:rsidRDefault="000448E0" w:rsidP="000448E0">
      <w:pPr>
        <w:rPr>
          <w:rFonts w:asciiTheme="majorHAnsi" w:hAnsiTheme="majorHAnsi" w:cstheme="minorHAnsi"/>
          <w:lang w:val="en"/>
        </w:rPr>
      </w:pPr>
      <w:r w:rsidRPr="00EF3360">
        <w:rPr>
          <w:rFonts w:asciiTheme="majorHAnsi" w:hAnsiTheme="majorHAnsi"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3D30C6">
          <w:rPr>
            <w:rStyle w:val="Hyperlink"/>
            <w:rFonts w:asciiTheme="majorHAnsi" w:hAnsiTheme="majorHAnsi" w:cstheme="minorHAnsi"/>
            <w:lang w:val="en"/>
          </w:rPr>
          <w:t>www.tga.gov.au/reporting-problems</w:t>
        </w:r>
      </w:hyperlink>
      <w:r w:rsidRPr="003D30C6">
        <w:rPr>
          <w:rFonts w:asciiTheme="majorHAnsi" w:hAnsiTheme="majorHAnsi" w:cstheme="minorHAnsi"/>
          <w:lang w:val="en"/>
        </w:rPr>
        <w:t xml:space="preserve"> </w:t>
      </w:r>
      <w:r w:rsidR="008C04B4" w:rsidRPr="003D30C6">
        <w:rPr>
          <w:rFonts w:asciiTheme="majorHAnsi" w:hAnsiTheme="majorHAnsi" w:cstheme="minorHAnsi"/>
          <w:lang w:val="en"/>
        </w:rPr>
        <w:t>and</w:t>
      </w:r>
      <w:r w:rsidRPr="003D30C6">
        <w:rPr>
          <w:rFonts w:asciiTheme="majorHAnsi" w:hAnsiTheme="majorHAnsi" w:cstheme="minorHAnsi"/>
          <w:lang w:val="en"/>
        </w:rPr>
        <w:t xml:space="preserve"> </w:t>
      </w:r>
      <w:hyperlink r:id="rId13" w:history="1">
        <w:r w:rsidR="00D0682A" w:rsidRPr="003D30C6">
          <w:rPr>
            <w:rStyle w:val="Hyperlink"/>
            <w:rFonts w:asciiTheme="majorHAnsi" w:hAnsiTheme="majorHAnsi" w:cstheme="minorHAnsi"/>
            <w:lang w:val="en"/>
          </w:rPr>
          <w:t>drugsafety-STA@stbiopharma.com</w:t>
        </w:r>
      </w:hyperlink>
      <w:r w:rsidR="00D0682A" w:rsidRPr="003D30C6">
        <w:rPr>
          <w:rFonts w:asciiTheme="majorHAnsi" w:hAnsiTheme="majorHAnsi" w:cstheme="minorHAnsi"/>
          <w:lang w:val="en"/>
        </w:rPr>
        <w:t xml:space="preserve">. </w:t>
      </w:r>
    </w:p>
    <w:p w14:paraId="72CDD12E" w14:textId="15572859" w:rsidR="005A253F" w:rsidRPr="003D30C6" w:rsidRDefault="005A253F" w:rsidP="005A253F">
      <w:pPr>
        <w:keepNext/>
        <w:autoSpaceDE w:val="0"/>
        <w:autoSpaceDN w:val="0"/>
        <w:adjustRightInd w:val="0"/>
        <w:spacing w:line="240" w:lineRule="auto"/>
        <w:jc w:val="both"/>
        <w:rPr>
          <w:rFonts w:asciiTheme="majorHAnsi" w:hAnsiTheme="majorHAnsi"/>
          <w:b/>
          <w:bCs/>
        </w:rPr>
      </w:pPr>
      <w:r w:rsidRPr="003D30C6">
        <w:rPr>
          <w:rFonts w:asciiTheme="majorHAnsi" w:hAnsiTheme="majorHAnsi"/>
          <w:b/>
          <w:bCs/>
        </w:rPr>
        <w:t>Summary of the safety profile</w:t>
      </w:r>
    </w:p>
    <w:p w14:paraId="5CDED788" w14:textId="5EFD107C" w:rsidR="005A253F" w:rsidRPr="003D30C6" w:rsidRDefault="005A253F" w:rsidP="005A253F">
      <w:pPr>
        <w:spacing w:line="240" w:lineRule="auto"/>
        <w:rPr>
          <w:rFonts w:asciiTheme="majorHAnsi" w:hAnsiTheme="majorHAnsi"/>
        </w:rPr>
      </w:pPr>
      <w:r w:rsidRPr="003D30C6">
        <w:rPr>
          <w:rFonts w:asciiTheme="majorHAnsi" w:hAnsiTheme="majorHAnsi"/>
        </w:rPr>
        <w:t xml:space="preserve">The most common adverse reactions </w:t>
      </w:r>
      <w:proofErr w:type="gramStart"/>
      <w:r w:rsidRPr="003D30C6">
        <w:rPr>
          <w:rFonts w:asciiTheme="majorHAnsi" w:hAnsiTheme="majorHAnsi"/>
        </w:rPr>
        <w:t>are:</w:t>
      </w:r>
      <w:proofErr w:type="gramEnd"/>
      <w:r w:rsidRPr="003D30C6">
        <w:rPr>
          <w:rFonts w:asciiTheme="majorHAnsi" w:hAnsiTheme="majorHAnsi"/>
        </w:rPr>
        <w:t xml:space="preserve"> infections (73%), neutropenia (51%), asthenia (</w:t>
      </w:r>
      <w:r w:rsidR="007E3876" w:rsidRPr="00486BA8">
        <w:rPr>
          <w:rFonts w:asciiTheme="majorHAnsi" w:hAnsiTheme="majorHAnsi"/>
        </w:rPr>
        <w:t>40</w:t>
      </w:r>
      <w:r w:rsidRPr="00486BA8">
        <w:rPr>
          <w:rFonts w:asciiTheme="majorHAnsi" w:hAnsiTheme="majorHAnsi"/>
        </w:rPr>
        <w:t>%), anaemia (36%), diarrhoea (36%), thrombocytopenia (31%), cough (26%), oedema peripheral (24%), pyrexia (24%), decreased appetite (22%).</w:t>
      </w:r>
    </w:p>
    <w:p w14:paraId="6BFF6621" w14:textId="77777777" w:rsidR="005A253F" w:rsidRPr="003D30C6" w:rsidRDefault="005A253F" w:rsidP="005A253F">
      <w:pPr>
        <w:spacing w:line="240" w:lineRule="auto"/>
        <w:rPr>
          <w:rFonts w:asciiTheme="majorHAnsi" w:hAnsiTheme="majorHAnsi"/>
        </w:rPr>
      </w:pPr>
      <w:r w:rsidRPr="003D30C6">
        <w:rPr>
          <w:rFonts w:asciiTheme="majorHAnsi" w:hAnsiTheme="majorHAnsi"/>
        </w:rPr>
        <w:t>The most common serious adverse reactions were infection (26%) including pneumonia (7%), and febrile neutropenia (6%).</w:t>
      </w:r>
    </w:p>
    <w:p w14:paraId="3FFDE524" w14:textId="77777777" w:rsidR="005A253F" w:rsidRPr="003D30C6" w:rsidRDefault="005A253F" w:rsidP="005A253F">
      <w:pPr>
        <w:spacing w:line="240" w:lineRule="auto"/>
        <w:rPr>
          <w:rFonts w:asciiTheme="majorHAnsi" w:hAnsiTheme="majorHAnsi"/>
        </w:rPr>
      </w:pPr>
      <w:r w:rsidRPr="003D30C6">
        <w:rPr>
          <w:rFonts w:asciiTheme="majorHAnsi" w:hAnsiTheme="majorHAnsi"/>
        </w:rPr>
        <w:t xml:space="preserve">Permanent discontinuation of tafasitamab due to an adverse reaction occurred in 15% of patients. The most common adverse reactions leading to permanent discontinuation of tafasitamab were infections and infestations (5%), nervous system disorders (2.5%), and respiratory, </w:t>
      </w:r>
      <w:proofErr w:type="gramStart"/>
      <w:r w:rsidRPr="003D30C6">
        <w:rPr>
          <w:rFonts w:asciiTheme="majorHAnsi" w:hAnsiTheme="majorHAnsi"/>
        </w:rPr>
        <w:t>thoracic</w:t>
      </w:r>
      <w:proofErr w:type="gramEnd"/>
      <w:r w:rsidRPr="003D30C6">
        <w:rPr>
          <w:rFonts w:asciiTheme="majorHAnsi" w:hAnsiTheme="majorHAnsi"/>
        </w:rPr>
        <w:t xml:space="preserve"> and mediastinal disorders (2.5%).</w:t>
      </w:r>
    </w:p>
    <w:p w14:paraId="0A4C7850" w14:textId="77777777" w:rsidR="005A253F" w:rsidRPr="003D30C6" w:rsidRDefault="005A253F" w:rsidP="005A253F">
      <w:pPr>
        <w:spacing w:line="240" w:lineRule="auto"/>
        <w:rPr>
          <w:rFonts w:asciiTheme="majorHAnsi" w:hAnsiTheme="majorHAnsi"/>
        </w:rPr>
      </w:pPr>
      <w:r w:rsidRPr="003D30C6">
        <w:rPr>
          <w:rFonts w:asciiTheme="majorHAnsi" w:hAnsiTheme="majorHAnsi"/>
        </w:rPr>
        <w:t xml:space="preserve">The frequency of dose modification or interruption due to adverse reactions was 65%. The most common adverse reactions leading to tafasitamab treatment interruption were blood and lymphatic system disorders (41%). </w:t>
      </w:r>
    </w:p>
    <w:p w14:paraId="309C3F24" w14:textId="77777777" w:rsidR="005A253F" w:rsidRPr="00486BA8" w:rsidRDefault="005A253F" w:rsidP="005A253F">
      <w:pPr>
        <w:spacing w:line="240" w:lineRule="auto"/>
        <w:rPr>
          <w:rFonts w:asciiTheme="majorHAnsi" w:hAnsiTheme="majorHAnsi"/>
          <w:b/>
          <w:bCs/>
        </w:rPr>
      </w:pPr>
      <w:r w:rsidRPr="00486BA8">
        <w:rPr>
          <w:rFonts w:asciiTheme="majorHAnsi" w:hAnsiTheme="majorHAnsi"/>
          <w:b/>
          <w:bCs/>
        </w:rPr>
        <w:t>Tabulated list of adverse reactions</w:t>
      </w:r>
    </w:p>
    <w:p w14:paraId="752F19E6" w14:textId="77777777" w:rsidR="005A253F" w:rsidRPr="003D30C6" w:rsidRDefault="005A253F" w:rsidP="005A253F">
      <w:pPr>
        <w:spacing w:line="240" w:lineRule="auto"/>
        <w:rPr>
          <w:rFonts w:asciiTheme="majorHAnsi" w:hAnsiTheme="majorHAnsi"/>
        </w:rPr>
      </w:pPr>
      <w:r w:rsidRPr="00EF3360">
        <w:rPr>
          <w:rFonts w:asciiTheme="majorHAnsi" w:hAnsiTheme="majorHAnsi"/>
        </w:rPr>
        <w:t xml:space="preserve">Adverse reactions reported in clinical trials are listed by MedDRA System Organ Class and by frequency. The frequencies of adverse reactions </w:t>
      </w:r>
      <w:proofErr w:type="gramStart"/>
      <w:r w:rsidRPr="00EF3360">
        <w:rPr>
          <w:rFonts w:asciiTheme="majorHAnsi" w:hAnsiTheme="majorHAnsi"/>
        </w:rPr>
        <w:t>is</w:t>
      </w:r>
      <w:proofErr w:type="gramEnd"/>
      <w:r w:rsidRPr="00EF3360">
        <w:rPr>
          <w:rFonts w:asciiTheme="majorHAnsi" w:hAnsiTheme="majorHAnsi"/>
        </w:rPr>
        <w:t xml:space="preserve"> based on the pivotal phase 2 trial MOR208C203 (L</w:t>
      </w:r>
      <w:r w:rsidRPr="00EF3360">
        <w:rPr>
          <w:rFonts w:asciiTheme="majorHAnsi" w:hAnsiTheme="majorHAnsi"/>
        </w:rPr>
        <w:noBreakHyphen/>
        <w:t xml:space="preserve">MIND) with 81 patients. Patients were exposed to tafasitamab for a median of 7.7 months. </w:t>
      </w:r>
      <w:r w:rsidRPr="003D30C6">
        <w:rPr>
          <w:rFonts w:asciiTheme="majorHAnsi" w:hAnsiTheme="majorHAnsi"/>
        </w:rPr>
        <w:t xml:space="preserve">The adverse reaction frequencies from clinical trials are based on all-cause adverse event frequencies, where a proportion of the events for an adverse reaction may have other causes than the medicinal product, such as the disease, other </w:t>
      </w:r>
      <w:proofErr w:type="gramStart"/>
      <w:r w:rsidRPr="003D30C6">
        <w:rPr>
          <w:rFonts w:asciiTheme="majorHAnsi" w:hAnsiTheme="majorHAnsi"/>
        </w:rPr>
        <w:t>medicines</w:t>
      </w:r>
      <w:proofErr w:type="gramEnd"/>
      <w:r w:rsidRPr="003D30C6">
        <w:rPr>
          <w:rFonts w:asciiTheme="majorHAnsi" w:hAnsiTheme="majorHAnsi"/>
        </w:rPr>
        <w:t xml:space="preserve"> or unrelated causes.</w:t>
      </w:r>
    </w:p>
    <w:p w14:paraId="2B0173E2" w14:textId="77777777" w:rsidR="005A253F" w:rsidRPr="00EF3360" w:rsidRDefault="005A253F" w:rsidP="005A253F">
      <w:pPr>
        <w:spacing w:line="240" w:lineRule="auto"/>
        <w:rPr>
          <w:rFonts w:asciiTheme="majorHAnsi" w:hAnsiTheme="majorHAnsi"/>
        </w:rPr>
      </w:pPr>
      <w:r w:rsidRPr="00486BA8">
        <w:rPr>
          <w:rFonts w:asciiTheme="majorHAnsi" w:hAnsiTheme="majorHAnsi"/>
        </w:rPr>
        <w:t>Frequencies are defined as follows: very common (≥ 1/10); common (≥ 1/100 to &lt; 1/10); uncommon (≥ 1/1,000 to &lt; 1/100); rare (≥ 1/10,000 to &lt; 1/1,000); very rare (&lt; 1/10,000); and not known (cannot be estimated from the available data). Within each frequency grouping</w:t>
      </w:r>
      <w:r w:rsidRPr="00EF3360">
        <w:rPr>
          <w:rFonts w:asciiTheme="majorHAnsi" w:hAnsiTheme="majorHAnsi"/>
        </w:rPr>
        <w:t>, adverse reactions are presented in order of decreasing seriousness.</w:t>
      </w:r>
    </w:p>
    <w:p w14:paraId="0A66D75E" w14:textId="77777777" w:rsidR="005A253F" w:rsidRPr="00486BA8" w:rsidRDefault="005A253F" w:rsidP="003F5A45">
      <w:pPr>
        <w:pStyle w:val="Caption"/>
        <w:spacing w:before="0" w:after="120"/>
        <w:ind w:left="902" w:hanging="902"/>
        <w:rPr>
          <w:rFonts w:asciiTheme="majorHAnsi" w:hAnsiTheme="majorHAnsi" w:cs="Times New Roman"/>
          <w:sz w:val="22"/>
          <w:szCs w:val="22"/>
          <w:lang w:val="en-GB"/>
        </w:rPr>
      </w:pPr>
      <w:r w:rsidRPr="00EF3360">
        <w:rPr>
          <w:rFonts w:asciiTheme="majorHAnsi" w:hAnsiTheme="majorHAnsi" w:cs="Times New Roman"/>
          <w:sz w:val="22"/>
          <w:szCs w:val="22"/>
          <w:lang w:val="en-GB"/>
        </w:rPr>
        <w:lastRenderedPageBreak/>
        <w:t>Table 2:</w:t>
      </w:r>
      <w:r w:rsidRPr="00EF3360">
        <w:rPr>
          <w:rFonts w:asciiTheme="majorHAnsi" w:hAnsiTheme="majorHAnsi" w:cs="Times New Roman"/>
          <w:sz w:val="22"/>
          <w:szCs w:val="22"/>
          <w:lang w:val="en-GB"/>
        </w:rPr>
        <w:tab/>
        <w:t>Adverse reactions in patients with relapsed or refractory DLBCL who received tafasitamab in the clinical trial MOR208C203 (L</w:t>
      </w:r>
      <w:r w:rsidRPr="00EF3360">
        <w:rPr>
          <w:rFonts w:asciiTheme="majorHAnsi" w:hAnsiTheme="majorHAnsi" w:cs="Times New Roman"/>
          <w:sz w:val="22"/>
          <w:szCs w:val="22"/>
          <w:lang w:val="en-GB"/>
        </w:rPr>
        <w:noBreakHyphen/>
        <w:t xml:space="preserve">MIND) </w:t>
      </w:r>
    </w:p>
    <w:tbl>
      <w:tblPr>
        <w:tblStyle w:val="TableGrid"/>
        <w:tblW w:w="5000" w:type="pct"/>
        <w:tblLook w:val="04A0" w:firstRow="1" w:lastRow="0" w:firstColumn="1" w:lastColumn="0" w:noHBand="0" w:noVBand="1"/>
      </w:tblPr>
      <w:tblGrid>
        <w:gridCol w:w="2716"/>
        <w:gridCol w:w="1861"/>
        <w:gridCol w:w="4439"/>
      </w:tblGrid>
      <w:tr w:rsidR="005A253F" w:rsidRPr="003D30C6" w14:paraId="0A37174D" w14:textId="77777777" w:rsidTr="7FF9CE2E">
        <w:tc>
          <w:tcPr>
            <w:tcW w:w="1506" w:type="pct"/>
          </w:tcPr>
          <w:p w14:paraId="2660F21D" w14:textId="77777777" w:rsidR="005A253F" w:rsidRPr="003D30C6" w:rsidRDefault="005A253F" w:rsidP="00C85C9F">
            <w:pPr>
              <w:keepNext/>
              <w:keepLines/>
              <w:autoSpaceDE w:val="0"/>
              <w:autoSpaceDN w:val="0"/>
              <w:adjustRightInd w:val="0"/>
              <w:jc w:val="both"/>
              <w:rPr>
                <w:rFonts w:asciiTheme="majorHAnsi" w:hAnsiTheme="majorHAnsi"/>
                <w:b/>
                <w:bCs/>
              </w:rPr>
            </w:pPr>
            <w:r w:rsidRPr="003D30C6">
              <w:rPr>
                <w:rFonts w:asciiTheme="majorHAnsi" w:hAnsiTheme="majorHAnsi"/>
                <w:b/>
                <w:bCs/>
              </w:rPr>
              <w:t>System organ class</w:t>
            </w:r>
          </w:p>
        </w:tc>
        <w:tc>
          <w:tcPr>
            <w:tcW w:w="1032" w:type="pct"/>
          </w:tcPr>
          <w:p w14:paraId="70350884" w14:textId="77777777" w:rsidR="005A253F" w:rsidRPr="00486BA8" w:rsidRDefault="005A253F" w:rsidP="00C85C9F">
            <w:pPr>
              <w:keepNext/>
              <w:keepLines/>
              <w:autoSpaceDE w:val="0"/>
              <w:autoSpaceDN w:val="0"/>
              <w:adjustRightInd w:val="0"/>
              <w:jc w:val="both"/>
              <w:rPr>
                <w:rFonts w:asciiTheme="majorHAnsi" w:hAnsiTheme="majorHAnsi"/>
                <w:b/>
                <w:bCs/>
              </w:rPr>
            </w:pPr>
            <w:r w:rsidRPr="00486BA8">
              <w:rPr>
                <w:rFonts w:asciiTheme="majorHAnsi" w:hAnsiTheme="majorHAnsi"/>
                <w:b/>
                <w:bCs/>
              </w:rPr>
              <w:t>Frequency</w:t>
            </w:r>
          </w:p>
        </w:tc>
        <w:tc>
          <w:tcPr>
            <w:tcW w:w="2462" w:type="pct"/>
          </w:tcPr>
          <w:p w14:paraId="3D94A2D2" w14:textId="77777777" w:rsidR="005A253F" w:rsidRPr="00265E9F" w:rsidRDefault="005A253F" w:rsidP="00C85C9F">
            <w:pPr>
              <w:keepNext/>
              <w:keepLines/>
              <w:autoSpaceDE w:val="0"/>
              <w:autoSpaceDN w:val="0"/>
              <w:adjustRightInd w:val="0"/>
              <w:ind w:left="106" w:hanging="106"/>
              <w:jc w:val="both"/>
              <w:rPr>
                <w:rFonts w:asciiTheme="majorHAnsi" w:hAnsiTheme="majorHAnsi"/>
                <w:b/>
                <w:bCs/>
              </w:rPr>
            </w:pPr>
            <w:r w:rsidRPr="003A56B6">
              <w:rPr>
                <w:rFonts w:asciiTheme="majorHAnsi" w:hAnsiTheme="majorHAnsi"/>
                <w:b/>
                <w:bCs/>
              </w:rPr>
              <w:t>Adverse reactio</w:t>
            </w:r>
            <w:r w:rsidRPr="00265E9F">
              <w:rPr>
                <w:rFonts w:asciiTheme="majorHAnsi" w:hAnsiTheme="majorHAnsi"/>
                <w:b/>
                <w:bCs/>
              </w:rPr>
              <w:t>ns</w:t>
            </w:r>
          </w:p>
        </w:tc>
      </w:tr>
      <w:tr w:rsidR="005A253F" w:rsidRPr="003D30C6" w14:paraId="24199BEE" w14:textId="77777777" w:rsidTr="7FF9CE2E">
        <w:trPr>
          <w:trHeight w:val="962"/>
        </w:trPr>
        <w:tc>
          <w:tcPr>
            <w:tcW w:w="1506" w:type="pct"/>
            <w:vMerge w:val="restart"/>
          </w:tcPr>
          <w:p w14:paraId="7E85A39C"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Infections and infestations</w:t>
            </w:r>
          </w:p>
        </w:tc>
        <w:tc>
          <w:tcPr>
            <w:tcW w:w="1032" w:type="pct"/>
          </w:tcPr>
          <w:p w14:paraId="67E2922D"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Very common</w:t>
            </w:r>
          </w:p>
        </w:tc>
        <w:tc>
          <w:tcPr>
            <w:tcW w:w="2462" w:type="pct"/>
          </w:tcPr>
          <w:p w14:paraId="7A0EC7F3" w14:textId="77777777" w:rsidR="005A253F" w:rsidRPr="003D30C6" w:rsidRDefault="005A253F" w:rsidP="00C85C9F">
            <w:pPr>
              <w:pStyle w:val="ListParagraph"/>
              <w:keepNext/>
              <w:keepLines/>
              <w:autoSpaceDE w:val="0"/>
              <w:autoSpaceDN w:val="0"/>
              <w:adjustRightInd w:val="0"/>
              <w:ind w:left="34"/>
              <w:rPr>
                <w:rFonts w:asciiTheme="majorHAnsi" w:eastAsia="SimSun" w:hAnsiTheme="majorHAnsi"/>
                <w:lang w:val="en-GB" w:eastAsia="en-GB"/>
              </w:rPr>
            </w:pPr>
            <w:r w:rsidRPr="003D30C6">
              <w:rPr>
                <w:rFonts w:asciiTheme="majorHAnsi" w:eastAsia="SimSun" w:hAnsiTheme="majorHAnsi"/>
                <w:lang w:val="en-GB" w:eastAsia="en-GB"/>
              </w:rPr>
              <w:t>Bacterial, viral and fungal infections</w:t>
            </w:r>
            <w:r w:rsidRPr="003D30C6">
              <w:rPr>
                <w:rFonts w:asciiTheme="majorHAnsi" w:eastAsia="SimSun" w:hAnsiTheme="majorHAnsi"/>
                <w:b/>
                <w:vertAlign w:val="superscript"/>
                <w:lang w:val="en-GB" w:eastAsia="en-GB"/>
              </w:rPr>
              <w:t>+</w:t>
            </w:r>
            <w:r w:rsidRPr="003D30C6">
              <w:rPr>
                <w:rFonts w:asciiTheme="majorHAnsi" w:eastAsia="SimSun" w:hAnsiTheme="majorHAnsi"/>
                <w:lang w:val="en-GB" w:eastAsia="en-GB"/>
              </w:rPr>
              <w:t>, including opportunistic infections</w:t>
            </w:r>
            <w:r w:rsidRPr="003D30C6">
              <w:rPr>
                <w:rFonts w:asciiTheme="majorHAnsi" w:hAnsiTheme="majorHAnsi"/>
                <w:lang w:val="en-GB"/>
              </w:rPr>
              <w:t xml:space="preserve"> with fatal outcomes</w:t>
            </w:r>
            <w:r w:rsidRPr="003D30C6">
              <w:rPr>
                <w:rFonts w:asciiTheme="majorHAnsi" w:eastAsia="SimSun" w:hAnsiTheme="majorHAnsi"/>
                <w:lang w:val="en-GB" w:eastAsia="en-GB"/>
              </w:rPr>
              <w:t xml:space="preserve"> (e.g. </w:t>
            </w:r>
            <w:r w:rsidRPr="003D30C6">
              <w:rPr>
                <w:rFonts w:asciiTheme="majorHAnsi" w:hAnsiTheme="majorHAnsi"/>
                <w:lang w:val="en-GB"/>
              </w:rPr>
              <w:t>bronchopulmonary aspergillosis, bronchitis, pneumonia and urinary tract infection)</w:t>
            </w:r>
          </w:p>
        </w:tc>
      </w:tr>
      <w:tr w:rsidR="005A253F" w:rsidRPr="003D30C6" w14:paraId="188FB4B2" w14:textId="77777777" w:rsidTr="7FF9CE2E">
        <w:tc>
          <w:tcPr>
            <w:tcW w:w="1506" w:type="pct"/>
            <w:vMerge/>
          </w:tcPr>
          <w:p w14:paraId="057FCD9C" w14:textId="77777777" w:rsidR="005A253F" w:rsidRPr="003D30C6" w:rsidRDefault="005A253F" w:rsidP="00C85C9F">
            <w:pPr>
              <w:keepNext/>
              <w:keepLines/>
              <w:autoSpaceDE w:val="0"/>
              <w:autoSpaceDN w:val="0"/>
              <w:adjustRightInd w:val="0"/>
              <w:rPr>
                <w:rFonts w:asciiTheme="majorHAnsi" w:hAnsiTheme="majorHAnsi"/>
              </w:rPr>
            </w:pPr>
          </w:p>
        </w:tc>
        <w:tc>
          <w:tcPr>
            <w:tcW w:w="1032" w:type="pct"/>
          </w:tcPr>
          <w:p w14:paraId="12FF8C7A"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70BCDDA3" w14:textId="77777777" w:rsidR="005A253F" w:rsidRPr="003D30C6" w:rsidRDefault="005A253F" w:rsidP="00C85C9F">
            <w:pPr>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Sepsis (including neutropenic sepsis)</w:t>
            </w:r>
          </w:p>
        </w:tc>
      </w:tr>
      <w:tr w:rsidR="005A253F" w:rsidRPr="003D30C6" w14:paraId="7279EF91" w14:textId="77777777" w:rsidTr="7FF9CE2E">
        <w:tc>
          <w:tcPr>
            <w:tcW w:w="1506" w:type="pct"/>
          </w:tcPr>
          <w:p w14:paraId="5C13DB84"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eastAsia="SimSun" w:hAnsiTheme="majorHAnsi"/>
                <w:lang w:eastAsia="en-GB"/>
              </w:rPr>
              <w:t>Neoplasms benign, malignant and unspecified (incl. cysts and polyps)</w:t>
            </w:r>
          </w:p>
        </w:tc>
        <w:tc>
          <w:tcPr>
            <w:tcW w:w="1032" w:type="pct"/>
          </w:tcPr>
          <w:p w14:paraId="00D94268"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29D52F07" w14:textId="77777777" w:rsidR="005A253F" w:rsidRPr="003D30C6" w:rsidRDefault="005A253F" w:rsidP="00C85C9F">
            <w:pPr>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Basal cell carcinoma</w:t>
            </w:r>
          </w:p>
        </w:tc>
      </w:tr>
      <w:tr w:rsidR="005A253F" w:rsidRPr="003D30C6" w14:paraId="31DCD654" w14:textId="77777777" w:rsidTr="7FF9CE2E">
        <w:tc>
          <w:tcPr>
            <w:tcW w:w="1506" w:type="pct"/>
            <w:vMerge w:val="restart"/>
          </w:tcPr>
          <w:p w14:paraId="4AE872B7"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Blood and lymphatic system disorders</w:t>
            </w:r>
          </w:p>
        </w:tc>
        <w:tc>
          <w:tcPr>
            <w:tcW w:w="1032" w:type="pct"/>
          </w:tcPr>
          <w:p w14:paraId="5285C167"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Very common</w:t>
            </w:r>
          </w:p>
        </w:tc>
        <w:tc>
          <w:tcPr>
            <w:tcW w:w="2462" w:type="pct"/>
          </w:tcPr>
          <w:p w14:paraId="70596DF9" w14:textId="77777777" w:rsidR="005A253F" w:rsidRPr="003D30C6" w:rsidRDefault="005A253F" w:rsidP="00C85C9F">
            <w:pPr>
              <w:pStyle w:val="ListParagraph"/>
              <w:ind w:left="34"/>
              <w:rPr>
                <w:rFonts w:asciiTheme="majorHAnsi" w:eastAsia="SimSun" w:hAnsiTheme="majorHAnsi"/>
                <w:lang w:val="it-IT" w:eastAsia="en-GB"/>
              </w:rPr>
            </w:pPr>
            <w:r w:rsidRPr="003D30C6">
              <w:rPr>
                <w:rFonts w:asciiTheme="majorHAnsi" w:hAnsiTheme="majorHAnsi"/>
                <w:lang w:val="it-IT"/>
              </w:rPr>
              <w:t>Febrile</w:t>
            </w:r>
            <w:r w:rsidRPr="003D30C6">
              <w:rPr>
                <w:rFonts w:asciiTheme="majorHAnsi" w:eastAsia="SimSun" w:hAnsiTheme="majorHAnsi"/>
                <w:lang w:val="it-IT" w:eastAsia="en-GB"/>
              </w:rPr>
              <w:t xml:space="preserve"> </w:t>
            </w:r>
            <w:r w:rsidRPr="003D30C6">
              <w:rPr>
                <w:rFonts w:asciiTheme="majorHAnsi" w:hAnsiTheme="majorHAnsi"/>
                <w:lang w:val="it-IT"/>
              </w:rPr>
              <w:t>neutropenia</w:t>
            </w:r>
            <w:r w:rsidRPr="003D30C6">
              <w:rPr>
                <w:rFonts w:asciiTheme="majorHAnsi" w:eastAsia="SimSun" w:hAnsiTheme="majorHAnsi"/>
                <w:b/>
                <w:vertAlign w:val="superscript"/>
                <w:lang w:val="it-IT" w:eastAsia="en-GB"/>
              </w:rPr>
              <w:t>+</w:t>
            </w:r>
            <w:r w:rsidRPr="003D30C6">
              <w:rPr>
                <w:rFonts w:asciiTheme="majorHAnsi" w:hAnsiTheme="majorHAnsi"/>
                <w:lang w:val="it-IT"/>
              </w:rPr>
              <w:t>, neutropenia</w:t>
            </w:r>
            <w:r w:rsidRPr="003D30C6">
              <w:rPr>
                <w:rFonts w:asciiTheme="majorHAnsi" w:eastAsia="SimSun" w:hAnsiTheme="majorHAnsi"/>
                <w:b/>
                <w:bCs/>
                <w:vertAlign w:val="superscript"/>
                <w:lang w:val="it-IT" w:eastAsia="en-GB"/>
              </w:rPr>
              <w:t>+</w:t>
            </w:r>
            <w:r w:rsidRPr="003D30C6">
              <w:rPr>
                <w:rFonts w:asciiTheme="majorHAnsi" w:eastAsia="SimSun" w:hAnsiTheme="majorHAnsi"/>
                <w:lang w:val="it-IT" w:eastAsia="en-GB"/>
              </w:rPr>
              <w:t xml:space="preserve">, </w:t>
            </w:r>
            <w:r w:rsidRPr="003D30C6">
              <w:rPr>
                <w:rFonts w:asciiTheme="majorHAnsi" w:hAnsiTheme="majorHAnsi"/>
                <w:lang w:val="it-IT"/>
              </w:rPr>
              <w:t>thrombocytopenia</w:t>
            </w:r>
            <w:r w:rsidRPr="003D30C6">
              <w:rPr>
                <w:rFonts w:asciiTheme="majorHAnsi" w:eastAsia="SimSun" w:hAnsiTheme="majorHAnsi"/>
                <w:b/>
                <w:vertAlign w:val="superscript"/>
                <w:lang w:val="it-IT" w:eastAsia="en-GB"/>
              </w:rPr>
              <w:t>+</w:t>
            </w:r>
            <w:r w:rsidRPr="003D30C6">
              <w:rPr>
                <w:rFonts w:asciiTheme="majorHAnsi" w:eastAsia="SimSun" w:hAnsiTheme="majorHAnsi"/>
                <w:lang w:val="it-IT" w:eastAsia="en-GB"/>
              </w:rPr>
              <w:t xml:space="preserve">, </w:t>
            </w:r>
            <w:r w:rsidRPr="003D30C6">
              <w:rPr>
                <w:rFonts w:asciiTheme="majorHAnsi" w:hAnsiTheme="majorHAnsi"/>
                <w:lang w:val="it-IT"/>
              </w:rPr>
              <w:t>anaemia</w:t>
            </w:r>
            <w:r w:rsidRPr="003D30C6">
              <w:rPr>
                <w:rFonts w:asciiTheme="majorHAnsi" w:eastAsia="SimSun" w:hAnsiTheme="majorHAnsi"/>
                <w:lang w:val="it-IT" w:eastAsia="en-GB"/>
              </w:rPr>
              <w:t xml:space="preserve">, </w:t>
            </w:r>
            <w:r w:rsidRPr="003D30C6">
              <w:rPr>
                <w:rFonts w:asciiTheme="majorHAnsi" w:hAnsiTheme="majorHAnsi"/>
                <w:lang w:val="it-IT"/>
              </w:rPr>
              <w:t>leukopenia</w:t>
            </w:r>
            <w:r w:rsidRPr="003D30C6">
              <w:rPr>
                <w:rFonts w:asciiTheme="majorHAnsi" w:eastAsia="SimSun" w:hAnsiTheme="majorHAnsi"/>
                <w:b/>
                <w:bCs/>
                <w:vertAlign w:val="superscript"/>
                <w:lang w:val="it-IT" w:eastAsia="en-GB"/>
              </w:rPr>
              <w:t>+</w:t>
            </w:r>
          </w:p>
        </w:tc>
      </w:tr>
      <w:tr w:rsidR="005A253F" w:rsidRPr="003D30C6" w14:paraId="6E856153" w14:textId="77777777" w:rsidTr="7FF9CE2E">
        <w:tc>
          <w:tcPr>
            <w:tcW w:w="1506" w:type="pct"/>
            <w:vMerge/>
          </w:tcPr>
          <w:p w14:paraId="00172B83" w14:textId="77777777" w:rsidR="005A253F" w:rsidRPr="003D30C6" w:rsidRDefault="005A253F" w:rsidP="00C85C9F">
            <w:pPr>
              <w:keepNext/>
              <w:keepLines/>
              <w:autoSpaceDE w:val="0"/>
              <w:autoSpaceDN w:val="0"/>
              <w:adjustRightInd w:val="0"/>
              <w:rPr>
                <w:rFonts w:asciiTheme="majorHAnsi" w:hAnsiTheme="majorHAnsi"/>
                <w:lang w:val="it-IT"/>
              </w:rPr>
            </w:pPr>
          </w:p>
        </w:tc>
        <w:tc>
          <w:tcPr>
            <w:tcW w:w="1032" w:type="pct"/>
          </w:tcPr>
          <w:p w14:paraId="13ECEFA6"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03B2697C" w14:textId="77777777" w:rsidR="005A253F" w:rsidRPr="003D30C6" w:rsidRDefault="005A253F" w:rsidP="00C85C9F">
            <w:pPr>
              <w:keepNext/>
              <w:keepLines/>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Lymphopenia</w:t>
            </w:r>
          </w:p>
        </w:tc>
      </w:tr>
      <w:tr w:rsidR="005A253F" w:rsidRPr="003D30C6" w14:paraId="6A078735" w14:textId="77777777" w:rsidTr="7FF9CE2E">
        <w:tc>
          <w:tcPr>
            <w:tcW w:w="1506" w:type="pct"/>
          </w:tcPr>
          <w:p w14:paraId="0DF3AC67"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Immune system disorders</w:t>
            </w:r>
          </w:p>
        </w:tc>
        <w:tc>
          <w:tcPr>
            <w:tcW w:w="1032" w:type="pct"/>
          </w:tcPr>
          <w:p w14:paraId="5829A76F"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51093A1F" w14:textId="77777777" w:rsidR="005A253F" w:rsidRPr="003D30C6" w:rsidRDefault="005A253F" w:rsidP="00C85C9F">
            <w:pPr>
              <w:keepNext/>
              <w:keepLines/>
              <w:autoSpaceDE w:val="0"/>
              <w:autoSpaceDN w:val="0"/>
              <w:adjustRightInd w:val="0"/>
              <w:ind w:left="34"/>
              <w:rPr>
                <w:rFonts w:asciiTheme="majorHAnsi" w:eastAsia="SimSun" w:hAnsiTheme="majorHAnsi"/>
                <w:lang w:eastAsia="en-GB"/>
              </w:rPr>
            </w:pPr>
            <w:proofErr w:type="spellStart"/>
            <w:r w:rsidRPr="003D30C6">
              <w:rPr>
                <w:rFonts w:asciiTheme="majorHAnsi" w:eastAsia="SimSun" w:hAnsiTheme="majorHAnsi"/>
                <w:lang w:eastAsia="en-GB"/>
              </w:rPr>
              <w:t>Hypogammaglobulinaemia</w:t>
            </w:r>
            <w:proofErr w:type="spellEnd"/>
          </w:p>
        </w:tc>
      </w:tr>
      <w:tr w:rsidR="005A253F" w:rsidRPr="003D30C6" w14:paraId="71342E37" w14:textId="77777777" w:rsidTr="7FF9CE2E">
        <w:tc>
          <w:tcPr>
            <w:tcW w:w="1506" w:type="pct"/>
            <w:vMerge w:val="restart"/>
          </w:tcPr>
          <w:p w14:paraId="3DDAF530"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Metabolism and nutrition disorders</w:t>
            </w:r>
          </w:p>
        </w:tc>
        <w:tc>
          <w:tcPr>
            <w:tcW w:w="1032" w:type="pct"/>
          </w:tcPr>
          <w:p w14:paraId="13FD12B9"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Very common</w:t>
            </w:r>
          </w:p>
        </w:tc>
        <w:tc>
          <w:tcPr>
            <w:tcW w:w="2462" w:type="pct"/>
          </w:tcPr>
          <w:p w14:paraId="6EC40657" w14:textId="77777777" w:rsidR="005A253F" w:rsidRPr="003D30C6" w:rsidRDefault="005A253F" w:rsidP="00C85C9F">
            <w:pPr>
              <w:keepNext/>
              <w:keepLines/>
              <w:autoSpaceDE w:val="0"/>
              <w:autoSpaceDN w:val="0"/>
              <w:adjustRightInd w:val="0"/>
              <w:ind w:left="34"/>
              <w:rPr>
                <w:rFonts w:asciiTheme="majorHAnsi" w:hAnsiTheme="majorHAnsi"/>
              </w:rPr>
            </w:pPr>
            <w:r w:rsidRPr="003D30C6">
              <w:rPr>
                <w:rFonts w:asciiTheme="majorHAnsi" w:eastAsia="SimSun" w:hAnsiTheme="majorHAnsi"/>
                <w:lang w:eastAsia="en-GB"/>
              </w:rPr>
              <w:t xml:space="preserve">Hypokalaemia, decreased appetite </w:t>
            </w:r>
          </w:p>
        </w:tc>
      </w:tr>
      <w:tr w:rsidR="005A253F" w:rsidRPr="003D30C6" w14:paraId="78F4126C" w14:textId="77777777" w:rsidTr="7FF9CE2E">
        <w:tc>
          <w:tcPr>
            <w:tcW w:w="1506" w:type="pct"/>
            <w:vMerge/>
          </w:tcPr>
          <w:p w14:paraId="79DDE27F" w14:textId="77777777" w:rsidR="005A253F" w:rsidRPr="003D30C6" w:rsidRDefault="005A253F" w:rsidP="00C85C9F">
            <w:pPr>
              <w:keepNext/>
              <w:keepLines/>
              <w:autoSpaceDE w:val="0"/>
              <w:autoSpaceDN w:val="0"/>
              <w:adjustRightInd w:val="0"/>
              <w:rPr>
                <w:rFonts w:asciiTheme="majorHAnsi" w:hAnsiTheme="majorHAnsi"/>
              </w:rPr>
            </w:pPr>
          </w:p>
        </w:tc>
        <w:tc>
          <w:tcPr>
            <w:tcW w:w="1032" w:type="pct"/>
          </w:tcPr>
          <w:p w14:paraId="50471F57"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538A3A86" w14:textId="77777777" w:rsidR="005A253F" w:rsidRPr="003D30C6" w:rsidRDefault="005A253F" w:rsidP="00C85C9F">
            <w:pPr>
              <w:keepNext/>
              <w:keepLines/>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 xml:space="preserve">Hypocalcaemia, hypomagnesaemia </w:t>
            </w:r>
          </w:p>
        </w:tc>
      </w:tr>
      <w:tr w:rsidR="005A253F" w:rsidRPr="003D30C6" w14:paraId="754DB95C" w14:textId="77777777" w:rsidTr="7FF9CE2E">
        <w:tc>
          <w:tcPr>
            <w:tcW w:w="1506" w:type="pct"/>
          </w:tcPr>
          <w:p w14:paraId="4673C114"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Nervous system disorders</w:t>
            </w:r>
          </w:p>
        </w:tc>
        <w:tc>
          <w:tcPr>
            <w:tcW w:w="1032" w:type="pct"/>
          </w:tcPr>
          <w:p w14:paraId="61C3023E"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1139E688" w14:textId="77777777" w:rsidR="005A253F" w:rsidRPr="003D30C6" w:rsidRDefault="005A253F" w:rsidP="00C85C9F">
            <w:pPr>
              <w:keepNext/>
              <w:keepLines/>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Headache, paraesthesia, dysgeusia</w:t>
            </w:r>
          </w:p>
        </w:tc>
      </w:tr>
      <w:tr w:rsidR="005A253F" w:rsidRPr="003D30C6" w14:paraId="3F886DD6" w14:textId="77777777" w:rsidTr="7FF9CE2E">
        <w:tc>
          <w:tcPr>
            <w:tcW w:w="1506" w:type="pct"/>
            <w:vMerge w:val="restart"/>
          </w:tcPr>
          <w:p w14:paraId="41CCE2FA"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Respiratory, thoracic and mediastinal disorders</w:t>
            </w:r>
          </w:p>
        </w:tc>
        <w:tc>
          <w:tcPr>
            <w:tcW w:w="1032" w:type="pct"/>
          </w:tcPr>
          <w:p w14:paraId="6C2C61AA"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Very common</w:t>
            </w:r>
          </w:p>
        </w:tc>
        <w:tc>
          <w:tcPr>
            <w:tcW w:w="2462" w:type="pct"/>
          </w:tcPr>
          <w:p w14:paraId="7DABB695" w14:textId="77777777" w:rsidR="005A253F" w:rsidRPr="003D30C6" w:rsidRDefault="005A253F" w:rsidP="00C85C9F">
            <w:pPr>
              <w:keepNext/>
              <w:keepLines/>
              <w:autoSpaceDE w:val="0"/>
              <w:autoSpaceDN w:val="0"/>
              <w:adjustRightInd w:val="0"/>
              <w:ind w:left="34"/>
              <w:rPr>
                <w:rFonts w:asciiTheme="majorHAnsi" w:hAnsiTheme="majorHAnsi"/>
              </w:rPr>
            </w:pPr>
            <w:r w:rsidRPr="003D30C6">
              <w:rPr>
                <w:rFonts w:asciiTheme="majorHAnsi" w:eastAsia="SimSun" w:hAnsiTheme="majorHAnsi"/>
                <w:lang w:eastAsia="en-GB"/>
              </w:rPr>
              <w:t xml:space="preserve">Dyspnoea, cough </w:t>
            </w:r>
          </w:p>
        </w:tc>
      </w:tr>
      <w:tr w:rsidR="005A253F" w:rsidRPr="003D30C6" w14:paraId="47796EE6" w14:textId="77777777" w:rsidTr="7FF9CE2E">
        <w:tc>
          <w:tcPr>
            <w:tcW w:w="1506" w:type="pct"/>
            <w:vMerge/>
          </w:tcPr>
          <w:p w14:paraId="6FEA8062" w14:textId="77777777" w:rsidR="005A253F" w:rsidRPr="003D30C6" w:rsidRDefault="005A253F" w:rsidP="00C85C9F">
            <w:pPr>
              <w:keepNext/>
              <w:keepLines/>
              <w:autoSpaceDE w:val="0"/>
              <w:autoSpaceDN w:val="0"/>
              <w:adjustRightInd w:val="0"/>
              <w:rPr>
                <w:rFonts w:asciiTheme="majorHAnsi" w:hAnsiTheme="majorHAnsi"/>
              </w:rPr>
            </w:pPr>
          </w:p>
        </w:tc>
        <w:tc>
          <w:tcPr>
            <w:tcW w:w="1032" w:type="pct"/>
          </w:tcPr>
          <w:p w14:paraId="124C210C"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0D9C7D23" w14:textId="77777777" w:rsidR="005A253F" w:rsidRPr="003D30C6" w:rsidRDefault="005A253F" w:rsidP="00C85C9F">
            <w:pPr>
              <w:keepNext/>
              <w:keepLines/>
              <w:autoSpaceDE w:val="0"/>
              <w:autoSpaceDN w:val="0"/>
              <w:adjustRightInd w:val="0"/>
              <w:ind w:left="34"/>
              <w:rPr>
                <w:rFonts w:asciiTheme="majorHAnsi" w:eastAsia="SimSun" w:hAnsiTheme="majorHAnsi"/>
                <w:strike/>
                <w:lang w:eastAsia="en-GB"/>
              </w:rPr>
            </w:pPr>
            <w:r w:rsidRPr="003D30C6">
              <w:rPr>
                <w:rFonts w:asciiTheme="majorHAnsi" w:eastAsia="SimSun" w:hAnsiTheme="majorHAnsi"/>
                <w:lang w:eastAsia="en-GB"/>
              </w:rPr>
              <w:t>Exacerbation of chronic obstructive pulmonary disease, nasal congestion</w:t>
            </w:r>
          </w:p>
        </w:tc>
      </w:tr>
      <w:tr w:rsidR="005A253F" w:rsidRPr="003D30C6" w14:paraId="33F5BAC0" w14:textId="77777777" w:rsidTr="7FF9CE2E">
        <w:trPr>
          <w:trHeight w:val="299"/>
        </w:trPr>
        <w:tc>
          <w:tcPr>
            <w:tcW w:w="1506" w:type="pct"/>
          </w:tcPr>
          <w:p w14:paraId="18A03676"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Gastrointestinal disorders</w:t>
            </w:r>
          </w:p>
        </w:tc>
        <w:tc>
          <w:tcPr>
            <w:tcW w:w="1032" w:type="pct"/>
          </w:tcPr>
          <w:p w14:paraId="55561C97"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Very common</w:t>
            </w:r>
          </w:p>
        </w:tc>
        <w:tc>
          <w:tcPr>
            <w:tcW w:w="2462" w:type="pct"/>
          </w:tcPr>
          <w:p w14:paraId="6393B0E2" w14:textId="77777777" w:rsidR="005A253F" w:rsidRPr="003D30C6" w:rsidRDefault="005A253F" w:rsidP="00C85C9F">
            <w:pPr>
              <w:keepNext/>
              <w:keepLines/>
              <w:autoSpaceDE w:val="0"/>
              <w:autoSpaceDN w:val="0"/>
              <w:adjustRightInd w:val="0"/>
              <w:ind w:left="34"/>
              <w:rPr>
                <w:rFonts w:asciiTheme="majorHAnsi" w:hAnsiTheme="majorHAnsi"/>
              </w:rPr>
            </w:pPr>
            <w:r w:rsidRPr="003D30C6">
              <w:rPr>
                <w:rFonts w:asciiTheme="majorHAnsi" w:eastAsia="SimSun" w:hAnsiTheme="majorHAnsi"/>
                <w:lang w:eastAsia="en-GB"/>
              </w:rPr>
              <w:t>Diarrhoea, constipation, vomiting, nausea, abdominal pain</w:t>
            </w:r>
          </w:p>
        </w:tc>
      </w:tr>
      <w:tr w:rsidR="005A253F" w:rsidRPr="003D30C6" w14:paraId="70C78B11" w14:textId="77777777" w:rsidTr="7FF9CE2E">
        <w:trPr>
          <w:trHeight w:val="299"/>
        </w:trPr>
        <w:tc>
          <w:tcPr>
            <w:tcW w:w="1506" w:type="pct"/>
          </w:tcPr>
          <w:p w14:paraId="750A19C2"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eastAsia="SimSun" w:hAnsiTheme="majorHAnsi"/>
                <w:lang w:eastAsia="en-GB"/>
              </w:rPr>
              <w:t>Hepatobiliary disorders</w:t>
            </w:r>
          </w:p>
        </w:tc>
        <w:tc>
          <w:tcPr>
            <w:tcW w:w="1032" w:type="pct"/>
          </w:tcPr>
          <w:p w14:paraId="1F8B28A8"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38A36E34" w14:textId="77777777" w:rsidR="005A253F" w:rsidRPr="003D30C6" w:rsidRDefault="005A253F" w:rsidP="00C85C9F">
            <w:pPr>
              <w:ind w:left="34"/>
              <w:rPr>
                <w:rFonts w:asciiTheme="majorHAnsi" w:eastAsia="SimSun" w:hAnsiTheme="majorHAnsi"/>
                <w:lang w:eastAsia="en-GB"/>
              </w:rPr>
            </w:pPr>
            <w:proofErr w:type="spellStart"/>
            <w:r w:rsidRPr="003D30C6">
              <w:rPr>
                <w:rFonts w:asciiTheme="majorHAnsi" w:eastAsia="SimSun" w:hAnsiTheme="majorHAnsi"/>
                <w:lang w:eastAsia="en-GB"/>
              </w:rPr>
              <w:t>Hyperbilirubinaemia</w:t>
            </w:r>
            <w:proofErr w:type="spellEnd"/>
            <w:r w:rsidRPr="003D30C6">
              <w:rPr>
                <w:rFonts w:asciiTheme="majorHAnsi" w:eastAsia="SimSun" w:hAnsiTheme="majorHAnsi"/>
                <w:lang w:eastAsia="en-GB"/>
              </w:rPr>
              <w:t>, transaminases increased (includes ALT and/or AST increased), Gamma-</w:t>
            </w:r>
            <w:proofErr w:type="spellStart"/>
            <w:r w:rsidRPr="003D30C6">
              <w:rPr>
                <w:rFonts w:asciiTheme="majorHAnsi" w:eastAsia="SimSun" w:hAnsiTheme="majorHAnsi"/>
                <w:lang w:eastAsia="en-GB"/>
              </w:rPr>
              <w:t>glutamyltransferase</w:t>
            </w:r>
            <w:proofErr w:type="spellEnd"/>
            <w:r w:rsidRPr="003D30C6">
              <w:rPr>
                <w:rFonts w:asciiTheme="majorHAnsi" w:eastAsia="SimSun" w:hAnsiTheme="majorHAnsi"/>
                <w:lang w:eastAsia="en-GB"/>
              </w:rPr>
              <w:t xml:space="preserve"> increased</w:t>
            </w:r>
          </w:p>
        </w:tc>
      </w:tr>
      <w:tr w:rsidR="005A253F" w:rsidRPr="003D30C6" w14:paraId="44617423" w14:textId="77777777" w:rsidTr="7FF9CE2E">
        <w:tc>
          <w:tcPr>
            <w:tcW w:w="1506" w:type="pct"/>
            <w:vMerge w:val="restart"/>
          </w:tcPr>
          <w:p w14:paraId="322F04A3"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Skin and subcutaneous tissue disorders</w:t>
            </w:r>
          </w:p>
        </w:tc>
        <w:tc>
          <w:tcPr>
            <w:tcW w:w="1032" w:type="pct"/>
          </w:tcPr>
          <w:p w14:paraId="50D1A5A0"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Very common</w:t>
            </w:r>
          </w:p>
        </w:tc>
        <w:tc>
          <w:tcPr>
            <w:tcW w:w="2462" w:type="pct"/>
          </w:tcPr>
          <w:p w14:paraId="15CBBEBF" w14:textId="77777777" w:rsidR="005A253F" w:rsidRPr="003D30C6" w:rsidRDefault="005A253F" w:rsidP="00C85C9F">
            <w:pPr>
              <w:ind w:left="34"/>
              <w:rPr>
                <w:rFonts w:asciiTheme="majorHAnsi" w:eastAsia="SimSun" w:hAnsiTheme="majorHAnsi"/>
                <w:lang w:eastAsia="en-GB"/>
              </w:rPr>
            </w:pPr>
            <w:r w:rsidRPr="003D30C6">
              <w:rPr>
                <w:rFonts w:asciiTheme="majorHAnsi" w:eastAsia="SimSun" w:hAnsiTheme="majorHAnsi"/>
                <w:lang w:eastAsia="en-GB"/>
              </w:rPr>
              <w:t>Rash (includes different types of rash, e.g. rash, rash maculopapular, rash pruritic, rash erythematous)</w:t>
            </w:r>
          </w:p>
        </w:tc>
      </w:tr>
      <w:tr w:rsidR="005A253F" w:rsidRPr="003D30C6" w14:paraId="4D610070" w14:textId="77777777" w:rsidTr="7FF9CE2E">
        <w:tc>
          <w:tcPr>
            <w:tcW w:w="1506" w:type="pct"/>
            <w:vMerge/>
          </w:tcPr>
          <w:p w14:paraId="69B138E1" w14:textId="77777777" w:rsidR="005A253F" w:rsidRPr="003D30C6" w:rsidRDefault="005A253F" w:rsidP="00C85C9F">
            <w:pPr>
              <w:keepNext/>
              <w:keepLines/>
              <w:autoSpaceDE w:val="0"/>
              <w:autoSpaceDN w:val="0"/>
              <w:adjustRightInd w:val="0"/>
              <w:rPr>
                <w:rFonts w:asciiTheme="majorHAnsi" w:hAnsiTheme="majorHAnsi"/>
              </w:rPr>
            </w:pPr>
          </w:p>
        </w:tc>
        <w:tc>
          <w:tcPr>
            <w:tcW w:w="1032" w:type="pct"/>
          </w:tcPr>
          <w:p w14:paraId="4EE00B98"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0429A9BA" w14:textId="77777777" w:rsidR="005A253F" w:rsidRPr="003D30C6" w:rsidRDefault="005A253F" w:rsidP="00C85C9F">
            <w:pPr>
              <w:keepNext/>
              <w:keepLines/>
              <w:autoSpaceDE w:val="0"/>
              <w:autoSpaceDN w:val="0"/>
              <w:adjustRightInd w:val="0"/>
              <w:ind w:left="34"/>
              <w:rPr>
                <w:rFonts w:asciiTheme="majorHAnsi" w:hAnsiTheme="majorHAnsi"/>
                <w:strike/>
              </w:rPr>
            </w:pPr>
            <w:r w:rsidRPr="003D30C6">
              <w:rPr>
                <w:rFonts w:asciiTheme="majorHAnsi" w:eastAsia="SimSun" w:hAnsiTheme="majorHAnsi"/>
                <w:lang w:eastAsia="en-GB"/>
              </w:rPr>
              <w:t>Pruritus, alopecia, erythema, hyperhidrosis</w:t>
            </w:r>
          </w:p>
        </w:tc>
      </w:tr>
      <w:tr w:rsidR="005A253F" w:rsidRPr="003D30C6" w14:paraId="5E29DDD2" w14:textId="77777777" w:rsidTr="7FF9CE2E">
        <w:tc>
          <w:tcPr>
            <w:tcW w:w="1506" w:type="pct"/>
            <w:vMerge w:val="restart"/>
          </w:tcPr>
          <w:p w14:paraId="1D5AA78D"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Musculoskeletal and connective tissue disorders</w:t>
            </w:r>
          </w:p>
        </w:tc>
        <w:tc>
          <w:tcPr>
            <w:tcW w:w="1032" w:type="pct"/>
          </w:tcPr>
          <w:p w14:paraId="39DA7E0D"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Very common</w:t>
            </w:r>
          </w:p>
        </w:tc>
        <w:tc>
          <w:tcPr>
            <w:tcW w:w="2462" w:type="pct"/>
          </w:tcPr>
          <w:p w14:paraId="0E228A8C" w14:textId="77777777" w:rsidR="005A253F" w:rsidRPr="003D30C6" w:rsidRDefault="005A253F" w:rsidP="00C85C9F">
            <w:pPr>
              <w:keepNext/>
              <w:keepLines/>
              <w:autoSpaceDE w:val="0"/>
              <w:autoSpaceDN w:val="0"/>
              <w:adjustRightInd w:val="0"/>
              <w:ind w:left="34"/>
              <w:rPr>
                <w:rFonts w:asciiTheme="majorHAnsi" w:hAnsiTheme="majorHAnsi"/>
              </w:rPr>
            </w:pPr>
            <w:r w:rsidRPr="003D30C6">
              <w:rPr>
                <w:rFonts w:asciiTheme="majorHAnsi" w:eastAsia="SimSun" w:hAnsiTheme="majorHAnsi"/>
                <w:lang w:eastAsia="en-GB"/>
              </w:rPr>
              <w:t>Back pain, muscle spasms</w:t>
            </w:r>
          </w:p>
        </w:tc>
      </w:tr>
      <w:tr w:rsidR="005A253F" w:rsidRPr="003D30C6" w14:paraId="42216D54" w14:textId="77777777" w:rsidTr="7FF9CE2E">
        <w:tc>
          <w:tcPr>
            <w:tcW w:w="1506" w:type="pct"/>
            <w:vMerge/>
          </w:tcPr>
          <w:p w14:paraId="072FADA4" w14:textId="77777777" w:rsidR="005A253F" w:rsidRPr="003D30C6" w:rsidRDefault="005A253F" w:rsidP="00C85C9F">
            <w:pPr>
              <w:keepNext/>
              <w:keepLines/>
              <w:autoSpaceDE w:val="0"/>
              <w:autoSpaceDN w:val="0"/>
              <w:adjustRightInd w:val="0"/>
              <w:rPr>
                <w:rFonts w:asciiTheme="majorHAnsi" w:hAnsiTheme="majorHAnsi"/>
              </w:rPr>
            </w:pPr>
          </w:p>
        </w:tc>
        <w:tc>
          <w:tcPr>
            <w:tcW w:w="1032" w:type="pct"/>
          </w:tcPr>
          <w:p w14:paraId="4B2512B7"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684BE1C7" w14:textId="77777777" w:rsidR="005A253F" w:rsidRPr="003D30C6" w:rsidRDefault="005A253F" w:rsidP="00C85C9F">
            <w:pPr>
              <w:keepNext/>
              <w:keepLines/>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Arthralgia, pain in extremity, musculoskeletal pain</w:t>
            </w:r>
          </w:p>
        </w:tc>
      </w:tr>
      <w:tr w:rsidR="005A253F" w:rsidRPr="003D30C6" w14:paraId="6756EE1E" w14:textId="77777777" w:rsidTr="7FF9CE2E">
        <w:tc>
          <w:tcPr>
            <w:tcW w:w="1506" w:type="pct"/>
          </w:tcPr>
          <w:p w14:paraId="176C07C9"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eastAsia="SimSun" w:hAnsiTheme="majorHAnsi"/>
                <w:lang w:eastAsia="en-GB"/>
              </w:rPr>
              <w:t>Renal and urinary disorders</w:t>
            </w:r>
          </w:p>
        </w:tc>
        <w:tc>
          <w:tcPr>
            <w:tcW w:w="1032" w:type="pct"/>
          </w:tcPr>
          <w:p w14:paraId="26735C73"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32AE649F" w14:textId="77777777" w:rsidR="005A253F" w:rsidRPr="003D30C6" w:rsidRDefault="005A253F" w:rsidP="00C85C9F">
            <w:pPr>
              <w:keepNext/>
              <w:keepLines/>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Blood creatinine increased</w:t>
            </w:r>
          </w:p>
        </w:tc>
      </w:tr>
      <w:tr w:rsidR="005A253F" w:rsidRPr="003D30C6" w14:paraId="34E6D77D" w14:textId="77777777" w:rsidTr="7FF9CE2E">
        <w:tc>
          <w:tcPr>
            <w:tcW w:w="1506" w:type="pct"/>
            <w:vMerge w:val="restart"/>
          </w:tcPr>
          <w:p w14:paraId="0CF9E43F"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 xml:space="preserve">General disorders and administration site conditions </w:t>
            </w:r>
          </w:p>
        </w:tc>
        <w:tc>
          <w:tcPr>
            <w:tcW w:w="1032" w:type="pct"/>
          </w:tcPr>
          <w:p w14:paraId="69B5F537"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Very common</w:t>
            </w:r>
          </w:p>
        </w:tc>
        <w:tc>
          <w:tcPr>
            <w:tcW w:w="2462" w:type="pct"/>
          </w:tcPr>
          <w:p w14:paraId="048D1EE5" w14:textId="78F8CD7C" w:rsidR="005A253F" w:rsidRPr="003D30C6" w:rsidRDefault="005A253F" w:rsidP="7FF9CE2E">
            <w:pPr>
              <w:keepNext/>
              <w:keepLines/>
              <w:autoSpaceDE w:val="0"/>
              <w:autoSpaceDN w:val="0"/>
              <w:adjustRightInd w:val="0"/>
              <w:ind w:left="34"/>
              <w:rPr>
                <w:rFonts w:asciiTheme="majorHAnsi" w:hAnsiTheme="majorHAnsi"/>
                <w:lang w:val="fr-CH"/>
              </w:rPr>
            </w:pPr>
            <w:proofErr w:type="spellStart"/>
            <w:r w:rsidRPr="7FF9CE2E">
              <w:rPr>
                <w:rFonts w:asciiTheme="majorHAnsi" w:eastAsia="SimSun" w:hAnsiTheme="majorHAnsi"/>
                <w:lang w:val="fr-CH" w:eastAsia="en-GB"/>
              </w:rPr>
              <w:t>Asthenia</w:t>
            </w:r>
            <w:proofErr w:type="spellEnd"/>
            <w:r w:rsidR="007E50CF" w:rsidRPr="00467BBF">
              <w:rPr>
                <w:rFonts w:asciiTheme="majorHAnsi" w:eastAsia="SimSun" w:hAnsiTheme="majorHAnsi"/>
                <w:vertAlign w:val="superscript"/>
                <w:lang w:val="fr-CH" w:eastAsia="en-GB"/>
              </w:rPr>
              <w:t>++</w:t>
            </w:r>
            <w:r w:rsidRPr="7FF9CE2E">
              <w:rPr>
                <w:rFonts w:asciiTheme="majorHAnsi" w:eastAsia="SimSun" w:hAnsiTheme="majorHAnsi"/>
                <w:lang w:val="fr-CH" w:eastAsia="en-GB"/>
              </w:rPr>
              <w:t xml:space="preserve">, </w:t>
            </w:r>
            <w:proofErr w:type="spellStart"/>
            <w:r w:rsidRPr="7FF9CE2E">
              <w:rPr>
                <w:rFonts w:asciiTheme="majorHAnsi" w:eastAsia="SimSun" w:hAnsiTheme="majorHAnsi"/>
                <w:lang w:val="fr-CH" w:eastAsia="en-GB"/>
              </w:rPr>
              <w:t>oedema</w:t>
            </w:r>
            <w:proofErr w:type="spellEnd"/>
            <w:r w:rsidRPr="7FF9CE2E">
              <w:rPr>
                <w:rFonts w:asciiTheme="majorHAnsi" w:eastAsia="SimSun" w:hAnsiTheme="majorHAnsi"/>
                <w:lang w:val="fr-CH" w:eastAsia="en-GB"/>
              </w:rPr>
              <w:t xml:space="preserve"> </w:t>
            </w:r>
            <w:proofErr w:type="spellStart"/>
            <w:r w:rsidRPr="7FF9CE2E">
              <w:rPr>
                <w:rFonts w:asciiTheme="majorHAnsi" w:eastAsia="SimSun" w:hAnsiTheme="majorHAnsi"/>
                <w:lang w:val="fr-CH" w:eastAsia="en-GB"/>
              </w:rPr>
              <w:t>peripheral</w:t>
            </w:r>
            <w:proofErr w:type="spellEnd"/>
            <w:r w:rsidRPr="7FF9CE2E">
              <w:rPr>
                <w:rFonts w:asciiTheme="majorHAnsi" w:eastAsia="SimSun" w:hAnsiTheme="majorHAnsi"/>
                <w:lang w:val="fr-CH" w:eastAsia="en-GB"/>
              </w:rPr>
              <w:t xml:space="preserve">, </w:t>
            </w:r>
            <w:proofErr w:type="spellStart"/>
            <w:r w:rsidRPr="7FF9CE2E">
              <w:rPr>
                <w:rFonts w:asciiTheme="majorHAnsi" w:eastAsia="SimSun" w:hAnsiTheme="majorHAnsi"/>
                <w:lang w:val="fr-CH" w:eastAsia="en-GB"/>
              </w:rPr>
              <w:t>pyrexia</w:t>
            </w:r>
            <w:proofErr w:type="spellEnd"/>
          </w:p>
        </w:tc>
      </w:tr>
      <w:tr w:rsidR="005A253F" w:rsidRPr="003D30C6" w14:paraId="4B4D52D7" w14:textId="77777777" w:rsidTr="7FF9CE2E">
        <w:tc>
          <w:tcPr>
            <w:tcW w:w="1506" w:type="pct"/>
            <w:vMerge/>
          </w:tcPr>
          <w:p w14:paraId="16E594E7" w14:textId="77777777" w:rsidR="005A253F" w:rsidRPr="003D30C6" w:rsidRDefault="005A253F" w:rsidP="00C85C9F">
            <w:pPr>
              <w:keepNext/>
              <w:keepLines/>
              <w:autoSpaceDE w:val="0"/>
              <w:autoSpaceDN w:val="0"/>
              <w:adjustRightInd w:val="0"/>
              <w:rPr>
                <w:rFonts w:asciiTheme="majorHAnsi" w:hAnsiTheme="majorHAnsi"/>
                <w:lang w:val="fr-FR"/>
              </w:rPr>
            </w:pPr>
          </w:p>
        </w:tc>
        <w:tc>
          <w:tcPr>
            <w:tcW w:w="1032" w:type="pct"/>
          </w:tcPr>
          <w:p w14:paraId="008E2821"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68A63508" w14:textId="77777777" w:rsidR="005A253F" w:rsidRPr="003D30C6" w:rsidRDefault="005A253F" w:rsidP="00C85C9F">
            <w:pPr>
              <w:keepNext/>
              <w:keepLines/>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Mucosal inflammation</w:t>
            </w:r>
          </w:p>
        </w:tc>
      </w:tr>
      <w:tr w:rsidR="005A253F" w:rsidRPr="003D30C6" w14:paraId="6F73847C" w14:textId="77777777" w:rsidTr="7FF9CE2E">
        <w:tc>
          <w:tcPr>
            <w:tcW w:w="1506" w:type="pct"/>
          </w:tcPr>
          <w:p w14:paraId="706FECBA"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 xml:space="preserve">Investigations </w:t>
            </w:r>
          </w:p>
        </w:tc>
        <w:tc>
          <w:tcPr>
            <w:tcW w:w="1032" w:type="pct"/>
          </w:tcPr>
          <w:p w14:paraId="10D9879F"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04348F8B" w14:textId="77777777" w:rsidR="005A253F" w:rsidRPr="003D30C6" w:rsidRDefault="005A253F" w:rsidP="00C85C9F">
            <w:pPr>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Weight decreased, C-reactive protein increased</w:t>
            </w:r>
          </w:p>
        </w:tc>
      </w:tr>
      <w:tr w:rsidR="005A253F" w:rsidRPr="003D30C6" w14:paraId="7FC724BC" w14:textId="77777777" w:rsidTr="7FF9CE2E">
        <w:tc>
          <w:tcPr>
            <w:tcW w:w="1506" w:type="pct"/>
          </w:tcPr>
          <w:p w14:paraId="3DAE83B4" w14:textId="77777777" w:rsidR="005A253F" w:rsidRPr="003D30C6" w:rsidRDefault="005A253F" w:rsidP="00C85C9F">
            <w:pPr>
              <w:autoSpaceDE w:val="0"/>
              <w:autoSpaceDN w:val="0"/>
              <w:adjustRightInd w:val="0"/>
              <w:rPr>
                <w:rFonts w:asciiTheme="majorHAnsi" w:eastAsia="SimSun" w:hAnsiTheme="majorHAnsi"/>
                <w:lang w:eastAsia="en-GB"/>
              </w:rPr>
            </w:pPr>
            <w:r w:rsidRPr="003D30C6">
              <w:rPr>
                <w:rFonts w:asciiTheme="majorHAnsi" w:eastAsia="SimSun" w:hAnsiTheme="majorHAnsi"/>
                <w:lang w:eastAsia="en-GB"/>
              </w:rPr>
              <w:t>Injury, poisoning and procedural complications</w:t>
            </w:r>
          </w:p>
        </w:tc>
        <w:tc>
          <w:tcPr>
            <w:tcW w:w="1032" w:type="pct"/>
          </w:tcPr>
          <w:p w14:paraId="6AFF7791" w14:textId="77777777" w:rsidR="005A253F" w:rsidRPr="003D30C6" w:rsidRDefault="005A253F" w:rsidP="00C85C9F">
            <w:pPr>
              <w:keepNext/>
              <w:keepLines/>
              <w:autoSpaceDE w:val="0"/>
              <w:autoSpaceDN w:val="0"/>
              <w:adjustRightInd w:val="0"/>
              <w:rPr>
                <w:rFonts w:asciiTheme="majorHAnsi" w:hAnsiTheme="majorHAnsi"/>
              </w:rPr>
            </w:pPr>
            <w:r w:rsidRPr="003D30C6">
              <w:rPr>
                <w:rFonts w:asciiTheme="majorHAnsi" w:hAnsiTheme="majorHAnsi"/>
              </w:rPr>
              <w:t>Common</w:t>
            </w:r>
          </w:p>
        </w:tc>
        <w:tc>
          <w:tcPr>
            <w:tcW w:w="2462" w:type="pct"/>
          </w:tcPr>
          <w:p w14:paraId="659AD415" w14:textId="77777777" w:rsidR="005A253F" w:rsidRPr="003D30C6" w:rsidRDefault="005A253F" w:rsidP="00C85C9F">
            <w:pPr>
              <w:autoSpaceDE w:val="0"/>
              <w:autoSpaceDN w:val="0"/>
              <w:adjustRightInd w:val="0"/>
              <w:ind w:left="34"/>
              <w:rPr>
                <w:rFonts w:asciiTheme="majorHAnsi" w:eastAsia="SimSun" w:hAnsiTheme="majorHAnsi"/>
                <w:lang w:eastAsia="en-GB"/>
              </w:rPr>
            </w:pPr>
            <w:r w:rsidRPr="003D30C6">
              <w:rPr>
                <w:rFonts w:asciiTheme="majorHAnsi" w:eastAsia="SimSun" w:hAnsiTheme="majorHAnsi"/>
                <w:lang w:eastAsia="en-GB"/>
              </w:rPr>
              <w:t>Infusion related reaction</w:t>
            </w:r>
          </w:p>
        </w:tc>
      </w:tr>
    </w:tbl>
    <w:p w14:paraId="3D0F884A" w14:textId="35F87E3A" w:rsidR="00B52A95" w:rsidRPr="00467BBF" w:rsidRDefault="005A253F" w:rsidP="00467BBF">
      <w:pPr>
        <w:spacing w:after="0" w:line="240" w:lineRule="auto"/>
        <w:ind w:left="142" w:hanging="142"/>
        <w:jc w:val="both"/>
        <w:rPr>
          <w:rFonts w:asciiTheme="majorHAnsi" w:hAnsiTheme="majorHAnsi"/>
          <w:sz w:val="18"/>
          <w:szCs w:val="18"/>
        </w:rPr>
      </w:pPr>
      <w:bookmarkStart w:id="0" w:name="_Hlk36887241"/>
      <w:r w:rsidRPr="7FF9CE2E">
        <w:rPr>
          <w:rFonts w:asciiTheme="majorHAnsi" w:hAnsiTheme="majorHAnsi"/>
          <w:sz w:val="18"/>
          <w:szCs w:val="18"/>
        </w:rPr>
        <w:t>+Further information on this adverse reaction is provided in the text below.</w:t>
      </w:r>
    </w:p>
    <w:p w14:paraId="004B84F7" w14:textId="1E80F427" w:rsidR="41C627D5" w:rsidRPr="00467BBF" w:rsidRDefault="41C627D5" w:rsidP="00467BBF">
      <w:pPr>
        <w:spacing w:after="0" w:line="240" w:lineRule="auto"/>
        <w:ind w:left="142" w:hanging="142"/>
        <w:jc w:val="both"/>
        <w:rPr>
          <w:rFonts w:asciiTheme="majorHAnsi" w:hAnsiTheme="majorHAnsi"/>
          <w:sz w:val="18"/>
          <w:szCs w:val="18"/>
        </w:rPr>
      </w:pPr>
      <w:r w:rsidRPr="00467BBF">
        <w:rPr>
          <w:rFonts w:asciiTheme="majorHAnsi" w:hAnsiTheme="majorHAnsi"/>
          <w:sz w:val="18"/>
          <w:szCs w:val="18"/>
        </w:rPr>
        <w:t xml:space="preserve">++ Asthenia includes asthenia, fatigue and malaise. </w:t>
      </w:r>
    </w:p>
    <w:p w14:paraId="474D85B2" w14:textId="77777777" w:rsidR="005A253F" w:rsidRPr="003D30C6" w:rsidRDefault="005A253F" w:rsidP="005A253F">
      <w:pPr>
        <w:autoSpaceDE w:val="0"/>
        <w:autoSpaceDN w:val="0"/>
        <w:adjustRightInd w:val="0"/>
        <w:spacing w:line="240" w:lineRule="auto"/>
        <w:jc w:val="both"/>
        <w:rPr>
          <w:rFonts w:asciiTheme="majorHAnsi" w:hAnsiTheme="majorHAnsi"/>
        </w:rPr>
      </w:pPr>
      <w:r w:rsidRPr="003D30C6">
        <w:rPr>
          <w:rFonts w:asciiTheme="majorHAnsi" w:hAnsiTheme="majorHAnsi"/>
        </w:rPr>
        <w:t>Compared with the incidences on combination therapy with lenalidomide, the incidences of non-haematological adverse reactions on tafasitamab monotherapy decreased by at least 10% for decreased appetite, asthenia, hypokalaemia, constipation, nausea, muscle spasms, dyspnoea and C-reactive protein increased</w:t>
      </w:r>
      <w:bookmarkEnd w:id="0"/>
      <w:r w:rsidRPr="003D30C6">
        <w:rPr>
          <w:rFonts w:asciiTheme="majorHAnsi" w:hAnsiTheme="majorHAnsi"/>
        </w:rPr>
        <w:t>.</w:t>
      </w:r>
    </w:p>
    <w:p w14:paraId="4AB5C748" w14:textId="77777777" w:rsidR="005A253F" w:rsidRPr="003D30C6" w:rsidRDefault="005A253F" w:rsidP="005A253F">
      <w:pPr>
        <w:autoSpaceDE w:val="0"/>
        <w:autoSpaceDN w:val="0"/>
        <w:adjustRightInd w:val="0"/>
        <w:spacing w:line="240" w:lineRule="auto"/>
        <w:jc w:val="both"/>
        <w:rPr>
          <w:rFonts w:asciiTheme="majorHAnsi" w:hAnsiTheme="majorHAnsi"/>
          <w:b/>
          <w:bCs/>
        </w:rPr>
      </w:pPr>
      <w:r w:rsidRPr="003D30C6">
        <w:rPr>
          <w:rFonts w:asciiTheme="majorHAnsi" w:hAnsiTheme="majorHAnsi"/>
          <w:b/>
          <w:bCs/>
        </w:rPr>
        <w:lastRenderedPageBreak/>
        <w:t>Description of selected adverse reactions</w:t>
      </w:r>
    </w:p>
    <w:p w14:paraId="4BAAD248" w14:textId="77777777" w:rsidR="005A253F" w:rsidRPr="00486BA8" w:rsidRDefault="005A253F" w:rsidP="005A253F">
      <w:pPr>
        <w:spacing w:line="240" w:lineRule="auto"/>
        <w:rPr>
          <w:rFonts w:asciiTheme="majorHAnsi" w:hAnsiTheme="majorHAnsi"/>
          <w:iCs/>
          <w:u w:val="single"/>
        </w:rPr>
      </w:pPr>
      <w:r w:rsidRPr="00486BA8">
        <w:rPr>
          <w:rFonts w:asciiTheme="majorHAnsi" w:hAnsiTheme="majorHAnsi"/>
          <w:iCs/>
          <w:u w:val="single"/>
        </w:rPr>
        <w:t>Myelosuppression</w:t>
      </w:r>
    </w:p>
    <w:p w14:paraId="7351EDEB" w14:textId="77777777" w:rsidR="005A253F" w:rsidRPr="00486BA8" w:rsidRDefault="005A253F" w:rsidP="005A253F">
      <w:pPr>
        <w:spacing w:line="240" w:lineRule="auto"/>
        <w:rPr>
          <w:rFonts w:asciiTheme="majorHAnsi" w:hAnsiTheme="majorHAnsi"/>
        </w:rPr>
      </w:pPr>
      <w:r w:rsidRPr="00486BA8">
        <w:rPr>
          <w:rFonts w:asciiTheme="majorHAnsi" w:hAnsiTheme="majorHAnsi"/>
        </w:rPr>
        <w:t xml:space="preserve">Treatment with tafasitamab can cause serious or severe myelosuppression including neutropenia, </w:t>
      </w:r>
      <w:proofErr w:type="gramStart"/>
      <w:r w:rsidRPr="00486BA8">
        <w:rPr>
          <w:rFonts w:asciiTheme="majorHAnsi" w:hAnsiTheme="majorHAnsi"/>
        </w:rPr>
        <w:t>thrombocytopenia</w:t>
      </w:r>
      <w:proofErr w:type="gramEnd"/>
      <w:r w:rsidRPr="00486BA8">
        <w:rPr>
          <w:rFonts w:asciiTheme="majorHAnsi" w:hAnsiTheme="majorHAnsi"/>
        </w:rPr>
        <w:t xml:space="preserve"> and anaemia (see sections 4.2 and 4.4).</w:t>
      </w:r>
    </w:p>
    <w:p w14:paraId="29214171" w14:textId="77777777" w:rsidR="005A253F" w:rsidRPr="003D30C6" w:rsidRDefault="005A253F" w:rsidP="005A253F">
      <w:pPr>
        <w:spacing w:line="240" w:lineRule="auto"/>
        <w:rPr>
          <w:rFonts w:asciiTheme="majorHAnsi" w:hAnsiTheme="majorHAnsi"/>
        </w:rPr>
      </w:pPr>
      <w:r w:rsidRPr="00EF3360">
        <w:rPr>
          <w:rFonts w:asciiTheme="majorHAnsi" w:hAnsiTheme="majorHAnsi"/>
        </w:rPr>
        <w:t>In the L</w:t>
      </w:r>
      <w:r w:rsidRPr="00EF3360">
        <w:rPr>
          <w:rFonts w:asciiTheme="majorHAnsi" w:hAnsiTheme="majorHAnsi"/>
        </w:rPr>
        <w:noBreakHyphen/>
        <w:t>MIND study, myelosuppression (</w:t>
      </w:r>
      <w:proofErr w:type="gramStart"/>
      <w:r w:rsidRPr="00EF3360">
        <w:rPr>
          <w:rFonts w:asciiTheme="majorHAnsi" w:hAnsiTheme="majorHAnsi"/>
        </w:rPr>
        <w:t>i.e.</w:t>
      </w:r>
      <w:proofErr w:type="gramEnd"/>
      <w:r w:rsidRPr="00EF3360">
        <w:rPr>
          <w:rFonts w:asciiTheme="majorHAnsi" w:hAnsiTheme="majorHAnsi"/>
        </w:rPr>
        <w:t xml:space="preserve"> neutropenia, febrile neutropenia, thrombocytopenia, leukopenia, lymphopenia or anaemia) occurred in 65.4% </w:t>
      </w:r>
      <w:r w:rsidRPr="003D30C6">
        <w:rPr>
          <w:rFonts w:asciiTheme="majorHAnsi" w:hAnsiTheme="majorHAnsi"/>
        </w:rPr>
        <w:t>of patients treated with tafasitamab. Myelosuppression was managed by reduction or interruption of lenalidomide, interruption of tafasitamab and/or administration of G</w:t>
      </w:r>
      <w:r w:rsidRPr="003D30C6">
        <w:rPr>
          <w:rFonts w:asciiTheme="majorHAnsi" w:hAnsiTheme="majorHAnsi"/>
        </w:rPr>
        <w:noBreakHyphen/>
        <w:t xml:space="preserve">CSF (see sections 4.2 and 4.4). Myelosuppression led to interruption of </w:t>
      </w:r>
      <w:proofErr w:type="spellStart"/>
      <w:r w:rsidRPr="003D30C6">
        <w:rPr>
          <w:rFonts w:asciiTheme="majorHAnsi" w:hAnsiTheme="majorHAnsi"/>
        </w:rPr>
        <w:t>tafasitamab</w:t>
      </w:r>
      <w:proofErr w:type="spellEnd"/>
      <w:r w:rsidRPr="003D30C6">
        <w:rPr>
          <w:rFonts w:asciiTheme="majorHAnsi" w:hAnsiTheme="majorHAnsi"/>
        </w:rPr>
        <w:t xml:space="preserve"> in 41% and to </w:t>
      </w:r>
      <w:proofErr w:type="spellStart"/>
      <w:r w:rsidRPr="003D30C6">
        <w:rPr>
          <w:rFonts w:asciiTheme="majorHAnsi" w:hAnsiTheme="majorHAnsi"/>
        </w:rPr>
        <w:t>tafasitamab</w:t>
      </w:r>
      <w:proofErr w:type="spellEnd"/>
      <w:r w:rsidRPr="003D30C6">
        <w:rPr>
          <w:rFonts w:asciiTheme="majorHAnsi" w:hAnsiTheme="majorHAnsi"/>
        </w:rPr>
        <w:t xml:space="preserve"> discontinuation in 1.2%.</w:t>
      </w:r>
    </w:p>
    <w:p w14:paraId="3299A940" w14:textId="77777777" w:rsidR="005A253F" w:rsidRPr="00486BA8" w:rsidRDefault="005A253F" w:rsidP="005A253F">
      <w:pPr>
        <w:keepNext/>
        <w:keepLines/>
        <w:spacing w:line="240" w:lineRule="auto"/>
        <w:rPr>
          <w:rFonts w:asciiTheme="majorHAnsi" w:hAnsiTheme="majorHAnsi"/>
          <w:i/>
          <w:iCs/>
        </w:rPr>
      </w:pPr>
      <w:r w:rsidRPr="00486BA8">
        <w:rPr>
          <w:rFonts w:asciiTheme="majorHAnsi" w:hAnsiTheme="majorHAnsi"/>
          <w:i/>
          <w:iCs/>
        </w:rPr>
        <w:t>Neutropenia/febrile neutropenia</w:t>
      </w:r>
    </w:p>
    <w:p w14:paraId="4BFEC767" w14:textId="77777777" w:rsidR="005A253F" w:rsidRPr="003D30C6" w:rsidRDefault="005A253F" w:rsidP="005A253F">
      <w:pPr>
        <w:keepNext/>
        <w:keepLines/>
        <w:spacing w:line="240" w:lineRule="auto"/>
        <w:rPr>
          <w:rFonts w:asciiTheme="majorHAnsi" w:hAnsiTheme="majorHAnsi"/>
        </w:rPr>
      </w:pPr>
      <w:r w:rsidRPr="00486BA8">
        <w:rPr>
          <w:rFonts w:asciiTheme="majorHAnsi" w:hAnsiTheme="majorHAnsi"/>
        </w:rPr>
        <w:t>Incidence of neutropenia was 51%</w:t>
      </w:r>
      <w:r w:rsidRPr="003D30C6">
        <w:rPr>
          <w:rFonts w:asciiTheme="majorHAnsi" w:hAnsiTheme="majorHAnsi"/>
        </w:rPr>
        <w:t>. Incidence of Grade 3 or 4 neutropenia was 49% and of Grade 3 or 4 febrile neutropenia was 12%. Median duration of any adverse reaction of neutropenia was 8 days (range 1 – 222 days); median time to onset to first occurrence of neutropenia was 49 days (range 1 – 994 days).</w:t>
      </w:r>
    </w:p>
    <w:p w14:paraId="65398D5C" w14:textId="77777777" w:rsidR="005A253F" w:rsidRPr="00486BA8" w:rsidRDefault="005A253F" w:rsidP="005A253F">
      <w:pPr>
        <w:spacing w:line="240" w:lineRule="auto"/>
        <w:rPr>
          <w:rFonts w:asciiTheme="majorHAnsi" w:hAnsiTheme="majorHAnsi"/>
          <w:i/>
        </w:rPr>
      </w:pPr>
      <w:r w:rsidRPr="00486BA8">
        <w:rPr>
          <w:rFonts w:asciiTheme="majorHAnsi" w:hAnsiTheme="majorHAnsi"/>
          <w:i/>
        </w:rPr>
        <w:t xml:space="preserve">Thrombocytopenia </w:t>
      </w:r>
    </w:p>
    <w:p w14:paraId="6BF0FA4E" w14:textId="77777777" w:rsidR="005A253F" w:rsidRPr="003D30C6" w:rsidRDefault="005A253F" w:rsidP="005A253F">
      <w:pPr>
        <w:spacing w:line="240" w:lineRule="auto"/>
        <w:rPr>
          <w:rFonts w:asciiTheme="majorHAnsi" w:hAnsiTheme="majorHAnsi"/>
        </w:rPr>
      </w:pPr>
      <w:r w:rsidRPr="00486BA8">
        <w:rPr>
          <w:rFonts w:asciiTheme="majorHAnsi" w:hAnsiTheme="majorHAnsi"/>
        </w:rPr>
        <w:t>Incidence of thrombocytopenia was 31%</w:t>
      </w:r>
      <w:r w:rsidRPr="003D30C6">
        <w:rPr>
          <w:rFonts w:asciiTheme="majorHAnsi" w:hAnsiTheme="majorHAnsi"/>
        </w:rPr>
        <w:t>. Incidence of Grade 3 or 4 thrombocytopenia was 17%. Median duration of any adverse reaction thrombocytopenia was 11 days (range 1 – 470 days); median time to onset to first occurrence of thrombocytopenia was 71 days (range 1 – 358 days).</w:t>
      </w:r>
    </w:p>
    <w:p w14:paraId="49D7D2B6" w14:textId="77777777" w:rsidR="005A253F" w:rsidRPr="00486BA8" w:rsidRDefault="005A253F" w:rsidP="005A253F">
      <w:pPr>
        <w:spacing w:line="240" w:lineRule="auto"/>
        <w:rPr>
          <w:rFonts w:asciiTheme="majorHAnsi" w:hAnsiTheme="majorHAnsi"/>
          <w:i/>
        </w:rPr>
      </w:pPr>
      <w:r w:rsidRPr="00486BA8">
        <w:rPr>
          <w:rFonts w:asciiTheme="majorHAnsi" w:hAnsiTheme="majorHAnsi"/>
          <w:i/>
        </w:rPr>
        <w:t>Anaemia</w:t>
      </w:r>
    </w:p>
    <w:p w14:paraId="77BB6216" w14:textId="77777777" w:rsidR="005A253F" w:rsidRPr="003D30C6" w:rsidRDefault="005A253F" w:rsidP="005A253F">
      <w:pPr>
        <w:spacing w:line="240" w:lineRule="auto"/>
        <w:rPr>
          <w:rFonts w:asciiTheme="majorHAnsi" w:hAnsiTheme="majorHAnsi"/>
        </w:rPr>
      </w:pPr>
      <w:r w:rsidRPr="00486BA8">
        <w:rPr>
          <w:rFonts w:asciiTheme="majorHAnsi" w:hAnsiTheme="majorHAnsi"/>
        </w:rPr>
        <w:t>Incidence of anaemia was 36%</w:t>
      </w:r>
      <w:r w:rsidRPr="003D30C6">
        <w:rPr>
          <w:rFonts w:asciiTheme="majorHAnsi" w:hAnsiTheme="majorHAnsi"/>
        </w:rPr>
        <w:t>. Incidence of Grade 3 or 4 anaemia was 7%. Median duration of any adverse reaction of anaemia was 15 days (range 1 – 535 days); median time to onset to first occurrence of anaemia was 49 days (range 1 – 1129 days).</w:t>
      </w:r>
    </w:p>
    <w:p w14:paraId="511E30CB" w14:textId="77777777" w:rsidR="005A253F" w:rsidRPr="003D30C6" w:rsidRDefault="005A253F" w:rsidP="005A253F">
      <w:pPr>
        <w:spacing w:line="240" w:lineRule="auto"/>
        <w:rPr>
          <w:rFonts w:asciiTheme="majorHAnsi" w:hAnsiTheme="majorHAnsi"/>
        </w:rPr>
      </w:pPr>
      <w:r w:rsidRPr="00486BA8">
        <w:rPr>
          <w:rFonts w:asciiTheme="majorHAnsi" w:hAnsiTheme="majorHAnsi"/>
        </w:rPr>
        <w:t>When patients in the L</w:t>
      </w:r>
      <w:r w:rsidRPr="00486BA8">
        <w:rPr>
          <w:rFonts w:asciiTheme="majorHAnsi" w:hAnsiTheme="majorHAnsi"/>
        </w:rPr>
        <w:noBreakHyphen/>
        <w:t xml:space="preserve">MIND study were switched from tafasitamab and lenalidomide in the combination therapy phase to tafasitamab alone in the extended monotherapy phase, the incidences of haematological events decreased by at least 20% for neutropenia, </w:t>
      </w:r>
      <w:proofErr w:type="gramStart"/>
      <w:r w:rsidRPr="00486BA8">
        <w:rPr>
          <w:rFonts w:asciiTheme="majorHAnsi" w:hAnsiTheme="majorHAnsi"/>
        </w:rPr>
        <w:t>thrombocytopenia</w:t>
      </w:r>
      <w:proofErr w:type="gramEnd"/>
      <w:r w:rsidRPr="00486BA8">
        <w:rPr>
          <w:rFonts w:asciiTheme="majorHAnsi" w:hAnsiTheme="majorHAnsi"/>
        </w:rPr>
        <w:t xml:space="preserve"> and anaemia; no incidences of febrile neutropenia </w:t>
      </w:r>
      <w:r w:rsidRPr="003D30C6">
        <w:rPr>
          <w:rFonts w:asciiTheme="majorHAnsi" w:hAnsiTheme="majorHAnsi"/>
        </w:rPr>
        <w:t xml:space="preserve">were reported with </w:t>
      </w:r>
      <w:proofErr w:type="spellStart"/>
      <w:r w:rsidRPr="003D30C6">
        <w:rPr>
          <w:rFonts w:asciiTheme="majorHAnsi" w:hAnsiTheme="majorHAnsi"/>
        </w:rPr>
        <w:t>tafasitamab</w:t>
      </w:r>
      <w:proofErr w:type="spellEnd"/>
      <w:r w:rsidRPr="003D30C6">
        <w:rPr>
          <w:rFonts w:asciiTheme="majorHAnsi" w:hAnsiTheme="majorHAnsi"/>
        </w:rPr>
        <w:t xml:space="preserve"> monotherapy (see sections 4.2 and 4.4).</w:t>
      </w:r>
    </w:p>
    <w:p w14:paraId="2F6576DD" w14:textId="77777777" w:rsidR="005A253F" w:rsidRPr="00486BA8" w:rsidRDefault="005A253F" w:rsidP="005A253F">
      <w:pPr>
        <w:spacing w:line="240" w:lineRule="auto"/>
        <w:rPr>
          <w:rFonts w:asciiTheme="majorHAnsi" w:hAnsiTheme="majorHAnsi"/>
          <w:iCs/>
          <w:u w:val="single"/>
        </w:rPr>
      </w:pPr>
      <w:r w:rsidRPr="00486BA8">
        <w:rPr>
          <w:rFonts w:asciiTheme="majorHAnsi" w:hAnsiTheme="majorHAnsi"/>
          <w:iCs/>
          <w:u w:val="single"/>
        </w:rPr>
        <w:t>Infections</w:t>
      </w:r>
    </w:p>
    <w:p w14:paraId="628DD7D9" w14:textId="77777777" w:rsidR="005A253F" w:rsidRPr="003D30C6" w:rsidRDefault="005A253F" w:rsidP="005A253F">
      <w:pPr>
        <w:spacing w:line="240" w:lineRule="auto"/>
        <w:rPr>
          <w:rFonts w:asciiTheme="majorHAnsi" w:hAnsiTheme="majorHAnsi"/>
        </w:rPr>
      </w:pPr>
      <w:r w:rsidRPr="00486BA8">
        <w:rPr>
          <w:rFonts w:asciiTheme="majorHAnsi" w:hAnsiTheme="majorHAnsi"/>
        </w:rPr>
        <w:t>In the L</w:t>
      </w:r>
      <w:r w:rsidRPr="00486BA8">
        <w:rPr>
          <w:rFonts w:asciiTheme="majorHAnsi" w:hAnsiTheme="majorHAnsi"/>
        </w:rPr>
        <w:noBreakHyphen/>
        <w:t xml:space="preserve">MIND study, infections occurred in 73% </w:t>
      </w:r>
      <w:r w:rsidRPr="003D30C6">
        <w:rPr>
          <w:rFonts w:asciiTheme="majorHAnsi" w:hAnsiTheme="majorHAnsi"/>
        </w:rPr>
        <w:t>of patients. Incidence of Grade 3 or 4 infections was 28%. The most frequently reported Grade 3 or higher infections were pneumonia (7%), respiratory tract infections (4.9%), urinary tract infections (4.9%) and sepsis (4.9%). Infection was fatal in &lt; 1% of patients (pneumonia) within 30 days of last treatment.</w:t>
      </w:r>
    </w:p>
    <w:p w14:paraId="769E7852" w14:textId="77777777" w:rsidR="005A253F" w:rsidRPr="003D30C6" w:rsidRDefault="005A253F" w:rsidP="005A253F">
      <w:pPr>
        <w:spacing w:line="240" w:lineRule="auto"/>
        <w:rPr>
          <w:rFonts w:asciiTheme="majorHAnsi" w:hAnsiTheme="majorHAnsi"/>
        </w:rPr>
      </w:pPr>
      <w:r w:rsidRPr="003D30C6">
        <w:rPr>
          <w:rFonts w:asciiTheme="majorHAnsi" w:hAnsiTheme="majorHAnsi"/>
        </w:rPr>
        <w:t>Median time to first onset of Grade 3 or 4 infection was 62.5 days (4 – 1014 days). Median duration of any infection was 11 days (1 – 392 days).</w:t>
      </w:r>
    </w:p>
    <w:p w14:paraId="387ACF7C" w14:textId="77777777" w:rsidR="005A253F" w:rsidRPr="00486BA8" w:rsidRDefault="005A253F" w:rsidP="005A253F">
      <w:pPr>
        <w:spacing w:line="240" w:lineRule="auto"/>
        <w:rPr>
          <w:rFonts w:asciiTheme="majorHAnsi" w:hAnsiTheme="majorHAnsi"/>
        </w:rPr>
      </w:pPr>
      <w:r w:rsidRPr="00486BA8">
        <w:rPr>
          <w:rFonts w:asciiTheme="majorHAnsi" w:hAnsiTheme="majorHAnsi"/>
        </w:rPr>
        <w:t>Recommendations for management of infections are provided in section 4.4.</w:t>
      </w:r>
    </w:p>
    <w:p w14:paraId="5A769EE3" w14:textId="77777777" w:rsidR="005A253F" w:rsidRPr="003D30C6" w:rsidRDefault="005A253F" w:rsidP="005A253F">
      <w:pPr>
        <w:spacing w:line="240" w:lineRule="auto"/>
        <w:rPr>
          <w:rFonts w:asciiTheme="majorHAnsi" w:hAnsiTheme="majorHAnsi"/>
        </w:rPr>
      </w:pPr>
      <w:r w:rsidRPr="00486BA8">
        <w:rPr>
          <w:rFonts w:asciiTheme="majorHAnsi" w:hAnsiTheme="majorHAnsi"/>
        </w:rPr>
        <w:t xml:space="preserve">Infection led to dose interruption of </w:t>
      </w:r>
      <w:proofErr w:type="spellStart"/>
      <w:r w:rsidRPr="00486BA8">
        <w:rPr>
          <w:rFonts w:asciiTheme="majorHAnsi" w:hAnsiTheme="majorHAnsi"/>
        </w:rPr>
        <w:t>tafasitamab</w:t>
      </w:r>
      <w:proofErr w:type="spellEnd"/>
      <w:r w:rsidRPr="00486BA8">
        <w:rPr>
          <w:rFonts w:asciiTheme="majorHAnsi" w:hAnsiTheme="majorHAnsi"/>
        </w:rPr>
        <w:t xml:space="preserve"> in 27% </w:t>
      </w:r>
      <w:r w:rsidRPr="003D30C6">
        <w:rPr>
          <w:rFonts w:asciiTheme="majorHAnsi" w:hAnsiTheme="majorHAnsi"/>
        </w:rPr>
        <w:t xml:space="preserve">and </w:t>
      </w:r>
      <w:proofErr w:type="spellStart"/>
      <w:r w:rsidRPr="003D30C6">
        <w:rPr>
          <w:rFonts w:asciiTheme="majorHAnsi" w:hAnsiTheme="majorHAnsi"/>
        </w:rPr>
        <w:t>tafasitamab</w:t>
      </w:r>
      <w:proofErr w:type="spellEnd"/>
      <w:r w:rsidRPr="003D30C6">
        <w:rPr>
          <w:rFonts w:asciiTheme="majorHAnsi" w:hAnsiTheme="majorHAnsi"/>
        </w:rPr>
        <w:t xml:space="preserve"> discontinuation in 4.9%.</w:t>
      </w:r>
    </w:p>
    <w:p w14:paraId="13BA5850" w14:textId="77777777" w:rsidR="005A253F" w:rsidRPr="00486BA8" w:rsidRDefault="005A253F" w:rsidP="005A253F">
      <w:pPr>
        <w:autoSpaceDE w:val="0"/>
        <w:autoSpaceDN w:val="0"/>
        <w:adjustRightInd w:val="0"/>
        <w:spacing w:line="240" w:lineRule="auto"/>
        <w:rPr>
          <w:rFonts w:asciiTheme="majorHAnsi" w:eastAsia="UniversLTStd-Cn" w:hAnsiTheme="majorHAnsi"/>
          <w:i/>
        </w:rPr>
      </w:pPr>
    </w:p>
    <w:p w14:paraId="6EDAB37A" w14:textId="77777777" w:rsidR="005A253F" w:rsidRPr="00486BA8" w:rsidRDefault="005A253F" w:rsidP="005A253F">
      <w:pPr>
        <w:spacing w:line="240" w:lineRule="auto"/>
        <w:rPr>
          <w:rFonts w:asciiTheme="majorHAnsi" w:hAnsiTheme="majorHAnsi"/>
          <w:iCs/>
          <w:u w:val="single"/>
        </w:rPr>
      </w:pPr>
      <w:r w:rsidRPr="00486BA8">
        <w:rPr>
          <w:rFonts w:asciiTheme="majorHAnsi" w:hAnsiTheme="majorHAnsi"/>
          <w:iCs/>
          <w:u w:val="single"/>
        </w:rPr>
        <w:t>Infusion-related reactions</w:t>
      </w:r>
    </w:p>
    <w:p w14:paraId="572434EC" w14:textId="77777777" w:rsidR="005A253F" w:rsidRPr="003D30C6" w:rsidRDefault="005A253F" w:rsidP="005A253F">
      <w:pPr>
        <w:spacing w:line="240" w:lineRule="auto"/>
        <w:rPr>
          <w:rFonts w:asciiTheme="majorHAnsi" w:hAnsiTheme="majorHAnsi"/>
        </w:rPr>
      </w:pPr>
      <w:r w:rsidRPr="00486BA8">
        <w:rPr>
          <w:rFonts w:asciiTheme="majorHAnsi" w:hAnsiTheme="majorHAnsi"/>
        </w:rPr>
        <w:t>In the L</w:t>
      </w:r>
      <w:r w:rsidRPr="00486BA8">
        <w:rPr>
          <w:rFonts w:asciiTheme="majorHAnsi" w:hAnsiTheme="majorHAnsi"/>
        </w:rPr>
        <w:noBreakHyphen/>
        <w:t>MIND study, infusion-related reactions occurred in 6%</w:t>
      </w:r>
      <w:r w:rsidRPr="003D30C6">
        <w:rPr>
          <w:rFonts w:asciiTheme="majorHAnsi" w:hAnsiTheme="majorHAnsi"/>
        </w:rPr>
        <w:t xml:space="preserve"> of patients. All infusion related reactions were Grade 1 and resolved on the day of occurrence. Eighty percent of these reactions occurred during cycle 1 or 2. Symptoms included chills, flushing, dyspnoea and hypertension (see sections 4.2 and 4.4).</w:t>
      </w:r>
    </w:p>
    <w:p w14:paraId="176213E7" w14:textId="77777777" w:rsidR="005A253F" w:rsidRPr="003D30C6" w:rsidRDefault="005A253F" w:rsidP="005A253F">
      <w:pPr>
        <w:autoSpaceDE w:val="0"/>
        <w:autoSpaceDN w:val="0"/>
        <w:adjustRightInd w:val="0"/>
        <w:spacing w:line="240" w:lineRule="auto"/>
        <w:rPr>
          <w:rFonts w:asciiTheme="majorHAnsi" w:hAnsiTheme="majorHAnsi"/>
          <w:u w:val="single"/>
        </w:rPr>
      </w:pPr>
      <w:r w:rsidRPr="003D30C6">
        <w:rPr>
          <w:rFonts w:asciiTheme="majorHAnsi" w:hAnsiTheme="majorHAnsi"/>
          <w:u w:val="single"/>
        </w:rPr>
        <w:t>Immunogenicity</w:t>
      </w:r>
    </w:p>
    <w:p w14:paraId="28A2413D" w14:textId="77777777" w:rsidR="005A253F" w:rsidRPr="003D30C6" w:rsidRDefault="005A253F" w:rsidP="005A253F">
      <w:pPr>
        <w:spacing w:line="240" w:lineRule="auto"/>
        <w:rPr>
          <w:rFonts w:asciiTheme="majorHAnsi" w:hAnsiTheme="majorHAnsi"/>
        </w:rPr>
      </w:pPr>
      <w:r w:rsidRPr="003D30C6">
        <w:rPr>
          <w:rFonts w:asciiTheme="majorHAnsi" w:hAnsiTheme="majorHAnsi"/>
        </w:rPr>
        <w:t>In 245 patients treated with tafasitamab, no treatment-emergent or treatment-boosted anti-tafasitamab antibodies were observed. Pre</w:t>
      </w:r>
      <w:r w:rsidRPr="003D30C6">
        <w:rPr>
          <w:rFonts w:asciiTheme="majorHAnsi" w:hAnsiTheme="majorHAnsi"/>
        </w:rPr>
        <w:noBreakHyphen/>
        <w:t>existing anti-tafasitamab antibodies were detected in 17/245 patients (6.9%) with no impact on pharmacokinetics, efficacy or safety of tafasitamab.</w:t>
      </w:r>
    </w:p>
    <w:p w14:paraId="61A53445" w14:textId="77777777" w:rsidR="005A253F" w:rsidRPr="00486BA8" w:rsidRDefault="005A253F" w:rsidP="005A253F">
      <w:pPr>
        <w:autoSpaceDE w:val="0"/>
        <w:autoSpaceDN w:val="0"/>
        <w:adjustRightInd w:val="0"/>
        <w:spacing w:line="240" w:lineRule="auto"/>
        <w:jc w:val="both"/>
        <w:rPr>
          <w:rFonts w:asciiTheme="majorHAnsi" w:hAnsiTheme="majorHAnsi"/>
          <w:u w:val="single"/>
        </w:rPr>
      </w:pPr>
      <w:r w:rsidRPr="00486BA8">
        <w:rPr>
          <w:rFonts w:asciiTheme="majorHAnsi" w:hAnsiTheme="majorHAnsi"/>
          <w:u w:val="single"/>
        </w:rPr>
        <w:t>Special populations</w:t>
      </w:r>
    </w:p>
    <w:p w14:paraId="56BB2191" w14:textId="77777777" w:rsidR="005A253F" w:rsidRPr="00486BA8" w:rsidRDefault="005A253F" w:rsidP="005A253F">
      <w:pPr>
        <w:autoSpaceDE w:val="0"/>
        <w:autoSpaceDN w:val="0"/>
        <w:adjustRightInd w:val="0"/>
        <w:spacing w:line="240" w:lineRule="auto"/>
        <w:contextualSpacing/>
        <w:rPr>
          <w:rFonts w:asciiTheme="majorHAnsi" w:hAnsiTheme="majorHAnsi"/>
        </w:rPr>
      </w:pPr>
      <w:r w:rsidRPr="00486BA8">
        <w:rPr>
          <w:rFonts w:asciiTheme="majorHAnsi" w:hAnsiTheme="majorHAnsi"/>
          <w:i/>
          <w:iCs/>
        </w:rPr>
        <w:t>Elderly</w:t>
      </w:r>
    </w:p>
    <w:p w14:paraId="2EF21ACA" w14:textId="4861DEE1" w:rsidR="00163EBA" w:rsidRPr="003D30C6" w:rsidRDefault="005A253F" w:rsidP="000448E0">
      <w:pPr>
        <w:spacing w:line="240" w:lineRule="auto"/>
        <w:rPr>
          <w:rFonts w:asciiTheme="majorHAnsi" w:hAnsiTheme="majorHAnsi"/>
        </w:rPr>
      </w:pPr>
      <w:r w:rsidRPr="00EF3360">
        <w:rPr>
          <w:rFonts w:asciiTheme="majorHAnsi" w:hAnsiTheme="majorHAnsi"/>
        </w:rPr>
        <w:t>Among 81 patients treated in the L</w:t>
      </w:r>
      <w:r w:rsidRPr="00EF3360">
        <w:rPr>
          <w:rFonts w:asciiTheme="majorHAnsi" w:hAnsiTheme="majorHAnsi"/>
        </w:rPr>
        <w:noBreakHyphen/>
        <w:t>MIND study, 56 (69%) </w:t>
      </w:r>
      <w:r w:rsidRPr="003D30C6">
        <w:rPr>
          <w:rFonts w:asciiTheme="majorHAnsi" w:hAnsiTheme="majorHAnsi"/>
        </w:rPr>
        <w:t xml:space="preserve">patients were &gt; 65 years of age. Patients &gt; 65 years of age had a numerically higher incidence of serious treatment emergent adverse events (TEAEs) (55%) than patients ≤ 65 years (44%). </w:t>
      </w:r>
    </w:p>
    <w:p w14:paraId="7F7FBA59" w14:textId="77777777" w:rsidR="001A3992" w:rsidRPr="003D30C6" w:rsidRDefault="001A3992" w:rsidP="001A3992">
      <w:pPr>
        <w:pStyle w:val="Heading2"/>
        <w:keepNext/>
        <w:keepLines/>
        <w:spacing w:before="0" w:after="120"/>
      </w:pPr>
      <w:r w:rsidRPr="003D30C6">
        <w:t>Overdose</w:t>
      </w:r>
    </w:p>
    <w:p w14:paraId="2E2AA2E6" w14:textId="4B074A9B" w:rsidR="00D67BB8" w:rsidRPr="00486BA8" w:rsidRDefault="00D67BB8" w:rsidP="00D67BB8">
      <w:pPr>
        <w:keepNext/>
        <w:keepLines/>
        <w:spacing w:line="240" w:lineRule="auto"/>
        <w:rPr>
          <w:rFonts w:asciiTheme="majorHAnsi" w:hAnsiTheme="majorHAnsi"/>
        </w:rPr>
      </w:pPr>
      <w:r w:rsidRPr="00486BA8">
        <w:rPr>
          <w:rFonts w:asciiTheme="majorHAnsi" w:hAnsiTheme="majorHAnsi"/>
        </w:rPr>
        <w:t>In the case of an overdose, patients should be carefully observed for signs or symptoms of adverse reactions and supportive care should be administered, as appropriate.</w:t>
      </w:r>
    </w:p>
    <w:p w14:paraId="621CD98C" w14:textId="70A612C2" w:rsidR="005B2812" w:rsidRPr="003D30C6" w:rsidRDefault="005B2812" w:rsidP="005B2812">
      <w:r w:rsidRPr="00486BA8">
        <w:rPr>
          <w:rFonts w:asciiTheme="majorHAnsi" w:hAnsiTheme="majorHAnsi" w:cstheme="minorHAnsi"/>
          <w:lang w:val="en"/>
        </w:rPr>
        <w:t>For information on the management of overdose, contact the Poisons Information Centre on 13 11 26 (Australia).</w:t>
      </w:r>
    </w:p>
    <w:p w14:paraId="07D2BB63" w14:textId="77777777" w:rsidR="001A3992" w:rsidRPr="003D30C6" w:rsidRDefault="001A3992" w:rsidP="001A3992">
      <w:pPr>
        <w:pStyle w:val="Heading1"/>
        <w:spacing w:before="0" w:after="120"/>
        <w:rPr>
          <w:lang w:val="en-US"/>
        </w:rPr>
      </w:pPr>
      <w:r w:rsidRPr="003D30C6">
        <w:rPr>
          <w:lang w:val="en-US"/>
        </w:rPr>
        <w:t>Pharmacological properties</w:t>
      </w:r>
    </w:p>
    <w:p w14:paraId="3A6B6B2E" w14:textId="77777777" w:rsidR="001A3992" w:rsidRPr="003D30C6" w:rsidRDefault="001A3992" w:rsidP="001A3992">
      <w:pPr>
        <w:pStyle w:val="Heading2"/>
        <w:spacing w:before="0" w:after="120"/>
        <w:rPr>
          <w:lang w:val="en-US"/>
        </w:rPr>
      </w:pPr>
      <w:r w:rsidRPr="003D30C6">
        <w:rPr>
          <w:lang w:val="en-US"/>
        </w:rPr>
        <w:t xml:space="preserve">Pharmacodynamic properties </w:t>
      </w:r>
    </w:p>
    <w:p w14:paraId="0ECFF72A" w14:textId="0496F4C9" w:rsidR="00194481" w:rsidRPr="00402611" w:rsidRDefault="00194481" w:rsidP="00402611">
      <w:pPr>
        <w:rPr>
          <w:rFonts w:asciiTheme="majorHAnsi" w:eastAsia="Times New Roman" w:hAnsiTheme="majorHAnsi" w:cs="Times New Roman"/>
          <w:lang w:eastAsia="en-GB"/>
        </w:rPr>
      </w:pPr>
      <w:r w:rsidRPr="00402611">
        <w:rPr>
          <w:rFonts w:asciiTheme="majorHAnsi" w:hAnsiTheme="majorHAnsi"/>
        </w:rPr>
        <w:t xml:space="preserve">Pharmacotherapeutic group: Antineoplastic agents, monoclonal antibodies, ATC code: </w:t>
      </w:r>
      <w:r w:rsidR="00402611" w:rsidRPr="00402611">
        <w:rPr>
          <w:rFonts w:asciiTheme="majorHAnsi" w:eastAsia="Times New Roman" w:hAnsiTheme="majorHAnsi" w:cs="Times New Roman"/>
          <w:color w:val="000000"/>
          <w:lang w:eastAsia="en-GB"/>
        </w:rPr>
        <w:t>L01FX12</w:t>
      </w:r>
      <w:r w:rsidRPr="00402611">
        <w:rPr>
          <w:rFonts w:asciiTheme="majorHAnsi" w:hAnsiTheme="majorHAnsi"/>
        </w:rPr>
        <w:t>.</w:t>
      </w:r>
    </w:p>
    <w:p w14:paraId="45FB8F9D" w14:textId="77777777" w:rsidR="001A3992" w:rsidRPr="00486BA8" w:rsidRDefault="001A3992" w:rsidP="003F5A45">
      <w:pPr>
        <w:pStyle w:val="Heading3"/>
        <w:spacing w:before="0" w:after="120"/>
        <w:ind w:left="0"/>
      </w:pPr>
      <w:r w:rsidRPr="00486BA8">
        <w:t>Mechanism of action</w:t>
      </w:r>
    </w:p>
    <w:p w14:paraId="7D05C798" w14:textId="77777777" w:rsidR="007C1ED8" w:rsidRPr="00486BA8" w:rsidRDefault="007C1ED8" w:rsidP="003F5A45">
      <w:pPr>
        <w:autoSpaceDE w:val="0"/>
        <w:autoSpaceDN w:val="0"/>
        <w:adjustRightInd w:val="0"/>
        <w:spacing w:line="240" w:lineRule="auto"/>
        <w:rPr>
          <w:rFonts w:asciiTheme="majorHAnsi" w:hAnsiTheme="majorHAnsi"/>
        </w:rPr>
      </w:pPr>
      <w:r w:rsidRPr="00486BA8">
        <w:rPr>
          <w:rFonts w:asciiTheme="majorHAnsi" w:hAnsiTheme="majorHAnsi"/>
        </w:rPr>
        <w:t>Tafasitamab is an Fc-enhanced monoclonal antibody that targets the CD19 antigen expressed on the surface of pre-B and mature B lymphocytes.</w:t>
      </w:r>
    </w:p>
    <w:p w14:paraId="2E315E5D" w14:textId="77777777" w:rsidR="007C1ED8" w:rsidRPr="00EF3360" w:rsidRDefault="007C1ED8" w:rsidP="003F5A45">
      <w:pPr>
        <w:autoSpaceDE w:val="0"/>
        <w:autoSpaceDN w:val="0"/>
        <w:adjustRightInd w:val="0"/>
        <w:spacing w:line="240" w:lineRule="auto"/>
        <w:rPr>
          <w:rFonts w:asciiTheme="majorHAnsi" w:hAnsiTheme="majorHAnsi"/>
        </w:rPr>
      </w:pPr>
      <w:r w:rsidRPr="00EF3360">
        <w:rPr>
          <w:rFonts w:asciiTheme="majorHAnsi" w:hAnsiTheme="majorHAnsi"/>
        </w:rPr>
        <w:t>Upon binding to CD19, tafasitamab mediates B-cell lysis through:</w:t>
      </w:r>
    </w:p>
    <w:p w14:paraId="36FDDF11" w14:textId="77777777" w:rsidR="007C1ED8" w:rsidRPr="00EF3360" w:rsidRDefault="007C1ED8" w:rsidP="003F5A45">
      <w:pPr>
        <w:pStyle w:val="ListParagraph"/>
        <w:numPr>
          <w:ilvl w:val="0"/>
          <w:numId w:val="14"/>
        </w:numPr>
        <w:spacing w:after="0" w:line="240" w:lineRule="auto"/>
        <w:ind w:left="0" w:firstLine="0"/>
        <w:rPr>
          <w:rFonts w:asciiTheme="majorHAnsi" w:hAnsiTheme="majorHAnsi"/>
          <w:color w:val="000000" w:themeColor="text1"/>
          <w:lang w:val="en-GB"/>
        </w:rPr>
      </w:pPr>
      <w:r w:rsidRPr="00EF3360">
        <w:rPr>
          <w:rFonts w:asciiTheme="majorHAnsi" w:eastAsia="MS Mincho" w:hAnsiTheme="majorHAnsi"/>
          <w:color w:val="000000" w:themeColor="text1"/>
          <w:lang w:val="en-GB"/>
        </w:rPr>
        <w:t>engagement</w:t>
      </w:r>
      <w:r w:rsidRPr="00EF3360">
        <w:rPr>
          <w:rFonts w:asciiTheme="majorHAnsi" w:hAnsiTheme="majorHAnsi"/>
          <w:color w:val="000000" w:themeColor="text1"/>
          <w:lang w:val="en-GB"/>
        </w:rPr>
        <w:t xml:space="preserve"> of immune effector cells like natural killer cells, </w:t>
      </w:r>
      <w:proofErr w:type="spellStart"/>
      <w:r w:rsidRPr="00EF3360">
        <w:rPr>
          <w:rFonts w:asciiTheme="majorHAnsi" w:hAnsiTheme="majorHAnsi"/>
          <w:color w:val="000000" w:themeColor="text1"/>
          <w:lang w:val="en-GB"/>
        </w:rPr>
        <w:t>γδ</w:t>
      </w:r>
      <w:proofErr w:type="spellEnd"/>
      <w:r w:rsidRPr="00EF3360">
        <w:rPr>
          <w:rFonts w:asciiTheme="majorHAnsi" w:hAnsiTheme="majorHAnsi"/>
          <w:color w:val="000000" w:themeColor="text1"/>
          <w:lang w:val="en-GB"/>
        </w:rPr>
        <w:t xml:space="preserve"> T cells and phagocytes</w:t>
      </w:r>
    </w:p>
    <w:p w14:paraId="44635B61" w14:textId="77777777" w:rsidR="007C1ED8" w:rsidRPr="003D30C6" w:rsidRDefault="007C1ED8" w:rsidP="003F5A45">
      <w:pPr>
        <w:pStyle w:val="ListParagraph"/>
        <w:numPr>
          <w:ilvl w:val="0"/>
          <w:numId w:val="14"/>
        </w:numPr>
        <w:spacing w:after="0" w:line="240" w:lineRule="auto"/>
        <w:ind w:left="0" w:firstLine="0"/>
        <w:rPr>
          <w:rFonts w:asciiTheme="majorHAnsi" w:hAnsiTheme="majorHAnsi"/>
          <w:color w:val="000000" w:themeColor="text1"/>
          <w:lang w:val="en-GB"/>
        </w:rPr>
      </w:pPr>
      <w:r w:rsidRPr="003D30C6">
        <w:rPr>
          <w:rFonts w:asciiTheme="majorHAnsi" w:hAnsiTheme="majorHAnsi"/>
          <w:color w:val="000000" w:themeColor="text1"/>
          <w:lang w:val="en-GB"/>
        </w:rPr>
        <w:t xml:space="preserve">direct </w:t>
      </w:r>
      <w:r w:rsidRPr="003D30C6">
        <w:rPr>
          <w:rFonts w:asciiTheme="majorHAnsi" w:eastAsia="MS Mincho" w:hAnsiTheme="majorHAnsi"/>
          <w:color w:val="000000" w:themeColor="text1"/>
          <w:lang w:val="en-GB"/>
        </w:rPr>
        <w:t>induction</w:t>
      </w:r>
      <w:r w:rsidRPr="003D30C6">
        <w:rPr>
          <w:rFonts w:asciiTheme="majorHAnsi" w:hAnsiTheme="majorHAnsi"/>
          <w:color w:val="000000" w:themeColor="text1"/>
          <w:lang w:val="en-GB"/>
        </w:rPr>
        <w:t xml:space="preserve"> of cell death (apoptosis)</w:t>
      </w:r>
    </w:p>
    <w:p w14:paraId="05AAC0F1" w14:textId="77777777" w:rsidR="007C1ED8" w:rsidRPr="003D30C6" w:rsidRDefault="007C1ED8" w:rsidP="003F5A45">
      <w:pPr>
        <w:autoSpaceDE w:val="0"/>
        <w:autoSpaceDN w:val="0"/>
        <w:adjustRightInd w:val="0"/>
        <w:spacing w:after="0" w:line="240" w:lineRule="auto"/>
        <w:rPr>
          <w:rFonts w:asciiTheme="majorHAnsi" w:hAnsiTheme="majorHAnsi"/>
        </w:rPr>
      </w:pPr>
    </w:p>
    <w:p w14:paraId="7456ACE9" w14:textId="27BC80ED" w:rsidR="007C1ED8" w:rsidRPr="003D30C6" w:rsidRDefault="007C1ED8" w:rsidP="003F5A45">
      <w:pPr>
        <w:autoSpaceDE w:val="0"/>
        <w:autoSpaceDN w:val="0"/>
        <w:adjustRightInd w:val="0"/>
        <w:spacing w:line="240" w:lineRule="auto"/>
        <w:rPr>
          <w:rFonts w:asciiTheme="majorHAnsi" w:hAnsiTheme="majorHAnsi"/>
        </w:rPr>
      </w:pPr>
      <w:r w:rsidRPr="003D30C6">
        <w:rPr>
          <w:rFonts w:asciiTheme="majorHAnsi" w:hAnsiTheme="majorHAnsi"/>
        </w:rPr>
        <w:t>The Fc modification results in enhanced antibody-dependent cellular cytotoxicity and antibody</w:t>
      </w:r>
      <w:r w:rsidRPr="003D30C6">
        <w:rPr>
          <w:rFonts w:asciiTheme="majorHAnsi" w:hAnsiTheme="majorHAnsi"/>
        </w:rPr>
        <w:noBreakHyphen/>
        <w:t>dependent cellular phagocytosis.</w:t>
      </w:r>
    </w:p>
    <w:p w14:paraId="5B47CB7B" w14:textId="58E75F03" w:rsidR="00BF53D1" w:rsidRPr="003D30C6" w:rsidRDefault="00BF53D1" w:rsidP="003F5A45">
      <w:pPr>
        <w:pStyle w:val="Heading3"/>
        <w:spacing w:before="0" w:after="120"/>
        <w:ind w:left="0"/>
      </w:pPr>
      <w:r w:rsidRPr="003D30C6">
        <w:t>Pharmacodynamic effects</w:t>
      </w:r>
    </w:p>
    <w:p w14:paraId="1BF3163E" w14:textId="77777777" w:rsidR="00BC4932" w:rsidRPr="003D30C6" w:rsidRDefault="00BC4932" w:rsidP="003F5A45">
      <w:pPr>
        <w:spacing w:line="240" w:lineRule="auto"/>
        <w:rPr>
          <w:rFonts w:asciiTheme="majorHAnsi" w:hAnsiTheme="majorHAnsi"/>
        </w:rPr>
      </w:pPr>
      <w:r w:rsidRPr="003D30C6">
        <w:rPr>
          <w:rFonts w:asciiTheme="majorHAnsi" w:hAnsiTheme="majorHAnsi"/>
        </w:rPr>
        <w:t>In patients with relapsed or refractory DLBCL, tafasitamab led to a reduction in peripheral blood B</w:t>
      </w:r>
      <w:r w:rsidRPr="003D30C6">
        <w:rPr>
          <w:rFonts w:asciiTheme="majorHAnsi" w:hAnsiTheme="majorHAnsi"/>
        </w:rPr>
        <w:noBreakHyphen/>
        <w:t>cell counts. The reduction relative to baseline B</w:t>
      </w:r>
      <w:r w:rsidRPr="003D30C6">
        <w:rPr>
          <w:rFonts w:asciiTheme="majorHAnsi" w:hAnsiTheme="majorHAnsi"/>
        </w:rPr>
        <w:noBreakHyphen/>
        <w:t xml:space="preserve">cell count reached 97% after eight days </w:t>
      </w:r>
      <w:r w:rsidRPr="003D30C6">
        <w:rPr>
          <w:rFonts w:asciiTheme="majorHAnsi" w:hAnsiTheme="majorHAnsi"/>
        </w:rPr>
        <w:lastRenderedPageBreak/>
        <w:t>of treatment in the L</w:t>
      </w:r>
      <w:r w:rsidRPr="003D30C6">
        <w:rPr>
          <w:rFonts w:asciiTheme="majorHAnsi" w:hAnsiTheme="majorHAnsi"/>
        </w:rPr>
        <w:noBreakHyphen/>
        <w:t>MIND study. The maximum B</w:t>
      </w:r>
      <w:r w:rsidRPr="003D30C6">
        <w:rPr>
          <w:rFonts w:asciiTheme="majorHAnsi" w:hAnsiTheme="majorHAnsi"/>
        </w:rPr>
        <w:noBreakHyphen/>
        <w:t xml:space="preserve">cell reduction at approximately 100% (median) was reached within 16 weeks of treatment. </w:t>
      </w:r>
    </w:p>
    <w:p w14:paraId="57A90C55" w14:textId="77777777" w:rsidR="00BC4932" w:rsidRPr="003D30C6" w:rsidRDefault="00BC4932" w:rsidP="003F5A45">
      <w:pPr>
        <w:spacing w:line="240" w:lineRule="auto"/>
        <w:rPr>
          <w:rFonts w:asciiTheme="majorHAnsi" w:hAnsiTheme="majorHAnsi"/>
        </w:rPr>
      </w:pPr>
      <w:r w:rsidRPr="003D30C6">
        <w:rPr>
          <w:rFonts w:asciiTheme="majorHAnsi" w:hAnsiTheme="majorHAnsi"/>
        </w:rPr>
        <w:t>Although the depletion of B</w:t>
      </w:r>
      <w:r w:rsidRPr="003D30C6">
        <w:rPr>
          <w:rFonts w:asciiTheme="majorHAnsi" w:hAnsiTheme="majorHAnsi"/>
        </w:rPr>
        <w:noBreakHyphen/>
        <w:t>cells in the peripheral blood is a measurable pharmacodynamic effect, it is not directly correlated with the depletion of B</w:t>
      </w:r>
      <w:r w:rsidRPr="003D30C6">
        <w:rPr>
          <w:rFonts w:asciiTheme="majorHAnsi" w:hAnsiTheme="majorHAnsi"/>
        </w:rPr>
        <w:noBreakHyphen/>
        <w:t>cells in solid organs or in malignant deposits.</w:t>
      </w:r>
    </w:p>
    <w:p w14:paraId="5EC153F3" w14:textId="77777777" w:rsidR="001A3992" w:rsidRPr="003D30C6" w:rsidRDefault="001A3992" w:rsidP="003F5A45">
      <w:pPr>
        <w:pStyle w:val="Heading3"/>
        <w:spacing w:before="0" w:after="120"/>
        <w:ind w:left="0"/>
        <w:rPr>
          <w:lang w:val="en-US"/>
        </w:rPr>
      </w:pPr>
      <w:r w:rsidRPr="003D30C6">
        <w:t>Clinical</w:t>
      </w:r>
      <w:r w:rsidRPr="003D30C6">
        <w:rPr>
          <w:lang w:val="en-US"/>
        </w:rPr>
        <w:t xml:space="preserve"> trials</w:t>
      </w:r>
    </w:p>
    <w:p w14:paraId="5D110786" w14:textId="77777777" w:rsidR="00B2553D" w:rsidRPr="00486BA8" w:rsidRDefault="00B2553D" w:rsidP="003F5A45">
      <w:pPr>
        <w:spacing w:line="240" w:lineRule="auto"/>
        <w:rPr>
          <w:rFonts w:asciiTheme="majorHAnsi" w:hAnsiTheme="majorHAnsi"/>
        </w:rPr>
      </w:pPr>
      <w:r w:rsidRPr="00486BA8">
        <w:rPr>
          <w:rFonts w:asciiTheme="majorHAnsi" w:hAnsiTheme="majorHAnsi"/>
        </w:rPr>
        <w:t>Tafasitamab plus lenalidomide followed by tafasitamab monotherapy was studied in the L</w:t>
      </w:r>
      <w:r w:rsidRPr="00486BA8">
        <w:rPr>
          <w:rFonts w:asciiTheme="majorHAnsi" w:hAnsiTheme="majorHAnsi"/>
        </w:rPr>
        <w:noBreakHyphen/>
        <w:t>MIND study, an open-label multicentre single-arm study. This study was conducted in adult patients with relapsed or refractory DLBCL after 1 to 3 </w:t>
      </w:r>
      <w:proofErr w:type="gramStart"/>
      <w:r w:rsidRPr="00486BA8">
        <w:rPr>
          <w:rFonts w:asciiTheme="majorHAnsi" w:hAnsiTheme="majorHAnsi"/>
        </w:rPr>
        <w:t>prior</w:t>
      </w:r>
      <w:proofErr w:type="gramEnd"/>
      <w:r w:rsidRPr="00486BA8">
        <w:rPr>
          <w:rFonts w:asciiTheme="majorHAnsi" w:hAnsiTheme="majorHAnsi"/>
        </w:rPr>
        <w:t xml:space="preserve"> systemic DLBCL therapies, who at the time of the trial were not candidates for high dose chemotherapy followed by ASCT or who had refused ASCT. One of the prior systemic therapies had to include a CD20 targeted therapy. The study excluded patients with severe hepatic impairment (total serum bilirubin &gt; 3 mg/dL) and patients with renal impairment (</w:t>
      </w:r>
      <w:proofErr w:type="spellStart"/>
      <w:r w:rsidRPr="00486BA8">
        <w:rPr>
          <w:rFonts w:asciiTheme="majorHAnsi" w:hAnsiTheme="majorHAnsi"/>
        </w:rPr>
        <w:t>CrCL</w:t>
      </w:r>
      <w:proofErr w:type="spellEnd"/>
      <w:r w:rsidRPr="00486BA8">
        <w:rPr>
          <w:rFonts w:asciiTheme="majorHAnsi" w:hAnsiTheme="majorHAnsi"/>
        </w:rPr>
        <w:t>&lt; 60 mL/min.), as well as patients with history or evidence of clinically significant cardiovascular, CNS and/or other systemic disease. Patients with a known history of “double/triple</w:t>
      </w:r>
      <w:r w:rsidRPr="00486BA8">
        <w:rPr>
          <w:rFonts w:asciiTheme="majorHAnsi" w:hAnsiTheme="majorHAnsi"/>
        </w:rPr>
        <w:noBreakHyphen/>
        <w:t>hit” genetics DLBCL were also excluded at study entry.</w:t>
      </w:r>
    </w:p>
    <w:p w14:paraId="36A4389C" w14:textId="77777777" w:rsidR="00B2553D" w:rsidRPr="00EF3360" w:rsidRDefault="00B2553D" w:rsidP="003F5A45">
      <w:pPr>
        <w:spacing w:line="240" w:lineRule="auto"/>
        <w:rPr>
          <w:rFonts w:asciiTheme="majorHAnsi" w:hAnsiTheme="majorHAnsi"/>
        </w:rPr>
      </w:pPr>
      <w:r w:rsidRPr="00EF3360">
        <w:rPr>
          <w:rFonts w:asciiTheme="majorHAnsi" w:hAnsiTheme="majorHAnsi"/>
        </w:rPr>
        <w:t>For the first three cycles, patients received 12 mg/kg tafasitamab via infusion on day 1, 8, 15 and 22 of each 28</w:t>
      </w:r>
      <w:r w:rsidRPr="00EF3360">
        <w:rPr>
          <w:rFonts w:asciiTheme="majorHAnsi" w:hAnsiTheme="majorHAnsi"/>
        </w:rPr>
        <w:noBreakHyphen/>
        <w:t xml:space="preserve">day cycle, plus a loading dose on day 4 of cycle 1. Thereafter, tafasitamab was administered on days 1 and 15 of each cycle until disease progression. Pre-medication including antipyretics, histamine H1 and H2 receptor blockers and </w:t>
      </w:r>
      <w:proofErr w:type="spellStart"/>
      <w:r w:rsidRPr="00EF3360">
        <w:rPr>
          <w:rFonts w:asciiTheme="majorHAnsi" w:hAnsiTheme="majorHAnsi"/>
        </w:rPr>
        <w:t>glucocorticosteroids</w:t>
      </w:r>
      <w:proofErr w:type="spellEnd"/>
      <w:r w:rsidRPr="00EF3360">
        <w:rPr>
          <w:rFonts w:asciiTheme="majorHAnsi" w:hAnsiTheme="majorHAnsi"/>
        </w:rPr>
        <w:t xml:space="preserve"> was given 30 to 120 minutes prior to the first three tafasitamab infusions. </w:t>
      </w:r>
    </w:p>
    <w:p w14:paraId="442D7D43" w14:textId="77777777" w:rsidR="00B2553D" w:rsidRPr="00EF3360" w:rsidRDefault="00B2553D" w:rsidP="003F5A45">
      <w:pPr>
        <w:spacing w:line="240" w:lineRule="auto"/>
        <w:rPr>
          <w:rFonts w:asciiTheme="majorHAnsi" w:hAnsiTheme="majorHAnsi"/>
        </w:rPr>
      </w:pPr>
      <w:r w:rsidRPr="00EF3360">
        <w:rPr>
          <w:rFonts w:asciiTheme="majorHAnsi" w:hAnsiTheme="majorHAnsi"/>
        </w:rPr>
        <w:t>Patients self-administered 25 mg lenalidomide daily on days 1 to 21 of each 28</w:t>
      </w:r>
      <w:r w:rsidRPr="00EF3360">
        <w:rPr>
          <w:rFonts w:asciiTheme="majorHAnsi" w:hAnsiTheme="majorHAnsi"/>
        </w:rPr>
        <w:noBreakHyphen/>
        <w:t>day cycle, up to 12 cycles.</w:t>
      </w:r>
    </w:p>
    <w:p w14:paraId="382B7029" w14:textId="08A91ADB" w:rsidR="00B2553D" w:rsidRPr="003D30C6" w:rsidRDefault="00B2553D" w:rsidP="621775DF">
      <w:pPr>
        <w:spacing w:line="240" w:lineRule="auto"/>
        <w:rPr>
          <w:rFonts w:asciiTheme="majorHAnsi" w:hAnsiTheme="majorHAnsi"/>
        </w:rPr>
      </w:pPr>
      <w:r w:rsidRPr="621775DF">
        <w:rPr>
          <w:rFonts w:asciiTheme="majorHAnsi" w:hAnsiTheme="majorHAnsi"/>
        </w:rPr>
        <w:t xml:space="preserve">A total of 81 patients were enrolled in the LMIND study. The median age was 72 years (range 41 to 86 years), 89% were white and 54% were males. Out of 81 patients, 74 (91.4%) had ECOG performance score of 0 or 1 and 7 (8.6%) had ECOG score of 2. The median number of prior therapies was two (range: 1 to 4), with 40 patients (49.4%) receiving one prior therapy and 35 patients (43.2%) receiving 2 prior lines of treatment. Five patients (6.2%) had 3 prior lines of therapies and 1 (1.2%) had 4 prior lines of treatment. All patients had received a prior </w:t>
      </w:r>
      <w:r w:rsidR="1F72DEF4" w:rsidRPr="621775DF">
        <w:rPr>
          <w:rFonts w:asciiTheme="majorHAnsi" w:hAnsiTheme="majorHAnsi"/>
        </w:rPr>
        <w:t>anti-</w:t>
      </w:r>
      <w:r w:rsidRPr="621775DF">
        <w:rPr>
          <w:rFonts w:asciiTheme="majorHAnsi" w:hAnsiTheme="majorHAnsi"/>
        </w:rPr>
        <w:t>CD20</w:t>
      </w:r>
      <w:r w:rsidR="000E750E">
        <w:rPr>
          <w:rFonts w:asciiTheme="majorHAnsi" w:hAnsiTheme="majorHAnsi"/>
        </w:rPr>
        <w:t>-</w:t>
      </w:r>
      <w:r w:rsidRPr="621775DF">
        <w:rPr>
          <w:rFonts w:asciiTheme="majorHAnsi" w:hAnsiTheme="majorHAnsi"/>
        </w:rPr>
        <w:t xml:space="preserve">containing therapy. Eight patients had a diagnosis of DLBCL transformed from </w:t>
      </w:r>
      <w:proofErr w:type="spellStart"/>
      <w:r w:rsidRPr="621775DF">
        <w:rPr>
          <w:rFonts w:asciiTheme="majorHAnsi" w:hAnsiTheme="majorHAnsi"/>
        </w:rPr>
        <w:t>lowgrade</w:t>
      </w:r>
      <w:proofErr w:type="spellEnd"/>
      <w:r w:rsidRPr="621775DF">
        <w:rPr>
          <w:rFonts w:asciiTheme="majorHAnsi" w:hAnsiTheme="majorHAnsi"/>
        </w:rPr>
        <w:t xml:space="preserve"> lymphoma. Fifteen patients (18.5%) had primary refractory disease, 36 (44.4%) were refractory to their last prior therapy, and 34 (42.0%) were refractory to rituximab. Nine patients (11.1%) had received prior ASCT. The primary reasons for patients not being candidates for ASCT included age (45.7%), refractory to salvage chemotherapy (23.5%), comorbidities (13.6%) and refusal of high dose chemotherapy/ASCT (16.0%).</w:t>
      </w:r>
    </w:p>
    <w:p w14:paraId="7C71CC47" w14:textId="77777777" w:rsidR="00B2553D" w:rsidRPr="003D30C6" w:rsidRDefault="00B2553D" w:rsidP="003F5A45">
      <w:pPr>
        <w:spacing w:line="240" w:lineRule="auto"/>
        <w:jc w:val="both"/>
        <w:rPr>
          <w:rFonts w:asciiTheme="majorHAnsi" w:hAnsiTheme="majorHAnsi"/>
        </w:rPr>
      </w:pPr>
      <w:r w:rsidRPr="003D30C6">
        <w:rPr>
          <w:rFonts w:asciiTheme="majorHAnsi" w:hAnsiTheme="majorHAnsi"/>
        </w:rPr>
        <w:t xml:space="preserve">One patient received tafasitamab, but not lenalidomide. The remaining 80 patients received at least one dose of tafasitamab and lenalidomide. </w:t>
      </w:r>
      <w:r w:rsidRPr="003D30C6">
        <w:rPr>
          <w:rFonts w:asciiTheme="majorHAnsi" w:hAnsiTheme="majorHAnsi"/>
          <w:lang w:val="en-US"/>
        </w:rPr>
        <w:t>All patients enrolled in the L</w:t>
      </w:r>
      <w:r w:rsidRPr="003D30C6">
        <w:rPr>
          <w:rFonts w:asciiTheme="majorHAnsi" w:hAnsiTheme="majorHAnsi"/>
          <w:lang w:val="en-US"/>
        </w:rPr>
        <w:noBreakHyphen/>
        <w:t xml:space="preserve">MIND study had a diagnosis of DLBCL based on local pathology. </w:t>
      </w:r>
      <w:r w:rsidRPr="003D30C6">
        <w:rPr>
          <w:rFonts w:asciiTheme="majorHAnsi" w:hAnsiTheme="majorHAnsi"/>
        </w:rPr>
        <w:t xml:space="preserve">However, as per central pathology review, 10 patients could not be classified as DLBCL. </w:t>
      </w:r>
    </w:p>
    <w:p w14:paraId="34B6C730" w14:textId="77777777" w:rsidR="00B2553D" w:rsidRPr="003D30C6" w:rsidRDefault="00B2553D" w:rsidP="003F5A45">
      <w:pPr>
        <w:spacing w:line="240" w:lineRule="auto"/>
        <w:rPr>
          <w:rFonts w:asciiTheme="majorHAnsi" w:hAnsiTheme="majorHAnsi"/>
        </w:rPr>
      </w:pPr>
      <w:r w:rsidRPr="003D30C6">
        <w:rPr>
          <w:rFonts w:asciiTheme="majorHAnsi" w:hAnsiTheme="majorHAnsi"/>
        </w:rPr>
        <w:t>The median duration of exposure to treatment was 9.2 months (range: 0.23, 54.67 months). Thirty-two (39.5%) patients completed 12 cycles of tafasitamab. Thirty (37.0%) patients completed 12 cycles of lenalidomide.</w:t>
      </w:r>
    </w:p>
    <w:p w14:paraId="39BC2477" w14:textId="77777777" w:rsidR="00B2553D" w:rsidRPr="003D30C6" w:rsidRDefault="00B2553D" w:rsidP="003F5A45">
      <w:pPr>
        <w:spacing w:line="240" w:lineRule="auto"/>
        <w:rPr>
          <w:rFonts w:asciiTheme="majorHAnsi" w:hAnsiTheme="majorHAnsi"/>
        </w:rPr>
      </w:pPr>
      <w:r w:rsidRPr="003D30C6">
        <w:rPr>
          <w:rFonts w:asciiTheme="majorHAnsi" w:hAnsiTheme="majorHAnsi"/>
        </w:rPr>
        <w:t>The primary efficacy endpoint was best objective response rate (ORR), defined as the proportion of complete and partial responders, as assessed by an independent review committee (IRC). Other efficacy endpoints included duration of response (</w:t>
      </w:r>
      <w:proofErr w:type="spellStart"/>
      <w:r w:rsidRPr="003D30C6">
        <w:rPr>
          <w:rFonts w:asciiTheme="majorHAnsi" w:hAnsiTheme="majorHAnsi"/>
        </w:rPr>
        <w:t>DoR</w:t>
      </w:r>
      <w:proofErr w:type="spellEnd"/>
      <w:r w:rsidRPr="003D30C6">
        <w:rPr>
          <w:rFonts w:asciiTheme="majorHAnsi" w:hAnsiTheme="majorHAnsi"/>
        </w:rPr>
        <w:t xml:space="preserve">), progression-free survival (PFS) and overall survival (OS). The efficacy results are summarised in Table 3. </w:t>
      </w:r>
    </w:p>
    <w:p w14:paraId="17C3BA83" w14:textId="77777777" w:rsidR="00B2553D" w:rsidRPr="003D30C6" w:rsidRDefault="00B2553D" w:rsidP="003F5A45">
      <w:pPr>
        <w:pStyle w:val="Caption"/>
        <w:widowControl w:val="0"/>
        <w:spacing w:before="0" w:after="120"/>
        <w:ind w:left="851" w:hanging="851"/>
        <w:rPr>
          <w:rFonts w:asciiTheme="majorHAnsi" w:eastAsia="TimesNewRoman" w:hAnsiTheme="majorHAnsi" w:cs="Times New Roman"/>
          <w:color w:val="000000" w:themeColor="text1"/>
          <w:sz w:val="22"/>
          <w:szCs w:val="22"/>
          <w:lang w:val="en-GB"/>
        </w:rPr>
      </w:pPr>
      <w:r w:rsidRPr="003D30C6">
        <w:rPr>
          <w:rFonts w:asciiTheme="majorHAnsi" w:eastAsia="TimesNewRoman" w:hAnsiTheme="majorHAnsi" w:cs="Times New Roman"/>
          <w:color w:val="000000" w:themeColor="text1"/>
          <w:sz w:val="22"/>
          <w:szCs w:val="22"/>
          <w:lang w:val="en-GB"/>
        </w:rPr>
        <w:lastRenderedPageBreak/>
        <w:t>Table 3:</w:t>
      </w:r>
      <w:r w:rsidRPr="003D30C6">
        <w:rPr>
          <w:rFonts w:asciiTheme="majorHAnsi" w:hAnsiTheme="majorHAnsi" w:cs="Times New Roman"/>
          <w:color w:val="000000" w:themeColor="text1"/>
          <w:lang w:val="en-GB"/>
        </w:rPr>
        <w:tab/>
      </w:r>
      <w:r w:rsidRPr="003D30C6">
        <w:rPr>
          <w:rFonts w:asciiTheme="majorHAnsi" w:hAnsiTheme="majorHAnsi" w:cs="Times New Roman"/>
          <w:color w:val="000000" w:themeColor="text1"/>
          <w:sz w:val="22"/>
          <w:szCs w:val="22"/>
          <w:lang w:val="en-GB"/>
        </w:rPr>
        <w:t>Efficacy results</w:t>
      </w:r>
      <w:r w:rsidRPr="003D30C6">
        <w:rPr>
          <w:rFonts w:asciiTheme="majorHAnsi" w:eastAsia="TimesNewRoman" w:hAnsiTheme="majorHAnsi" w:cs="Times New Roman"/>
          <w:color w:val="000000" w:themeColor="text1"/>
          <w:sz w:val="22"/>
          <w:szCs w:val="22"/>
          <w:lang w:val="en-GB"/>
        </w:rPr>
        <w:t xml:space="preserve"> in patients with relapsed or refractory diffuse large B</w:t>
      </w:r>
      <w:r w:rsidRPr="003D30C6">
        <w:rPr>
          <w:rFonts w:asciiTheme="majorHAnsi" w:eastAsia="TimesNewRoman" w:hAnsiTheme="majorHAnsi" w:cs="Times New Roman"/>
          <w:color w:val="000000" w:themeColor="text1"/>
          <w:sz w:val="22"/>
          <w:szCs w:val="22"/>
          <w:lang w:val="en-GB"/>
        </w:rPr>
        <w:noBreakHyphen/>
        <w:t>cell lymphoma in the MOR208C203 (L</w:t>
      </w:r>
      <w:r w:rsidRPr="003D30C6">
        <w:rPr>
          <w:rFonts w:asciiTheme="majorHAnsi" w:eastAsia="TimesNewRoman" w:hAnsiTheme="majorHAnsi" w:cs="Times New Roman"/>
          <w:color w:val="000000" w:themeColor="text1"/>
          <w:sz w:val="22"/>
          <w:szCs w:val="22"/>
          <w:lang w:val="en-GB"/>
        </w:rPr>
        <w:noBreakHyphen/>
        <w:t>MIND)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602"/>
        <w:gridCol w:w="3017"/>
      </w:tblGrid>
      <w:tr w:rsidR="00B2553D" w:rsidRPr="003D30C6" w14:paraId="13F681BF" w14:textId="77777777" w:rsidTr="001103D1">
        <w:trPr>
          <w:cantSplit/>
        </w:trPr>
        <w:tc>
          <w:tcPr>
            <w:tcW w:w="1884" w:type="pct"/>
            <w:shd w:val="clear" w:color="auto" w:fill="auto"/>
          </w:tcPr>
          <w:p w14:paraId="4AD6E678" w14:textId="77777777" w:rsidR="00B2553D" w:rsidRPr="00486BA8" w:rsidRDefault="00B2553D" w:rsidP="00DC7EB6">
            <w:pPr>
              <w:keepNext/>
              <w:keepLines/>
              <w:widowControl w:val="0"/>
              <w:spacing w:line="240" w:lineRule="auto"/>
              <w:ind w:left="284"/>
              <w:rPr>
                <w:rFonts w:asciiTheme="majorHAnsi" w:hAnsiTheme="majorHAnsi"/>
                <w:b/>
                <w:bCs/>
              </w:rPr>
            </w:pPr>
            <w:r w:rsidRPr="00486BA8">
              <w:rPr>
                <w:rFonts w:asciiTheme="majorHAnsi" w:hAnsiTheme="majorHAnsi"/>
                <w:b/>
                <w:bCs/>
              </w:rPr>
              <w:t>Efficacy parameter</w:t>
            </w:r>
          </w:p>
        </w:tc>
        <w:tc>
          <w:tcPr>
            <w:tcW w:w="3116" w:type="pct"/>
            <w:gridSpan w:val="2"/>
            <w:shd w:val="clear" w:color="auto" w:fill="auto"/>
          </w:tcPr>
          <w:p w14:paraId="315460E3" w14:textId="77777777" w:rsidR="00B2553D" w:rsidRPr="00486BA8" w:rsidRDefault="00B2553D" w:rsidP="00DC7EB6">
            <w:pPr>
              <w:keepNext/>
              <w:keepLines/>
              <w:widowControl w:val="0"/>
              <w:spacing w:line="240" w:lineRule="auto"/>
              <w:ind w:left="284"/>
              <w:jc w:val="center"/>
              <w:rPr>
                <w:rFonts w:asciiTheme="majorHAnsi" w:hAnsiTheme="majorHAnsi"/>
                <w:b/>
                <w:bCs/>
              </w:rPr>
            </w:pPr>
            <w:r w:rsidRPr="00486BA8">
              <w:rPr>
                <w:rFonts w:asciiTheme="majorHAnsi" w:hAnsiTheme="majorHAnsi"/>
                <w:b/>
                <w:bCs/>
              </w:rPr>
              <w:t>Tafasitamab + lenalidomide</w:t>
            </w:r>
          </w:p>
          <w:p w14:paraId="0D15AF66" w14:textId="77777777" w:rsidR="00B2553D" w:rsidRPr="00EF3360" w:rsidRDefault="00B2553D" w:rsidP="00DC7EB6">
            <w:pPr>
              <w:keepNext/>
              <w:keepLines/>
              <w:widowControl w:val="0"/>
              <w:spacing w:line="240" w:lineRule="auto"/>
              <w:ind w:left="284"/>
              <w:jc w:val="center"/>
              <w:rPr>
                <w:rFonts w:asciiTheme="majorHAnsi" w:hAnsiTheme="majorHAnsi"/>
                <w:b/>
                <w:bCs/>
              </w:rPr>
            </w:pPr>
            <w:r w:rsidRPr="00265E9F">
              <w:rPr>
                <w:rFonts w:asciiTheme="majorHAnsi" w:hAnsiTheme="majorHAnsi"/>
              </w:rPr>
              <w:t>(N = 81 [ITT]</w:t>
            </w:r>
            <w:r w:rsidRPr="00EF3360">
              <w:rPr>
                <w:rFonts w:asciiTheme="majorHAnsi" w:hAnsiTheme="majorHAnsi"/>
                <w:vertAlign w:val="superscript"/>
              </w:rPr>
              <w:t>*</w:t>
            </w:r>
            <w:r w:rsidRPr="00EF3360">
              <w:rPr>
                <w:rFonts w:asciiTheme="majorHAnsi" w:hAnsiTheme="majorHAnsi"/>
              </w:rPr>
              <w:t>)</w:t>
            </w:r>
          </w:p>
        </w:tc>
      </w:tr>
      <w:tr w:rsidR="00B2553D" w:rsidRPr="003D30C6" w14:paraId="653D0904" w14:textId="77777777" w:rsidTr="001103D1">
        <w:trPr>
          <w:cantSplit/>
        </w:trPr>
        <w:tc>
          <w:tcPr>
            <w:tcW w:w="1884" w:type="pct"/>
            <w:shd w:val="clear" w:color="auto" w:fill="auto"/>
          </w:tcPr>
          <w:p w14:paraId="72DC3DDF" w14:textId="77777777" w:rsidR="00B2553D" w:rsidRPr="003D30C6" w:rsidRDefault="00B2553D" w:rsidP="00DC7EB6">
            <w:pPr>
              <w:keepNext/>
              <w:keepLines/>
              <w:widowControl w:val="0"/>
              <w:spacing w:after="120" w:line="240" w:lineRule="auto"/>
              <w:ind w:left="284"/>
              <w:rPr>
                <w:rFonts w:asciiTheme="majorHAnsi" w:hAnsiTheme="majorHAnsi"/>
                <w:b/>
                <w:bCs/>
              </w:rPr>
            </w:pPr>
          </w:p>
        </w:tc>
        <w:tc>
          <w:tcPr>
            <w:tcW w:w="1443" w:type="pct"/>
            <w:shd w:val="clear" w:color="auto" w:fill="auto"/>
          </w:tcPr>
          <w:p w14:paraId="063E8AC7" w14:textId="77777777" w:rsidR="00B2553D" w:rsidRPr="003D30C6" w:rsidRDefault="00B2553D" w:rsidP="00DC7EB6">
            <w:pPr>
              <w:keepNext/>
              <w:keepLines/>
              <w:widowControl w:val="0"/>
              <w:spacing w:line="240" w:lineRule="auto"/>
              <w:ind w:left="284"/>
              <w:jc w:val="center"/>
              <w:rPr>
                <w:rFonts w:asciiTheme="majorHAnsi" w:hAnsiTheme="majorHAnsi"/>
                <w:b/>
              </w:rPr>
            </w:pPr>
            <w:r w:rsidRPr="003D30C6">
              <w:rPr>
                <w:rFonts w:asciiTheme="majorHAnsi" w:hAnsiTheme="majorHAnsi"/>
                <w:b/>
              </w:rPr>
              <w:t>30-NOV-2019 cut-off</w:t>
            </w:r>
            <w:r w:rsidRPr="003D30C6">
              <w:rPr>
                <w:rFonts w:asciiTheme="majorHAnsi" w:hAnsiTheme="majorHAnsi"/>
                <w:b/>
              </w:rPr>
              <w:br/>
            </w:r>
            <w:r w:rsidRPr="003D30C6">
              <w:rPr>
                <w:rFonts w:asciiTheme="majorHAnsi" w:hAnsiTheme="majorHAnsi"/>
              </w:rPr>
              <w:t>(24 months analysis)</w:t>
            </w:r>
          </w:p>
        </w:tc>
        <w:tc>
          <w:tcPr>
            <w:tcW w:w="1673" w:type="pct"/>
          </w:tcPr>
          <w:p w14:paraId="7CF27345" w14:textId="77777777" w:rsidR="0049321C" w:rsidRDefault="00B2553D" w:rsidP="001103D1">
            <w:pPr>
              <w:keepNext/>
              <w:keepLines/>
              <w:widowControl w:val="0"/>
              <w:spacing w:after="0" w:line="240" w:lineRule="auto"/>
              <w:ind w:left="284"/>
              <w:jc w:val="center"/>
              <w:rPr>
                <w:rFonts w:asciiTheme="majorHAnsi" w:hAnsiTheme="majorHAnsi"/>
                <w:b/>
              </w:rPr>
            </w:pPr>
            <w:r w:rsidRPr="003D30C6">
              <w:rPr>
                <w:rFonts w:asciiTheme="majorHAnsi" w:hAnsiTheme="majorHAnsi"/>
                <w:b/>
              </w:rPr>
              <w:t>30-OCT-2020 cut-off</w:t>
            </w:r>
          </w:p>
          <w:p w14:paraId="51C748B4" w14:textId="10BB4FD6" w:rsidR="00B2553D" w:rsidRPr="003D30C6" w:rsidRDefault="00B2553D" w:rsidP="001103D1">
            <w:pPr>
              <w:keepNext/>
              <w:keepLines/>
              <w:widowControl w:val="0"/>
              <w:spacing w:after="0" w:line="240" w:lineRule="auto"/>
              <w:ind w:left="284"/>
              <w:jc w:val="center"/>
              <w:rPr>
                <w:rFonts w:asciiTheme="majorHAnsi" w:hAnsiTheme="majorHAnsi"/>
              </w:rPr>
            </w:pPr>
            <w:r w:rsidRPr="003D30C6">
              <w:rPr>
                <w:rFonts w:asciiTheme="majorHAnsi" w:hAnsiTheme="majorHAnsi"/>
              </w:rPr>
              <w:t>(35 months analysis)</w:t>
            </w:r>
          </w:p>
        </w:tc>
      </w:tr>
      <w:tr w:rsidR="00B2553D" w:rsidRPr="003D30C6" w14:paraId="32D17915" w14:textId="77777777" w:rsidTr="00C85C9F">
        <w:trPr>
          <w:cantSplit/>
        </w:trPr>
        <w:tc>
          <w:tcPr>
            <w:tcW w:w="5000" w:type="pct"/>
            <w:gridSpan w:val="3"/>
            <w:shd w:val="clear" w:color="auto" w:fill="auto"/>
            <w:vAlign w:val="center"/>
          </w:tcPr>
          <w:p w14:paraId="718FC04F" w14:textId="77777777" w:rsidR="00B2553D" w:rsidRPr="003D30C6" w:rsidRDefault="00B2553D" w:rsidP="00DC7EB6">
            <w:pPr>
              <w:keepNext/>
              <w:keepLines/>
              <w:widowControl w:val="0"/>
              <w:spacing w:line="240" w:lineRule="auto"/>
              <w:ind w:left="284"/>
              <w:rPr>
                <w:rFonts w:asciiTheme="majorHAnsi" w:hAnsiTheme="majorHAnsi"/>
              </w:rPr>
            </w:pPr>
            <w:r w:rsidRPr="003D30C6">
              <w:rPr>
                <w:rFonts w:asciiTheme="majorHAnsi" w:hAnsiTheme="majorHAnsi"/>
                <w:b/>
                <w:bCs/>
              </w:rPr>
              <w:t>Primary endpoint</w:t>
            </w:r>
          </w:p>
        </w:tc>
      </w:tr>
      <w:tr w:rsidR="00B2553D" w:rsidRPr="003D30C6" w14:paraId="20AFD2A2" w14:textId="77777777" w:rsidTr="00C85C9F">
        <w:trPr>
          <w:cantSplit/>
        </w:trPr>
        <w:tc>
          <w:tcPr>
            <w:tcW w:w="5000" w:type="pct"/>
            <w:gridSpan w:val="3"/>
            <w:shd w:val="clear" w:color="auto" w:fill="auto"/>
            <w:vAlign w:val="center"/>
          </w:tcPr>
          <w:p w14:paraId="291EE123" w14:textId="77777777" w:rsidR="00B2553D" w:rsidRPr="003D30C6" w:rsidRDefault="00B2553D" w:rsidP="00DC7EB6">
            <w:pPr>
              <w:keepNext/>
              <w:keepLines/>
              <w:widowControl w:val="0"/>
              <w:spacing w:line="240" w:lineRule="auto"/>
              <w:ind w:left="284"/>
              <w:rPr>
                <w:rFonts w:asciiTheme="majorHAnsi" w:hAnsiTheme="majorHAnsi"/>
              </w:rPr>
            </w:pPr>
            <w:r w:rsidRPr="003D30C6">
              <w:rPr>
                <w:rFonts w:asciiTheme="majorHAnsi" w:hAnsiTheme="majorHAnsi"/>
                <w:b/>
                <w:bCs/>
              </w:rPr>
              <w:t xml:space="preserve">Best objective response rate </w:t>
            </w:r>
            <w:r w:rsidRPr="003D30C6">
              <w:rPr>
                <w:rFonts w:asciiTheme="majorHAnsi" w:hAnsiTheme="majorHAnsi"/>
              </w:rPr>
              <w:t>(per IRC)</w:t>
            </w:r>
            <w:r w:rsidRPr="003D30C6">
              <w:rPr>
                <w:rFonts w:asciiTheme="majorHAnsi" w:hAnsiTheme="majorHAnsi"/>
                <w:b/>
                <w:bCs/>
              </w:rPr>
              <w:t xml:space="preserve"> </w:t>
            </w:r>
          </w:p>
        </w:tc>
      </w:tr>
      <w:tr w:rsidR="00B2553D" w:rsidRPr="003D30C6" w14:paraId="60E02C34" w14:textId="77777777" w:rsidTr="001103D1">
        <w:trPr>
          <w:cantSplit/>
        </w:trPr>
        <w:tc>
          <w:tcPr>
            <w:tcW w:w="1884" w:type="pct"/>
            <w:shd w:val="clear" w:color="auto" w:fill="auto"/>
          </w:tcPr>
          <w:p w14:paraId="14305F4E" w14:textId="77777777" w:rsidR="00B2553D" w:rsidRPr="003D30C6" w:rsidRDefault="00B2553D" w:rsidP="00DC7EB6">
            <w:pPr>
              <w:keepNext/>
              <w:keepLines/>
              <w:widowControl w:val="0"/>
              <w:spacing w:line="240" w:lineRule="auto"/>
              <w:ind w:left="284"/>
              <w:rPr>
                <w:rFonts w:asciiTheme="majorHAnsi" w:hAnsiTheme="majorHAnsi"/>
              </w:rPr>
            </w:pPr>
            <w:r w:rsidRPr="003D30C6">
              <w:rPr>
                <w:rFonts w:asciiTheme="majorHAnsi" w:hAnsiTheme="majorHAnsi"/>
              </w:rPr>
              <w:t>Overall response rate, n (%)</w:t>
            </w:r>
          </w:p>
          <w:p w14:paraId="1EC4EDA2" w14:textId="77777777" w:rsidR="00B2553D" w:rsidRPr="003D30C6" w:rsidRDefault="00B2553D" w:rsidP="00DC7EB6">
            <w:pPr>
              <w:keepNext/>
              <w:keepLines/>
              <w:widowControl w:val="0"/>
              <w:spacing w:line="240" w:lineRule="auto"/>
              <w:ind w:left="284"/>
              <w:rPr>
                <w:rFonts w:asciiTheme="majorHAnsi" w:hAnsiTheme="majorHAnsi"/>
              </w:rPr>
            </w:pPr>
            <w:r w:rsidRPr="003D30C6">
              <w:rPr>
                <w:rFonts w:asciiTheme="majorHAnsi" w:hAnsiTheme="majorHAnsi"/>
              </w:rPr>
              <w:t>(95% CI)</w:t>
            </w:r>
          </w:p>
        </w:tc>
        <w:tc>
          <w:tcPr>
            <w:tcW w:w="1443" w:type="pct"/>
          </w:tcPr>
          <w:p w14:paraId="03DD1F78" w14:textId="77777777" w:rsidR="00B2553D" w:rsidRPr="003D30C6" w:rsidRDefault="00B2553D" w:rsidP="00DC7EB6">
            <w:pPr>
              <w:keepNext/>
              <w:keepLines/>
              <w:widowControl w:val="0"/>
              <w:spacing w:line="240" w:lineRule="auto"/>
              <w:ind w:left="284"/>
              <w:jc w:val="center"/>
              <w:rPr>
                <w:rFonts w:asciiTheme="majorHAnsi" w:hAnsiTheme="majorHAnsi"/>
              </w:rPr>
            </w:pPr>
            <w:r w:rsidRPr="003D30C6">
              <w:rPr>
                <w:rFonts w:asciiTheme="majorHAnsi" w:hAnsiTheme="majorHAnsi"/>
              </w:rPr>
              <w:t xml:space="preserve">46 (56.8) </w:t>
            </w:r>
          </w:p>
          <w:p w14:paraId="550CFA3C" w14:textId="77777777" w:rsidR="00B2553D" w:rsidRPr="003D30C6" w:rsidRDefault="00B2553D" w:rsidP="00DC7EB6">
            <w:pPr>
              <w:keepNext/>
              <w:keepLines/>
              <w:widowControl w:val="0"/>
              <w:spacing w:line="240" w:lineRule="auto"/>
              <w:ind w:left="284"/>
              <w:jc w:val="center"/>
              <w:rPr>
                <w:rFonts w:asciiTheme="majorHAnsi" w:hAnsiTheme="majorHAnsi"/>
              </w:rPr>
            </w:pPr>
            <w:r w:rsidRPr="003D30C6">
              <w:rPr>
                <w:rFonts w:asciiTheme="majorHAnsi" w:hAnsiTheme="majorHAnsi"/>
              </w:rPr>
              <w:t>[45.3, 67.8]</w:t>
            </w:r>
          </w:p>
        </w:tc>
        <w:tc>
          <w:tcPr>
            <w:tcW w:w="1673" w:type="pct"/>
          </w:tcPr>
          <w:p w14:paraId="6DE8C01D" w14:textId="77777777" w:rsidR="00B2553D" w:rsidRPr="003D30C6" w:rsidRDefault="00B2553D" w:rsidP="00DC7EB6">
            <w:pPr>
              <w:keepNext/>
              <w:keepLines/>
              <w:widowControl w:val="0"/>
              <w:spacing w:line="240" w:lineRule="auto"/>
              <w:ind w:left="284"/>
              <w:jc w:val="center"/>
              <w:rPr>
                <w:rFonts w:asciiTheme="majorHAnsi" w:hAnsiTheme="majorHAnsi"/>
              </w:rPr>
            </w:pPr>
            <w:r w:rsidRPr="003D30C6">
              <w:rPr>
                <w:rFonts w:asciiTheme="majorHAnsi" w:hAnsiTheme="majorHAnsi"/>
              </w:rPr>
              <w:t xml:space="preserve">46 (56.8) </w:t>
            </w:r>
          </w:p>
          <w:p w14:paraId="151EFD18" w14:textId="77777777" w:rsidR="00B2553D" w:rsidRPr="003D30C6" w:rsidRDefault="00B2553D" w:rsidP="00DC7EB6">
            <w:pPr>
              <w:keepNext/>
              <w:keepLines/>
              <w:widowControl w:val="0"/>
              <w:spacing w:line="240" w:lineRule="auto"/>
              <w:ind w:left="284"/>
              <w:jc w:val="center"/>
              <w:rPr>
                <w:rFonts w:asciiTheme="majorHAnsi" w:hAnsiTheme="majorHAnsi"/>
              </w:rPr>
            </w:pPr>
            <w:r w:rsidRPr="003D30C6">
              <w:rPr>
                <w:rFonts w:asciiTheme="majorHAnsi" w:hAnsiTheme="majorHAnsi"/>
              </w:rPr>
              <w:t>[45.3, 67.8]</w:t>
            </w:r>
          </w:p>
        </w:tc>
      </w:tr>
      <w:tr w:rsidR="00B2553D" w:rsidRPr="003D30C6" w14:paraId="6865E9BC" w14:textId="77777777" w:rsidTr="001103D1">
        <w:trPr>
          <w:cantSplit/>
        </w:trPr>
        <w:tc>
          <w:tcPr>
            <w:tcW w:w="1884" w:type="pct"/>
            <w:shd w:val="clear" w:color="auto" w:fill="auto"/>
          </w:tcPr>
          <w:p w14:paraId="130CA05C" w14:textId="77777777" w:rsidR="00B2553D" w:rsidRPr="003D30C6" w:rsidRDefault="00B2553D" w:rsidP="00DC7EB6">
            <w:pPr>
              <w:widowControl w:val="0"/>
              <w:spacing w:line="240" w:lineRule="auto"/>
              <w:ind w:left="284"/>
              <w:rPr>
                <w:rFonts w:asciiTheme="majorHAnsi" w:hAnsiTheme="majorHAnsi"/>
              </w:rPr>
            </w:pPr>
            <w:r w:rsidRPr="003D30C6">
              <w:rPr>
                <w:rFonts w:asciiTheme="majorHAnsi" w:hAnsiTheme="majorHAnsi"/>
              </w:rPr>
              <w:t>Complete response rate, n (%)</w:t>
            </w:r>
          </w:p>
          <w:p w14:paraId="66709840" w14:textId="77777777" w:rsidR="00B2553D" w:rsidRPr="003D30C6" w:rsidRDefault="00B2553D" w:rsidP="00DC7EB6">
            <w:pPr>
              <w:widowControl w:val="0"/>
              <w:spacing w:line="240" w:lineRule="auto"/>
              <w:ind w:left="284"/>
              <w:rPr>
                <w:rFonts w:asciiTheme="majorHAnsi" w:hAnsiTheme="majorHAnsi"/>
              </w:rPr>
            </w:pPr>
            <w:r w:rsidRPr="003D30C6">
              <w:rPr>
                <w:rFonts w:asciiTheme="majorHAnsi" w:hAnsiTheme="majorHAnsi"/>
              </w:rPr>
              <w:t>(95% CI)</w:t>
            </w:r>
          </w:p>
        </w:tc>
        <w:tc>
          <w:tcPr>
            <w:tcW w:w="1443" w:type="pct"/>
          </w:tcPr>
          <w:p w14:paraId="088DBD40"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 xml:space="preserve">32 (39.5) </w:t>
            </w:r>
          </w:p>
          <w:p w14:paraId="40A1E63D"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[28.8, 51.0]</w:t>
            </w:r>
          </w:p>
        </w:tc>
        <w:tc>
          <w:tcPr>
            <w:tcW w:w="1673" w:type="pct"/>
          </w:tcPr>
          <w:p w14:paraId="1E0A8F86"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 xml:space="preserve">32 (39.5) </w:t>
            </w:r>
          </w:p>
          <w:p w14:paraId="1630C799"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[28.8, 51.0]</w:t>
            </w:r>
          </w:p>
        </w:tc>
      </w:tr>
      <w:tr w:rsidR="00B2553D" w:rsidRPr="003D30C6" w14:paraId="35BF467C" w14:textId="77777777" w:rsidTr="001103D1">
        <w:trPr>
          <w:cantSplit/>
        </w:trPr>
        <w:tc>
          <w:tcPr>
            <w:tcW w:w="1884" w:type="pct"/>
            <w:shd w:val="clear" w:color="auto" w:fill="auto"/>
          </w:tcPr>
          <w:p w14:paraId="28C4B122" w14:textId="77777777" w:rsidR="00B2553D" w:rsidRPr="003D30C6" w:rsidRDefault="00B2553D" w:rsidP="00DC7EB6">
            <w:pPr>
              <w:widowControl w:val="0"/>
              <w:spacing w:line="240" w:lineRule="auto"/>
              <w:ind w:left="284"/>
              <w:rPr>
                <w:rFonts w:asciiTheme="majorHAnsi" w:hAnsiTheme="majorHAnsi"/>
              </w:rPr>
            </w:pPr>
            <w:r w:rsidRPr="003D30C6">
              <w:rPr>
                <w:rFonts w:asciiTheme="majorHAnsi" w:hAnsiTheme="majorHAnsi"/>
              </w:rPr>
              <w:t>Partial response rate, n (%)</w:t>
            </w:r>
          </w:p>
          <w:p w14:paraId="1CCC250B" w14:textId="77777777" w:rsidR="00B2553D" w:rsidRPr="003D30C6" w:rsidRDefault="00B2553D" w:rsidP="00DC7EB6">
            <w:pPr>
              <w:widowControl w:val="0"/>
              <w:spacing w:line="240" w:lineRule="auto"/>
              <w:ind w:left="284"/>
              <w:rPr>
                <w:rFonts w:asciiTheme="majorHAnsi" w:hAnsiTheme="majorHAnsi"/>
              </w:rPr>
            </w:pPr>
            <w:r w:rsidRPr="003D30C6">
              <w:rPr>
                <w:rFonts w:asciiTheme="majorHAnsi" w:hAnsiTheme="majorHAnsi"/>
              </w:rPr>
              <w:t>(95% CI)</w:t>
            </w:r>
          </w:p>
        </w:tc>
        <w:tc>
          <w:tcPr>
            <w:tcW w:w="1443" w:type="pct"/>
          </w:tcPr>
          <w:p w14:paraId="5EB5D99B"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 xml:space="preserve">14 (17.3) </w:t>
            </w:r>
          </w:p>
          <w:p w14:paraId="0169FB82"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[ 9.8, 27.3]</w:t>
            </w:r>
          </w:p>
        </w:tc>
        <w:tc>
          <w:tcPr>
            <w:tcW w:w="1673" w:type="pct"/>
          </w:tcPr>
          <w:p w14:paraId="59E268CA"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 xml:space="preserve">14 (17.3) </w:t>
            </w:r>
          </w:p>
          <w:p w14:paraId="5DDB00EC"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[ 9.8, 27.3]</w:t>
            </w:r>
          </w:p>
        </w:tc>
      </w:tr>
      <w:tr w:rsidR="00B2553D" w:rsidRPr="003D30C6" w14:paraId="43680689" w14:textId="77777777" w:rsidTr="00C85C9F">
        <w:trPr>
          <w:cantSplit/>
        </w:trPr>
        <w:tc>
          <w:tcPr>
            <w:tcW w:w="5000" w:type="pct"/>
            <w:gridSpan w:val="3"/>
            <w:shd w:val="clear" w:color="auto" w:fill="auto"/>
            <w:vAlign w:val="center"/>
          </w:tcPr>
          <w:p w14:paraId="05FFDA58" w14:textId="77777777" w:rsidR="00B2553D" w:rsidRPr="003D30C6" w:rsidRDefault="00B2553D" w:rsidP="00DC7EB6">
            <w:pPr>
              <w:widowControl w:val="0"/>
              <w:spacing w:line="240" w:lineRule="auto"/>
              <w:ind w:left="284"/>
              <w:rPr>
                <w:rFonts w:asciiTheme="majorHAnsi" w:hAnsiTheme="majorHAnsi"/>
              </w:rPr>
            </w:pPr>
            <w:r w:rsidRPr="003D30C6">
              <w:rPr>
                <w:rFonts w:asciiTheme="majorHAnsi" w:hAnsiTheme="majorHAnsi"/>
                <w:b/>
                <w:bCs/>
              </w:rPr>
              <w:t>Secondary endpoint</w:t>
            </w:r>
            <w:r w:rsidRPr="003D30C6">
              <w:rPr>
                <w:rFonts w:asciiTheme="majorHAnsi" w:hAnsiTheme="majorHAnsi"/>
                <w:b/>
              </w:rPr>
              <w:t xml:space="preserve"> </w:t>
            </w:r>
          </w:p>
        </w:tc>
      </w:tr>
      <w:tr w:rsidR="00B2553D" w:rsidRPr="003D30C6" w14:paraId="1BB43D24" w14:textId="77777777" w:rsidTr="00C85C9F">
        <w:trPr>
          <w:cantSplit/>
        </w:trPr>
        <w:tc>
          <w:tcPr>
            <w:tcW w:w="5000" w:type="pct"/>
            <w:gridSpan w:val="3"/>
            <w:shd w:val="clear" w:color="auto" w:fill="auto"/>
            <w:vAlign w:val="center"/>
          </w:tcPr>
          <w:p w14:paraId="08CF81D3" w14:textId="77777777" w:rsidR="00B2553D" w:rsidRPr="003D30C6" w:rsidRDefault="00B2553D" w:rsidP="00DC7EB6">
            <w:pPr>
              <w:widowControl w:val="0"/>
              <w:spacing w:line="240" w:lineRule="auto"/>
              <w:ind w:left="284"/>
              <w:rPr>
                <w:rFonts w:asciiTheme="majorHAnsi" w:hAnsiTheme="majorHAnsi"/>
              </w:rPr>
            </w:pPr>
            <w:r w:rsidRPr="003D30C6">
              <w:rPr>
                <w:rFonts w:asciiTheme="majorHAnsi" w:hAnsiTheme="majorHAnsi"/>
                <w:b/>
                <w:bCs/>
              </w:rPr>
              <w:t>Overall duration of response (complete + partial response)</w:t>
            </w:r>
            <w:r w:rsidRPr="003D30C6">
              <w:rPr>
                <w:rFonts w:asciiTheme="majorHAnsi" w:hAnsiTheme="majorHAnsi"/>
                <w:vertAlign w:val="superscript"/>
              </w:rPr>
              <w:t xml:space="preserve"> </w:t>
            </w:r>
            <w:r w:rsidRPr="003D30C6">
              <w:rPr>
                <w:rFonts w:asciiTheme="majorHAnsi" w:hAnsiTheme="majorHAnsi"/>
                <w:b/>
                <w:bCs/>
                <w:vertAlign w:val="superscript"/>
              </w:rPr>
              <w:t>a</w:t>
            </w:r>
          </w:p>
        </w:tc>
      </w:tr>
      <w:tr w:rsidR="00B2553D" w:rsidRPr="003D30C6" w14:paraId="59C944D3" w14:textId="77777777" w:rsidTr="001103D1">
        <w:trPr>
          <w:cantSplit/>
        </w:trPr>
        <w:tc>
          <w:tcPr>
            <w:tcW w:w="1884" w:type="pct"/>
            <w:shd w:val="clear" w:color="auto" w:fill="auto"/>
          </w:tcPr>
          <w:p w14:paraId="6C9A5E79" w14:textId="77777777" w:rsidR="00B2553D" w:rsidRPr="003D30C6" w:rsidRDefault="00B2553D" w:rsidP="00DC7EB6">
            <w:pPr>
              <w:widowControl w:val="0"/>
              <w:spacing w:line="240" w:lineRule="auto"/>
              <w:ind w:left="284"/>
              <w:rPr>
                <w:rFonts w:asciiTheme="majorHAnsi" w:hAnsiTheme="majorHAnsi"/>
              </w:rPr>
            </w:pPr>
            <w:r w:rsidRPr="003D30C6">
              <w:rPr>
                <w:rFonts w:asciiTheme="majorHAnsi" w:hAnsiTheme="majorHAnsi"/>
              </w:rPr>
              <w:t xml:space="preserve">Median, months </w:t>
            </w:r>
          </w:p>
          <w:p w14:paraId="79274456" w14:textId="77777777" w:rsidR="00B2553D" w:rsidRPr="003D30C6" w:rsidRDefault="00B2553D" w:rsidP="00DC7EB6">
            <w:pPr>
              <w:widowControl w:val="0"/>
              <w:spacing w:line="240" w:lineRule="auto"/>
              <w:ind w:left="284"/>
              <w:rPr>
                <w:rFonts w:asciiTheme="majorHAnsi" w:hAnsiTheme="majorHAnsi"/>
              </w:rPr>
            </w:pPr>
            <w:r w:rsidRPr="003D30C6">
              <w:rPr>
                <w:rFonts w:asciiTheme="majorHAnsi" w:hAnsiTheme="majorHAnsi"/>
              </w:rPr>
              <w:t>(95% CI)</w:t>
            </w:r>
          </w:p>
        </w:tc>
        <w:tc>
          <w:tcPr>
            <w:tcW w:w="1443" w:type="pct"/>
          </w:tcPr>
          <w:p w14:paraId="72758529"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 xml:space="preserve">34.6 </w:t>
            </w:r>
          </w:p>
          <w:p w14:paraId="218261B8"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[26.1, NR]</w:t>
            </w:r>
          </w:p>
        </w:tc>
        <w:tc>
          <w:tcPr>
            <w:tcW w:w="1673" w:type="pct"/>
          </w:tcPr>
          <w:p w14:paraId="21EB9202"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 xml:space="preserve">43.9 </w:t>
            </w:r>
          </w:p>
          <w:p w14:paraId="654D191C" w14:textId="77777777" w:rsidR="00B2553D" w:rsidRPr="003D30C6" w:rsidRDefault="00B2553D" w:rsidP="00DC7EB6">
            <w:pPr>
              <w:widowControl w:val="0"/>
              <w:spacing w:line="240" w:lineRule="auto"/>
              <w:ind w:left="284"/>
              <w:jc w:val="center"/>
              <w:rPr>
                <w:rFonts w:asciiTheme="majorHAnsi" w:hAnsiTheme="majorHAnsi"/>
              </w:rPr>
            </w:pPr>
            <w:r w:rsidRPr="003D30C6">
              <w:rPr>
                <w:rFonts w:asciiTheme="majorHAnsi" w:hAnsiTheme="majorHAnsi"/>
              </w:rPr>
              <w:t>[26.1, NR]</w:t>
            </w:r>
          </w:p>
        </w:tc>
      </w:tr>
    </w:tbl>
    <w:p w14:paraId="196243F2" w14:textId="77777777" w:rsidR="00B2553D" w:rsidRPr="003D30C6" w:rsidRDefault="00B2553D" w:rsidP="00DC7EB6">
      <w:pPr>
        <w:keepNext/>
        <w:keepLines/>
        <w:spacing w:line="240" w:lineRule="auto"/>
        <w:ind w:left="284"/>
        <w:rPr>
          <w:rFonts w:asciiTheme="majorHAnsi" w:hAnsiTheme="majorHAnsi"/>
          <w:sz w:val="18"/>
          <w:szCs w:val="18"/>
        </w:rPr>
      </w:pPr>
      <w:r w:rsidRPr="003D30C6">
        <w:rPr>
          <w:rFonts w:asciiTheme="majorHAnsi" w:hAnsiTheme="majorHAnsi"/>
          <w:sz w:val="18"/>
          <w:szCs w:val="18"/>
        </w:rPr>
        <w:t xml:space="preserve">ITT = intention to treat; NR = not reached </w:t>
      </w:r>
    </w:p>
    <w:p w14:paraId="69D566F7" w14:textId="77777777" w:rsidR="00B2553D" w:rsidRPr="003D30C6" w:rsidRDefault="00B2553D" w:rsidP="00DC7EB6">
      <w:pPr>
        <w:keepNext/>
        <w:keepLines/>
        <w:spacing w:line="240" w:lineRule="auto"/>
        <w:ind w:left="284"/>
        <w:rPr>
          <w:rFonts w:asciiTheme="majorHAnsi" w:hAnsiTheme="majorHAnsi"/>
          <w:sz w:val="18"/>
          <w:szCs w:val="18"/>
        </w:rPr>
      </w:pPr>
      <w:r w:rsidRPr="003D30C6">
        <w:rPr>
          <w:rFonts w:asciiTheme="majorHAnsi" w:hAnsiTheme="majorHAnsi"/>
          <w:sz w:val="18"/>
          <w:szCs w:val="18"/>
        </w:rPr>
        <w:t>*One patient received only tafasitamab</w:t>
      </w:r>
    </w:p>
    <w:p w14:paraId="3ADBF995" w14:textId="77777777" w:rsidR="00B2553D" w:rsidRPr="003D30C6" w:rsidRDefault="00B2553D" w:rsidP="00DC7EB6">
      <w:pPr>
        <w:keepNext/>
        <w:keepLines/>
        <w:spacing w:line="240" w:lineRule="auto"/>
        <w:ind w:left="284"/>
        <w:rPr>
          <w:rFonts w:asciiTheme="majorHAnsi" w:eastAsia="TimesNewRoman" w:hAnsiTheme="majorHAnsi"/>
          <w:color w:val="000000"/>
          <w:sz w:val="18"/>
          <w:szCs w:val="18"/>
        </w:rPr>
      </w:pPr>
      <w:r w:rsidRPr="003D30C6">
        <w:rPr>
          <w:rFonts w:asciiTheme="majorHAnsi" w:hAnsiTheme="majorHAnsi"/>
          <w:sz w:val="18"/>
          <w:szCs w:val="18"/>
        </w:rPr>
        <w:t>CI: Binomial exact confidence interval using Clopper Pearson method</w:t>
      </w:r>
    </w:p>
    <w:p w14:paraId="24029987" w14:textId="77777777" w:rsidR="00B2553D" w:rsidRPr="003D30C6" w:rsidRDefault="00B2553D" w:rsidP="00DC7EB6">
      <w:pPr>
        <w:spacing w:line="240" w:lineRule="auto"/>
        <w:ind w:left="284"/>
        <w:rPr>
          <w:rFonts w:asciiTheme="majorHAnsi" w:eastAsia="TimesNewRoman" w:hAnsiTheme="majorHAnsi"/>
          <w:color w:val="000000" w:themeColor="text1"/>
          <w:sz w:val="18"/>
          <w:szCs w:val="18"/>
        </w:rPr>
      </w:pPr>
      <w:r w:rsidRPr="003D30C6">
        <w:rPr>
          <w:rFonts w:asciiTheme="majorHAnsi" w:hAnsiTheme="majorHAnsi"/>
          <w:color w:val="000000" w:themeColor="text1"/>
          <w:sz w:val="18"/>
          <w:szCs w:val="18"/>
          <w:vertAlign w:val="superscript"/>
        </w:rPr>
        <w:t>a</w:t>
      </w:r>
      <w:r w:rsidRPr="003D30C6">
        <w:rPr>
          <w:rFonts w:asciiTheme="majorHAnsi" w:eastAsia="TimesNewRoman" w:hAnsiTheme="majorHAnsi"/>
          <w:color w:val="000000" w:themeColor="text1"/>
          <w:sz w:val="18"/>
          <w:szCs w:val="18"/>
        </w:rPr>
        <w:t xml:space="preserve"> Kaplan Meier estimates</w:t>
      </w:r>
    </w:p>
    <w:p w14:paraId="36977B5F" w14:textId="77777777" w:rsidR="00B2553D" w:rsidRPr="003D30C6" w:rsidRDefault="00B2553D" w:rsidP="00260132">
      <w:pPr>
        <w:spacing w:line="240" w:lineRule="auto"/>
        <w:rPr>
          <w:rFonts w:asciiTheme="majorHAnsi" w:hAnsiTheme="majorHAnsi"/>
        </w:rPr>
      </w:pPr>
      <w:r w:rsidRPr="003D30C6">
        <w:rPr>
          <w:rFonts w:asciiTheme="majorHAnsi" w:hAnsiTheme="majorHAnsi"/>
        </w:rPr>
        <w:t xml:space="preserve">Overall survival (OS) was a secondary endpoint in the study. After a median follow up time of 42.7 months (95% CI: 38.0; 47.2), the median OS was 31.6 months (95% CI: 18.3; not reached). </w:t>
      </w:r>
    </w:p>
    <w:p w14:paraId="6C64B0E5" w14:textId="77777777" w:rsidR="00B2553D" w:rsidRPr="003D30C6" w:rsidRDefault="00B2553D" w:rsidP="00260132">
      <w:pPr>
        <w:spacing w:line="240" w:lineRule="auto"/>
        <w:rPr>
          <w:rFonts w:asciiTheme="majorHAnsi" w:hAnsiTheme="majorHAnsi"/>
          <w:color w:val="000000" w:themeColor="text1"/>
          <w:sz w:val="18"/>
          <w:szCs w:val="18"/>
        </w:rPr>
      </w:pPr>
      <w:r w:rsidRPr="003D30C6">
        <w:rPr>
          <w:rFonts w:asciiTheme="majorHAnsi" w:hAnsiTheme="majorHAnsi"/>
          <w:color w:val="000000" w:themeColor="text1"/>
        </w:rPr>
        <w:t>Amongst the eight patients who had a DLBCL transformed from a prior indolent lymphoma, seven patients had an objective response (three patients a CR, four patients a PR) and one patient had a stable disease as the best response to tafasitamab+ lenalidomide treatment</w:t>
      </w:r>
      <w:r w:rsidRPr="003D30C6">
        <w:rPr>
          <w:rFonts w:asciiTheme="majorHAnsi" w:hAnsiTheme="majorHAnsi"/>
          <w:color w:val="000000" w:themeColor="text1"/>
          <w:sz w:val="18"/>
          <w:szCs w:val="18"/>
        </w:rPr>
        <w:t>.</w:t>
      </w:r>
    </w:p>
    <w:p w14:paraId="3DB60676" w14:textId="77777777" w:rsidR="00B2553D" w:rsidRPr="003D30C6" w:rsidRDefault="00B2553D" w:rsidP="00260132">
      <w:pPr>
        <w:spacing w:line="240" w:lineRule="auto"/>
        <w:rPr>
          <w:rFonts w:asciiTheme="majorHAnsi" w:hAnsiTheme="majorHAnsi"/>
          <w:bCs/>
          <w:iCs/>
          <w:u w:val="single"/>
        </w:rPr>
      </w:pPr>
      <w:r w:rsidRPr="003D30C6">
        <w:rPr>
          <w:rFonts w:asciiTheme="majorHAnsi" w:hAnsiTheme="majorHAnsi"/>
          <w:bCs/>
          <w:iCs/>
          <w:u w:val="single"/>
        </w:rPr>
        <w:t>Elderly</w:t>
      </w:r>
    </w:p>
    <w:p w14:paraId="0B22BEF4" w14:textId="77777777" w:rsidR="00B2553D" w:rsidRPr="003D30C6" w:rsidRDefault="00B2553D" w:rsidP="00260132">
      <w:pPr>
        <w:spacing w:line="240" w:lineRule="auto"/>
        <w:rPr>
          <w:rFonts w:asciiTheme="majorHAnsi" w:hAnsiTheme="majorHAnsi"/>
        </w:rPr>
      </w:pPr>
      <w:r w:rsidRPr="003D30C6">
        <w:rPr>
          <w:rFonts w:asciiTheme="majorHAnsi" w:hAnsiTheme="majorHAnsi"/>
        </w:rPr>
        <w:t>In the ITT set, 36 of 81 patients were ≤ 70 years and 45 of 81 patients were &gt; 70 years. No overall differences in efficacy were observed for patients ≤ 70 years versus patients &gt; 70 years of age.</w:t>
      </w:r>
    </w:p>
    <w:p w14:paraId="39BE69EB" w14:textId="77777777" w:rsidR="001A3992" w:rsidRPr="00443AEC" w:rsidRDefault="001A3992" w:rsidP="001A3992">
      <w:pPr>
        <w:pStyle w:val="Heading2"/>
        <w:keepNext/>
        <w:spacing w:before="0" w:after="120"/>
        <w:rPr>
          <w:lang w:val="en-US"/>
        </w:rPr>
      </w:pPr>
      <w:r w:rsidRPr="00443AEC">
        <w:rPr>
          <w:lang w:val="en-US"/>
        </w:rPr>
        <w:lastRenderedPageBreak/>
        <w:t xml:space="preserve">Pharmacokinetic properties </w:t>
      </w:r>
    </w:p>
    <w:p w14:paraId="2F2D2F5A" w14:textId="00C603B9" w:rsidR="005F044C" w:rsidRPr="00486BA8" w:rsidRDefault="005F044C" w:rsidP="005F044C">
      <w:pPr>
        <w:spacing w:line="240" w:lineRule="auto"/>
        <w:rPr>
          <w:rFonts w:asciiTheme="majorHAnsi" w:hAnsiTheme="majorHAnsi"/>
        </w:rPr>
      </w:pPr>
      <w:r w:rsidRPr="00486BA8">
        <w:rPr>
          <w:rFonts w:asciiTheme="majorHAnsi" w:hAnsiTheme="majorHAnsi"/>
        </w:rPr>
        <w:t xml:space="preserve">The absorption, distribution, </w:t>
      </w:r>
      <w:proofErr w:type="gramStart"/>
      <w:r w:rsidRPr="00486BA8">
        <w:rPr>
          <w:rFonts w:asciiTheme="majorHAnsi" w:hAnsiTheme="majorHAnsi"/>
        </w:rPr>
        <w:t>biotransformation</w:t>
      </w:r>
      <w:proofErr w:type="gramEnd"/>
      <w:r w:rsidRPr="00486BA8">
        <w:rPr>
          <w:rFonts w:asciiTheme="majorHAnsi" w:hAnsiTheme="majorHAnsi"/>
        </w:rPr>
        <w:t xml:space="preserve"> and elimination were documented based on a population pharmacokinetic analysis.</w:t>
      </w:r>
    </w:p>
    <w:p w14:paraId="58F231A3" w14:textId="77777777" w:rsidR="001A3992" w:rsidRPr="00486BA8" w:rsidRDefault="001A3992" w:rsidP="00E33DBB">
      <w:pPr>
        <w:pStyle w:val="Heading3"/>
        <w:spacing w:before="0" w:after="120"/>
        <w:ind w:left="0"/>
      </w:pPr>
      <w:r w:rsidRPr="00486BA8">
        <w:t>Absorption</w:t>
      </w:r>
    </w:p>
    <w:p w14:paraId="2DE090A9" w14:textId="489E1EB2" w:rsidR="00CD7843" w:rsidRPr="00EF3360" w:rsidRDefault="00CD7843" w:rsidP="00E33DBB">
      <w:pPr>
        <w:spacing w:line="240" w:lineRule="auto"/>
        <w:ind w:right="-2"/>
        <w:rPr>
          <w:rFonts w:asciiTheme="majorHAnsi" w:hAnsiTheme="majorHAnsi"/>
        </w:rPr>
      </w:pPr>
      <w:r w:rsidRPr="00EF3360">
        <w:rPr>
          <w:rFonts w:asciiTheme="majorHAnsi" w:hAnsiTheme="majorHAnsi"/>
        </w:rPr>
        <w:t>Based on an analysis of tafasitamab in combination with lenalidomide, tafasitamab average serum trough concentrations (± standard deviation) were 179 (± 53) </w:t>
      </w:r>
      <w:proofErr w:type="spellStart"/>
      <w:r w:rsidRPr="00EF3360">
        <w:rPr>
          <w:rFonts w:asciiTheme="majorHAnsi" w:hAnsiTheme="majorHAnsi"/>
        </w:rPr>
        <w:t>μg</w:t>
      </w:r>
      <w:proofErr w:type="spellEnd"/>
      <w:r w:rsidRPr="00EF3360">
        <w:rPr>
          <w:rFonts w:asciiTheme="majorHAnsi" w:hAnsiTheme="majorHAnsi"/>
        </w:rPr>
        <w:t>/mL during weekly (plus an additional dose on day 4 of cycle 1) intravenous administrations of 12 mg/kg. During administration every 14 days from cycle 4 onwards, average trough serum concentrations were 153 (± 68) </w:t>
      </w:r>
      <w:proofErr w:type="spellStart"/>
      <w:r w:rsidRPr="00EF3360">
        <w:rPr>
          <w:rFonts w:asciiTheme="majorHAnsi" w:hAnsiTheme="majorHAnsi"/>
        </w:rPr>
        <w:t>μg</w:t>
      </w:r>
      <w:proofErr w:type="spellEnd"/>
      <w:r w:rsidRPr="00EF3360">
        <w:rPr>
          <w:rFonts w:asciiTheme="majorHAnsi" w:hAnsiTheme="majorHAnsi"/>
        </w:rPr>
        <w:t>/</w:t>
      </w:r>
      <w:proofErr w:type="spellStart"/>
      <w:r w:rsidRPr="00EF3360">
        <w:rPr>
          <w:rFonts w:asciiTheme="majorHAnsi" w:hAnsiTheme="majorHAnsi"/>
        </w:rPr>
        <w:t>mL.</w:t>
      </w:r>
      <w:proofErr w:type="spellEnd"/>
      <w:r w:rsidRPr="00EF3360">
        <w:rPr>
          <w:rFonts w:asciiTheme="majorHAnsi" w:hAnsiTheme="majorHAnsi"/>
        </w:rPr>
        <w:t xml:space="preserve"> Overall maximum tafasitamab serum concentrations were 483 (± 109) </w:t>
      </w:r>
      <w:proofErr w:type="spellStart"/>
      <w:r w:rsidRPr="00EF3360">
        <w:rPr>
          <w:rFonts w:asciiTheme="majorHAnsi" w:hAnsiTheme="majorHAnsi"/>
        </w:rPr>
        <w:t>μg</w:t>
      </w:r>
      <w:proofErr w:type="spellEnd"/>
      <w:r w:rsidRPr="00EF3360">
        <w:rPr>
          <w:rFonts w:asciiTheme="majorHAnsi" w:hAnsiTheme="majorHAnsi"/>
        </w:rPr>
        <w:t>/</w:t>
      </w:r>
      <w:proofErr w:type="spellStart"/>
      <w:r w:rsidRPr="00EF3360">
        <w:rPr>
          <w:rFonts w:asciiTheme="majorHAnsi" w:hAnsiTheme="majorHAnsi"/>
        </w:rPr>
        <w:t>mL.</w:t>
      </w:r>
      <w:proofErr w:type="spellEnd"/>
    </w:p>
    <w:p w14:paraId="5E672F2D" w14:textId="77777777" w:rsidR="001A3992" w:rsidRPr="00443AEC" w:rsidRDefault="001A3992" w:rsidP="00E33DBB">
      <w:pPr>
        <w:pStyle w:val="Heading3"/>
        <w:spacing w:before="0" w:after="120"/>
        <w:ind w:left="0"/>
      </w:pPr>
      <w:r w:rsidRPr="00443AEC">
        <w:t>Distribution</w:t>
      </w:r>
    </w:p>
    <w:p w14:paraId="1198E40F" w14:textId="7895CF1A" w:rsidR="006113A1" w:rsidRPr="00443AEC" w:rsidRDefault="006113A1" w:rsidP="00E33DBB">
      <w:pPr>
        <w:spacing w:line="240" w:lineRule="auto"/>
        <w:ind w:right="-2"/>
        <w:rPr>
          <w:rFonts w:asciiTheme="majorHAnsi" w:hAnsiTheme="majorHAnsi"/>
        </w:rPr>
      </w:pPr>
      <w:r w:rsidRPr="00443AEC">
        <w:rPr>
          <w:rFonts w:asciiTheme="majorHAnsi" w:hAnsiTheme="majorHAnsi"/>
        </w:rPr>
        <w:t>The total volume of distribution for tafasitamab was 9.3 L.</w:t>
      </w:r>
    </w:p>
    <w:p w14:paraId="3789BFF1" w14:textId="77777777" w:rsidR="001A3992" w:rsidRPr="00443AEC" w:rsidRDefault="001A3992" w:rsidP="00E33DBB">
      <w:pPr>
        <w:pStyle w:val="Heading3"/>
        <w:spacing w:before="0" w:after="120"/>
        <w:ind w:left="0"/>
      </w:pPr>
      <w:r w:rsidRPr="00443AEC">
        <w:t>Metabolism</w:t>
      </w:r>
    </w:p>
    <w:p w14:paraId="0334B858" w14:textId="17C5683E" w:rsidR="00A24B81" w:rsidRPr="00443AEC" w:rsidRDefault="00A24B81" w:rsidP="00E33DBB">
      <w:pPr>
        <w:numPr>
          <w:ilvl w:val="12"/>
          <w:numId w:val="0"/>
        </w:numPr>
        <w:spacing w:line="240" w:lineRule="auto"/>
        <w:ind w:right="-2"/>
        <w:rPr>
          <w:rFonts w:asciiTheme="majorHAnsi" w:hAnsiTheme="majorHAnsi"/>
        </w:rPr>
      </w:pPr>
      <w:r w:rsidRPr="00443AEC">
        <w:rPr>
          <w:rFonts w:asciiTheme="majorHAnsi" w:hAnsiTheme="majorHAnsi"/>
        </w:rPr>
        <w:t>The exact pathway through which tafasitamab is metabolised has not been characterised. As a human IgG monoclonal antibody, tafasitamab is expected to be degraded into small peptides and amino acids via catabolic pathways in the same manner as endogenous IgG.</w:t>
      </w:r>
    </w:p>
    <w:p w14:paraId="3A955E49" w14:textId="77777777" w:rsidR="001A3992" w:rsidRPr="00443AEC" w:rsidRDefault="001A3992" w:rsidP="00E33DBB">
      <w:pPr>
        <w:pStyle w:val="Heading3"/>
        <w:spacing w:before="0" w:after="120"/>
        <w:ind w:left="0"/>
      </w:pPr>
      <w:r w:rsidRPr="00443AEC">
        <w:t>Excretion</w:t>
      </w:r>
    </w:p>
    <w:p w14:paraId="2E2421EE" w14:textId="77777777" w:rsidR="00093167" w:rsidRPr="00443AEC" w:rsidRDefault="00093167" w:rsidP="00E33DBB">
      <w:pPr>
        <w:numPr>
          <w:ilvl w:val="12"/>
          <w:numId w:val="0"/>
        </w:numPr>
        <w:spacing w:line="240" w:lineRule="auto"/>
        <w:ind w:right="-2"/>
        <w:rPr>
          <w:rFonts w:asciiTheme="majorHAnsi" w:hAnsiTheme="majorHAnsi"/>
        </w:rPr>
      </w:pPr>
      <w:r w:rsidRPr="00443AEC">
        <w:rPr>
          <w:rFonts w:asciiTheme="majorHAnsi" w:hAnsiTheme="majorHAnsi"/>
        </w:rPr>
        <w:t>The clearance of tafasitamab was 0.41 L/day and terminal elimination half-life was 16.9 days. Following long-term observations, tafasitamab clearance was found to decrease over time to 0.19 L/day after two years.</w:t>
      </w:r>
    </w:p>
    <w:p w14:paraId="38C70D17" w14:textId="77777777" w:rsidR="00D45789" w:rsidRPr="00443AEC" w:rsidRDefault="00D45789" w:rsidP="00E33DBB">
      <w:pPr>
        <w:numPr>
          <w:ilvl w:val="12"/>
          <w:numId w:val="0"/>
        </w:numPr>
        <w:spacing w:line="240" w:lineRule="auto"/>
        <w:ind w:right="-2"/>
        <w:rPr>
          <w:rFonts w:asciiTheme="majorHAnsi" w:hAnsiTheme="majorHAnsi"/>
          <w:b/>
          <w:bCs/>
          <w:iCs/>
        </w:rPr>
      </w:pPr>
      <w:r w:rsidRPr="00443AEC">
        <w:rPr>
          <w:rFonts w:asciiTheme="majorHAnsi" w:hAnsiTheme="majorHAnsi"/>
          <w:b/>
          <w:bCs/>
          <w:iCs/>
        </w:rPr>
        <w:t>Special populations</w:t>
      </w:r>
    </w:p>
    <w:p w14:paraId="474DF070" w14:textId="77777777" w:rsidR="00D45789" w:rsidRPr="00443AEC" w:rsidRDefault="00D45789" w:rsidP="00E33DBB">
      <w:pPr>
        <w:numPr>
          <w:ilvl w:val="12"/>
          <w:numId w:val="0"/>
        </w:numPr>
        <w:spacing w:line="240" w:lineRule="auto"/>
        <w:ind w:right="-2"/>
        <w:rPr>
          <w:rFonts w:asciiTheme="majorHAnsi" w:hAnsiTheme="majorHAnsi"/>
          <w:iCs/>
        </w:rPr>
      </w:pPr>
      <w:r w:rsidRPr="00443AEC">
        <w:rPr>
          <w:rFonts w:asciiTheme="majorHAnsi" w:hAnsiTheme="majorHAnsi"/>
          <w:iCs/>
        </w:rPr>
        <w:t>Age, body weight, sex, tumour size, disease type, B</w:t>
      </w:r>
      <w:r w:rsidRPr="00443AEC">
        <w:rPr>
          <w:rFonts w:asciiTheme="majorHAnsi" w:hAnsiTheme="majorHAnsi"/>
          <w:iCs/>
        </w:rPr>
        <w:noBreakHyphen/>
        <w:t>cell or absolute lymphocyte counts, anti</w:t>
      </w:r>
      <w:r w:rsidRPr="00443AEC">
        <w:rPr>
          <w:rFonts w:asciiTheme="majorHAnsi" w:hAnsiTheme="majorHAnsi"/>
          <w:iCs/>
        </w:rPr>
        <w:noBreakHyphen/>
        <w:t>drug antibodies, lactate dehydrogenase and serum albumin levels had no relevant effect on the pharmacokinetics of tafasitamab. The influence of race and ethnicity on the pharmacokinetics of tafasitamab is unknown.</w:t>
      </w:r>
    </w:p>
    <w:p w14:paraId="7409F76A" w14:textId="77777777" w:rsidR="00D45789" w:rsidRPr="00443AEC" w:rsidRDefault="00D45789" w:rsidP="00E33DBB">
      <w:pPr>
        <w:numPr>
          <w:ilvl w:val="12"/>
          <w:numId w:val="0"/>
        </w:numPr>
        <w:spacing w:line="240" w:lineRule="auto"/>
        <w:ind w:right="-2"/>
        <w:rPr>
          <w:rFonts w:asciiTheme="majorHAnsi" w:hAnsiTheme="majorHAnsi"/>
          <w:u w:val="single"/>
        </w:rPr>
      </w:pPr>
      <w:r w:rsidRPr="00443AEC">
        <w:rPr>
          <w:rFonts w:asciiTheme="majorHAnsi" w:hAnsiTheme="majorHAnsi"/>
          <w:u w:val="single"/>
        </w:rPr>
        <w:t>Renal impairment</w:t>
      </w:r>
    </w:p>
    <w:p w14:paraId="3D659D69" w14:textId="77777777" w:rsidR="00D45789" w:rsidRPr="00443AEC" w:rsidRDefault="00D45789" w:rsidP="00E33DBB">
      <w:pPr>
        <w:spacing w:line="240" w:lineRule="auto"/>
        <w:ind w:right="-2"/>
        <w:rPr>
          <w:rFonts w:asciiTheme="majorHAnsi" w:hAnsiTheme="majorHAnsi"/>
        </w:rPr>
      </w:pPr>
      <w:r w:rsidRPr="00443AEC">
        <w:rPr>
          <w:rFonts w:asciiTheme="majorHAnsi" w:hAnsiTheme="majorHAnsi"/>
        </w:rPr>
        <w:t>The effect of renal impairment was not formally tested in dedicated clinical trials; however, no clinically meaningful differences in the pharmacokinetics of tafasitamab were observed for mild to moderate renal impairment (creatinine clearance (</w:t>
      </w:r>
      <w:proofErr w:type="spellStart"/>
      <w:r w:rsidRPr="00443AEC">
        <w:rPr>
          <w:rFonts w:asciiTheme="majorHAnsi" w:hAnsiTheme="majorHAnsi"/>
        </w:rPr>
        <w:t>CrCL</w:t>
      </w:r>
      <w:proofErr w:type="spellEnd"/>
      <w:r w:rsidRPr="00443AEC">
        <w:rPr>
          <w:rFonts w:asciiTheme="majorHAnsi" w:hAnsiTheme="majorHAnsi"/>
        </w:rPr>
        <w:t>) ≥ 30 and &lt; 90 mL/min estimated by the Cockcroft-Gault equation). The effect of severe renal impairment to end-stage renal disease (</w:t>
      </w:r>
      <w:proofErr w:type="spellStart"/>
      <w:r w:rsidRPr="00443AEC">
        <w:rPr>
          <w:rFonts w:asciiTheme="majorHAnsi" w:hAnsiTheme="majorHAnsi"/>
        </w:rPr>
        <w:t>CrCL</w:t>
      </w:r>
      <w:proofErr w:type="spellEnd"/>
      <w:r w:rsidRPr="00443AEC">
        <w:rPr>
          <w:rFonts w:asciiTheme="majorHAnsi" w:hAnsiTheme="majorHAnsi"/>
        </w:rPr>
        <w:t xml:space="preserve"> &lt; 30 mL/min) is unknown.</w:t>
      </w:r>
    </w:p>
    <w:p w14:paraId="0FBFF715" w14:textId="4EFBF42E" w:rsidR="00D45789" w:rsidRPr="00443AEC" w:rsidRDefault="00D45789" w:rsidP="00E33DBB">
      <w:pPr>
        <w:numPr>
          <w:ilvl w:val="12"/>
          <w:numId w:val="0"/>
        </w:numPr>
        <w:spacing w:line="240" w:lineRule="auto"/>
        <w:ind w:right="-2"/>
        <w:rPr>
          <w:rFonts w:asciiTheme="majorHAnsi" w:hAnsiTheme="majorHAnsi"/>
          <w:u w:val="single"/>
        </w:rPr>
      </w:pPr>
      <w:r w:rsidRPr="00443AEC">
        <w:rPr>
          <w:rFonts w:asciiTheme="majorHAnsi" w:hAnsiTheme="majorHAnsi"/>
          <w:u w:val="single"/>
        </w:rPr>
        <w:t>Hepatic impairment</w:t>
      </w:r>
    </w:p>
    <w:p w14:paraId="5276A962" w14:textId="77777777" w:rsidR="00D45789" w:rsidRDefault="00D45789" w:rsidP="00E33DBB">
      <w:pPr>
        <w:spacing w:line="240" w:lineRule="auto"/>
        <w:ind w:right="-2"/>
        <w:rPr>
          <w:rFonts w:asciiTheme="majorHAnsi" w:hAnsiTheme="majorHAnsi"/>
        </w:rPr>
      </w:pPr>
      <w:r w:rsidRPr="00443AEC">
        <w:rPr>
          <w:rFonts w:asciiTheme="majorHAnsi" w:hAnsiTheme="majorHAnsi"/>
        </w:rPr>
        <w:t>The effect of hepatic impairment was not formally tested in dedicated clinical trials; however no clinically meaningful differences in the pharmacokinetics of tafasitamab were observed for mild hepatic impairment (total bilirubin ≤ upper limit of normal (ULN) and aspartate aminotransferase (AST) &gt; ULN, or total bilirubin 1 to 1.5 times ULN and any AST). The effect of moderate to severe hepatic impairment (total bilirubin &gt; 1.5 times ULN and any AST) is unknown.</w:t>
      </w:r>
    </w:p>
    <w:p w14:paraId="0DC0BAB2" w14:textId="77777777" w:rsidR="008B7AC3" w:rsidRPr="00443AEC" w:rsidRDefault="008B7AC3" w:rsidP="00E33DBB">
      <w:pPr>
        <w:spacing w:line="240" w:lineRule="auto"/>
        <w:ind w:right="-2"/>
        <w:rPr>
          <w:rFonts w:asciiTheme="majorHAnsi" w:hAnsiTheme="majorHAnsi"/>
        </w:rPr>
      </w:pPr>
    </w:p>
    <w:p w14:paraId="0F4EF947" w14:textId="596DA48E" w:rsidR="001A3992" w:rsidRPr="00443AEC" w:rsidRDefault="001A3992" w:rsidP="001A3992">
      <w:pPr>
        <w:pStyle w:val="Heading2"/>
        <w:spacing w:before="0" w:after="120"/>
        <w:rPr>
          <w:lang w:val="en-US"/>
        </w:rPr>
      </w:pPr>
      <w:r w:rsidRPr="00443AEC">
        <w:rPr>
          <w:lang w:val="en-US"/>
        </w:rPr>
        <w:lastRenderedPageBreak/>
        <w:t>Preclinical safety data</w:t>
      </w:r>
    </w:p>
    <w:p w14:paraId="63BDDBB4" w14:textId="02A0926D" w:rsidR="001A3992" w:rsidRPr="00443AEC" w:rsidRDefault="001A3992" w:rsidP="00130E02">
      <w:pPr>
        <w:pStyle w:val="Heading3"/>
        <w:spacing w:before="0" w:after="120"/>
        <w:ind w:left="0"/>
      </w:pPr>
      <w:r w:rsidRPr="00486BA8">
        <w:t>Genotoxicity</w:t>
      </w:r>
    </w:p>
    <w:p w14:paraId="2A9B77C4" w14:textId="1C53156F" w:rsidR="004F7EC1" w:rsidRPr="00486BA8" w:rsidRDefault="00224E96" w:rsidP="00130E02">
      <w:pPr>
        <w:spacing w:line="240" w:lineRule="auto"/>
        <w:rPr>
          <w:rFonts w:asciiTheme="majorHAnsi" w:hAnsiTheme="majorHAnsi"/>
        </w:rPr>
      </w:pPr>
      <w:r>
        <w:rPr>
          <w:rFonts w:asciiTheme="majorHAnsi" w:hAnsiTheme="majorHAnsi"/>
        </w:rPr>
        <w:t>G</w:t>
      </w:r>
      <w:r w:rsidR="004F7EC1" w:rsidRPr="00486BA8">
        <w:rPr>
          <w:rFonts w:asciiTheme="majorHAnsi" w:hAnsiTheme="majorHAnsi"/>
        </w:rPr>
        <w:t xml:space="preserve">enotoxicity studies have not been </w:t>
      </w:r>
      <w:r w:rsidR="00FA2A3E" w:rsidRPr="00486BA8">
        <w:rPr>
          <w:rFonts w:asciiTheme="majorHAnsi" w:hAnsiTheme="majorHAnsi"/>
        </w:rPr>
        <w:t xml:space="preserve">conducted </w:t>
      </w:r>
      <w:r>
        <w:rPr>
          <w:rFonts w:asciiTheme="majorHAnsi" w:hAnsiTheme="majorHAnsi"/>
        </w:rPr>
        <w:t xml:space="preserve">with </w:t>
      </w:r>
      <w:proofErr w:type="spellStart"/>
      <w:r>
        <w:rPr>
          <w:rFonts w:asciiTheme="majorHAnsi" w:hAnsiTheme="majorHAnsi"/>
        </w:rPr>
        <w:t>tafasitamab</w:t>
      </w:r>
      <w:proofErr w:type="spellEnd"/>
      <w:r w:rsidR="00BA28B6">
        <w:rPr>
          <w:rFonts w:asciiTheme="majorHAnsi" w:hAnsiTheme="majorHAnsi"/>
        </w:rPr>
        <w:t>.</w:t>
      </w:r>
      <w:r w:rsidR="004F7EC1" w:rsidRPr="00486BA8">
        <w:rPr>
          <w:rFonts w:asciiTheme="majorHAnsi" w:hAnsiTheme="majorHAnsi"/>
        </w:rPr>
        <w:t xml:space="preserve"> </w:t>
      </w:r>
      <w:r w:rsidR="000A7815">
        <w:rPr>
          <w:rFonts w:asciiTheme="majorHAnsi" w:hAnsiTheme="majorHAnsi"/>
        </w:rPr>
        <w:t>As tafasitamab is a monoclonal antibody, it is not expected to interact with DNA or chromosomes</w:t>
      </w:r>
      <w:r w:rsidR="00215778">
        <w:rPr>
          <w:rFonts w:asciiTheme="majorHAnsi" w:hAnsiTheme="majorHAnsi"/>
        </w:rPr>
        <w:t>.</w:t>
      </w:r>
    </w:p>
    <w:p w14:paraId="05A26A1A" w14:textId="77777777" w:rsidR="001A3992" w:rsidRPr="00443AEC" w:rsidRDefault="001A3992" w:rsidP="00130E02">
      <w:pPr>
        <w:pStyle w:val="Heading3"/>
        <w:spacing w:before="0" w:after="120"/>
        <w:ind w:left="0"/>
        <w:rPr>
          <w:lang w:val="en-US"/>
        </w:rPr>
      </w:pPr>
      <w:proofErr w:type="spellStart"/>
      <w:r w:rsidRPr="00EF3360">
        <w:t>Carcin</w:t>
      </w:r>
      <w:r w:rsidRPr="00EF3360">
        <w:rPr>
          <w:lang w:val="en-US"/>
        </w:rPr>
        <w:t>ogenicity</w:t>
      </w:r>
      <w:proofErr w:type="spellEnd"/>
    </w:p>
    <w:p w14:paraId="5D780ED4" w14:textId="0C9CB192" w:rsidR="004F7EC1" w:rsidRPr="00486BA8" w:rsidRDefault="0036190B" w:rsidP="00130E02">
      <w:pPr>
        <w:spacing w:line="240" w:lineRule="auto"/>
        <w:rPr>
          <w:rFonts w:asciiTheme="majorHAnsi" w:hAnsiTheme="majorHAnsi"/>
        </w:rPr>
      </w:pPr>
      <w:r>
        <w:rPr>
          <w:rFonts w:asciiTheme="majorHAnsi" w:hAnsiTheme="majorHAnsi"/>
        </w:rPr>
        <w:t>C</w:t>
      </w:r>
      <w:r w:rsidR="004F7EC1" w:rsidRPr="00486BA8">
        <w:rPr>
          <w:rFonts w:asciiTheme="majorHAnsi" w:hAnsiTheme="majorHAnsi"/>
        </w:rPr>
        <w:t xml:space="preserve">arcinogenicity studies have not been </w:t>
      </w:r>
      <w:r w:rsidR="003F1661" w:rsidRPr="00486BA8">
        <w:rPr>
          <w:rFonts w:asciiTheme="majorHAnsi" w:hAnsiTheme="majorHAnsi"/>
        </w:rPr>
        <w:t xml:space="preserve">conducted </w:t>
      </w:r>
      <w:r>
        <w:rPr>
          <w:rFonts w:asciiTheme="majorHAnsi" w:hAnsiTheme="majorHAnsi"/>
        </w:rPr>
        <w:t>with tafasitamab</w:t>
      </w:r>
      <w:r w:rsidR="003F1CD5">
        <w:rPr>
          <w:rFonts w:asciiTheme="majorHAnsi" w:hAnsiTheme="majorHAnsi"/>
        </w:rPr>
        <w:t>. Proliferative changes were not observed in cynomol</w:t>
      </w:r>
      <w:r w:rsidR="00725DC9">
        <w:rPr>
          <w:rFonts w:asciiTheme="majorHAnsi" w:hAnsiTheme="majorHAnsi"/>
        </w:rPr>
        <w:t>gus monkeys administered weekly intravenous doses of tafasitamab at 100 mg/kg for 3 months (8 times the exposure</w:t>
      </w:r>
      <w:r w:rsidR="002A106C">
        <w:rPr>
          <w:rFonts w:asciiTheme="majorHAnsi" w:hAnsiTheme="majorHAnsi"/>
        </w:rPr>
        <w:t xml:space="preserve"> (AUC) at the MRHD).</w:t>
      </w:r>
    </w:p>
    <w:p w14:paraId="42CD1587" w14:textId="77777777" w:rsidR="001A3992" w:rsidRPr="00EF3360" w:rsidRDefault="001A3992" w:rsidP="001A3992">
      <w:pPr>
        <w:pStyle w:val="Heading1"/>
        <w:spacing w:before="0" w:after="120"/>
        <w:rPr>
          <w:lang w:val="en-US"/>
        </w:rPr>
      </w:pPr>
      <w:r w:rsidRPr="00EF3360">
        <w:rPr>
          <w:lang w:val="en-US"/>
        </w:rPr>
        <w:t>Pharmaceutical particulars</w:t>
      </w:r>
    </w:p>
    <w:p w14:paraId="50BFAAB8" w14:textId="77777777" w:rsidR="005B2812" w:rsidRPr="00443AEC" w:rsidRDefault="005B2812" w:rsidP="005B2812">
      <w:pPr>
        <w:pStyle w:val="Heading2"/>
        <w:spacing w:before="0" w:after="120"/>
        <w:rPr>
          <w:rFonts w:cstheme="minorHAnsi"/>
          <w:lang w:val="en-US"/>
        </w:rPr>
      </w:pPr>
      <w:r w:rsidRPr="00EF3360">
        <w:rPr>
          <w:rFonts w:cstheme="minorHAnsi"/>
          <w:lang w:val="en-US"/>
        </w:rPr>
        <w:t>List of excipients</w:t>
      </w:r>
      <w:r w:rsidRPr="00443AEC">
        <w:rPr>
          <w:rFonts w:cstheme="minorHAnsi"/>
          <w:lang w:val="en-US"/>
        </w:rPr>
        <w:t xml:space="preserve"> </w:t>
      </w:r>
    </w:p>
    <w:p w14:paraId="37468DEE" w14:textId="77777777" w:rsidR="00063844" w:rsidRPr="00486BA8" w:rsidRDefault="00063844" w:rsidP="00063844">
      <w:pPr>
        <w:spacing w:after="0" w:line="240" w:lineRule="auto"/>
        <w:rPr>
          <w:rFonts w:asciiTheme="majorHAnsi" w:hAnsiTheme="majorHAnsi"/>
        </w:rPr>
      </w:pPr>
      <w:r w:rsidRPr="00486BA8">
        <w:rPr>
          <w:rFonts w:asciiTheme="majorHAnsi" w:hAnsiTheme="majorHAnsi"/>
        </w:rPr>
        <w:t>Sodium citrate dihydrate</w:t>
      </w:r>
    </w:p>
    <w:p w14:paraId="28BFB044" w14:textId="77777777" w:rsidR="00063844" w:rsidRPr="00486BA8" w:rsidRDefault="00063844" w:rsidP="00063844">
      <w:pPr>
        <w:spacing w:after="0" w:line="240" w:lineRule="auto"/>
        <w:rPr>
          <w:rFonts w:asciiTheme="majorHAnsi" w:hAnsiTheme="majorHAnsi"/>
        </w:rPr>
      </w:pPr>
      <w:r w:rsidRPr="00486BA8">
        <w:rPr>
          <w:rFonts w:asciiTheme="majorHAnsi" w:hAnsiTheme="majorHAnsi"/>
        </w:rPr>
        <w:t>Citric acid monohydrate</w:t>
      </w:r>
    </w:p>
    <w:p w14:paraId="5CD9DB25" w14:textId="77777777" w:rsidR="00063844" w:rsidRPr="00EF3360" w:rsidRDefault="00063844" w:rsidP="00063844">
      <w:pPr>
        <w:spacing w:after="0" w:line="240" w:lineRule="auto"/>
        <w:rPr>
          <w:rFonts w:asciiTheme="majorHAnsi" w:hAnsiTheme="majorHAnsi"/>
        </w:rPr>
      </w:pPr>
      <w:r w:rsidRPr="00EF3360">
        <w:rPr>
          <w:rFonts w:asciiTheme="majorHAnsi" w:hAnsiTheme="majorHAnsi"/>
        </w:rPr>
        <w:t>Trehalose dihydrate</w:t>
      </w:r>
    </w:p>
    <w:p w14:paraId="2CB90E5B" w14:textId="77777777" w:rsidR="00063844" w:rsidRPr="00EF3360" w:rsidRDefault="00063844" w:rsidP="00063844">
      <w:pPr>
        <w:spacing w:after="0" w:line="240" w:lineRule="auto"/>
        <w:rPr>
          <w:rFonts w:asciiTheme="majorHAnsi" w:hAnsiTheme="majorHAnsi"/>
        </w:rPr>
      </w:pPr>
      <w:r w:rsidRPr="00EF3360">
        <w:rPr>
          <w:rFonts w:asciiTheme="majorHAnsi" w:hAnsiTheme="majorHAnsi"/>
        </w:rPr>
        <w:t>Polysorbate 20</w:t>
      </w:r>
    </w:p>
    <w:p w14:paraId="4679FFF3" w14:textId="77777777" w:rsidR="00063844" w:rsidRPr="00443AEC" w:rsidRDefault="00063844" w:rsidP="00063844">
      <w:pPr>
        <w:spacing w:after="0" w:line="240" w:lineRule="auto"/>
        <w:rPr>
          <w:rFonts w:asciiTheme="majorHAnsi" w:hAnsiTheme="majorHAnsi"/>
        </w:rPr>
      </w:pPr>
    </w:p>
    <w:p w14:paraId="3444939D" w14:textId="77777777" w:rsidR="005B2812" w:rsidRPr="00443AEC" w:rsidRDefault="005B2812" w:rsidP="005B2812">
      <w:pPr>
        <w:pStyle w:val="Heading2"/>
        <w:keepNext/>
        <w:keepLines/>
        <w:spacing w:before="0" w:after="120"/>
        <w:rPr>
          <w:rFonts w:cstheme="minorHAnsi"/>
          <w:lang w:val="en-US"/>
        </w:rPr>
      </w:pPr>
      <w:r w:rsidRPr="00443AEC">
        <w:rPr>
          <w:rFonts w:cstheme="minorHAnsi"/>
          <w:lang w:val="en-US"/>
        </w:rPr>
        <w:t xml:space="preserve">Incompatibilities </w:t>
      </w:r>
    </w:p>
    <w:p w14:paraId="2AD4074E" w14:textId="0739416A" w:rsidR="00B44A4E" w:rsidRPr="00443AEC" w:rsidRDefault="00B44A4E" w:rsidP="00B44A4E">
      <w:pPr>
        <w:keepNext/>
        <w:keepLines/>
        <w:spacing w:line="240" w:lineRule="auto"/>
        <w:rPr>
          <w:rFonts w:asciiTheme="majorHAnsi" w:hAnsiTheme="majorHAnsi"/>
        </w:rPr>
      </w:pPr>
      <w:r w:rsidRPr="00443AEC">
        <w:rPr>
          <w:rFonts w:asciiTheme="majorHAnsi" w:hAnsiTheme="majorHAnsi"/>
        </w:rPr>
        <w:t xml:space="preserve">This medicinal product must not be mixed with other medicinal products except those mentioned in section </w:t>
      </w:r>
      <w:r w:rsidR="00D545FB" w:rsidRPr="00443AEC">
        <w:rPr>
          <w:rFonts w:asciiTheme="majorHAnsi" w:hAnsiTheme="majorHAnsi"/>
        </w:rPr>
        <w:t>4.2</w:t>
      </w:r>
      <w:r w:rsidRPr="00443AEC">
        <w:rPr>
          <w:rFonts w:asciiTheme="majorHAnsi" w:hAnsiTheme="majorHAnsi"/>
        </w:rPr>
        <w:t>.</w:t>
      </w:r>
    </w:p>
    <w:p w14:paraId="2328FA5A" w14:textId="77777777" w:rsidR="00B44A4E" w:rsidRPr="00443AEC" w:rsidRDefault="00B44A4E" w:rsidP="00B44A4E">
      <w:pPr>
        <w:spacing w:line="240" w:lineRule="auto"/>
        <w:rPr>
          <w:rFonts w:asciiTheme="majorHAnsi" w:hAnsiTheme="majorHAnsi"/>
        </w:rPr>
      </w:pPr>
      <w:r w:rsidRPr="00443AEC">
        <w:rPr>
          <w:rFonts w:asciiTheme="majorHAnsi" w:hAnsiTheme="majorHAnsi"/>
        </w:rPr>
        <w:t>No incompatibilities have been observed with standard infusion materials.</w:t>
      </w:r>
    </w:p>
    <w:p w14:paraId="30A8603A" w14:textId="77777777" w:rsidR="005B2812" w:rsidRPr="00443AEC" w:rsidRDefault="005B2812" w:rsidP="005B2812">
      <w:pPr>
        <w:pStyle w:val="Heading2"/>
        <w:spacing w:before="0" w:after="120"/>
        <w:rPr>
          <w:rFonts w:cstheme="minorHAnsi"/>
          <w:lang w:val="en-US"/>
        </w:rPr>
      </w:pPr>
      <w:r w:rsidRPr="00443AEC">
        <w:rPr>
          <w:rFonts w:cstheme="minorHAnsi"/>
          <w:lang w:val="en-US"/>
        </w:rPr>
        <w:t xml:space="preserve">Shelf life </w:t>
      </w:r>
    </w:p>
    <w:p w14:paraId="46805E2C" w14:textId="6EC4E74F" w:rsidR="005B2812" w:rsidRPr="00486BA8" w:rsidRDefault="005B2812" w:rsidP="005B2812">
      <w:pPr>
        <w:rPr>
          <w:rFonts w:asciiTheme="majorHAnsi" w:hAnsiTheme="majorHAnsi" w:cstheme="minorHAnsi"/>
          <w:lang w:val="en"/>
        </w:rPr>
      </w:pPr>
      <w:r w:rsidRPr="00486BA8">
        <w:rPr>
          <w:rFonts w:asciiTheme="majorHAnsi" w:hAnsiTheme="majorHAnsi" w:cstheme="minorHAnsi"/>
          <w:lang w:val="en"/>
        </w:rPr>
        <w:t xml:space="preserve">In Australia, information on the shelf life can be found on the public summary of the Australian Register of Therapeutic Goods (ARTG). The expiry date can be found on the packaging. </w:t>
      </w:r>
    </w:p>
    <w:p w14:paraId="31AD45E0" w14:textId="77777777" w:rsidR="007D5091" w:rsidRPr="00486BA8" w:rsidRDefault="007D5091" w:rsidP="007D5091">
      <w:pPr>
        <w:spacing w:line="240" w:lineRule="auto"/>
        <w:rPr>
          <w:rFonts w:asciiTheme="majorHAnsi" w:hAnsiTheme="majorHAnsi"/>
          <w:b/>
          <w:bCs/>
        </w:rPr>
      </w:pPr>
      <w:r w:rsidRPr="00486BA8">
        <w:rPr>
          <w:rFonts w:asciiTheme="majorHAnsi" w:hAnsiTheme="majorHAnsi"/>
          <w:b/>
          <w:bCs/>
        </w:rPr>
        <w:t>Unopened vial</w:t>
      </w:r>
    </w:p>
    <w:p w14:paraId="5F5E67D5" w14:textId="72DD31A7" w:rsidR="007D5091" w:rsidRPr="00443AEC" w:rsidRDefault="00084B46" w:rsidP="007D5091">
      <w:pPr>
        <w:spacing w:line="240" w:lineRule="auto"/>
        <w:rPr>
          <w:rFonts w:asciiTheme="majorHAnsi" w:hAnsiTheme="majorHAnsi"/>
        </w:rPr>
      </w:pPr>
      <w:r>
        <w:rPr>
          <w:rFonts w:asciiTheme="majorHAnsi" w:hAnsiTheme="majorHAnsi"/>
        </w:rPr>
        <w:t>4</w:t>
      </w:r>
      <w:r w:rsidR="007D5091" w:rsidRPr="00486BA8">
        <w:rPr>
          <w:rFonts w:asciiTheme="majorHAnsi" w:hAnsiTheme="majorHAnsi"/>
        </w:rPr>
        <w:t xml:space="preserve"> years</w:t>
      </w:r>
    </w:p>
    <w:p w14:paraId="0DF12CCD" w14:textId="77777777" w:rsidR="007D5091" w:rsidRPr="00486BA8" w:rsidRDefault="007D5091" w:rsidP="007D5091">
      <w:pPr>
        <w:spacing w:line="240" w:lineRule="auto"/>
        <w:rPr>
          <w:rFonts w:asciiTheme="majorHAnsi" w:hAnsiTheme="majorHAnsi"/>
          <w:b/>
          <w:bCs/>
        </w:rPr>
      </w:pPr>
      <w:r w:rsidRPr="00486BA8">
        <w:rPr>
          <w:rFonts w:asciiTheme="majorHAnsi" w:hAnsiTheme="majorHAnsi"/>
          <w:b/>
          <w:bCs/>
        </w:rPr>
        <w:t>Reconstituted solution (prior to dilution)</w:t>
      </w:r>
    </w:p>
    <w:p w14:paraId="3FED043C" w14:textId="03DC5B12" w:rsidR="007D5091" w:rsidRPr="00486BA8" w:rsidRDefault="00070E28" w:rsidP="007D5091">
      <w:pPr>
        <w:spacing w:line="240" w:lineRule="auto"/>
        <w:rPr>
          <w:rFonts w:asciiTheme="majorHAnsi" w:hAnsiTheme="majorHAnsi"/>
        </w:rPr>
      </w:pPr>
      <w:r>
        <w:rPr>
          <w:rFonts w:asciiTheme="majorHAnsi" w:hAnsiTheme="majorHAnsi"/>
        </w:rPr>
        <w:t>T</w:t>
      </w:r>
      <w:r w:rsidR="007D5091" w:rsidRPr="00486BA8">
        <w:rPr>
          <w:rFonts w:asciiTheme="majorHAnsi" w:hAnsiTheme="majorHAnsi"/>
        </w:rPr>
        <w:t>he reconstituted solution should be used immediately.</w:t>
      </w:r>
      <w:r w:rsidR="00560A09" w:rsidRPr="00624BF4">
        <w:rPr>
          <w:rStyle w:val="normaltextrun"/>
          <w:rFonts w:asciiTheme="majorHAnsi" w:hAnsiTheme="majorHAnsi"/>
          <w:color w:val="000000"/>
          <w:shd w:val="clear" w:color="auto" w:fill="FFFFFF"/>
        </w:rPr>
        <w:t xml:space="preserve"> </w:t>
      </w:r>
      <w:r w:rsidR="00560A09">
        <w:rPr>
          <w:rStyle w:val="normaltextrun"/>
          <w:rFonts w:asciiTheme="majorHAnsi" w:hAnsiTheme="majorHAnsi"/>
          <w:color w:val="000000"/>
          <w:shd w:val="clear" w:color="auto" w:fill="FFFFFF"/>
        </w:rPr>
        <w:t xml:space="preserve"> </w:t>
      </w:r>
      <w:r w:rsidR="00560A09" w:rsidRPr="00624BF4">
        <w:rPr>
          <w:rStyle w:val="normaltextrun"/>
          <w:rFonts w:asciiTheme="majorHAnsi" w:hAnsiTheme="majorHAnsi"/>
          <w:color w:val="000000"/>
          <w:shd w:val="clear" w:color="auto" w:fill="FFFFFF"/>
        </w:rPr>
        <w:t>If storage is necessary, hold at 2°C – 25°C for not more than 24 hours.</w:t>
      </w:r>
      <w:r w:rsidR="00624BF4">
        <w:rPr>
          <w:rStyle w:val="normaltextrun"/>
          <w:rFonts w:asciiTheme="majorHAnsi" w:hAnsiTheme="majorHAnsi"/>
          <w:color w:val="000000"/>
          <w:shd w:val="clear" w:color="auto" w:fill="FFFFFF"/>
        </w:rPr>
        <w:t xml:space="preserve"> </w:t>
      </w:r>
      <w:r w:rsidR="007D5091" w:rsidRPr="00486BA8">
        <w:rPr>
          <w:rFonts w:asciiTheme="majorHAnsi" w:hAnsiTheme="majorHAnsi"/>
        </w:rPr>
        <w:t>Do not freeze or shake.</w:t>
      </w:r>
    </w:p>
    <w:p w14:paraId="57838F79" w14:textId="77777777" w:rsidR="007D5091" w:rsidRPr="00EF3360" w:rsidRDefault="007D5091" w:rsidP="007D5091">
      <w:pPr>
        <w:spacing w:line="240" w:lineRule="auto"/>
        <w:rPr>
          <w:rFonts w:asciiTheme="majorHAnsi" w:hAnsiTheme="majorHAnsi"/>
          <w:b/>
          <w:bCs/>
        </w:rPr>
      </w:pPr>
      <w:r w:rsidRPr="00EF3360">
        <w:rPr>
          <w:rFonts w:asciiTheme="majorHAnsi" w:hAnsiTheme="majorHAnsi"/>
          <w:b/>
          <w:bCs/>
        </w:rPr>
        <w:t>Diluted solution (for infusion)</w:t>
      </w:r>
    </w:p>
    <w:p w14:paraId="19FC8937" w14:textId="2D89BE8E" w:rsidR="007D5091" w:rsidRPr="00443AEC" w:rsidRDefault="00070E28" w:rsidP="143F8393">
      <w:pPr>
        <w:spacing w:line="240" w:lineRule="auto"/>
        <w:rPr>
          <w:rFonts w:asciiTheme="majorHAnsi" w:hAnsiTheme="majorHAnsi"/>
        </w:rPr>
      </w:pPr>
      <w:r w:rsidRPr="143F8393">
        <w:rPr>
          <w:rFonts w:asciiTheme="majorHAnsi" w:hAnsiTheme="majorHAnsi"/>
        </w:rPr>
        <w:t>T</w:t>
      </w:r>
      <w:r w:rsidR="007D5091" w:rsidRPr="143F8393">
        <w:rPr>
          <w:rFonts w:asciiTheme="majorHAnsi" w:hAnsiTheme="majorHAnsi"/>
        </w:rPr>
        <w:t xml:space="preserve">he diluted solution should be used immediately. If not used immediately, in-use storage times </w:t>
      </w:r>
      <w:r w:rsidRPr="143F8393">
        <w:rPr>
          <w:rFonts w:asciiTheme="majorHAnsi" w:hAnsiTheme="majorHAnsi"/>
        </w:rPr>
        <w:t>has been demonstrated for a maximum of 36 </w:t>
      </w:r>
      <w:r w:rsidR="007D5091" w:rsidRPr="143F8393">
        <w:rPr>
          <w:rFonts w:asciiTheme="majorHAnsi" w:hAnsiTheme="majorHAnsi"/>
        </w:rPr>
        <w:t>hours at 2 – 8 °C</w:t>
      </w:r>
      <w:r w:rsidR="7BC7B776" w:rsidRPr="143F8393">
        <w:rPr>
          <w:rFonts w:asciiTheme="majorHAnsi" w:hAnsiTheme="majorHAnsi"/>
        </w:rPr>
        <w:t>,</w:t>
      </w:r>
      <w:r w:rsidRPr="143F8393">
        <w:rPr>
          <w:rFonts w:asciiTheme="majorHAnsi" w:hAnsiTheme="majorHAnsi"/>
        </w:rPr>
        <w:t xml:space="preserve"> followed by up to 24 hours up to 25 °C</w:t>
      </w:r>
      <w:r w:rsidR="007D5091" w:rsidRPr="143F8393">
        <w:rPr>
          <w:rFonts w:asciiTheme="majorHAnsi" w:hAnsiTheme="majorHAnsi"/>
        </w:rPr>
        <w:t>. Do not freeze or shake.</w:t>
      </w:r>
    </w:p>
    <w:p w14:paraId="45A9944D" w14:textId="77777777" w:rsidR="005B2812" w:rsidRPr="00443AEC" w:rsidRDefault="005B2812" w:rsidP="005B2812">
      <w:pPr>
        <w:pStyle w:val="Heading2"/>
        <w:keepNext/>
        <w:keepLines/>
        <w:spacing w:before="0" w:after="120"/>
        <w:rPr>
          <w:rFonts w:cstheme="minorHAnsi"/>
          <w:lang w:val="en-US"/>
        </w:rPr>
      </w:pPr>
      <w:r w:rsidRPr="00443AEC">
        <w:rPr>
          <w:rFonts w:cstheme="minorHAnsi"/>
          <w:lang w:val="en-US"/>
        </w:rPr>
        <w:t xml:space="preserve">Special precautions for storage </w:t>
      </w:r>
    </w:p>
    <w:p w14:paraId="779F3140" w14:textId="77777777" w:rsidR="00AF595D" w:rsidRPr="00486BA8" w:rsidRDefault="00AF595D" w:rsidP="00AF595D">
      <w:pPr>
        <w:spacing w:line="240" w:lineRule="auto"/>
        <w:rPr>
          <w:rFonts w:asciiTheme="majorHAnsi" w:hAnsiTheme="majorHAnsi"/>
        </w:rPr>
      </w:pPr>
      <w:r w:rsidRPr="00486BA8">
        <w:rPr>
          <w:rFonts w:asciiTheme="majorHAnsi" w:hAnsiTheme="majorHAnsi"/>
        </w:rPr>
        <w:t>Store in a refrigerator (2 °C – 8 °C).</w:t>
      </w:r>
    </w:p>
    <w:p w14:paraId="31316F18" w14:textId="2A1BD067" w:rsidR="00AF595D" w:rsidRPr="00486BA8" w:rsidRDefault="00AF595D" w:rsidP="00AF595D">
      <w:pPr>
        <w:spacing w:line="240" w:lineRule="auto"/>
        <w:rPr>
          <w:rFonts w:asciiTheme="majorHAnsi" w:hAnsiTheme="majorHAnsi"/>
        </w:rPr>
      </w:pPr>
      <w:r w:rsidRPr="00486BA8">
        <w:rPr>
          <w:rFonts w:asciiTheme="majorHAnsi" w:hAnsiTheme="majorHAnsi"/>
        </w:rPr>
        <w:t>Keep the vial in the outer carton to protect from light.</w:t>
      </w:r>
    </w:p>
    <w:p w14:paraId="76A373D2" w14:textId="5D6FEE74" w:rsidR="00AF595D" w:rsidRPr="00EF3360" w:rsidRDefault="00AF595D" w:rsidP="00AF595D">
      <w:pPr>
        <w:spacing w:line="240" w:lineRule="auto"/>
        <w:rPr>
          <w:rFonts w:asciiTheme="majorHAnsi" w:hAnsiTheme="majorHAnsi"/>
          <w:i/>
        </w:rPr>
      </w:pPr>
      <w:r w:rsidRPr="00EF3360">
        <w:rPr>
          <w:rFonts w:asciiTheme="majorHAnsi" w:hAnsiTheme="majorHAnsi"/>
        </w:rPr>
        <w:lastRenderedPageBreak/>
        <w:t>For storage conditions after reconstitution and dilution of the medicinal product, see section 6.3.</w:t>
      </w:r>
    </w:p>
    <w:p w14:paraId="15AB3168" w14:textId="77777777" w:rsidR="005B2812" w:rsidRPr="00486BA8" w:rsidRDefault="005B2812" w:rsidP="008B7AC3">
      <w:pPr>
        <w:pStyle w:val="Heading2"/>
        <w:spacing w:before="0" w:after="120" w:line="240" w:lineRule="auto"/>
        <w:rPr>
          <w:rFonts w:cstheme="minorHAnsi"/>
          <w:lang w:val="en-US"/>
        </w:rPr>
      </w:pPr>
      <w:r w:rsidRPr="00EF3360">
        <w:rPr>
          <w:rFonts w:cstheme="minorHAnsi"/>
          <w:lang w:val="en-US"/>
        </w:rPr>
        <w:t>Nature and contents of container</w:t>
      </w:r>
      <w:r w:rsidRPr="00486BA8">
        <w:rPr>
          <w:rFonts w:cstheme="minorHAnsi"/>
          <w:lang w:val="en-US"/>
        </w:rPr>
        <w:t xml:space="preserve"> </w:t>
      </w:r>
    </w:p>
    <w:p w14:paraId="5D4DE5C7" w14:textId="4916B19C" w:rsidR="00883DA8" w:rsidRPr="00486BA8" w:rsidRDefault="009B0436" w:rsidP="009644B0">
      <w:pPr>
        <w:keepNext/>
        <w:keepLines/>
        <w:spacing w:line="240" w:lineRule="auto"/>
        <w:rPr>
          <w:rFonts w:asciiTheme="majorHAnsi" w:hAnsiTheme="majorHAnsi"/>
          <w:color w:val="000000" w:themeColor="text1"/>
        </w:rPr>
      </w:pPr>
      <w:r w:rsidRPr="00486BA8">
        <w:rPr>
          <w:rFonts w:asciiTheme="majorHAnsi" w:hAnsiTheme="majorHAnsi"/>
          <w:color w:val="000000" w:themeColor="text1"/>
        </w:rPr>
        <w:t>MINJUVI (tafasitamab) powder for solution for infusion is supplied as a sterile, preservative-free</w:t>
      </w:r>
      <w:r w:rsidR="00F86555" w:rsidRPr="00486BA8">
        <w:rPr>
          <w:rFonts w:asciiTheme="majorHAnsi" w:hAnsiTheme="majorHAnsi"/>
          <w:color w:val="000000" w:themeColor="text1"/>
        </w:rPr>
        <w:t xml:space="preserve"> </w:t>
      </w:r>
      <w:r w:rsidR="007E4F9C" w:rsidRPr="00486BA8">
        <w:rPr>
          <w:rFonts w:asciiTheme="majorHAnsi" w:hAnsiTheme="majorHAnsi"/>
          <w:color w:val="000000" w:themeColor="text1"/>
        </w:rPr>
        <w:t>lyophilised</w:t>
      </w:r>
      <w:r w:rsidR="00422935" w:rsidRPr="00265E9F">
        <w:rPr>
          <w:rFonts w:asciiTheme="majorHAnsi" w:hAnsiTheme="majorHAnsi"/>
          <w:color w:val="000000" w:themeColor="text1"/>
        </w:rPr>
        <w:t xml:space="preserve"> </w:t>
      </w:r>
      <w:r w:rsidR="00F86555" w:rsidRPr="00265E9F">
        <w:rPr>
          <w:rFonts w:asciiTheme="majorHAnsi" w:hAnsiTheme="majorHAnsi"/>
          <w:color w:val="000000" w:themeColor="text1"/>
        </w:rPr>
        <w:t xml:space="preserve">powder in a </w:t>
      </w:r>
      <w:r w:rsidR="00306E1B" w:rsidRPr="00EF3360">
        <w:rPr>
          <w:rFonts w:asciiTheme="majorHAnsi" w:hAnsiTheme="majorHAnsi"/>
          <w:color w:val="000000" w:themeColor="text1"/>
        </w:rPr>
        <w:t>2</w:t>
      </w:r>
      <w:r w:rsidR="00BD1F61" w:rsidRPr="00EF3360">
        <w:rPr>
          <w:rFonts w:asciiTheme="majorHAnsi" w:hAnsiTheme="majorHAnsi"/>
          <w:color w:val="000000" w:themeColor="text1"/>
        </w:rPr>
        <w:t>0</w:t>
      </w:r>
      <w:r w:rsidR="00F86555" w:rsidRPr="00EF3360">
        <w:rPr>
          <w:rFonts w:asciiTheme="majorHAnsi" w:hAnsiTheme="majorHAnsi"/>
          <w:color w:val="000000" w:themeColor="text1"/>
        </w:rPr>
        <w:t xml:space="preserve"> mL </w:t>
      </w:r>
      <w:r w:rsidR="00F86555" w:rsidRPr="00486BA8">
        <w:rPr>
          <w:rFonts w:asciiTheme="majorHAnsi" w:hAnsiTheme="majorHAnsi"/>
          <w:color w:val="000000" w:themeColor="text1"/>
        </w:rPr>
        <w:t>c</w:t>
      </w:r>
      <w:r w:rsidR="009644B0" w:rsidRPr="00486BA8">
        <w:rPr>
          <w:rFonts w:asciiTheme="majorHAnsi" w:hAnsiTheme="majorHAnsi"/>
          <w:color w:val="000000" w:themeColor="text1"/>
        </w:rPr>
        <w:t xml:space="preserve">lear type I glass vial with a butyl rubber stopper, aluminium seal and a plastic flip-off cap. </w:t>
      </w:r>
    </w:p>
    <w:p w14:paraId="64CF02C0" w14:textId="394FE667" w:rsidR="009644B0" w:rsidRPr="00486BA8" w:rsidRDefault="00F86555" w:rsidP="009644B0">
      <w:pPr>
        <w:keepNext/>
        <w:keepLines/>
        <w:spacing w:line="240" w:lineRule="auto"/>
        <w:rPr>
          <w:rFonts w:asciiTheme="majorHAnsi" w:hAnsiTheme="majorHAnsi"/>
          <w:color w:val="000000" w:themeColor="text1"/>
        </w:rPr>
      </w:pPr>
      <w:r w:rsidRPr="00486BA8">
        <w:rPr>
          <w:rFonts w:asciiTheme="majorHAnsi" w:hAnsiTheme="majorHAnsi"/>
          <w:color w:val="000000" w:themeColor="text1"/>
        </w:rPr>
        <w:t>Each carton contains one single dose vial</w:t>
      </w:r>
      <w:r w:rsidR="009644B0" w:rsidRPr="00486BA8">
        <w:rPr>
          <w:rFonts w:asciiTheme="majorHAnsi" w:hAnsiTheme="majorHAnsi"/>
          <w:color w:val="000000" w:themeColor="text1"/>
        </w:rPr>
        <w:t>.</w:t>
      </w:r>
    </w:p>
    <w:p w14:paraId="639317AE" w14:textId="77777777" w:rsidR="005B2812" w:rsidRPr="00EF3360" w:rsidRDefault="005B2812" w:rsidP="008B7AC3">
      <w:pPr>
        <w:pStyle w:val="Heading2"/>
        <w:spacing w:before="0" w:after="120" w:line="240" w:lineRule="auto"/>
        <w:rPr>
          <w:rFonts w:cstheme="minorHAnsi"/>
          <w:lang w:val="en-US"/>
        </w:rPr>
      </w:pPr>
      <w:r w:rsidRPr="00EF3360">
        <w:rPr>
          <w:rFonts w:cstheme="minorHAnsi"/>
          <w:lang w:val="en-US"/>
        </w:rPr>
        <w:t xml:space="preserve">Special precautions for disposal </w:t>
      </w:r>
    </w:p>
    <w:p w14:paraId="1D005132" w14:textId="4E0235E9" w:rsidR="005B2812" w:rsidRPr="00EF3360" w:rsidRDefault="005B2812" w:rsidP="005B2812">
      <w:pPr>
        <w:rPr>
          <w:rFonts w:asciiTheme="majorHAnsi" w:hAnsiTheme="majorHAnsi" w:cstheme="minorHAnsi"/>
          <w:lang w:val="en"/>
        </w:rPr>
      </w:pPr>
      <w:r w:rsidRPr="00EF3360">
        <w:rPr>
          <w:rFonts w:asciiTheme="majorHAnsi" w:hAnsiTheme="majorHAnsi" w:cstheme="minorHAnsi"/>
          <w:lang w:val="en"/>
        </w:rPr>
        <w:t>In Australia, any unused medicine or waste material should be disposed of by taking to your local pharmacy.</w:t>
      </w:r>
    </w:p>
    <w:p w14:paraId="30379C9E" w14:textId="77777777" w:rsidR="001A3992" w:rsidRPr="00882808" w:rsidRDefault="001A3992" w:rsidP="008B7AC3">
      <w:pPr>
        <w:pStyle w:val="Heading2"/>
        <w:spacing w:before="0" w:after="120" w:line="240" w:lineRule="auto"/>
        <w:rPr>
          <w:lang w:val="en-US"/>
        </w:rPr>
      </w:pPr>
      <w:r w:rsidRPr="00882808">
        <w:rPr>
          <w:lang w:val="en-US"/>
        </w:rPr>
        <w:t>Physicochemical properties</w:t>
      </w:r>
    </w:p>
    <w:p w14:paraId="60802EBD" w14:textId="77777777" w:rsidR="001A3992" w:rsidRPr="00D65761" w:rsidRDefault="001A3992" w:rsidP="00467BBF">
      <w:pPr>
        <w:pStyle w:val="Heading3"/>
        <w:spacing w:before="0" w:after="120"/>
        <w:ind w:left="0"/>
        <w:rPr>
          <w:lang w:val="en-US"/>
        </w:rPr>
      </w:pPr>
      <w:r w:rsidRPr="00D65761">
        <w:rPr>
          <w:lang w:val="en-US"/>
        </w:rPr>
        <w:t>Chemical structure</w:t>
      </w:r>
    </w:p>
    <w:p w14:paraId="39DAFC9B" w14:textId="77777777" w:rsidR="00D6653A" w:rsidRDefault="006A627C">
      <w:pPr>
        <w:pStyle w:val="Heading3"/>
        <w:spacing w:before="0" w:after="120"/>
        <w:ind w:left="0"/>
        <w:rPr>
          <w:rFonts w:cstheme="minorHAnsi"/>
          <w:b w:val="0"/>
          <w:bCs w:val="0"/>
          <w:lang w:val="en"/>
        </w:rPr>
      </w:pPr>
      <w:proofErr w:type="spellStart"/>
      <w:r w:rsidRPr="003635E2">
        <w:rPr>
          <w:rFonts w:cstheme="minorHAnsi"/>
          <w:b w:val="0"/>
          <w:bCs w:val="0"/>
          <w:lang w:val="en"/>
        </w:rPr>
        <w:t>Tafasitamab</w:t>
      </w:r>
      <w:proofErr w:type="spellEnd"/>
      <w:r w:rsidRPr="003635E2">
        <w:rPr>
          <w:rFonts w:cstheme="minorHAnsi"/>
          <w:b w:val="0"/>
          <w:bCs w:val="0"/>
          <w:lang w:val="en"/>
        </w:rPr>
        <w:t xml:space="preserve"> is a </w:t>
      </w:r>
      <w:proofErr w:type="spellStart"/>
      <w:r w:rsidRPr="003635E2">
        <w:rPr>
          <w:rFonts w:cstheme="minorHAnsi"/>
          <w:b w:val="0"/>
          <w:bCs w:val="0"/>
          <w:lang w:val="en"/>
        </w:rPr>
        <w:t>humanised</w:t>
      </w:r>
      <w:proofErr w:type="spellEnd"/>
      <w:r w:rsidRPr="003635E2">
        <w:rPr>
          <w:rFonts w:cstheme="minorHAnsi"/>
          <w:b w:val="0"/>
          <w:bCs w:val="0"/>
          <w:lang w:val="en"/>
        </w:rPr>
        <w:t xml:space="preserve"> CD19 specific monoclonal antibody of the immunoglobulin G (IgG) subclass produced in mammalian (Chinese hamster ovary) cells by recombinant DNA technology.</w:t>
      </w:r>
    </w:p>
    <w:p w14:paraId="308E0498" w14:textId="15CCFE19" w:rsidR="001A3992" w:rsidRPr="003635E2" w:rsidRDefault="001A3992" w:rsidP="00467BBF">
      <w:pPr>
        <w:pStyle w:val="Heading3"/>
        <w:spacing w:before="0" w:after="120"/>
        <w:ind w:left="0"/>
        <w:rPr>
          <w:b w:val="0"/>
          <w:bCs w:val="0"/>
          <w:lang w:val="en-US"/>
        </w:rPr>
      </w:pPr>
      <w:r w:rsidRPr="003635E2">
        <w:rPr>
          <w:b w:val="0"/>
          <w:bCs w:val="0"/>
          <w:lang w:val="en-US"/>
        </w:rPr>
        <w:t>CAS number</w:t>
      </w:r>
      <w:r w:rsidR="00ED2BA8">
        <w:rPr>
          <w:b w:val="0"/>
          <w:bCs w:val="0"/>
          <w:lang w:val="en-US"/>
        </w:rPr>
        <w:t>:</w:t>
      </w:r>
    </w:p>
    <w:p w14:paraId="390EE152" w14:textId="0B39DDD5" w:rsidR="00A10260" w:rsidRPr="00422919" w:rsidRDefault="00A10260" w:rsidP="00467BBF">
      <w:pPr>
        <w:shd w:val="clear" w:color="auto" w:fill="FFFFFF"/>
        <w:spacing w:after="100" w:afterAutospacing="1" w:line="240" w:lineRule="atLeast"/>
        <w:rPr>
          <w:rFonts w:asciiTheme="majorHAnsi" w:eastAsia="Times New Roman" w:hAnsiTheme="majorHAnsi" w:cs="Arial"/>
          <w:color w:val="333333"/>
          <w:lang w:eastAsia="en-GB"/>
        </w:rPr>
      </w:pPr>
      <w:r w:rsidRPr="00422919">
        <w:rPr>
          <w:rFonts w:asciiTheme="majorHAnsi" w:eastAsia="Times New Roman" w:hAnsiTheme="majorHAnsi" w:cs="Arial"/>
          <w:color w:val="333333"/>
          <w:lang w:eastAsia="en-GB"/>
        </w:rPr>
        <w:t>1422527-84-1</w:t>
      </w:r>
    </w:p>
    <w:p w14:paraId="5352FF54" w14:textId="77777777" w:rsidR="001A3992" w:rsidRPr="00422919" w:rsidRDefault="001A3992" w:rsidP="008B7AC3">
      <w:pPr>
        <w:pStyle w:val="Heading1"/>
        <w:spacing w:before="0" w:after="120" w:line="240" w:lineRule="auto"/>
        <w:ind w:left="431" w:hanging="431"/>
        <w:rPr>
          <w:lang w:val="en-US"/>
        </w:rPr>
      </w:pPr>
      <w:r w:rsidRPr="00422919">
        <w:rPr>
          <w:lang w:val="en-US"/>
        </w:rPr>
        <w:t>Medicine schedule (Poisons Standard)</w:t>
      </w:r>
    </w:p>
    <w:p w14:paraId="7E22CCA7" w14:textId="67EC8AA2" w:rsidR="00675349" w:rsidRPr="00422919" w:rsidRDefault="000C1793" w:rsidP="008B7AC3">
      <w:pPr>
        <w:spacing w:after="120" w:line="240" w:lineRule="auto"/>
        <w:rPr>
          <w:rFonts w:asciiTheme="majorHAnsi" w:hAnsiTheme="majorHAnsi"/>
          <w:lang w:val="en-US"/>
        </w:rPr>
      </w:pPr>
      <w:r w:rsidRPr="00422919">
        <w:rPr>
          <w:rFonts w:asciiTheme="majorHAnsi" w:hAnsiTheme="majorHAnsi"/>
          <w:lang w:val="en-US"/>
        </w:rPr>
        <w:t>Prescription Only Medicine (S4)</w:t>
      </w:r>
    </w:p>
    <w:p w14:paraId="321A17A0" w14:textId="77777777" w:rsidR="00285173" w:rsidRPr="001667C9" w:rsidRDefault="001A3992" w:rsidP="008B7AC3">
      <w:pPr>
        <w:pStyle w:val="Heading1"/>
        <w:spacing w:before="0" w:after="120" w:line="240" w:lineRule="auto"/>
        <w:ind w:left="431" w:hanging="431"/>
        <w:rPr>
          <w:lang w:val="en-US"/>
        </w:rPr>
      </w:pPr>
      <w:r w:rsidRPr="001667C9">
        <w:rPr>
          <w:lang w:val="en-US"/>
        </w:rPr>
        <w:t>Sponsor</w:t>
      </w:r>
      <w:r w:rsidR="00285173" w:rsidRPr="001667C9">
        <w:rPr>
          <w:lang w:val="en-US"/>
        </w:rPr>
        <w:t xml:space="preserve"> </w:t>
      </w:r>
    </w:p>
    <w:p w14:paraId="2D0F3A2E" w14:textId="27514F26" w:rsidR="000C1793" w:rsidRPr="001667C9" w:rsidRDefault="000C1793" w:rsidP="00536442">
      <w:pPr>
        <w:spacing w:after="0"/>
        <w:rPr>
          <w:rFonts w:asciiTheme="majorHAnsi" w:hAnsiTheme="majorHAnsi"/>
          <w:lang w:val="en-US"/>
        </w:rPr>
      </w:pPr>
      <w:proofErr w:type="spellStart"/>
      <w:r w:rsidRPr="001667C9">
        <w:rPr>
          <w:rFonts w:asciiTheme="majorHAnsi" w:hAnsiTheme="majorHAnsi"/>
          <w:lang w:val="en-US"/>
        </w:rPr>
        <w:t>Specialised</w:t>
      </w:r>
      <w:proofErr w:type="spellEnd"/>
      <w:r w:rsidRPr="001667C9">
        <w:rPr>
          <w:rFonts w:asciiTheme="majorHAnsi" w:hAnsiTheme="majorHAnsi"/>
          <w:lang w:val="en-US"/>
        </w:rPr>
        <w:t xml:space="preserve"> Therapeutics </w:t>
      </w:r>
      <w:r w:rsidR="00992F3A" w:rsidRPr="001667C9">
        <w:rPr>
          <w:rFonts w:asciiTheme="majorHAnsi" w:hAnsiTheme="majorHAnsi"/>
          <w:lang w:val="en-US"/>
        </w:rPr>
        <w:t>Alim</w:t>
      </w:r>
      <w:r w:rsidRPr="001667C9">
        <w:rPr>
          <w:rFonts w:asciiTheme="majorHAnsi" w:hAnsiTheme="majorHAnsi"/>
          <w:lang w:val="en-US"/>
        </w:rPr>
        <w:t xml:space="preserve"> Pty Ltd</w:t>
      </w:r>
    </w:p>
    <w:p w14:paraId="2E774889" w14:textId="63343AA6" w:rsidR="000C1793" w:rsidRPr="001667C9" w:rsidRDefault="000C1793" w:rsidP="658DBE28">
      <w:pPr>
        <w:spacing w:after="0"/>
        <w:rPr>
          <w:rFonts w:asciiTheme="majorHAnsi" w:hAnsiTheme="majorHAnsi"/>
          <w:lang w:val="en-US"/>
        </w:rPr>
      </w:pPr>
      <w:r w:rsidRPr="658DBE28">
        <w:rPr>
          <w:rFonts w:asciiTheme="majorHAnsi" w:hAnsiTheme="majorHAnsi"/>
          <w:lang w:val="en-US"/>
        </w:rPr>
        <w:t>Level 2, 17 Cotham Road</w:t>
      </w:r>
      <w:r w:rsidR="00D35170" w:rsidRPr="658DBE28">
        <w:rPr>
          <w:rFonts w:asciiTheme="majorHAnsi" w:hAnsiTheme="majorHAnsi"/>
          <w:lang w:val="en-US"/>
        </w:rPr>
        <w:t>, Kew, Victoria 3101</w:t>
      </w:r>
    </w:p>
    <w:p w14:paraId="7FE53CBB" w14:textId="3276B265" w:rsidR="19ED3281" w:rsidRDefault="19ED3281" w:rsidP="658DBE28">
      <w:pPr>
        <w:spacing w:after="0"/>
        <w:rPr>
          <w:rFonts w:asciiTheme="majorHAnsi" w:hAnsiTheme="majorHAnsi"/>
          <w:lang w:val="en-US"/>
        </w:rPr>
      </w:pPr>
      <w:r w:rsidRPr="658DBE28">
        <w:rPr>
          <w:rFonts w:asciiTheme="majorHAnsi" w:hAnsiTheme="majorHAnsi"/>
          <w:lang w:val="en-US"/>
        </w:rPr>
        <w:t>Australia</w:t>
      </w:r>
    </w:p>
    <w:p w14:paraId="37A05A1F" w14:textId="3CAF1A32" w:rsidR="00536442" w:rsidRPr="003D30C6" w:rsidRDefault="00D35170" w:rsidP="00536442">
      <w:pPr>
        <w:spacing w:after="0"/>
        <w:rPr>
          <w:rFonts w:asciiTheme="majorHAnsi" w:hAnsiTheme="majorHAnsi"/>
          <w:lang w:val="en-US"/>
        </w:rPr>
      </w:pPr>
      <w:r w:rsidRPr="003D30C6">
        <w:rPr>
          <w:rFonts w:asciiTheme="majorHAnsi" w:hAnsiTheme="majorHAnsi"/>
          <w:lang w:val="en-US"/>
        </w:rPr>
        <w:t>Ph: 1300 798 820</w:t>
      </w:r>
    </w:p>
    <w:p w14:paraId="0A6BF885" w14:textId="3988292C" w:rsidR="00D35170" w:rsidRDefault="00D35170" w:rsidP="00536442">
      <w:pPr>
        <w:spacing w:after="0"/>
        <w:rPr>
          <w:rFonts w:asciiTheme="majorHAnsi" w:hAnsiTheme="majorHAnsi"/>
          <w:lang w:val="en-US"/>
        </w:rPr>
      </w:pPr>
      <w:r w:rsidRPr="003D30C6">
        <w:rPr>
          <w:rFonts w:asciiTheme="majorHAnsi" w:hAnsiTheme="majorHAnsi"/>
          <w:lang w:val="en-US"/>
        </w:rPr>
        <w:t>Fax: 1800 798 829</w:t>
      </w:r>
    </w:p>
    <w:p w14:paraId="616F5288" w14:textId="53C2E5A3" w:rsidR="002008DB" w:rsidRPr="003D30C6" w:rsidRDefault="002008DB" w:rsidP="00536442">
      <w:pPr>
        <w:spacing w:after="0"/>
        <w:rPr>
          <w:rFonts w:asciiTheme="majorHAnsi" w:hAnsiTheme="majorHAnsi"/>
          <w:lang w:val="en-US"/>
        </w:rPr>
      </w:pPr>
      <w:r>
        <w:rPr>
          <w:rFonts w:asciiTheme="majorHAnsi" w:hAnsiTheme="majorHAnsi"/>
          <w:lang w:val="en-US"/>
        </w:rPr>
        <w:t>www.stbiopharma.com</w:t>
      </w:r>
    </w:p>
    <w:p w14:paraId="2E09345C" w14:textId="77777777" w:rsidR="00285173" w:rsidRPr="001667C9" w:rsidRDefault="00285173" w:rsidP="00285173">
      <w:pPr>
        <w:pStyle w:val="Heading1"/>
        <w:spacing w:before="0" w:after="120"/>
        <w:rPr>
          <w:lang w:val="en-US"/>
        </w:rPr>
      </w:pPr>
      <w:r w:rsidRPr="001667C9">
        <w:rPr>
          <w:lang w:val="en-US"/>
        </w:rPr>
        <w:t xml:space="preserve">Date of first approval  </w:t>
      </w:r>
    </w:p>
    <w:p w14:paraId="742E86F5" w14:textId="555566A9" w:rsidR="00115107" w:rsidRPr="00422919" w:rsidRDefault="00115107" w:rsidP="00115107">
      <w:pPr>
        <w:rPr>
          <w:rFonts w:asciiTheme="majorHAnsi" w:hAnsiTheme="majorHAnsi"/>
          <w:lang w:val="en-US"/>
        </w:rPr>
      </w:pPr>
      <w:r w:rsidRPr="002008DB">
        <w:rPr>
          <w:rFonts w:asciiTheme="majorHAnsi" w:hAnsiTheme="majorHAnsi"/>
          <w:lang w:val="en-US"/>
        </w:rPr>
        <w:t>Insert approval date from TGA Approval Letter</w:t>
      </w:r>
    </w:p>
    <w:p w14:paraId="322A8218" w14:textId="77777777" w:rsidR="00285173" w:rsidRPr="00422919" w:rsidRDefault="00285173" w:rsidP="008B7AC3">
      <w:pPr>
        <w:pStyle w:val="Heading1"/>
        <w:spacing w:before="0" w:line="240" w:lineRule="auto"/>
        <w:ind w:left="431" w:hanging="431"/>
        <w:rPr>
          <w:lang w:val="en-US"/>
        </w:rPr>
      </w:pPr>
      <w:r w:rsidRPr="00422919">
        <w:rPr>
          <w:lang w:val="en-US"/>
        </w:rPr>
        <w:t xml:space="preserve">Date of revision </w:t>
      </w:r>
    </w:p>
    <w:p w14:paraId="42669E36" w14:textId="3800462D" w:rsidR="006B60C0" w:rsidRPr="001667C9" w:rsidRDefault="006B60C0" w:rsidP="006B60C0">
      <w:pPr>
        <w:rPr>
          <w:rFonts w:asciiTheme="majorHAnsi" w:hAnsiTheme="majorHAnsi"/>
          <w:lang w:val="en-US"/>
        </w:rPr>
      </w:pPr>
      <w:r w:rsidRPr="001667C9">
        <w:rPr>
          <w:rFonts w:asciiTheme="majorHAnsi" w:hAnsiTheme="majorHAnsi"/>
          <w:lang w:val="en-US"/>
        </w:rPr>
        <w:t>N/A</w:t>
      </w:r>
    </w:p>
    <w:p w14:paraId="23CD8FF0" w14:textId="77777777" w:rsidR="00285173" w:rsidRPr="001667C9" w:rsidRDefault="00285173" w:rsidP="00285173">
      <w:pPr>
        <w:pStyle w:val="Heading2"/>
        <w:numPr>
          <w:ilvl w:val="0"/>
          <w:numId w:val="0"/>
        </w:numPr>
        <w:spacing w:before="0" w:after="120"/>
        <w:rPr>
          <w:lang w:val="en-US"/>
        </w:rPr>
      </w:pPr>
      <w:r w:rsidRPr="001667C9">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285173" w14:paraId="39FEA4F0" w14:textId="77777777" w:rsidTr="006B60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2017AD07" w14:textId="77777777" w:rsidR="00285173" w:rsidRPr="001667C9" w:rsidRDefault="00285173" w:rsidP="00C85C9F">
            <w:pPr>
              <w:rPr>
                <w:sz w:val="20"/>
                <w:lang w:val="en-US"/>
              </w:rPr>
            </w:pPr>
            <w:r w:rsidRPr="001667C9">
              <w:rPr>
                <w:sz w:val="20"/>
                <w:lang w:val="en-US"/>
              </w:rPr>
              <w:t>Section Changed</w:t>
            </w:r>
          </w:p>
        </w:tc>
        <w:tc>
          <w:tcPr>
            <w:tcW w:w="7635" w:type="dxa"/>
            <w:shd w:val="clear" w:color="auto" w:fill="F2F2F2" w:themeFill="background1" w:themeFillShade="F2"/>
            <w:vAlign w:val="center"/>
          </w:tcPr>
          <w:p w14:paraId="475599EB" w14:textId="77777777" w:rsidR="00285173" w:rsidRPr="002E277D" w:rsidRDefault="00285173" w:rsidP="00C85C9F">
            <w:pPr>
              <w:cnfStyle w:val="100000000000" w:firstRow="1" w:lastRow="0" w:firstColumn="0" w:lastColumn="0" w:oddVBand="0" w:evenVBand="0" w:oddHBand="0" w:evenHBand="0" w:firstRowFirstColumn="0" w:firstRowLastColumn="0" w:lastRowFirstColumn="0" w:lastRowLastColumn="0"/>
              <w:rPr>
                <w:sz w:val="20"/>
                <w:lang w:val="en-US"/>
              </w:rPr>
            </w:pPr>
            <w:r w:rsidRPr="001667C9">
              <w:rPr>
                <w:sz w:val="20"/>
                <w:lang w:val="en-US"/>
              </w:rPr>
              <w:t>Summary of new information</w:t>
            </w:r>
          </w:p>
        </w:tc>
      </w:tr>
      <w:tr w:rsidR="00285173" w14:paraId="38715735" w14:textId="77777777" w:rsidTr="006B60C0">
        <w:tc>
          <w:tcPr>
            <w:cnfStyle w:val="001000000000" w:firstRow="0" w:lastRow="0" w:firstColumn="1" w:lastColumn="0" w:oddVBand="0" w:evenVBand="0" w:oddHBand="0" w:evenHBand="0" w:firstRowFirstColumn="0" w:firstRowLastColumn="0" w:lastRowFirstColumn="0" w:lastRowLastColumn="0"/>
            <w:tcW w:w="1371" w:type="dxa"/>
            <w:vAlign w:val="center"/>
          </w:tcPr>
          <w:p w14:paraId="790A597C" w14:textId="77777777" w:rsidR="00285173" w:rsidRDefault="00285173" w:rsidP="00C85C9F">
            <w:pPr>
              <w:rPr>
                <w:lang w:val="en-US"/>
              </w:rPr>
            </w:pPr>
          </w:p>
        </w:tc>
        <w:tc>
          <w:tcPr>
            <w:tcW w:w="7635" w:type="dxa"/>
            <w:vAlign w:val="center"/>
          </w:tcPr>
          <w:p w14:paraId="1D17E322" w14:textId="77777777" w:rsidR="00285173" w:rsidRDefault="00285173" w:rsidP="00C85C9F">
            <w:pPr>
              <w:cnfStyle w:val="000000000000" w:firstRow="0" w:lastRow="0" w:firstColumn="0" w:lastColumn="0" w:oddVBand="0" w:evenVBand="0" w:oddHBand="0" w:evenHBand="0" w:firstRowFirstColumn="0" w:firstRowLastColumn="0" w:lastRowFirstColumn="0" w:lastRowLastColumn="0"/>
              <w:rPr>
                <w:lang w:val="en-US"/>
              </w:rPr>
            </w:pPr>
          </w:p>
        </w:tc>
      </w:tr>
    </w:tbl>
    <w:p w14:paraId="05B84138" w14:textId="77777777" w:rsidR="00285173" w:rsidRPr="00557591" w:rsidRDefault="00285173" w:rsidP="00BA64CC">
      <w:pPr>
        <w:spacing w:after="120"/>
        <w:rPr>
          <w:lang w:val="en-US"/>
        </w:rPr>
      </w:pPr>
    </w:p>
    <w:sectPr w:rsidR="00285173" w:rsidRPr="0055759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1E67" w14:textId="77777777" w:rsidR="00B96F07" w:rsidRDefault="00B96F07" w:rsidP="001A3992">
      <w:pPr>
        <w:spacing w:after="0" w:line="240" w:lineRule="auto"/>
      </w:pPr>
      <w:r>
        <w:separator/>
      </w:r>
    </w:p>
  </w:endnote>
  <w:endnote w:type="continuationSeparator" w:id="0">
    <w:p w14:paraId="478735B2" w14:textId="77777777" w:rsidR="00B96F07" w:rsidRDefault="00B96F07" w:rsidP="001A3992">
      <w:pPr>
        <w:spacing w:after="0" w:line="240" w:lineRule="auto"/>
      </w:pPr>
      <w:r>
        <w:continuationSeparator/>
      </w:r>
    </w:p>
  </w:endnote>
  <w:endnote w:type="continuationNotice" w:id="1">
    <w:p w14:paraId="5DD743F4" w14:textId="77777777" w:rsidR="00B96F07" w:rsidRDefault="00B96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versLTStd-Cn">
    <w:altName w:val="MS Gothic"/>
    <w:panose1 w:val="00000000000000000000"/>
    <w:charset w:val="80"/>
    <w:family w:val="swiss"/>
    <w:notTrueType/>
    <w:pitch w:val="default"/>
    <w:sig w:usb0="00000001" w:usb1="08070000" w:usb2="00000010" w:usb3="00000000" w:csb0="00020000" w:csb1="00000000"/>
  </w:font>
  <w:font w:name="TimesNewRoman">
    <w:altName w:val="Yu Gothic UI"/>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93163430"/>
      <w:docPartObj>
        <w:docPartGallery w:val="Page Numbers (Bottom of Page)"/>
        <w:docPartUnique/>
      </w:docPartObj>
    </w:sdtPr>
    <w:sdtEndPr>
      <w:rPr>
        <w:noProof/>
      </w:rPr>
    </w:sdtEndPr>
    <w:sdtContent>
      <w:p w14:paraId="0BB08E04" w14:textId="7A9EEE2A" w:rsidR="00F22DF6" w:rsidRPr="00B353D8" w:rsidRDefault="00F22DF6" w:rsidP="007B6B2F">
        <w:pPr>
          <w:pStyle w:val="Footer"/>
          <w:tabs>
            <w:tab w:val="left" w:pos="0"/>
          </w:tabs>
          <w:rPr>
            <w:sz w:val="20"/>
            <w:szCs w:val="20"/>
          </w:rPr>
        </w:pPr>
        <w:r w:rsidRPr="00B353D8">
          <w:rPr>
            <w:sz w:val="20"/>
            <w:szCs w:val="20"/>
          </w:rPr>
          <w:t>202</w:t>
        </w:r>
        <w:r w:rsidR="003B2B6B">
          <w:rPr>
            <w:sz w:val="20"/>
            <w:szCs w:val="20"/>
          </w:rPr>
          <w:t>3021</w:t>
        </w:r>
        <w:r w:rsidR="00FA00E3">
          <w:rPr>
            <w:sz w:val="20"/>
            <w:szCs w:val="20"/>
          </w:rPr>
          <w:t>6</w:t>
        </w:r>
        <w:r w:rsidRPr="00B353D8">
          <w:rPr>
            <w:sz w:val="20"/>
            <w:szCs w:val="20"/>
          </w:rPr>
          <w:t>_MIN_AU_PI_Cat 1</w:t>
        </w:r>
        <w:r>
          <w:rPr>
            <w:sz w:val="20"/>
            <w:szCs w:val="20"/>
          </w:rPr>
          <w:t>(MS</w:t>
        </w:r>
        <w:proofErr w:type="gramStart"/>
        <w:r w:rsidR="003B2B6B">
          <w:rPr>
            <w:sz w:val="20"/>
            <w:szCs w:val="20"/>
          </w:rPr>
          <w:t>5</w:t>
        </w:r>
        <w:r>
          <w:rPr>
            <w:sz w:val="20"/>
            <w:szCs w:val="20"/>
          </w:rPr>
          <w:t>)</w:t>
        </w:r>
        <w:r w:rsidRPr="00B353D8">
          <w:rPr>
            <w:sz w:val="20"/>
            <w:szCs w:val="20"/>
          </w:rPr>
          <w:t>_</w:t>
        </w:r>
        <w:proofErr w:type="gramEnd"/>
        <w:r w:rsidRPr="00B353D8">
          <w:rPr>
            <w:sz w:val="20"/>
            <w:szCs w:val="20"/>
          </w:rPr>
          <w:t>draft</w:t>
        </w:r>
        <w:r w:rsidR="00352EB4">
          <w:rPr>
            <w:sz w:val="20"/>
            <w:szCs w:val="20"/>
          </w:rPr>
          <w:t xml:space="preserve"> (</w:t>
        </w:r>
        <w:r w:rsidR="00C61EF9">
          <w:rPr>
            <w:sz w:val="20"/>
            <w:szCs w:val="20"/>
          </w:rPr>
          <w:t xml:space="preserve">clean </w:t>
        </w:r>
        <w:r w:rsidR="00352EB4">
          <w:rPr>
            <w:sz w:val="20"/>
            <w:szCs w:val="20"/>
          </w:rPr>
          <w:t>)</w:t>
        </w:r>
        <w:r w:rsidRPr="00B353D8">
          <w:rPr>
            <w:sz w:val="20"/>
            <w:szCs w:val="20"/>
          </w:rPr>
          <w:tab/>
        </w:r>
        <w:r w:rsidRPr="00B353D8">
          <w:rPr>
            <w:sz w:val="20"/>
            <w:szCs w:val="20"/>
          </w:rPr>
          <w:tab/>
        </w:r>
        <w:r w:rsidRPr="00B353D8">
          <w:rPr>
            <w:sz w:val="20"/>
            <w:szCs w:val="20"/>
          </w:rPr>
          <w:fldChar w:fldCharType="begin"/>
        </w:r>
        <w:r w:rsidRPr="00B353D8">
          <w:rPr>
            <w:sz w:val="20"/>
            <w:szCs w:val="20"/>
          </w:rPr>
          <w:instrText xml:space="preserve"> PAGE   \* MERGEFORMAT </w:instrText>
        </w:r>
        <w:r w:rsidRPr="00B353D8">
          <w:rPr>
            <w:sz w:val="20"/>
            <w:szCs w:val="20"/>
          </w:rPr>
          <w:fldChar w:fldCharType="separate"/>
        </w:r>
        <w:r w:rsidR="001F259D">
          <w:rPr>
            <w:noProof/>
            <w:sz w:val="20"/>
            <w:szCs w:val="20"/>
          </w:rPr>
          <w:t>17</w:t>
        </w:r>
        <w:r w:rsidRPr="00B353D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F197" w14:textId="77777777" w:rsidR="00B96F07" w:rsidRDefault="00B96F07" w:rsidP="001A3992">
      <w:pPr>
        <w:spacing w:after="0" w:line="240" w:lineRule="auto"/>
      </w:pPr>
      <w:r>
        <w:separator/>
      </w:r>
    </w:p>
  </w:footnote>
  <w:footnote w:type="continuationSeparator" w:id="0">
    <w:p w14:paraId="22E29119" w14:textId="77777777" w:rsidR="00B96F07" w:rsidRDefault="00B96F07" w:rsidP="001A3992">
      <w:pPr>
        <w:spacing w:after="0" w:line="240" w:lineRule="auto"/>
      </w:pPr>
      <w:r>
        <w:continuationSeparator/>
      </w:r>
    </w:p>
  </w:footnote>
  <w:footnote w:type="continuationNotice" w:id="1">
    <w:p w14:paraId="3B76A5E9" w14:textId="77777777" w:rsidR="00B96F07" w:rsidRDefault="00B96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CE7A63" w:rsidRPr="000B2145" w14:paraId="03A19A85" w14:textId="77777777" w:rsidTr="0017348B">
      <w:trPr>
        <w:trHeight w:val="1012"/>
      </w:trPr>
      <w:tc>
        <w:tcPr>
          <w:tcW w:w="9180" w:type="dxa"/>
          <w:shd w:val="clear" w:color="auto" w:fill="E4F2E0"/>
        </w:tcPr>
        <w:p w14:paraId="69FB7143" w14:textId="77777777" w:rsidR="00CE7A63" w:rsidRPr="008302FE" w:rsidRDefault="00CE7A63" w:rsidP="00CE7A63">
          <w:pPr>
            <w:pStyle w:val="Footer"/>
            <w:rPr>
              <w:b/>
              <w:sz w:val="18"/>
              <w:szCs w:val="18"/>
            </w:rPr>
          </w:pPr>
          <w:bookmarkStart w:id="1" w:name="_Hlk109054010"/>
          <w:r w:rsidRPr="00EE2A41">
            <w:rPr>
              <w:b/>
              <w:sz w:val="18"/>
              <w:szCs w:val="18"/>
            </w:rPr>
            <w:t xml:space="preserve">Attachment </w:t>
          </w:r>
          <w:r w:rsidRPr="008302FE">
            <w:rPr>
              <w:b/>
              <w:sz w:val="18"/>
              <w:szCs w:val="18"/>
            </w:rPr>
            <w:t xml:space="preserve">AusPAR - Minjuvi - </w:t>
          </w:r>
          <w:proofErr w:type="spellStart"/>
          <w:r w:rsidRPr="008302FE">
            <w:rPr>
              <w:b/>
              <w:sz w:val="18"/>
              <w:szCs w:val="18"/>
            </w:rPr>
            <w:t>tafasitamab</w:t>
          </w:r>
          <w:proofErr w:type="spellEnd"/>
          <w:r w:rsidRPr="008302FE">
            <w:rPr>
              <w:b/>
              <w:sz w:val="18"/>
              <w:szCs w:val="18"/>
            </w:rPr>
            <w:t xml:space="preserve"> - Specialised Therapeutics Alim Pty Ltd - </w:t>
          </w:r>
          <w:bookmarkStart w:id="2" w:name="_Hlk157696057"/>
          <w:r w:rsidRPr="008302FE">
            <w:rPr>
              <w:b/>
              <w:sz w:val="18"/>
              <w:szCs w:val="18"/>
            </w:rPr>
            <w:t>PM-2022-01544-1-6</w:t>
          </w:r>
          <w:bookmarkEnd w:id="2"/>
        </w:p>
        <w:p w14:paraId="6E3508DB" w14:textId="77777777" w:rsidR="00CE7A63" w:rsidRPr="000E4791" w:rsidRDefault="00CE7A63" w:rsidP="00CE7A63">
          <w:pPr>
            <w:pStyle w:val="Footer"/>
            <w:rPr>
              <w:b/>
              <w:sz w:val="18"/>
              <w:szCs w:val="18"/>
            </w:rPr>
          </w:pPr>
          <w:r w:rsidRPr="008302FE">
            <w:rPr>
              <w:b/>
              <w:sz w:val="18"/>
              <w:szCs w:val="18"/>
            </w:rPr>
            <w:t>FINAL 23 January 2024</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
  </w:tbl>
  <w:p w14:paraId="275B3ED3" w14:textId="77777777" w:rsidR="00CE7A63" w:rsidRDefault="00CE7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92624"/>
    <w:multiLevelType w:val="multilevel"/>
    <w:tmpl w:val="F266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7269B"/>
    <w:multiLevelType w:val="hybridMultilevel"/>
    <w:tmpl w:val="6C485CEE"/>
    <w:lvl w:ilvl="0" w:tplc="1550F528">
      <w:start w:val="1"/>
      <w:numFmt w:val="bullet"/>
      <w:lvlText w:val=""/>
      <w:lvlJc w:val="left"/>
      <w:pPr>
        <w:ind w:left="720" w:hanging="360"/>
      </w:pPr>
      <w:rPr>
        <w:rFonts w:ascii="Symbol" w:hAnsi="Symbol" w:hint="default"/>
      </w:rPr>
    </w:lvl>
    <w:lvl w:ilvl="1" w:tplc="C75A80B6" w:tentative="1">
      <w:start w:val="1"/>
      <w:numFmt w:val="bullet"/>
      <w:lvlText w:val="o"/>
      <w:lvlJc w:val="left"/>
      <w:pPr>
        <w:ind w:left="1440" w:hanging="360"/>
      </w:pPr>
      <w:rPr>
        <w:rFonts w:ascii="Courier New" w:hAnsi="Courier New" w:cs="Courier New" w:hint="default"/>
      </w:rPr>
    </w:lvl>
    <w:lvl w:ilvl="2" w:tplc="5E461ED8" w:tentative="1">
      <w:start w:val="1"/>
      <w:numFmt w:val="bullet"/>
      <w:lvlText w:val=""/>
      <w:lvlJc w:val="left"/>
      <w:pPr>
        <w:ind w:left="2160" w:hanging="360"/>
      </w:pPr>
      <w:rPr>
        <w:rFonts w:ascii="Wingdings" w:hAnsi="Wingdings" w:hint="default"/>
      </w:rPr>
    </w:lvl>
    <w:lvl w:ilvl="3" w:tplc="B1243CEE" w:tentative="1">
      <w:start w:val="1"/>
      <w:numFmt w:val="bullet"/>
      <w:lvlText w:val=""/>
      <w:lvlJc w:val="left"/>
      <w:pPr>
        <w:ind w:left="2880" w:hanging="360"/>
      </w:pPr>
      <w:rPr>
        <w:rFonts w:ascii="Symbol" w:hAnsi="Symbol" w:hint="default"/>
      </w:rPr>
    </w:lvl>
    <w:lvl w:ilvl="4" w:tplc="F99461A8" w:tentative="1">
      <w:start w:val="1"/>
      <w:numFmt w:val="bullet"/>
      <w:lvlText w:val="o"/>
      <w:lvlJc w:val="left"/>
      <w:pPr>
        <w:ind w:left="3600" w:hanging="360"/>
      </w:pPr>
      <w:rPr>
        <w:rFonts w:ascii="Courier New" w:hAnsi="Courier New" w:cs="Courier New" w:hint="default"/>
      </w:rPr>
    </w:lvl>
    <w:lvl w:ilvl="5" w:tplc="DD6AB0D2" w:tentative="1">
      <w:start w:val="1"/>
      <w:numFmt w:val="bullet"/>
      <w:lvlText w:val=""/>
      <w:lvlJc w:val="left"/>
      <w:pPr>
        <w:ind w:left="4320" w:hanging="360"/>
      </w:pPr>
      <w:rPr>
        <w:rFonts w:ascii="Wingdings" w:hAnsi="Wingdings" w:hint="default"/>
      </w:rPr>
    </w:lvl>
    <w:lvl w:ilvl="6" w:tplc="E16804AE" w:tentative="1">
      <w:start w:val="1"/>
      <w:numFmt w:val="bullet"/>
      <w:lvlText w:val=""/>
      <w:lvlJc w:val="left"/>
      <w:pPr>
        <w:ind w:left="5040" w:hanging="360"/>
      </w:pPr>
      <w:rPr>
        <w:rFonts w:ascii="Symbol" w:hAnsi="Symbol" w:hint="default"/>
      </w:rPr>
    </w:lvl>
    <w:lvl w:ilvl="7" w:tplc="F61646DA" w:tentative="1">
      <w:start w:val="1"/>
      <w:numFmt w:val="bullet"/>
      <w:lvlText w:val="o"/>
      <w:lvlJc w:val="left"/>
      <w:pPr>
        <w:ind w:left="5760" w:hanging="360"/>
      </w:pPr>
      <w:rPr>
        <w:rFonts w:ascii="Courier New" w:hAnsi="Courier New" w:cs="Courier New" w:hint="default"/>
      </w:rPr>
    </w:lvl>
    <w:lvl w:ilvl="8" w:tplc="75243F7E" w:tentative="1">
      <w:start w:val="1"/>
      <w:numFmt w:val="bullet"/>
      <w:lvlText w:val=""/>
      <w:lvlJc w:val="left"/>
      <w:pPr>
        <w:ind w:left="6480" w:hanging="360"/>
      </w:pPr>
      <w:rPr>
        <w:rFonts w:ascii="Wingdings" w:hAnsi="Wingdings" w:hint="default"/>
      </w:rPr>
    </w:lvl>
  </w:abstractNum>
  <w:abstractNum w:abstractNumId="4" w15:restartNumberingAfterBreak="0">
    <w:nsid w:val="23953328"/>
    <w:multiLevelType w:val="hybridMultilevel"/>
    <w:tmpl w:val="442CBEAC"/>
    <w:lvl w:ilvl="0" w:tplc="2D0E01AA">
      <w:start w:val="1"/>
      <w:numFmt w:val="bullet"/>
      <w:lvlText w:val=""/>
      <w:lvlJc w:val="left"/>
      <w:pPr>
        <w:ind w:left="610" w:hanging="360"/>
      </w:pPr>
      <w:rPr>
        <w:rFonts w:ascii="Symbol" w:hAnsi="Symbol" w:hint="default"/>
        <w:sz w:val="22"/>
        <w:szCs w:val="22"/>
      </w:rPr>
    </w:lvl>
    <w:lvl w:ilvl="1" w:tplc="231658D0" w:tentative="1">
      <w:start w:val="1"/>
      <w:numFmt w:val="bullet"/>
      <w:lvlText w:val="o"/>
      <w:lvlJc w:val="left"/>
      <w:pPr>
        <w:ind w:left="1330" w:hanging="360"/>
      </w:pPr>
      <w:rPr>
        <w:rFonts w:ascii="Courier New" w:hAnsi="Courier New" w:cs="Courier New" w:hint="default"/>
      </w:rPr>
    </w:lvl>
    <w:lvl w:ilvl="2" w:tplc="8ECC9B50" w:tentative="1">
      <w:start w:val="1"/>
      <w:numFmt w:val="bullet"/>
      <w:lvlText w:val=""/>
      <w:lvlJc w:val="left"/>
      <w:pPr>
        <w:ind w:left="2050" w:hanging="360"/>
      </w:pPr>
      <w:rPr>
        <w:rFonts w:ascii="Wingdings" w:hAnsi="Wingdings" w:hint="default"/>
      </w:rPr>
    </w:lvl>
    <w:lvl w:ilvl="3" w:tplc="D338B204" w:tentative="1">
      <w:start w:val="1"/>
      <w:numFmt w:val="bullet"/>
      <w:lvlText w:val=""/>
      <w:lvlJc w:val="left"/>
      <w:pPr>
        <w:ind w:left="2770" w:hanging="360"/>
      </w:pPr>
      <w:rPr>
        <w:rFonts w:ascii="Symbol" w:hAnsi="Symbol" w:hint="default"/>
      </w:rPr>
    </w:lvl>
    <w:lvl w:ilvl="4" w:tplc="C694B2CE" w:tentative="1">
      <w:start w:val="1"/>
      <w:numFmt w:val="bullet"/>
      <w:lvlText w:val="o"/>
      <w:lvlJc w:val="left"/>
      <w:pPr>
        <w:ind w:left="3490" w:hanging="360"/>
      </w:pPr>
      <w:rPr>
        <w:rFonts w:ascii="Courier New" w:hAnsi="Courier New" w:cs="Courier New" w:hint="default"/>
      </w:rPr>
    </w:lvl>
    <w:lvl w:ilvl="5" w:tplc="F61E70B6" w:tentative="1">
      <w:start w:val="1"/>
      <w:numFmt w:val="bullet"/>
      <w:lvlText w:val=""/>
      <w:lvlJc w:val="left"/>
      <w:pPr>
        <w:ind w:left="4210" w:hanging="360"/>
      </w:pPr>
      <w:rPr>
        <w:rFonts w:ascii="Wingdings" w:hAnsi="Wingdings" w:hint="default"/>
      </w:rPr>
    </w:lvl>
    <w:lvl w:ilvl="6" w:tplc="99840D14" w:tentative="1">
      <w:start w:val="1"/>
      <w:numFmt w:val="bullet"/>
      <w:lvlText w:val=""/>
      <w:lvlJc w:val="left"/>
      <w:pPr>
        <w:ind w:left="4930" w:hanging="360"/>
      </w:pPr>
      <w:rPr>
        <w:rFonts w:ascii="Symbol" w:hAnsi="Symbol" w:hint="default"/>
      </w:rPr>
    </w:lvl>
    <w:lvl w:ilvl="7" w:tplc="1062D486" w:tentative="1">
      <w:start w:val="1"/>
      <w:numFmt w:val="bullet"/>
      <w:lvlText w:val="o"/>
      <w:lvlJc w:val="left"/>
      <w:pPr>
        <w:ind w:left="5650" w:hanging="360"/>
      </w:pPr>
      <w:rPr>
        <w:rFonts w:ascii="Courier New" w:hAnsi="Courier New" w:cs="Courier New" w:hint="default"/>
      </w:rPr>
    </w:lvl>
    <w:lvl w:ilvl="8" w:tplc="96920DB0" w:tentative="1">
      <w:start w:val="1"/>
      <w:numFmt w:val="bullet"/>
      <w:lvlText w:val=""/>
      <w:lvlJc w:val="left"/>
      <w:pPr>
        <w:ind w:left="6370" w:hanging="360"/>
      </w:pPr>
      <w:rPr>
        <w:rFonts w:ascii="Wingdings" w:hAnsi="Wingdings" w:hint="default"/>
      </w:rPr>
    </w:lvl>
  </w:abstractNum>
  <w:abstractNum w:abstractNumId="5"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26518"/>
    <w:multiLevelType w:val="hybridMultilevel"/>
    <w:tmpl w:val="13DE846A"/>
    <w:lvl w:ilvl="0" w:tplc="B8AE9156">
      <w:start w:val="1"/>
      <w:numFmt w:val="bullet"/>
      <w:lvlText w:val=""/>
      <w:lvlJc w:val="left"/>
      <w:pPr>
        <w:ind w:left="720" w:hanging="360"/>
      </w:pPr>
      <w:rPr>
        <w:rFonts w:ascii="Symbol" w:hAnsi="Symbol" w:hint="default"/>
      </w:rPr>
    </w:lvl>
    <w:lvl w:ilvl="1" w:tplc="FBF207C6" w:tentative="1">
      <w:start w:val="1"/>
      <w:numFmt w:val="bullet"/>
      <w:lvlText w:val="o"/>
      <w:lvlJc w:val="left"/>
      <w:pPr>
        <w:ind w:left="1440" w:hanging="360"/>
      </w:pPr>
      <w:rPr>
        <w:rFonts w:ascii="Courier New" w:hAnsi="Courier New" w:cs="Courier New" w:hint="default"/>
      </w:rPr>
    </w:lvl>
    <w:lvl w:ilvl="2" w:tplc="8DD0DFFE" w:tentative="1">
      <w:start w:val="1"/>
      <w:numFmt w:val="bullet"/>
      <w:lvlText w:val=""/>
      <w:lvlJc w:val="left"/>
      <w:pPr>
        <w:ind w:left="2160" w:hanging="360"/>
      </w:pPr>
      <w:rPr>
        <w:rFonts w:ascii="Wingdings" w:hAnsi="Wingdings" w:hint="default"/>
      </w:rPr>
    </w:lvl>
    <w:lvl w:ilvl="3" w:tplc="AB543C50" w:tentative="1">
      <w:start w:val="1"/>
      <w:numFmt w:val="bullet"/>
      <w:lvlText w:val=""/>
      <w:lvlJc w:val="left"/>
      <w:pPr>
        <w:ind w:left="2880" w:hanging="360"/>
      </w:pPr>
      <w:rPr>
        <w:rFonts w:ascii="Symbol" w:hAnsi="Symbol" w:hint="default"/>
      </w:rPr>
    </w:lvl>
    <w:lvl w:ilvl="4" w:tplc="26F27AD2" w:tentative="1">
      <w:start w:val="1"/>
      <w:numFmt w:val="bullet"/>
      <w:lvlText w:val="o"/>
      <w:lvlJc w:val="left"/>
      <w:pPr>
        <w:ind w:left="3600" w:hanging="360"/>
      </w:pPr>
      <w:rPr>
        <w:rFonts w:ascii="Courier New" w:hAnsi="Courier New" w:cs="Courier New" w:hint="default"/>
      </w:rPr>
    </w:lvl>
    <w:lvl w:ilvl="5" w:tplc="52FE654E" w:tentative="1">
      <w:start w:val="1"/>
      <w:numFmt w:val="bullet"/>
      <w:lvlText w:val=""/>
      <w:lvlJc w:val="left"/>
      <w:pPr>
        <w:ind w:left="4320" w:hanging="360"/>
      </w:pPr>
      <w:rPr>
        <w:rFonts w:ascii="Wingdings" w:hAnsi="Wingdings" w:hint="default"/>
      </w:rPr>
    </w:lvl>
    <w:lvl w:ilvl="6" w:tplc="DADA63F0" w:tentative="1">
      <w:start w:val="1"/>
      <w:numFmt w:val="bullet"/>
      <w:lvlText w:val=""/>
      <w:lvlJc w:val="left"/>
      <w:pPr>
        <w:ind w:left="5040" w:hanging="360"/>
      </w:pPr>
      <w:rPr>
        <w:rFonts w:ascii="Symbol" w:hAnsi="Symbol" w:hint="default"/>
      </w:rPr>
    </w:lvl>
    <w:lvl w:ilvl="7" w:tplc="759EB5CE" w:tentative="1">
      <w:start w:val="1"/>
      <w:numFmt w:val="bullet"/>
      <w:lvlText w:val="o"/>
      <w:lvlJc w:val="left"/>
      <w:pPr>
        <w:ind w:left="5760" w:hanging="360"/>
      </w:pPr>
      <w:rPr>
        <w:rFonts w:ascii="Courier New" w:hAnsi="Courier New" w:cs="Courier New" w:hint="default"/>
      </w:rPr>
    </w:lvl>
    <w:lvl w:ilvl="8" w:tplc="56402B6E" w:tentative="1">
      <w:start w:val="1"/>
      <w:numFmt w:val="bullet"/>
      <w:lvlText w:val=""/>
      <w:lvlJc w:val="left"/>
      <w:pPr>
        <w:ind w:left="6480" w:hanging="360"/>
      </w:pPr>
      <w:rPr>
        <w:rFonts w:ascii="Wingdings" w:hAnsi="Wingdings" w:hint="default"/>
      </w:rPr>
    </w:lvl>
  </w:abstractNum>
  <w:abstractNum w:abstractNumId="7" w15:restartNumberingAfterBreak="0">
    <w:nsid w:val="2B6C0C6F"/>
    <w:multiLevelType w:val="hybridMultilevel"/>
    <w:tmpl w:val="6D605B42"/>
    <w:lvl w:ilvl="0" w:tplc="84C021A8">
      <w:start w:val="1"/>
      <w:numFmt w:val="bullet"/>
      <w:lvlText w:val=""/>
      <w:lvlJc w:val="left"/>
      <w:pPr>
        <w:ind w:left="360" w:hanging="360"/>
      </w:pPr>
      <w:rPr>
        <w:rFonts w:ascii="Symbol" w:hAnsi="Symbol" w:hint="default"/>
        <w:sz w:val="22"/>
        <w:szCs w:val="22"/>
      </w:rPr>
    </w:lvl>
    <w:lvl w:ilvl="1" w:tplc="AB240D0E" w:tentative="1">
      <w:start w:val="1"/>
      <w:numFmt w:val="bullet"/>
      <w:lvlText w:val="o"/>
      <w:lvlJc w:val="left"/>
      <w:pPr>
        <w:ind w:left="1080" w:hanging="360"/>
      </w:pPr>
      <w:rPr>
        <w:rFonts w:ascii="Courier New" w:hAnsi="Courier New" w:cs="Courier New" w:hint="default"/>
      </w:rPr>
    </w:lvl>
    <w:lvl w:ilvl="2" w:tplc="5268CC56" w:tentative="1">
      <w:start w:val="1"/>
      <w:numFmt w:val="bullet"/>
      <w:lvlText w:val=""/>
      <w:lvlJc w:val="left"/>
      <w:pPr>
        <w:ind w:left="1800" w:hanging="360"/>
      </w:pPr>
      <w:rPr>
        <w:rFonts w:ascii="Wingdings" w:hAnsi="Wingdings" w:hint="default"/>
      </w:rPr>
    </w:lvl>
    <w:lvl w:ilvl="3" w:tplc="B666085A" w:tentative="1">
      <w:start w:val="1"/>
      <w:numFmt w:val="bullet"/>
      <w:lvlText w:val=""/>
      <w:lvlJc w:val="left"/>
      <w:pPr>
        <w:ind w:left="2520" w:hanging="360"/>
      </w:pPr>
      <w:rPr>
        <w:rFonts w:ascii="Symbol" w:hAnsi="Symbol" w:hint="default"/>
      </w:rPr>
    </w:lvl>
    <w:lvl w:ilvl="4" w:tplc="BFFCAADC" w:tentative="1">
      <w:start w:val="1"/>
      <w:numFmt w:val="bullet"/>
      <w:lvlText w:val="o"/>
      <w:lvlJc w:val="left"/>
      <w:pPr>
        <w:ind w:left="3240" w:hanging="360"/>
      </w:pPr>
      <w:rPr>
        <w:rFonts w:ascii="Courier New" w:hAnsi="Courier New" w:cs="Courier New" w:hint="default"/>
      </w:rPr>
    </w:lvl>
    <w:lvl w:ilvl="5" w:tplc="32705358" w:tentative="1">
      <w:start w:val="1"/>
      <w:numFmt w:val="bullet"/>
      <w:lvlText w:val=""/>
      <w:lvlJc w:val="left"/>
      <w:pPr>
        <w:ind w:left="3960" w:hanging="360"/>
      </w:pPr>
      <w:rPr>
        <w:rFonts w:ascii="Wingdings" w:hAnsi="Wingdings" w:hint="default"/>
      </w:rPr>
    </w:lvl>
    <w:lvl w:ilvl="6" w:tplc="B112A374" w:tentative="1">
      <w:start w:val="1"/>
      <w:numFmt w:val="bullet"/>
      <w:lvlText w:val=""/>
      <w:lvlJc w:val="left"/>
      <w:pPr>
        <w:ind w:left="4680" w:hanging="360"/>
      </w:pPr>
      <w:rPr>
        <w:rFonts w:ascii="Symbol" w:hAnsi="Symbol" w:hint="default"/>
      </w:rPr>
    </w:lvl>
    <w:lvl w:ilvl="7" w:tplc="1C6EEA6E" w:tentative="1">
      <w:start w:val="1"/>
      <w:numFmt w:val="bullet"/>
      <w:lvlText w:val="o"/>
      <w:lvlJc w:val="left"/>
      <w:pPr>
        <w:ind w:left="5400" w:hanging="360"/>
      </w:pPr>
      <w:rPr>
        <w:rFonts w:ascii="Courier New" w:hAnsi="Courier New" w:cs="Courier New" w:hint="default"/>
      </w:rPr>
    </w:lvl>
    <w:lvl w:ilvl="8" w:tplc="27344A74" w:tentative="1">
      <w:start w:val="1"/>
      <w:numFmt w:val="bullet"/>
      <w:lvlText w:val=""/>
      <w:lvlJc w:val="left"/>
      <w:pPr>
        <w:ind w:left="6120" w:hanging="360"/>
      </w:pPr>
      <w:rPr>
        <w:rFonts w:ascii="Wingdings" w:hAnsi="Wingdings" w:hint="default"/>
      </w:rPr>
    </w:lvl>
  </w:abstractNum>
  <w:abstractNum w:abstractNumId="8" w15:restartNumberingAfterBreak="0">
    <w:nsid w:val="4BDB61C1"/>
    <w:multiLevelType w:val="hybridMultilevel"/>
    <w:tmpl w:val="C43EF748"/>
    <w:lvl w:ilvl="0" w:tplc="1AC67806">
      <w:start w:val="1"/>
      <w:numFmt w:val="bullet"/>
      <w:lvlText w:val=""/>
      <w:lvlJc w:val="left"/>
      <w:pPr>
        <w:ind w:left="720" w:hanging="360"/>
      </w:pPr>
      <w:rPr>
        <w:rFonts w:ascii="Symbol" w:hAnsi="Symbol" w:hint="default"/>
      </w:rPr>
    </w:lvl>
    <w:lvl w:ilvl="1" w:tplc="1AE29146" w:tentative="1">
      <w:start w:val="1"/>
      <w:numFmt w:val="bullet"/>
      <w:lvlText w:val="o"/>
      <w:lvlJc w:val="left"/>
      <w:pPr>
        <w:ind w:left="1440" w:hanging="360"/>
      </w:pPr>
      <w:rPr>
        <w:rFonts w:ascii="Courier New" w:hAnsi="Courier New" w:cs="Courier New" w:hint="default"/>
      </w:rPr>
    </w:lvl>
    <w:lvl w:ilvl="2" w:tplc="ACA6FEF6" w:tentative="1">
      <w:start w:val="1"/>
      <w:numFmt w:val="bullet"/>
      <w:lvlText w:val=""/>
      <w:lvlJc w:val="left"/>
      <w:pPr>
        <w:ind w:left="2160" w:hanging="360"/>
      </w:pPr>
      <w:rPr>
        <w:rFonts w:ascii="Wingdings" w:hAnsi="Wingdings" w:hint="default"/>
      </w:rPr>
    </w:lvl>
    <w:lvl w:ilvl="3" w:tplc="D9D8B7D2" w:tentative="1">
      <w:start w:val="1"/>
      <w:numFmt w:val="bullet"/>
      <w:lvlText w:val=""/>
      <w:lvlJc w:val="left"/>
      <w:pPr>
        <w:ind w:left="2880" w:hanging="360"/>
      </w:pPr>
      <w:rPr>
        <w:rFonts w:ascii="Symbol" w:hAnsi="Symbol" w:hint="default"/>
      </w:rPr>
    </w:lvl>
    <w:lvl w:ilvl="4" w:tplc="7034F9F2" w:tentative="1">
      <w:start w:val="1"/>
      <w:numFmt w:val="bullet"/>
      <w:lvlText w:val="o"/>
      <w:lvlJc w:val="left"/>
      <w:pPr>
        <w:ind w:left="3600" w:hanging="360"/>
      </w:pPr>
      <w:rPr>
        <w:rFonts w:ascii="Courier New" w:hAnsi="Courier New" w:cs="Courier New" w:hint="default"/>
      </w:rPr>
    </w:lvl>
    <w:lvl w:ilvl="5" w:tplc="65EEEF08" w:tentative="1">
      <w:start w:val="1"/>
      <w:numFmt w:val="bullet"/>
      <w:lvlText w:val=""/>
      <w:lvlJc w:val="left"/>
      <w:pPr>
        <w:ind w:left="4320" w:hanging="360"/>
      </w:pPr>
      <w:rPr>
        <w:rFonts w:ascii="Wingdings" w:hAnsi="Wingdings" w:hint="default"/>
      </w:rPr>
    </w:lvl>
    <w:lvl w:ilvl="6" w:tplc="CCAC5600" w:tentative="1">
      <w:start w:val="1"/>
      <w:numFmt w:val="bullet"/>
      <w:lvlText w:val=""/>
      <w:lvlJc w:val="left"/>
      <w:pPr>
        <w:ind w:left="5040" w:hanging="360"/>
      </w:pPr>
      <w:rPr>
        <w:rFonts w:ascii="Symbol" w:hAnsi="Symbol" w:hint="default"/>
      </w:rPr>
    </w:lvl>
    <w:lvl w:ilvl="7" w:tplc="B562FAB4" w:tentative="1">
      <w:start w:val="1"/>
      <w:numFmt w:val="bullet"/>
      <w:lvlText w:val="o"/>
      <w:lvlJc w:val="left"/>
      <w:pPr>
        <w:ind w:left="5760" w:hanging="360"/>
      </w:pPr>
      <w:rPr>
        <w:rFonts w:ascii="Courier New" w:hAnsi="Courier New" w:cs="Courier New" w:hint="default"/>
      </w:rPr>
    </w:lvl>
    <w:lvl w:ilvl="8" w:tplc="95A68DF6" w:tentative="1">
      <w:start w:val="1"/>
      <w:numFmt w:val="bullet"/>
      <w:lvlText w:val=""/>
      <w:lvlJc w:val="left"/>
      <w:pPr>
        <w:ind w:left="6480" w:hanging="360"/>
      </w:pPr>
      <w:rPr>
        <w:rFonts w:ascii="Wingdings" w:hAnsi="Wingdings" w:hint="default"/>
      </w:rPr>
    </w:lvl>
  </w:abstractNum>
  <w:abstractNum w:abstractNumId="9" w15:restartNumberingAfterBreak="0">
    <w:nsid w:val="55724450"/>
    <w:multiLevelType w:val="hybridMultilevel"/>
    <w:tmpl w:val="F65A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141668">
    <w:abstractNumId w:val="13"/>
  </w:num>
  <w:num w:numId="2" w16cid:durableId="192115074">
    <w:abstractNumId w:val="1"/>
  </w:num>
  <w:num w:numId="3" w16cid:durableId="436943777">
    <w:abstractNumId w:val="0"/>
  </w:num>
  <w:num w:numId="4" w16cid:durableId="1485003403">
    <w:abstractNumId w:val="10"/>
  </w:num>
  <w:num w:numId="5" w16cid:durableId="1826312458">
    <w:abstractNumId w:val="16"/>
  </w:num>
  <w:num w:numId="6" w16cid:durableId="332950308">
    <w:abstractNumId w:val="14"/>
  </w:num>
  <w:num w:numId="7" w16cid:durableId="1695226066">
    <w:abstractNumId w:val="12"/>
  </w:num>
  <w:num w:numId="8" w16cid:durableId="207037083">
    <w:abstractNumId w:val="15"/>
  </w:num>
  <w:num w:numId="9" w16cid:durableId="599065584">
    <w:abstractNumId w:val="5"/>
  </w:num>
  <w:num w:numId="10" w16cid:durableId="94640829">
    <w:abstractNumId w:val="11"/>
  </w:num>
  <w:num w:numId="11" w16cid:durableId="2038658413">
    <w:abstractNumId w:val="3"/>
  </w:num>
  <w:num w:numId="12" w16cid:durableId="384566424">
    <w:abstractNumId w:val="6"/>
  </w:num>
  <w:num w:numId="13" w16cid:durableId="1589927506">
    <w:abstractNumId w:val="4"/>
  </w:num>
  <w:num w:numId="14" w16cid:durableId="310332293">
    <w:abstractNumId w:val="7"/>
  </w:num>
  <w:num w:numId="15" w16cid:durableId="2022469669">
    <w:abstractNumId w:val="8"/>
  </w:num>
  <w:num w:numId="16" w16cid:durableId="1626303456">
    <w:abstractNumId w:val="2"/>
  </w:num>
  <w:num w:numId="17" w16cid:durableId="1983121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782"/>
    <w:rsid w:val="000027FF"/>
    <w:rsid w:val="00003E0E"/>
    <w:rsid w:val="00015AFF"/>
    <w:rsid w:val="00024D1E"/>
    <w:rsid w:val="00030634"/>
    <w:rsid w:val="00042302"/>
    <w:rsid w:val="000448E0"/>
    <w:rsid w:val="00044A4F"/>
    <w:rsid w:val="000466DE"/>
    <w:rsid w:val="00051896"/>
    <w:rsid w:val="00063844"/>
    <w:rsid w:val="00067538"/>
    <w:rsid w:val="00070E28"/>
    <w:rsid w:val="00072FC6"/>
    <w:rsid w:val="00074041"/>
    <w:rsid w:val="00074062"/>
    <w:rsid w:val="0008098F"/>
    <w:rsid w:val="00084B46"/>
    <w:rsid w:val="000850BE"/>
    <w:rsid w:val="00093167"/>
    <w:rsid w:val="00096FF4"/>
    <w:rsid w:val="000A1140"/>
    <w:rsid w:val="000A704A"/>
    <w:rsid w:val="000A7815"/>
    <w:rsid w:val="000A7D6A"/>
    <w:rsid w:val="000B3E2B"/>
    <w:rsid w:val="000B56B8"/>
    <w:rsid w:val="000C1793"/>
    <w:rsid w:val="000D0788"/>
    <w:rsid w:val="000D0E47"/>
    <w:rsid w:val="000D2D86"/>
    <w:rsid w:val="000E06A3"/>
    <w:rsid w:val="000E340C"/>
    <w:rsid w:val="000E750E"/>
    <w:rsid w:val="000F388A"/>
    <w:rsid w:val="0010784F"/>
    <w:rsid w:val="001103D1"/>
    <w:rsid w:val="00112827"/>
    <w:rsid w:val="00115107"/>
    <w:rsid w:val="00122CE4"/>
    <w:rsid w:val="00126DD8"/>
    <w:rsid w:val="00127CA3"/>
    <w:rsid w:val="00130E02"/>
    <w:rsid w:val="00134902"/>
    <w:rsid w:val="0013650A"/>
    <w:rsid w:val="00147A13"/>
    <w:rsid w:val="00153910"/>
    <w:rsid w:val="00154786"/>
    <w:rsid w:val="00163EBA"/>
    <w:rsid w:val="001667C9"/>
    <w:rsid w:val="00173672"/>
    <w:rsid w:val="00194481"/>
    <w:rsid w:val="0019591B"/>
    <w:rsid w:val="00196DA8"/>
    <w:rsid w:val="001A3992"/>
    <w:rsid w:val="001B1466"/>
    <w:rsid w:val="001B4442"/>
    <w:rsid w:val="001C0A08"/>
    <w:rsid w:val="001D599E"/>
    <w:rsid w:val="001D7AE2"/>
    <w:rsid w:val="001E2F63"/>
    <w:rsid w:val="001E7981"/>
    <w:rsid w:val="001F02BA"/>
    <w:rsid w:val="001F0A40"/>
    <w:rsid w:val="001F259D"/>
    <w:rsid w:val="002008DB"/>
    <w:rsid w:val="002031D5"/>
    <w:rsid w:val="002120FA"/>
    <w:rsid w:val="00212A99"/>
    <w:rsid w:val="00215778"/>
    <w:rsid w:val="002206B3"/>
    <w:rsid w:val="00221171"/>
    <w:rsid w:val="00224E96"/>
    <w:rsid w:val="00250EDA"/>
    <w:rsid w:val="00252F2D"/>
    <w:rsid w:val="00260132"/>
    <w:rsid w:val="00265E9F"/>
    <w:rsid w:val="002711A4"/>
    <w:rsid w:val="00275EF7"/>
    <w:rsid w:val="0028121B"/>
    <w:rsid w:val="002813AD"/>
    <w:rsid w:val="00285173"/>
    <w:rsid w:val="0028603A"/>
    <w:rsid w:val="002A106C"/>
    <w:rsid w:val="002A282F"/>
    <w:rsid w:val="002B26CC"/>
    <w:rsid w:val="002C06B4"/>
    <w:rsid w:val="002C49D6"/>
    <w:rsid w:val="002D452E"/>
    <w:rsid w:val="002D6292"/>
    <w:rsid w:val="002D6D42"/>
    <w:rsid w:val="002E277D"/>
    <w:rsid w:val="002E7A4C"/>
    <w:rsid w:val="002F0DFD"/>
    <w:rsid w:val="002F38CD"/>
    <w:rsid w:val="002F716D"/>
    <w:rsid w:val="00300C7E"/>
    <w:rsid w:val="00306329"/>
    <w:rsid w:val="00306E1B"/>
    <w:rsid w:val="00314E7F"/>
    <w:rsid w:val="00324110"/>
    <w:rsid w:val="003371B9"/>
    <w:rsid w:val="00340D71"/>
    <w:rsid w:val="0034380C"/>
    <w:rsid w:val="00347527"/>
    <w:rsid w:val="00351CAC"/>
    <w:rsid w:val="00352EB4"/>
    <w:rsid w:val="0036190B"/>
    <w:rsid w:val="003635E2"/>
    <w:rsid w:val="00365562"/>
    <w:rsid w:val="00375DF3"/>
    <w:rsid w:val="003A4107"/>
    <w:rsid w:val="003A56B6"/>
    <w:rsid w:val="003B2B6B"/>
    <w:rsid w:val="003D030B"/>
    <w:rsid w:val="003D0641"/>
    <w:rsid w:val="003D30C6"/>
    <w:rsid w:val="003D6129"/>
    <w:rsid w:val="003F1661"/>
    <w:rsid w:val="003F1CD5"/>
    <w:rsid w:val="003F4DBE"/>
    <w:rsid w:val="003F5A45"/>
    <w:rsid w:val="00402611"/>
    <w:rsid w:val="00404FD4"/>
    <w:rsid w:val="004079E4"/>
    <w:rsid w:val="00413661"/>
    <w:rsid w:val="00420EE0"/>
    <w:rsid w:val="0042180B"/>
    <w:rsid w:val="00422919"/>
    <w:rsid w:val="00422935"/>
    <w:rsid w:val="004274D1"/>
    <w:rsid w:val="00431ACD"/>
    <w:rsid w:val="00443AEC"/>
    <w:rsid w:val="004454AD"/>
    <w:rsid w:val="00455726"/>
    <w:rsid w:val="004634E0"/>
    <w:rsid w:val="00467BBF"/>
    <w:rsid w:val="0048215F"/>
    <w:rsid w:val="00486BA8"/>
    <w:rsid w:val="004908DB"/>
    <w:rsid w:val="004917F4"/>
    <w:rsid w:val="00491AB0"/>
    <w:rsid w:val="0049321C"/>
    <w:rsid w:val="00496EF9"/>
    <w:rsid w:val="00497B29"/>
    <w:rsid w:val="004B68E3"/>
    <w:rsid w:val="004B6B19"/>
    <w:rsid w:val="004D193A"/>
    <w:rsid w:val="004D2D59"/>
    <w:rsid w:val="004D3325"/>
    <w:rsid w:val="004D515C"/>
    <w:rsid w:val="004D6152"/>
    <w:rsid w:val="004E4660"/>
    <w:rsid w:val="004F0357"/>
    <w:rsid w:val="004F4F9C"/>
    <w:rsid w:val="004F5385"/>
    <w:rsid w:val="004F7EC1"/>
    <w:rsid w:val="005112EE"/>
    <w:rsid w:val="0052087E"/>
    <w:rsid w:val="00536442"/>
    <w:rsid w:val="005409C9"/>
    <w:rsid w:val="00545A1E"/>
    <w:rsid w:val="005471FC"/>
    <w:rsid w:val="0055202A"/>
    <w:rsid w:val="00554FBA"/>
    <w:rsid w:val="00555A58"/>
    <w:rsid w:val="00560A09"/>
    <w:rsid w:val="00563055"/>
    <w:rsid w:val="00567471"/>
    <w:rsid w:val="00567B84"/>
    <w:rsid w:val="00570983"/>
    <w:rsid w:val="005709F2"/>
    <w:rsid w:val="0057629F"/>
    <w:rsid w:val="0058437A"/>
    <w:rsid w:val="005945A5"/>
    <w:rsid w:val="005A253F"/>
    <w:rsid w:val="005A339E"/>
    <w:rsid w:val="005A5C1E"/>
    <w:rsid w:val="005B2812"/>
    <w:rsid w:val="005B4B95"/>
    <w:rsid w:val="005B69AA"/>
    <w:rsid w:val="005C5D95"/>
    <w:rsid w:val="005D029B"/>
    <w:rsid w:val="005D1BAE"/>
    <w:rsid w:val="005F044C"/>
    <w:rsid w:val="005F20DC"/>
    <w:rsid w:val="005F510E"/>
    <w:rsid w:val="006018AE"/>
    <w:rsid w:val="006113A1"/>
    <w:rsid w:val="00612435"/>
    <w:rsid w:val="00621E53"/>
    <w:rsid w:val="00624BF4"/>
    <w:rsid w:val="00655464"/>
    <w:rsid w:val="00660F1A"/>
    <w:rsid w:val="0066660B"/>
    <w:rsid w:val="00667A00"/>
    <w:rsid w:val="00675349"/>
    <w:rsid w:val="006763D1"/>
    <w:rsid w:val="00680D4C"/>
    <w:rsid w:val="00690BA8"/>
    <w:rsid w:val="006953A1"/>
    <w:rsid w:val="0069786D"/>
    <w:rsid w:val="006A5255"/>
    <w:rsid w:val="006A627C"/>
    <w:rsid w:val="006B60C0"/>
    <w:rsid w:val="006C4126"/>
    <w:rsid w:val="006C72F7"/>
    <w:rsid w:val="006D12A5"/>
    <w:rsid w:val="0070064C"/>
    <w:rsid w:val="0071124B"/>
    <w:rsid w:val="00713A70"/>
    <w:rsid w:val="00716157"/>
    <w:rsid w:val="007222F5"/>
    <w:rsid w:val="00725247"/>
    <w:rsid w:val="00725DC9"/>
    <w:rsid w:val="00740BFF"/>
    <w:rsid w:val="00741748"/>
    <w:rsid w:val="007503D9"/>
    <w:rsid w:val="00755F66"/>
    <w:rsid w:val="00777B7E"/>
    <w:rsid w:val="00782D18"/>
    <w:rsid w:val="00787DD5"/>
    <w:rsid w:val="0079420C"/>
    <w:rsid w:val="00795178"/>
    <w:rsid w:val="007962FF"/>
    <w:rsid w:val="007A515A"/>
    <w:rsid w:val="007A72C8"/>
    <w:rsid w:val="007A748F"/>
    <w:rsid w:val="007A75EF"/>
    <w:rsid w:val="007B273A"/>
    <w:rsid w:val="007B6B2F"/>
    <w:rsid w:val="007C1ED8"/>
    <w:rsid w:val="007C3AA1"/>
    <w:rsid w:val="007C4EA5"/>
    <w:rsid w:val="007C4FF7"/>
    <w:rsid w:val="007C604B"/>
    <w:rsid w:val="007C66C8"/>
    <w:rsid w:val="007D0578"/>
    <w:rsid w:val="007D3481"/>
    <w:rsid w:val="007D5091"/>
    <w:rsid w:val="007E1EDE"/>
    <w:rsid w:val="007E2E77"/>
    <w:rsid w:val="007E3876"/>
    <w:rsid w:val="007E4F9C"/>
    <w:rsid w:val="007E50CF"/>
    <w:rsid w:val="007E744A"/>
    <w:rsid w:val="007F04C0"/>
    <w:rsid w:val="007F0833"/>
    <w:rsid w:val="00800A7C"/>
    <w:rsid w:val="00815AAC"/>
    <w:rsid w:val="00827582"/>
    <w:rsid w:val="00830F43"/>
    <w:rsid w:val="00836B83"/>
    <w:rsid w:val="00841888"/>
    <w:rsid w:val="0085271C"/>
    <w:rsid w:val="008609F8"/>
    <w:rsid w:val="00860E7D"/>
    <w:rsid w:val="00877751"/>
    <w:rsid w:val="00882808"/>
    <w:rsid w:val="00883DA8"/>
    <w:rsid w:val="008935F9"/>
    <w:rsid w:val="008962A8"/>
    <w:rsid w:val="0089641F"/>
    <w:rsid w:val="00896E2A"/>
    <w:rsid w:val="00897910"/>
    <w:rsid w:val="008A27E8"/>
    <w:rsid w:val="008B57BF"/>
    <w:rsid w:val="008B708D"/>
    <w:rsid w:val="008B7AC3"/>
    <w:rsid w:val="008C04B4"/>
    <w:rsid w:val="008C181C"/>
    <w:rsid w:val="008C4230"/>
    <w:rsid w:val="008E1C08"/>
    <w:rsid w:val="008E732B"/>
    <w:rsid w:val="00905FE6"/>
    <w:rsid w:val="00911D58"/>
    <w:rsid w:val="00915638"/>
    <w:rsid w:val="009215FC"/>
    <w:rsid w:val="009273B0"/>
    <w:rsid w:val="0094704E"/>
    <w:rsid w:val="00960CD5"/>
    <w:rsid w:val="00961F1A"/>
    <w:rsid w:val="00963AF8"/>
    <w:rsid w:val="009644B0"/>
    <w:rsid w:val="00976388"/>
    <w:rsid w:val="00986106"/>
    <w:rsid w:val="0099204D"/>
    <w:rsid w:val="00992F3A"/>
    <w:rsid w:val="00993494"/>
    <w:rsid w:val="00994153"/>
    <w:rsid w:val="009941FF"/>
    <w:rsid w:val="009A5EB9"/>
    <w:rsid w:val="009A73C8"/>
    <w:rsid w:val="009B0436"/>
    <w:rsid w:val="009B1205"/>
    <w:rsid w:val="009D2EC3"/>
    <w:rsid w:val="009F2E22"/>
    <w:rsid w:val="00A10260"/>
    <w:rsid w:val="00A10BEF"/>
    <w:rsid w:val="00A122E3"/>
    <w:rsid w:val="00A15224"/>
    <w:rsid w:val="00A218E6"/>
    <w:rsid w:val="00A24B81"/>
    <w:rsid w:val="00A414AE"/>
    <w:rsid w:val="00A437C6"/>
    <w:rsid w:val="00A509A5"/>
    <w:rsid w:val="00A50ABA"/>
    <w:rsid w:val="00A60E52"/>
    <w:rsid w:val="00A64655"/>
    <w:rsid w:val="00A70EA5"/>
    <w:rsid w:val="00A7383C"/>
    <w:rsid w:val="00A77097"/>
    <w:rsid w:val="00A81973"/>
    <w:rsid w:val="00A857F0"/>
    <w:rsid w:val="00A92171"/>
    <w:rsid w:val="00A97053"/>
    <w:rsid w:val="00AA4E83"/>
    <w:rsid w:val="00AA5BED"/>
    <w:rsid w:val="00AB15ED"/>
    <w:rsid w:val="00AE022B"/>
    <w:rsid w:val="00AE18FB"/>
    <w:rsid w:val="00AE1D30"/>
    <w:rsid w:val="00AE72F1"/>
    <w:rsid w:val="00AF238D"/>
    <w:rsid w:val="00AF595D"/>
    <w:rsid w:val="00AF6574"/>
    <w:rsid w:val="00AF74B1"/>
    <w:rsid w:val="00B1331F"/>
    <w:rsid w:val="00B13AC1"/>
    <w:rsid w:val="00B20B96"/>
    <w:rsid w:val="00B2553D"/>
    <w:rsid w:val="00B346BF"/>
    <w:rsid w:val="00B353D8"/>
    <w:rsid w:val="00B36798"/>
    <w:rsid w:val="00B40447"/>
    <w:rsid w:val="00B42866"/>
    <w:rsid w:val="00B43CFB"/>
    <w:rsid w:val="00B44A4E"/>
    <w:rsid w:val="00B52A95"/>
    <w:rsid w:val="00B5370A"/>
    <w:rsid w:val="00B5536E"/>
    <w:rsid w:val="00B60EFE"/>
    <w:rsid w:val="00B627E1"/>
    <w:rsid w:val="00B62CC3"/>
    <w:rsid w:val="00B725DB"/>
    <w:rsid w:val="00B72A2B"/>
    <w:rsid w:val="00B764C0"/>
    <w:rsid w:val="00B80199"/>
    <w:rsid w:val="00B9179F"/>
    <w:rsid w:val="00B96F07"/>
    <w:rsid w:val="00BA28B6"/>
    <w:rsid w:val="00BA3CF2"/>
    <w:rsid w:val="00BA64CC"/>
    <w:rsid w:val="00BB08C7"/>
    <w:rsid w:val="00BB2282"/>
    <w:rsid w:val="00BB2A86"/>
    <w:rsid w:val="00BB6AEE"/>
    <w:rsid w:val="00BC151B"/>
    <w:rsid w:val="00BC161C"/>
    <w:rsid w:val="00BC4932"/>
    <w:rsid w:val="00BD1F61"/>
    <w:rsid w:val="00BD20BB"/>
    <w:rsid w:val="00BD6789"/>
    <w:rsid w:val="00BE2A26"/>
    <w:rsid w:val="00BF2B26"/>
    <w:rsid w:val="00BF53D1"/>
    <w:rsid w:val="00C05BB2"/>
    <w:rsid w:val="00C11846"/>
    <w:rsid w:val="00C12179"/>
    <w:rsid w:val="00C12FA9"/>
    <w:rsid w:val="00C24568"/>
    <w:rsid w:val="00C43276"/>
    <w:rsid w:val="00C432D4"/>
    <w:rsid w:val="00C57639"/>
    <w:rsid w:val="00C618D7"/>
    <w:rsid w:val="00C61EF9"/>
    <w:rsid w:val="00C636B0"/>
    <w:rsid w:val="00C72A32"/>
    <w:rsid w:val="00C769CA"/>
    <w:rsid w:val="00C779BD"/>
    <w:rsid w:val="00C8424B"/>
    <w:rsid w:val="00C85C9F"/>
    <w:rsid w:val="00C86571"/>
    <w:rsid w:val="00C873F1"/>
    <w:rsid w:val="00C911A5"/>
    <w:rsid w:val="00CB1094"/>
    <w:rsid w:val="00CC3734"/>
    <w:rsid w:val="00CC3EB5"/>
    <w:rsid w:val="00CC3FEA"/>
    <w:rsid w:val="00CC5E4B"/>
    <w:rsid w:val="00CD2A91"/>
    <w:rsid w:val="00CD7843"/>
    <w:rsid w:val="00CE1152"/>
    <w:rsid w:val="00CE1C11"/>
    <w:rsid w:val="00CE4AA2"/>
    <w:rsid w:val="00CE7A63"/>
    <w:rsid w:val="00CF0DFA"/>
    <w:rsid w:val="00CF67A8"/>
    <w:rsid w:val="00D0682A"/>
    <w:rsid w:val="00D10D8A"/>
    <w:rsid w:val="00D136AB"/>
    <w:rsid w:val="00D16EFE"/>
    <w:rsid w:val="00D21A59"/>
    <w:rsid w:val="00D23E57"/>
    <w:rsid w:val="00D26D39"/>
    <w:rsid w:val="00D313FD"/>
    <w:rsid w:val="00D319A4"/>
    <w:rsid w:val="00D33C86"/>
    <w:rsid w:val="00D34812"/>
    <w:rsid w:val="00D35170"/>
    <w:rsid w:val="00D37AAB"/>
    <w:rsid w:val="00D45789"/>
    <w:rsid w:val="00D50668"/>
    <w:rsid w:val="00D545FB"/>
    <w:rsid w:val="00D65761"/>
    <w:rsid w:val="00D6653A"/>
    <w:rsid w:val="00D67BB8"/>
    <w:rsid w:val="00D714F5"/>
    <w:rsid w:val="00D72F6B"/>
    <w:rsid w:val="00D85B20"/>
    <w:rsid w:val="00D86132"/>
    <w:rsid w:val="00D87E1C"/>
    <w:rsid w:val="00D93FA5"/>
    <w:rsid w:val="00D94DCF"/>
    <w:rsid w:val="00D95B41"/>
    <w:rsid w:val="00D965E6"/>
    <w:rsid w:val="00DA1879"/>
    <w:rsid w:val="00DC501E"/>
    <w:rsid w:val="00DC6034"/>
    <w:rsid w:val="00DC681D"/>
    <w:rsid w:val="00DC6C2E"/>
    <w:rsid w:val="00DC7EB6"/>
    <w:rsid w:val="00DD3AB9"/>
    <w:rsid w:val="00DD53A2"/>
    <w:rsid w:val="00DE29FC"/>
    <w:rsid w:val="00DE7029"/>
    <w:rsid w:val="00E111CB"/>
    <w:rsid w:val="00E22782"/>
    <w:rsid w:val="00E24AF8"/>
    <w:rsid w:val="00E270BB"/>
    <w:rsid w:val="00E2758D"/>
    <w:rsid w:val="00E33DBB"/>
    <w:rsid w:val="00E42229"/>
    <w:rsid w:val="00E43DEF"/>
    <w:rsid w:val="00E53CBA"/>
    <w:rsid w:val="00E5505A"/>
    <w:rsid w:val="00E64532"/>
    <w:rsid w:val="00E67D68"/>
    <w:rsid w:val="00E70104"/>
    <w:rsid w:val="00E72101"/>
    <w:rsid w:val="00E74A56"/>
    <w:rsid w:val="00E83066"/>
    <w:rsid w:val="00E83BBF"/>
    <w:rsid w:val="00E84122"/>
    <w:rsid w:val="00E84A82"/>
    <w:rsid w:val="00E85464"/>
    <w:rsid w:val="00EC1302"/>
    <w:rsid w:val="00EC16D5"/>
    <w:rsid w:val="00EC2BDD"/>
    <w:rsid w:val="00ED2BA8"/>
    <w:rsid w:val="00EE080B"/>
    <w:rsid w:val="00EF3360"/>
    <w:rsid w:val="00F13808"/>
    <w:rsid w:val="00F22DF6"/>
    <w:rsid w:val="00F23342"/>
    <w:rsid w:val="00F23E37"/>
    <w:rsid w:val="00F329FF"/>
    <w:rsid w:val="00F35C24"/>
    <w:rsid w:val="00F45159"/>
    <w:rsid w:val="00F45CEC"/>
    <w:rsid w:val="00F514E6"/>
    <w:rsid w:val="00F51DD3"/>
    <w:rsid w:val="00F52433"/>
    <w:rsid w:val="00F706F1"/>
    <w:rsid w:val="00F721D8"/>
    <w:rsid w:val="00F73871"/>
    <w:rsid w:val="00F82368"/>
    <w:rsid w:val="00F8404A"/>
    <w:rsid w:val="00F86555"/>
    <w:rsid w:val="00F86712"/>
    <w:rsid w:val="00F97659"/>
    <w:rsid w:val="00FA00E3"/>
    <w:rsid w:val="00FA2A3E"/>
    <w:rsid w:val="00FA7DA5"/>
    <w:rsid w:val="00FB0455"/>
    <w:rsid w:val="00FC1DF6"/>
    <w:rsid w:val="00FD64C9"/>
    <w:rsid w:val="00FD6A90"/>
    <w:rsid w:val="00FE064E"/>
    <w:rsid w:val="00FE7D68"/>
    <w:rsid w:val="00FF3DD8"/>
    <w:rsid w:val="02C99F0D"/>
    <w:rsid w:val="143F8393"/>
    <w:rsid w:val="19ED3281"/>
    <w:rsid w:val="1F72DEF4"/>
    <w:rsid w:val="2AA0E003"/>
    <w:rsid w:val="30559E58"/>
    <w:rsid w:val="32D197EE"/>
    <w:rsid w:val="338E95BA"/>
    <w:rsid w:val="41C627D5"/>
    <w:rsid w:val="54F609CE"/>
    <w:rsid w:val="5B6CD336"/>
    <w:rsid w:val="5B7D475F"/>
    <w:rsid w:val="621775DF"/>
    <w:rsid w:val="658DBE28"/>
    <w:rsid w:val="6D95225D"/>
    <w:rsid w:val="6EC28548"/>
    <w:rsid w:val="74F44CA0"/>
    <w:rsid w:val="7BC7B776"/>
    <w:rsid w:val="7FF9CE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13F8"/>
  <w15:docId w15:val="{99BF23CB-8E94-164E-B223-D333A7F4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D64C9"/>
    <w:rPr>
      <w:rFonts w:asciiTheme="minorHAnsi" w:hAnsiTheme="minorHAnsi"/>
      <w:b/>
      <w:bCs/>
    </w:rPr>
  </w:style>
  <w:style w:type="character" w:customStyle="1" w:styleId="CommentSubjectChar">
    <w:name w:val="Comment Subject Char"/>
    <w:basedOn w:val="CommentTextChar"/>
    <w:link w:val="CommentSubject"/>
    <w:uiPriority w:val="99"/>
    <w:semiHidden/>
    <w:rsid w:val="00FD64C9"/>
    <w:rPr>
      <w:rFonts w:ascii="Cambria" w:hAnsi="Cambria"/>
      <w:b/>
      <w:bCs/>
      <w:sz w:val="20"/>
      <w:szCs w:val="20"/>
    </w:rPr>
  </w:style>
  <w:style w:type="paragraph" w:customStyle="1" w:styleId="EMEAEnBodyText">
    <w:name w:val="EMEA En Body Text"/>
    <w:basedOn w:val="Normal"/>
    <w:rsid w:val="004F0357"/>
    <w:pPr>
      <w:spacing w:before="120" w:after="120" w:line="240" w:lineRule="auto"/>
      <w:jc w:val="both"/>
    </w:pPr>
    <w:rPr>
      <w:rFonts w:ascii="Times New Roman" w:eastAsia="Times New Roman" w:hAnsi="Times New Roman" w:cs="Times New Roman"/>
      <w:szCs w:val="20"/>
      <w:lang w:val="en-US"/>
    </w:rPr>
  </w:style>
  <w:style w:type="paragraph" w:styleId="BodyText">
    <w:name w:val="Body Text"/>
    <w:basedOn w:val="Normal"/>
    <w:link w:val="BodyTextChar"/>
    <w:rsid w:val="00AA5BED"/>
    <w:pPr>
      <w:spacing w:after="0" w:line="240" w:lineRule="auto"/>
    </w:pPr>
    <w:rPr>
      <w:rFonts w:ascii="Times New Roman" w:eastAsia="Times New Roman" w:hAnsi="Times New Roman" w:cs="Times New Roman"/>
      <w:i/>
      <w:color w:val="008000"/>
      <w:szCs w:val="20"/>
      <w:lang w:val="en-GB"/>
    </w:rPr>
  </w:style>
  <w:style w:type="character" w:customStyle="1" w:styleId="BodyTextChar">
    <w:name w:val="Body Text Char"/>
    <w:basedOn w:val="DefaultParagraphFont"/>
    <w:link w:val="BodyText"/>
    <w:rsid w:val="00AA5BED"/>
    <w:rPr>
      <w:rFonts w:ascii="Times New Roman" w:eastAsia="Times New Roman" w:hAnsi="Times New Roman" w:cs="Times New Roman"/>
      <w:i/>
      <w:color w:val="008000"/>
      <w:szCs w:val="20"/>
      <w:lang w:val="en-GB"/>
    </w:rPr>
  </w:style>
  <w:style w:type="character" w:customStyle="1" w:styleId="ListParagraphChar">
    <w:name w:val="List Paragraph Char"/>
    <w:basedOn w:val="DefaultParagraphFont"/>
    <w:link w:val="ListParagraph"/>
    <w:uiPriority w:val="34"/>
    <w:rsid w:val="00AA5BED"/>
    <w:rPr>
      <w:rFonts w:ascii="Cambria" w:hAnsi="Cambria"/>
    </w:rPr>
  </w:style>
  <w:style w:type="table" w:customStyle="1" w:styleId="RPtable1">
    <w:name w:val="RP table1"/>
    <w:basedOn w:val="TableNormal"/>
    <w:next w:val="TableGrid"/>
    <w:uiPriority w:val="59"/>
    <w:rsid w:val="00AA5BED"/>
    <w:pPr>
      <w:spacing w:after="0" w:line="240" w:lineRule="auto"/>
    </w:pPr>
    <w:rPr>
      <w:lang w:val="de-DE"/>
    </w:rPr>
    <w:tblPr/>
  </w:style>
  <w:style w:type="paragraph" w:styleId="Caption">
    <w:name w:val="caption"/>
    <w:aliases w:val="! Q,...,12,12+,12pt,Caption 12+,Caption 12pt,Caption 12pt+,Caption 3,Caption Char Char Char,Caption Char1 + 8 pt,Caption Char1 Char,Caption Table,Caption Table...,Caption-FUSA,Char,Not B....,Ref,Tab/Fig,c,caption,figure,table,작업 table"/>
    <w:basedOn w:val="Normal"/>
    <w:next w:val="Normal"/>
    <w:link w:val="CaptionChar"/>
    <w:qFormat/>
    <w:rsid w:val="00AA5BED"/>
    <w:pPr>
      <w:keepNext/>
      <w:keepLines/>
      <w:spacing w:before="120" w:after="0" w:line="240" w:lineRule="auto"/>
      <w:ind w:left="1512" w:hanging="1512"/>
      <w:outlineLvl w:val="1"/>
    </w:pPr>
    <w:rPr>
      <w:rFonts w:ascii="Arial" w:eastAsia="Times New Roman" w:hAnsi="Arial" w:cs="Arial"/>
      <w:b/>
      <w:sz w:val="24"/>
      <w:szCs w:val="24"/>
      <w:lang w:val="en-US"/>
    </w:rPr>
  </w:style>
  <w:style w:type="character" w:customStyle="1" w:styleId="CaptionChar">
    <w:name w:val="Caption Char"/>
    <w:aliases w:val="! Q Char,... Char,12 Char,12+ Char,12pt Char,Caption 12+ Char,Caption 12pt Char,Caption 12pt+ Char,Caption 3 Char,Caption Char Char Char Char,Caption Char1 + 8 pt Char,Caption Char1 Char Char,Caption Table Char,Caption Table... Char,c Char"/>
    <w:link w:val="Caption"/>
    <w:rsid w:val="00AA5BED"/>
    <w:rPr>
      <w:rFonts w:ascii="Arial" w:eastAsia="Times New Roman" w:hAnsi="Arial" w:cs="Arial"/>
      <w:b/>
      <w:sz w:val="24"/>
      <w:szCs w:val="24"/>
      <w:lang w:val="en-US"/>
    </w:rPr>
  </w:style>
  <w:style w:type="table" w:styleId="TableGrid">
    <w:name w:val="Table Grid"/>
    <w:aliases w:val="Gilead Report,RP table,Table Grid Gilead Format"/>
    <w:basedOn w:val="TableNormal"/>
    <w:uiPriority w:val="59"/>
    <w:rsid w:val="00AA5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0D4C"/>
    <w:pPr>
      <w:widowControl w:val="0"/>
      <w:spacing w:after="0" w:line="240" w:lineRule="auto"/>
    </w:pPr>
    <w:rPr>
      <w:rFonts w:eastAsiaTheme="minorEastAsia"/>
      <w:lang w:val="en-US"/>
    </w:rPr>
  </w:style>
  <w:style w:type="character" w:customStyle="1" w:styleId="UnresolvedMention1">
    <w:name w:val="Unresolved Mention1"/>
    <w:basedOn w:val="DefaultParagraphFont"/>
    <w:uiPriority w:val="99"/>
    <w:semiHidden/>
    <w:unhideWhenUsed/>
    <w:rsid w:val="00536442"/>
    <w:rPr>
      <w:color w:val="605E5C"/>
      <w:shd w:val="clear" w:color="auto" w:fill="E1DFDD"/>
    </w:rPr>
  </w:style>
  <w:style w:type="paragraph" w:customStyle="1" w:styleId="Default">
    <w:name w:val="Default"/>
    <w:rsid w:val="000448E0"/>
    <w:pPr>
      <w:autoSpaceDE w:val="0"/>
      <w:autoSpaceDN w:val="0"/>
      <w:adjustRightInd w:val="0"/>
      <w:spacing w:after="0" w:line="240" w:lineRule="auto"/>
    </w:pPr>
    <w:rPr>
      <w:rFonts w:ascii="Calibri" w:hAnsi="Calibri" w:cs="Calibri"/>
      <w:color w:val="000000"/>
      <w:sz w:val="24"/>
      <w:szCs w:val="24"/>
      <w:lang w:val="en-GB"/>
    </w:rPr>
  </w:style>
  <w:style w:type="paragraph" w:styleId="Header">
    <w:name w:val="header"/>
    <w:basedOn w:val="Normal"/>
    <w:link w:val="HeaderChar"/>
    <w:uiPriority w:val="99"/>
    <w:unhideWhenUsed/>
    <w:rsid w:val="0097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388"/>
  </w:style>
  <w:style w:type="character" w:customStyle="1" w:styleId="apple-converted-space">
    <w:name w:val="apple-converted-space"/>
    <w:basedOn w:val="DefaultParagraphFont"/>
    <w:rsid w:val="0070064C"/>
  </w:style>
  <w:style w:type="paragraph" w:styleId="NormalWeb">
    <w:name w:val="Normal (Web)"/>
    <w:basedOn w:val="Normal"/>
    <w:uiPriority w:val="99"/>
    <w:semiHidden/>
    <w:unhideWhenUsed/>
    <w:rsid w:val="00212A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CE1152"/>
    <w:pPr>
      <w:spacing w:after="0" w:line="240" w:lineRule="auto"/>
    </w:pPr>
  </w:style>
  <w:style w:type="character" w:customStyle="1" w:styleId="normaltextrun">
    <w:name w:val="normaltextrun"/>
    <w:basedOn w:val="DefaultParagraphFont"/>
    <w:rsid w:val="0056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8597">
      <w:bodyDiv w:val="1"/>
      <w:marLeft w:val="0"/>
      <w:marRight w:val="0"/>
      <w:marTop w:val="0"/>
      <w:marBottom w:val="0"/>
      <w:divBdr>
        <w:top w:val="none" w:sz="0" w:space="0" w:color="auto"/>
        <w:left w:val="none" w:sz="0" w:space="0" w:color="auto"/>
        <w:bottom w:val="none" w:sz="0" w:space="0" w:color="auto"/>
        <w:right w:val="none" w:sz="0" w:space="0" w:color="auto"/>
      </w:divBdr>
      <w:divsChild>
        <w:div w:id="60492164">
          <w:marLeft w:val="0"/>
          <w:marRight w:val="0"/>
          <w:marTop w:val="0"/>
          <w:marBottom w:val="0"/>
          <w:divBdr>
            <w:top w:val="none" w:sz="0" w:space="0" w:color="auto"/>
            <w:left w:val="none" w:sz="0" w:space="0" w:color="auto"/>
            <w:bottom w:val="none" w:sz="0" w:space="0" w:color="auto"/>
            <w:right w:val="none" w:sz="0" w:space="0" w:color="auto"/>
          </w:divBdr>
        </w:div>
      </w:divsChild>
    </w:div>
    <w:div w:id="675494460">
      <w:bodyDiv w:val="1"/>
      <w:marLeft w:val="0"/>
      <w:marRight w:val="0"/>
      <w:marTop w:val="0"/>
      <w:marBottom w:val="0"/>
      <w:divBdr>
        <w:top w:val="none" w:sz="0" w:space="0" w:color="auto"/>
        <w:left w:val="none" w:sz="0" w:space="0" w:color="auto"/>
        <w:bottom w:val="none" w:sz="0" w:space="0" w:color="auto"/>
        <w:right w:val="none" w:sz="0" w:space="0" w:color="auto"/>
      </w:divBdr>
    </w:div>
    <w:div w:id="1472939145">
      <w:bodyDiv w:val="1"/>
      <w:marLeft w:val="0"/>
      <w:marRight w:val="0"/>
      <w:marTop w:val="0"/>
      <w:marBottom w:val="0"/>
      <w:divBdr>
        <w:top w:val="none" w:sz="0" w:space="0" w:color="auto"/>
        <w:left w:val="none" w:sz="0" w:space="0" w:color="auto"/>
        <w:bottom w:val="none" w:sz="0" w:space="0" w:color="auto"/>
        <w:right w:val="none" w:sz="0" w:space="0" w:color="auto"/>
      </w:divBdr>
    </w:div>
    <w:div w:id="1500727871">
      <w:bodyDiv w:val="1"/>
      <w:marLeft w:val="0"/>
      <w:marRight w:val="0"/>
      <w:marTop w:val="0"/>
      <w:marBottom w:val="0"/>
      <w:divBdr>
        <w:top w:val="none" w:sz="0" w:space="0" w:color="auto"/>
        <w:left w:val="none" w:sz="0" w:space="0" w:color="auto"/>
        <w:bottom w:val="none" w:sz="0" w:space="0" w:color="auto"/>
        <w:right w:val="none" w:sz="0" w:space="0" w:color="auto"/>
      </w:divBdr>
    </w:div>
    <w:div w:id="18622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ugsafety-STA@stbiopharm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52A38EF923540BEFA1B6FC451B16A" ma:contentTypeVersion="15" ma:contentTypeDescription="Create a new document." ma:contentTypeScope="" ma:versionID="71c3672b3c22f4ee4147d6429096d064">
  <xsd:schema xmlns:xsd="http://www.w3.org/2001/XMLSchema" xmlns:xs="http://www.w3.org/2001/XMLSchema" xmlns:p="http://schemas.microsoft.com/office/2006/metadata/properties" xmlns:ns1="http://schemas.microsoft.com/sharepoint/v3" xmlns:ns2="98462ecd-b279-436c-b43a-bb013e125fa9" xmlns:ns3="a347395a-ef1c-43fd-82de-fcdafe8321f5" targetNamespace="http://schemas.microsoft.com/office/2006/metadata/properties" ma:root="true" ma:fieldsID="de6145efc361bacf1fb7102b9935c417" ns1:_="" ns2:_="" ns3:_="">
    <xsd:import namespace="http://schemas.microsoft.com/sharepoint/v3"/>
    <xsd:import namespace="98462ecd-b279-436c-b43a-bb013e125fa9"/>
    <xsd:import namespace="a347395a-ef1c-43fd-82de-fcdafe8321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462ecd-b279-436c-b43a-bb013e125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f40b0f-2eae-4ca5-9139-7527fc530c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47395a-ef1c-43fd-82de-fcdafe8321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17a6c1-93c0-41d7-ba66-fe0b630fe297}" ma:internalName="TaxCatchAll" ma:showField="CatchAllData" ma:web="a347395a-ef1c-43fd-82de-fcdafe832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8462ecd-b279-436c-b43a-bb013e125fa9">
      <Terms xmlns="http://schemas.microsoft.com/office/infopath/2007/PartnerControls"/>
    </lcf76f155ced4ddcb4097134ff3c332f>
    <TaxCatchAll xmlns="a347395a-ef1c-43fd-82de-fcdafe8321f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0B01-2293-4FA4-B61A-FA88E13A5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462ecd-b279-436c-b43a-bb013e125fa9"/>
    <ds:schemaRef ds:uri="a347395a-ef1c-43fd-82de-fcdafe832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E3BE71-37CE-458B-9489-7D37FBEE9C07}">
  <ds:schemaRefs>
    <ds:schemaRef ds:uri="http://schemas.microsoft.com/sharepoint/v3/contenttype/forms"/>
  </ds:schemaRefs>
</ds:datastoreItem>
</file>

<file path=customXml/itemProps3.xml><?xml version="1.0" encoding="utf-8"?>
<ds:datastoreItem xmlns:ds="http://schemas.openxmlformats.org/officeDocument/2006/customXml" ds:itemID="{F9852424-DDB4-4DD6-8DB3-771218B92A7A}">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98462ecd-b279-436c-b43a-bb013e125fa9"/>
    <ds:schemaRef ds:uri="http://schemas.microsoft.com/sharepoint/v3"/>
    <ds:schemaRef ds:uri="http://schemas.openxmlformats.org/package/2006/metadata/core-properties"/>
    <ds:schemaRef ds:uri="http://purl.org/dc/terms/"/>
    <ds:schemaRef ds:uri="a347395a-ef1c-43fd-82de-fcdafe8321f5"/>
    <ds:schemaRef ds:uri="http://www.w3.org/XML/1998/namespace"/>
    <ds:schemaRef ds:uri="http://purl.org/dc/dcmitype/"/>
  </ds:schemaRefs>
</ds:datastoreItem>
</file>

<file path=customXml/itemProps4.xml><?xml version="1.0" encoding="utf-8"?>
<ds:datastoreItem xmlns:ds="http://schemas.openxmlformats.org/officeDocument/2006/customXml" ds:itemID="{D49E81D5-B694-4D8E-9D87-BDBB6D26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5238</Words>
  <Characters>30910</Characters>
  <Application>Microsoft Office Word</Application>
  <DocSecurity>0</DocSecurity>
  <Lines>718</Lines>
  <Paragraphs>435</Paragraphs>
  <ScaleCrop>false</ScaleCrop>
  <HeadingPairs>
    <vt:vector size="2" baseType="variant">
      <vt:variant>
        <vt:lpstr>Title</vt:lpstr>
      </vt:variant>
      <vt:variant>
        <vt:i4>1</vt:i4>
      </vt:variant>
    </vt:vector>
  </HeadingPairs>
  <TitlesOfParts>
    <vt:vector size="1" baseType="lpstr">
      <vt:lpstr>PI template with Black Triangle</vt:lpstr>
    </vt:vector>
  </TitlesOfParts>
  <Company>Therapeutic Goods Administration</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Minjuvi</dc:title>
  <dc:subject>prescription medicines</dc:subject>
  <dc:creator>Microsoft Office User</dc:creator>
  <cp:keywords>template</cp:keywords>
  <cp:lastModifiedBy>LACK, Janet</cp:lastModifiedBy>
  <cp:revision>3</cp:revision>
  <cp:lastPrinted>2017-11-13T05:13:00Z</cp:lastPrinted>
  <dcterms:created xsi:type="dcterms:W3CDTF">2024-02-01T05:22:00Z</dcterms:created>
  <dcterms:modified xsi:type="dcterms:W3CDTF">2024-02-01T05:27:00Z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0x0101002AE52A38EF923540BEFA1B6FC451B16A</vt:lpwstr>
  </property>
  <property fmtid="{D5CDD505-2E9C-101B-9397-08002B2CF9AE}" pid="3" name="MediaServiceImageTags">
    <vt:lpwstr/>
  </property>
</Properties>
</file>