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CD82" w14:textId="2FC02883" w:rsidR="00375DF3" w:rsidRPr="003903B3" w:rsidRDefault="00375DF3" w:rsidP="0042782D">
      <w:pPr>
        <w:pStyle w:val="BodyText"/>
      </w:pPr>
      <w:r w:rsidRPr="003903B3">
        <w:rPr>
          <w:noProof/>
        </w:rPr>
        <mc:AlternateContent>
          <mc:Choice Requires="wps">
            <w:drawing>
              <wp:inline distT="0" distB="0" distL="0" distR="0" wp14:anchorId="07114FC7" wp14:editId="3E2E321A">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C05CA" w14:textId="77777777" w:rsidR="00375DF3" w:rsidRPr="00BE2A26" w:rsidRDefault="00BE2A26" w:rsidP="00375DF3">
                            <w:pPr>
                              <w:spacing w:after="0"/>
                              <w:rPr>
                                <w:rFonts w:ascii="Wingdings 3" w:hAnsi="Wingdings 3" w:hint="eastAsia"/>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07114FC7"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682C05CA" w14:textId="77777777" w:rsidR="00375DF3" w:rsidRPr="00BE2A26" w:rsidRDefault="00BE2A26" w:rsidP="00375DF3">
                      <w:pPr>
                        <w:spacing w:after="0"/>
                        <w:rPr>
                          <w:rFonts w:ascii="Wingdings 3" w:hAnsi="Wingdings 3" w:hint="eastAsia"/>
                          <w:sz w:val="24"/>
                        </w:rPr>
                      </w:pPr>
                      <w:r w:rsidRPr="00BE2A26">
                        <w:rPr>
                          <w:rFonts w:ascii="SimSun" w:eastAsia="SimSun" w:hAnsi="SimSun" w:cs="Arial" w:hint="eastAsia"/>
                          <w:sz w:val="40"/>
                        </w:rPr>
                        <w:t>▼</w:t>
                      </w:r>
                    </w:p>
                  </w:txbxContent>
                </v:textbox>
                <w10:anchorlock/>
              </v:shape>
            </w:pict>
          </mc:Fallback>
        </mc:AlternateContent>
      </w:r>
      <w:r w:rsidR="001A3992" w:rsidRPr="003903B3">
        <w:t xml:space="preserve">This medicinal product is subject to additional monitoring in Australia. This will allow quick identification of new safety information. Healthcare professionals are asked to report any suspected adverse events at </w:t>
      </w:r>
      <w:r w:rsidR="00D30A4F" w:rsidRPr="00D30A4F">
        <w:t>www.tga.gov.au/reporting-problems</w:t>
      </w:r>
      <w:r w:rsidRPr="003903B3">
        <w:t>.</w:t>
      </w:r>
    </w:p>
    <w:p w14:paraId="016A8592" w14:textId="79DF01ED" w:rsidR="002C7A91" w:rsidRDefault="009C45F9" w:rsidP="00A02090">
      <w:pPr>
        <w:pStyle w:val="Heading1"/>
        <w:spacing w:after="240"/>
        <w:jc w:val="center"/>
        <w:rPr>
          <w:rFonts w:eastAsia="SimSun"/>
        </w:rPr>
      </w:pPr>
      <w:r w:rsidRPr="003903B3">
        <w:rPr>
          <w:rFonts w:eastAsia="SimSun"/>
        </w:rPr>
        <w:t>AUSTRALIAN PRODUCT INFORMATION</w:t>
      </w:r>
      <w:r>
        <w:rPr>
          <w:rFonts w:eastAsia="SimSun"/>
        </w:rPr>
        <w:t xml:space="preserve"> – </w:t>
      </w:r>
      <w:r w:rsidR="00D30A4F" w:rsidRPr="00D30A4F">
        <w:rPr>
          <w:rFonts w:eastAsia="SimSun"/>
        </w:rPr>
        <w:t>ALHEMO</w:t>
      </w:r>
      <w:r w:rsidR="00E14C50" w:rsidRPr="007C4A7F">
        <w:rPr>
          <w:rFonts w:eastAsia="SimSun"/>
          <w:vertAlign w:val="superscript"/>
        </w:rPr>
        <w:t>®</w:t>
      </w:r>
      <w:r>
        <w:rPr>
          <w:rFonts w:eastAsia="SimSun"/>
        </w:rPr>
        <w:t xml:space="preserve"> (concizumab)</w:t>
      </w:r>
      <w:r w:rsidR="002A5BE6">
        <w:rPr>
          <w:rFonts w:eastAsia="SimSun"/>
        </w:rPr>
        <w:fldChar w:fldCharType="begin"/>
      </w:r>
      <w:r w:rsidR="002A5BE6">
        <w:rPr>
          <w:rFonts w:eastAsia="SimSun"/>
        </w:rPr>
        <w:instrText xml:space="preserve"> DOCVARIABLE vault_nd_f64a2de8-4df5-4e4c-a8fc-fe1b08472d08 \* MERGEFORMAT </w:instrText>
      </w:r>
      <w:r w:rsidR="002A5BE6">
        <w:rPr>
          <w:rFonts w:eastAsia="SimSun"/>
        </w:rPr>
        <w:fldChar w:fldCharType="separate"/>
      </w:r>
      <w:r w:rsidR="00A8319D">
        <w:rPr>
          <w:rFonts w:eastAsia="SimSun"/>
        </w:rPr>
        <w:t xml:space="preserve"> </w:t>
      </w:r>
      <w:r w:rsidR="002A5BE6">
        <w:rPr>
          <w:rFonts w:eastAsia="SimSun"/>
        </w:rPr>
        <w:fldChar w:fldCharType="end"/>
      </w:r>
    </w:p>
    <w:p w14:paraId="3D92095F" w14:textId="4971A569" w:rsidR="001A3992" w:rsidRPr="006570D4" w:rsidRDefault="001A3992" w:rsidP="0042782D">
      <w:pPr>
        <w:pStyle w:val="Heading1-TNR"/>
      </w:pPr>
      <w:r w:rsidRPr="006570D4">
        <w:t>Name of the medicine</w:t>
      </w:r>
      <w:fldSimple w:instr="DOCVARIABLE VAULT_ND_59e3ce63-a6b5-4ba7-b246-925d6c7e93c6 \* MERGEFORMAT">
        <w:r w:rsidR="00A8319D">
          <w:t xml:space="preserve"> </w:t>
        </w:r>
      </w:fldSimple>
    </w:p>
    <w:p w14:paraId="6A72DBF7" w14:textId="743B917E" w:rsidR="002C7A91" w:rsidRPr="003903B3" w:rsidRDefault="002C7A91" w:rsidP="002C7A91">
      <w:pPr>
        <w:pStyle w:val="BodyText"/>
      </w:pPr>
      <w:r w:rsidRPr="003903B3">
        <w:t>concizumab</w:t>
      </w:r>
    </w:p>
    <w:p w14:paraId="267E665E" w14:textId="5F08FFDB" w:rsidR="001A3992" w:rsidRPr="006570D4" w:rsidRDefault="001A3992" w:rsidP="0042782D">
      <w:pPr>
        <w:pStyle w:val="Heading1-TNR"/>
      </w:pPr>
      <w:r w:rsidRPr="006570D4">
        <w:t>Qualitative and quantitative composition</w:t>
      </w:r>
      <w:fldSimple w:instr="DOCVARIABLE VAULT_ND_e12e9705-f4e1-4138-ae4c-44ee1cf744a6 \* MERGEFORMAT">
        <w:r w:rsidR="00A8319D">
          <w:t xml:space="preserve"> </w:t>
        </w:r>
      </w:fldSimple>
    </w:p>
    <w:p w14:paraId="094A2380" w14:textId="43082E94" w:rsidR="009F59E5" w:rsidRPr="003903B3" w:rsidRDefault="009F59E5" w:rsidP="009F59E5">
      <w:pPr>
        <w:pStyle w:val="BodyText"/>
      </w:pPr>
      <w:r w:rsidRPr="003903B3">
        <w:t xml:space="preserve">Concizumab is a humanised IgG4 monoclonal antibody produced by recombinant DNA technology in Chinese Hamster Ovary (CHO) cells. To retain the high affinity for the Kunitz 2 (K2) domain </w:t>
      </w:r>
      <w:r w:rsidR="00180FB5">
        <w:t>of</w:t>
      </w:r>
      <w:r w:rsidR="00180FB5" w:rsidRPr="003903B3">
        <w:t xml:space="preserve"> </w:t>
      </w:r>
      <w:r w:rsidRPr="003903B3">
        <w:t xml:space="preserve">tissue factor pathway inhibitor (TFPI), 7 back mutations were included. </w:t>
      </w:r>
      <w:r w:rsidR="00180FB5">
        <w:t>Additionally</w:t>
      </w:r>
      <w:r w:rsidRPr="003903B3">
        <w:t xml:space="preserve">, </w:t>
      </w:r>
      <w:proofErr w:type="gramStart"/>
      <w:r w:rsidRPr="003903B3">
        <w:t>in order to</w:t>
      </w:r>
      <w:proofErr w:type="gramEnd"/>
      <w:r w:rsidRPr="003903B3">
        <w:t xml:space="preserve"> prevent formation of half-antibodies, the serine at position 241 (Kabat annotation) in the heavy chain was replaced with a proline (Ser241Pro). </w:t>
      </w:r>
    </w:p>
    <w:p w14:paraId="51D4B7D4" w14:textId="7C408F75" w:rsidR="009F59E5" w:rsidRPr="003903B3" w:rsidRDefault="009F59E5" w:rsidP="009F59E5">
      <w:pPr>
        <w:pStyle w:val="BodyText"/>
      </w:pPr>
      <w:r w:rsidRPr="003903B3">
        <w:t xml:space="preserve">No raw materials of animal or human origin are used in the concizumab manufacturing process. </w:t>
      </w:r>
    </w:p>
    <w:p w14:paraId="20DC5510" w14:textId="26863DC7" w:rsidR="002C7A91" w:rsidRPr="00E64F84" w:rsidRDefault="00D30A4F" w:rsidP="002C7A91">
      <w:pPr>
        <w:pStyle w:val="BodyText"/>
        <w:rPr>
          <w:u w:val="single"/>
        </w:rPr>
      </w:pPr>
      <w:r w:rsidRPr="00D30A4F">
        <w:rPr>
          <w:u w:val="single"/>
        </w:rPr>
        <w:t>Alhemo</w:t>
      </w:r>
      <w:r w:rsidR="002C7A91" w:rsidRPr="00E64F84">
        <w:rPr>
          <w:u w:val="single"/>
        </w:rPr>
        <w:t xml:space="preserve"> 15 mg/1.5 mL (10 mg/mL) solution for injection</w:t>
      </w:r>
    </w:p>
    <w:p w14:paraId="3FB81929" w14:textId="77777777" w:rsidR="002C7A91" w:rsidRPr="003903B3" w:rsidRDefault="002C7A91" w:rsidP="002C7A91">
      <w:pPr>
        <w:pStyle w:val="BodyText"/>
      </w:pPr>
      <w:r w:rsidRPr="003903B3">
        <w:t>One mL of solution contains 10 mg of concizumab. One pre-filled pen contains 15 mg concizumab in 1.5 mL solution.</w:t>
      </w:r>
    </w:p>
    <w:p w14:paraId="59991DED" w14:textId="2878B9D7" w:rsidR="002C7A91" w:rsidRPr="00E64F84" w:rsidRDefault="00D30A4F" w:rsidP="002C7A91">
      <w:pPr>
        <w:pStyle w:val="BodyText"/>
        <w:rPr>
          <w:u w:val="single"/>
        </w:rPr>
      </w:pPr>
      <w:r w:rsidRPr="00D30A4F">
        <w:rPr>
          <w:u w:val="single"/>
        </w:rPr>
        <w:t>Alhemo</w:t>
      </w:r>
      <w:r w:rsidR="002C7A91" w:rsidRPr="00E64F84">
        <w:rPr>
          <w:u w:val="single"/>
        </w:rPr>
        <w:t xml:space="preserve"> 60 mg/1.5 mL (40 mg/mL) solution for injection</w:t>
      </w:r>
    </w:p>
    <w:p w14:paraId="621E0295" w14:textId="77777777" w:rsidR="002C7A91" w:rsidRPr="003903B3" w:rsidRDefault="002C7A91" w:rsidP="002C7A91">
      <w:pPr>
        <w:pStyle w:val="BodyText"/>
      </w:pPr>
      <w:r w:rsidRPr="003903B3">
        <w:t>One mL of solution contains 40 mg of concizumab. One pre-filled pen contains 60 mg concizumab in 1.5 mL solution.</w:t>
      </w:r>
    </w:p>
    <w:p w14:paraId="635CB0F7" w14:textId="18BC8BDE" w:rsidR="002C7A91" w:rsidRPr="00E64F84" w:rsidRDefault="00D30A4F" w:rsidP="002C7A91">
      <w:pPr>
        <w:pStyle w:val="BodyText"/>
        <w:rPr>
          <w:u w:val="single"/>
        </w:rPr>
      </w:pPr>
      <w:r w:rsidRPr="00D30A4F">
        <w:rPr>
          <w:u w:val="single"/>
        </w:rPr>
        <w:t>Alhemo</w:t>
      </w:r>
      <w:r w:rsidR="002C7A91" w:rsidRPr="00E64F84">
        <w:rPr>
          <w:u w:val="single"/>
        </w:rPr>
        <w:t xml:space="preserve"> 150 mg/1.5 mL (100 mg/mL) solution for injection</w:t>
      </w:r>
    </w:p>
    <w:p w14:paraId="75FDD91B" w14:textId="77777777" w:rsidR="002C7A91" w:rsidRPr="003903B3" w:rsidRDefault="002C7A91" w:rsidP="002C7A91">
      <w:pPr>
        <w:pStyle w:val="BodyText"/>
      </w:pPr>
      <w:r w:rsidRPr="003903B3">
        <w:t>One mL of solution contains 100 mg of concizumab. One pre-filled pen contains 150 mg concizumab in 1.5 mL solution.</w:t>
      </w:r>
    </w:p>
    <w:p w14:paraId="267ED7CC" w14:textId="2073A15A" w:rsidR="002C7A91" w:rsidRPr="00E64F84" w:rsidRDefault="00D30A4F" w:rsidP="002C7A91">
      <w:pPr>
        <w:pStyle w:val="BodyText"/>
        <w:rPr>
          <w:u w:val="single"/>
        </w:rPr>
      </w:pPr>
      <w:r w:rsidRPr="00D30A4F">
        <w:rPr>
          <w:u w:val="single"/>
        </w:rPr>
        <w:t>Alhemo</w:t>
      </w:r>
      <w:r w:rsidR="002C7A91" w:rsidRPr="00E64F84">
        <w:rPr>
          <w:u w:val="single"/>
        </w:rPr>
        <w:t xml:space="preserve"> 300 mg/3 mL (100 mg/mL) solution for injection</w:t>
      </w:r>
    </w:p>
    <w:p w14:paraId="75733DE9" w14:textId="6B2971AB" w:rsidR="002C7A91" w:rsidRPr="003903B3" w:rsidRDefault="002C7A91" w:rsidP="002C7A91">
      <w:pPr>
        <w:pStyle w:val="BodyText"/>
      </w:pPr>
      <w:r w:rsidRPr="003903B3">
        <w:t>One mL of solution contains 100 mg of concizumab. One pre-filled pen contains 300 mg concizumab in 3 mL solution.</w:t>
      </w:r>
    </w:p>
    <w:p w14:paraId="46E04F8E" w14:textId="243A1F90" w:rsidR="002C7A91" w:rsidRPr="003903B3" w:rsidRDefault="005B2812" w:rsidP="002C7A91">
      <w:pPr>
        <w:pStyle w:val="BodyText"/>
      </w:pPr>
      <w:r w:rsidRPr="003903B3">
        <w:t xml:space="preserve">For the full list of excipients, see </w:t>
      </w:r>
      <w:r w:rsidR="002C7A91" w:rsidRPr="003903B3">
        <w:t xml:space="preserve">Section </w:t>
      </w:r>
      <w:r w:rsidR="002C7A91" w:rsidRPr="003903B3">
        <w:fldChar w:fldCharType="begin"/>
      </w:r>
      <w:r w:rsidR="002C7A91" w:rsidRPr="003903B3">
        <w:instrText xml:space="preserve"> REF _Ref106643879 \w \h </w:instrText>
      </w:r>
      <w:r w:rsidR="002C7A91" w:rsidRPr="003903B3">
        <w:fldChar w:fldCharType="separate"/>
      </w:r>
      <w:r w:rsidR="00A8319D">
        <w:t>6.1</w:t>
      </w:r>
      <w:r w:rsidR="002C7A91" w:rsidRPr="003903B3">
        <w:fldChar w:fldCharType="end"/>
      </w:r>
      <w:r w:rsidR="002C7A91" w:rsidRPr="003903B3">
        <w:t xml:space="preserve"> </w:t>
      </w:r>
      <w:r w:rsidR="002C7A91" w:rsidRPr="003903B3">
        <w:fldChar w:fldCharType="begin"/>
      </w:r>
      <w:r w:rsidR="002C7A91" w:rsidRPr="003903B3">
        <w:instrText xml:space="preserve"> REF _Ref106643879 \h </w:instrText>
      </w:r>
      <w:r w:rsidR="002C7A91" w:rsidRPr="003903B3">
        <w:fldChar w:fldCharType="separate"/>
      </w:r>
      <w:r w:rsidR="00A8319D" w:rsidRPr="006570D4">
        <w:t>List of excipients</w:t>
      </w:r>
      <w:r w:rsidR="002C7A91" w:rsidRPr="003903B3">
        <w:fldChar w:fldCharType="end"/>
      </w:r>
      <w:r w:rsidRPr="003903B3">
        <w:t xml:space="preserve">. </w:t>
      </w:r>
    </w:p>
    <w:p w14:paraId="15108678" w14:textId="76572E42" w:rsidR="001A3992" w:rsidRPr="006570D4" w:rsidRDefault="001A3992" w:rsidP="002C7A91">
      <w:pPr>
        <w:pStyle w:val="Heading1-TNR"/>
      </w:pPr>
      <w:r w:rsidRPr="006570D4">
        <w:t>Pharmaceutical form</w:t>
      </w:r>
      <w:fldSimple w:instr="DOCVARIABLE VAULT_ND_a9a6f585-ef38-42f1-8e48-87757e4717d6 \* MERGEFORMAT">
        <w:r w:rsidR="00A8319D">
          <w:t xml:space="preserve"> </w:t>
        </w:r>
      </w:fldSimple>
    </w:p>
    <w:p w14:paraId="4D456FCE" w14:textId="64CC385B" w:rsidR="002554A2" w:rsidRPr="003903B3" w:rsidRDefault="002554A2" w:rsidP="002554A2">
      <w:pPr>
        <w:pStyle w:val="BodyText"/>
      </w:pPr>
      <w:r w:rsidRPr="003903B3">
        <w:t xml:space="preserve">Solution for </w:t>
      </w:r>
      <w:r w:rsidR="00834E02">
        <w:t xml:space="preserve">subcutaneous </w:t>
      </w:r>
      <w:r w:rsidRPr="003903B3">
        <w:t>injection</w:t>
      </w:r>
      <w:r w:rsidR="000D0FC4">
        <w:t>.</w:t>
      </w:r>
    </w:p>
    <w:p w14:paraId="552013CE" w14:textId="089FD9B4" w:rsidR="002C7A91" w:rsidRPr="003903B3" w:rsidRDefault="00D30A4F" w:rsidP="002554A2">
      <w:pPr>
        <w:pStyle w:val="BodyText"/>
      </w:pPr>
      <w:r w:rsidRPr="00D30A4F">
        <w:t>Alhemo</w:t>
      </w:r>
      <w:r w:rsidR="002554A2" w:rsidRPr="003903B3">
        <w:t xml:space="preserve"> is a clear to slightly opalescent, colourless to slightly yellow liquid, that may contain translucent to white particles of protein.</w:t>
      </w:r>
    </w:p>
    <w:p w14:paraId="3603622A" w14:textId="7063B6F1" w:rsidR="001A3992" w:rsidRPr="006570D4" w:rsidRDefault="001A3992" w:rsidP="0042782D">
      <w:pPr>
        <w:pStyle w:val="Heading1-TNR"/>
      </w:pPr>
      <w:r w:rsidRPr="006570D4">
        <w:lastRenderedPageBreak/>
        <w:t>Clinical particulars</w:t>
      </w:r>
      <w:fldSimple w:instr="DOCVARIABLE VAULT_ND_bb6c404b-cf74-4d88-ad0d-3e91e7de8dd1 \* MERGEFORMAT">
        <w:r w:rsidR="00A8319D">
          <w:t xml:space="preserve"> </w:t>
        </w:r>
      </w:fldSimple>
    </w:p>
    <w:p w14:paraId="3AD9C46B" w14:textId="675F81D4" w:rsidR="001A3992" w:rsidRPr="003903B3" w:rsidRDefault="001A3992" w:rsidP="00281CD0">
      <w:pPr>
        <w:pStyle w:val="Heading2-TNR"/>
      </w:pPr>
      <w:r w:rsidRPr="003903B3">
        <w:t xml:space="preserve">Therapeutic indications </w:t>
      </w:r>
      <w:fldSimple w:instr="DOCVARIABLE VAULT_ND_23dc134c-d025-4933-a580-92ded19968a3 \* MERGEFORMAT">
        <w:r w:rsidR="00A8319D">
          <w:t xml:space="preserve"> </w:t>
        </w:r>
      </w:fldSimple>
    </w:p>
    <w:p w14:paraId="1A4F0A23" w14:textId="3D9EF8D0" w:rsidR="002554A2" w:rsidRPr="003903B3" w:rsidRDefault="00D30A4F" w:rsidP="002554A2">
      <w:pPr>
        <w:pStyle w:val="BodyText"/>
      </w:pPr>
      <w:r w:rsidRPr="00D30A4F">
        <w:t>Alhemo</w:t>
      </w:r>
      <w:r w:rsidR="00E252C1">
        <w:t xml:space="preserve"> is indicated </w:t>
      </w:r>
      <w:r w:rsidR="00F97128">
        <w:t>where</w:t>
      </w:r>
      <w:r w:rsidR="00E252C1" w:rsidRPr="003903B3">
        <w:t xml:space="preserve"> </w:t>
      </w:r>
      <w:r w:rsidR="002554A2" w:rsidRPr="003903B3">
        <w:t xml:space="preserve">prophylaxis </w:t>
      </w:r>
      <w:r w:rsidR="00F97128">
        <w:t xml:space="preserve">is required </w:t>
      </w:r>
      <w:r w:rsidR="002554A2" w:rsidRPr="003903B3">
        <w:t>to prevent or reduce the frequency of bleeding in patients</w:t>
      </w:r>
      <w:r w:rsidR="00FC5624">
        <w:t xml:space="preserve"> at least</w:t>
      </w:r>
      <w:r w:rsidR="002554A2" w:rsidRPr="003903B3">
        <w:t xml:space="preserve"> 12 years of age </w:t>
      </w:r>
      <w:r w:rsidR="00FC5624" w:rsidRPr="00FC5624">
        <w:rPr>
          <w:lang w:val="en-US"/>
        </w:rPr>
        <w:t xml:space="preserve">who have </w:t>
      </w:r>
      <w:proofErr w:type="spellStart"/>
      <w:r w:rsidR="00FC5624" w:rsidRPr="00FC5624">
        <w:rPr>
          <w:lang w:val="en-US"/>
        </w:rPr>
        <w:t>haemophilia</w:t>
      </w:r>
      <w:proofErr w:type="spellEnd"/>
      <w:r w:rsidR="00FC5624" w:rsidRPr="00FC5624">
        <w:rPr>
          <w:lang w:val="en-US"/>
        </w:rPr>
        <w:t xml:space="preserve"> B (congenital factor IX [</w:t>
      </w:r>
      <w:r w:rsidR="000B1843">
        <w:rPr>
          <w:lang w:val="en-US"/>
        </w:rPr>
        <w:t>F</w:t>
      </w:r>
      <w:r w:rsidR="00FC5624" w:rsidRPr="00FC5624">
        <w:rPr>
          <w:lang w:val="en-US"/>
        </w:rPr>
        <w:t xml:space="preserve">IX] deficiency) with </w:t>
      </w:r>
      <w:r w:rsidR="000B1843">
        <w:rPr>
          <w:lang w:val="en-US"/>
        </w:rPr>
        <w:t>F</w:t>
      </w:r>
      <w:r w:rsidR="00FC5624" w:rsidRPr="00FC5624">
        <w:rPr>
          <w:lang w:val="en-US"/>
        </w:rPr>
        <w:t>IX inhibitors</w:t>
      </w:r>
      <w:r w:rsidR="00FC5624">
        <w:rPr>
          <w:lang w:val="en-US"/>
        </w:rPr>
        <w:t>.</w:t>
      </w:r>
    </w:p>
    <w:p w14:paraId="4F510A92" w14:textId="06B6DF39" w:rsidR="001A3992" w:rsidRPr="006570D4" w:rsidRDefault="001A3992" w:rsidP="0042782D">
      <w:pPr>
        <w:pStyle w:val="Heading2-TNR"/>
      </w:pPr>
      <w:bookmarkStart w:id="0" w:name="_Ref109135507"/>
      <w:r w:rsidRPr="006570D4">
        <w:t>Dose and method of administration</w:t>
      </w:r>
      <w:bookmarkEnd w:id="0"/>
      <w:r w:rsidR="002A5BE6" w:rsidRPr="006570D4">
        <w:fldChar w:fldCharType="begin"/>
      </w:r>
      <w:r w:rsidR="002A5BE6" w:rsidRPr="006570D4">
        <w:instrText xml:space="preserve"> DOCVARIABLE VAULT_ND_327b6daa-5b61-4974-a35c-8c4bb60f01d2 \* MERGEFORMAT </w:instrText>
      </w:r>
      <w:r w:rsidR="002A5BE6" w:rsidRPr="006570D4">
        <w:fldChar w:fldCharType="separate"/>
      </w:r>
      <w:r w:rsidR="00A8319D">
        <w:t xml:space="preserve"> </w:t>
      </w:r>
      <w:r w:rsidR="002A5BE6" w:rsidRPr="006570D4">
        <w:fldChar w:fldCharType="end"/>
      </w:r>
    </w:p>
    <w:p w14:paraId="10BDFB5F" w14:textId="4359CCAF" w:rsidR="002554A2" w:rsidRPr="003903B3" w:rsidRDefault="002554A2" w:rsidP="002554A2">
      <w:pPr>
        <w:pStyle w:val="Heading3-TNR"/>
      </w:pPr>
      <w:bookmarkStart w:id="1" w:name="_Toc104898537"/>
      <w:r w:rsidRPr="003903B3">
        <w:t>Dosage</w:t>
      </w:r>
      <w:bookmarkEnd w:id="1"/>
      <w:r w:rsidRPr="003903B3">
        <w:fldChar w:fldCharType="begin"/>
      </w:r>
      <w:r w:rsidRPr="003903B3">
        <w:instrText xml:space="preserve"> DOCVARIABLE vault_nd_2028498e-63f3-443b-ad3f-2c207251be8d \* MERGEFORMAT </w:instrText>
      </w:r>
      <w:r w:rsidRPr="003903B3">
        <w:fldChar w:fldCharType="separate"/>
      </w:r>
      <w:r w:rsidR="00A8319D">
        <w:t xml:space="preserve"> </w:t>
      </w:r>
      <w:r w:rsidRPr="003903B3">
        <w:fldChar w:fldCharType="end"/>
      </w:r>
    </w:p>
    <w:p w14:paraId="63612667" w14:textId="749D9B8B" w:rsidR="002554A2" w:rsidRPr="00F2167D" w:rsidRDefault="002554A2" w:rsidP="002554A2">
      <w:pPr>
        <w:pStyle w:val="BodyText"/>
      </w:pPr>
      <w:r w:rsidRPr="002554A2">
        <w:t xml:space="preserve">Treatment should be initiated under the supervision of a physician experienced in treatment of haemophilia and/or bleeding disorders. </w:t>
      </w:r>
      <w:r w:rsidR="00180FB5">
        <w:t>Initiate concizumab</w:t>
      </w:r>
      <w:r w:rsidRPr="002554A2">
        <w:t xml:space="preserve"> in a non-bleeding state</w:t>
      </w:r>
      <w:r w:rsidR="00B620E6">
        <w:t>, and after discontinuing treatment with bypassing agents</w:t>
      </w:r>
      <w:r w:rsidRPr="002554A2">
        <w:t>.</w:t>
      </w:r>
      <w:r w:rsidR="00180FB5">
        <w:t xml:space="preserve"> Discontinue </w:t>
      </w:r>
      <w:r w:rsidR="000D0FC4" w:rsidRPr="002554A2">
        <w:t>rFVIIa at least 12 hours before starting</w:t>
      </w:r>
      <w:r w:rsidR="00180FB5">
        <w:t xml:space="preserve"> </w:t>
      </w:r>
      <w:r w:rsidR="00180FB5" w:rsidRPr="002554A2">
        <w:t>concizumab therapy</w:t>
      </w:r>
      <w:r w:rsidR="00180FB5">
        <w:t xml:space="preserve">. Discontinue </w:t>
      </w:r>
      <w:r w:rsidR="000D0FC4" w:rsidRPr="002554A2">
        <w:t>aPCC at least 48 hours before</w:t>
      </w:r>
      <w:r w:rsidR="00180FB5" w:rsidRPr="00180FB5">
        <w:t xml:space="preserve"> </w:t>
      </w:r>
      <w:r w:rsidR="00180FB5">
        <w:t xml:space="preserve">starting </w:t>
      </w:r>
      <w:r w:rsidR="00180FB5" w:rsidRPr="002554A2">
        <w:t>concizumab therapy</w:t>
      </w:r>
      <w:r w:rsidR="000D0FC4" w:rsidRPr="002554A2">
        <w:t xml:space="preserve">. </w:t>
      </w:r>
    </w:p>
    <w:p w14:paraId="26577134" w14:textId="5F273295" w:rsidR="006C215D" w:rsidRDefault="002554A2" w:rsidP="00F2167D">
      <w:pPr>
        <w:pStyle w:val="BodyText"/>
      </w:pPr>
      <w:r w:rsidRPr="002554A2">
        <w:t xml:space="preserve">The recommended dosing regimen is </w:t>
      </w:r>
      <w:r w:rsidR="006C215D" w:rsidRPr="000D0FC4">
        <w:rPr>
          <w:szCs w:val="24"/>
        </w:rPr>
        <w:t xml:space="preserve">summarised in </w:t>
      </w:r>
      <w:bookmarkStart w:id="2" w:name="_Hlk88511178"/>
      <w:r w:rsidR="006C215D" w:rsidRPr="002B7277">
        <w:rPr>
          <w:szCs w:val="24"/>
        </w:rPr>
        <w:fldChar w:fldCharType="begin"/>
      </w:r>
      <w:r w:rsidR="006C215D" w:rsidRPr="002B7277">
        <w:rPr>
          <w:szCs w:val="24"/>
        </w:rPr>
        <w:instrText xml:space="preserve"> REF _Ref132725430 \h </w:instrText>
      </w:r>
      <w:r w:rsidR="006C215D">
        <w:rPr>
          <w:szCs w:val="24"/>
        </w:rPr>
        <w:instrText xml:space="preserve"> \* MERGEFORMAT </w:instrText>
      </w:r>
      <w:r w:rsidR="006C215D" w:rsidRPr="002B7277">
        <w:rPr>
          <w:szCs w:val="24"/>
        </w:rPr>
      </w:r>
      <w:r w:rsidR="006C215D" w:rsidRPr="002B7277">
        <w:rPr>
          <w:szCs w:val="24"/>
        </w:rPr>
        <w:fldChar w:fldCharType="separate"/>
      </w:r>
      <w:r w:rsidR="00A8319D" w:rsidRPr="00A8319D">
        <w:rPr>
          <w:szCs w:val="24"/>
        </w:rPr>
        <w:t xml:space="preserve">Table </w:t>
      </w:r>
      <w:r w:rsidR="00A8319D" w:rsidRPr="00A8319D">
        <w:rPr>
          <w:noProof/>
          <w:szCs w:val="24"/>
        </w:rPr>
        <w:t>1</w:t>
      </w:r>
      <w:r w:rsidR="006C215D" w:rsidRPr="002B7277">
        <w:rPr>
          <w:szCs w:val="24"/>
        </w:rPr>
        <w:fldChar w:fldCharType="end"/>
      </w:r>
      <w:r w:rsidRPr="000D0FC4">
        <w:rPr>
          <w:szCs w:val="24"/>
        </w:rPr>
        <w:t>.</w:t>
      </w:r>
      <w:r w:rsidR="006C215D" w:rsidRPr="000D0FC4">
        <w:rPr>
          <w:szCs w:val="24"/>
        </w:rPr>
        <w:t xml:space="preserve"> </w:t>
      </w:r>
      <w:bookmarkStart w:id="3" w:name="_Ref101533029"/>
    </w:p>
    <w:p w14:paraId="420CAEC0" w14:textId="65073711" w:rsidR="006C215D" w:rsidRPr="002554A2" w:rsidRDefault="006C215D" w:rsidP="006C215D">
      <w:pPr>
        <w:pStyle w:val="Caption"/>
        <w:rPr>
          <w:i/>
        </w:rPr>
      </w:pPr>
      <w:bookmarkStart w:id="4" w:name="_Ref132725430"/>
      <w:r w:rsidRPr="002554A2">
        <w:t xml:space="preserve">Table </w:t>
      </w:r>
      <w:r>
        <w:fldChar w:fldCharType="begin"/>
      </w:r>
      <w:r>
        <w:instrText>SEQ Table \* ARABIC</w:instrText>
      </w:r>
      <w:r>
        <w:fldChar w:fldCharType="separate"/>
      </w:r>
      <w:r w:rsidR="00A8319D">
        <w:rPr>
          <w:noProof/>
        </w:rPr>
        <w:t>1</w:t>
      </w:r>
      <w:r>
        <w:fldChar w:fldCharType="end"/>
      </w:r>
      <w:bookmarkEnd w:id="4"/>
      <w:r w:rsidRPr="002554A2">
        <w:tab/>
      </w:r>
      <w:r>
        <w:t>Recommended dosing regimen</w:t>
      </w:r>
    </w:p>
    <w:tbl>
      <w:tblPr>
        <w:tblStyle w:val="TableGrid"/>
        <w:tblW w:w="0" w:type="auto"/>
        <w:tblLook w:val="04A0" w:firstRow="1" w:lastRow="0" w:firstColumn="1" w:lastColumn="0" w:noHBand="0" w:noVBand="1"/>
      </w:tblPr>
      <w:tblGrid>
        <w:gridCol w:w="3397"/>
        <w:gridCol w:w="2835"/>
        <w:gridCol w:w="2784"/>
      </w:tblGrid>
      <w:tr w:rsidR="006C215D" w:rsidRPr="002554A2" w14:paraId="26BA0397" w14:textId="77777777" w:rsidTr="00F2167D">
        <w:tc>
          <w:tcPr>
            <w:tcW w:w="3397" w:type="dxa"/>
          </w:tcPr>
          <w:p w14:paraId="7B98D2BD" w14:textId="5938C201" w:rsidR="006C215D" w:rsidRPr="002554A2" w:rsidRDefault="006C215D" w:rsidP="00F2167D">
            <w:pPr>
              <w:pStyle w:val="BodyText"/>
              <w:spacing w:after="60"/>
              <w:rPr>
                <w:b/>
                <w:bCs/>
                <w:lang w:val="en-AU"/>
              </w:rPr>
            </w:pPr>
            <w:r>
              <w:rPr>
                <w:b/>
                <w:bCs/>
                <w:lang w:val="en-AU"/>
              </w:rPr>
              <w:t>Treatment day</w:t>
            </w:r>
            <w:r w:rsidRPr="002554A2">
              <w:rPr>
                <w:b/>
                <w:bCs/>
                <w:lang w:val="en-AU"/>
              </w:rPr>
              <w:t xml:space="preserve"> </w:t>
            </w:r>
          </w:p>
        </w:tc>
        <w:tc>
          <w:tcPr>
            <w:tcW w:w="2835" w:type="dxa"/>
          </w:tcPr>
          <w:p w14:paraId="6A916012" w14:textId="64C9BA76" w:rsidR="006C215D" w:rsidRPr="002554A2" w:rsidRDefault="006C215D" w:rsidP="00F2167D">
            <w:pPr>
              <w:pStyle w:val="BodyText"/>
              <w:spacing w:after="60"/>
              <w:rPr>
                <w:b/>
                <w:bCs/>
              </w:rPr>
            </w:pPr>
            <w:r>
              <w:rPr>
                <w:b/>
                <w:bCs/>
              </w:rPr>
              <w:t>Dose phase</w:t>
            </w:r>
          </w:p>
        </w:tc>
        <w:tc>
          <w:tcPr>
            <w:tcW w:w="2784" w:type="dxa"/>
          </w:tcPr>
          <w:p w14:paraId="30D99871" w14:textId="132233EA" w:rsidR="006C215D" w:rsidRPr="002554A2" w:rsidRDefault="006C215D" w:rsidP="00F2167D">
            <w:pPr>
              <w:pStyle w:val="BodyText"/>
              <w:spacing w:after="60"/>
              <w:rPr>
                <w:b/>
                <w:bCs/>
                <w:lang w:val="en-AU"/>
              </w:rPr>
            </w:pPr>
            <w:r>
              <w:rPr>
                <w:b/>
                <w:bCs/>
                <w:lang w:val="en-AU"/>
              </w:rPr>
              <w:t>Concizumab dose</w:t>
            </w:r>
          </w:p>
        </w:tc>
      </w:tr>
      <w:tr w:rsidR="006C215D" w:rsidRPr="002554A2" w14:paraId="4B28A75A" w14:textId="77777777" w:rsidTr="00F2167D">
        <w:tc>
          <w:tcPr>
            <w:tcW w:w="3397" w:type="dxa"/>
          </w:tcPr>
          <w:p w14:paraId="492877D8" w14:textId="7804065F" w:rsidR="006C215D" w:rsidRPr="002554A2" w:rsidRDefault="006C215D" w:rsidP="00F2167D">
            <w:pPr>
              <w:pStyle w:val="BodyText"/>
              <w:spacing w:after="60"/>
              <w:rPr>
                <w:lang w:val="en-AU"/>
              </w:rPr>
            </w:pPr>
            <w:r>
              <w:rPr>
                <w:lang w:val="en-AU"/>
              </w:rPr>
              <w:t>Day 1</w:t>
            </w:r>
          </w:p>
        </w:tc>
        <w:tc>
          <w:tcPr>
            <w:tcW w:w="2835" w:type="dxa"/>
          </w:tcPr>
          <w:p w14:paraId="606AC171" w14:textId="2595F10A" w:rsidR="006C215D" w:rsidRPr="002554A2" w:rsidRDefault="006C215D" w:rsidP="00F2167D">
            <w:pPr>
              <w:pStyle w:val="BodyText"/>
              <w:spacing w:after="60"/>
            </w:pPr>
            <w:r>
              <w:t>Loading dose</w:t>
            </w:r>
          </w:p>
        </w:tc>
        <w:tc>
          <w:tcPr>
            <w:tcW w:w="2784" w:type="dxa"/>
          </w:tcPr>
          <w:p w14:paraId="308A77F4" w14:textId="38011C5D" w:rsidR="006C215D" w:rsidRPr="002554A2" w:rsidRDefault="006C215D" w:rsidP="00F2167D">
            <w:pPr>
              <w:pStyle w:val="BodyText"/>
              <w:spacing w:after="60"/>
              <w:rPr>
                <w:lang w:val="en-AU"/>
              </w:rPr>
            </w:pPr>
            <w:r w:rsidRPr="006C215D">
              <w:rPr>
                <w:lang w:val="en-AU"/>
              </w:rPr>
              <w:t>1 mg/kg SC once</w:t>
            </w:r>
          </w:p>
        </w:tc>
      </w:tr>
      <w:tr w:rsidR="006C215D" w:rsidRPr="002554A2" w14:paraId="0A15643A" w14:textId="77777777" w:rsidTr="00F2167D">
        <w:tc>
          <w:tcPr>
            <w:tcW w:w="3397" w:type="dxa"/>
          </w:tcPr>
          <w:p w14:paraId="71A90E1F" w14:textId="7DCC76D6" w:rsidR="006C215D" w:rsidRPr="002554A2" w:rsidRDefault="006C215D" w:rsidP="00F2167D">
            <w:pPr>
              <w:pStyle w:val="BodyText"/>
              <w:spacing w:after="60"/>
              <w:rPr>
                <w:lang w:val="en-AU"/>
              </w:rPr>
            </w:pPr>
            <w:r>
              <w:rPr>
                <w:lang w:val="en-AU"/>
              </w:rPr>
              <w:t xml:space="preserve">Day 2 until determination of </w:t>
            </w:r>
            <w:r w:rsidR="00F6550B">
              <w:rPr>
                <w:lang w:val="en-AU"/>
              </w:rPr>
              <w:t>individual</w:t>
            </w:r>
            <w:r>
              <w:rPr>
                <w:lang w:val="en-AU"/>
              </w:rPr>
              <w:t xml:space="preserve"> maintenance dose</w:t>
            </w:r>
          </w:p>
        </w:tc>
        <w:tc>
          <w:tcPr>
            <w:tcW w:w="2835" w:type="dxa"/>
          </w:tcPr>
          <w:p w14:paraId="64E52327" w14:textId="526888EA" w:rsidR="006C215D" w:rsidRPr="002554A2" w:rsidRDefault="006C215D" w:rsidP="00F2167D">
            <w:pPr>
              <w:pStyle w:val="BodyText"/>
              <w:spacing w:after="60"/>
            </w:pPr>
            <w:r>
              <w:t>Initial maintenance dose</w:t>
            </w:r>
          </w:p>
        </w:tc>
        <w:tc>
          <w:tcPr>
            <w:tcW w:w="2784" w:type="dxa"/>
          </w:tcPr>
          <w:p w14:paraId="7D8FA0B6" w14:textId="779F3501" w:rsidR="006C215D" w:rsidRPr="002554A2" w:rsidRDefault="006C215D" w:rsidP="00F2167D">
            <w:pPr>
              <w:pStyle w:val="BodyText"/>
              <w:spacing w:after="60"/>
              <w:rPr>
                <w:lang w:val="en-AU"/>
              </w:rPr>
            </w:pPr>
            <w:r w:rsidRPr="002554A2">
              <w:rPr>
                <w:lang w:val="en-AU"/>
              </w:rPr>
              <w:t xml:space="preserve">0.20 mg/kg </w:t>
            </w:r>
            <w:r>
              <w:rPr>
                <w:lang w:val="en-AU"/>
              </w:rPr>
              <w:t>SC daily</w:t>
            </w:r>
          </w:p>
        </w:tc>
      </w:tr>
      <w:tr w:rsidR="006C215D" w:rsidRPr="002554A2" w14:paraId="000BEF92" w14:textId="77777777" w:rsidTr="00F2167D">
        <w:tc>
          <w:tcPr>
            <w:tcW w:w="3397" w:type="dxa"/>
          </w:tcPr>
          <w:p w14:paraId="71B2AD27" w14:textId="6B9221B1" w:rsidR="006C215D" w:rsidRPr="002554A2" w:rsidRDefault="006C215D" w:rsidP="00F2167D">
            <w:pPr>
              <w:pStyle w:val="BodyText"/>
              <w:spacing w:after="60"/>
              <w:rPr>
                <w:lang w:val="en-AU"/>
              </w:rPr>
            </w:pPr>
            <w:r>
              <w:rPr>
                <w:lang w:val="en-AU"/>
              </w:rPr>
              <w:t xml:space="preserve">From </w:t>
            </w:r>
            <w:r w:rsidR="00180FB5">
              <w:rPr>
                <w:lang w:val="en-AU"/>
              </w:rPr>
              <w:t xml:space="preserve">determination of </w:t>
            </w:r>
            <w:r w:rsidR="00F6550B">
              <w:rPr>
                <w:lang w:val="en-AU"/>
              </w:rPr>
              <w:t>individual</w:t>
            </w:r>
            <w:r w:rsidR="00180FB5">
              <w:rPr>
                <w:lang w:val="en-AU"/>
              </w:rPr>
              <w:t xml:space="preserve"> maintenance dose</w:t>
            </w:r>
            <w:r w:rsidR="00180FB5" w:rsidDel="00180FB5">
              <w:rPr>
                <w:lang w:val="en-AU"/>
              </w:rPr>
              <w:t xml:space="preserve"> </w:t>
            </w:r>
            <w:r>
              <w:rPr>
                <w:lang w:val="en-AU"/>
              </w:rPr>
              <w:t>onwards</w:t>
            </w:r>
          </w:p>
        </w:tc>
        <w:tc>
          <w:tcPr>
            <w:tcW w:w="2835" w:type="dxa"/>
          </w:tcPr>
          <w:p w14:paraId="394DA904" w14:textId="602386B9" w:rsidR="006C215D" w:rsidRPr="002554A2" w:rsidRDefault="00F6550B" w:rsidP="00F2167D">
            <w:pPr>
              <w:pStyle w:val="BodyText"/>
              <w:spacing w:after="60"/>
            </w:pPr>
            <w:r>
              <w:t>Individual</w:t>
            </w:r>
            <w:r w:rsidR="006C215D">
              <w:t xml:space="preserve"> maintenance dose</w:t>
            </w:r>
          </w:p>
        </w:tc>
        <w:tc>
          <w:tcPr>
            <w:tcW w:w="2784" w:type="dxa"/>
          </w:tcPr>
          <w:p w14:paraId="6EA9B830" w14:textId="45717C4C" w:rsidR="006C215D" w:rsidRPr="002554A2" w:rsidRDefault="006C215D" w:rsidP="00F2167D">
            <w:pPr>
              <w:pStyle w:val="BodyText"/>
              <w:spacing w:after="60"/>
              <w:rPr>
                <w:lang w:val="en-AU"/>
              </w:rPr>
            </w:pPr>
            <w:r>
              <w:rPr>
                <w:lang w:val="en-AU"/>
              </w:rPr>
              <w:t>(</w:t>
            </w:r>
            <w:proofErr w:type="gramStart"/>
            <w:r>
              <w:rPr>
                <w:lang w:val="en-AU"/>
              </w:rPr>
              <w:t>chosen</w:t>
            </w:r>
            <w:proofErr w:type="gramEnd"/>
            <w:r>
              <w:rPr>
                <w:lang w:val="en-AU"/>
              </w:rPr>
              <w:t xml:space="preserve"> based on </w:t>
            </w:r>
            <w:r>
              <w:fldChar w:fldCharType="begin"/>
            </w:r>
            <w:r>
              <w:rPr>
                <w:lang w:val="en-AU"/>
              </w:rPr>
              <w:instrText xml:space="preserve"> REF _Ref132725617 \h </w:instrText>
            </w:r>
            <w:r>
              <w:fldChar w:fldCharType="separate"/>
            </w:r>
            <w:r w:rsidR="00A8319D" w:rsidRPr="002554A2">
              <w:t xml:space="preserve">Table </w:t>
            </w:r>
            <w:r w:rsidR="00A8319D">
              <w:rPr>
                <w:noProof/>
              </w:rPr>
              <w:t>2</w:t>
            </w:r>
            <w:r>
              <w:fldChar w:fldCharType="end"/>
            </w:r>
            <w:r>
              <w:rPr>
                <w:lang w:val="en-AU"/>
              </w:rPr>
              <w:t>) SC daily</w:t>
            </w:r>
          </w:p>
        </w:tc>
      </w:tr>
    </w:tbl>
    <w:p w14:paraId="76E4C955" w14:textId="2CD607C8" w:rsidR="006C215D" w:rsidRPr="00F2167D" w:rsidRDefault="006C215D" w:rsidP="00F2167D">
      <w:pPr>
        <w:pStyle w:val="Tabletext"/>
        <w:spacing w:after="120"/>
        <w:rPr>
          <w:sz w:val="22"/>
          <w:szCs w:val="24"/>
        </w:rPr>
      </w:pPr>
      <w:r w:rsidRPr="00F2167D">
        <w:rPr>
          <w:sz w:val="22"/>
          <w:szCs w:val="24"/>
        </w:rPr>
        <w:t>SC = subcutaneous</w:t>
      </w:r>
    </w:p>
    <w:p w14:paraId="7DA1CA6B" w14:textId="0B647DBE" w:rsidR="00180FB5" w:rsidRPr="00F2167D" w:rsidRDefault="00180FB5" w:rsidP="00F2167D">
      <w:pPr>
        <w:pStyle w:val="BodyText"/>
        <w:spacing w:after="0"/>
        <w:rPr>
          <w:szCs w:val="24"/>
          <w:u w:val="single"/>
          <w:lang w:val="en-GB"/>
        </w:rPr>
      </w:pPr>
      <w:r w:rsidRPr="00F2167D">
        <w:rPr>
          <w:szCs w:val="24"/>
          <w:u w:val="single"/>
          <w:lang w:val="en-GB"/>
        </w:rPr>
        <w:t xml:space="preserve">Determination of </w:t>
      </w:r>
      <w:r w:rsidR="00F6550B">
        <w:rPr>
          <w:szCs w:val="24"/>
          <w:u w:val="single"/>
          <w:lang w:val="en-GB"/>
        </w:rPr>
        <w:t>individual</w:t>
      </w:r>
      <w:r w:rsidRPr="00F2167D">
        <w:rPr>
          <w:szCs w:val="24"/>
          <w:u w:val="single"/>
          <w:lang w:val="en-GB"/>
        </w:rPr>
        <w:t xml:space="preserve"> maintenance dose</w:t>
      </w:r>
      <w:r>
        <w:rPr>
          <w:szCs w:val="24"/>
          <w:u w:val="single"/>
          <w:lang w:val="en-GB"/>
        </w:rPr>
        <w:t>:</w:t>
      </w:r>
    </w:p>
    <w:p w14:paraId="4B57D9F2" w14:textId="4C63ABA3" w:rsidR="006C215D" w:rsidRPr="002554A2" w:rsidRDefault="006C215D" w:rsidP="00F2167D">
      <w:pPr>
        <w:pStyle w:val="BodyText"/>
        <w:spacing w:before="0"/>
      </w:pPr>
      <w:r w:rsidRPr="000B4ABF">
        <w:rPr>
          <w:szCs w:val="24"/>
          <w:lang w:val="en-GB"/>
        </w:rPr>
        <w:t xml:space="preserve">Measure </w:t>
      </w:r>
      <w:r>
        <w:rPr>
          <w:szCs w:val="24"/>
          <w:lang w:val="en-GB"/>
        </w:rPr>
        <w:t xml:space="preserve">trough </w:t>
      </w:r>
      <w:r w:rsidR="00612424">
        <w:rPr>
          <w:szCs w:val="24"/>
          <w:lang w:val="en-GB"/>
        </w:rPr>
        <w:t>plasma</w:t>
      </w:r>
      <w:r w:rsidRPr="000B4ABF">
        <w:rPr>
          <w:szCs w:val="24"/>
          <w:lang w:val="en-GB"/>
        </w:rPr>
        <w:t xml:space="preserve"> concizumab concentration 4 weeks after initiation of treatment </w:t>
      </w:r>
      <w:r>
        <w:rPr>
          <w:szCs w:val="24"/>
          <w:lang w:val="en-GB"/>
        </w:rPr>
        <w:t>by</w:t>
      </w:r>
      <w:r w:rsidRPr="000B4ABF">
        <w:rPr>
          <w:szCs w:val="24"/>
          <w:lang w:val="en-GB"/>
        </w:rPr>
        <w:t xml:space="preserve"> ELISA (enzyme-linked immunosorbent assay) and use this to determine a</w:t>
      </w:r>
      <w:r w:rsidR="001B42AC">
        <w:rPr>
          <w:szCs w:val="24"/>
          <w:lang w:val="en-GB"/>
        </w:rPr>
        <w:t>n</w:t>
      </w:r>
      <w:r w:rsidRPr="000B4ABF">
        <w:rPr>
          <w:szCs w:val="24"/>
          <w:lang w:val="en-GB"/>
        </w:rPr>
        <w:t xml:space="preserve"> </w:t>
      </w:r>
      <w:r w:rsidR="00F6550B">
        <w:rPr>
          <w:szCs w:val="24"/>
          <w:lang w:val="en-GB"/>
        </w:rPr>
        <w:t>individual</w:t>
      </w:r>
      <w:r w:rsidRPr="000B4ABF">
        <w:rPr>
          <w:szCs w:val="24"/>
          <w:lang w:val="en-GB"/>
        </w:rPr>
        <w:t xml:space="preserve"> maintenance dose, based on </w:t>
      </w:r>
      <w:r w:rsidRPr="000B4ABF">
        <w:rPr>
          <w:szCs w:val="24"/>
          <w:lang w:val="en-GB"/>
        </w:rPr>
        <w:fldChar w:fldCharType="begin"/>
      </w:r>
      <w:r w:rsidRPr="000B4ABF">
        <w:rPr>
          <w:szCs w:val="24"/>
          <w:lang w:val="en-GB"/>
        </w:rPr>
        <w:instrText xml:space="preserve"> REF _Ref132725617 \h  \* MERGEFORMAT </w:instrText>
      </w:r>
      <w:r w:rsidRPr="000B4ABF">
        <w:rPr>
          <w:szCs w:val="24"/>
          <w:lang w:val="en-GB"/>
        </w:rPr>
      </w:r>
      <w:r w:rsidRPr="000B4ABF">
        <w:rPr>
          <w:szCs w:val="24"/>
          <w:lang w:val="en-GB"/>
        </w:rPr>
        <w:fldChar w:fldCharType="separate"/>
      </w:r>
      <w:r w:rsidR="00A8319D" w:rsidRPr="00F2167D">
        <w:rPr>
          <w:szCs w:val="24"/>
          <w:lang w:val="en-GB"/>
        </w:rPr>
        <w:t>Table 2</w:t>
      </w:r>
      <w:r w:rsidRPr="000B4ABF">
        <w:rPr>
          <w:szCs w:val="24"/>
          <w:lang w:val="en-GB"/>
        </w:rPr>
        <w:fldChar w:fldCharType="end"/>
      </w:r>
      <w:r w:rsidRPr="000B4ABF">
        <w:rPr>
          <w:szCs w:val="24"/>
          <w:lang w:val="en-GB"/>
        </w:rPr>
        <w:t xml:space="preserve">. </w:t>
      </w:r>
      <w:r>
        <w:rPr>
          <w:szCs w:val="24"/>
        </w:rPr>
        <w:t>This</w:t>
      </w:r>
      <w:r>
        <w:t xml:space="preserve"> </w:t>
      </w:r>
      <w:r w:rsidRPr="002554A2">
        <w:t xml:space="preserve">should </w:t>
      </w:r>
      <w:r>
        <w:t>take place as soon as possible once the</w:t>
      </w:r>
      <w:r w:rsidRPr="002554A2">
        <w:t xml:space="preserve"> </w:t>
      </w:r>
      <w:r>
        <w:t xml:space="preserve">trough </w:t>
      </w:r>
      <w:r w:rsidR="007130BC">
        <w:t>plasma</w:t>
      </w:r>
      <w:r>
        <w:t xml:space="preserve"> </w:t>
      </w:r>
      <w:r w:rsidRPr="002554A2">
        <w:t>concizumab concentration result is available</w:t>
      </w:r>
      <w:r>
        <w:t>,</w:t>
      </w:r>
      <w:r w:rsidRPr="002554A2">
        <w:t xml:space="preserve"> and no later than 8 weeks after initiation of treatment. </w:t>
      </w:r>
    </w:p>
    <w:p w14:paraId="040A8A7F" w14:textId="0E8294CE" w:rsidR="002554A2" w:rsidRPr="002554A2" w:rsidRDefault="002554A2" w:rsidP="00425C57">
      <w:pPr>
        <w:pStyle w:val="Caption"/>
        <w:rPr>
          <w:i/>
        </w:rPr>
      </w:pPr>
      <w:bookmarkStart w:id="5" w:name="_Ref132725617"/>
      <w:r w:rsidRPr="002554A2">
        <w:t xml:space="preserve">Table </w:t>
      </w:r>
      <w:r>
        <w:fldChar w:fldCharType="begin"/>
      </w:r>
      <w:r>
        <w:instrText>SEQ Table \* ARABIC</w:instrText>
      </w:r>
      <w:r>
        <w:fldChar w:fldCharType="separate"/>
      </w:r>
      <w:r w:rsidR="00A8319D">
        <w:rPr>
          <w:noProof/>
        </w:rPr>
        <w:t>2</w:t>
      </w:r>
      <w:r>
        <w:fldChar w:fldCharType="end"/>
      </w:r>
      <w:bookmarkEnd w:id="3"/>
      <w:bookmarkEnd w:id="5"/>
      <w:r w:rsidRPr="002554A2">
        <w:tab/>
      </w:r>
      <w:r w:rsidR="006C215D">
        <w:t xml:space="preserve">Guide for determination of </w:t>
      </w:r>
      <w:r w:rsidR="000E5D4A">
        <w:t>individual</w:t>
      </w:r>
      <w:r w:rsidR="006C215D" w:rsidRPr="002554A2">
        <w:t xml:space="preserve"> </w:t>
      </w:r>
      <w:r w:rsidRPr="002554A2">
        <w:t xml:space="preserve">maintenance dose </w:t>
      </w:r>
    </w:p>
    <w:tbl>
      <w:tblPr>
        <w:tblStyle w:val="TableGrid"/>
        <w:tblW w:w="0" w:type="auto"/>
        <w:tblLook w:val="04A0" w:firstRow="1" w:lastRow="0" w:firstColumn="1" w:lastColumn="0" w:noHBand="0" w:noVBand="1"/>
      </w:tblPr>
      <w:tblGrid>
        <w:gridCol w:w="3964"/>
        <w:gridCol w:w="5052"/>
      </w:tblGrid>
      <w:tr w:rsidR="002554A2" w:rsidRPr="002554A2" w14:paraId="43E3BAC9" w14:textId="77777777" w:rsidTr="00F2167D">
        <w:tc>
          <w:tcPr>
            <w:tcW w:w="3964" w:type="dxa"/>
          </w:tcPr>
          <w:bookmarkEnd w:id="2"/>
          <w:p w14:paraId="236FE149" w14:textId="1125265C" w:rsidR="002554A2" w:rsidRPr="002554A2" w:rsidRDefault="000D0FC4" w:rsidP="00F2167D">
            <w:pPr>
              <w:pStyle w:val="BodyText"/>
              <w:spacing w:after="60"/>
              <w:rPr>
                <w:b/>
                <w:bCs/>
                <w:lang w:val="en-AU"/>
              </w:rPr>
            </w:pPr>
            <w:r>
              <w:rPr>
                <w:b/>
                <w:bCs/>
                <w:lang w:val="en-AU"/>
              </w:rPr>
              <w:t xml:space="preserve">Trough </w:t>
            </w:r>
            <w:r w:rsidR="00B13201">
              <w:rPr>
                <w:b/>
                <w:bCs/>
                <w:lang w:val="en-AU"/>
              </w:rPr>
              <w:t>plasma</w:t>
            </w:r>
            <w:r>
              <w:rPr>
                <w:b/>
                <w:bCs/>
                <w:lang w:val="en-AU"/>
              </w:rPr>
              <w:t xml:space="preserve"> c</w:t>
            </w:r>
            <w:r w:rsidR="002554A2" w:rsidRPr="002554A2">
              <w:rPr>
                <w:b/>
                <w:bCs/>
                <w:lang w:val="en-AU"/>
              </w:rPr>
              <w:t xml:space="preserve">oncizumab concentration </w:t>
            </w:r>
          </w:p>
        </w:tc>
        <w:tc>
          <w:tcPr>
            <w:tcW w:w="5052" w:type="dxa"/>
          </w:tcPr>
          <w:p w14:paraId="16227B5F" w14:textId="1E436C47" w:rsidR="0011758C" w:rsidRPr="002554A2" w:rsidRDefault="0011758C" w:rsidP="00F2167D">
            <w:pPr>
              <w:pStyle w:val="BodyText"/>
              <w:spacing w:after="60"/>
              <w:rPr>
                <w:b/>
                <w:bCs/>
                <w:lang w:val="en-AU"/>
              </w:rPr>
            </w:pPr>
            <w:r>
              <w:rPr>
                <w:b/>
                <w:bCs/>
                <w:lang w:val="en-AU"/>
              </w:rPr>
              <w:t>I</w:t>
            </w:r>
            <w:r w:rsidR="00672665">
              <w:rPr>
                <w:b/>
                <w:bCs/>
                <w:lang w:val="en-AU"/>
              </w:rPr>
              <w:t xml:space="preserve">ndividual maintenance </w:t>
            </w:r>
            <w:r w:rsidR="002554A2" w:rsidRPr="002554A2">
              <w:rPr>
                <w:b/>
                <w:bCs/>
                <w:lang w:val="en-AU"/>
              </w:rPr>
              <w:t>dose</w:t>
            </w:r>
            <w:r>
              <w:rPr>
                <w:b/>
                <w:bCs/>
                <w:vertAlign w:val="superscript"/>
                <w:lang w:val="en-AU"/>
              </w:rPr>
              <w:br/>
            </w:r>
            <w:r>
              <w:rPr>
                <w:b/>
                <w:bCs/>
                <w:lang w:val="en-AU"/>
              </w:rPr>
              <w:t>(o</w:t>
            </w:r>
            <w:r w:rsidRPr="002554A2">
              <w:rPr>
                <w:b/>
                <w:bCs/>
                <w:lang w:val="en-AU"/>
              </w:rPr>
              <w:t>nce daily</w:t>
            </w:r>
            <w:r>
              <w:rPr>
                <w:b/>
                <w:bCs/>
                <w:lang w:val="en-AU"/>
              </w:rPr>
              <w:t>,</w:t>
            </w:r>
            <w:r w:rsidRPr="002554A2">
              <w:rPr>
                <w:b/>
                <w:bCs/>
                <w:lang w:val="en-AU"/>
              </w:rPr>
              <w:t xml:space="preserve"> </w:t>
            </w:r>
            <w:r>
              <w:rPr>
                <w:b/>
                <w:bCs/>
                <w:lang w:val="en-AU"/>
              </w:rPr>
              <w:t>subcutaneous)</w:t>
            </w:r>
          </w:p>
        </w:tc>
      </w:tr>
      <w:tr w:rsidR="002554A2" w:rsidRPr="002554A2" w14:paraId="2BF439C5" w14:textId="77777777" w:rsidTr="00F2167D">
        <w:tc>
          <w:tcPr>
            <w:tcW w:w="3964" w:type="dxa"/>
          </w:tcPr>
          <w:p w14:paraId="1281919B" w14:textId="77777777" w:rsidR="002554A2" w:rsidRPr="002554A2" w:rsidRDefault="002554A2" w:rsidP="00F2167D">
            <w:pPr>
              <w:pStyle w:val="BodyText"/>
              <w:spacing w:after="60"/>
              <w:rPr>
                <w:lang w:val="en-AU"/>
              </w:rPr>
            </w:pPr>
            <w:r w:rsidRPr="002554A2">
              <w:rPr>
                <w:lang w:val="en-AU"/>
              </w:rPr>
              <w:t>&lt;200 ng/mL</w:t>
            </w:r>
          </w:p>
        </w:tc>
        <w:tc>
          <w:tcPr>
            <w:tcW w:w="5052" w:type="dxa"/>
          </w:tcPr>
          <w:p w14:paraId="0FBB9FF5" w14:textId="77777777" w:rsidR="002554A2" w:rsidRPr="002554A2" w:rsidRDefault="002554A2" w:rsidP="00F2167D">
            <w:pPr>
              <w:pStyle w:val="BodyText"/>
              <w:spacing w:after="60"/>
              <w:rPr>
                <w:lang w:val="en-AU"/>
              </w:rPr>
            </w:pPr>
            <w:r w:rsidRPr="002554A2">
              <w:rPr>
                <w:lang w:val="en-AU"/>
              </w:rPr>
              <w:t xml:space="preserve">0.25 mg/kg </w:t>
            </w:r>
          </w:p>
        </w:tc>
      </w:tr>
      <w:tr w:rsidR="002554A2" w:rsidRPr="002554A2" w14:paraId="52BE9841" w14:textId="77777777" w:rsidTr="00F2167D">
        <w:tc>
          <w:tcPr>
            <w:tcW w:w="3964" w:type="dxa"/>
          </w:tcPr>
          <w:p w14:paraId="53590425" w14:textId="77777777" w:rsidR="002554A2" w:rsidRPr="002554A2" w:rsidRDefault="002554A2" w:rsidP="00F2167D">
            <w:pPr>
              <w:pStyle w:val="BodyText"/>
              <w:spacing w:after="60"/>
              <w:rPr>
                <w:lang w:val="en-AU"/>
              </w:rPr>
            </w:pPr>
            <w:r w:rsidRPr="002554A2">
              <w:rPr>
                <w:lang w:val="en-AU"/>
              </w:rPr>
              <w:t>200−4000 ng/mL</w:t>
            </w:r>
          </w:p>
        </w:tc>
        <w:tc>
          <w:tcPr>
            <w:tcW w:w="5052" w:type="dxa"/>
          </w:tcPr>
          <w:p w14:paraId="1900E785" w14:textId="77777777" w:rsidR="002554A2" w:rsidRPr="002554A2" w:rsidRDefault="002554A2" w:rsidP="00F2167D">
            <w:pPr>
              <w:pStyle w:val="BodyText"/>
              <w:spacing w:after="60"/>
              <w:rPr>
                <w:lang w:val="en-AU"/>
              </w:rPr>
            </w:pPr>
            <w:r w:rsidRPr="002554A2">
              <w:rPr>
                <w:lang w:val="en-AU"/>
              </w:rPr>
              <w:t xml:space="preserve">0.20 mg/kg </w:t>
            </w:r>
          </w:p>
        </w:tc>
      </w:tr>
      <w:tr w:rsidR="002554A2" w:rsidRPr="002554A2" w14:paraId="59D182BD" w14:textId="77777777" w:rsidTr="00F2167D">
        <w:tc>
          <w:tcPr>
            <w:tcW w:w="3964" w:type="dxa"/>
          </w:tcPr>
          <w:p w14:paraId="74E3E5A1" w14:textId="77777777" w:rsidR="002554A2" w:rsidRPr="002554A2" w:rsidRDefault="002554A2" w:rsidP="00F2167D">
            <w:pPr>
              <w:pStyle w:val="BodyText"/>
              <w:spacing w:after="60"/>
              <w:rPr>
                <w:lang w:val="en-AU"/>
              </w:rPr>
            </w:pPr>
            <w:r w:rsidRPr="002554A2">
              <w:rPr>
                <w:lang w:val="en-AU"/>
              </w:rPr>
              <w:t>&gt;4000 ng/mL</w:t>
            </w:r>
          </w:p>
        </w:tc>
        <w:tc>
          <w:tcPr>
            <w:tcW w:w="5052" w:type="dxa"/>
          </w:tcPr>
          <w:p w14:paraId="65ED4088" w14:textId="77777777" w:rsidR="002554A2" w:rsidRPr="002554A2" w:rsidRDefault="002554A2" w:rsidP="00F2167D">
            <w:pPr>
              <w:pStyle w:val="BodyText"/>
              <w:spacing w:after="60"/>
              <w:rPr>
                <w:lang w:val="en-AU"/>
              </w:rPr>
            </w:pPr>
            <w:r w:rsidRPr="002554A2">
              <w:rPr>
                <w:lang w:val="en-AU"/>
              </w:rPr>
              <w:t xml:space="preserve">0.15 mg/kg </w:t>
            </w:r>
          </w:p>
        </w:tc>
      </w:tr>
    </w:tbl>
    <w:p w14:paraId="2806A099" w14:textId="77777777" w:rsidR="008642F6" w:rsidRDefault="008642F6">
      <w:pPr>
        <w:pStyle w:val="BodyText"/>
        <w:keepNext/>
        <w:rPr>
          <w:u w:val="single"/>
        </w:rPr>
      </w:pPr>
      <w:r>
        <w:rPr>
          <w:u w:val="single"/>
        </w:rPr>
        <w:br w:type="page"/>
      </w:r>
    </w:p>
    <w:p w14:paraId="669174F9" w14:textId="122B64C6" w:rsidR="002554A2" w:rsidRPr="002554A2" w:rsidRDefault="00180FB5" w:rsidP="00F2167D">
      <w:pPr>
        <w:pStyle w:val="BodyText"/>
        <w:keepNext/>
        <w:rPr>
          <w:u w:val="single"/>
        </w:rPr>
      </w:pPr>
      <w:r w:rsidRPr="00F2167D">
        <w:rPr>
          <w:u w:val="single"/>
        </w:rPr>
        <w:lastRenderedPageBreak/>
        <w:t>Dose calculation</w:t>
      </w:r>
      <w:r w:rsidRPr="00BA33EF">
        <w:rPr>
          <w:u w:val="single"/>
        </w:rPr>
        <w:t xml:space="preserve"> using patient</w:t>
      </w:r>
      <w:r>
        <w:rPr>
          <w:u w:val="single"/>
        </w:rPr>
        <w:t xml:space="preserve"> weight</w:t>
      </w:r>
    </w:p>
    <w:p w14:paraId="754150D7" w14:textId="0B023E6D" w:rsidR="002554A2" w:rsidRPr="002554A2" w:rsidRDefault="002554A2" w:rsidP="002554A2">
      <w:pPr>
        <w:pStyle w:val="BodyText"/>
      </w:pPr>
      <w:r w:rsidRPr="002554A2">
        <w:t xml:space="preserve">The </w:t>
      </w:r>
      <w:r w:rsidR="00180FB5">
        <w:t xml:space="preserve">total </w:t>
      </w:r>
      <w:r w:rsidRPr="002554A2">
        <w:t xml:space="preserve">dose (in mg) </w:t>
      </w:r>
      <w:r w:rsidR="00180FB5">
        <w:t xml:space="preserve">to be administered daily </w:t>
      </w:r>
      <w:r w:rsidRPr="002554A2">
        <w:t>is calculated as follows:</w:t>
      </w:r>
    </w:p>
    <w:p w14:paraId="65C746E2" w14:textId="71967FD6" w:rsidR="002554A2" w:rsidRPr="002554A2" w:rsidRDefault="002554A2" w:rsidP="002554A2">
      <w:pPr>
        <w:pStyle w:val="BodyText"/>
      </w:pPr>
      <w:r w:rsidRPr="002554A2">
        <w:t>Patient body weight (kg) x dose</w:t>
      </w:r>
      <w:r w:rsidR="00180FB5">
        <w:t xml:space="preserve"> per kilogram</w:t>
      </w:r>
      <w:r w:rsidRPr="002554A2">
        <w:t xml:space="preserve"> (1, 0.15, 0.20 or 0.25 mg/kg) = total </w:t>
      </w:r>
      <w:r w:rsidR="00180FB5">
        <w:t>dose</w:t>
      </w:r>
      <w:r w:rsidR="00180FB5" w:rsidRPr="002554A2">
        <w:t xml:space="preserve"> </w:t>
      </w:r>
      <w:r w:rsidRPr="002554A2">
        <w:t xml:space="preserve">(mg) of </w:t>
      </w:r>
      <w:r w:rsidR="00D30A4F" w:rsidRPr="00D30A4F">
        <w:t>Alhemo</w:t>
      </w:r>
      <w:r w:rsidRPr="002554A2">
        <w:t xml:space="preserve">. </w:t>
      </w:r>
    </w:p>
    <w:p w14:paraId="2E65C9FB" w14:textId="77777777" w:rsidR="002554A2" w:rsidRPr="002554A2" w:rsidRDefault="002554A2" w:rsidP="002554A2">
      <w:pPr>
        <w:pStyle w:val="BodyText"/>
      </w:pPr>
      <w:bookmarkStart w:id="6" w:name="_Hlk94563756"/>
      <w:r w:rsidRPr="002554A2">
        <w:t xml:space="preserve">The dose is dialled at increments of </w:t>
      </w:r>
    </w:p>
    <w:p w14:paraId="1202694B" w14:textId="77777777" w:rsidR="002554A2" w:rsidRPr="002554A2" w:rsidRDefault="002554A2" w:rsidP="002554A2">
      <w:pPr>
        <w:pStyle w:val="BodyText"/>
        <w:numPr>
          <w:ilvl w:val="0"/>
          <w:numId w:val="46"/>
        </w:numPr>
      </w:pPr>
      <w:r w:rsidRPr="002554A2">
        <w:t xml:space="preserve">0.1 mg on the 15 mg/1.5 mL (10 mg/mL) pen (blue),  </w:t>
      </w:r>
    </w:p>
    <w:p w14:paraId="018E2430" w14:textId="77777777" w:rsidR="002554A2" w:rsidRPr="002554A2" w:rsidRDefault="002554A2" w:rsidP="002554A2">
      <w:pPr>
        <w:pStyle w:val="BodyText"/>
        <w:numPr>
          <w:ilvl w:val="0"/>
          <w:numId w:val="46"/>
        </w:numPr>
      </w:pPr>
      <w:r w:rsidRPr="002554A2">
        <w:t xml:space="preserve">0.4 mg on the 60 mg/1.5 mL (40 mg/mL) pen (brown), and </w:t>
      </w:r>
    </w:p>
    <w:p w14:paraId="450EF2EB" w14:textId="77777777" w:rsidR="002554A2" w:rsidRPr="002554A2" w:rsidRDefault="002554A2" w:rsidP="002554A2">
      <w:pPr>
        <w:pStyle w:val="BodyText"/>
        <w:numPr>
          <w:ilvl w:val="0"/>
          <w:numId w:val="46"/>
        </w:numPr>
      </w:pPr>
      <w:r w:rsidRPr="002554A2">
        <w:t xml:space="preserve">1.0 mg on the 150 mg/1.5 mL (100 mg/mL) and 300 mg/3 mL (100 mg/mL) pens (gold). </w:t>
      </w:r>
    </w:p>
    <w:p w14:paraId="698A0506" w14:textId="35B32835" w:rsidR="002554A2" w:rsidRPr="002554A2" w:rsidRDefault="00180FB5" w:rsidP="002554A2">
      <w:pPr>
        <w:pStyle w:val="BodyText"/>
      </w:pPr>
      <w:r>
        <w:t>When commencing treatment, a health</w:t>
      </w:r>
      <w:r w:rsidR="001B42AC">
        <w:t>care</w:t>
      </w:r>
      <w:r>
        <w:t xml:space="preserve"> professional</w:t>
      </w:r>
      <w:r w:rsidR="002554A2" w:rsidRPr="002554A2">
        <w:t xml:space="preserve"> must assist the patient in rounding off </w:t>
      </w:r>
      <w:r>
        <w:t xml:space="preserve">the daily dose calculation </w:t>
      </w:r>
      <w:r w:rsidR="002554A2" w:rsidRPr="002554A2">
        <w:t>and identifying the appropriate injectable dose</w:t>
      </w:r>
      <w:r>
        <w:t xml:space="preserve"> increment</w:t>
      </w:r>
      <w:r w:rsidR="002554A2" w:rsidRPr="002554A2">
        <w:t xml:space="preserve"> on the pen. </w:t>
      </w:r>
      <w:bookmarkEnd w:id="6"/>
    </w:p>
    <w:p w14:paraId="7CABA429" w14:textId="6BB07C9A" w:rsidR="002554A2" w:rsidRPr="002554A2" w:rsidRDefault="002554A2" w:rsidP="00C07C55">
      <w:pPr>
        <w:pStyle w:val="BodyText"/>
      </w:pPr>
      <w:r w:rsidRPr="0048405C">
        <w:t xml:space="preserve">See section </w:t>
      </w:r>
      <w:r w:rsidR="0048405C" w:rsidRPr="0048405C">
        <w:fldChar w:fldCharType="begin"/>
      </w:r>
      <w:r w:rsidR="0048405C" w:rsidRPr="0048405C">
        <w:instrText xml:space="preserve"> REF _Ref108644742 \r \h </w:instrText>
      </w:r>
      <w:r w:rsidR="0048405C">
        <w:instrText xml:space="preserve"> \* MERGEFORMAT </w:instrText>
      </w:r>
      <w:r w:rsidR="0048405C" w:rsidRPr="0048405C">
        <w:fldChar w:fldCharType="separate"/>
      </w:r>
      <w:r w:rsidR="00A8319D">
        <w:t>6.5</w:t>
      </w:r>
      <w:r w:rsidR="0048405C" w:rsidRPr="0048405C">
        <w:fldChar w:fldCharType="end"/>
      </w:r>
      <w:r w:rsidRPr="0048405C">
        <w:t xml:space="preserve"> </w:t>
      </w:r>
      <w:r w:rsidR="00C07C55">
        <w:fldChar w:fldCharType="begin"/>
      </w:r>
      <w:r w:rsidR="00C07C55">
        <w:instrText xml:space="preserve"> REF _Ref108644742 \h </w:instrText>
      </w:r>
      <w:r w:rsidR="00C07C55">
        <w:fldChar w:fldCharType="separate"/>
      </w:r>
      <w:r w:rsidR="00A8319D" w:rsidRPr="006570D4">
        <w:t>Nature and contents of container</w:t>
      </w:r>
      <w:r w:rsidR="00C07C55">
        <w:fldChar w:fldCharType="end"/>
      </w:r>
      <w:r w:rsidR="00C07C55">
        <w:t xml:space="preserve"> </w:t>
      </w:r>
      <w:r w:rsidRPr="0048405C">
        <w:t xml:space="preserve">for guidance on </w:t>
      </w:r>
      <w:r w:rsidR="00180FB5">
        <w:t xml:space="preserve">the patient body weight range that each of the four </w:t>
      </w:r>
      <w:r w:rsidRPr="0048405C">
        <w:t>product strength</w:t>
      </w:r>
      <w:r w:rsidR="00180FB5">
        <w:t>s</w:t>
      </w:r>
      <w:r w:rsidRPr="0048405C">
        <w:t xml:space="preserve"> </w:t>
      </w:r>
      <w:r w:rsidR="00180FB5">
        <w:t>is able to accommodate</w:t>
      </w:r>
      <w:r w:rsidRPr="0048405C">
        <w:t>.</w:t>
      </w:r>
      <w:r w:rsidRPr="002554A2">
        <w:t xml:space="preserve"> </w:t>
      </w:r>
    </w:p>
    <w:p w14:paraId="3CBA2417" w14:textId="327061F7" w:rsidR="002554A2" w:rsidRPr="002554A2" w:rsidRDefault="002554A2" w:rsidP="002554A2">
      <w:pPr>
        <w:pStyle w:val="BodyText"/>
        <w:rPr>
          <w:u w:val="single"/>
        </w:rPr>
      </w:pPr>
      <w:r w:rsidRPr="002554A2">
        <w:rPr>
          <w:u w:val="single"/>
        </w:rPr>
        <w:t>Duration of treatment</w:t>
      </w:r>
    </w:p>
    <w:p w14:paraId="4C076BF5" w14:textId="0E7C20C5" w:rsidR="002554A2" w:rsidRDefault="00D30A4F" w:rsidP="002554A2">
      <w:pPr>
        <w:pStyle w:val="BodyText"/>
        <w:rPr>
          <w:lang w:val="en-GB"/>
        </w:rPr>
      </w:pPr>
      <w:r w:rsidRPr="00D30A4F">
        <w:t>Alhemo</w:t>
      </w:r>
      <w:r w:rsidR="002554A2" w:rsidRPr="002554A2">
        <w:t xml:space="preserve"> is intended for </w:t>
      </w:r>
      <w:r w:rsidR="00180FB5">
        <w:t>ongoing</w:t>
      </w:r>
      <w:r w:rsidR="002554A2" w:rsidRPr="002554A2">
        <w:t xml:space="preserve"> prophyla</w:t>
      </w:r>
      <w:r w:rsidR="00180FB5">
        <w:t>xis and usage is expected to be long-term</w:t>
      </w:r>
      <w:r w:rsidR="002554A2" w:rsidRPr="002554A2">
        <w:t>.</w:t>
      </w:r>
      <w:r w:rsidR="00B620E6" w:rsidRPr="00B620E6">
        <w:rPr>
          <w:lang w:val="en-GB"/>
        </w:rPr>
        <w:t xml:space="preserve"> </w:t>
      </w:r>
    </w:p>
    <w:p w14:paraId="547E44C1" w14:textId="0743ACF0" w:rsidR="00B620E6" w:rsidRDefault="00B620E6" w:rsidP="002554A2">
      <w:pPr>
        <w:pStyle w:val="BodyText"/>
        <w:rPr>
          <w:lang w:val="en-GB"/>
        </w:rPr>
      </w:pPr>
      <w:r w:rsidRPr="00F2167D">
        <w:rPr>
          <w:u w:val="single"/>
        </w:rPr>
        <w:t>Dose tim</w:t>
      </w:r>
      <w:r>
        <w:rPr>
          <w:u w:val="single"/>
        </w:rPr>
        <w:t>ing</w:t>
      </w:r>
    </w:p>
    <w:p w14:paraId="699891CB" w14:textId="4B01D658" w:rsidR="00B620E6" w:rsidRDefault="00B620E6" w:rsidP="002554A2">
      <w:pPr>
        <w:pStyle w:val="BodyText"/>
      </w:pPr>
      <w:r w:rsidRPr="00D30A4F">
        <w:rPr>
          <w:lang w:val="en-GB"/>
        </w:rPr>
        <w:t>Alhemo</w:t>
      </w:r>
      <w:r w:rsidRPr="000906D8">
        <w:rPr>
          <w:lang w:val="en-GB"/>
        </w:rPr>
        <w:t xml:space="preserve"> can be administered </w:t>
      </w:r>
      <w:r>
        <w:rPr>
          <w:lang w:val="en-GB"/>
        </w:rPr>
        <w:t xml:space="preserve">at </w:t>
      </w:r>
      <w:r w:rsidRPr="000906D8">
        <w:rPr>
          <w:lang w:val="en-GB"/>
        </w:rPr>
        <w:t xml:space="preserve">any time </w:t>
      </w:r>
      <w:r>
        <w:rPr>
          <w:lang w:val="en-GB"/>
        </w:rPr>
        <w:t>of</w:t>
      </w:r>
      <w:r w:rsidRPr="000906D8">
        <w:rPr>
          <w:lang w:val="en-GB"/>
        </w:rPr>
        <w:t xml:space="preserve"> day</w:t>
      </w:r>
      <w:r>
        <w:rPr>
          <w:lang w:val="en-GB"/>
        </w:rPr>
        <w:t>. Administering it at the same time each day is not necessary</w:t>
      </w:r>
      <w:r w:rsidR="002B7277">
        <w:rPr>
          <w:lang w:val="en-GB"/>
        </w:rPr>
        <w:t>,</w:t>
      </w:r>
      <w:r>
        <w:rPr>
          <w:lang w:val="en-GB"/>
        </w:rPr>
        <w:t xml:space="preserve"> </w:t>
      </w:r>
      <w:r w:rsidR="001A192E">
        <w:rPr>
          <w:lang w:val="en-GB"/>
        </w:rPr>
        <w:t>however,</w:t>
      </w:r>
      <w:r>
        <w:rPr>
          <w:lang w:val="en-GB"/>
        </w:rPr>
        <w:t xml:space="preserve"> doing so (as part of a patient’s habitual daily routine) may make it easier to keep track of dosing and minimise the risk of missed doses.</w:t>
      </w:r>
    </w:p>
    <w:p w14:paraId="6439647B" w14:textId="3BD33172" w:rsidR="007C33FD" w:rsidRPr="007C33FD" w:rsidRDefault="007C33FD" w:rsidP="007C33FD">
      <w:pPr>
        <w:pStyle w:val="BodyText"/>
        <w:rPr>
          <w:u w:val="single"/>
        </w:rPr>
      </w:pPr>
      <w:bookmarkStart w:id="7" w:name="_Toc104898539"/>
      <w:bookmarkStart w:id="8" w:name="_Toc402530180"/>
      <w:bookmarkStart w:id="9" w:name="_Toc402530878"/>
      <w:bookmarkStart w:id="10" w:name="_Toc402878770"/>
      <w:bookmarkStart w:id="11" w:name="_Toc165980"/>
      <w:bookmarkStart w:id="12" w:name="_Hlk137827962"/>
      <w:r w:rsidRPr="00F94267">
        <w:rPr>
          <w:u w:val="single"/>
        </w:rPr>
        <w:t>Missed dose</w:t>
      </w:r>
      <w:bookmarkEnd w:id="7"/>
      <w:bookmarkEnd w:id="8"/>
      <w:bookmarkEnd w:id="9"/>
      <w:bookmarkEnd w:id="10"/>
      <w:bookmarkEnd w:id="11"/>
      <w:r w:rsidR="0011758C" w:rsidRPr="002B7277">
        <w:rPr>
          <w:u w:val="single"/>
        </w:rPr>
        <w:t>s/dose interruption</w:t>
      </w:r>
      <w:r w:rsidRPr="00B062AD">
        <w:rPr>
          <w:u w:val="single"/>
        </w:rPr>
        <w:fldChar w:fldCharType="begin"/>
      </w:r>
      <w:r w:rsidRPr="00241A27">
        <w:rPr>
          <w:u w:val="single"/>
        </w:rPr>
        <w:instrText xml:space="preserve"> DOCVARIABLE vault_nd_da6af819-eb71-4483-8805-a066d3a1dee6 \* MERGEFORMAT </w:instrText>
      </w:r>
      <w:r w:rsidRPr="00B062AD">
        <w:rPr>
          <w:u w:val="single"/>
        </w:rPr>
        <w:fldChar w:fldCharType="separate"/>
      </w:r>
      <w:r w:rsidR="00A8319D">
        <w:rPr>
          <w:u w:val="single"/>
        </w:rPr>
        <w:t xml:space="preserve"> </w:t>
      </w:r>
      <w:r w:rsidRPr="00B062AD">
        <w:rPr>
          <w:u w:val="single"/>
        </w:rPr>
        <w:fldChar w:fldCharType="end"/>
      </w:r>
    </w:p>
    <w:p w14:paraId="6A1A3D5F" w14:textId="5B6BA465" w:rsidR="00A55D1D" w:rsidRDefault="0011758C" w:rsidP="007C33FD">
      <w:pPr>
        <w:pStyle w:val="BodyText"/>
        <w:rPr>
          <w:lang w:val="en-GB"/>
        </w:rPr>
      </w:pPr>
      <w:r>
        <w:rPr>
          <w:lang w:val="en-GB"/>
        </w:rPr>
        <w:t>When dosing is interrupted, serum levels fall precipitously due to target-mediated drug disposition (</w:t>
      </w:r>
      <w:r w:rsidRPr="000906D8">
        <w:rPr>
          <w:lang w:val="en-GB"/>
        </w:rPr>
        <w:t xml:space="preserve">see section </w:t>
      </w:r>
      <w:r>
        <w:rPr>
          <w:lang w:val="en-GB"/>
        </w:rPr>
        <w:fldChar w:fldCharType="begin"/>
      </w:r>
      <w:r>
        <w:rPr>
          <w:lang w:val="en-GB"/>
        </w:rPr>
        <w:instrText xml:space="preserve"> REF _Ref109218705 \r \h </w:instrText>
      </w:r>
      <w:r>
        <w:rPr>
          <w:lang w:val="en-GB"/>
        </w:rPr>
      </w:r>
      <w:r>
        <w:rPr>
          <w:lang w:val="en-GB"/>
        </w:rPr>
        <w:fldChar w:fldCharType="separate"/>
      </w:r>
      <w:r w:rsidR="00A8319D">
        <w:rPr>
          <w:lang w:val="en-GB"/>
        </w:rPr>
        <w:t>5.2</w:t>
      </w:r>
      <w:r>
        <w:rPr>
          <w:lang w:val="en-GB"/>
        </w:rPr>
        <w:fldChar w:fldCharType="end"/>
      </w:r>
      <w:r>
        <w:rPr>
          <w:lang w:val="en-GB"/>
        </w:rPr>
        <w:t xml:space="preserve"> </w:t>
      </w:r>
      <w:r>
        <w:rPr>
          <w:lang w:val="en-GB"/>
        </w:rPr>
        <w:fldChar w:fldCharType="begin"/>
      </w:r>
      <w:r>
        <w:rPr>
          <w:lang w:val="en-GB"/>
        </w:rPr>
        <w:instrText xml:space="preserve"> REF _Ref109218705 \h </w:instrText>
      </w:r>
      <w:r>
        <w:rPr>
          <w:lang w:val="en-GB"/>
        </w:rPr>
      </w:r>
      <w:r>
        <w:rPr>
          <w:lang w:val="en-GB"/>
        </w:rPr>
        <w:fldChar w:fldCharType="separate"/>
      </w:r>
      <w:r w:rsidR="00A8319D" w:rsidRPr="006570D4">
        <w:t>Pharmacokinetic properties</w:t>
      </w:r>
      <w:r>
        <w:rPr>
          <w:lang w:val="en-GB"/>
        </w:rPr>
        <w:fldChar w:fldCharType="end"/>
      </w:r>
      <w:r>
        <w:rPr>
          <w:lang w:val="en-GB"/>
        </w:rPr>
        <w:t xml:space="preserve">). Based on modelling, </w:t>
      </w:r>
      <w:r w:rsidR="000C00B3">
        <w:rPr>
          <w:lang w:val="en-GB"/>
        </w:rPr>
        <w:t>efficacy</w:t>
      </w:r>
      <w:r>
        <w:rPr>
          <w:lang w:val="en-GB"/>
        </w:rPr>
        <w:t xml:space="preserve"> </w:t>
      </w:r>
      <w:r w:rsidR="00B062AD">
        <w:rPr>
          <w:lang w:val="en-GB"/>
        </w:rPr>
        <w:t>is</w:t>
      </w:r>
      <w:r>
        <w:rPr>
          <w:lang w:val="en-GB"/>
        </w:rPr>
        <w:t xml:space="preserve"> </w:t>
      </w:r>
      <w:r w:rsidR="00814E35">
        <w:rPr>
          <w:lang w:val="en-GB"/>
        </w:rPr>
        <w:t>reduced</w:t>
      </w:r>
      <w:r>
        <w:rPr>
          <w:lang w:val="en-GB"/>
        </w:rPr>
        <w:t xml:space="preserve"> within </w:t>
      </w:r>
      <w:r w:rsidR="00B062AD">
        <w:rPr>
          <w:lang w:val="en-GB"/>
        </w:rPr>
        <w:t>1-2</w:t>
      </w:r>
      <w:r>
        <w:rPr>
          <w:lang w:val="en-GB"/>
        </w:rPr>
        <w:t xml:space="preserve"> days of stopping </w:t>
      </w:r>
      <w:r w:rsidR="00B062AD">
        <w:rPr>
          <w:lang w:val="en-GB"/>
        </w:rPr>
        <w:t>for some</w:t>
      </w:r>
      <w:r>
        <w:rPr>
          <w:lang w:val="en-GB"/>
        </w:rPr>
        <w:t xml:space="preserve"> patients and </w:t>
      </w:r>
      <w:r w:rsidR="002B7277">
        <w:rPr>
          <w:lang w:val="en-GB"/>
        </w:rPr>
        <w:t xml:space="preserve">is </w:t>
      </w:r>
      <w:r w:rsidR="00B062AD">
        <w:rPr>
          <w:lang w:val="en-GB"/>
        </w:rPr>
        <w:t xml:space="preserve">abrogated for most </w:t>
      </w:r>
      <w:r>
        <w:rPr>
          <w:lang w:val="en-GB"/>
        </w:rPr>
        <w:t xml:space="preserve">patients within </w:t>
      </w:r>
      <w:r w:rsidR="00B062AD">
        <w:rPr>
          <w:lang w:val="en-GB"/>
        </w:rPr>
        <w:t>a week</w:t>
      </w:r>
      <w:r>
        <w:rPr>
          <w:lang w:val="en-GB"/>
        </w:rPr>
        <w:t>.</w:t>
      </w:r>
      <w:r w:rsidR="002B7277">
        <w:rPr>
          <w:lang w:val="en-GB"/>
        </w:rPr>
        <w:t xml:space="preserve"> </w:t>
      </w:r>
    </w:p>
    <w:p w14:paraId="7CBAF7C6" w14:textId="3736BE96" w:rsidR="001A192E" w:rsidRDefault="00814E35" w:rsidP="00313BE7">
      <w:pPr>
        <w:pStyle w:val="BodyText"/>
        <w:rPr>
          <w:lang w:val="en-GB"/>
        </w:rPr>
      </w:pPr>
      <w:r w:rsidRPr="000906D8">
        <w:rPr>
          <w:lang w:val="en-GB"/>
        </w:rPr>
        <w:t xml:space="preserve">If a dose is missed, </w:t>
      </w:r>
      <w:r>
        <w:rPr>
          <w:lang w:val="en-GB"/>
        </w:rPr>
        <w:t>do not administer extra Alhemo</w:t>
      </w:r>
      <w:r w:rsidR="00A55D1D">
        <w:rPr>
          <w:lang w:val="en-GB"/>
        </w:rPr>
        <w:t>: instead, r</w:t>
      </w:r>
      <w:r>
        <w:rPr>
          <w:lang w:val="en-GB"/>
        </w:rPr>
        <w:t xml:space="preserve">esume </w:t>
      </w:r>
      <w:r w:rsidR="00A55D1D">
        <w:rPr>
          <w:lang w:val="en-GB"/>
        </w:rPr>
        <w:t xml:space="preserve">the </w:t>
      </w:r>
      <w:r w:rsidR="006D2E63">
        <w:rPr>
          <w:lang w:val="en-GB"/>
        </w:rPr>
        <w:t>maintenance dos</w:t>
      </w:r>
      <w:r w:rsidR="00A55D1D">
        <w:rPr>
          <w:lang w:val="en-GB"/>
        </w:rPr>
        <w:t>e</w:t>
      </w:r>
      <w:r>
        <w:rPr>
          <w:lang w:val="en-GB"/>
        </w:rPr>
        <w:t xml:space="preserve">. </w:t>
      </w:r>
      <w:r w:rsidR="000C00B3">
        <w:rPr>
          <w:lang w:val="en-GB"/>
        </w:rPr>
        <w:t>If more than one dose was missed, efficacy may be compromised. Depending on the duration of interruption, it takes</w:t>
      </w:r>
      <w:r w:rsidR="00A8319D">
        <w:rPr>
          <w:lang w:val="en-GB"/>
        </w:rPr>
        <w:t xml:space="preserve"> </w:t>
      </w:r>
      <w:r w:rsidR="00A55D1D" w:rsidRPr="002B7277">
        <w:rPr>
          <w:lang w:val="en-GB"/>
        </w:rPr>
        <w:t xml:space="preserve">up to 2 </w:t>
      </w:r>
      <w:r w:rsidR="00A55D1D" w:rsidRPr="002B7277">
        <w:t>weeks</w:t>
      </w:r>
      <w:r w:rsidR="000C00B3">
        <w:t xml:space="preserve"> after resuming for efficacy to be restored</w:t>
      </w:r>
      <w:r w:rsidR="00A55D1D" w:rsidRPr="00241A27">
        <w:t>.</w:t>
      </w:r>
      <w:r w:rsidR="00A55D1D" w:rsidRPr="002B7277">
        <w:rPr>
          <w:lang w:val="en-GB"/>
        </w:rPr>
        <w:t xml:space="preserve"> </w:t>
      </w:r>
      <w:r w:rsidR="001A192E" w:rsidRPr="000C00B3">
        <w:rPr>
          <w:lang w:val="en-GB"/>
        </w:rPr>
        <w:t>The use of re-loading doses has not been studied.</w:t>
      </w:r>
      <w:r w:rsidR="001A192E">
        <w:rPr>
          <w:lang w:val="en-GB"/>
        </w:rPr>
        <w:t xml:space="preserve"> </w:t>
      </w:r>
      <w:r w:rsidR="002B7277">
        <w:rPr>
          <w:lang w:val="en-GB"/>
        </w:rPr>
        <w:t xml:space="preserve">During periods of possible reduced </w:t>
      </w:r>
      <w:r w:rsidR="000C00B3">
        <w:rPr>
          <w:lang w:val="en-GB"/>
        </w:rPr>
        <w:t xml:space="preserve">efficacy </w:t>
      </w:r>
      <w:r w:rsidR="002B7277">
        <w:rPr>
          <w:lang w:val="en-GB"/>
        </w:rPr>
        <w:t xml:space="preserve">due to interrupted/missed dosing, patients </w:t>
      </w:r>
      <w:r w:rsidR="002B7277">
        <w:t>should avoid activities associated with an increased risk of bleeding.</w:t>
      </w:r>
      <w:r w:rsidR="00A8319D">
        <w:t xml:space="preserve"> </w:t>
      </w:r>
    </w:p>
    <w:p w14:paraId="1C836782" w14:textId="77777777" w:rsidR="00313BE7" w:rsidRPr="00F94267" w:rsidRDefault="00313BE7" w:rsidP="00313BE7">
      <w:pPr>
        <w:pStyle w:val="BodyText"/>
        <w:rPr>
          <w:u w:val="single"/>
          <w:lang w:val="en-GB"/>
        </w:rPr>
      </w:pPr>
      <w:r w:rsidRPr="00F94267">
        <w:rPr>
          <w:u w:val="single"/>
          <w:lang w:val="en-GB"/>
        </w:rPr>
        <w:t>Management in the perioperative setting</w:t>
      </w:r>
    </w:p>
    <w:p w14:paraId="7826A0AB" w14:textId="77777777" w:rsidR="00313BE7" w:rsidRPr="00241A27" w:rsidRDefault="00313BE7" w:rsidP="00313BE7">
      <w:pPr>
        <w:pStyle w:val="BodyText"/>
        <w:rPr>
          <w:lang w:val="en-GB"/>
        </w:rPr>
      </w:pPr>
      <w:r w:rsidRPr="00241A27">
        <w:rPr>
          <w:lang w:val="en-GB"/>
        </w:rPr>
        <w:t>No dose adjustment of Alhemo is needed in case of minor surgeries.</w:t>
      </w:r>
    </w:p>
    <w:p w14:paraId="1E437244" w14:textId="3872258A" w:rsidR="00313BE7" w:rsidRPr="000906D8" w:rsidRDefault="00313BE7" w:rsidP="008642F6">
      <w:pPr>
        <w:pStyle w:val="BodyText"/>
        <w:rPr>
          <w:vertAlign w:val="superscript"/>
          <w:lang w:val="en-GB"/>
        </w:rPr>
      </w:pPr>
      <w:r w:rsidRPr="00241A27">
        <w:rPr>
          <w:lang w:val="en-GB"/>
        </w:rPr>
        <w:t xml:space="preserve">There is no data regarding the use of Alhemo in proximity to major surgery, as patients requiring such </w:t>
      </w:r>
      <w:r w:rsidR="00DD073D">
        <w:rPr>
          <w:lang w:val="en-GB"/>
        </w:rPr>
        <w:t>had their treatment paused</w:t>
      </w:r>
      <w:r w:rsidR="009B348E">
        <w:rPr>
          <w:lang w:val="en-GB"/>
        </w:rPr>
        <w:t xml:space="preserve"> in clinical studies</w:t>
      </w:r>
      <w:r w:rsidRPr="00241A27">
        <w:rPr>
          <w:lang w:val="en-GB"/>
        </w:rPr>
        <w:t>. If major surgery is required, consult a physician experienced in treatment</w:t>
      </w:r>
      <w:r w:rsidRPr="00F94267">
        <w:rPr>
          <w:lang w:val="en-GB"/>
        </w:rPr>
        <w:t xml:space="preserve"> of haemophilia and/or bleeding disorders</w:t>
      </w:r>
      <w:r w:rsidRPr="00241A27">
        <w:rPr>
          <w:lang w:val="en-GB"/>
        </w:rPr>
        <w:t xml:space="preserve"> </w:t>
      </w:r>
      <w:r w:rsidRPr="00241A27">
        <w:rPr>
          <w:lang w:val="en-GB"/>
        </w:rPr>
        <w:lastRenderedPageBreak/>
        <w:t xml:space="preserve">regarding concizumab dosing. As there is no experience, it is generally recommended to pause concizumab </w:t>
      </w:r>
      <w:r w:rsidR="00814E35" w:rsidRPr="002B7277">
        <w:rPr>
          <w:lang w:val="en-GB"/>
        </w:rPr>
        <w:t xml:space="preserve">at least 4 days </w:t>
      </w:r>
      <w:r w:rsidRPr="00F94267">
        <w:rPr>
          <w:lang w:val="en-GB"/>
        </w:rPr>
        <w:t xml:space="preserve">prior </w:t>
      </w:r>
      <w:r w:rsidRPr="00241A27">
        <w:rPr>
          <w:lang w:val="en-GB"/>
        </w:rPr>
        <w:t>to major surgery</w:t>
      </w:r>
      <w:r w:rsidR="00814E35" w:rsidRPr="002B7277">
        <w:rPr>
          <w:lang w:val="en-GB"/>
        </w:rPr>
        <w:t>, and restart 10-14 days post-surgery at the same maintenance dose as prior to surgery</w:t>
      </w:r>
      <w:r w:rsidR="002B7277">
        <w:rPr>
          <w:lang w:val="en-GB"/>
        </w:rPr>
        <w:t xml:space="preserve"> (</w:t>
      </w:r>
      <w:r w:rsidR="00814E35" w:rsidRPr="002B7277">
        <w:rPr>
          <w:lang w:val="en-GB"/>
        </w:rPr>
        <w:t xml:space="preserve">with no </w:t>
      </w:r>
      <w:r w:rsidR="006D2E63" w:rsidRPr="002B7277">
        <w:rPr>
          <w:lang w:val="en-GB"/>
        </w:rPr>
        <w:t>loading dose</w:t>
      </w:r>
      <w:r w:rsidR="002B7277">
        <w:rPr>
          <w:lang w:val="en-GB"/>
        </w:rPr>
        <w:t>)</w:t>
      </w:r>
      <w:r w:rsidRPr="00F94267">
        <w:rPr>
          <w:lang w:val="en-GB"/>
        </w:rPr>
        <w:t>.</w:t>
      </w:r>
      <w:r w:rsidR="00070019" w:rsidRPr="00241A27">
        <w:rPr>
          <w:lang w:val="en-GB"/>
        </w:rPr>
        <w:t xml:space="preserve"> </w:t>
      </w:r>
      <w:r w:rsidR="006D2E63" w:rsidRPr="007D7D25">
        <w:t xml:space="preserve">Based on PK modelling, concizumab concentration </w:t>
      </w:r>
      <w:r w:rsidR="00A55D1D">
        <w:t>is expected to reach close to</w:t>
      </w:r>
      <w:r w:rsidR="006D2E63" w:rsidRPr="007D7D25">
        <w:t xml:space="preserve"> </w:t>
      </w:r>
      <w:r w:rsidR="00A33938">
        <w:t>pre-pause steady-state</w:t>
      </w:r>
      <w:r w:rsidR="006D2E63" w:rsidRPr="007D7D25">
        <w:t xml:space="preserve"> </w:t>
      </w:r>
      <w:r w:rsidR="00A55D1D">
        <w:t>levels</w:t>
      </w:r>
      <w:r w:rsidR="006D2E63" w:rsidRPr="007D7D25">
        <w:t xml:space="preserve"> </w:t>
      </w:r>
      <w:r w:rsidR="006D2E63" w:rsidRPr="002B7277">
        <w:t>after approximately 2 weeks</w:t>
      </w:r>
      <w:r w:rsidR="006D2E63">
        <w:t xml:space="preserve">. </w:t>
      </w:r>
      <w:r w:rsidR="006D2E63" w:rsidRPr="000C00B3">
        <w:t xml:space="preserve">Timing of reintroduction of concizumab should </w:t>
      </w:r>
      <w:proofErr w:type="gramStart"/>
      <w:r w:rsidR="006D2E63" w:rsidRPr="000C00B3">
        <w:t>take into account</w:t>
      </w:r>
      <w:proofErr w:type="gramEnd"/>
      <w:r w:rsidR="00814E35" w:rsidRPr="000C00B3">
        <w:t xml:space="preserve"> the overall clinical picture of the patient, including presence of </w:t>
      </w:r>
      <w:r w:rsidR="00A33938">
        <w:t xml:space="preserve">post-surgical </w:t>
      </w:r>
      <w:r w:rsidR="00814E35" w:rsidRPr="000C00B3">
        <w:t xml:space="preserve">thromboembolic risk factors, use of </w:t>
      </w:r>
      <w:r w:rsidR="00A33938">
        <w:t>other haemostatic</w:t>
      </w:r>
      <w:r w:rsidR="00814E35" w:rsidRPr="000C00B3">
        <w:t xml:space="preserve"> products and other concomitant medications.</w:t>
      </w:r>
      <w:bookmarkEnd w:id="12"/>
    </w:p>
    <w:p w14:paraId="1231F259" w14:textId="2F07A0DA" w:rsidR="000906D8" w:rsidRPr="000906D8" w:rsidRDefault="000906D8" w:rsidP="000906D8">
      <w:pPr>
        <w:pStyle w:val="Heading3-TNR"/>
        <w:rPr>
          <w:lang w:val="en-US"/>
        </w:rPr>
      </w:pPr>
      <w:bookmarkStart w:id="13" w:name="_Toc384132076"/>
      <w:bookmarkStart w:id="14" w:name="_Toc385237699"/>
      <w:bookmarkStart w:id="15" w:name="_Toc387920081"/>
      <w:bookmarkStart w:id="16" w:name="_Toc387920125"/>
      <w:bookmarkStart w:id="17" w:name="_Toc400449320"/>
      <w:bookmarkStart w:id="18" w:name="_Toc402530179"/>
      <w:bookmarkStart w:id="19" w:name="_Toc402530877"/>
      <w:bookmarkStart w:id="20" w:name="_Toc402878769"/>
      <w:bookmarkStart w:id="21" w:name="_Toc165979"/>
      <w:bookmarkStart w:id="22" w:name="_Toc104898538"/>
      <w:r w:rsidRPr="000906D8">
        <w:rPr>
          <w:lang w:val="en-GB"/>
        </w:rPr>
        <w:t>Method of administration</w:t>
      </w:r>
      <w:bookmarkEnd w:id="13"/>
      <w:bookmarkEnd w:id="14"/>
      <w:bookmarkEnd w:id="15"/>
      <w:bookmarkEnd w:id="16"/>
      <w:bookmarkEnd w:id="17"/>
      <w:bookmarkEnd w:id="18"/>
      <w:bookmarkEnd w:id="19"/>
      <w:bookmarkEnd w:id="20"/>
      <w:bookmarkEnd w:id="21"/>
      <w:bookmarkEnd w:id="22"/>
      <w:r w:rsidRPr="000906D8">
        <w:rPr>
          <w:lang w:val="en-GB"/>
        </w:rPr>
        <w:fldChar w:fldCharType="begin"/>
      </w:r>
      <w:r w:rsidRPr="000906D8">
        <w:rPr>
          <w:lang w:val="en-GB"/>
        </w:rPr>
        <w:instrText xml:space="preserve"> DOCVARIABLE vault_nd_3baba733-b8df-4a3b-8405-54f86cd3a561 \* MERGEFORMAT </w:instrText>
      </w:r>
      <w:r w:rsidRPr="000906D8">
        <w:rPr>
          <w:lang w:val="en-GB"/>
        </w:rPr>
        <w:fldChar w:fldCharType="separate"/>
      </w:r>
      <w:r w:rsidR="00A8319D">
        <w:rPr>
          <w:lang w:val="en-GB"/>
        </w:rPr>
        <w:t xml:space="preserve"> </w:t>
      </w:r>
      <w:r w:rsidRPr="000906D8">
        <w:fldChar w:fldCharType="end"/>
      </w:r>
    </w:p>
    <w:p w14:paraId="212AF023" w14:textId="20B0CD45" w:rsidR="000906D8" w:rsidRPr="000906D8" w:rsidRDefault="00D30A4F" w:rsidP="000906D8">
      <w:pPr>
        <w:pStyle w:val="BodyText"/>
        <w:rPr>
          <w:lang w:val="en-GB"/>
        </w:rPr>
      </w:pPr>
      <w:r w:rsidRPr="00D30A4F">
        <w:rPr>
          <w:lang w:val="en-GB"/>
        </w:rPr>
        <w:t>Alhemo</w:t>
      </w:r>
      <w:r w:rsidR="000906D8" w:rsidRPr="000906D8">
        <w:rPr>
          <w:lang w:val="en-GB"/>
        </w:rPr>
        <w:t xml:space="preserve"> is for subcutaneous use only.</w:t>
      </w:r>
    </w:p>
    <w:p w14:paraId="54F5380A" w14:textId="4E54B94B" w:rsidR="00BA33EF" w:rsidRDefault="002B7277" w:rsidP="00BA33EF">
      <w:pPr>
        <w:pStyle w:val="BodyText"/>
        <w:rPr>
          <w:lang w:val="en-GB"/>
        </w:rPr>
      </w:pPr>
      <w:r w:rsidRPr="00D30A4F">
        <w:rPr>
          <w:lang w:val="en-GB"/>
        </w:rPr>
        <w:t>Alhemo</w:t>
      </w:r>
      <w:r w:rsidRPr="0048405C">
        <w:rPr>
          <w:lang w:val="en-GB"/>
        </w:rPr>
        <w:t xml:space="preserve"> comes in a ready-to-administer pre-filled pen. Needles are not included </w:t>
      </w:r>
      <w:r>
        <w:rPr>
          <w:lang w:val="en-GB"/>
        </w:rPr>
        <w:t>(</w:t>
      </w:r>
      <w:r w:rsidRPr="0048405C">
        <w:rPr>
          <w:lang w:val="en-GB"/>
        </w:rPr>
        <w:t xml:space="preserve">see section </w:t>
      </w:r>
      <w:r w:rsidRPr="0048405C">
        <w:rPr>
          <w:lang w:val="en-GB"/>
        </w:rPr>
        <w:fldChar w:fldCharType="begin"/>
      </w:r>
      <w:r w:rsidRPr="0048405C">
        <w:rPr>
          <w:lang w:val="en-GB"/>
        </w:rPr>
        <w:instrText xml:space="preserve"> REF _Ref108644742 \r \h </w:instrText>
      </w:r>
      <w:r>
        <w:rPr>
          <w:lang w:val="en-GB"/>
        </w:rPr>
        <w:instrText xml:space="preserve"> \* MERGEFORMAT </w:instrText>
      </w:r>
      <w:r w:rsidRPr="0048405C">
        <w:rPr>
          <w:lang w:val="en-GB"/>
        </w:rPr>
      </w:r>
      <w:r w:rsidRPr="0048405C">
        <w:rPr>
          <w:lang w:val="en-GB"/>
        </w:rPr>
        <w:fldChar w:fldCharType="separate"/>
      </w:r>
      <w:r w:rsidR="00A8319D">
        <w:rPr>
          <w:lang w:val="en-GB"/>
        </w:rPr>
        <w:t>6.5</w:t>
      </w:r>
      <w:r w:rsidRPr="0048405C">
        <w:rPr>
          <w:lang w:val="en-GB"/>
        </w:rPr>
        <w:fldChar w:fldCharType="end"/>
      </w:r>
      <w:r>
        <w:rPr>
          <w:lang w:val="en-GB"/>
        </w:rPr>
        <w:t xml:space="preserve"> </w:t>
      </w:r>
      <w:r>
        <w:fldChar w:fldCharType="begin"/>
      </w:r>
      <w:r>
        <w:instrText xml:space="preserve"> REF _Ref108644742 \h </w:instrText>
      </w:r>
      <w:r>
        <w:fldChar w:fldCharType="separate"/>
      </w:r>
      <w:r w:rsidR="00A8319D" w:rsidRPr="006570D4">
        <w:t>Nature and contents of container</w:t>
      </w:r>
      <w:r>
        <w:fldChar w:fldCharType="end"/>
      </w:r>
      <w:r>
        <w:t>)</w:t>
      </w:r>
      <w:r w:rsidRPr="0048405C">
        <w:rPr>
          <w:lang w:val="en-GB"/>
        </w:rPr>
        <w:t>.</w:t>
      </w:r>
      <w:r w:rsidRPr="000906D8">
        <w:rPr>
          <w:lang w:val="en-GB"/>
        </w:rPr>
        <w:t xml:space="preserve"> </w:t>
      </w:r>
      <w:r w:rsidR="00BA33EF" w:rsidRPr="000906D8">
        <w:rPr>
          <w:lang w:val="en-GB"/>
        </w:rPr>
        <w:t xml:space="preserve">Each </w:t>
      </w:r>
      <w:r w:rsidR="00BA33EF" w:rsidRPr="00D30A4F">
        <w:rPr>
          <w:lang w:val="en-GB"/>
        </w:rPr>
        <w:t>Alhemo</w:t>
      </w:r>
      <w:r w:rsidR="00BA33EF" w:rsidRPr="000906D8">
        <w:rPr>
          <w:lang w:val="en-GB"/>
        </w:rPr>
        <w:t xml:space="preserve"> pen is for use by a single patient. A</w:t>
      </w:r>
      <w:r w:rsidR="00BA33EF">
        <w:rPr>
          <w:lang w:val="en-GB"/>
        </w:rPr>
        <w:t>n</w:t>
      </w:r>
      <w:r w:rsidR="00BA33EF" w:rsidRPr="000906D8">
        <w:rPr>
          <w:lang w:val="en-GB"/>
        </w:rPr>
        <w:t xml:space="preserve"> </w:t>
      </w:r>
      <w:r w:rsidR="00BA33EF" w:rsidRPr="00D30A4F">
        <w:rPr>
          <w:lang w:val="en-GB"/>
        </w:rPr>
        <w:t>Alhemo</w:t>
      </w:r>
      <w:r w:rsidR="00BA33EF" w:rsidRPr="000906D8">
        <w:rPr>
          <w:lang w:val="en-GB"/>
        </w:rPr>
        <w:t xml:space="preserve"> pen must not be shared between patients, even if the needle is changed.</w:t>
      </w:r>
    </w:p>
    <w:p w14:paraId="2A32D235" w14:textId="12F9BC42" w:rsidR="00DD702A" w:rsidRPr="00DD702A" w:rsidRDefault="00D30A4F" w:rsidP="00DD702A">
      <w:pPr>
        <w:pStyle w:val="BodyText"/>
        <w:rPr>
          <w:lang w:val="en-GB"/>
        </w:rPr>
      </w:pPr>
      <w:r w:rsidRPr="00D30A4F">
        <w:rPr>
          <w:lang w:val="en-GB"/>
        </w:rPr>
        <w:t>Alhemo</w:t>
      </w:r>
      <w:r w:rsidR="00DD702A" w:rsidRPr="00DD702A">
        <w:rPr>
          <w:lang w:val="en-GB"/>
        </w:rPr>
        <w:t xml:space="preserve"> should appear clear to slightly opalescent</w:t>
      </w:r>
      <w:r w:rsidR="002B7277">
        <w:rPr>
          <w:lang w:val="en-GB"/>
        </w:rPr>
        <w:t>,</w:t>
      </w:r>
      <w:r w:rsidR="00DD702A" w:rsidRPr="00DD702A">
        <w:rPr>
          <w:lang w:val="en-GB"/>
        </w:rPr>
        <w:t xml:space="preserve"> and colourless to slightly yellow</w:t>
      </w:r>
      <w:r w:rsidR="002B7277">
        <w:rPr>
          <w:lang w:val="en-GB"/>
        </w:rPr>
        <w:t>. It may contain</w:t>
      </w:r>
      <w:r w:rsidR="002B7277" w:rsidRPr="002B7277">
        <w:rPr>
          <w:lang w:val="en-GB"/>
        </w:rPr>
        <w:t xml:space="preserve"> </w:t>
      </w:r>
      <w:r w:rsidR="002B7277">
        <w:rPr>
          <w:lang w:val="en-GB"/>
        </w:rPr>
        <w:t>t</w:t>
      </w:r>
      <w:r w:rsidR="002B7277" w:rsidRPr="00DD702A">
        <w:rPr>
          <w:lang w:val="en-GB"/>
        </w:rPr>
        <w:t xml:space="preserve">ranslucent </w:t>
      </w:r>
      <w:r w:rsidR="007E5A4C">
        <w:rPr>
          <w:lang w:val="en-GB"/>
        </w:rPr>
        <w:t xml:space="preserve">(colourless) </w:t>
      </w:r>
      <w:r w:rsidR="002B7277" w:rsidRPr="00DD702A">
        <w:rPr>
          <w:lang w:val="en-GB"/>
        </w:rPr>
        <w:t>to white particles of protein</w:t>
      </w:r>
      <w:r w:rsidR="00DD702A" w:rsidRPr="00DD702A">
        <w:rPr>
          <w:lang w:val="en-GB"/>
        </w:rPr>
        <w:t xml:space="preserve">. </w:t>
      </w:r>
      <w:r w:rsidR="007E5A4C">
        <w:rPr>
          <w:lang w:val="en-GB"/>
        </w:rPr>
        <w:t xml:space="preserve">The protein particles are less than 0.5 mm in size. </w:t>
      </w:r>
      <w:r w:rsidR="00DD702A" w:rsidRPr="00DD702A">
        <w:rPr>
          <w:lang w:val="en-GB"/>
        </w:rPr>
        <w:t xml:space="preserve">Do not use if the solution is discoloured or contains </w:t>
      </w:r>
      <w:r w:rsidR="002B7277">
        <w:rPr>
          <w:lang w:val="en-GB"/>
        </w:rPr>
        <w:t xml:space="preserve">any other </w:t>
      </w:r>
      <w:r w:rsidR="00DD702A" w:rsidRPr="00DD702A">
        <w:rPr>
          <w:lang w:val="en-GB"/>
        </w:rPr>
        <w:t>solid foreign particles</w:t>
      </w:r>
      <w:r w:rsidR="002B7277" w:rsidRPr="00DD702A">
        <w:rPr>
          <w:lang w:val="en-GB"/>
        </w:rPr>
        <w:t>.</w:t>
      </w:r>
    </w:p>
    <w:p w14:paraId="7AB6F1B9" w14:textId="582A58F7" w:rsidR="00DD702A" w:rsidRPr="00DD702A" w:rsidRDefault="00DD702A" w:rsidP="00DD702A">
      <w:pPr>
        <w:pStyle w:val="BodyText"/>
        <w:rPr>
          <w:lang w:val="en-GB"/>
        </w:rPr>
      </w:pPr>
      <w:r w:rsidRPr="00DD702A">
        <w:rPr>
          <w:lang w:val="en-GB"/>
        </w:rPr>
        <w:t xml:space="preserve">The flow of the </w:t>
      </w:r>
      <w:r w:rsidR="00D30A4F" w:rsidRPr="00D30A4F">
        <w:rPr>
          <w:lang w:val="en-GB"/>
        </w:rPr>
        <w:t>Alhemo</w:t>
      </w:r>
      <w:r w:rsidRPr="00DD702A">
        <w:rPr>
          <w:lang w:val="en-GB"/>
        </w:rPr>
        <w:t xml:space="preserve"> pen should be checked before each injection</w:t>
      </w:r>
      <w:r w:rsidR="004E2BFD">
        <w:rPr>
          <w:lang w:val="en-GB"/>
        </w:rPr>
        <w:t xml:space="preserve"> (see the </w:t>
      </w:r>
      <w:r w:rsidR="001A192E">
        <w:rPr>
          <w:lang w:val="en-GB"/>
        </w:rPr>
        <w:t xml:space="preserve">pen </w:t>
      </w:r>
      <w:r w:rsidR="004E2BFD">
        <w:rPr>
          <w:lang w:val="en-GB"/>
        </w:rPr>
        <w:t>device instructions for use)</w:t>
      </w:r>
      <w:r w:rsidRPr="00DD702A">
        <w:rPr>
          <w:lang w:val="en-GB"/>
        </w:rPr>
        <w:t>.</w:t>
      </w:r>
    </w:p>
    <w:p w14:paraId="64F00F5F" w14:textId="37AE6FC8" w:rsidR="00DA75F6" w:rsidRDefault="00D30A4F" w:rsidP="00DA75F6">
      <w:pPr>
        <w:pStyle w:val="BodyText"/>
        <w:rPr>
          <w:lang w:val="en-GB"/>
        </w:rPr>
      </w:pPr>
      <w:r w:rsidRPr="00D30A4F">
        <w:rPr>
          <w:lang w:val="en-GB"/>
        </w:rPr>
        <w:t>Alhemo</w:t>
      </w:r>
      <w:r w:rsidR="000906D8" w:rsidRPr="000906D8">
        <w:rPr>
          <w:lang w:val="en-GB"/>
        </w:rPr>
        <w:t xml:space="preserve"> may be self-administered, or administered by a caregiver, after receiving appropriate training by a </w:t>
      </w:r>
      <w:r w:rsidR="00497654">
        <w:rPr>
          <w:lang w:val="en-GB"/>
        </w:rPr>
        <w:t>healthcare</w:t>
      </w:r>
      <w:r w:rsidR="000906D8" w:rsidRPr="000906D8">
        <w:rPr>
          <w:lang w:val="en-GB"/>
        </w:rPr>
        <w:t xml:space="preserve"> professional and</w:t>
      </w:r>
      <w:r w:rsidR="00F97128">
        <w:rPr>
          <w:lang w:val="en-GB"/>
        </w:rPr>
        <w:t xml:space="preserve"> carefully</w:t>
      </w:r>
      <w:r w:rsidR="000906D8" w:rsidRPr="000906D8">
        <w:rPr>
          <w:lang w:val="en-GB"/>
        </w:rPr>
        <w:t xml:space="preserve"> reading the Instructions for Use.</w:t>
      </w:r>
      <w:r w:rsidR="00DA75F6">
        <w:rPr>
          <w:lang w:val="en-GB"/>
        </w:rPr>
        <w:t xml:space="preserve"> </w:t>
      </w:r>
      <w:r w:rsidR="002B7277" w:rsidRPr="000906D8">
        <w:rPr>
          <w:lang w:val="en-GB"/>
        </w:rPr>
        <w:t>Always use a new needle for each injection.</w:t>
      </w:r>
    </w:p>
    <w:p w14:paraId="3F1F111E" w14:textId="13CFF3EE" w:rsidR="005E7001" w:rsidRDefault="000906D8" w:rsidP="000906D8">
      <w:pPr>
        <w:pStyle w:val="BodyText"/>
        <w:rPr>
          <w:lang w:val="en-GB"/>
        </w:rPr>
      </w:pPr>
      <w:r w:rsidRPr="000906D8">
        <w:rPr>
          <w:lang w:val="en-GB"/>
        </w:rPr>
        <w:t xml:space="preserve">Administer </w:t>
      </w:r>
      <w:r w:rsidR="00D30A4F" w:rsidRPr="00D30A4F">
        <w:rPr>
          <w:lang w:val="en-GB"/>
        </w:rPr>
        <w:t>Alhemo</w:t>
      </w:r>
      <w:r w:rsidRPr="000906D8">
        <w:rPr>
          <w:lang w:val="en-GB"/>
        </w:rPr>
        <w:t xml:space="preserve"> by subcutaneous injection to the abdomen or thigh with rotation of injection site every day. </w:t>
      </w:r>
      <w:r w:rsidR="00F97128">
        <w:rPr>
          <w:lang w:val="en-GB"/>
        </w:rPr>
        <w:t>Do not inject</w:t>
      </w:r>
      <w:r w:rsidRPr="000906D8">
        <w:rPr>
          <w:lang w:val="en-GB"/>
        </w:rPr>
        <w:t xml:space="preserve"> in areas where the skin is tender, bruised, red or hard, or where there are moles or scars.</w:t>
      </w:r>
      <w:r w:rsidR="005E7001">
        <w:rPr>
          <w:lang w:val="en-GB"/>
        </w:rPr>
        <w:t xml:space="preserve"> </w:t>
      </w:r>
    </w:p>
    <w:p w14:paraId="01146AB1" w14:textId="0E329B42" w:rsidR="000906D8" w:rsidRDefault="00BA33EF" w:rsidP="000906D8">
      <w:pPr>
        <w:pStyle w:val="BodyText"/>
        <w:rPr>
          <w:lang w:val="en-GB"/>
        </w:rPr>
      </w:pPr>
      <w:r>
        <w:rPr>
          <w:lang w:val="en-GB"/>
        </w:rPr>
        <w:t>Children and very lean patients may be at higher risk of intramuscular injection. Educate patients</w:t>
      </w:r>
      <w:r w:rsidR="00CD7FFD">
        <w:rPr>
          <w:lang w:val="en-GB"/>
        </w:rPr>
        <w:t xml:space="preserve"> and </w:t>
      </w:r>
      <w:r>
        <w:rPr>
          <w:lang w:val="en-GB"/>
        </w:rPr>
        <w:t>caregivers on</w:t>
      </w:r>
      <w:r w:rsidR="005E7001" w:rsidRPr="005E7001">
        <w:rPr>
          <w:lang w:val="en-GB"/>
        </w:rPr>
        <w:t xml:space="preserve"> injection techniques that minimise the risk of intramuscular injection, </w:t>
      </w:r>
      <w:r>
        <w:rPr>
          <w:lang w:val="en-GB"/>
        </w:rPr>
        <w:t>such as</w:t>
      </w:r>
      <w:r w:rsidR="005E7001" w:rsidRPr="005E7001">
        <w:rPr>
          <w:lang w:val="en-GB"/>
        </w:rPr>
        <w:t xml:space="preserve"> injecting into a </w:t>
      </w:r>
      <w:proofErr w:type="gramStart"/>
      <w:r w:rsidR="005E7001" w:rsidRPr="005E7001">
        <w:rPr>
          <w:lang w:val="en-GB"/>
        </w:rPr>
        <w:t>loosely-held</w:t>
      </w:r>
      <w:proofErr w:type="gramEnd"/>
      <w:r w:rsidR="005E7001" w:rsidRPr="005E7001">
        <w:rPr>
          <w:lang w:val="en-GB"/>
        </w:rPr>
        <w:t xml:space="preserve"> skinfold.</w:t>
      </w:r>
      <w:r w:rsidRPr="00BA33EF">
        <w:rPr>
          <w:lang w:val="en-GB"/>
        </w:rPr>
        <w:t xml:space="preserve"> </w:t>
      </w:r>
    </w:p>
    <w:p w14:paraId="61BCC65F" w14:textId="3FF9D9BE" w:rsidR="006F4633" w:rsidRPr="000906D8" w:rsidRDefault="006F4633" w:rsidP="006F4633">
      <w:pPr>
        <w:pStyle w:val="BodyText"/>
        <w:rPr>
          <w:lang w:val="en-GB"/>
        </w:rPr>
      </w:pPr>
      <w:r w:rsidRPr="00276F7D">
        <w:rPr>
          <w:lang w:val="en-GB"/>
        </w:rPr>
        <w:t xml:space="preserve">During treatment with </w:t>
      </w:r>
      <w:r w:rsidR="00D30A4F" w:rsidRPr="00D30A4F">
        <w:rPr>
          <w:lang w:val="en-GB"/>
        </w:rPr>
        <w:t>Alhemo</w:t>
      </w:r>
      <w:r w:rsidRPr="00276F7D">
        <w:rPr>
          <w:lang w:val="en-GB"/>
        </w:rPr>
        <w:t>, other medicinal products for subcutaneous administration should, preferably, be injected at different anatomical sites.</w:t>
      </w:r>
    </w:p>
    <w:p w14:paraId="33EB9259" w14:textId="57C23C91" w:rsidR="00AB4F1D" w:rsidRPr="000906D8" w:rsidRDefault="00C70C5A" w:rsidP="000906D8">
      <w:pPr>
        <w:pStyle w:val="Heading3-TNR"/>
        <w:rPr>
          <w:lang w:val="en-GB"/>
        </w:rPr>
      </w:pPr>
      <w:r>
        <w:rPr>
          <w:lang w:val="en-GB"/>
        </w:rPr>
        <w:t>Dose adjustment in s</w:t>
      </w:r>
      <w:r w:rsidR="00477C7D">
        <w:rPr>
          <w:lang w:val="en-GB"/>
        </w:rPr>
        <w:t xml:space="preserve">pecial </w:t>
      </w:r>
      <w:r w:rsidR="00C17160">
        <w:rPr>
          <w:lang w:val="en-GB"/>
        </w:rPr>
        <w:t>p</w:t>
      </w:r>
      <w:r w:rsidR="00477C7D">
        <w:rPr>
          <w:lang w:val="en-GB"/>
        </w:rPr>
        <w:t>opulations</w:t>
      </w:r>
      <w:r w:rsidR="002A5BE6">
        <w:rPr>
          <w:lang w:val="en-GB"/>
        </w:rPr>
        <w:fldChar w:fldCharType="begin"/>
      </w:r>
      <w:r w:rsidR="002A5BE6">
        <w:rPr>
          <w:lang w:val="en-GB"/>
        </w:rPr>
        <w:instrText xml:space="preserve"> DOCVARIABLE vault_nd_00ccce04-c873-4446-a949-83126829a144 \* MERGEFORMAT </w:instrText>
      </w:r>
      <w:r w:rsidR="002A5BE6">
        <w:rPr>
          <w:lang w:val="en-GB"/>
        </w:rPr>
        <w:fldChar w:fldCharType="separate"/>
      </w:r>
      <w:r w:rsidR="00A8319D">
        <w:rPr>
          <w:lang w:val="en-GB"/>
        </w:rPr>
        <w:t xml:space="preserve"> </w:t>
      </w:r>
      <w:r w:rsidR="002A5BE6">
        <w:rPr>
          <w:lang w:val="en-GB"/>
        </w:rPr>
        <w:fldChar w:fldCharType="end"/>
      </w:r>
    </w:p>
    <w:p w14:paraId="219DAB7B" w14:textId="519A77F7" w:rsidR="000906D8" w:rsidRPr="000906D8" w:rsidRDefault="00C70C5A" w:rsidP="000906D8">
      <w:pPr>
        <w:pStyle w:val="BodyText"/>
        <w:rPr>
          <w:u w:val="single"/>
          <w:lang w:val="en-GB"/>
        </w:rPr>
      </w:pPr>
      <w:r>
        <w:rPr>
          <w:u w:val="single"/>
          <w:lang w:val="en-GB"/>
        </w:rPr>
        <w:t>Intrinsic factors</w:t>
      </w:r>
    </w:p>
    <w:p w14:paraId="00DB5921" w14:textId="7E3CEE7F" w:rsidR="000906D8" w:rsidRPr="000906D8" w:rsidRDefault="00C70C5A" w:rsidP="000906D8">
      <w:pPr>
        <w:pStyle w:val="BodyText"/>
        <w:rPr>
          <w:lang w:val="en-GB"/>
        </w:rPr>
      </w:pPr>
      <w:r>
        <w:rPr>
          <w:lang w:val="en-GB"/>
        </w:rPr>
        <w:t xml:space="preserve">There are no changes to the recommended dosing regimen (see </w:t>
      </w:r>
      <w:r>
        <w:rPr>
          <w:lang w:val="en-GB"/>
        </w:rPr>
        <w:fldChar w:fldCharType="begin"/>
      </w:r>
      <w:r>
        <w:rPr>
          <w:lang w:val="en-GB"/>
        </w:rPr>
        <w:instrText xml:space="preserve"> REF _Ref132725430 \h </w:instrText>
      </w:r>
      <w:r>
        <w:rPr>
          <w:lang w:val="en-GB"/>
        </w:rPr>
      </w:r>
      <w:r>
        <w:rPr>
          <w:lang w:val="en-GB"/>
        </w:rPr>
        <w:fldChar w:fldCharType="separate"/>
      </w:r>
      <w:r w:rsidR="00A8319D" w:rsidRPr="002554A2">
        <w:t xml:space="preserve">Table </w:t>
      </w:r>
      <w:r w:rsidR="00A8319D">
        <w:rPr>
          <w:noProof/>
        </w:rPr>
        <w:t>1</w:t>
      </w:r>
      <w:r>
        <w:rPr>
          <w:lang w:val="en-GB"/>
        </w:rPr>
        <w:fldChar w:fldCharType="end"/>
      </w:r>
      <w:r>
        <w:rPr>
          <w:lang w:val="en-GB"/>
        </w:rPr>
        <w:t>) based on renal function, hepatic function or age (</w:t>
      </w:r>
      <w:r w:rsidRPr="000906D8">
        <w:rPr>
          <w:lang w:val="en-GB"/>
        </w:rPr>
        <w:t xml:space="preserve">see section </w:t>
      </w:r>
      <w:r>
        <w:rPr>
          <w:lang w:val="en-GB"/>
        </w:rPr>
        <w:fldChar w:fldCharType="begin"/>
      </w:r>
      <w:r>
        <w:rPr>
          <w:lang w:val="en-GB"/>
        </w:rPr>
        <w:instrText xml:space="preserve"> REF _Ref109218705 \r \h </w:instrText>
      </w:r>
      <w:r>
        <w:rPr>
          <w:lang w:val="en-GB"/>
        </w:rPr>
      </w:r>
      <w:r>
        <w:rPr>
          <w:lang w:val="en-GB"/>
        </w:rPr>
        <w:fldChar w:fldCharType="separate"/>
      </w:r>
      <w:r w:rsidR="00A8319D">
        <w:rPr>
          <w:lang w:val="en-GB"/>
        </w:rPr>
        <w:t>5.2</w:t>
      </w:r>
      <w:r>
        <w:rPr>
          <w:lang w:val="en-GB"/>
        </w:rPr>
        <w:fldChar w:fldCharType="end"/>
      </w:r>
      <w:r>
        <w:rPr>
          <w:lang w:val="en-GB"/>
        </w:rPr>
        <w:t xml:space="preserve"> </w:t>
      </w:r>
      <w:r>
        <w:rPr>
          <w:lang w:val="en-GB"/>
        </w:rPr>
        <w:fldChar w:fldCharType="begin"/>
      </w:r>
      <w:r>
        <w:rPr>
          <w:lang w:val="en-GB"/>
        </w:rPr>
        <w:instrText xml:space="preserve"> REF _Ref109218705 \h </w:instrText>
      </w:r>
      <w:r>
        <w:rPr>
          <w:lang w:val="en-GB"/>
        </w:rPr>
      </w:r>
      <w:r>
        <w:rPr>
          <w:lang w:val="en-GB"/>
        </w:rPr>
        <w:fldChar w:fldCharType="separate"/>
      </w:r>
      <w:r w:rsidR="00A8319D" w:rsidRPr="006570D4">
        <w:t>Pharmacokinetic properties</w:t>
      </w:r>
      <w:r>
        <w:rPr>
          <w:lang w:val="en-GB"/>
        </w:rPr>
        <w:fldChar w:fldCharType="end"/>
      </w:r>
      <w:r>
        <w:rPr>
          <w:lang w:val="en-GB"/>
        </w:rPr>
        <w:t xml:space="preserve">). </w:t>
      </w:r>
    </w:p>
    <w:p w14:paraId="14AB451F" w14:textId="77777777" w:rsidR="000906D8" w:rsidRPr="007C33FD" w:rsidRDefault="000906D8" w:rsidP="007C33FD">
      <w:pPr>
        <w:pStyle w:val="BodyText"/>
        <w:rPr>
          <w:u w:val="single"/>
          <w:lang w:val="en-GB"/>
        </w:rPr>
      </w:pPr>
      <w:r w:rsidRPr="007C33FD">
        <w:rPr>
          <w:u w:val="single"/>
          <w:lang w:val="en-GB"/>
        </w:rPr>
        <w:t>Management of breakthrough bleeds</w:t>
      </w:r>
    </w:p>
    <w:p w14:paraId="607331C0" w14:textId="02968B3B" w:rsidR="000D0FC4" w:rsidRDefault="000D0FC4" w:rsidP="000906D8">
      <w:pPr>
        <w:pStyle w:val="BodyText"/>
        <w:rPr>
          <w:lang w:val="en-GB"/>
        </w:rPr>
      </w:pPr>
      <w:r>
        <w:rPr>
          <w:lang w:val="en-GB"/>
        </w:rPr>
        <w:t xml:space="preserve">Discuss the management of breakthrough bleeds with the patient and/or caregiver prior to commencing concizumab. </w:t>
      </w:r>
    </w:p>
    <w:p w14:paraId="09876432" w14:textId="6335F0B1" w:rsidR="000906D8" w:rsidRPr="000906D8" w:rsidRDefault="000D0FC4" w:rsidP="000906D8">
      <w:pPr>
        <w:pStyle w:val="BodyText"/>
        <w:rPr>
          <w:lang w:val="en-GB"/>
        </w:rPr>
      </w:pPr>
      <w:r>
        <w:rPr>
          <w:lang w:val="en-GB"/>
        </w:rPr>
        <w:t>Do not adjust the</w:t>
      </w:r>
      <w:r w:rsidRPr="000906D8">
        <w:rPr>
          <w:lang w:val="en-GB"/>
        </w:rPr>
        <w:t xml:space="preserve"> </w:t>
      </w:r>
      <w:r w:rsidR="000906D8" w:rsidRPr="000906D8">
        <w:rPr>
          <w:lang w:val="en-GB"/>
        </w:rPr>
        <w:t xml:space="preserve">dose of </w:t>
      </w:r>
      <w:r w:rsidR="00D30A4F" w:rsidRPr="00D30A4F">
        <w:rPr>
          <w:lang w:val="en-GB"/>
        </w:rPr>
        <w:t>Alhemo</w:t>
      </w:r>
      <w:r w:rsidR="000906D8" w:rsidRPr="000906D8">
        <w:rPr>
          <w:lang w:val="en-GB"/>
        </w:rPr>
        <w:t xml:space="preserve"> </w:t>
      </w:r>
      <w:r>
        <w:rPr>
          <w:lang w:val="en-GB"/>
        </w:rPr>
        <w:t xml:space="preserve">if a </w:t>
      </w:r>
      <w:r w:rsidR="000906D8" w:rsidRPr="000906D8">
        <w:rPr>
          <w:lang w:val="en-GB"/>
        </w:rPr>
        <w:t>breakthrough bleed</w:t>
      </w:r>
      <w:r>
        <w:rPr>
          <w:lang w:val="en-GB"/>
        </w:rPr>
        <w:t xml:space="preserve"> occur</w:t>
      </w:r>
      <w:r w:rsidR="000906D8" w:rsidRPr="000906D8">
        <w:rPr>
          <w:lang w:val="en-GB"/>
        </w:rPr>
        <w:t xml:space="preserve">s. </w:t>
      </w:r>
    </w:p>
    <w:p w14:paraId="7EDF7F5B" w14:textId="29A21D83" w:rsidR="000906D8" w:rsidRPr="000906D8" w:rsidRDefault="00180FB5" w:rsidP="000906D8">
      <w:pPr>
        <w:pStyle w:val="BodyText"/>
        <w:rPr>
          <w:lang w:val="en-GB"/>
        </w:rPr>
      </w:pPr>
      <w:bookmarkStart w:id="23" w:name="_Hlk7192836"/>
      <w:r>
        <w:rPr>
          <w:lang w:val="en-GB"/>
        </w:rPr>
        <w:lastRenderedPageBreak/>
        <w:t>B</w:t>
      </w:r>
      <w:r w:rsidR="000906D8" w:rsidRPr="000906D8">
        <w:rPr>
          <w:lang w:val="en-GB"/>
        </w:rPr>
        <w:t>ypassing agents (</w:t>
      </w:r>
      <w:r w:rsidR="00BA33EF">
        <w:rPr>
          <w:lang w:val="en-GB"/>
        </w:rPr>
        <w:t>such as</w:t>
      </w:r>
      <w:r w:rsidR="000906D8" w:rsidRPr="000906D8">
        <w:rPr>
          <w:lang w:val="en-GB"/>
        </w:rPr>
        <w:t xml:space="preserve"> rFVIIa or aPCC) can be used</w:t>
      </w:r>
      <w:bookmarkEnd w:id="23"/>
      <w:r w:rsidR="000906D8" w:rsidRPr="000906D8">
        <w:rPr>
          <w:lang w:val="en-GB"/>
        </w:rPr>
        <w:t xml:space="preserve"> </w:t>
      </w:r>
      <w:r>
        <w:rPr>
          <w:lang w:val="en-GB"/>
        </w:rPr>
        <w:t>to treat</w:t>
      </w:r>
      <w:r w:rsidRPr="000906D8">
        <w:rPr>
          <w:lang w:val="en-GB"/>
        </w:rPr>
        <w:t xml:space="preserve"> </w:t>
      </w:r>
      <w:r w:rsidR="000906D8" w:rsidRPr="000906D8">
        <w:rPr>
          <w:lang w:val="en-GB"/>
        </w:rPr>
        <w:t>breakthrough bleeds</w:t>
      </w:r>
      <w:r>
        <w:rPr>
          <w:lang w:val="en-GB"/>
        </w:rPr>
        <w:t xml:space="preserve"> during concizumab therapy:</w:t>
      </w:r>
      <w:r w:rsidR="000906D8" w:rsidRPr="000906D8">
        <w:rPr>
          <w:lang w:val="en-GB"/>
        </w:rPr>
        <w:t xml:space="preserve"> the dose and duration </w:t>
      </w:r>
      <w:r>
        <w:rPr>
          <w:lang w:val="en-GB"/>
        </w:rPr>
        <w:t>of bypassing agent should be based</w:t>
      </w:r>
      <w:r w:rsidRPr="000906D8">
        <w:rPr>
          <w:lang w:val="en-GB"/>
        </w:rPr>
        <w:t xml:space="preserve"> </w:t>
      </w:r>
      <w:r w:rsidR="000906D8" w:rsidRPr="000906D8">
        <w:rPr>
          <w:lang w:val="en-GB"/>
        </w:rPr>
        <w:t>on the location and severity of the bleed.</w:t>
      </w:r>
    </w:p>
    <w:p w14:paraId="5F25C549" w14:textId="7CE149FD" w:rsidR="000906D8" w:rsidRPr="000906D8" w:rsidRDefault="000906D8" w:rsidP="000906D8">
      <w:pPr>
        <w:pStyle w:val="BodyText"/>
        <w:rPr>
          <w:lang w:val="en-GB"/>
        </w:rPr>
      </w:pPr>
      <w:r w:rsidRPr="000906D8">
        <w:rPr>
          <w:lang w:val="en-GB"/>
        </w:rPr>
        <w:t xml:space="preserve">For mild and moderate bleeds that require treatment with </w:t>
      </w:r>
      <w:r w:rsidR="00BA33EF">
        <w:rPr>
          <w:lang w:val="en-GB"/>
        </w:rPr>
        <w:t xml:space="preserve">a </w:t>
      </w:r>
      <w:r w:rsidRPr="000906D8">
        <w:rPr>
          <w:lang w:val="en-GB"/>
        </w:rPr>
        <w:t xml:space="preserve">bypassing agent, </w:t>
      </w:r>
      <w:r w:rsidR="00BA33EF">
        <w:rPr>
          <w:lang w:val="en-GB"/>
        </w:rPr>
        <w:t xml:space="preserve">use </w:t>
      </w:r>
      <w:r w:rsidRPr="000906D8">
        <w:rPr>
          <w:lang w:val="en-GB"/>
        </w:rPr>
        <w:t xml:space="preserve">the lowest </w:t>
      </w:r>
      <w:r w:rsidR="00C70C5A" w:rsidRPr="00C70C5A">
        <w:rPr>
          <w:lang w:val="en-GB"/>
        </w:rPr>
        <w:t>possible effective dose to minimi</w:t>
      </w:r>
      <w:r w:rsidR="00C70C5A">
        <w:rPr>
          <w:lang w:val="en-GB"/>
        </w:rPr>
        <w:t>s</w:t>
      </w:r>
      <w:r w:rsidR="00C70C5A" w:rsidRPr="00C70C5A">
        <w:rPr>
          <w:lang w:val="en-GB"/>
        </w:rPr>
        <w:t>e the risk of thromboembolic events</w:t>
      </w:r>
      <w:r w:rsidRPr="000906D8">
        <w:rPr>
          <w:lang w:val="en-GB"/>
        </w:rPr>
        <w:t xml:space="preserve">. </w:t>
      </w:r>
      <w:r w:rsidR="00BA33EF">
        <w:rPr>
          <w:lang w:val="en-GB"/>
        </w:rPr>
        <w:t>In addition</w:t>
      </w:r>
      <w:r w:rsidRPr="000906D8">
        <w:rPr>
          <w:lang w:val="en-GB"/>
        </w:rPr>
        <w:t xml:space="preserve">, </w:t>
      </w:r>
      <w:r w:rsidR="00BA33EF">
        <w:rPr>
          <w:lang w:val="en-GB"/>
        </w:rPr>
        <w:t>do not exceed</w:t>
      </w:r>
      <w:r w:rsidRPr="000906D8">
        <w:rPr>
          <w:lang w:val="en-GB"/>
        </w:rPr>
        <w:t xml:space="preserve"> a</w:t>
      </w:r>
      <w:r w:rsidR="00C70C5A">
        <w:rPr>
          <w:lang w:val="en-GB"/>
        </w:rPr>
        <w:t>n aPCC</w:t>
      </w:r>
      <w:r w:rsidRPr="000906D8">
        <w:rPr>
          <w:lang w:val="en-GB"/>
        </w:rPr>
        <w:t xml:space="preserve"> dose of 100 U/kg body weight within 24 hours.</w:t>
      </w:r>
    </w:p>
    <w:p w14:paraId="470E6BD8" w14:textId="0012F979" w:rsidR="000906D8" w:rsidRPr="000906D8" w:rsidRDefault="000906D8" w:rsidP="000906D8">
      <w:pPr>
        <w:pStyle w:val="BodyText"/>
        <w:rPr>
          <w:lang w:val="en-GB"/>
        </w:rPr>
      </w:pPr>
      <w:r w:rsidRPr="000906D8">
        <w:rPr>
          <w:lang w:val="en-GB"/>
        </w:rPr>
        <w:t>For severe bleeds</w:t>
      </w:r>
      <w:r w:rsidR="00BA33EF">
        <w:rPr>
          <w:lang w:val="en-GB"/>
        </w:rPr>
        <w:t xml:space="preserve">, </w:t>
      </w:r>
      <w:r w:rsidR="00C70C5A">
        <w:rPr>
          <w:lang w:val="en-GB"/>
        </w:rPr>
        <w:t xml:space="preserve">exercise clinical judgement in the use of </w:t>
      </w:r>
      <w:r w:rsidR="00BA33EF">
        <w:rPr>
          <w:lang w:val="en-GB"/>
        </w:rPr>
        <w:t>bypassing agents according to</w:t>
      </w:r>
      <w:r w:rsidRPr="000906D8">
        <w:rPr>
          <w:lang w:val="en-GB"/>
        </w:rPr>
        <w:t xml:space="preserve"> the</w:t>
      </w:r>
      <w:r w:rsidR="00C70C5A">
        <w:rPr>
          <w:lang w:val="en-GB"/>
        </w:rPr>
        <w:t>ir</w:t>
      </w:r>
      <w:r w:rsidRPr="000906D8">
        <w:rPr>
          <w:lang w:val="en-GB"/>
        </w:rPr>
        <w:t xml:space="preserve"> </w:t>
      </w:r>
      <w:r w:rsidR="00BA33EF" w:rsidRPr="00E8114C">
        <w:rPr>
          <w:lang w:val="en-GB"/>
        </w:rPr>
        <w:t>Product Information</w:t>
      </w:r>
      <w:r w:rsidR="00C70C5A">
        <w:rPr>
          <w:lang w:val="en-GB"/>
        </w:rPr>
        <w:t xml:space="preserve">, </w:t>
      </w:r>
      <w:proofErr w:type="gramStart"/>
      <w:r w:rsidR="00C70C5A" w:rsidRPr="00C70C5A">
        <w:rPr>
          <w:lang w:val="en-GB"/>
        </w:rPr>
        <w:t>taking into account</w:t>
      </w:r>
      <w:proofErr w:type="gramEnd"/>
      <w:r w:rsidR="00C70C5A" w:rsidRPr="00C70C5A">
        <w:rPr>
          <w:lang w:val="en-GB"/>
        </w:rPr>
        <w:t xml:space="preserve"> the potential for life-threatening thromboembolic events</w:t>
      </w:r>
      <w:r w:rsidRPr="000906D8">
        <w:rPr>
          <w:lang w:val="en-GB"/>
        </w:rPr>
        <w:t>.</w:t>
      </w:r>
    </w:p>
    <w:p w14:paraId="730F6ABD" w14:textId="49733D2D" w:rsidR="001A3992" w:rsidRPr="006570D4" w:rsidRDefault="001A3992" w:rsidP="0042782D">
      <w:pPr>
        <w:pStyle w:val="Heading2-TNR"/>
      </w:pPr>
      <w:r w:rsidRPr="006570D4">
        <w:t>Contraindications</w:t>
      </w:r>
      <w:fldSimple w:instr="DOCVARIABLE VAULT_ND_7ed7083c-214d-4626-865c-478703bb7ea3 \* MERGEFORMAT">
        <w:r w:rsidR="00A8319D">
          <w:t xml:space="preserve"> </w:t>
        </w:r>
      </w:fldSimple>
    </w:p>
    <w:p w14:paraId="0797E9BF" w14:textId="1EDE223D" w:rsidR="009A6CD7" w:rsidRPr="009A6CD7" w:rsidRDefault="009A6CD7" w:rsidP="009A6CD7">
      <w:pPr>
        <w:pStyle w:val="BodyText"/>
        <w:rPr>
          <w:lang w:val="en-GB"/>
        </w:rPr>
      </w:pPr>
      <w:r w:rsidRPr="009A6CD7">
        <w:rPr>
          <w:lang w:val="en-GB"/>
        </w:rPr>
        <w:t xml:space="preserve">Treatment with </w:t>
      </w:r>
      <w:r w:rsidR="00D30A4F" w:rsidRPr="00D30A4F">
        <w:rPr>
          <w:lang w:val="en-GB"/>
        </w:rPr>
        <w:t>Alhemo</w:t>
      </w:r>
      <w:r w:rsidRPr="009A6CD7">
        <w:rPr>
          <w:lang w:val="en-GB"/>
        </w:rPr>
        <w:t xml:space="preserve"> is contraindicated in subjects with known hypersensitivity to </w:t>
      </w:r>
      <w:r w:rsidR="006F4633">
        <w:rPr>
          <w:lang w:val="en-GB"/>
        </w:rPr>
        <w:t xml:space="preserve">concizumab or to </w:t>
      </w:r>
      <w:r w:rsidRPr="009A6CD7">
        <w:rPr>
          <w:lang w:val="en-GB"/>
        </w:rPr>
        <w:t xml:space="preserve">any of the </w:t>
      </w:r>
      <w:r w:rsidR="006F4633">
        <w:rPr>
          <w:lang w:val="en-GB"/>
        </w:rPr>
        <w:t>excipients</w:t>
      </w:r>
      <w:r w:rsidRPr="009A6CD7">
        <w:rPr>
          <w:lang w:val="en-GB"/>
        </w:rPr>
        <w:t>.</w:t>
      </w:r>
    </w:p>
    <w:p w14:paraId="317EBD7C" w14:textId="6C44899B" w:rsidR="001A3992" w:rsidRPr="006570D4" w:rsidRDefault="00E74A56" w:rsidP="0042782D">
      <w:pPr>
        <w:pStyle w:val="Heading2-TNR"/>
      </w:pPr>
      <w:r w:rsidRPr="006570D4">
        <w:t>Special warnings and p</w:t>
      </w:r>
      <w:r w:rsidR="001A3992" w:rsidRPr="006570D4">
        <w:t xml:space="preserve">recautions </w:t>
      </w:r>
      <w:r w:rsidRPr="006570D4">
        <w:t>for use</w:t>
      </w:r>
      <w:fldSimple w:instr="DOCVARIABLE VAULT_ND_c6c71252-57cb-4125-b772-ad0edd499f48 \* MERGEFORMAT">
        <w:r w:rsidR="00A8319D">
          <w:t xml:space="preserve"> </w:t>
        </w:r>
      </w:fldSimple>
    </w:p>
    <w:p w14:paraId="60B0ACE9" w14:textId="7D9CAAEE" w:rsidR="00483FD8" w:rsidRPr="00483FD8" w:rsidRDefault="00483FD8" w:rsidP="00483FD8">
      <w:pPr>
        <w:pStyle w:val="Heading3-TNR"/>
        <w:rPr>
          <w:lang w:val="en-GB"/>
        </w:rPr>
      </w:pPr>
      <w:r w:rsidRPr="00483FD8">
        <w:rPr>
          <w:lang w:val="en-GB"/>
        </w:rPr>
        <w:t>Thromboembolic events</w:t>
      </w:r>
      <w:r w:rsidR="002A5BE6">
        <w:rPr>
          <w:lang w:val="en-GB"/>
        </w:rPr>
        <w:fldChar w:fldCharType="begin"/>
      </w:r>
      <w:r w:rsidR="002A5BE6">
        <w:rPr>
          <w:lang w:val="en-GB"/>
        </w:rPr>
        <w:instrText xml:space="preserve"> DOCVARIABLE vault_nd_0d90589f-da41-4dd8-8a45-6d756fbb56a6 \* MERGEFORMAT </w:instrText>
      </w:r>
      <w:r w:rsidR="002A5BE6">
        <w:rPr>
          <w:lang w:val="en-GB"/>
        </w:rPr>
        <w:fldChar w:fldCharType="separate"/>
      </w:r>
      <w:r w:rsidR="00A8319D">
        <w:rPr>
          <w:lang w:val="en-GB"/>
        </w:rPr>
        <w:t xml:space="preserve"> </w:t>
      </w:r>
      <w:r w:rsidR="002A5BE6">
        <w:rPr>
          <w:lang w:val="en-GB"/>
        </w:rPr>
        <w:fldChar w:fldCharType="end"/>
      </w:r>
    </w:p>
    <w:p w14:paraId="56169211" w14:textId="684B56CD" w:rsidR="00C70C5A" w:rsidRPr="00F2167D" w:rsidRDefault="00FF6160" w:rsidP="000F5C92">
      <w:pPr>
        <w:pStyle w:val="BodyText"/>
        <w:rPr>
          <w:lang w:val="en-GB"/>
        </w:rPr>
      </w:pPr>
      <w:r w:rsidRPr="00FF6160">
        <w:rPr>
          <w:lang w:val="en-GB"/>
        </w:rPr>
        <w:t xml:space="preserve">Serious thromboembolic events were reported in concizumab </w:t>
      </w:r>
      <w:r w:rsidR="008037C2">
        <w:rPr>
          <w:lang w:val="en-GB"/>
        </w:rPr>
        <w:t xml:space="preserve">phase 3 </w:t>
      </w:r>
      <w:r w:rsidRPr="00FF6160">
        <w:rPr>
          <w:lang w:val="en-GB"/>
        </w:rPr>
        <w:t>clinical trials</w:t>
      </w:r>
      <w:r w:rsidR="0004484E">
        <w:rPr>
          <w:lang w:val="en-GB"/>
        </w:rPr>
        <w:t>,</w:t>
      </w:r>
      <w:r w:rsidR="00264EE3">
        <w:rPr>
          <w:lang w:val="en-GB"/>
        </w:rPr>
        <w:t xml:space="preserve"> in </w:t>
      </w:r>
      <w:r w:rsidR="00264EE3" w:rsidRPr="002F395C">
        <w:rPr>
          <w:lang w:val="en-GB"/>
        </w:rPr>
        <w:t xml:space="preserve">context </w:t>
      </w:r>
      <w:proofErr w:type="gramStart"/>
      <w:r w:rsidR="00264EE3" w:rsidRPr="002F395C">
        <w:rPr>
          <w:lang w:val="en-GB"/>
        </w:rPr>
        <w:t>of</w:t>
      </w:r>
      <w:r w:rsidRPr="0004484E">
        <w:rPr>
          <w:lang w:val="en-GB"/>
        </w:rPr>
        <w:t xml:space="preserve"> </w:t>
      </w:r>
      <w:r w:rsidR="00264EE3" w:rsidRPr="00E8114C">
        <w:t xml:space="preserve"> therapy</w:t>
      </w:r>
      <w:proofErr w:type="gramEnd"/>
      <w:r w:rsidR="00264EE3" w:rsidRPr="00E8114C">
        <w:t xml:space="preserve"> </w:t>
      </w:r>
      <w:r w:rsidR="0011758C" w:rsidRPr="00E8114C">
        <w:rPr>
          <w:lang w:val="en-GB"/>
        </w:rPr>
        <w:t>for breakthrough bleeding</w:t>
      </w:r>
      <w:r w:rsidR="0011758C" w:rsidRPr="00E8114C">
        <w:t xml:space="preserve"> </w:t>
      </w:r>
      <w:r w:rsidR="0011758C">
        <w:t xml:space="preserve">that was </w:t>
      </w:r>
      <w:r w:rsidR="00264EE3" w:rsidRPr="00E8114C">
        <w:t>in excess of standard dosage</w:t>
      </w:r>
      <w:r w:rsidR="00264EE3" w:rsidRPr="00E8114C">
        <w:rPr>
          <w:lang w:val="en-GB"/>
        </w:rPr>
        <w:t>.</w:t>
      </w:r>
      <w:r w:rsidRPr="00E8114C">
        <w:rPr>
          <w:lang w:val="en-GB"/>
        </w:rPr>
        <w:t xml:space="preserve"> </w:t>
      </w:r>
      <w:r w:rsidR="00264EE3" w:rsidRPr="00E8114C">
        <w:rPr>
          <w:lang w:val="en-GB"/>
        </w:rPr>
        <w:t xml:space="preserve">In two of three cases, </w:t>
      </w:r>
      <w:r w:rsidRPr="00E8114C">
        <w:rPr>
          <w:lang w:val="en-GB"/>
        </w:rPr>
        <w:t>plasma concentrations of concizumab</w:t>
      </w:r>
      <w:r w:rsidR="00264EE3" w:rsidRPr="00E8114C">
        <w:rPr>
          <w:lang w:val="en-GB"/>
        </w:rPr>
        <w:t xml:space="preserve"> were at the higher end of the observed range of exposure. Dosing for all patients in the trial was subsequently changed to the approved</w:t>
      </w:r>
      <w:r w:rsidR="00CD7FFD" w:rsidRPr="00E8114C">
        <w:rPr>
          <w:lang w:val="en-GB"/>
        </w:rPr>
        <w:t xml:space="preserve"> dose regimen</w:t>
      </w:r>
      <w:r w:rsidR="0004484E">
        <w:rPr>
          <w:lang w:val="en-GB"/>
        </w:rPr>
        <w:t xml:space="preserve"> (see </w:t>
      </w:r>
      <w:r w:rsidR="0004484E">
        <w:rPr>
          <w:lang w:val="en-GB"/>
        </w:rPr>
        <w:fldChar w:fldCharType="begin"/>
      </w:r>
      <w:r w:rsidR="0004484E">
        <w:rPr>
          <w:lang w:val="en-GB"/>
        </w:rPr>
        <w:instrText xml:space="preserve"> REF _Ref132725430 \h </w:instrText>
      </w:r>
      <w:r w:rsidR="0004484E">
        <w:rPr>
          <w:lang w:val="en-GB"/>
        </w:rPr>
      </w:r>
      <w:r w:rsidR="0004484E">
        <w:rPr>
          <w:lang w:val="en-GB"/>
        </w:rPr>
        <w:fldChar w:fldCharType="separate"/>
      </w:r>
      <w:r w:rsidR="00A8319D" w:rsidRPr="002554A2">
        <w:t xml:space="preserve">Table </w:t>
      </w:r>
      <w:r w:rsidR="00A8319D">
        <w:rPr>
          <w:noProof/>
        </w:rPr>
        <w:t>1</w:t>
      </w:r>
      <w:r w:rsidR="0004484E">
        <w:rPr>
          <w:lang w:val="en-GB"/>
        </w:rPr>
        <w:fldChar w:fldCharType="end"/>
      </w:r>
      <w:r w:rsidR="0021706B">
        <w:rPr>
          <w:lang w:val="en-GB"/>
        </w:rPr>
        <w:t>), with breakthrough bleed guidance as outlined</w:t>
      </w:r>
      <w:r w:rsidR="0004484E">
        <w:rPr>
          <w:lang w:val="en-GB"/>
        </w:rPr>
        <w:t xml:space="preserve"> in </w:t>
      </w:r>
      <w:r w:rsidR="008642F6">
        <w:rPr>
          <w:lang w:val="en-GB"/>
        </w:rPr>
        <w:fldChar w:fldCharType="begin"/>
      </w:r>
      <w:r w:rsidR="008642F6">
        <w:rPr>
          <w:lang w:val="en-GB"/>
        </w:rPr>
        <w:instrText xml:space="preserve"> REF _Ref109135507 \r \h </w:instrText>
      </w:r>
      <w:r w:rsidR="008642F6">
        <w:rPr>
          <w:lang w:val="en-GB"/>
        </w:rPr>
      </w:r>
      <w:r w:rsidR="008642F6">
        <w:rPr>
          <w:lang w:val="en-GB"/>
        </w:rPr>
        <w:fldChar w:fldCharType="separate"/>
      </w:r>
      <w:r w:rsidR="008642F6">
        <w:rPr>
          <w:cs/>
          <w:lang w:val="en-GB"/>
        </w:rPr>
        <w:t>‎</w:t>
      </w:r>
      <w:r w:rsidR="008642F6">
        <w:rPr>
          <w:lang w:val="en-GB"/>
        </w:rPr>
        <w:t>4.2</w:t>
      </w:r>
      <w:r w:rsidR="008642F6">
        <w:rPr>
          <w:lang w:val="en-GB"/>
        </w:rPr>
        <w:fldChar w:fldCharType="end"/>
      </w:r>
      <w:r w:rsidR="0004484E">
        <w:rPr>
          <w:lang w:val="en-GB"/>
        </w:rPr>
        <w:t xml:space="preserve"> </w:t>
      </w:r>
      <w:r w:rsidR="008642F6">
        <w:rPr>
          <w:lang w:val="en-GB"/>
        </w:rPr>
        <w:fldChar w:fldCharType="begin"/>
      </w:r>
      <w:r w:rsidR="008642F6">
        <w:rPr>
          <w:lang w:val="en-GB"/>
        </w:rPr>
        <w:instrText xml:space="preserve"> REF _Ref109135507 \h </w:instrText>
      </w:r>
      <w:r w:rsidR="008642F6">
        <w:rPr>
          <w:lang w:val="en-GB"/>
        </w:rPr>
      </w:r>
      <w:r w:rsidR="008642F6">
        <w:rPr>
          <w:lang w:val="en-GB"/>
        </w:rPr>
        <w:fldChar w:fldCharType="separate"/>
      </w:r>
      <w:r w:rsidR="008642F6" w:rsidRPr="006570D4">
        <w:t>Dose and method of administration</w:t>
      </w:r>
      <w:r w:rsidR="008642F6">
        <w:rPr>
          <w:lang w:val="en-GB"/>
        </w:rPr>
        <w:fldChar w:fldCharType="end"/>
      </w:r>
      <w:r w:rsidR="00264EE3" w:rsidRPr="0004484E">
        <w:rPr>
          <w:lang w:val="en-GB"/>
        </w:rPr>
        <w:t>, after which no furt</w:t>
      </w:r>
      <w:r w:rsidR="00264EE3" w:rsidRPr="00315976">
        <w:rPr>
          <w:lang w:val="en-GB"/>
        </w:rPr>
        <w:t xml:space="preserve">her </w:t>
      </w:r>
      <w:r w:rsidR="00264EE3" w:rsidRPr="00F62BD6">
        <w:rPr>
          <w:lang w:val="en-GB"/>
        </w:rPr>
        <w:t>thromboembolic events were o</w:t>
      </w:r>
      <w:r w:rsidR="00264EE3" w:rsidRPr="000B1843">
        <w:rPr>
          <w:lang w:val="en-GB"/>
        </w:rPr>
        <w:t>bser</w:t>
      </w:r>
      <w:r w:rsidR="00264EE3" w:rsidRPr="00F762F6">
        <w:rPr>
          <w:lang w:val="en-GB"/>
        </w:rPr>
        <w:t>ved</w:t>
      </w:r>
      <w:r w:rsidRPr="00E8114C">
        <w:rPr>
          <w:lang w:val="en-GB"/>
        </w:rPr>
        <w:t>.</w:t>
      </w:r>
      <w:r w:rsidR="00CD7FFD" w:rsidRPr="00E8114C">
        <w:rPr>
          <w:lang w:val="en-GB"/>
        </w:rPr>
        <w:t xml:space="preserve"> </w:t>
      </w:r>
    </w:p>
    <w:p w14:paraId="215BC79E" w14:textId="0BF9C292" w:rsidR="00E8114C" w:rsidRPr="00E8114C" w:rsidRDefault="00C70C5A" w:rsidP="00E8114C">
      <w:pPr>
        <w:pStyle w:val="BodyText"/>
        <w:rPr>
          <w:lang w:val="en-GB"/>
        </w:rPr>
      </w:pPr>
      <w:r w:rsidRPr="002F395C">
        <w:rPr>
          <w:lang w:val="en-GB"/>
        </w:rPr>
        <w:t xml:space="preserve">Patients at high risk </w:t>
      </w:r>
      <w:r w:rsidRPr="0004484E">
        <w:rPr>
          <w:lang w:val="en-GB"/>
        </w:rPr>
        <w:t>of</w:t>
      </w:r>
      <w:r w:rsidRPr="00315976">
        <w:rPr>
          <w:lang w:val="en-GB"/>
        </w:rPr>
        <w:t xml:space="preserve"> thromboemboli</w:t>
      </w:r>
      <w:r w:rsidRPr="00F62BD6">
        <w:rPr>
          <w:lang w:val="en-GB"/>
        </w:rPr>
        <w:t>sm were excluded from clinical studies</w:t>
      </w:r>
      <w:r w:rsidR="004E2BFD">
        <w:rPr>
          <w:lang w:val="en-GB"/>
        </w:rPr>
        <w:t>.</w:t>
      </w:r>
      <w:r w:rsidRPr="00F62BD6">
        <w:rPr>
          <w:lang w:val="en-GB"/>
        </w:rPr>
        <w:t xml:space="preserve"> </w:t>
      </w:r>
      <w:r w:rsidR="004E2BFD">
        <w:rPr>
          <w:lang w:val="en-GB"/>
        </w:rPr>
        <w:t xml:space="preserve">Factors considered in assessing an individual’s risk </w:t>
      </w:r>
      <w:r w:rsidRPr="00F62BD6">
        <w:rPr>
          <w:lang w:val="en-GB"/>
        </w:rPr>
        <w:t>includ</w:t>
      </w:r>
      <w:r w:rsidR="004E2BFD">
        <w:rPr>
          <w:lang w:val="en-GB"/>
        </w:rPr>
        <w:t>ed</w:t>
      </w:r>
      <w:r w:rsidRPr="00F62BD6">
        <w:rPr>
          <w:lang w:val="en-GB"/>
        </w:rPr>
        <w:t xml:space="preserve"> t</w:t>
      </w:r>
      <w:r w:rsidRPr="000B1843">
        <w:rPr>
          <w:lang w:val="en-GB"/>
        </w:rPr>
        <w:t xml:space="preserve">a history or family history of </w:t>
      </w:r>
      <w:r w:rsidR="00E8114C" w:rsidRPr="00F762F6">
        <w:rPr>
          <w:lang w:val="en-GB"/>
        </w:rPr>
        <w:t>thromboembolism</w:t>
      </w:r>
      <w:r w:rsidRPr="00F762F6">
        <w:rPr>
          <w:lang w:val="en-GB"/>
        </w:rPr>
        <w:t>, obesity, arrhythmias, hypertension, diabetes, hypercholesterolaemia, smoking, recent major surgeries, and old</w:t>
      </w:r>
      <w:r w:rsidR="00E8114C" w:rsidRPr="00A72B9C">
        <w:rPr>
          <w:lang w:val="en-GB"/>
        </w:rPr>
        <w:t>er</w:t>
      </w:r>
      <w:r w:rsidRPr="00DA215F">
        <w:rPr>
          <w:lang w:val="en-GB"/>
        </w:rPr>
        <w:t xml:space="preserve"> age</w:t>
      </w:r>
      <w:r w:rsidRPr="00E8114C">
        <w:rPr>
          <w:lang w:val="en-GB"/>
        </w:rPr>
        <w:t xml:space="preserve">. </w:t>
      </w:r>
      <w:r w:rsidR="00E8114C" w:rsidRPr="00E8114C">
        <w:rPr>
          <w:lang w:val="en-GB"/>
        </w:rPr>
        <w:t xml:space="preserve">In conditions in which tissue factor is overexpressed (e.g., advanced atherosclerotic disease, crush injury, </w:t>
      </w:r>
      <w:proofErr w:type="gramStart"/>
      <w:r w:rsidR="00E8114C" w:rsidRPr="00E8114C">
        <w:rPr>
          <w:lang w:val="en-GB"/>
        </w:rPr>
        <w:t>cancer</w:t>
      </w:r>
      <w:proofErr w:type="gramEnd"/>
      <w:r w:rsidR="00E8114C" w:rsidRPr="00E8114C">
        <w:rPr>
          <w:lang w:val="en-GB"/>
        </w:rPr>
        <w:t xml:space="preserve"> or septicaemia), there may be a further risk of thromboembolic events or disseminated intravascular coagulation (DIC) with Alhemo treatment. </w:t>
      </w:r>
    </w:p>
    <w:p w14:paraId="422D50BC" w14:textId="3702D2CC" w:rsidR="00483FD8" w:rsidRPr="00E8114C" w:rsidRDefault="00264EE3" w:rsidP="00483FD8">
      <w:pPr>
        <w:pStyle w:val="BodyText"/>
        <w:rPr>
          <w:lang w:val="en-GB"/>
        </w:rPr>
      </w:pPr>
      <w:r w:rsidRPr="00E8114C">
        <w:rPr>
          <w:lang w:val="en-GB"/>
        </w:rPr>
        <w:t>Inform p</w:t>
      </w:r>
      <w:r w:rsidR="00483FD8" w:rsidRPr="00E8114C">
        <w:rPr>
          <w:lang w:val="en-GB"/>
        </w:rPr>
        <w:t>atients</w:t>
      </w:r>
      <w:r w:rsidR="00CD7FFD" w:rsidRPr="00F2167D">
        <w:rPr>
          <w:lang w:val="en-GB"/>
        </w:rPr>
        <w:t xml:space="preserve"> and caregivers</w:t>
      </w:r>
      <w:r w:rsidR="00C70C5A" w:rsidRPr="00F2167D">
        <w:rPr>
          <w:lang w:val="en-GB"/>
        </w:rPr>
        <w:t xml:space="preserve"> that thromboembolism could occur</w:t>
      </w:r>
      <w:r w:rsidR="00FF6160" w:rsidRPr="00E8114C">
        <w:rPr>
          <w:lang w:val="en-GB"/>
        </w:rPr>
        <w:t>,</w:t>
      </w:r>
      <w:r w:rsidR="00483FD8" w:rsidRPr="00E8114C">
        <w:rPr>
          <w:lang w:val="en-GB"/>
        </w:rPr>
        <w:t xml:space="preserve"> </w:t>
      </w:r>
      <w:r w:rsidR="00C70C5A" w:rsidRPr="00F2167D">
        <w:rPr>
          <w:lang w:val="en-GB"/>
        </w:rPr>
        <w:t xml:space="preserve">that </w:t>
      </w:r>
      <w:r w:rsidR="00E8114C" w:rsidRPr="00F2167D">
        <w:rPr>
          <w:lang w:val="en-GB"/>
        </w:rPr>
        <w:t>to minimise the risk,</w:t>
      </w:r>
      <w:r w:rsidR="00C70C5A" w:rsidRPr="00F2167D">
        <w:rPr>
          <w:lang w:val="en-GB"/>
        </w:rPr>
        <w:t xml:space="preserve"> the lowest effective dose of bypassing agent </w:t>
      </w:r>
      <w:r w:rsidR="00E8114C" w:rsidRPr="00F2167D">
        <w:rPr>
          <w:lang w:val="en-GB"/>
        </w:rPr>
        <w:t xml:space="preserve">should be used </w:t>
      </w:r>
      <w:r w:rsidR="00C70C5A" w:rsidRPr="00F2167D">
        <w:rPr>
          <w:lang w:val="en-GB"/>
        </w:rPr>
        <w:t xml:space="preserve">to treat breakthrough bleeds, </w:t>
      </w:r>
      <w:r w:rsidR="00483FD8" w:rsidRPr="002F395C">
        <w:rPr>
          <w:lang w:val="en-GB"/>
        </w:rPr>
        <w:t xml:space="preserve">and </w:t>
      </w:r>
      <w:r w:rsidR="00C70C5A" w:rsidRPr="00F2167D">
        <w:rPr>
          <w:lang w:val="en-GB"/>
        </w:rPr>
        <w:t xml:space="preserve">that they </w:t>
      </w:r>
      <w:proofErr w:type="gramStart"/>
      <w:r w:rsidR="00C70C5A" w:rsidRPr="00F2167D">
        <w:rPr>
          <w:lang w:val="en-GB"/>
        </w:rPr>
        <w:t>should self-</w:t>
      </w:r>
      <w:r w:rsidR="00483FD8" w:rsidRPr="002F395C">
        <w:rPr>
          <w:lang w:val="en-GB"/>
        </w:rPr>
        <w:t>monitor</w:t>
      </w:r>
      <w:r w:rsidR="00483FD8" w:rsidRPr="00E8114C">
        <w:rPr>
          <w:lang w:val="en-GB"/>
        </w:rPr>
        <w:t xml:space="preserve"> for signs and symptoms of thromboembolic events</w:t>
      </w:r>
      <w:r w:rsidR="00C70C5A" w:rsidRPr="00F2167D">
        <w:rPr>
          <w:lang w:val="en-GB"/>
        </w:rPr>
        <w:t xml:space="preserve"> at all times</w:t>
      </w:r>
      <w:proofErr w:type="gramEnd"/>
      <w:r w:rsidR="00483FD8" w:rsidRPr="002F395C">
        <w:rPr>
          <w:lang w:val="en-GB"/>
        </w:rPr>
        <w:t xml:space="preserve">. </w:t>
      </w:r>
      <w:r w:rsidR="00CD7FFD" w:rsidRPr="00E8114C">
        <w:rPr>
          <w:lang w:val="en-GB"/>
        </w:rPr>
        <w:t>Discontinue concizumab if</w:t>
      </w:r>
      <w:r w:rsidR="00483FD8" w:rsidRPr="00E8114C">
        <w:rPr>
          <w:lang w:val="en-GB"/>
        </w:rPr>
        <w:t xml:space="preserve"> thromboemboli</w:t>
      </w:r>
      <w:r w:rsidR="00CD7FFD" w:rsidRPr="00E8114C">
        <w:rPr>
          <w:lang w:val="en-GB"/>
        </w:rPr>
        <w:t xml:space="preserve">sm is </w:t>
      </w:r>
      <w:proofErr w:type="gramStart"/>
      <w:r w:rsidR="00CD7FFD" w:rsidRPr="00E8114C">
        <w:rPr>
          <w:lang w:val="en-GB"/>
        </w:rPr>
        <w:t>suspected</w:t>
      </w:r>
      <w:r w:rsidR="00483FD8" w:rsidRPr="00E8114C">
        <w:rPr>
          <w:lang w:val="en-GB"/>
        </w:rPr>
        <w:t>, and</w:t>
      </w:r>
      <w:proofErr w:type="gramEnd"/>
      <w:r w:rsidR="00CD7FFD" w:rsidRPr="00E8114C">
        <w:rPr>
          <w:lang w:val="en-GB"/>
        </w:rPr>
        <w:t xml:space="preserve"> initiate</w:t>
      </w:r>
      <w:r w:rsidR="00483FD8" w:rsidRPr="00E8114C">
        <w:rPr>
          <w:lang w:val="en-GB"/>
        </w:rPr>
        <w:t xml:space="preserve"> further investigations and appropriate medical treatment.</w:t>
      </w:r>
    </w:p>
    <w:p w14:paraId="3F9C1456" w14:textId="3CB00092" w:rsidR="00BC24F6" w:rsidRPr="00483FD8" w:rsidRDefault="00BC24F6" w:rsidP="00BC24F6">
      <w:pPr>
        <w:pStyle w:val="Heading3-TNR"/>
        <w:rPr>
          <w:lang w:val="en-GB"/>
        </w:rPr>
      </w:pPr>
      <w:r w:rsidRPr="00E8114C">
        <w:rPr>
          <w:lang w:val="en-GB"/>
        </w:rPr>
        <w:t>Hypersensitivity reactions</w:t>
      </w:r>
      <w:r w:rsidR="002A5BE6" w:rsidRPr="002F395C">
        <w:rPr>
          <w:lang w:val="en-GB"/>
        </w:rPr>
        <w:fldChar w:fldCharType="begin"/>
      </w:r>
      <w:r w:rsidR="002A5BE6" w:rsidRPr="00E8114C">
        <w:rPr>
          <w:lang w:val="en-GB"/>
        </w:rPr>
        <w:instrText xml:space="preserve"> DOCVARIABLE vault_nd_cc8bfa63-988f-49c4-ae0f-b90e16bef9b5 \* MERGEFORMAT </w:instrText>
      </w:r>
      <w:r w:rsidR="002A5BE6" w:rsidRPr="002F395C">
        <w:rPr>
          <w:lang w:val="en-GB"/>
        </w:rPr>
        <w:fldChar w:fldCharType="separate"/>
      </w:r>
      <w:r w:rsidR="00A8319D">
        <w:rPr>
          <w:lang w:val="en-GB"/>
        </w:rPr>
        <w:t xml:space="preserve"> </w:t>
      </w:r>
      <w:r w:rsidR="002A5BE6" w:rsidRPr="002F395C">
        <w:rPr>
          <w:lang w:val="en-GB"/>
        </w:rPr>
        <w:fldChar w:fldCharType="end"/>
      </w:r>
    </w:p>
    <w:p w14:paraId="5BE46A07" w14:textId="7D59F3E7" w:rsidR="00BC24F6" w:rsidRDefault="00D72A66" w:rsidP="00BC24F6">
      <w:pPr>
        <w:pStyle w:val="BodyText"/>
        <w:rPr>
          <w:lang w:val="en-GB"/>
        </w:rPr>
      </w:pPr>
      <w:r>
        <w:rPr>
          <w:lang w:val="en-GB"/>
        </w:rPr>
        <w:t>Concizumab can cause a</w:t>
      </w:r>
      <w:r w:rsidR="00BC24F6" w:rsidRPr="00483FD8">
        <w:rPr>
          <w:lang w:val="en-GB"/>
        </w:rPr>
        <w:t>llergic</w:t>
      </w:r>
      <w:r w:rsidR="00CD7FFD">
        <w:rPr>
          <w:lang w:val="en-GB"/>
        </w:rPr>
        <w:t>-</w:t>
      </w:r>
      <w:r w:rsidR="00BC24F6" w:rsidRPr="00483FD8">
        <w:rPr>
          <w:lang w:val="en-GB"/>
        </w:rPr>
        <w:t xml:space="preserve">type hypersensitivity reactions. </w:t>
      </w:r>
      <w:r w:rsidR="00CD7FFD">
        <w:rPr>
          <w:lang w:val="en-GB"/>
        </w:rPr>
        <w:t>Inform p</w:t>
      </w:r>
      <w:r w:rsidR="00BC24F6" w:rsidRPr="00483FD8">
        <w:rPr>
          <w:lang w:val="en-GB"/>
        </w:rPr>
        <w:t xml:space="preserve">atients </w:t>
      </w:r>
      <w:r w:rsidR="00CD7FFD">
        <w:rPr>
          <w:lang w:val="en-GB"/>
        </w:rPr>
        <w:t xml:space="preserve">and/or caregivers </w:t>
      </w:r>
      <w:r w:rsidR="00BC24F6" w:rsidRPr="00483FD8">
        <w:rPr>
          <w:lang w:val="en-GB"/>
        </w:rPr>
        <w:t>of the signs</w:t>
      </w:r>
      <w:r w:rsidR="00CD7FFD">
        <w:rPr>
          <w:lang w:val="en-GB"/>
        </w:rPr>
        <w:t xml:space="preserve"> and symptoms</w:t>
      </w:r>
      <w:r w:rsidR="00BC24F6" w:rsidRPr="00483FD8">
        <w:rPr>
          <w:lang w:val="en-GB"/>
        </w:rPr>
        <w:t xml:space="preserve"> </w:t>
      </w:r>
      <w:r>
        <w:rPr>
          <w:lang w:val="en-GB"/>
        </w:rPr>
        <w:t>they should monitor for</w:t>
      </w:r>
      <w:r w:rsidR="00CD7FFD">
        <w:rPr>
          <w:lang w:val="en-GB"/>
        </w:rPr>
        <w:t>, and to seek emergency medical care if they occur</w:t>
      </w:r>
      <w:r w:rsidR="00BC24F6" w:rsidRPr="00483FD8">
        <w:rPr>
          <w:lang w:val="en-GB"/>
        </w:rPr>
        <w:t xml:space="preserve">. </w:t>
      </w:r>
      <w:r>
        <w:rPr>
          <w:lang w:val="en-GB"/>
        </w:rPr>
        <w:t xml:space="preserve">If hypersensitivity occurs, discontinue concizumab and initiate appropriate treatment. </w:t>
      </w:r>
    </w:p>
    <w:p w14:paraId="2964FCBA" w14:textId="77777777" w:rsidR="00FF6160" w:rsidRPr="00F2167D" w:rsidRDefault="00FF6160" w:rsidP="00F2167D">
      <w:pPr>
        <w:pStyle w:val="Heading3-TNR"/>
        <w:rPr>
          <w:b w:val="0"/>
          <w:bCs w:val="0"/>
          <w:lang w:val="en-GB"/>
        </w:rPr>
      </w:pPr>
      <w:r w:rsidRPr="00F2167D">
        <w:rPr>
          <w:lang w:val="en-GB"/>
        </w:rPr>
        <w:lastRenderedPageBreak/>
        <w:t xml:space="preserve">Immune tolerance induction (ITI) </w:t>
      </w:r>
    </w:p>
    <w:p w14:paraId="7C58BB5B" w14:textId="4EFB5E0F" w:rsidR="00FF6160" w:rsidRDefault="00FF6160" w:rsidP="00FF6160">
      <w:pPr>
        <w:pStyle w:val="BodyText"/>
        <w:rPr>
          <w:lang w:val="en-GB"/>
        </w:rPr>
      </w:pPr>
      <w:r w:rsidRPr="000906D8">
        <w:rPr>
          <w:lang w:val="en-GB"/>
        </w:rPr>
        <w:t xml:space="preserve">The safety and efficacy of concizumab in patients receiving ongoing immune tolerance induction have not been established. </w:t>
      </w:r>
    </w:p>
    <w:p w14:paraId="1C543EFE" w14:textId="5001BBAC" w:rsidR="00FF6160" w:rsidRPr="00FF6160" w:rsidRDefault="00FF6160" w:rsidP="00F2167D">
      <w:pPr>
        <w:pStyle w:val="Heading3-TNR"/>
        <w:rPr>
          <w:lang w:val="en-GB"/>
        </w:rPr>
      </w:pPr>
      <w:r w:rsidRPr="00FF6160">
        <w:rPr>
          <w:lang w:val="en-GB"/>
        </w:rPr>
        <w:t>Use in patients with low-responding inhibitors</w:t>
      </w:r>
    </w:p>
    <w:p w14:paraId="6D899DEF" w14:textId="48624735" w:rsidR="00FF6160" w:rsidRPr="00483FD8" w:rsidRDefault="00FF6160" w:rsidP="00FF6160">
      <w:pPr>
        <w:pStyle w:val="BodyText"/>
        <w:rPr>
          <w:lang w:val="en-GB"/>
        </w:rPr>
      </w:pPr>
      <w:r w:rsidRPr="00FF6160">
        <w:rPr>
          <w:lang w:val="en-GB"/>
        </w:rPr>
        <w:t>The safety of high doses of factor IX</w:t>
      </w:r>
      <w:r w:rsidR="00CD7FFD">
        <w:rPr>
          <w:lang w:val="en-GB"/>
        </w:rPr>
        <w:t xml:space="preserve"> (</w:t>
      </w:r>
      <w:r w:rsidR="00CD7FFD" w:rsidRPr="00CD7FFD">
        <w:rPr>
          <w:lang w:val="en-GB"/>
        </w:rPr>
        <w:t>such as those used in immune tolerance induction or for treatment of bleeds</w:t>
      </w:r>
      <w:r w:rsidRPr="00FF6160">
        <w:rPr>
          <w:lang w:val="en-GB"/>
        </w:rPr>
        <w:t xml:space="preserve"> in</w:t>
      </w:r>
      <w:r>
        <w:rPr>
          <w:lang w:val="en-GB"/>
        </w:rPr>
        <w:t xml:space="preserve"> </w:t>
      </w:r>
      <w:r w:rsidRPr="00FF6160">
        <w:rPr>
          <w:lang w:val="en-GB"/>
        </w:rPr>
        <w:t>patients with low-responding inhibitors</w:t>
      </w:r>
      <w:r w:rsidR="00CD7FFD">
        <w:rPr>
          <w:lang w:val="en-GB"/>
        </w:rPr>
        <w:t>)</w:t>
      </w:r>
      <w:r w:rsidRPr="00FF6160">
        <w:rPr>
          <w:lang w:val="en-GB"/>
        </w:rPr>
        <w:t xml:space="preserve"> </w:t>
      </w:r>
      <w:r w:rsidR="00CD7FFD">
        <w:rPr>
          <w:lang w:val="en-GB"/>
        </w:rPr>
        <w:t>in patients</w:t>
      </w:r>
      <w:r w:rsidR="00CD7FFD" w:rsidRPr="00FF6160">
        <w:rPr>
          <w:lang w:val="en-GB"/>
        </w:rPr>
        <w:t xml:space="preserve"> </w:t>
      </w:r>
      <w:r w:rsidRPr="00FF6160">
        <w:rPr>
          <w:lang w:val="en-GB"/>
        </w:rPr>
        <w:t xml:space="preserve">receiving concizumab </w:t>
      </w:r>
      <w:r w:rsidR="00CD7FFD">
        <w:rPr>
          <w:lang w:val="en-GB"/>
        </w:rPr>
        <w:t xml:space="preserve">prophylaxis </w:t>
      </w:r>
      <w:r w:rsidRPr="00FF6160">
        <w:rPr>
          <w:lang w:val="en-GB"/>
        </w:rPr>
        <w:t>has not been established</w:t>
      </w:r>
      <w:r w:rsidR="00175DE0">
        <w:rPr>
          <w:lang w:val="en-GB"/>
        </w:rPr>
        <w:t>.</w:t>
      </w:r>
    </w:p>
    <w:p w14:paraId="2F591BCA" w14:textId="32DD6F54" w:rsidR="00D72A66" w:rsidRDefault="00D72A66" w:rsidP="00C70C5A">
      <w:pPr>
        <w:pStyle w:val="Heading3-TNR"/>
      </w:pPr>
      <w:r>
        <w:t>Immunogenicity</w:t>
      </w:r>
      <w:fldSimple w:instr=" DOCVARIABLE vault_nd_f02352b5-2a5e-461c-8607-b321d8963eec \* MERGEFORMAT ">
        <w:r w:rsidR="00A8319D">
          <w:t xml:space="preserve"> </w:t>
        </w:r>
      </w:fldSimple>
    </w:p>
    <w:p w14:paraId="787BB231" w14:textId="7EEED84E" w:rsidR="00D72A66" w:rsidRPr="00F94267" w:rsidRDefault="00D72A66" w:rsidP="00F2167D">
      <w:pPr>
        <w:rPr>
          <w:rFonts w:cs="Times New Roman"/>
        </w:rPr>
      </w:pPr>
      <w:r w:rsidRPr="00F2167D">
        <w:rPr>
          <w:rFonts w:ascii="Times New Roman" w:hAnsi="Times New Roman" w:cs="Times New Roman"/>
          <w:sz w:val="24"/>
          <w:szCs w:val="24"/>
        </w:rPr>
        <w:t xml:space="preserve">Two patients in the clinical development program reported </w:t>
      </w:r>
      <w:r w:rsidR="00BF5E9E">
        <w:rPr>
          <w:rFonts w:ascii="Times New Roman" w:hAnsi="Times New Roman" w:cs="Times New Roman"/>
          <w:sz w:val="24"/>
          <w:szCs w:val="24"/>
        </w:rPr>
        <w:t>reduced</w:t>
      </w:r>
      <w:r w:rsidRPr="00F2167D">
        <w:rPr>
          <w:rFonts w:ascii="Times New Roman" w:hAnsi="Times New Roman" w:cs="Times New Roman"/>
          <w:sz w:val="24"/>
          <w:szCs w:val="24"/>
        </w:rPr>
        <w:t xml:space="preserve"> efficacy with anti-concizumab antibodies. See 5.1 Pharmacodynamic properties.</w:t>
      </w:r>
    </w:p>
    <w:p w14:paraId="195F60F7" w14:textId="73156AC4" w:rsidR="00C70C5A" w:rsidRDefault="00C70C5A" w:rsidP="00C70C5A">
      <w:pPr>
        <w:pStyle w:val="Heading3-TNR"/>
      </w:pPr>
      <w:r>
        <w:t>Use in renal impairment</w:t>
      </w:r>
      <w:fldSimple w:instr=" DOCVARIABLE vault_nd_6f249603-ac49-4a41-a2f0-b20a3b8c35e3 \* MERGEFORMAT ">
        <w:r w:rsidR="00A8319D">
          <w:t xml:space="preserve"> </w:t>
        </w:r>
      </w:fldSimple>
    </w:p>
    <w:p w14:paraId="7B179315" w14:textId="38C2BB3B" w:rsidR="00C70C5A" w:rsidRDefault="00C70C5A" w:rsidP="00E8114C">
      <w:pPr>
        <w:pStyle w:val="BodyText"/>
      </w:pPr>
      <w:r>
        <w:t>Alhemo has not been studied in patients with severe renal impairment (</w:t>
      </w:r>
      <w:r w:rsidRPr="005C6801">
        <w:t>eGFR ≤30 mL/min/1.73 m</w:t>
      </w:r>
      <w:r w:rsidRPr="005C6801">
        <w:rPr>
          <w:vertAlign w:val="superscript"/>
        </w:rPr>
        <w:t>2</w:t>
      </w:r>
      <w:r>
        <w:t>).</w:t>
      </w:r>
    </w:p>
    <w:p w14:paraId="5272850A" w14:textId="035FB389" w:rsidR="00C70C5A" w:rsidRDefault="00C70C5A" w:rsidP="00E8114C">
      <w:pPr>
        <w:pStyle w:val="Heading3-TNR"/>
      </w:pPr>
      <w:r>
        <w:t>Use in hepatic impairment</w:t>
      </w:r>
      <w:fldSimple w:instr=" DOCVARIABLE vault_nd_0b67247f-9173-454d-987e-9eedcae605eb \* MERGEFORMAT ">
        <w:r w:rsidR="00A8319D">
          <w:t xml:space="preserve"> </w:t>
        </w:r>
      </w:fldSimple>
    </w:p>
    <w:p w14:paraId="7827466B" w14:textId="221F9B02" w:rsidR="00C70C5A" w:rsidRPr="002F395C" w:rsidRDefault="00C70C5A" w:rsidP="002F395C">
      <w:pPr>
        <w:pStyle w:val="BodyText"/>
      </w:pPr>
      <w:r>
        <w:t>Alhemo has not been studied in patients with severe hepatic impairment (</w:t>
      </w:r>
      <w:r w:rsidRPr="00BE235E">
        <w:t>AST or ALT &gt; 3x ULN combined with total bilirubin &gt; 1.5x ULN</w:t>
      </w:r>
      <w:r>
        <w:t>).</w:t>
      </w:r>
    </w:p>
    <w:p w14:paraId="41EAD733" w14:textId="3D15F500" w:rsidR="001A3992" w:rsidRDefault="001A3992">
      <w:pPr>
        <w:pStyle w:val="Heading3-TNR"/>
      </w:pPr>
      <w:r w:rsidRPr="003903B3">
        <w:t>Use in the elderly</w:t>
      </w:r>
      <w:fldSimple w:instr="DOCVARIABLE vault_nd_2f62a130-9222-4b91-91c8-4c6fcd66dedd \* MERGEFORMAT">
        <w:r w:rsidR="00A8319D">
          <w:t xml:space="preserve"> </w:t>
        </w:r>
      </w:fldSimple>
    </w:p>
    <w:p w14:paraId="5932642A" w14:textId="2BED1E0D" w:rsidR="00483FD8" w:rsidRPr="000906D8" w:rsidRDefault="00E8114C" w:rsidP="00483FD8">
      <w:pPr>
        <w:pStyle w:val="BodyText"/>
        <w:rPr>
          <w:lang w:val="en-GB"/>
        </w:rPr>
      </w:pPr>
      <w:r>
        <w:rPr>
          <w:lang w:val="en-GB"/>
        </w:rPr>
        <w:t>There is limited data</w:t>
      </w:r>
      <w:r w:rsidR="00C70C5A">
        <w:rPr>
          <w:lang w:val="en-GB"/>
        </w:rPr>
        <w:t xml:space="preserve"> regarding t</w:t>
      </w:r>
      <w:r w:rsidR="00C70C5A" w:rsidRPr="000906D8">
        <w:rPr>
          <w:lang w:val="en-GB"/>
        </w:rPr>
        <w:t xml:space="preserve">he efficacy and safety of </w:t>
      </w:r>
      <w:r w:rsidR="00C70C5A" w:rsidRPr="00D30A4F">
        <w:rPr>
          <w:lang w:val="en-GB"/>
        </w:rPr>
        <w:t>Alhemo</w:t>
      </w:r>
      <w:r w:rsidR="00C70C5A" w:rsidRPr="000906D8">
        <w:rPr>
          <w:lang w:val="en-GB"/>
        </w:rPr>
        <w:t xml:space="preserve"> in </w:t>
      </w:r>
      <w:r w:rsidR="00C70C5A">
        <w:rPr>
          <w:lang w:val="en-GB"/>
        </w:rPr>
        <w:t>patients over the age of 65</w:t>
      </w:r>
      <w:r w:rsidR="00C70C5A" w:rsidRPr="000906D8">
        <w:rPr>
          <w:lang w:val="en-GB"/>
        </w:rPr>
        <w:t xml:space="preserve"> years</w:t>
      </w:r>
      <w:r w:rsidR="00C70C5A">
        <w:rPr>
          <w:lang w:val="en-GB"/>
        </w:rPr>
        <w:t>. One such patient was included in the explorer7 clinical study.</w:t>
      </w:r>
    </w:p>
    <w:p w14:paraId="694E9E29" w14:textId="4FD88882" w:rsidR="001A3992" w:rsidRDefault="001A3992" w:rsidP="00B01E52">
      <w:pPr>
        <w:pStyle w:val="Heading3-TNR"/>
      </w:pPr>
      <w:r w:rsidRPr="003903B3">
        <w:t>Paediatric use</w:t>
      </w:r>
      <w:fldSimple w:instr="DOCVARIABLE vault_nd_f2f01f90-004a-4cba-986a-d2d38a16c393 \* MERGEFORMAT">
        <w:r w:rsidR="00A8319D">
          <w:t xml:space="preserve"> </w:t>
        </w:r>
      </w:fldSimple>
    </w:p>
    <w:p w14:paraId="2D3A1A59" w14:textId="6EA1B470" w:rsidR="00C70C5A" w:rsidRPr="002F395C" w:rsidRDefault="00483FD8" w:rsidP="00F2167D">
      <w:pPr>
        <w:pStyle w:val="BodyText"/>
      </w:pPr>
      <w:r w:rsidRPr="000906D8">
        <w:rPr>
          <w:lang w:val="en-GB"/>
        </w:rPr>
        <w:t xml:space="preserve">The efficacy and safety of </w:t>
      </w:r>
      <w:r w:rsidR="00D30A4F" w:rsidRPr="00D30A4F">
        <w:rPr>
          <w:lang w:val="en-GB"/>
        </w:rPr>
        <w:t>Alhemo</w:t>
      </w:r>
      <w:r w:rsidRPr="000906D8">
        <w:rPr>
          <w:lang w:val="en-GB"/>
        </w:rPr>
        <w:t xml:space="preserve"> in </w:t>
      </w:r>
      <w:r w:rsidR="00CD7FFD">
        <w:rPr>
          <w:lang w:val="en-GB"/>
        </w:rPr>
        <w:t xml:space="preserve">patients under the age of </w:t>
      </w:r>
      <w:r w:rsidRPr="000906D8">
        <w:rPr>
          <w:lang w:val="en-GB"/>
        </w:rPr>
        <w:t>12 years ha</w:t>
      </w:r>
      <w:r w:rsidR="00CD7FFD">
        <w:rPr>
          <w:lang w:val="en-GB"/>
        </w:rPr>
        <w:t>ve</w:t>
      </w:r>
      <w:r w:rsidRPr="000906D8">
        <w:rPr>
          <w:lang w:val="en-GB"/>
        </w:rPr>
        <w:t xml:space="preserve"> not been established. </w:t>
      </w:r>
    </w:p>
    <w:p w14:paraId="0816748C" w14:textId="47BD2803" w:rsidR="001A3992" w:rsidRDefault="001A3992" w:rsidP="00B01E52">
      <w:pPr>
        <w:pStyle w:val="Heading3-TNR"/>
      </w:pPr>
      <w:r w:rsidRPr="00483FD8">
        <w:t>Effects on laboratory tests</w:t>
      </w:r>
      <w:fldSimple w:instr="DOCVARIABLE vault_nd_1fddb251-0840-4d6a-ace1-389cbc669b88 \* MERGEFORMAT">
        <w:r w:rsidR="00A8319D">
          <w:t xml:space="preserve"> </w:t>
        </w:r>
      </w:fldSimple>
    </w:p>
    <w:p w14:paraId="1DFB1B47" w14:textId="19956C1E" w:rsidR="00483FD8" w:rsidRDefault="00E8114C" w:rsidP="00F704D9">
      <w:pPr>
        <w:pStyle w:val="BodyText"/>
        <w:rPr>
          <w:lang w:val="en-GB"/>
        </w:rPr>
      </w:pPr>
      <w:r>
        <w:rPr>
          <w:lang w:val="en-GB"/>
        </w:rPr>
        <w:t xml:space="preserve">Concizumab </w:t>
      </w:r>
      <w:r w:rsidR="004E2BFD">
        <w:rPr>
          <w:lang w:val="en-GB"/>
        </w:rPr>
        <w:t xml:space="preserve">can </w:t>
      </w:r>
      <w:r>
        <w:rPr>
          <w:lang w:val="en-GB"/>
        </w:rPr>
        <w:t xml:space="preserve">elevate D-dimer and </w:t>
      </w:r>
      <w:r w:rsidRPr="00E8114C">
        <w:rPr>
          <w:lang w:val="en-GB"/>
        </w:rPr>
        <w:t>prothrombin fragment 1+2</w:t>
      </w:r>
      <w:r>
        <w:rPr>
          <w:lang w:val="en-GB"/>
        </w:rPr>
        <w:t xml:space="preserve"> levels.</w:t>
      </w:r>
      <w:r w:rsidR="004E2BFD">
        <w:rPr>
          <w:lang w:val="en-GB"/>
        </w:rPr>
        <w:t xml:space="preserve"> See section </w:t>
      </w:r>
      <w:r w:rsidR="00F704D9">
        <w:rPr>
          <w:lang w:val="en-GB"/>
        </w:rPr>
        <w:fldChar w:fldCharType="begin"/>
      </w:r>
      <w:r w:rsidR="00F704D9">
        <w:rPr>
          <w:lang w:val="en-GB"/>
        </w:rPr>
        <w:instrText xml:space="preserve"> REF _Ref138858798 \r \h </w:instrText>
      </w:r>
      <w:r w:rsidR="00F704D9">
        <w:rPr>
          <w:lang w:val="en-GB"/>
        </w:rPr>
      </w:r>
      <w:r w:rsidR="00F704D9">
        <w:rPr>
          <w:lang w:val="en-GB"/>
        </w:rPr>
        <w:fldChar w:fldCharType="separate"/>
      </w:r>
      <w:r w:rsidR="00F704D9">
        <w:rPr>
          <w:cs/>
          <w:lang w:val="en-GB"/>
        </w:rPr>
        <w:t>‎</w:t>
      </w:r>
      <w:r w:rsidR="00F704D9">
        <w:rPr>
          <w:lang w:val="en-GB"/>
        </w:rPr>
        <w:t>4.8</w:t>
      </w:r>
      <w:r w:rsidR="00F704D9">
        <w:rPr>
          <w:lang w:val="en-GB"/>
        </w:rPr>
        <w:fldChar w:fldCharType="end"/>
      </w:r>
      <w:r w:rsidR="004E2BFD">
        <w:rPr>
          <w:lang w:val="en-GB"/>
        </w:rPr>
        <w:t xml:space="preserve"> </w:t>
      </w:r>
      <w:r w:rsidR="00F704D9">
        <w:rPr>
          <w:lang w:val="en-GB"/>
        </w:rPr>
        <w:fldChar w:fldCharType="begin"/>
      </w:r>
      <w:r w:rsidR="00F704D9">
        <w:rPr>
          <w:lang w:val="en-GB"/>
        </w:rPr>
        <w:instrText xml:space="preserve"> REF _Ref138858956 \h </w:instrText>
      </w:r>
      <w:r w:rsidR="00F704D9">
        <w:rPr>
          <w:lang w:val="en-GB"/>
        </w:rPr>
      </w:r>
      <w:r w:rsidR="00F704D9">
        <w:rPr>
          <w:lang w:val="en-GB"/>
        </w:rPr>
        <w:fldChar w:fldCharType="separate"/>
      </w:r>
      <w:r w:rsidR="00F6252E">
        <w:t>Adverse effects (undesirable effects)</w:t>
      </w:r>
      <w:r w:rsidR="00F704D9">
        <w:rPr>
          <w:lang w:val="en-GB"/>
        </w:rPr>
        <w:fldChar w:fldCharType="end"/>
      </w:r>
      <w:r w:rsidR="004E2BFD">
        <w:rPr>
          <w:lang w:val="en-GB"/>
        </w:rPr>
        <w:t>.</w:t>
      </w:r>
      <w:r w:rsidR="00F704D9">
        <w:rPr>
          <w:lang w:val="en-GB"/>
        </w:rPr>
        <w:t xml:space="preserve"> </w:t>
      </w:r>
      <w:r>
        <w:rPr>
          <w:lang w:val="en-GB"/>
        </w:rPr>
        <w:t>C</w:t>
      </w:r>
      <w:r w:rsidR="00483FD8" w:rsidRPr="00483FD8">
        <w:rPr>
          <w:lang w:val="en-GB"/>
        </w:rPr>
        <w:t xml:space="preserve">oncizumab </w:t>
      </w:r>
      <w:r>
        <w:rPr>
          <w:lang w:val="en-GB"/>
        </w:rPr>
        <w:t xml:space="preserve">does not cause relevant interference with </w:t>
      </w:r>
      <w:r w:rsidR="00483FD8" w:rsidRPr="00483FD8">
        <w:rPr>
          <w:lang w:val="en-GB"/>
        </w:rPr>
        <w:t>standard prothrombin and activated partial thromboplastin time assays</w:t>
      </w:r>
      <w:r>
        <w:rPr>
          <w:lang w:val="en-GB"/>
        </w:rPr>
        <w:t>,</w:t>
      </w:r>
      <w:r w:rsidR="00483FD8" w:rsidRPr="00483FD8">
        <w:rPr>
          <w:lang w:val="en-GB"/>
        </w:rPr>
        <w:t xml:space="preserve"> FVIII or FIX activity measurement using clot and chromogenic assays</w:t>
      </w:r>
      <w:r>
        <w:rPr>
          <w:lang w:val="en-GB"/>
        </w:rPr>
        <w:t xml:space="preserve">, or </w:t>
      </w:r>
      <w:r w:rsidR="00483FD8" w:rsidRPr="00483FD8">
        <w:rPr>
          <w:lang w:val="en-GB"/>
        </w:rPr>
        <w:t>assays for inhibitory antibodies to FVIII or FIX (Bethesda assay).</w:t>
      </w:r>
    </w:p>
    <w:p w14:paraId="6081D6AE" w14:textId="3A17631C" w:rsidR="001A3992" w:rsidRDefault="001A3992" w:rsidP="00B01E52">
      <w:pPr>
        <w:pStyle w:val="Heading2-TNR"/>
      </w:pPr>
      <w:r w:rsidRPr="003903B3">
        <w:t>Interactions with other medicines and other forms of interactions</w:t>
      </w:r>
      <w:fldSimple w:instr="DOCVARIABLE VAULT_ND_df307f31-7168-4de0-857d-94a7fe025241 \* MERGEFORMAT">
        <w:r w:rsidR="00A8319D">
          <w:t xml:space="preserve"> </w:t>
        </w:r>
      </w:fldSimple>
    </w:p>
    <w:p w14:paraId="4ADAFBDE" w14:textId="26D8F72D" w:rsidR="00483FD8" w:rsidRPr="00483FD8" w:rsidRDefault="00483FD8" w:rsidP="00483FD8">
      <w:pPr>
        <w:pStyle w:val="BodyText"/>
        <w:rPr>
          <w:lang w:val="en-GB"/>
        </w:rPr>
      </w:pPr>
      <w:bookmarkStart w:id="24" w:name="_Hlk97549579"/>
      <w:r w:rsidRPr="00483FD8">
        <w:rPr>
          <w:lang w:val="en-GB"/>
        </w:rPr>
        <w:t>No drug-drug interaction clinical studies have been conducted. A drug-drug interaction toxicity study in concizumab</w:t>
      </w:r>
      <w:r w:rsidR="007C218D">
        <w:rPr>
          <w:lang w:val="en-GB"/>
        </w:rPr>
        <w:t>-</w:t>
      </w:r>
      <w:r w:rsidRPr="00483FD8">
        <w:rPr>
          <w:lang w:val="en-GB"/>
        </w:rPr>
        <w:t xml:space="preserve">treated cynomolgus monkeys receiving three consecutive doses of up to 1 mg/kg rFVIIa </w:t>
      </w:r>
      <w:r w:rsidR="007C218D">
        <w:rPr>
          <w:lang w:val="en-GB"/>
        </w:rPr>
        <w:t>was</w:t>
      </w:r>
      <w:r w:rsidR="007C218D" w:rsidRPr="00483FD8">
        <w:rPr>
          <w:lang w:val="en-GB"/>
        </w:rPr>
        <w:t xml:space="preserve"> </w:t>
      </w:r>
      <w:r w:rsidRPr="00483FD8">
        <w:rPr>
          <w:lang w:val="en-GB"/>
        </w:rPr>
        <w:t>conducted with no adverse findings</w:t>
      </w:r>
      <w:r w:rsidR="007C218D">
        <w:rPr>
          <w:lang w:val="en-GB"/>
        </w:rPr>
        <w:t xml:space="preserve"> </w:t>
      </w:r>
      <w:r w:rsidR="007C218D" w:rsidRPr="007C218D">
        <w:rPr>
          <w:lang w:val="en-GB"/>
        </w:rPr>
        <w:t>(including no formation of thrombi or other signs of excessive coagulation)</w:t>
      </w:r>
      <w:r w:rsidRPr="00483FD8">
        <w:rPr>
          <w:lang w:val="en-GB"/>
        </w:rPr>
        <w:t>.</w:t>
      </w:r>
      <w:bookmarkEnd w:id="24"/>
    </w:p>
    <w:p w14:paraId="4DFD5115" w14:textId="4E0FEF66" w:rsidR="00483FD8" w:rsidRPr="00483FD8" w:rsidRDefault="00483FD8" w:rsidP="00483FD8">
      <w:pPr>
        <w:pStyle w:val="BodyText"/>
        <w:rPr>
          <w:lang w:val="en-GB"/>
        </w:rPr>
      </w:pPr>
      <w:r w:rsidRPr="00483FD8">
        <w:rPr>
          <w:lang w:val="en-GB"/>
        </w:rPr>
        <w:t xml:space="preserve"> </w:t>
      </w:r>
      <w:r w:rsidRPr="002533B1">
        <w:rPr>
          <w:i/>
          <w:iCs/>
          <w:lang w:val="en-GB"/>
        </w:rPr>
        <w:t>I</w:t>
      </w:r>
      <w:r w:rsidRPr="008E1BD7">
        <w:rPr>
          <w:i/>
          <w:iCs/>
          <w:lang w:val="en-GB"/>
        </w:rPr>
        <w:t>n</w:t>
      </w:r>
      <w:r w:rsidRPr="00483FD8">
        <w:rPr>
          <w:i/>
          <w:iCs/>
          <w:lang w:val="en-GB"/>
        </w:rPr>
        <w:t xml:space="preserve"> vitro</w:t>
      </w:r>
      <w:r w:rsidRPr="00483FD8">
        <w:rPr>
          <w:lang w:val="en-GB"/>
        </w:rPr>
        <w:t xml:space="preserve"> and </w:t>
      </w:r>
      <w:r w:rsidRPr="00483FD8">
        <w:rPr>
          <w:i/>
          <w:iCs/>
          <w:lang w:val="en-GB"/>
        </w:rPr>
        <w:t>ex vivo</w:t>
      </w:r>
      <w:r w:rsidRPr="00483FD8">
        <w:rPr>
          <w:lang w:val="en-GB"/>
        </w:rPr>
        <w:t xml:space="preserve"> drug-drug interaction studies were performed with rFVIIa, aPCC, rFVIII or rFIX in </w:t>
      </w:r>
      <w:r w:rsidR="00EB5249">
        <w:rPr>
          <w:lang w:val="en-GB"/>
        </w:rPr>
        <w:t>plasma</w:t>
      </w:r>
      <w:r w:rsidR="00EB5249" w:rsidRPr="00483FD8">
        <w:rPr>
          <w:lang w:val="en-GB"/>
        </w:rPr>
        <w:t xml:space="preserve"> </w:t>
      </w:r>
      <w:r w:rsidRPr="00483FD8">
        <w:rPr>
          <w:lang w:val="en-GB"/>
        </w:rPr>
        <w:t xml:space="preserve">from haemophilia patients who </w:t>
      </w:r>
      <w:r w:rsidR="00116135">
        <w:rPr>
          <w:lang w:val="en-GB"/>
        </w:rPr>
        <w:t>were</w:t>
      </w:r>
      <w:r w:rsidR="00116135" w:rsidRPr="00483FD8">
        <w:rPr>
          <w:lang w:val="en-GB"/>
        </w:rPr>
        <w:t xml:space="preserve"> </w:t>
      </w:r>
      <w:r w:rsidRPr="00483FD8">
        <w:rPr>
          <w:lang w:val="en-GB"/>
        </w:rPr>
        <w:t xml:space="preserve">on prophylactic treatment with concizumab. </w:t>
      </w:r>
      <w:r w:rsidR="00E87DA7" w:rsidRPr="00E87DA7">
        <w:rPr>
          <w:lang w:val="en-GB"/>
        </w:rPr>
        <w:t xml:space="preserve">An additive or </w:t>
      </w:r>
      <w:r w:rsidR="00E76700">
        <w:rPr>
          <w:lang w:val="en-GB"/>
        </w:rPr>
        <w:t>minor</w:t>
      </w:r>
      <w:r w:rsidR="00E87DA7" w:rsidRPr="00E87DA7">
        <w:rPr>
          <w:lang w:val="en-GB"/>
        </w:rPr>
        <w:t xml:space="preserve"> synergistic effect on thrombin generation was observed </w:t>
      </w:r>
      <w:r w:rsidR="00E87DA7" w:rsidRPr="00E87DA7">
        <w:rPr>
          <w:lang w:val="en-GB"/>
        </w:rPr>
        <w:lastRenderedPageBreak/>
        <w:t>with these agents in the presence of concizumab, supporting their use to manage breakthrough bleeds in patients</w:t>
      </w:r>
      <w:r w:rsidR="00D72A66">
        <w:rPr>
          <w:lang w:val="en-GB"/>
        </w:rPr>
        <w:t xml:space="preserve"> without interrupting concizumab</w:t>
      </w:r>
      <w:r w:rsidR="00E87DA7" w:rsidRPr="00E87DA7">
        <w:rPr>
          <w:lang w:val="en-GB"/>
        </w:rPr>
        <w:t>.</w:t>
      </w:r>
    </w:p>
    <w:p w14:paraId="3F9A0D09" w14:textId="3B6B292D" w:rsidR="00483FD8" w:rsidRPr="00483FD8" w:rsidRDefault="00483FD8" w:rsidP="00483FD8">
      <w:pPr>
        <w:pStyle w:val="BodyText"/>
        <w:rPr>
          <w:lang w:val="en-GB"/>
        </w:rPr>
      </w:pPr>
      <w:r w:rsidRPr="00483FD8">
        <w:rPr>
          <w:lang w:val="en-GB"/>
        </w:rPr>
        <w:t xml:space="preserve">For guidance on the use of bypassing agents </w:t>
      </w:r>
      <w:r w:rsidRPr="00396D65">
        <w:rPr>
          <w:lang w:val="en-GB"/>
        </w:rPr>
        <w:t xml:space="preserve">in patients receiving concizumab prophylaxis, see section </w:t>
      </w:r>
      <w:r w:rsidR="00396D65" w:rsidRPr="00396D65">
        <w:rPr>
          <w:lang w:val="en-GB"/>
        </w:rPr>
        <w:fldChar w:fldCharType="begin"/>
      </w:r>
      <w:r w:rsidR="00396D65" w:rsidRPr="00396D65">
        <w:rPr>
          <w:lang w:val="en-GB"/>
        </w:rPr>
        <w:instrText xml:space="preserve"> REF _Ref109135507 \r \h </w:instrText>
      </w:r>
      <w:r w:rsidR="00396D65">
        <w:rPr>
          <w:lang w:val="en-GB"/>
        </w:rPr>
        <w:instrText xml:space="preserve"> \* MERGEFORMAT </w:instrText>
      </w:r>
      <w:r w:rsidR="00396D65" w:rsidRPr="00396D65">
        <w:rPr>
          <w:lang w:val="en-GB"/>
        </w:rPr>
      </w:r>
      <w:r w:rsidR="00396D65" w:rsidRPr="00396D65">
        <w:rPr>
          <w:lang w:val="en-GB"/>
        </w:rPr>
        <w:fldChar w:fldCharType="separate"/>
      </w:r>
      <w:r w:rsidR="00A8319D">
        <w:rPr>
          <w:lang w:val="en-GB"/>
        </w:rPr>
        <w:t>4.2</w:t>
      </w:r>
      <w:r w:rsidR="00396D65" w:rsidRPr="00396D65">
        <w:rPr>
          <w:lang w:val="en-GB"/>
        </w:rPr>
        <w:fldChar w:fldCharType="end"/>
      </w:r>
      <w:r w:rsidR="003F665C">
        <w:rPr>
          <w:lang w:val="en-GB"/>
        </w:rPr>
        <w:t xml:space="preserve"> </w:t>
      </w:r>
      <w:r w:rsidR="003F665C">
        <w:rPr>
          <w:lang w:val="en-GB"/>
        </w:rPr>
        <w:fldChar w:fldCharType="begin"/>
      </w:r>
      <w:r w:rsidR="003F665C">
        <w:rPr>
          <w:lang w:val="en-GB"/>
        </w:rPr>
        <w:instrText xml:space="preserve"> REF _Ref109135507 \h </w:instrText>
      </w:r>
      <w:r w:rsidR="003F665C">
        <w:rPr>
          <w:lang w:val="en-GB"/>
        </w:rPr>
      </w:r>
      <w:r w:rsidR="003F665C">
        <w:rPr>
          <w:lang w:val="en-GB"/>
        </w:rPr>
        <w:fldChar w:fldCharType="separate"/>
      </w:r>
      <w:r w:rsidR="00A8319D" w:rsidRPr="006570D4">
        <w:t>Dose and method of administration</w:t>
      </w:r>
      <w:r w:rsidR="003F665C">
        <w:rPr>
          <w:lang w:val="en-GB"/>
        </w:rPr>
        <w:fldChar w:fldCharType="end"/>
      </w:r>
      <w:r w:rsidRPr="00396D65">
        <w:rPr>
          <w:lang w:val="en-GB"/>
        </w:rPr>
        <w:t>.</w:t>
      </w:r>
    </w:p>
    <w:p w14:paraId="7015B769" w14:textId="19D2D8D5" w:rsidR="001A3992" w:rsidRPr="006570D4" w:rsidRDefault="001A3992" w:rsidP="0042782D">
      <w:pPr>
        <w:pStyle w:val="Heading2-TNR"/>
      </w:pPr>
      <w:r w:rsidRPr="006570D4">
        <w:t>Fertility, pregnancy and lactation</w:t>
      </w:r>
      <w:fldSimple w:instr="DOCVARIABLE VAULT_ND_6072ed10-ac55-426c-a900-819fdedafa1d \* MERGEFORMAT">
        <w:r w:rsidR="00A8319D">
          <w:t xml:space="preserve"> </w:t>
        </w:r>
      </w:fldSimple>
    </w:p>
    <w:p w14:paraId="0C2A2E0F" w14:textId="32E5F534" w:rsidR="001A3992" w:rsidRDefault="001A3992" w:rsidP="00B01E52">
      <w:pPr>
        <w:pStyle w:val="Heading3-TNR"/>
      </w:pPr>
      <w:r w:rsidRPr="003903B3">
        <w:t>Effects on fertility</w:t>
      </w:r>
      <w:fldSimple w:instr="DOCVARIABLE vault_nd_be673426-dc52-4014-84cc-190c95c5c17d \* MERGEFORMAT">
        <w:r w:rsidR="00A8319D">
          <w:t xml:space="preserve"> </w:t>
        </w:r>
      </w:fldSimple>
    </w:p>
    <w:p w14:paraId="37EB9404" w14:textId="31BDB38E" w:rsidR="00D72A66" w:rsidRDefault="00D72A66" w:rsidP="002839B0">
      <w:pPr>
        <w:pStyle w:val="BodyText"/>
        <w:rPr>
          <w:lang w:val="en-GB"/>
        </w:rPr>
      </w:pPr>
      <w:r w:rsidRPr="00483FD8">
        <w:rPr>
          <w:lang w:val="en-GB"/>
        </w:rPr>
        <w:t xml:space="preserve">There are no available </w:t>
      </w:r>
      <w:r>
        <w:rPr>
          <w:lang w:val="en-GB"/>
        </w:rPr>
        <w:t xml:space="preserve">clinical </w:t>
      </w:r>
      <w:r w:rsidRPr="00483FD8">
        <w:rPr>
          <w:lang w:val="en-GB"/>
        </w:rPr>
        <w:t xml:space="preserve">data on </w:t>
      </w:r>
      <w:r>
        <w:rPr>
          <w:lang w:val="en-GB"/>
        </w:rPr>
        <w:t xml:space="preserve">the effect of </w:t>
      </w:r>
      <w:r w:rsidRPr="00483FD8">
        <w:rPr>
          <w:lang w:val="en-GB"/>
        </w:rPr>
        <w:t>concizumab</w:t>
      </w:r>
      <w:r>
        <w:rPr>
          <w:lang w:val="en-GB"/>
        </w:rPr>
        <w:t xml:space="preserve"> on</w:t>
      </w:r>
      <w:r w:rsidRPr="00E87DA7" w:rsidDel="00D72A66">
        <w:rPr>
          <w:lang w:val="en-GB"/>
        </w:rPr>
        <w:t xml:space="preserve"> </w:t>
      </w:r>
      <w:r w:rsidR="00E87DA7" w:rsidRPr="00E87DA7">
        <w:rPr>
          <w:lang w:val="en-GB"/>
        </w:rPr>
        <w:t>fertility</w:t>
      </w:r>
      <w:r>
        <w:rPr>
          <w:lang w:val="en-GB"/>
        </w:rPr>
        <w:t xml:space="preserve">, </w:t>
      </w:r>
      <w:r w:rsidR="00E87DA7" w:rsidRPr="00E87DA7">
        <w:rPr>
          <w:lang w:val="en-GB"/>
        </w:rPr>
        <w:t>and no specific fertility studies have been conducted with concizumab in animals</w:t>
      </w:r>
      <w:r>
        <w:rPr>
          <w:lang w:val="en-GB"/>
        </w:rPr>
        <w:t xml:space="preserve">. </w:t>
      </w:r>
    </w:p>
    <w:p w14:paraId="70222ECD" w14:textId="56733746" w:rsidR="002839B0" w:rsidRDefault="00D72A66" w:rsidP="002839B0">
      <w:pPr>
        <w:pStyle w:val="BodyText"/>
        <w:rPr>
          <w:lang w:val="en-GB"/>
        </w:rPr>
      </w:pPr>
      <w:r>
        <w:rPr>
          <w:lang w:val="en-GB"/>
        </w:rPr>
        <w:t>S</w:t>
      </w:r>
      <w:r w:rsidR="00E87DA7" w:rsidRPr="00E87DA7">
        <w:rPr>
          <w:lang w:val="en-GB"/>
        </w:rPr>
        <w:t xml:space="preserve">urrogate endpoints </w:t>
      </w:r>
      <w:r>
        <w:rPr>
          <w:lang w:val="en-GB"/>
        </w:rPr>
        <w:t xml:space="preserve">relating to fertility </w:t>
      </w:r>
      <w:r w:rsidR="00E87DA7" w:rsidRPr="00E87DA7">
        <w:rPr>
          <w:lang w:val="en-GB"/>
        </w:rPr>
        <w:t>were examined in a general toxicity study in cynomolgus monkeys.</w:t>
      </w:r>
      <w:r>
        <w:rPr>
          <w:lang w:val="en-GB"/>
        </w:rPr>
        <w:t xml:space="preserve"> </w:t>
      </w:r>
      <w:r w:rsidR="002839B0" w:rsidRPr="002839B0">
        <w:rPr>
          <w:lang w:val="en-GB"/>
        </w:rPr>
        <w:t>In a 26-week toxicity study in sexually mature male and female cynomolgus monkeys with subcutaneous doses up to 9 mg/kg/day (corresponding to 3400-fold the human exposure, based on AUC</w:t>
      </w:r>
      <w:r w:rsidR="002839B0" w:rsidRPr="002839B0">
        <w:rPr>
          <w:vertAlign w:val="subscript"/>
          <w:lang w:val="en-GB"/>
        </w:rPr>
        <w:t>0-24h</w:t>
      </w:r>
      <w:r w:rsidR="002839B0" w:rsidRPr="002839B0">
        <w:rPr>
          <w:lang w:val="en-GB"/>
        </w:rPr>
        <w:t xml:space="preserve">), concizumab did not affect testicular size, sperm </w:t>
      </w:r>
      <w:r w:rsidR="00943807" w:rsidRPr="00943807">
        <w:rPr>
          <w:lang w:val="en-GB"/>
        </w:rPr>
        <w:t>count, sperm motility, sperm morphology</w:t>
      </w:r>
      <w:r w:rsidR="00943807">
        <w:rPr>
          <w:lang w:val="en-GB"/>
        </w:rPr>
        <w:t xml:space="preserve"> </w:t>
      </w:r>
      <w:r w:rsidR="002839B0" w:rsidRPr="002839B0">
        <w:rPr>
          <w:lang w:val="en-GB"/>
        </w:rPr>
        <w:t>or menstrual cycle duration</w:t>
      </w:r>
      <w:r w:rsidR="00943807">
        <w:rPr>
          <w:lang w:val="en-GB"/>
        </w:rPr>
        <w:t>,</w:t>
      </w:r>
      <w:r w:rsidR="002839B0" w:rsidRPr="002839B0">
        <w:rPr>
          <w:lang w:val="en-GB"/>
        </w:rPr>
        <w:t xml:space="preserve"> and did not cause any </w:t>
      </w:r>
      <w:r w:rsidR="00943807" w:rsidRPr="00943807">
        <w:rPr>
          <w:lang w:val="en-GB"/>
        </w:rPr>
        <w:t>microscopic</w:t>
      </w:r>
      <w:r w:rsidR="00943807">
        <w:rPr>
          <w:lang w:val="en-GB"/>
        </w:rPr>
        <w:t xml:space="preserve"> </w:t>
      </w:r>
      <w:r w:rsidR="002839B0" w:rsidRPr="002839B0">
        <w:rPr>
          <w:lang w:val="en-GB"/>
        </w:rPr>
        <w:t xml:space="preserve">changes in the male or female reproductive organs. </w:t>
      </w:r>
    </w:p>
    <w:p w14:paraId="4935B31D" w14:textId="261BA7B1" w:rsidR="001A3992" w:rsidRDefault="001A3992" w:rsidP="00B01E52">
      <w:pPr>
        <w:pStyle w:val="Heading3-TNR"/>
      </w:pPr>
      <w:r w:rsidRPr="003903B3">
        <w:t xml:space="preserve">Use in pregnancy </w:t>
      </w:r>
      <w:r w:rsidR="005B2812" w:rsidRPr="003903B3">
        <w:t xml:space="preserve">– Pregnancy Category </w:t>
      </w:r>
      <w:r w:rsidR="005B0FC1">
        <w:t>D</w:t>
      </w:r>
      <w:fldSimple w:instr="DOCVARIABLE vault_nd_2f8cd99b-e044-4e31-aa4b-333f6717aa6c \* MERGEFORMAT">
        <w:r w:rsidR="00A8319D">
          <w:t xml:space="preserve"> </w:t>
        </w:r>
      </w:fldSimple>
    </w:p>
    <w:p w14:paraId="54406AE9" w14:textId="77777777" w:rsidR="002F395C" w:rsidRDefault="00D72A66" w:rsidP="002839B0">
      <w:pPr>
        <w:pStyle w:val="BodyText"/>
        <w:rPr>
          <w:lang w:val="en-GB"/>
        </w:rPr>
      </w:pPr>
      <w:r>
        <w:rPr>
          <w:lang w:val="en-GB"/>
        </w:rPr>
        <w:t xml:space="preserve">Based on its mechanism of action and animal data, concizumab </w:t>
      </w:r>
      <w:r w:rsidR="002F395C">
        <w:rPr>
          <w:lang w:val="en-GB"/>
        </w:rPr>
        <w:t xml:space="preserve">could harm a </w:t>
      </w:r>
      <w:proofErr w:type="spellStart"/>
      <w:r w:rsidR="002F395C">
        <w:rPr>
          <w:lang w:val="en-GB"/>
        </w:rPr>
        <w:t>fetus</w:t>
      </w:r>
      <w:proofErr w:type="spellEnd"/>
      <w:r w:rsidR="002F395C">
        <w:rPr>
          <w:lang w:val="en-GB"/>
        </w:rPr>
        <w:t xml:space="preserve"> if administered during pregnancy.</w:t>
      </w:r>
      <w:r>
        <w:rPr>
          <w:lang w:val="en-GB"/>
        </w:rPr>
        <w:t xml:space="preserve"> </w:t>
      </w:r>
    </w:p>
    <w:p w14:paraId="0FA488E5" w14:textId="69EE0DC6" w:rsidR="00483FD8" w:rsidRDefault="002F395C" w:rsidP="002839B0">
      <w:pPr>
        <w:pStyle w:val="BodyText"/>
        <w:rPr>
          <w:lang w:val="en-GB"/>
        </w:rPr>
      </w:pPr>
      <w:r w:rsidRPr="005B0FC1">
        <w:rPr>
          <w:lang w:val="en-GB"/>
        </w:rPr>
        <w:t xml:space="preserve">TFPI, </w:t>
      </w:r>
      <w:r>
        <w:rPr>
          <w:lang w:val="en-GB"/>
        </w:rPr>
        <w:t>which</w:t>
      </w:r>
      <w:r w:rsidRPr="005B0FC1">
        <w:rPr>
          <w:lang w:val="en-GB"/>
        </w:rPr>
        <w:t xml:space="preserve"> concizumab</w:t>
      </w:r>
      <w:r>
        <w:rPr>
          <w:lang w:val="en-GB"/>
        </w:rPr>
        <w:t xml:space="preserve"> targets</w:t>
      </w:r>
      <w:r w:rsidRPr="005B0FC1">
        <w:rPr>
          <w:lang w:val="en-GB"/>
        </w:rPr>
        <w:t xml:space="preserve">, is critical for </w:t>
      </w:r>
      <w:proofErr w:type="spellStart"/>
      <w:r>
        <w:rPr>
          <w:lang w:val="en-GB"/>
        </w:rPr>
        <w:t>embryofetal</w:t>
      </w:r>
      <w:proofErr w:type="spellEnd"/>
      <w:r>
        <w:rPr>
          <w:lang w:val="en-GB"/>
        </w:rPr>
        <w:t xml:space="preserve"> </w:t>
      </w:r>
      <w:r w:rsidRPr="005B0FC1">
        <w:rPr>
          <w:lang w:val="en-GB"/>
        </w:rPr>
        <w:t>development</w:t>
      </w:r>
      <w:r>
        <w:rPr>
          <w:lang w:val="en-GB"/>
        </w:rPr>
        <w:t xml:space="preserve">, and </w:t>
      </w:r>
      <w:r w:rsidRPr="005B0FC1">
        <w:rPr>
          <w:lang w:val="en-GB"/>
        </w:rPr>
        <w:t>its knockout in mice</w:t>
      </w:r>
      <w:r>
        <w:rPr>
          <w:lang w:val="en-GB"/>
        </w:rPr>
        <w:t xml:space="preserve"> is</w:t>
      </w:r>
      <w:r w:rsidRPr="005B0FC1">
        <w:rPr>
          <w:lang w:val="en-GB"/>
        </w:rPr>
        <w:t xml:space="preserve"> associated with </w:t>
      </w:r>
      <w:proofErr w:type="spellStart"/>
      <w:r w:rsidRPr="005B0FC1">
        <w:rPr>
          <w:lang w:val="en-GB"/>
        </w:rPr>
        <w:t>embryofetal</w:t>
      </w:r>
      <w:proofErr w:type="spellEnd"/>
      <w:r w:rsidRPr="005B0FC1">
        <w:rPr>
          <w:lang w:val="en-GB"/>
        </w:rPr>
        <w:t xml:space="preserve"> lethality. As an IgG antibody, placental transfer of concizumab is expected, increasing in a linear fashion as pregnancy progresses.</w:t>
      </w:r>
      <w:r>
        <w:rPr>
          <w:lang w:val="en-GB"/>
        </w:rPr>
        <w:t xml:space="preserve"> Specific a</w:t>
      </w:r>
      <w:r w:rsidRPr="00483FD8">
        <w:rPr>
          <w:lang w:val="en-GB"/>
        </w:rPr>
        <w:t xml:space="preserve">nimal </w:t>
      </w:r>
      <w:r w:rsidR="00483FD8" w:rsidRPr="00483FD8">
        <w:rPr>
          <w:lang w:val="en-GB"/>
        </w:rPr>
        <w:t xml:space="preserve">reproduction studies have not been conducted with concizumab. </w:t>
      </w:r>
      <w:r w:rsidRPr="00483FD8">
        <w:rPr>
          <w:lang w:val="en-GB"/>
        </w:rPr>
        <w:t xml:space="preserve">There are no available </w:t>
      </w:r>
      <w:r>
        <w:rPr>
          <w:lang w:val="en-GB"/>
        </w:rPr>
        <w:t xml:space="preserve">clinical </w:t>
      </w:r>
      <w:r w:rsidRPr="00483FD8">
        <w:rPr>
          <w:lang w:val="en-GB"/>
        </w:rPr>
        <w:t>data on concizumab use in pregnan</w:t>
      </w:r>
      <w:r>
        <w:rPr>
          <w:lang w:val="en-GB"/>
        </w:rPr>
        <w:t>cy</w:t>
      </w:r>
      <w:r w:rsidRPr="00483FD8">
        <w:rPr>
          <w:lang w:val="en-GB"/>
        </w:rPr>
        <w:t xml:space="preserve">. </w:t>
      </w:r>
    </w:p>
    <w:p w14:paraId="2EEADAAB" w14:textId="4FFD91FC" w:rsidR="00E32C7E" w:rsidRPr="00483FD8" w:rsidRDefault="002F395C" w:rsidP="002F395C">
      <w:pPr>
        <w:pStyle w:val="BodyText"/>
        <w:rPr>
          <w:lang w:val="en-GB"/>
        </w:rPr>
      </w:pPr>
      <w:r w:rsidRPr="002F395C">
        <w:rPr>
          <w:lang w:val="en-GB"/>
        </w:rPr>
        <w:t xml:space="preserve">Verify the pregnancy status of females of reproductive potential prior to the initiation of </w:t>
      </w:r>
      <w:r>
        <w:rPr>
          <w:lang w:val="en-GB"/>
        </w:rPr>
        <w:t>concizumab</w:t>
      </w:r>
      <w:r w:rsidRPr="002F395C">
        <w:rPr>
          <w:lang w:val="en-GB"/>
        </w:rPr>
        <w:t>.</w:t>
      </w:r>
      <w:r>
        <w:rPr>
          <w:lang w:val="en-GB"/>
        </w:rPr>
        <w:t xml:space="preserve"> </w:t>
      </w:r>
      <w:r w:rsidRPr="002F395C">
        <w:rPr>
          <w:lang w:val="en-GB"/>
        </w:rPr>
        <w:t xml:space="preserve">Advise patients who are pregnant, and females of reproductive potential, of the potential risk to a </w:t>
      </w:r>
      <w:proofErr w:type="spellStart"/>
      <w:r w:rsidRPr="002F395C">
        <w:rPr>
          <w:lang w:val="en-GB"/>
        </w:rPr>
        <w:t>fetus</w:t>
      </w:r>
      <w:proofErr w:type="spellEnd"/>
      <w:r w:rsidRPr="002F395C">
        <w:rPr>
          <w:lang w:val="en-GB"/>
        </w:rPr>
        <w:t xml:space="preserve">. Advise females of reproductive potential to use </w:t>
      </w:r>
      <w:r w:rsidR="00E32C7E" w:rsidRPr="00483FD8">
        <w:rPr>
          <w:lang w:val="en-GB"/>
        </w:rPr>
        <w:t xml:space="preserve">highly effective contraception during treatment with concizumab and until 7 weeks after </w:t>
      </w:r>
      <w:r>
        <w:rPr>
          <w:lang w:val="en-GB"/>
        </w:rPr>
        <w:t>the last dose</w:t>
      </w:r>
      <w:r w:rsidR="00E32C7E" w:rsidRPr="00483FD8">
        <w:rPr>
          <w:lang w:val="en-GB"/>
        </w:rPr>
        <w:t xml:space="preserve">. </w:t>
      </w:r>
    </w:p>
    <w:p w14:paraId="6B349D08" w14:textId="386B400D" w:rsidR="00483FD8" w:rsidRDefault="001A3992" w:rsidP="00B01E52">
      <w:pPr>
        <w:pStyle w:val="Heading3-TNR"/>
      </w:pPr>
      <w:r w:rsidRPr="003903B3">
        <w:t>Use in lactation</w:t>
      </w:r>
      <w:fldSimple w:instr="DOCVARIABLE vault_nd_d876c71b-9725-41ae-b761-ed56d4aaa74d \* MERGEFORMAT">
        <w:r w:rsidR="00A8319D">
          <w:t xml:space="preserve"> </w:t>
        </w:r>
      </w:fldSimple>
    </w:p>
    <w:p w14:paraId="7BED9C84" w14:textId="78886BF4" w:rsidR="002F395C" w:rsidRDefault="002F395C" w:rsidP="00483FD8">
      <w:pPr>
        <w:pStyle w:val="BodyText"/>
        <w:rPr>
          <w:lang w:val="en-GB"/>
        </w:rPr>
      </w:pPr>
      <w:r>
        <w:rPr>
          <w:lang w:val="en-GB"/>
        </w:rPr>
        <w:t xml:space="preserve">There is no data regarding the presence of </w:t>
      </w:r>
      <w:r w:rsidR="00483FD8" w:rsidRPr="00483FD8">
        <w:rPr>
          <w:lang w:val="en-GB"/>
        </w:rPr>
        <w:t>concizumab in human milk</w:t>
      </w:r>
      <w:r>
        <w:rPr>
          <w:lang w:val="en-GB"/>
        </w:rPr>
        <w:t>, the effects on the breastfed child, or the effects on milk production</w:t>
      </w:r>
      <w:r w:rsidR="00483FD8" w:rsidRPr="00483FD8">
        <w:rPr>
          <w:lang w:val="en-GB"/>
        </w:rPr>
        <w:t xml:space="preserve">. </w:t>
      </w:r>
      <w:r w:rsidRPr="00483FD8">
        <w:rPr>
          <w:lang w:val="en-GB"/>
        </w:rPr>
        <w:t>Human IgG is known to be present in human milk</w:t>
      </w:r>
      <w:r>
        <w:rPr>
          <w:lang w:val="en-GB"/>
        </w:rPr>
        <w:t xml:space="preserve"> and concizumab is an IgG antibody. </w:t>
      </w:r>
      <w:r w:rsidRPr="002F395C">
        <w:rPr>
          <w:lang w:val="en-GB"/>
        </w:rPr>
        <w:t xml:space="preserve">Because of the potential for adverse </w:t>
      </w:r>
      <w:r>
        <w:rPr>
          <w:lang w:val="en-GB"/>
        </w:rPr>
        <w:t>effects o</w:t>
      </w:r>
      <w:r w:rsidRPr="002F395C">
        <w:rPr>
          <w:lang w:val="en-GB"/>
        </w:rPr>
        <w:t xml:space="preserve">n a breastfed child, patients </w:t>
      </w:r>
      <w:r>
        <w:rPr>
          <w:lang w:val="en-GB"/>
        </w:rPr>
        <w:t>should not</w:t>
      </w:r>
      <w:r w:rsidRPr="002F395C">
        <w:rPr>
          <w:lang w:val="en-GB"/>
        </w:rPr>
        <w:t xml:space="preserve"> breastfeed during treatment and for </w:t>
      </w:r>
      <w:r>
        <w:rPr>
          <w:lang w:val="en-GB"/>
        </w:rPr>
        <w:t>7 weeks</w:t>
      </w:r>
      <w:r w:rsidRPr="002F395C">
        <w:rPr>
          <w:lang w:val="en-GB"/>
        </w:rPr>
        <w:t xml:space="preserve"> after the last dose of </w:t>
      </w:r>
      <w:r>
        <w:rPr>
          <w:lang w:val="en-GB"/>
        </w:rPr>
        <w:t>concizumab</w:t>
      </w:r>
      <w:r w:rsidRPr="002F395C">
        <w:rPr>
          <w:lang w:val="en-GB"/>
        </w:rPr>
        <w:t>.</w:t>
      </w:r>
      <w:r w:rsidR="00483FD8" w:rsidRPr="00483FD8">
        <w:rPr>
          <w:lang w:val="en-GB"/>
        </w:rPr>
        <w:t xml:space="preserve"> </w:t>
      </w:r>
    </w:p>
    <w:p w14:paraId="2DE86916" w14:textId="5AAA7438" w:rsidR="001A3992" w:rsidRPr="006570D4" w:rsidRDefault="001A3992" w:rsidP="0042782D">
      <w:pPr>
        <w:pStyle w:val="Heading2-TNR"/>
      </w:pPr>
      <w:r w:rsidRPr="006570D4">
        <w:t>Effects on ability to drive and use machines</w:t>
      </w:r>
      <w:fldSimple w:instr="DOCVARIABLE VAULT_ND_ca046b67-33e1-43fd-852a-894c47487424 \* MERGEFORMAT">
        <w:r w:rsidR="00A8319D">
          <w:t xml:space="preserve"> </w:t>
        </w:r>
      </w:fldSimple>
    </w:p>
    <w:p w14:paraId="0F6CC54A" w14:textId="4E47140A" w:rsidR="00483FD8" w:rsidRPr="00483FD8" w:rsidRDefault="00C56ED5" w:rsidP="00483FD8">
      <w:pPr>
        <w:pStyle w:val="BodyText"/>
        <w:rPr>
          <w:lang w:val="en-US"/>
        </w:rPr>
      </w:pPr>
      <w:r>
        <w:rPr>
          <w:lang w:val="en-US"/>
        </w:rPr>
        <w:t>There is no evidence that c</w:t>
      </w:r>
      <w:r w:rsidR="00483FD8" w:rsidRPr="00483FD8">
        <w:rPr>
          <w:lang w:val="en-US"/>
        </w:rPr>
        <w:t xml:space="preserve">oncizumab </w:t>
      </w:r>
      <w:r>
        <w:rPr>
          <w:lang w:val="en-US"/>
        </w:rPr>
        <w:t>influences</w:t>
      </w:r>
      <w:r w:rsidR="00483FD8" w:rsidRPr="00483FD8">
        <w:rPr>
          <w:lang w:val="en-US"/>
        </w:rPr>
        <w:t xml:space="preserve"> the ability to drive and use machines.</w:t>
      </w:r>
    </w:p>
    <w:p w14:paraId="50B542BC" w14:textId="1FBE70D5" w:rsidR="00F704D9" w:rsidRPr="00F704D9" w:rsidRDefault="00F6252E" w:rsidP="00F704D9">
      <w:pPr>
        <w:pStyle w:val="Heading2-TNR"/>
      </w:pPr>
      <w:bookmarkStart w:id="25" w:name="_Ref138858956"/>
      <w:r>
        <w:t>A</w:t>
      </w:r>
      <w:r w:rsidR="00F704D9">
        <w:t>dverse effects (undesirable effects)</w:t>
      </w:r>
      <w:bookmarkEnd w:id="25"/>
    </w:p>
    <w:p w14:paraId="7575972E" w14:textId="3558C8A4" w:rsidR="00431C48" w:rsidRDefault="0004484E" w:rsidP="00431C48">
      <w:pPr>
        <w:pStyle w:val="BodyText"/>
        <w:rPr>
          <w:lang w:val="en-CA"/>
        </w:rPr>
      </w:pPr>
      <w:bookmarkStart w:id="26" w:name="_Hlk97106535"/>
      <w:r>
        <w:rPr>
          <w:lang w:val="en-CA"/>
        </w:rPr>
        <w:t xml:space="preserve">The safety of concizumab </w:t>
      </w:r>
      <w:r w:rsidR="00315976">
        <w:rPr>
          <w:lang w:val="en-CA"/>
        </w:rPr>
        <w:t>was described</w:t>
      </w:r>
      <w:r>
        <w:rPr>
          <w:lang w:val="en-CA"/>
        </w:rPr>
        <w:t xml:space="preserve"> based on data from</w:t>
      </w:r>
      <w:r w:rsidR="00AB7BE7" w:rsidRPr="00AB7BE7">
        <w:rPr>
          <w:lang w:val="en-CA"/>
        </w:rPr>
        <w:t xml:space="preserve"> the explorer7 clinical study</w:t>
      </w:r>
      <w:r>
        <w:rPr>
          <w:lang w:val="en-CA"/>
        </w:rPr>
        <w:t xml:space="preserve"> </w:t>
      </w:r>
      <w:r w:rsidR="00315976">
        <w:rPr>
          <w:lang w:val="en-CA"/>
        </w:rPr>
        <w:t xml:space="preserve">with a data cut-off date of </w:t>
      </w:r>
      <w:r w:rsidR="00600BE8">
        <w:rPr>
          <w:lang w:val="en-CA"/>
        </w:rPr>
        <w:t xml:space="preserve">27 DEC 2021 </w:t>
      </w:r>
      <w:r w:rsidRPr="00AB7BE7">
        <w:rPr>
          <w:lang w:val="en-CA"/>
        </w:rPr>
        <w:t xml:space="preserve">(see </w:t>
      </w:r>
      <w:r>
        <w:rPr>
          <w:lang w:val="en-CA"/>
        </w:rPr>
        <w:t xml:space="preserve">Section 5.1 Pharmacodynamics, </w:t>
      </w:r>
      <w:hyperlink w:anchor="_CLINICAL_TRIALS" w:history="1">
        <w:r w:rsidRPr="00AB7BE7">
          <w:rPr>
            <w:rStyle w:val="Hyperlink"/>
            <w:lang w:val="en-CA"/>
          </w:rPr>
          <w:t xml:space="preserve">Clinical </w:t>
        </w:r>
        <w:r>
          <w:rPr>
            <w:rStyle w:val="Hyperlink"/>
            <w:lang w:val="en-CA"/>
          </w:rPr>
          <w:t>t</w:t>
        </w:r>
        <w:r w:rsidRPr="00AB7BE7">
          <w:rPr>
            <w:rStyle w:val="Hyperlink"/>
            <w:lang w:val="en-CA"/>
          </w:rPr>
          <w:t>rials</w:t>
        </w:r>
      </w:hyperlink>
      <w:r w:rsidRPr="00AB7BE7">
        <w:rPr>
          <w:lang w:val="en-CA"/>
        </w:rPr>
        <w:t>)</w:t>
      </w:r>
      <w:r w:rsidR="00AB7BE7" w:rsidRPr="00AB7BE7">
        <w:rPr>
          <w:lang w:val="en-CA"/>
        </w:rPr>
        <w:t xml:space="preserve">. </w:t>
      </w:r>
      <w:r>
        <w:rPr>
          <w:lang w:val="en-CA"/>
        </w:rPr>
        <w:t>A</w:t>
      </w:r>
      <w:r w:rsidR="00AB7BE7" w:rsidRPr="00AB7BE7">
        <w:rPr>
          <w:lang w:val="en-CA"/>
        </w:rPr>
        <w:t xml:space="preserve"> total of 114 h</w:t>
      </w:r>
      <w:r w:rsidR="003E2713">
        <w:rPr>
          <w:lang w:val="en-CA"/>
        </w:rPr>
        <w:t>a</w:t>
      </w:r>
      <w:r w:rsidR="00AB7BE7" w:rsidRPr="00AB7BE7">
        <w:rPr>
          <w:lang w:val="en-CA"/>
        </w:rPr>
        <w:t xml:space="preserve">emophilia patients with inhibitors </w:t>
      </w:r>
      <w:r>
        <w:rPr>
          <w:lang w:val="en-CA"/>
        </w:rPr>
        <w:t xml:space="preserve">received concizumab prophylaxis in this </w:t>
      </w:r>
      <w:r>
        <w:rPr>
          <w:lang w:val="en-CA"/>
        </w:rPr>
        <w:lastRenderedPageBreak/>
        <w:t>study</w:t>
      </w:r>
      <w:r w:rsidR="00A72B9C">
        <w:rPr>
          <w:lang w:val="en-CA"/>
        </w:rPr>
        <w:t xml:space="preserve"> (across both the randomised and non-randomised parts)</w:t>
      </w:r>
      <w:r>
        <w:rPr>
          <w:lang w:val="en-CA"/>
        </w:rPr>
        <w:t xml:space="preserve">, </w:t>
      </w:r>
      <w:r w:rsidR="00AB7BE7" w:rsidRPr="00AB7BE7">
        <w:rPr>
          <w:lang w:val="en-CA"/>
        </w:rPr>
        <w:t>3</w:t>
      </w:r>
      <w:r>
        <w:rPr>
          <w:lang w:val="en-CA"/>
        </w:rPr>
        <w:t>2%</w:t>
      </w:r>
      <w:r w:rsidR="00AB7BE7" w:rsidRPr="00AB7BE7">
        <w:rPr>
          <w:lang w:val="en-CA"/>
        </w:rPr>
        <w:t xml:space="preserve"> </w:t>
      </w:r>
      <w:r>
        <w:rPr>
          <w:lang w:val="en-CA"/>
        </w:rPr>
        <w:t>of whom were between the ages of 12 and 17</w:t>
      </w:r>
      <w:r w:rsidR="00AB7BE7" w:rsidRPr="00AB7BE7">
        <w:rPr>
          <w:lang w:val="en-CA"/>
        </w:rPr>
        <w:t>.</w:t>
      </w:r>
      <w:r>
        <w:rPr>
          <w:lang w:val="en-CA"/>
        </w:rPr>
        <w:t xml:space="preserve"> </w:t>
      </w:r>
      <w:r w:rsidR="00315976">
        <w:rPr>
          <w:lang w:val="en-CA"/>
        </w:rPr>
        <w:t xml:space="preserve">The median (range) duration of exposure was </w:t>
      </w:r>
      <w:r w:rsidR="002128C7">
        <w:rPr>
          <w:lang w:val="en-CA"/>
        </w:rPr>
        <w:t>9.4</w:t>
      </w:r>
      <w:r w:rsidR="00315976">
        <w:rPr>
          <w:lang w:val="en-CA"/>
        </w:rPr>
        <w:t xml:space="preserve"> (</w:t>
      </w:r>
      <w:r w:rsidR="007262FF">
        <w:rPr>
          <w:lang w:val="en-CA"/>
        </w:rPr>
        <w:t>1.0</w:t>
      </w:r>
      <w:r w:rsidR="00315976">
        <w:rPr>
          <w:lang w:val="en-CA"/>
        </w:rPr>
        <w:t>-</w:t>
      </w:r>
      <w:r w:rsidR="007262FF">
        <w:rPr>
          <w:lang w:val="en-CA"/>
        </w:rPr>
        <w:t>20.5</w:t>
      </w:r>
      <w:r w:rsidR="00315976">
        <w:rPr>
          <w:lang w:val="en-CA"/>
        </w:rPr>
        <w:t>)</w:t>
      </w:r>
      <w:r w:rsidR="00315976" w:rsidRPr="00315976">
        <w:rPr>
          <w:lang w:val="en-CA"/>
        </w:rPr>
        <w:t xml:space="preserve"> </w:t>
      </w:r>
      <w:r w:rsidR="00315976">
        <w:rPr>
          <w:lang w:val="en-CA"/>
        </w:rPr>
        <w:t>months.</w:t>
      </w:r>
      <w:r w:rsidR="00315976" w:rsidRPr="00315976">
        <w:rPr>
          <w:lang w:val="en-CA"/>
        </w:rPr>
        <w:t xml:space="preserve"> </w:t>
      </w:r>
    </w:p>
    <w:p w14:paraId="6BB6AA40" w14:textId="33469EDC" w:rsidR="009A6CD7" w:rsidRDefault="009A6CD7" w:rsidP="009A6CD7">
      <w:pPr>
        <w:pStyle w:val="BodyText"/>
        <w:rPr>
          <w:lang w:val="en-GB"/>
        </w:rPr>
      </w:pPr>
      <w:r w:rsidRPr="009A6CD7">
        <w:rPr>
          <w:lang w:val="en-GB"/>
        </w:rPr>
        <w:t xml:space="preserve">The most common </w:t>
      </w:r>
      <w:r w:rsidR="0004484E">
        <w:rPr>
          <w:lang w:val="en-GB"/>
        </w:rPr>
        <w:t xml:space="preserve">adverse reaction reported in patients who received </w:t>
      </w:r>
      <w:r w:rsidRPr="009A6CD7">
        <w:rPr>
          <w:lang w:val="en-GB"/>
        </w:rPr>
        <w:t>concizumab was injection site reaction (</w:t>
      </w:r>
      <w:bookmarkEnd w:id="26"/>
      <w:r w:rsidR="00EC1F7F">
        <w:rPr>
          <w:lang w:val="en-GB"/>
        </w:rPr>
        <w:t>2</w:t>
      </w:r>
      <w:r w:rsidR="0004484E">
        <w:rPr>
          <w:lang w:val="en-GB"/>
        </w:rPr>
        <w:t>3</w:t>
      </w:r>
      <w:r w:rsidRPr="009A6CD7">
        <w:rPr>
          <w:lang w:val="en-GB"/>
        </w:rPr>
        <w:t xml:space="preserve">%).  </w:t>
      </w:r>
    </w:p>
    <w:p w14:paraId="48C439A1" w14:textId="0BD3A936" w:rsidR="00315976" w:rsidRDefault="00315976" w:rsidP="009A6CD7">
      <w:pPr>
        <w:pStyle w:val="BodyText"/>
        <w:rPr>
          <w:lang w:val="en-GB"/>
        </w:rPr>
      </w:pPr>
      <w:r>
        <w:rPr>
          <w:lang w:val="en-GB"/>
        </w:rPr>
        <w:t xml:space="preserve">Serious adverse events occurred in 12% of patients, </w:t>
      </w:r>
      <w:r w:rsidR="00994AA2">
        <w:rPr>
          <w:lang w:val="en-GB"/>
        </w:rPr>
        <w:t xml:space="preserve">including one </w:t>
      </w:r>
      <w:r w:rsidR="00994AA2" w:rsidRPr="00994AA2">
        <w:rPr>
          <w:lang w:val="en-GB"/>
        </w:rPr>
        <w:t>hypersensitivity reaction (0.9%) and one thromboembolic event (0.9%)</w:t>
      </w:r>
      <w:r w:rsidR="00994AA2">
        <w:rPr>
          <w:lang w:val="en-GB"/>
        </w:rPr>
        <w:t xml:space="preserve">: </w:t>
      </w:r>
      <w:r w:rsidR="00994AA2" w:rsidRPr="00994AA2">
        <w:rPr>
          <w:lang w:val="en-GB"/>
        </w:rPr>
        <w:t xml:space="preserve">both led to permanent discontinuation of </w:t>
      </w:r>
      <w:r w:rsidR="00994AA2">
        <w:rPr>
          <w:lang w:val="en-GB"/>
        </w:rPr>
        <w:t>concizumab.</w:t>
      </w:r>
    </w:p>
    <w:p w14:paraId="72700FD1" w14:textId="2A76218A" w:rsidR="00315976" w:rsidRDefault="00994AA2" w:rsidP="009A6CD7">
      <w:pPr>
        <w:pStyle w:val="BodyText"/>
        <w:rPr>
          <w:lang w:val="en-GB"/>
        </w:rPr>
      </w:pPr>
      <w:r>
        <w:rPr>
          <w:lang w:val="en-GB"/>
        </w:rPr>
        <w:t>Two fatal adverse events occurred</w:t>
      </w:r>
      <w:r w:rsidR="00DA7EEE">
        <w:rPr>
          <w:lang w:val="en-GB"/>
        </w:rPr>
        <w:t xml:space="preserve"> during concizumab treatment</w:t>
      </w:r>
      <w:r>
        <w:rPr>
          <w:lang w:val="en-GB"/>
        </w:rPr>
        <w:t>:</w:t>
      </w:r>
      <w:r w:rsidR="00315976">
        <w:rPr>
          <w:lang w:val="en-GB"/>
        </w:rPr>
        <w:t xml:space="preserve"> </w:t>
      </w:r>
      <w:r>
        <w:rPr>
          <w:lang w:val="en-GB"/>
        </w:rPr>
        <w:t>the first</w:t>
      </w:r>
      <w:r w:rsidR="00DA7EEE">
        <w:rPr>
          <w:lang w:val="en-GB"/>
        </w:rPr>
        <w:t xml:space="preserve"> was due to COVID-19</w:t>
      </w:r>
      <w:r>
        <w:rPr>
          <w:lang w:val="en-GB"/>
        </w:rPr>
        <w:t xml:space="preserve">. The second was a sudden death that </w:t>
      </w:r>
      <w:r w:rsidR="00DA7EEE">
        <w:rPr>
          <w:lang w:val="en-GB"/>
        </w:rPr>
        <w:t xml:space="preserve">occurred </w:t>
      </w:r>
      <w:r>
        <w:rPr>
          <w:lang w:val="en-GB"/>
        </w:rPr>
        <w:t>in hospital, 21 da</w:t>
      </w:r>
      <w:r w:rsidR="004D0DDD">
        <w:rPr>
          <w:lang w:val="en-GB"/>
        </w:rPr>
        <w:t>ys</w:t>
      </w:r>
      <w:r w:rsidR="006577DA">
        <w:rPr>
          <w:lang w:val="en-GB"/>
        </w:rPr>
        <w:t xml:space="preserve"> after </w:t>
      </w:r>
      <w:r w:rsidR="00DA7EEE">
        <w:rPr>
          <w:lang w:val="en-GB"/>
        </w:rPr>
        <w:t>a road traffic accident</w:t>
      </w:r>
      <w:r w:rsidR="006577DA">
        <w:rPr>
          <w:lang w:val="en-GB"/>
        </w:rPr>
        <w:t xml:space="preserve"> with femoral and humeral fractures requiring </w:t>
      </w:r>
      <w:r w:rsidR="000D619F">
        <w:rPr>
          <w:lang w:val="en-GB"/>
        </w:rPr>
        <w:t>surgical intervention</w:t>
      </w:r>
      <w:r>
        <w:rPr>
          <w:lang w:val="en-GB"/>
        </w:rPr>
        <w:t xml:space="preserve">. </w:t>
      </w:r>
    </w:p>
    <w:p w14:paraId="3F8C29BE" w14:textId="3BD29E6B" w:rsidR="00315976" w:rsidRPr="009A6CD7" w:rsidRDefault="00F62BD6" w:rsidP="009A6CD7">
      <w:pPr>
        <w:pStyle w:val="BodyText"/>
        <w:rPr>
          <w:lang w:val="en-GB"/>
        </w:rPr>
      </w:pPr>
      <w:r>
        <w:rPr>
          <w:lang w:val="en-GB"/>
        </w:rPr>
        <w:t>Concizumab dosing was interrupted</w:t>
      </w:r>
      <w:r w:rsidR="00DA7EEE">
        <w:rPr>
          <w:lang w:val="en-GB"/>
        </w:rPr>
        <w:t xml:space="preserve"> for </w:t>
      </w:r>
      <w:r w:rsidR="00994AA2">
        <w:rPr>
          <w:lang w:val="en-GB"/>
        </w:rPr>
        <w:t xml:space="preserve">7% of </w:t>
      </w:r>
      <w:r w:rsidR="00DA7EEE">
        <w:rPr>
          <w:lang w:val="en-GB"/>
        </w:rPr>
        <w:t>patients</w:t>
      </w:r>
      <w:r w:rsidR="00994AA2">
        <w:rPr>
          <w:lang w:val="en-GB"/>
        </w:rPr>
        <w:t>, most commonly due to</w:t>
      </w:r>
      <w:r w:rsidR="00DA7EEE">
        <w:rPr>
          <w:lang w:val="en-GB"/>
        </w:rPr>
        <w:t xml:space="preserve"> </w:t>
      </w:r>
      <w:r w:rsidR="00994AA2">
        <w:rPr>
          <w:lang w:val="en-GB"/>
        </w:rPr>
        <w:t>SARS-COV-2 infection</w:t>
      </w:r>
      <w:r w:rsidR="00DA7EEE">
        <w:rPr>
          <w:lang w:val="en-GB"/>
        </w:rPr>
        <w:t xml:space="preserve"> (3</w:t>
      </w:r>
      <w:r>
        <w:rPr>
          <w:lang w:val="en-GB"/>
        </w:rPr>
        <w:t xml:space="preserve"> patients</w:t>
      </w:r>
      <w:r w:rsidR="00DA7EEE">
        <w:rPr>
          <w:lang w:val="en-GB"/>
        </w:rPr>
        <w:t>)</w:t>
      </w:r>
      <w:r w:rsidR="00994AA2">
        <w:rPr>
          <w:lang w:val="en-GB"/>
        </w:rPr>
        <w:t>.</w:t>
      </w:r>
      <w:r w:rsidR="00DA7EEE">
        <w:rPr>
          <w:lang w:val="en-GB"/>
        </w:rPr>
        <w:t xml:space="preserve"> </w:t>
      </w:r>
      <w:r w:rsidR="00994AA2">
        <w:rPr>
          <w:lang w:val="en-GB"/>
        </w:rPr>
        <w:t>I</w:t>
      </w:r>
      <w:r w:rsidR="00DA7EEE">
        <w:rPr>
          <w:lang w:val="en-GB"/>
        </w:rPr>
        <w:t>njection site reaction</w:t>
      </w:r>
      <w:r w:rsidR="00994AA2">
        <w:rPr>
          <w:lang w:val="en-GB"/>
        </w:rPr>
        <w:t xml:space="preserve"> requiring dose interruption occurred in one patient</w:t>
      </w:r>
      <w:r w:rsidR="00DA7EEE">
        <w:rPr>
          <w:lang w:val="en-GB"/>
        </w:rPr>
        <w:t>.</w:t>
      </w:r>
    </w:p>
    <w:p w14:paraId="41B36416" w14:textId="6B6DD9F2" w:rsidR="00260B1B" w:rsidRDefault="0004484E" w:rsidP="007547A5">
      <w:pPr>
        <w:pStyle w:val="BodyText"/>
        <w:rPr>
          <w:lang w:val="en-CA"/>
        </w:rPr>
      </w:pPr>
      <w:bookmarkStart w:id="27" w:name="_Hlk97106834"/>
      <w:r>
        <w:rPr>
          <w:lang w:val="en-CA"/>
        </w:rPr>
        <w:t>The most c</w:t>
      </w:r>
      <w:r w:rsidR="007547A5" w:rsidRPr="007547A5">
        <w:rPr>
          <w:lang w:val="en-CA"/>
        </w:rPr>
        <w:t xml:space="preserve">ommon </w:t>
      </w:r>
      <w:r>
        <w:rPr>
          <w:lang w:val="en-CA"/>
        </w:rPr>
        <w:t>adverse events</w:t>
      </w:r>
      <w:r w:rsidR="00DE4D01">
        <w:rPr>
          <w:lang w:val="en-CA"/>
        </w:rPr>
        <w:t xml:space="preserve"> </w:t>
      </w:r>
      <w:r>
        <w:rPr>
          <w:lang w:val="en-CA"/>
        </w:rPr>
        <w:t xml:space="preserve">in explorer7 </w:t>
      </w:r>
      <w:r w:rsidR="007547A5" w:rsidRPr="007547A5">
        <w:rPr>
          <w:lang w:val="en-CA"/>
        </w:rPr>
        <w:t xml:space="preserve">are </w:t>
      </w:r>
      <w:r w:rsidR="00424AEF">
        <w:rPr>
          <w:lang w:val="en-CA"/>
        </w:rPr>
        <w:t>present</w:t>
      </w:r>
      <w:r w:rsidR="007547A5" w:rsidRPr="007547A5">
        <w:rPr>
          <w:lang w:val="en-CA"/>
        </w:rPr>
        <w:t xml:space="preserve">ed in </w:t>
      </w:r>
      <w:r>
        <w:rPr>
          <w:lang w:val="en-CA"/>
        </w:rPr>
        <w:fldChar w:fldCharType="begin"/>
      </w:r>
      <w:r>
        <w:rPr>
          <w:lang w:val="en-CA"/>
        </w:rPr>
        <w:instrText xml:space="preserve"> REF _Ref132890763 \h </w:instrText>
      </w:r>
      <w:r>
        <w:rPr>
          <w:lang w:val="en-CA"/>
        </w:rPr>
      </w:r>
      <w:r>
        <w:rPr>
          <w:lang w:val="en-CA"/>
        </w:rPr>
        <w:fldChar w:fldCharType="separate"/>
      </w:r>
      <w:r w:rsidR="00A8319D" w:rsidRPr="009A6CD7">
        <w:rPr>
          <w:lang w:val="en-GB"/>
        </w:rPr>
        <w:t xml:space="preserve">Table </w:t>
      </w:r>
      <w:r w:rsidR="00A8319D">
        <w:rPr>
          <w:noProof/>
          <w:lang w:val="en-GB"/>
        </w:rPr>
        <w:t>3</w:t>
      </w:r>
      <w:r>
        <w:rPr>
          <w:lang w:val="en-CA"/>
        </w:rPr>
        <w:fldChar w:fldCharType="end"/>
      </w:r>
      <w:r w:rsidR="00424AEF" w:rsidRPr="009A6CD7">
        <w:rPr>
          <w:bCs/>
          <w:lang w:val="en-GB"/>
        </w:rPr>
        <w:fldChar w:fldCharType="begin"/>
      </w:r>
      <w:r w:rsidR="00424AEF" w:rsidRPr="009A6CD7">
        <w:rPr>
          <w:bCs/>
          <w:lang w:val="en-GB"/>
        </w:rPr>
        <w:instrText xml:space="preserve"> REF _Ref101533552 \h  \* MERGEFORMAT </w:instrText>
      </w:r>
      <w:r w:rsidR="00424AEF" w:rsidRPr="009A6CD7">
        <w:rPr>
          <w:bCs/>
          <w:lang w:val="en-GB"/>
        </w:rPr>
      </w:r>
      <w:r w:rsidR="00424AEF" w:rsidRPr="009A6CD7">
        <w:fldChar w:fldCharType="end"/>
      </w:r>
      <w:r w:rsidR="00424AEF">
        <w:rPr>
          <w:lang w:val="en-CA"/>
        </w:rPr>
        <w:t xml:space="preserve">. </w:t>
      </w:r>
    </w:p>
    <w:p w14:paraId="06338428" w14:textId="5828D902" w:rsidR="000E3F96" w:rsidRPr="009A6CD7" w:rsidRDefault="000E3F96" w:rsidP="000E3F96">
      <w:pPr>
        <w:pStyle w:val="Caption"/>
        <w:rPr>
          <w:i/>
          <w:lang w:val="en-GB"/>
        </w:rPr>
      </w:pPr>
      <w:bookmarkStart w:id="28" w:name="_Ref132890763"/>
      <w:r w:rsidRPr="009A6CD7">
        <w:rPr>
          <w:lang w:val="en-GB"/>
        </w:rPr>
        <w:t xml:space="preserve">Table </w:t>
      </w:r>
      <w:r>
        <w:rPr>
          <w:lang w:val="en-GB"/>
        </w:rPr>
        <w:fldChar w:fldCharType="begin"/>
      </w:r>
      <w:r>
        <w:rPr>
          <w:lang w:val="en-GB"/>
        </w:rPr>
        <w:instrText xml:space="preserve"> SEQ Table \* ARABIC </w:instrText>
      </w:r>
      <w:r>
        <w:rPr>
          <w:lang w:val="en-GB"/>
        </w:rPr>
        <w:fldChar w:fldCharType="separate"/>
      </w:r>
      <w:r w:rsidR="00A8319D">
        <w:rPr>
          <w:noProof/>
          <w:lang w:val="en-GB"/>
        </w:rPr>
        <w:t>3</w:t>
      </w:r>
      <w:r>
        <w:rPr>
          <w:lang w:val="en-GB"/>
        </w:rPr>
        <w:fldChar w:fldCharType="end"/>
      </w:r>
      <w:bookmarkEnd w:id="28"/>
      <w:r w:rsidRPr="009A6CD7">
        <w:rPr>
          <w:i/>
          <w:lang w:val="en-GB"/>
        </w:rPr>
        <w:tab/>
      </w:r>
      <w:r w:rsidR="000637AE" w:rsidRPr="000637AE">
        <w:rPr>
          <w:rFonts w:hint="eastAsia"/>
          <w:lang w:val="en-GB"/>
        </w:rPr>
        <w:t>T</w:t>
      </w:r>
      <w:r w:rsidR="0004484E">
        <w:rPr>
          <w:lang w:val="en-GB"/>
        </w:rPr>
        <w:t>he most common t</w:t>
      </w:r>
      <w:r w:rsidR="000637AE" w:rsidRPr="000637AE">
        <w:rPr>
          <w:rFonts w:hint="eastAsia"/>
          <w:lang w:val="en-GB"/>
        </w:rPr>
        <w:t>reatment-</w:t>
      </w:r>
      <w:r w:rsidR="000637AE">
        <w:rPr>
          <w:lang w:val="en-GB"/>
        </w:rPr>
        <w:t>e</w:t>
      </w:r>
      <w:r w:rsidR="000637AE" w:rsidRPr="000637AE">
        <w:rPr>
          <w:rFonts w:hint="eastAsia"/>
          <w:lang w:val="en-GB"/>
        </w:rPr>
        <w:t xml:space="preserve">mergent </w:t>
      </w:r>
      <w:r w:rsidR="000637AE">
        <w:rPr>
          <w:lang w:val="en-GB"/>
        </w:rPr>
        <w:t>a</w:t>
      </w:r>
      <w:r w:rsidR="000637AE" w:rsidRPr="000637AE">
        <w:rPr>
          <w:rFonts w:hint="eastAsia"/>
          <w:lang w:val="en-GB"/>
        </w:rPr>
        <w:t xml:space="preserve">dverse </w:t>
      </w:r>
      <w:r w:rsidR="000637AE">
        <w:rPr>
          <w:lang w:val="en-GB"/>
        </w:rPr>
        <w:t>e</w:t>
      </w:r>
      <w:r w:rsidR="000637AE" w:rsidRPr="000637AE">
        <w:rPr>
          <w:rFonts w:hint="eastAsia"/>
          <w:lang w:val="en-GB"/>
        </w:rPr>
        <w:t xml:space="preserve">vents </w:t>
      </w:r>
      <w:r w:rsidR="007D2787">
        <w:rPr>
          <w:lang w:val="en-GB"/>
        </w:rPr>
        <w:t>(</w:t>
      </w:r>
      <w:r w:rsidR="0004484E">
        <w:rPr>
          <w:lang w:val="en-GB"/>
        </w:rPr>
        <w:t xml:space="preserve">incidence </w:t>
      </w:r>
      <w:r w:rsidR="0004484E">
        <w:rPr>
          <w:rFonts w:cs="Times New Roman"/>
          <w:lang w:val="en-GB"/>
        </w:rPr>
        <w:t xml:space="preserve">of at least </w:t>
      </w:r>
      <w:r w:rsidR="000637AE" w:rsidRPr="000637AE">
        <w:rPr>
          <w:rFonts w:hint="eastAsia"/>
          <w:lang w:val="en-GB"/>
        </w:rPr>
        <w:t xml:space="preserve">5%) in </w:t>
      </w:r>
      <w:r w:rsidR="000637AE">
        <w:rPr>
          <w:lang w:val="en-GB"/>
        </w:rPr>
        <w:t>ha</w:t>
      </w:r>
      <w:r w:rsidR="000637AE" w:rsidRPr="000637AE">
        <w:rPr>
          <w:rFonts w:hint="eastAsia"/>
          <w:lang w:val="en-GB"/>
        </w:rPr>
        <w:t xml:space="preserve">emophilia </w:t>
      </w:r>
      <w:r w:rsidR="000637AE">
        <w:rPr>
          <w:lang w:val="en-GB"/>
        </w:rPr>
        <w:t>p</w:t>
      </w:r>
      <w:r w:rsidR="000637AE" w:rsidRPr="000637AE">
        <w:rPr>
          <w:rFonts w:hint="eastAsia"/>
          <w:lang w:val="en-GB"/>
        </w:rPr>
        <w:t xml:space="preserve">atients with </w:t>
      </w:r>
      <w:r w:rsidR="000637AE">
        <w:rPr>
          <w:lang w:val="en-GB"/>
        </w:rPr>
        <w:t>i</w:t>
      </w:r>
      <w:r w:rsidR="000637AE" w:rsidRPr="000637AE">
        <w:rPr>
          <w:rFonts w:hint="eastAsia"/>
          <w:lang w:val="en-GB"/>
        </w:rPr>
        <w:t xml:space="preserve">nhibitors </w:t>
      </w:r>
      <w:r w:rsidR="000637AE">
        <w:rPr>
          <w:lang w:val="en-GB"/>
        </w:rPr>
        <w:t>t</w:t>
      </w:r>
      <w:r w:rsidR="000637AE" w:rsidRPr="000637AE">
        <w:rPr>
          <w:rFonts w:hint="eastAsia"/>
          <w:lang w:val="en-GB"/>
        </w:rPr>
        <w:t xml:space="preserve">reated with Alhemo </w:t>
      </w:r>
      <w:r w:rsidR="0004484E">
        <w:rPr>
          <w:lang w:val="en-GB"/>
        </w:rPr>
        <w:t>in</w:t>
      </w:r>
      <w:r w:rsidR="000637AE" w:rsidRPr="000637AE">
        <w:rPr>
          <w:rFonts w:hint="eastAsia"/>
          <w:lang w:val="en-GB"/>
        </w:rPr>
        <w:t xml:space="preserve"> </w:t>
      </w:r>
      <w:r w:rsidR="0004484E">
        <w:rPr>
          <w:lang w:val="en-GB"/>
        </w:rPr>
        <w:t xml:space="preserve">the explorer7 </w:t>
      </w:r>
      <w:r w:rsidR="00EF694D">
        <w:rPr>
          <w:lang w:val="en-GB"/>
        </w:rPr>
        <w:t>s</w:t>
      </w:r>
      <w:r w:rsidR="000637AE" w:rsidRPr="000637AE">
        <w:rPr>
          <w:rFonts w:hint="eastAsia"/>
          <w:lang w:val="en-GB"/>
        </w:rPr>
        <w:t xml:space="preserve">tudy </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8"/>
        <w:gridCol w:w="3618"/>
      </w:tblGrid>
      <w:tr w:rsidR="00BC162F" w:rsidRPr="00D12B5D" w14:paraId="5FE7C9A7" w14:textId="77777777" w:rsidTr="007B6442">
        <w:trPr>
          <w:trHeight w:val="247"/>
          <w:jc w:val="center"/>
        </w:trPr>
        <w:tc>
          <w:tcPr>
            <w:tcW w:w="5398" w:type="dxa"/>
            <w:shd w:val="clear" w:color="auto" w:fill="auto"/>
          </w:tcPr>
          <w:p w14:paraId="6BBD48B9" w14:textId="6511841A" w:rsidR="004637C8" w:rsidRPr="00D12B5D" w:rsidRDefault="007B6442" w:rsidP="006D25B4">
            <w:pPr>
              <w:pStyle w:val="Tabletext"/>
              <w:rPr>
                <w:sz w:val="22"/>
              </w:rPr>
            </w:pPr>
            <w:r w:rsidRPr="00D12B5D">
              <w:rPr>
                <w:b/>
                <w:bCs/>
                <w:sz w:val="22"/>
              </w:rPr>
              <w:t>System Organ Class</w:t>
            </w:r>
          </w:p>
        </w:tc>
        <w:tc>
          <w:tcPr>
            <w:tcW w:w="3618" w:type="dxa"/>
            <w:vMerge w:val="restart"/>
          </w:tcPr>
          <w:p w14:paraId="579BC6F5" w14:textId="2E653146" w:rsidR="004637C8" w:rsidRPr="00D12B5D" w:rsidRDefault="73F7F570" w:rsidP="00F6312A">
            <w:pPr>
              <w:pStyle w:val="Tabletext"/>
              <w:jc w:val="center"/>
              <w:rPr>
                <w:b/>
                <w:bCs/>
                <w:sz w:val="22"/>
              </w:rPr>
            </w:pPr>
            <w:r w:rsidRPr="00D12B5D">
              <w:rPr>
                <w:b/>
                <w:bCs/>
                <w:sz w:val="22"/>
              </w:rPr>
              <w:t>Frequency</w:t>
            </w:r>
            <w:r w:rsidR="004461CC" w:rsidRPr="00D12B5D">
              <w:rPr>
                <w:sz w:val="22"/>
              </w:rPr>
              <w:br/>
            </w:r>
            <w:r w:rsidR="1BD207C4" w:rsidRPr="00D12B5D">
              <w:rPr>
                <w:b/>
                <w:bCs/>
                <w:sz w:val="22"/>
              </w:rPr>
              <w:t>(N</w:t>
            </w:r>
            <w:r w:rsidR="0B638B81" w:rsidRPr="00D12B5D">
              <w:rPr>
                <w:b/>
                <w:bCs/>
                <w:sz w:val="22"/>
              </w:rPr>
              <w:t>=114)</w:t>
            </w:r>
          </w:p>
        </w:tc>
      </w:tr>
      <w:tr w:rsidR="007B6442" w:rsidRPr="00D12B5D" w14:paraId="4D712AE0" w14:textId="77777777" w:rsidTr="007B6442">
        <w:trPr>
          <w:trHeight w:val="267"/>
          <w:jc w:val="center"/>
        </w:trPr>
        <w:tc>
          <w:tcPr>
            <w:tcW w:w="5398" w:type="dxa"/>
            <w:shd w:val="clear" w:color="auto" w:fill="auto"/>
          </w:tcPr>
          <w:p w14:paraId="7374B731" w14:textId="34ADE3CA" w:rsidR="007B6442" w:rsidRPr="00D12B5D" w:rsidRDefault="007B6442" w:rsidP="007B6442">
            <w:pPr>
              <w:pStyle w:val="Tabletext"/>
              <w:rPr>
                <w:sz w:val="22"/>
              </w:rPr>
            </w:pPr>
            <w:r w:rsidRPr="00D12B5D">
              <w:rPr>
                <w:sz w:val="22"/>
              </w:rPr>
              <w:t>Preferred term (MedDRA)</w:t>
            </w:r>
          </w:p>
        </w:tc>
        <w:tc>
          <w:tcPr>
            <w:tcW w:w="3618" w:type="dxa"/>
            <w:vMerge/>
          </w:tcPr>
          <w:p w14:paraId="5FA4B99A" w14:textId="06263370" w:rsidR="007B6442" w:rsidRPr="00D12B5D" w:rsidRDefault="007B6442" w:rsidP="007B6442">
            <w:pPr>
              <w:pStyle w:val="Tabletext"/>
              <w:jc w:val="center"/>
              <w:rPr>
                <w:b/>
                <w:bCs/>
                <w:sz w:val="22"/>
              </w:rPr>
            </w:pPr>
          </w:p>
        </w:tc>
      </w:tr>
      <w:tr w:rsidR="00BC162F" w:rsidRPr="00D12B5D" w14:paraId="5C2C64B5" w14:textId="77777777" w:rsidTr="00222FD7">
        <w:trPr>
          <w:trHeight w:val="300"/>
          <w:jc w:val="center"/>
        </w:trPr>
        <w:tc>
          <w:tcPr>
            <w:tcW w:w="5398" w:type="dxa"/>
          </w:tcPr>
          <w:p w14:paraId="1F8C1B5A" w14:textId="77777777" w:rsidR="00D55B1F" w:rsidRPr="00D12B5D" w:rsidRDefault="00D55B1F" w:rsidP="006D25B4">
            <w:pPr>
              <w:pStyle w:val="Tabletext"/>
              <w:rPr>
                <w:b/>
                <w:bCs/>
                <w:sz w:val="22"/>
              </w:rPr>
            </w:pPr>
            <w:r w:rsidRPr="00D12B5D">
              <w:rPr>
                <w:b/>
                <w:bCs/>
                <w:sz w:val="22"/>
              </w:rPr>
              <w:t>General disorders and administration site disorders</w:t>
            </w:r>
          </w:p>
        </w:tc>
        <w:tc>
          <w:tcPr>
            <w:tcW w:w="3618" w:type="dxa"/>
          </w:tcPr>
          <w:p w14:paraId="5D020B4F" w14:textId="77777777" w:rsidR="00D55B1F" w:rsidRPr="00D12B5D" w:rsidRDefault="00D55B1F" w:rsidP="006D25B4">
            <w:pPr>
              <w:pStyle w:val="Tabletext"/>
              <w:rPr>
                <w:sz w:val="22"/>
              </w:rPr>
            </w:pPr>
          </w:p>
        </w:tc>
      </w:tr>
      <w:tr w:rsidR="00BC162F" w:rsidRPr="00D12B5D" w14:paraId="65564C90" w14:textId="77777777" w:rsidTr="00222FD7">
        <w:trPr>
          <w:trHeight w:val="283"/>
          <w:jc w:val="center"/>
        </w:trPr>
        <w:tc>
          <w:tcPr>
            <w:tcW w:w="5398" w:type="dxa"/>
            <w:shd w:val="clear" w:color="auto" w:fill="auto"/>
          </w:tcPr>
          <w:p w14:paraId="2E20584F" w14:textId="77777777" w:rsidR="00D55B1F" w:rsidRPr="00D12B5D" w:rsidRDefault="00D55B1F" w:rsidP="006D25B4">
            <w:pPr>
              <w:pStyle w:val="Tabletext"/>
              <w:rPr>
                <w:sz w:val="22"/>
              </w:rPr>
            </w:pPr>
            <w:r w:rsidRPr="00D12B5D">
              <w:rPr>
                <w:sz w:val="22"/>
              </w:rPr>
              <w:t>Injection site reactions*</w:t>
            </w:r>
          </w:p>
        </w:tc>
        <w:tc>
          <w:tcPr>
            <w:tcW w:w="3618" w:type="dxa"/>
          </w:tcPr>
          <w:p w14:paraId="29E89F66" w14:textId="321A0741" w:rsidR="00D55B1F" w:rsidRPr="00D12B5D" w:rsidRDefault="0009511A" w:rsidP="00DA1BDB">
            <w:pPr>
              <w:pStyle w:val="Tabletext"/>
              <w:jc w:val="center"/>
              <w:rPr>
                <w:sz w:val="22"/>
              </w:rPr>
            </w:pPr>
            <w:r w:rsidRPr="00D12B5D">
              <w:rPr>
                <w:sz w:val="22"/>
                <w:lang w:val="en-CA"/>
              </w:rPr>
              <w:t>2</w:t>
            </w:r>
            <w:r w:rsidR="0004484E">
              <w:rPr>
                <w:sz w:val="22"/>
                <w:lang w:val="en-CA"/>
              </w:rPr>
              <w:t>3</w:t>
            </w:r>
            <w:r w:rsidRPr="00D12B5D">
              <w:rPr>
                <w:sz w:val="22"/>
                <w:lang w:val="en-CA"/>
              </w:rPr>
              <w:t>%</w:t>
            </w:r>
          </w:p>
        </w:tc>
      </w:tr>
      <w:tr w:rsidR="00BC162F" w:rsidRPr="00D12B5D" w14:paraId="42D83A4F" w14:textId="77777777" w:rsidTr="00222FD7">
        <w:trPr>
          <w:trHeight w:val="283"/>
          <w:jc w:val="center"/>
        </w:trPr>
        <w:tc>
          <w:tcPr>
            <w:tcW w:w="5398" w:type="dxa"/>
            <w:shd w:val="clear" w:color="auto" w:fill="auto"/>
          </w:tcPr>
          <w:p w14:paraId="79B44C0E" w14:textId="2021B82C" w:rsidR="00D61D4E" w:rsidRPr="00D12B5D" w:rsidRDefault="000125AB" w:rsidP="000125AB">
            <w:pPr>
              <w:pStyle w:val="Tabletext"/>
              <w:rPr>
                <w:sz w:val="22"/>
              </w:rPr>
            </w:pPr>
            <w:r w:rsidRPr="00D12B5D">
              <w:rPr>
                <w:sz w:val="22"/>
                <w:lang w:val="en-CA"/>
              </w:rPr>
              <w:t>Pyrexia</w:t>
            </w:r>
          </w:p>
        </w:tc>
        <w:tc>
          <w:tcPr>
            <w:tcW w:w="3618" w:type="dxa"/>
          </w:tcPr>
          <w:p w14:paraId="14D6BEA8" w14:textId="2B95272D" w:rsidR="00D61D4E" w:rsidRPr="00D12B5D" w:rsidRDefault="00D5374E" w:rsidP="00DA1BDB">
            <w:pPr>
              <w:pStyle w:val="Tabletext"/>
              <w:jc w:val="center"/>
              <w:rPr>
                <w:sz w:val="22"/>
              </w:rPr>
            </w:pPr>
            <w:r w:rsidRPr="00D12B5D">
              <w:rPr>
                <w:sz w:val="22"/>
                <w:lang w:val="en-CA"/>
              </w:rPr>
              <w:t>5%</w:t>
            </w:r>
          </w:p>
        </w:tc>
      </w:tr>
      <w:tr w:rsidR="00BC162F" w:rsidRPr="00D12B5D" w14:paraId="0C86DD38" w14:textId="77777777" w:rsidTr="00222FD7">
        <w:trPr>
          <w:trHeight w:val="182"/>
          <w:jc w:val="center"/>
        </w:trPr>
        <w:tc>
          <w:tcPr>
            <w:tcW w:w="5398" w:type="dxa"/>
            <w:shd w:val="clear" w:color="auto" w:fill="auto"/>
          </w:tcPr>
          <w:p w14:paraId="4A685BA7" w14:textId="3E98627B" w:rsidR="000E3F96" w:rsidRPr="00D12B5D" w:rsidRDefault="00937A33" w:rsidP="006D25B4">
            <w:pPr>
              <w:pStyle w:val="Tabletext"/>
              <w:rPr>
                <w:b/>
                <w:bCs/>
                <w:sz w:val="22"/>
              </w:rPr>
            </w:pPr>
            <w:r w:rsidRPr="00D12B5D">
              <w:rPr>
                <w:b/>
                <w:bCs/>
                <w:sz w:val="22"/>
              </w:rPr>
              <w:t>Infections and infestations</w:t>
            </w:r>
          </w:p>
        </w:tc>
        <w:tc>
          <w:tcPr>
            <w:tcW w:w="3618" w:type="dxa"/>
          </w:tcPr>
          <w:p w14:paraId="2090FAF9" w14:textId="68E84494" w:rsidR="000E3F96" w:rsidRPr="00D12B5D" w:rsidRDefault="000E3F96" w:rsidP="00DA1BDB">
            <w:pPr>
              <w:pStyle w:val="Tabletext"/>
              <w:jc w:val="center"/>
              <w:rPr>
                <w:sz w:val="22"/>
              </w:rPr>
            </w:pPr>
          </w:p>
        </w:tc>
      </w:tr>
      <w:tr w:rsidR="00BC162F" w:rsidRPr="00D12B5D" w14:paraId="05AD4D7A" w14:textId="77777777" w:rsidTr="00222FD7">
        <w:trPr>
          <w:trHeight w:val="182"/>
          <w:jc w:val="center"/>
        </w:trPr>
        <w:tc>
          <w:tcPr>
            <w:tcW w:w="5398" w:type="dxa"/>
            <w:shd w:val="clear" w:color="auto" w:fill="auto"/>
          </w:tcPr>
          <w:p w14:paraId="4EE15DFB" w14:textId="5BE5FCD6" w:rsidR="00A23897" w:rsidRPr="00D12B5D" w:rsidRDefault="002435A1" w:rsidP="006D25B4">
            <w:pPr>
              <w:pStyle w:val="Tabletext"/>
              <w:rPr>
                <w:sz w:val="22"/>
              </w:rPr>
            </w:pPr>
            <w:r w:rsidRPr="00D12B5D">
              <w:rPr>
                <w:sz w:val="22"/>
              </w:rPr>
              <w:t>Upper respiratory tract infection</w:t>
            </w:r>
          </w:p>
        </w:tc>
        <w:tc>
          <w:tcPr>
            <w:tcW w:w="3618" w:type="dxa"/>
          </w:tcPr>
          <w:p w14:paraId="36DF5767" w14:textId="140CA5AB" w:rsidR="00A23897" w:rsidRPr="00D12B5D" w:rsidRDefault="008E4F07" w:rsidP="00DA1BDB">
            <w:pPr>
              <w:pStyle w:val="Tabletext"/>
              <w:jc w:val="center"/>
              <w:rPr>
                <w:sz w:val="22"/>
              </w:rPr>
            </w:pPr>
            <w:r w:rsidRPr="00D12B5D">
              <w:rPr>
                <w:sz w:val="22"/>
                <w:lang w:val="en-CA"/>
              </w:rPr>
              <w:t>7%</w:t>
            </w:r>
          </w:p>
        </w:tc>
      </w:tr>
      <w:tr w:rsidR="00BC162F" w:rsidRPr="00D12B5D" w14:paraId="49FE369A" w14:textId="77777777" w:rsidTr="00222FD7">
        <w:trPr>
          <w:trHeight w:val="182"/>
          <w:jc w:val="center"/>
        </w:trPr>
        <w:tc>
          <w:tcPr>
            <w:tcW w:w="5398" w:type="dxa"/>
            <w:shd w:val="clear" w:color="auto" w:fill="auto"/>
          </w:tcPr>
          <w:p w14:paraId="363D3BBA" w14:textId="77777777" w:rsidR="00496031" w:rsidRPr="00D12B5D" w:rsidRDefault="00496031" w:rsidP="006D25B4">
            <w:pPr>
              <w:pStyle w:val="Tabletext"/>
              <w:rPr>
                <w:b/>
                <w:bCs/>
                <w:sz w:val="22"/>
              </w:rPr>
            </w:pPr>
            <w:r w:rsidRPr="00D12B5D">
              <w:rPr>
                <w:b/>
                <w:bCs/>
                <w:sz w:val="22"/>
              </w:rPr>
              <w:t xml:space="preserve">Investigations </w:t>
            </w:r>
          </w:p>
        </w:tc>
        <w:tc>
          <w:tcPr>
            <w:tcW w:w="3618" w:type="dxa"/>
          </w:tcPr>
          <w:p w14:paraId="66291C9B" w14:textId="77777777" w:rsidR="00496031" w:rsidRPr="00D12B5D" w:rsidRDefault="00496031" w:rsidP="00DA1BDB">
            <w:pPr>
              <w:pStyle w:val="Tabletext"/>
              <w:jc w:val="center"/>
              <w:rPr>
                <w:sz w:val="22"/>
              </w:rPr>
            </w:pPr>
          </w:p>
        </w:tc>
      </w:tr>
      <w:tr w:rsidR="00BC162F" w:rsidRPr="00D12B5D" w14:paraId="7332F08A" w14:textId="77777777" w:rsidTr="00222FD7">
        <w:trPr>
          <w:trHeight w:val="182"/>
          <w:jc w:val="center"/>
        </w:trPr>
        <w:tc>
          <w:tcPr>
            <w:tcW w:w="5398" w:type="dxa"/>
            <w:shd w:val="clear" w:color="auto" w:fill="auto"/>
          </w:tcPr>
          <w:p w14:paraId="2623C644" w14:textId="443C4D10" w:rsidR="000B115E" w:rsidRPr="00D12B5D" w:rsidRDefault="000B115E" w:rsidP="006D25B4">
            <w:pPr>
              <w:pStyle w:val="Tabletext"/>
              <w:rPr>
                <w:sz w:val="22"/>
              </w:rPr>
            </w:pPr>
            <w:r w:rsidRPr="00D12B5D">
              <w:rPr>
                <w:sz w:val="22"/>
              </w:rPr>
              <w:t>Prothrombin fragments 1</w:t>
            </w:r>
            <w:r w:rsidR="002F395C">
              <w:rPr>
                <w:sz w:val="22"/>
              </w:rPr>
              <w:t xml:space="preserve"> &amp; </w:t>
            </w:r>
            <w:r w:rsidRPr="00D12B5D">
              <w:rPr>
                <w:sz w:val="22"/>
              </w:rPr>
              <w:t>2 increased</w:t>
            </w:r>
          </w:p>
        </w:tc>
        <w:tc>
          <w:tcPr>
            <w:tcW w:w="3618" w:type="dxa"/>
          </w:tcPr>
          <w:p w14:paraId="4579D69A" w14:textId="586544A4" w:rsidR="000B115E" w:rsidRPr="00D12B5D" w:rsidRDefault="00E86244" w:rsidP="00DA1BDB">
            <w:pPr>
              <w:pStyle w:val="Tabletext"/>
              <w:jc w:val="center"/>
              <w:rPr>
                <w:sz w:val="22"/>
              </w:rPr>
            </w:pPr>
            <w:r w:rsidRPr="00D12B5D">
              <w:rPr>
                <w:sz w:val="22"/>
                <w:lang w:val="en-CA"/>
              </w:rPr>
              <w:t>6%</w:t>
            </w:r>
          </w:p>
        </w:tc>
      </w:tr>
      <w:tr w:rsidR="00BC162F" w:rsidRPr="00D12B5D" w14:paraId="63C2F0B8" w14:textId="77777777" w:rsidTr="00222FD7">
        <w:trPr>
          <w:trHeight w:val="182"/>
          <w:jc w:val="center"/>
        </w:trPr>
        <w:tc>
          <w:tcPr>
            <w:tcW w:w="5398" w:type="dxa"/>
            <w:shd w:val="clear" w:color="auto" w:fill="auto"/>
          </w:tcPr>
          <w:p w14:paraId="388180C5" w14:textId="77777777" w:rsidR="00496031" w:rsidRPr="00D12B5D" w:rsidRDefault="00496031" w:rsidP="006D25B4">
            <w:pPr>
              <w:pStyle w:val="Tabletext"/>
              <w:rPr>
                <w:sz w:val="22"/>
              </w:rPr>
            </w:pPr>
            <w:r w:rsidRPr="00D12B5D">
              <w:rPr>
                <w:sz w:val="22"/>
              </w:rPr>
              <w:t>Fibrin D-dimer increased</w:t>
            </w:r>
          </w:p>
        </w:tc>
        <w:tc>
          <w:tcPr>
            <w:tcW w:w="3618" w:type="dxa"/>
          </w:tcPr>
          <w:p w14:paraId="5B35E2B3" w14:textId="40071BA6" w:rsidR="00496031" w:rsidRPr="00D12B5D" w:rsidRDefault="00A62167" w:rsidP="00DA1BDB">
            <w:pPr>
              <w:pStyle w:val="Tabletext"/>
              <w:jc w:val="center"/>
              <w:rPr>
                <w:sz w:val="22"/>
              </w:rPr>
            </w:pPr>
            <w:r w:rsidRPr="00D12B5D">
              <w:rPr>
                <w:sz w:val="22"/>
                <w:lang w:val="en-CA"/>
              </w:rPr>
              <w:t>5%</w:t>
            </w:r>
          </w:p>
        </w:tc>
      </w:tr>
      <w:tr w:rsidR="00BC162F" w:rsidRPr="00D12B5D" w14:paraId="4D2869C7" w14:textId="77777777" w:rsidTr="00222FD7">
        <w:trPr>
          <w:trHeight w:val="182"/>
          <w:jc w:val="center"/>
        </w:trPr>
        <w:tc>
          <w:tcPr>
            <w:tcW w:w="5398" w:type="dxa"/>
            <w:shd w:val="clear" w:color="auto" w:fill="auto"/>
          </w:tcPr>
          <w:p w14:paraId="5EF13A6A" w14:textId="2FC1B640" w:rsidR="00A23897" w:rsidRPr="00D12B5D" w:rsidRDefault="007337AB" w:rsidP="00A23897">
            <w:pPr>
              <w:pStyle w:val="Tabletext"/>
              <w:rPr>
                <w:b/>
                <w:bCs/>
                <w:sz w:val="22"/>
              </w:rPr>
            </w:pPr>
            <w:r w:rsidRPr="00D12B5D">
              <w:rPr>
                <w:b/>
                <w:bCs/>
                <w:sz w:val="22"/>
              </w:rPr>
              <w:t>Musculoskeletal and connective tissue disorders</w:t>
            </w:r>
          </w:p>
        </w:tc>
        <w:tc>
          <w:tcPr>
            <w:tcW w:w="3618" w:type="dxa"/>
          </w:tcPr>
          <w:p w14:paraId="675ADD68" w14:textId="77777777" w:rsidR="00A23897" w:rsidRPr="00D12B5D" w:rsidRDefault="00A23897" w:rsidP="00DA1BDB">
            <w:pPr>
              <w:pStyle w:val="Tabletext"/>
              <w:jc w:val="center"/>
              <w:rPr>
                <w:sz w:val="22"/>
              </w:rPr>
            </w:pPr>
          </w:p>
        </w:tc>
      </w:tr>
      <w:tr w:rsidR="00BC162F" w:rsidRPr="00D12B5D" w14:paraId="29B2EE89" w14:textId="77777777" w:rsidTr="00222FD7">
        <w:trPr>
          <w:trHeight w:val="182"/>
          <w:jc w:val="center"/>
        </w:trPr>
        <w:tc>
          <w:tcPr>
            <w:tcW w:w="5398" w:type="dxa"/>
            <w:shd w:val="clear" w:color="auto" w:fill="auto"/>
          </w:tcPr>
          <w:p w14:paraId="22F550A6" w14:textId="61CB78E4" w:rsidR="00A23897" w:rsidRPr="00D12B5D" w:rsidRDefault="006F2E47" w:rsidP="00A23897">
            <w:pPr>
              <w:pStyle w:val="Tabletext"/>
              <w:rPr>
                <w:sz w:val="22"/>
              </w:rPr>
            </w:pPr>
            <w:r w:rsidRPr="00D12B5D">
              <w:rPr>
                <w:sz w:val="22"/>
              </w:rPr>
              <w:t>Arthralgia</w:t>
            </w:r>
          </w:p>
        </w:tc>
        <w:tc>
          <w:tcPr>
            <w:tcW w:w="3618" w:type="dxa"/>
          </w:tcPr>
          <w:p w14:paraId="3823C7AC" w14:textId="6BBC8180" w:rsidR="00A23897" w:rsidRPr="00D12B5D" w:rsidRDefault="007B2E7B" w:rsidP="00DA1BDB">
            <w:pPr>
              <w:pStyle w:val="Tabletext"/>
              <w:jc w:val="center"/>
              <w:rPr>
                <w:sz w:val="22"/>
              </w:rPr>
            </w:pPr>
            <w:r w:rsidRPr="00D12B5D">
              <w:rPr>
                <w:sz w:val="22"/>
                <w:lang w:val="en-CA"/>
              </w:rPr>
              <w:t>11%</w:t>
            </w:r>
          </w:p>
        </w:tc>
      </w:tr>
      <w:tr w:rsidR="00BC162F" w:rsidRPr="00D12B5D" w14:paraId="2539F34F" w14:textId="77777777" w:rsidTr="00222FD7">
        <w:trPr>
          <w:trHeight w:val="182"/>
          <w:jc w:val="center"/>
        </w:trPr>
        <w:tc>
          <w:tcPr>
            <w:tcW w:w="5398" w:type="dxa"/>
            <w:shd w:val="clear" w:color="auto" w:fill="auto"/>
          </w:tcPr>
          <w:p w14:paraId="50932AB5" w14:textId="7D5CCF9E" w:rsidR="006F2E47" w:rsidRPr="00D12B5D" w:rsidRDefault="0057469A" w:rsidP="00A23897">
            <w:pPr>
              <w:pStyle w:val="Tabletext"/>
              <w:rPr>
                <w:b/>
                <w:bCs/>
                <w:sz w:val="22"/>
              </w:rPr>
            </w:pPr>
            <w:r w:rsidRPr="00D12B5D">
              <w:rPr>
                <w:b/>
                <w:bCs/>
                <w:sz w:val="22"/>
              </w:rPr>
              <w:t xml:space="preserve">Nervous </w:t>
            </w:r>
            <w:r w:rsidR="005F15DB" w:rsidRPr="00D12B5D">
              <w:rPr>
                <w:b/>
                <w:bCs/>
                <w:sz w:val="22"/>
              </w:rPr>
              <w:t>s</w:t>
            </w:r>
            <w:r w:rsidRPr="00D12B5D">
              <w:rPr>
                <w:b/>
                <w:bCs/>
                <w:sz w:val="22"/>
              </w:rPr>
              <w:t xml:space="preserve">ystem </w:t>
            </w:r>
            <w:r w:rsidR="005F15DB" w:rsidRPr="00D12B5D">
              <w:rPr>
                <w:b/>
                <w:bCs/>
                <w:sz w:val="22"/>
              </w:rPr>
              <w:t>d</w:t>
            </w:r>
            <w:r w:rsidRPr="00D12B5D">
              <w:rPr>
                <w:b/>
                <w:bCs/>
                <w:sz w:val="22"/>
              </w:rPr>
              <w:t>isorders</w:t>
            </w:r>
          </w:p>
        </w:tc>
        <w:tc>
          <w:tcPr>
            <w:tcW w:w="3618" w:type="dxa"/>
          </w:tcPr>
          <w:p w14:paraId="38DA360D" w14:textId="77777777" w:rsidR="006F2E47" w:rsidRPr="00D12B5D" w:rsidRDefault="006F2E47" w:rsidP="00DA1BDB">
            <w:pPr>
              <w:pStyle w:val="Tabletext"/>
              <w:jc w:val="center"/>
              <w:rPr>
                <w:sz w:val="22"/>
              </w:rPr>
            </w:pPr>
          </w:p>
        </w:tc>
      </w:tr>
      <w:tr w:rsidR="00BC162F" w:rsidRPr="00D12B5D" w14:paraId="2E54FC9B" w14:textId="77777777" w:rsidTr="00222FD7">
        <w:trPr>
          <w:trHeight w:val="182"/>
          <w:jc w:val="center"/>
        </w:trPr>
        <w:tc>
          <w:tcPr>
            <w:tcW w:w="5398" w:type="dxa"/>
            <w:shd w:val="clear" w:color="auto" w:fill="auto"/>
          </w:tcPr>
          <w:p w14:paraId="0B86CEAA" w14:textId="3FA23F09" w:rsidR="006F2E47" w:rsidRPr="00D12B5D" w:rsidRDefault="00C63C4A" w:rsidP="00C63C4A">
            <w:pPr>
              <w:pStyle w:val="Tabletext"/>
              <w:rPr>
                <w:sz w:val="22"/>
              </w:rPr>
            </w:pPr>
            <w:r w:rsidRPr="00D12B5D">
              <w:rPr>
                <w:sz w:val="22"/>
                <w:lang w:val="en-CA"/>
              </w:rPr>
              <w:t>Headache</w:t>
            </w:r>
          </w:p>
        </w:tc>
        <w:tc>
          <w:tcPr>
            <w:tcW w:w="3618" w:type="dxa"/>
          </w:tcPr>
          <w:p w14:paraId="4DB2FCA4" w14:textId="39C0EF4E" w:rsidR="006F2E47" w:rsidRPr="00D12B5D" w:rsidRDefault="00A46668" w:rsidP="00DA1BDB">
            <w:pPr>
              <w:pStyle w:val="Tabletext"/>
              <w:jc w:val="center"/>
              <w:rPr>
                <w:sz w:val="22"/>
              </w:rPr>
            </w:pPr>
            <w:r w:rsidRPr="00D12B5D">
              <w:rPr>
                <w:sz w:val="22"/>
              </w:rPr>
              <w:t>5%</w:t>
            </w:r>
          </w:p>
        </w:tc>
      </w:tr>
    </w:tbl>
    <w:p w14:paraId="3B772EC2" w14:textId="3117DCA4" w:rsidR="000E3F96" w:rsidRDefault="003127A3" w:rsidP="007547A5">
      <w:pPr>
        <w:pStyle w:val="BodyText"/>
        <w:rPr>
          <w:sz w:val="20"/>
          <w:szCs w:val="20"/>
          <w:lang w:val="en-CA"/>
        </w:rPr>
      </w:pPr>
      <w:r w:rsidRPr="003127A3">
        <w:rPr>
          <w:sz w:val="20"/>
          <w:szCs w:val="20"/>
          <w:lang w:val="en-CA"/>
        </w:rPr>
        <w:t xml:space="preserve">*Injection site reactions: </w:t>
      </w:r>
      <w:r w:rsidR="0004484E">
        <w:rPr>
          <w:sz w:val="20"/>
          <w:szCs w:val="20"/>
          <w:lang w:val="en-CA"/>
        </w:rPr>
        <w:t>this grouped term includes</w:t>
      </w:r>
      <w:r w:rsidRPr="003127A3">
        <w:rPr>
          <w:sz w:val="20"/>
          <w:szCs w:val="20"/>
          <w:lang w:val="en-CA"/>
        </w:rPr>
        <w:t xml:space="preserve"> the preferred terms injection site rash, injection site erythema, injection site urticaria, injection site reaction, injection site bruising, injection site h</w:t>
      </w:r>
      <w:r w:rsidR="0047387B">
        <w:rPr>
          <w:sz w:val="20"/>
          <w:szCs w:val="20"/>
          <w:lang w:val="en-CA"/>
        </w:rPr>
        <w:t>a</w:t>
      </w:r>
      <w:r w:rsidRPr="003127A3">
        <w:rPr>
          <w:sz w:val="20"/>
          <w:szCs w:val="20"/>
          <w:lang w:val="en-CA"/>
        </w:rPr>
        <w:t>ematoma, injection site swelling, injection site pruritus, injection site h</w:t>
      </w:r>
      <w:r w:rsidR="0040421C">
        <w:rPr>
          <w:sz w:val="20"/>
          <w:szCs w:val="20"/>
          <w:lang w:val="en-CA"/>
        </w:rPr>
        <w:t>a</w:t>
      </w:r>
      <w:r w:rsidRPr="003127A3">
        <w:rPr>
          <w:sz w:val="20"/>
          <w:szCs w:val="20"/>
          <w:lang w:val="en-CA"/>
        </w:rPr>
        <w:t xml:space="preserve">emorrhage, injection site </w:t>
      </w:r>
      <w:proofErr w:type="spellStart"/>
      <w:r w:rsidRPr="003127A3">
        <w:rPr>
          <w:sz w:val="20"/>
          <w:szCs w:val="20"/>
          <w:lang w:val="en-CA"/>
        </w:rPr>
        <w:t>hypo</w:t>
      </w:r>
      <w:r w:rsidR="00162A31">
        <w:rPr>
          <w:sz w:val="20"/>
          <w:szCs w:val="20"/>
          <w:lang w:val="en-CA"/>
        </w:rPr>
        <w:t>a</w:t>
      </w:r>
      <w:r w:rsidRPr="003127A3">
        <w:rPr>
          <w:sz w:val="20"/>
          <w:szCs w:val="20"/>
          <w:lang w:val="en-CA"/>
        </w:rPr>
        <w:t>esthesia</w:t>
      </w:r>
      <w:proofErr w:type="spellEnd"/>
      <w:r w:rsidRPr="003127A3">
        <w:rPr>
          <w:sz w:val="20"/>
          <w:szCs w:val="20"/>
          <w:lang w:val="en-CA"/>
        </w:rPr>
        <w:t>, injection site induration, and injection site pain.</w:t>
      </w:r>
    </w:p>
    <w:p w14:paraId="2A075707" w14:textId="346E26E9" w:rsidR="0004484E" w:rsidRPr="007A7AC6" w:rsidRDefault="0004484E" w:rsidP="00E76AAC">
      <w:pPr>
        <w:pStyle w:val="BodyText"/>
        <w:rPr>
          <w:i/>
          <w:iCs/>
          <w:szCs w:val="24"/>
          <w:lang w:val="en-CA"/>
        </w:rPr>
      </w:pPr>
      <w:r w:rsidRPr="00F2167D">
        <w:rPr>
          <w:szCs w:val="24"/>
          <w:lang w:val="en-CA"/>
        </w:rPr>
        <w:t xml:space="preserve">The following </w:t>
      </w:r>
      <w:r w:rsidR="00F62BD6">
        <w:rPr>
          <w:szCs w:val="24"/>
          <w:lang w:val="en-CA"/>
        </w:rPr>
        <w:t xml:space="preserve">clinically meaningful but </w:t>
      </w:r>
      <w:r w:rsidRPr="00F2167D">
        <w:rPr>
          <w:szCs w:val="24"/>
          <w:lang w:val="en-CA"/>
        </w:rPr>
        <w:t xml:space="preserve">less common </w:t>
      </w:r>
      <w:r>
        <w:rPr>
          <w:szCs w:val="24"/>
          <w:lang w:val="en-CA"/>
        </w:rPr>
        <w:t>events also occurred</w:t>
      </w:r>
      <w:r w:rsidRPr="00F2167D">
        <w:rPr>
          <w:szCs w:val="24"/>
          <w:lang w:val="en-CA"/>
        </w:rPr>
        <w:t xml:space="preserve"> in </w:t>
      </w:r>
      <w:r>
        <w:rPr>
          <w:szCs w:val="24"/>
          <w:lang w:val="en-CA"/>
        </w:rPr>
        <w:t>patients who received</w:t>
      </w:r>
      <w:r w:rsidRPr="00F2167D">
        <w:rPr>
          <w:szCs w:val="24"/>
          <w:lang w:val="en-CA"/>
        </w:rPr>
        <w:t xml:space="preserve"> Alhemo</w:t>
      </w:r>
      <w:r w:rsidRPr="00F2167D" w:rsidDel="0004484E">
        <w:rPr>
          <w:szCs w:val="24"/>
          <w:lang w:val="en-CA"/>
        </w:rPr>
        <w:t xml:space="preserve"> </w:t>
      </w:r>
      <w:r>
        <w:rPr>
          <w:szCs w:val="24"/>
          <w:lang w:val="en-CA"/>
        </w:rPr>
        <w:t>in the explorer7 study:</w:t>
      </w:r>
    </w:p>
    <w:p w14:paraId="019408A4" w14:textId="280A610B" w:rsidR="00E76AAC" w:rsidRPr="00360D28" w:rsidRDefault="00E76AAC" w:rsidP="00360D28">
      <w:pPr>
        <w:pStyle w:val="BodyText"/>
        <w:spacing w:after="0"/>
        <w:rPr>
          <w:lang w:val="en-CA"/>
        </w:rPr>
      </w:pPr>
      <w:r w:rsidRPr="00360D28">
        <w:rPr>
          <w:lang w:val="en-CA"/>
        </w:rPr>
        <w:t xml:space="preserve">Vascular disorders: thromboembolic events (0.9%) </w:t>
      </w:r>
    </w:p>
    <w:p w14:paraId="64C11505" w14:textId="64AC1DA0" w:rsidR="002D2808" w:rsidRPr="00360D28" w:rsidRDefault="00E76AAC" w:rsidP="00360D28">
      <w:pPr>
        <w:pStyle w:val="BodyText"/>
        <w:spacing w:before="0" w:after="0"/>
        <w:rPr>
          <w:lang w:val="en-CA"/>
        </w:rPr>
      </w:pPr>
      <w:r w:rsidRPr="00360D28">
        <w:rPr>
          <w:lang w:val="en-CA"/>
        </w:rPr>
        <w:t xml:space="preserve">Immune </w:t>
      </w:r>
      <w:r w:rsidR="009F3F31">
        <w:rPr>
          <w:lang w:val="en-CA"/>
        </w:rPr>
        <w:t>s</w:t>
      </w:r>
      <w:r w:rsidRPr="00360D28">
        <w:rPr>
          <w:lang w:val="en-CA"/>
        </w:rPr>
        <w:t xml:space="preserve">ystem </w:t>
      </w:r>
      <w:r w:rsidR="009F3F31">
        <w:rPr>
          <w:lang w:val="en-CA"/>
        </w:rPr>
        <w:t>d</w:t>
      </w:r>
      <w:r w:rsidRPr="00360D28">
        <w:rPr>
          <w:lang w:val="en-CA"/>
        </w:rPr>
        <w:t>isorders: hypersensitivity (2.6%)</w:t>
      </w:r>
    </w:p>
    <w:p w14:paraId="5461D420" w14:textId="4C162CAF" w:rsidR="00BC2E44" w:rsidRPr="00360D28" w:rsidRDefault="00552850" w:rsidP="00360D28">
      <w:pPr>
        <w:pStyle w:val="BodyText"/>
        <w:spacing w:before="0"/>
        <w:rPr>
          <w:lang w:val="en-CA"/>
        </w:rPr>
      </w:pPr>
      <w:r w:rsidRPr="00360D28">
        <w:rPr>
          <w:lang w:val="en-CA"/>
        </w:rPr>
        <w:t xml:space="preserve">Skin and subcutaneous tissue disorders: </w:t>
      </w:r>
      <w:r w:rsidR="00E76AAC" w:rsidRPr="00360D28">
        <w:rPr>
          <w:lang w:val="en-CA"/>
        </w:rPr>
        <w:t>p</w:t>
      </w:r>
      <w:r w:rsidRPr="00360D28">
        <w:rPr>
          <w:lang w:val="en-CA"/>
        </w:rPr>
        <w:t>ruritus (</w:t>
      </w:r>
      <w:r w:rsidR="00961BB1">
        <w:rPr>
          <w:lang w:val="en-CA"/>
        </w:rPr>
        <w:t>0.9</w:t>
      </w:r>
      <w:r w:rsidR="005D6749">
        <w:rPr>
          <w:lang w:val="en-CA"/>
        </w:rPr>
        <w:t>%</w:t>
      </w:r>
      <w:r w:rsidR="002D2808" w:rsidRPr="00360D28">
        <w:rPr>
          <w:lang w:val="en-CA"/>
        </w:rPr>
        <w:t>)</w:t>
      </w:r>
    </w:p>
    <w:bookmarkEnd w:id="27"/>
    <w:p w14:paraId="71D1A792" w14:textId="56C65B13" w:rsidR="009A6CD7" w:rsidRPr="009A6CD7" w:rsidRDefault="009A6CD7" w:rsidP="00CE66C0">
      <w:pPr>
        <w:pStyle w:val="BodyText"/>
        <w:pageBreakBefore/>
        <w:rPr>
          <w:i/>
          <w:iCs/>
          <w:lang w:val="en-GB"/>
        </w:rPr>
      </w:pPr>
      <w:r w:rsidRPr="00F2167D">
        <w:rPr>
          <w:b/>
          <w:bCs/>
          <w:lang w:val="en-GB"/>
        </w:rPr>
        <w:lastRenderedPageBreak/>
        <w:t>Description of selected ADRs</w:t>
      </w:r>
      <w:r w:rsidR="002A5BE6" w:rsidRPr="00F2167D">
        <w:rPr>
          <w:b/>
          <w:bCs/>
          <w:lang w:val="en-GB"/>
        </w:rPr>
        <w:fldChar w:fldCharType="begin"/>
      </w:r>
      <w:r w:rsidR="002A5BE6" w:rsidRPr="00F2167D">
        <w:rPr>
          <w:b/>
          <w:bCs/>
          <w:lang w:val="en-GB"/>
        </w:rPr>
        <w:instrText xml:space="preserve"> DOCVARIABLE vault_nd_d5b39be2-ef74-4203-a274-11ff44b60a6c \* MERGEFORMAT </w:instrText>
      </w:r>
      <w:r w:rsidR="002A5BE6" w:rsidRPr="00F2167D">
        <w:rPr>
          <w:b/>
          <w:bCs/>
          <w:lang w:val="en-GB"/>
        </w:rPr>
        <w:fldChar w:fldCharType="separate"/>
      </w:r>
      <w:r w:rsidR="00A8319D">
        <w:rPr>
          <w:b/>
          <w:bCs/>
          <w:lang w:val="en-GB"/>
        </w:rPr>
        <w:t xml:space="preserve"> </w:t>
      </w:r>
      <w:r w:rsidR="002A5BE6" w:rsidRPr="00F2167D">
        <w:rPr>
          <w:b/>
          <w:bCs/>
          <w:lang w:val="en-GB"/>
        </w:rPr>
        <w:fldChar w:fldCharType="end"/>
      </w:r>
    </w:p>
    <w:p w14:paraId="131679BD" w14:textId="12A0C9E9" w:rsidR="009A6CD7" w:rsidRPr="009A6CD7" w:rsidRDefault="009A6CD7" w:rsidP="009A6CD7">
      <w:pPr>
        <w:pStyle w:val="BodyText"/>
        <w:rPr>
          <w:i/>
          <w:iCs/>
          <w:lang w:val="en-GB"/>
        </w:rPr>
      </w:pPr>
      <w:r w:rsidRPr="009A6CD7">
        <w:rPr>
          <w:i/>
          <w:iCs/>
          <w:lang w:val="en-GB"/>
        </w:rPr>
        <w:t xml:space="preserve">Increased laboratory values of </w:t>
      </w:r>
      <w:r w:rsidR="00C17160">
        <w:rPr>
          <w:i/>
          <w:iCs/>
          <w:lang w:val="en-GB"/>
        </w:rPr>
        <w:t>f</w:t>
      </w:r>
      <w:r w:rsidRPr="009A6CD7">
        <w:rPr>
          <w:i/>
          <w:iCs/>
          <w:lang w:val="en-GB"/>
        </w:rPr>
        <w:t xml:space="preserve">ibrin D-dimer and prothrombin fragment 1.2 </w:t>
      </w:r>
    </w:p>
    <w:p w14:paraId="6048F823" w14:textId="3CC1A009" w:rsidR="009A6CD7" w:rsidRPr="009A6CD7" w:rsidRDefault="009A6CD7" w:rsidP="009A6CD7">
      <w:pPr>
        <w:pStyle w:val="BodyText"/>
        <w:rPr>
          <w:lang w:val="en-US"/>
        </w:rPr>
      </w:pPr>
      <w:bookmarkStart w:id="29" w:name="_Hlk97549540"/>
      <w:r w:rsidRPr="009A6CD7">
        <w:rPr>
          <w:lang w:val="en-US"/>
        </w:rPr>
        <w:t xml:space="preserve">Increased levels of fibrin D-dimer were reported in </w:t>
      </w:r>
      <w:r w:rsidR="003753A1">
        <w:rPr>
          <w:lang w:val="en-US"/>
        </w:rPr>
        <w:t>6</w:t>
      </w:r>
      <w:r w:rsidR="003753A1" w:rsidRPr="009A6CD7">
        <w:rPr>
          <w:lang w:val="en-US"/>
        </w:rPr>
        <w:t xml:space="preserve"> </w:t>
      </w:r>
      <w:r w:rsidRPr="009A6CD7">
        <w:rPr>
          <w:lang w:val="en-US"/>
        </w:rPr>
        <w:t>(</w:t>
      </w:r>
      <w:r w:rsidR="00D5262F">
        <w:rPr>
          <w:lang w:val="en-US"/>
        </w:rPr>
        <w:t>5.3</w:t>
      </w:r>
      <w:r w:rsidRPr="009A6CD7">
        <w:rPr>
          <w:lang w:val="en-US"/>
        </w:rPr>
        <w:t xml:space="preserve">%) of patients and increased levels of fragment 1.2 were seen in </w:t>
      </w:r>
      <w:r w:rsidR="009E2DCB">
        <w:rPr>
          <w:lang w:val="en-US"/>
        </w:rPr>
        <w:t>7</w:t>
      </w:r>
      <w:r w:rsidR="009E2DCB" w:rsidRPr="009A6CD7">
        <w:rPr>
          <w:lang w:val="en-US"/>
        </w:rPr>
        <w:t xml:space="preserve"> </w:t>
      </w:r>
      <w:r w:rsidRPr="009A6CD7">
        <w:rPr>
          <w:lang w:val="en-US"/>
        </w:rPr>
        <w:t>(</w:t>
      </w:r>
      <w:r w:rsidR="009E2DCB">
        <w:rPr>
          <w:lang w:val="en-US"/>
        </w:rPr>
        <w:t>6.1</w:t>
      </w:r>
      <w:r w:rsidRPr="009A6CD7">
        <w:rPr>
          <w:lang w:val="en-US"/>
        </w:rPr>
        <w:t xml:space="preserve">%) patients. </w:t>
      </w:r>
      <w:r w:rsidRPr="009A6CD7">
        <w:rPr>
          <w:lang w:val="en-GB"/>
        </w:rPr>
        <w:t>Concizumab plasma concentration is positively correlated with fibrin D-dimer and prothrombin fragments 1.2 indicating haemostatic effect of concizumab</w:t>
      </w:r>
      <w:r w:rsidRPr="009A6CD7">
        <w:rPr>
          <w:lang w:val="en-US"/>
        </w:rPr>
        <w:t>.</w:t>
      </w:r>
    </w:p>
    <w:p w14:paraId="6A64448F" w14:textId="6B2556B4" w:rsidR="009A6CD7" w:rsidRPr="009A6CD7" w:rsidRDefault="009A6CD7" w:rsidP="009A6CD7">
      <w:pPr>
        <w:pStyle w:val="BodyText"/>
        <w:rPr>
          <w:bCs/>
          <w:lang w:val="en-US"/>
        </w:rPr>
      </w:pPr>
      <w:r w:rsidRPr="009A6CD7">
        <w:rPr>
          <w:bCs/>
          <w:lang w:val="en-US"/>
        </w:rPr>
        <w:t xml:space="preserve">No clinically significant changes were seen in </w:t>
      </w:r>
      <w:r w:rsidR="0004484E">
        <w:rPr>
          <w:bCs/>
          <w:lang w:val="en-US"/>
        </w:rPr>
        <w:t xml:space="preserve">levels of </w:t>
      </w:r>
      <w:r w:rsidRPr="009A6CD7">
        <w:rPr>
          <w:bCs/>
          <w:lang w:val="en-US"/>
        </w:rPr>
        <w:t>fibrinogen, anti-</w:t>
      </w:r>
      <w:proofErr w:type="gramStart"/>
      <w:r w:rsidRPr="009A6CD7">
        <w:rPr>
          <w:bCs/>
          <w:lang w:val="en-US"/>
        </w:rPr>
        <w:t>thrombin</w:t>
      </w:r>
      <w:proofErr w:type="gramEnd"/>
      <w:r w:rsidRPr="009A6CD7">
        <w:rPr>
          <w:bCs/>
          <w:lang w:val="en-US"/>
        </w:rPr>
        <w:t xml:space="preserve"> </w:t>
      </w:r>
      <w:r w:rsidR="0004484E">
        <w:rPr>
          <w:bCs/>
          <w:lang w:val="en-US"/>
        </w:rPr>
        <w:t>or</w:t>
      </w:r>
      <w:r w:rsidR="0004484E" w:rsidRPr="009A6CD7">
        <w:rPr>
          <w:bCs/>
          <w:lang w:val="en-US"/>
        </w:rPr>
        <w:t xml:space="preserve"> </w:t>
      </w:r>
      <w:r w:rsidRPr="009A6CD7">
        <w:rPr>
          <w:bCs/>
          <w:lang w:val="en-US"/>
        </w:rPr>
        <w:t>platelets.</w:t>
      </w:r>
      <w:bookmarkEnd w:id="29"/>
    </w:p>
    <w:p w14:paraId="59B9F32C" w14:textId="77777777" w:rsidR="009A6CD7" w:rsidRPr="009A6CD7" w:rsidRDefault="009A6CD7" w:rsidP="009A6CD7">
      <w:pPr>
        <w:pStyle w:val="BodyText"/>
        <w:rPr>
          <w:bCs/>
          <w:i/>
          <w:iCs/>
          <w:lang w:val="en-GB"/>
        </w:rPr>
      </w:pPr>
      <w:r w:rsidRPr="009A6CD7">
        <w:rPr>
          <w:bCs/>
          <w:i/>
          <w:iCs/>
          <w:lang w:val="en-GB"/>
        </w:rPr>
        <w:t>Injection site reactions</w:t>
      </w:r>
    </w:p>
    <w:p w14:paraId="34C6885F" w14:textId="23D07137" w:rsidR="000F6D37" w:rsidRPr="00E90325" w:rsidRDefault="009A6CD7" w:rsidP="00B00535">
      <w:pPr>
        <w:pStyle w:val="BodyText"/>
        <w:rPr>
          <w:lang w:val="en-GB"/>
        </w:rPr>
      </w:pPr>
      <w:r w:rsidRPr="009A6CD7">
        <w:rPr>
          <w:lang w:val="en-GB"/>
        </w:rPr>
        <w:t xml:space="preserve">Injection site reactions were reported in </w:t>
      </w:r>
      <w:r w:rsidR="00E73578">
        <w:rPr>
          <w:lang w:val="en-GB"/>
        </w:rPr>
        <w:t>26</w:t>
      </w:r>
      <w:r w:rsidR="00E73578" w:rsidRPr="009A6CD7">
        <w:rPr>
          <w:lang w:val="en-GB"/>
        </w:rPr>
        <w:t xml:space="preserve"> </w:t>
      </w:r>
      <w:r w:rsidRPr="009A6CD7">
        <w:rPr>
          <w:lang w:val="en-GB"/>
        </w:rPr>
        <w:t>(</w:t>
      </w:r>
      <w:r w:rsidR="00E842BE">
        <w:rPr>
          <w:lang w:val="en-GB"/>
        </w:rPr>
        <w:t>22.8</w:t>
      </w:r>
      <w:r w:rsidRPr="009A6CD7">
        <w:rPr>
          <w:lang w:val="en-GB"/>
        </w:rPr>
        <w:t>%) of the patients. The most frequently reported symptoms were injection site erythema (</w:t>
      </w:r>
      <w:r w:rsidR="00A150E1">
        <w:rPr>
          <w:lang w:val="en-GB"/>
        </w:rPr>
        <w:t>7.</w:t>
      </w:r>
      <w:r w:rsidR="00702D0C">
        <w:rPr>
          <w:lang w:val="en-GB"/>
        </w:rPr>
        <w:t>9</w:t>
      </w:r>
      <w:r w:rsidRPr="009A6CD7">
        <w:rPr>
          <w:lang w:val="en-GB"/>
        </w:rPr>
        <w:t>%)</w:t>
      </w:r>
      <w:r w:rsidR="009472D4">
        <w:rPr>
          <w:lang w:val="en-GB"/>
        </w:rPr>
        <w:t xml:space="preserve"> and</w:t>
      </w:r>
      <w:r w:rsidRPr="009A6CD7">
        <w:rPr>
          <w:lang w:val="en-GB"/>
        </w:rPr>
        <w:t xml:space="preserve"> injection site bruising (</w:t>
      </w:r>
      <w:r w:rsidR="00362F96">
        <w:rPr>
          <w:lang w:val="en-GB"/>
        </w:rPr>
        <w:t>3.5</w:t>
      </w:r>
      <w:r w:rsidRPr="009A6CD7">
        <w:rPr>
          <w:lang w:val="en-GB"/>
        </w:rPr>
        <w:t xml:space="preserve">%). </w:t>
      </w:r>
      <w:r w:rsidR="00BD54AC">
        <w:rPr>
          <w:lang w:val="en-GB"/>
        </w:rPr>
        <w:t>O</w:t>
      </w:r>
      <w:r w:rsidRPr="009A6CD7">
        <w:rPr>
          <w:lang w:val="en-GB"/>
        </w:rPr>
        <w:t xml:space="preserve">ne event of moderate injection site rash </w:t>
      </w:r>
      <w:r w:rsidR="004E0E86">
        <w:rPr>
          <w:lang w:val="en-GB"/>
        </w:rPr>
        <w:t>led</w:t>
      </w:r>
      <w:r w:rsidR="004E0E86" w:rsidRPr="009A6CD7">
        <w:rPr>
          <w:lang w:val="en-GB"/>
        </w:rPr>
        <w:t xml:space="preserve"> </w:t>
      </w:r>
      <w:r w:rsidRPr="009A6CD7">
        <w:rPr>
          <w:lang w:val="en-GB"/>
        </w:rPr>
        <w:t xml:space="preserve">to </w:t>
      </w:r>
      <w:r w:rsidR="00CD615F">
        <w:rPr>
          <w:lang w:val="en-GB"/>
        </w:rPr>
        <w:t>interruption of medicinal therapy</w:t>
      </w:r>
      <w:r w:rsidRPr="009A6CD7">
        <w:rPr>
          <w:lang w:val="en-GB"/>
        </w:rPr>
        <w:t xml:space="preserve">. </w:t>
      </w:r>
      <w:r w:rsidR="00693E97" w:rsidRPr="53F75537">
        <w:rPr>
          <w:b/>
          <w:bCs/>
          <w:lang w:val="en-GB"/>
        </w:rPr>
        <w:fldChar w:fldCharType="begin"/>
      </w:r>
      <w:r w:rsidR="00693E97">
        <w:rPr>
          <w:lang w:val="en-GB"/>
        </w:rPr>
        <w:instrText xml:space="preserve"> DOCVARIABLE vault_nd_4840f14f-dd1e-420a-8d92-371cff122cc5 \* MERGEFORMAT </w:instrText>
      </w:r>
      <w:r w:rsidR="00693E97" w:rsidRPr="53F75537">
        <w:rPr>
          <w:b/>
          <w:bCs/>
          <w:lang w:val="en-GB"/>
        </w:rPr>
        <w:fldChar w:fldCharType="separate"/>
      </w:r>
      <w:r w:rsidR="00A8319D">
        <w:rPr>
          <w:lang w:val="en-GB"/>
        </w:rPr>
        <w:t xml:space="preserve"> </w:t>
      </w:r>
      <w:r w:rsidR="00693E97" w:rsidRPr="53F75537">
        <w:rPr>
          <w:b/>
          <w:bCs/>
          <w:lang w:val="en-GB"/>
        </w:rPr>
        <w:fldChar w:fldCharType="end"/>
      </w:r>
    </w:p>
    <w:p w14:paraId="0080EFB2" w14:textId="19929A4D" w:rsidR="0021200F" w:rsidRPr="003903B3" w:rsidRDefault="0021200F" w:rsidP="009C7F00">
      <w:pPr>
        <w:pStyle w:val="Heading3-TNR"/>
      </w:pPr>
      <w:r w:rsidRPr="003903B3">
        <w:t>Reporting suspected adverse effects</w:t>
      </w:r>
      <w:fldSimple w:instr="DOCVARIABLE vault_nd_b1174294-79b8-46b1-975a-e9eefc8a7fc8 \* MERGEFORMAT">
        <w:r w:rsidR="00A8319D">
          <w:t xml:space="preserve"> </w:t>
        </w:r>
      </w:fldSimple>
    </w:p>
    <w:p w14:paraId="6D782C65" w14:textId="00366484" w:rsidR="005B2812" w:rsidRPr="003903B3" w:rsidRDefault="005B2812" w:rsidP="00B01E52">
      <w:pPr>
        <w:pStyle w:val="BodyText"/>
      </w:pPr>
      <w:r w:rsidRPr="003903B3">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r w:rsidR="00D30A4F" w:rsidRPr="00D30A4F">
        <w:t>www.tga.gov.au/reporting-problems</w:t>
      </w:r>
      <w:r w:rsidRPr="003903B3">
        <w:t>.</w:t>
      </w:r>
    </w:p>
    <w:p w14:paraId="364C0964" w14:textId="41B5E13A" w:rsidR="001A3992" w:rsidRPr="006570D4" w:rsidRDefault="001A3992" w:rsidP="00EB541D">
      <w:pPr>
        <w:pStyle w:val="Heading2-TNR"/>
      </w:pPr>
      <w:r w:rsidRPr="006570D4">
        <w:t>Overdose</w:t>
      </w:r>
      <w:fldSimple w:instr="DOCVARIABLE VAULT_ND_6068323c-0986-4970-b7a9-307c3c722aba \* MERGEFORMAT">
        <w:r w:rsidR="00A8319D">
          <w:t xml:space="preserve"> </w:t>
        </w:r>
      </w:fldSimple>
    </w:p>
    <w:p w14:paraId="0990A284" w14:textId="77777777" w:rsidR="00CA089F" w:rsidRDefault="00483FD8" w:rsidP="00483FD8">
      <w:pPr>
        <w:pStyle w:val="BodyText"/>
        <w:rPr>
          <w:lang w:val="en-GB"/>
        </w:rPr>
      </w:pPr>
      <w:r w:rsidRPr="00483FD8">
        <w:rPr>
          <w:lang w:val="en-GB"/>
        </w:rPr>
        <w:t>There is limited experience with overdose of concizumab.</w:t>
      </w:r>
    </w:p>
    <w:p w14:paraId="0B6ECCC7" w14:textId="41BAD32D" w:rsidR="00483FD8" w:rsidRPr="00483FD8" w:rsidRDefault="00994AA2" w:rsidP="00483FD8">
      <w:pPr>
        <w:pStyle w:val="BodyText"/>
        <w:rPr>
          <w:lang w:val="en-GB"/>
        </w:rPr>
      </w:pPr>
      <w:r>
        <w:rPr>
          <w:lang w:val="en-GB"/>
        </w:rPr>
        <w:t xml:space="preserve">No serious adverse events occurred in </w:t>
      </w:r>
      <w:r w:rsidR="000B1843">
        <w:rPr>
          <w:lang w:val="en-GB"/>
        </w:rPr>
        <w:t xml:space="preserve">a small number of </w:t>
      </w:r>
      <w:r>
        <w:rPr>
          <w:lang w:val="en-GB"/>
        </w:rPr>
        <w:t xml:space="preserve">patients who had up to 48 hours of very high exposure to concizumab (around 10-fold the exposures expected with the recommended regimen) during early phase studies. However, </w:t>
      </w:r>
      <w:r w:rsidR="000B1843">
        <w:rPr>
          <w:lang w:val="en-GB"/>
        </w:rPr>
        <w:t xml:space="preserve">this was a small group, and </w:t>
      </w:r>
      <w:r>
        <w:rPr>
          <w:lang w:val="en-GB"/>
        </w:rPr>
        <w:t>the effect of longer</w:t>
      </w:r>
      <w:r w:rsidR="00CA089F">
        <w:rPr>
          <w:lang w:val="en-GB"/>
        </w:rPr>
        <w:t>-</w:t>
      </w:r>
      <w:r>
        <w:rPr>
          <w:lang w:val="en-GB"/>
        </w:rPr>
        <w:t xml:space="preserve">term high exposures </w:t>
      </w:r>
      <w:r w:rsidR="00CA089F">
        <w:rPr>
          <w:lang w:val="en-GB"/>
        </w:rPr>
        <w:t>is unknown. A</w:t>
      </w:r>
      <w:r w:rsidR="000B1843">
        <w:rPr>
          <w:lang w:val="en-GB"/>
        </w:rPr>
        <w:t xml:space="preserve"> specific</w:t>
      </w:r>
      <w:r w:rsidR="00CA089F">
        <w:rPr>
          <w:lang w:val="en-GB"/>
        </w:rPr>
        <w:t xml:space="preserve"> exposure-response relationship between concizumab exposure and</w:t>
      </w:r>
      <w:r>
        <w:rPr>
          <w:lang w:val="en-GB"/>
        </w:rPr>
        <w:t xml:space="preserve"> risk of thromboembolism</w:t>
      </w:r>
      <w:r w:rsidR="00CA089F">
        <w:rPr>
          <w:lang w:val="en-GB"/>
        </w:rPr>
        <w:t xml:space="preserve"> has not been characterised</w:t>
      </w:r>
      <w:r>
        <w:rPr>
          <w:lang w:val="en-GB"/>
        </w:rPr>
        <w:t>.</w:t>
      </w:r>
    </w:p>
    <w:p w14:paraId="1E111985" w14:textId="6933A8AD" w:rsidR="005B2812" w:rsidRPr="003903B3" w:rsidRDefault="005B2812" w:rsidP="00B01E52">
      <w:pPr>
        <w:pStyle w:val="BodyText"/>
      </w:pPr>
      <w:r w:rsidRPr="003903B3">
        <w:t>For</w:t>
      </w:r>
      <w:r w:rsidR="00C70C5A">
        <w:t xml:space="preserve"> general</w:t>
      </w:r>
      <w:r w:rsidRPr="003903B3">
        <w:t xml:space="preserve"> information on the management of overdose, contact the Poisons Information Centre on 13 11 26 (Australia).</w:t>
      </w:r>
    </w:p>
    <w:p w14:paraId="110CD524" w14:textId="604D1FA1" w:rsidR="001A3992" w:rsidRPr="006570D4" w:rsidRDefault="001A3992" w:rsidP="00EB541D">
      <w:pPr>
        <w:pStyle w:val="Heading1-TNR"/>
      </w:pPr>
      <w:r w:rsidRPr="006570D4">
        <w:t>Pharmacological properties</w:t>
      </w:r>
      <w:fldSimple w:instr="DOCVARIABLE VAULT_ND_41645373-477f-429e-981f-2c08f5c55b55 \* MERGEFORMAT">
        <w:r w:rsidR="00A8319D">
          <w:t xml:space="preserve"> </w:t>
        </w:r>
      </w:fldSimple>
    </w:p>
    <w:p w14:paraId="3459870B" w14:textId="232884C6" w:rsidR="001A3992" w:rsidRPr="006570D4" w:rsidRDefault="001A3992" w:rsidP="00EB541D">
      <w:pPr>
        <w:pStyle w:val="Heading2-TNR"/>
      </w:pPr>
      <w:r w:rsidRPr="006570D4">
        <w:t>Pharmacodynamic properties</w:t>
      </w:r>
      <w:fldSimple w:instr="DOCVARIABLE VAULT_ND_2ea817d7-e7c3-4f17-9864-8d65f7dfd6e6 \* MERGEFORMAT">
        <w:r w:rsidR="00A8319D">
          <w:t xml:space="preserve"> </w:t>
        </w:r>
      </w:fldSimple>
    </w:p>
    <w:p w14:paraId="5AD905B4" w14:textId="03CED9E4" w:rsidR="002554A2" w:rsidRPr="003903B3" w:rsidRDefault="002554A2" w:rsidP="002554A2">
      <w:pPr>
        <w:pStyle w:val="BodyText"/>
      </w:pPr>
      <w:proofErr w:type="spellStart"/>
      <w:r w:rsidRPr="003903B3">
        <w:t>Antihaemorrhagics</w:t>
      </w:r>
      <w:proofErr w:type="spellEnd"/>
      <w:r w:rsidRPr="003903B3">
        <w:t xml:space="preserve"> – other systemic haemostatics: B02BX</w:t>
      </w:r>
    </w:p>
    <w:p w14:paraId="699E76FA" w14:textId="47C121B5" w:rsidR="001A3992" w:rsidRDefault="001A3992" w:rsidP="00B01E52">
      <w:pPr>
        <w:pStyle w:val="Heading3-TNR"/>
      </w:pPr>
      <w:r w:rsidRPr="003903B3">
        <w:t>Mechanism of action</w:t>
      </w:r>
      <w:fldSimple w:instr="DOCVARIABLE vault_nd_9e952608-cd4f-437f-9a07-f4aba71a7235 \* MERGEFORMAT">
        <w:r w:rsidR="00A8319D">
          <w:t xml:space="preserve"> </w:t>
        </w:r>
      </w:fldSimple>
    </w:p>
    <w:p w14:paraId="167B546D" w14:textId="43BD0FC9" w:rsidR="00C56ED5" w:rsidRPr="00F2167D" w:rsidRDefault="00E10AD1" w:rsidP="00E10AD1">
      <w:pPr>
        <w:pStyle w:val="BodyText"/>
      </w:pPr>
      <w:r>
        <w:t xml:space="preserve">Concizumab </w:t>
      </w:r>
      <w:r w:rsidR="00F762F6">
        <w:t xml:space="preserve">is an antibody against </w:t>
      </w:r>
      <w:r>
        <w:t xml:space="preserve">tissue factor pathway inhibitor (TFPI). </w:t>
      </w:r>
      <w:r w:rsidR="000B1843">
        <w:t xml:space="preserve">Physiologically, </w:t>
      </w:r>
      <w:r>
        <w:t xml:space="preserve">TFPI </w:t>
      </w:r>
      <w:r w:rsidR="00F762F6" w:rsidRPr="00F13803">
        <w:t>dampen</w:t>
      </w:r>
      <w:r w:rsidR="00F762F6">
        <w:t xml:space="preserve">s </w:t>
      </w:r>
      <w:r w:rsidR="00F762F6" w:rsidRPr="00F13803">
        <w:t>the initiation of coagulation</w:t>
      </w:r>
      <w:r w:rsidR="00F762F6">
        <w:t xml:space="preserve"> by reducing formation of, and </w:t>
      </w:r>
      <w:r w:rsidR="00C56ED5">
        <w:t>directly inhibiting</w:t>
      </w:r>
      <w:r w:rsidR="00F762F6">
        <w:t>,</w:t>
      </w:r>
      <w:r w:rsidR="000B1843">
        <w:t xml:space="preserve"> </w:t>
      </w:r>
      <w:r w:rsidR="000B1843" w:rsidRPr="00AF6E43">
        <w:t>activated</w:t>
      </w:r>
      <w:r w:rsidRPr="00AF6E43">
        <w:t xml:space="preserve"> factor X (FXa). </w:t>
      </w:r>
      <w:r w:rsidR="00F762F6" w:rsidRPr="00F762F6">
        <w:rPr>
          <w:lang w:val="en-GB"/>
        </w:rPr>
        <w:t xml:space="preserve">Concizumab </w:t>
      </w:r>
      <w:r w:rsidR="00F762F6">
        <w:rPr>
          <w:lang w:val="en-GB"/>
        </w:rPr>
        <w:t xml:space="preserve">binds </w:t>
      </w:r>
      <w:r w:rsidR="00F762F6" w:rsidRPr="00F762F6">
        <w:rPr>
          <w:lang w:val="en-GB"/>
        </w:rPr>
        <w:t>to the Kunitz 2 (K2</w:t>
      </w:r>
      <w:r w:rsidR="00F762F6">
        <w:rPr>
          <w:lang w:val="en-GB"/>
        </w:rPr>
        <w:t>)</w:t>
      </w:r>
      <w:r w:rsidR="00F762F6" w:rsidRPr="00F762F6">
        <w:rPr>
          <w:lang w:val="en-GB"/>
        </w:rPr>
        <w:t xml:space="preserve"> domain of TFPI</w:t>
      </w:r>
      <w:r w:rsidR="00F762F6">
        <w:rPr>
          <w:lang w:val="en-GB"/>
        </w:rPr>
        <w:t xml:space="preserve"> and inhibits these actions of TFPI</w:t>
      </w:r>
      <w:r w:rsidR="00F762F6" w:rsidRPr="00F762F6">
        <w:rPr>
          <w:lang w:val="en-GB"/>
        </w:rPr>
        <w:t xml:space="preserve">. </w:t>
      </w:r>
      <w:r w:rsidR="00F762F6">
        <w:t>For p</w:t>
      </w:r>
      <w:r w:rsidR="00560FBA" w:rsidRPr="00AF6E43">
        <w:t>atients with haemophilia</w:t>
      </w:r>
      <w:r w:rsidR="00F762F6">
        <w:t>, who have inadequate</w:t>
      </w:r>
      <w:r w:rsidR="00560FBA" w:rsidRPr="00AF6E43">
        <w:t xml:space="preserve"> </w:t>
      </w:r>
      <w:r w:rsidR="00F762F6" w:rsidRPr="00F762F6">
        <w:rPr>
          <w:lang w:val="en-GB"/>
        </w:rPr>
        <w:t>propagation</w:t>
      </w:r>
      <w:r w:rsidR="00F762F6">
        <w:rPr>
          <w:lang w:val="en-GB"/>
        </w:rPr>
        <w:t xml:space="preserve"> of coagulation</w:t>
      </w:r>
      <w:r w:rsidR="00F762F6">
        <w:t xml:space="preserve"> due to deficiency of </w:t>
      </w:r>
      <w:r w:rsidR="00F762F6" w:rsidRPr="00171C4B">
        <w:t xml:space="preserve">FVIII </w:t>
      </w:r>
      <w:r w:rsidR="00F762F6">
        <w:t>or</w:t>
      </w:r>
      <w:r w:rsidR="00F762F6" w:rsidRPr="00171C4B">
        <w:t xml:space="preserve"> FIX</w:t>
      </w:r>
      <w:r w:rsidR="00AF6E43" w:rsidRPr="00F2167D">
        <w:t xml:space="preserve">, removing TFPI inhibition may allow adequate formation of FXa to generate sufficient thrombin for haemostasis. </w:t>
      </w:r>
    </w:p>
    <w:p w14:paraId="11465A97" w14:textId="57A5423B" w:rsidR="00AF6E43" w:rsidRDefault="00AF6E43" w:rsidP="00E10AD1">
      <w:pPr>
        <w:pStyle w:val="BodyText"/>
      </w:pPr>
      <w:r w:rsidRPr="00F2167D">
        <w:t>As c</w:t>
      </w:r>
      <w:r w:rsidR="00E10AD1" w:rsidRPr="00F762F6">
        <w:t>oncizumab acts independently from FVIII and FIX</w:t>
      </w:r>
      <w:r w:rsidRPr="00A72B9C">
        <w:t xml:space="preserve">, </w:t>
      </w:r>
      <w:r w:rsidR="00E10AD1" w:rsidRPr="00AF6E43">
        <w:t xml:space="preserve">the effect of concizumab is not </w:t>
      </w:r>
      <w:r>
        <w:t xml:space="preserve">expected to be </w:t>
      </w:r>
      <w:r w:rsidR="00E10AD1" w:rsidRPr="00F762F6">
        <w:t>influenced by the presence of inhibitory antibodies to FVIII</w:t>
      </w:r>
      <w:r w:rsidR="00E10AD1">
        <w:t xml:space="preserve"> or FIX.</w:t>
      </w:r>
      <w:r>
        <w:t xml:space="preserve"> </w:t>
      </w:r>
    </w:p>
    <w:p w14:paraId="0858591D" w14:textId="6E882302" w:rsidR="00E10AD1" w:rsidRDefault="00AF6E43" w:rsidP="00E10AD1">
      <w:pPr>
        <w:pStyle w:val="BodyText"/>
      </w:pPr>
      <w:r>
        <w:lastRenderedPageBreak/>
        <w:t>As c</w:t>
      </w:r>
      <w:r w:rsidR="00E10AD1">
        <w:t xml:space="preserve">oncizumab has no structural relationship or sequence homology to FVIII or FIX, </w:t>
      </w:r>
      <w:r>
        <w:t xml:space="preserve">it is </w:t>
      </w:r>
      <w:r w:rsidR="00E10AD1">
        <w:t xml:space="preserve">not </w:t>
      </w:r>
      <w:r>
        <w:t xml:space="preserve">expected to </w:t>
      </w:r>
      <w:r w:rsidR="00E10AD1">
        <w:t>induce or enhance the development of direct inhibitors to FVIII or FIX.</w:t>
      </w:r>
    </w:p>
    <w:p w14:paraId="557FC7B2" w14:textId="719682C9" w:rsidR="00E10AD1" w:rsidRDefault="00E10AD1" w:rsidP="00E10AD1">
      <w:pPr>
        <w:pStyle w:val="Heading3-TNR"/>
      </w:pPr>
      <w:bookmarkStart w:id="30" w:name="_Toc384132080"/>
      <w:bookmarkStart w:id="31" w:name="_Toc385237703"/>
      <w:bookmarkStart w:id="32" w:name="_Toc387920085"/>
      <w:bookmarkStart w:id="33" w:name="_Toc387920129"/>
      <w:bookmarkStart w:id="34" w:name="_Toc400449325"/>
      <w:bookmarkStart w:id="35" w:name="_Toc402530184"/>
      <w:bookmarkStart w:id="36" w:name="_Toc402530882"/>
      <w:bookmarkStart w:id="37" w:name="_Toc402878774"/>
      <w:bookmarkStart w:id="38" w:name="_Toc165984"/>
      <w:bookmarkStart w:id="39" w:name="_Toc104898543"/>
      <w:r w:rsidRPr="00BA54C3">
        <w:t>Pharmacodynamic data</w:t>
      </w:r>
      <w:bookmarkEnd w:id="30"/>
      <w:bookmarkEnd w:id="31"/>
      <w:bookmarkEnd w:id="32"/>
      <w:bookmarkEnd w:id="33"/>
      <w:bookmarkEnd w:id="34"/>
      <w:bookmarkEnd w:id="35"/>
      <w:bookmarkEnd w:id="36"/>
      <w:bookmarkEnd w:id="37"/>
      <w:bookmarkEnd w:id="38"/>
      <w:bookmarkEnd w:id="39"/>
      <w:r w:rsidRPr="00E10AD1">
        <w:rPr>
          <w:lang w:val="da-DK"/>
        </w:rPr>
        <w:fldChar w:fldCharType="begin"/>
      </w:r>
      <w:r w:rsidRPr="00BA54C3">
        <w:instrText xml:space="preserve"> DOCVARIABLE vault_nd_2eba9151-258c-4379-884f-f85b7b9153bc \* MERGEFORMAT </w:instrText>
      </w:r>
      <w:r w:rsidRPr="00E10AD1">
        <w:rPr>
          <w:lang w:val="da-DK"/>
        </w:rPr>
        <w:fldChar w:fldCharType="separate"/>
      </w:r>
      <w:r w:rsidR="00A8319D">
        <w:t xml:space="preserve"> </w:t>
      </w:r>
      <w:r w:rsidRPr="00E10AD1">
        <w:fldChar w:fldCharType="end"/>
      </w:r>
    </w:p>
    <w:p w14:paraId="7BC0D21B" w14:textId="6D4FB43C" w:rsidR="00E10AD1" w:rsidRPr="00E10AD1" w:rsidRDefault="00A72B9C" w:rsidP="00F2167D">
      <w:pPr>
        <w:pStyle w:val="BodyText"/>
        <w:rPr>
          <w:lang w:val="en-GB"/>
        </w:rPr>
      </w:pPr>
      <w:r>
        <w:rPr>
          <w:lang w:val="en-GB"/>
        </w:rPr>
        <w:t>Concizumab treatment is associated with a d</w:t>
      </w:r>
      <w:r w:rsidRPr="00A72B9C">
        <w:rPr>
          <w:lang w:val="en-GB"/>
        </w:rPr>
        <w:t>ose-related increased capacity for thrombin generation in plasma, as measured by peak thrombin concentration (endogenous thrombin potential (ETP) velocity index), apparent from 6 hours post-dose</w:t>
      </w:r>
      <w:r>
        <w:rPr>
          <w:lang w:val="en-GB"/>
        </w:rPr>
        <w:t xml:space="preserve">. In explorer7, concizumab treatment was associated with a mean peak thrombin concentration in the normal plasma range. </w:t>
      </w:r>
    </w:p>
    <w:p w14:paraId="7F4747AF" w14:textId="2AC1F9FE" w:rsidR="001A3992" w:rsidRDefault="001A3992" w:rsidP="00B01E52">
      <w:pPr>
        <w:pStyle w:val="Heading3-TNR"/>
      </w:pPr>
      <w:r w:rsidRPr="003903B3">
        <w:t>Clinical trials</w:t>
      </w:r>
      <w:fldSimple w:instr="DOCVARIABLE vault_nd_f6e40494-d4b9-40ee-9c28-5486d0ef3d9f \* MERGEFORMAT">
        <w:r w:rsidR="00A8319D">
          <w:t xml:space="preserve"> </w:t>
        </w:r>
      </w:fldSimple>
    </w:p>
    <w:p w14:paraId="5DA0978D" w14:textId="152C3E39" w:rsidR="007C33FD" w:rsidRPr="007C33FD" w:rsidRDefault="007C33FD" w:rsidP="00C47E53">
      <w:pPr>
        <w:pStyle w:val="Heading5"/>
        <w:rPr>
          <w:lang w:val="en-GB"/>
        </w:rPr>
      </w:pPr>
      <w:bookmarkStart w:id="40" w:name="_Hlk81319794"/>
      <w:r w:rsidRPr="007C33FD">
        <w:rPr>
          <w:lang w:val="en-GB"/>
        </w:rPr>
        <w:t xml:space="preserve">Haemophilia A and B with inhibitors (HAwI and HBwI) aged 12 years and above </w:t>
      </w:r>
      <w:bookmarkStart w:id="41" w:name="_Hlk73013315"/>
      <w:r w:rsidRPr="007C33FD">
        <w:rPr>
          <w:lang w:val="en-GB"/>
        </w:rPr>
        <w:t>(explorer7)</w:t>
      </w:r>
      <w:bookmarkEnd w:id="40"/>
      <w:bookmarkEnd w:id="41"/>
      <w:r w:rsidR="002A5BE6">
        <w:rPr>
          <w:lang w:val="en-GB"/>
        </w:rPr>
        <w:fldChar w:fldCharType="begin"/>
      </w:r>
      <w:r w:rsidR="002A5BE6">
        <w:rPr>
          <w:lang w:val="en-GB"/>
        </w:rPr>
        <w:instrText xml:space="preserve"> DOCVARIABLE vault_nd_c6ef2d89-8946-4442-a1d4-c9e842701423 \* MERGEFORMAT </w:instrText>
      </w:r>
      <w:r w:rsidR="002A5BE6">
        <w:rPr>
          <w:lang w:val="en-GB"/>
        </w:rPr>
        <w:fldChar w:fldCharType="separate"/>
      </w:r>
      <w:r w:rsidR="00A8319D">
        <w:rPr>
          <w:lang w:val="en-GB"/>
        </w:rPr>
        <w:t xml:space="preserve"> </w:t>
      </w:r>
      <w:r w:rsidR="002A5BE6">
        <w:rPr>
          <w:lang w:val="en-GB"/>
        </w:rPr>
        <w:fldChar w:fldCharType="end"/>
      </w:r>
    </w:p>
    <w:p w14:paraId="3B3048AC" w14:textId="7D70EA27" w:rsidR="00027B68" w:rsidRDefault="007C33FD" w:rsidP="007C33FD">
      <w:pPr>
        <w:pStyle w:val="BodyText"/>
        <w:rPr>
          <w:lang w:val="en-GB"/>
        </w:rPr>
      </w:pPr>
      <w:r w:rsidRPr="007C33FD">
        <w:rPr>
          <w:lang w:val="en-GB"/>
        </w:rPr>
        <w:t>The explorer7 trial</w:t>
      </w:r>
      <w:r w:rsidR="0004484E">
        <w:rPr>
          <w:lang w:val="en-GB"/>
        </w:rPr>
        <w:t xml:space="preserve"> (</w:t>
      </w:r>
      <w:r w:rsidRPr="007C33FD">
        <w:rPr>
          <w:lang w:val="en-GB"/>
        </w:rPr>
        <w:t>NN7415-4311</w:t>
      </w:r>
      <w:r w:rsidR="0004484E">
        <w:rPr>
          <w:lang w:val="en-GB"/>
        </w:rPr>
        <w:t>)</w:t>
      </w:r>
      <w:r w:rsidRPr="007C33FD">
        <w:rPr>
          <w:lang w:val="en-GB"/>
        </w:rPr>
        <w:t xml:space="preserve"> was a</w:t>
      </w:r>
      <w:r w:rsidR="004C5A9A">
        <w:rPr>
          <w:lang w:val="en-GB"/>
        </w:rPr>
        <w:t>n inter</w:t>
      </w:r>
      <w:r w:rsidRPr="007C33FD">
        <w:rPr>
          <w:lang w:val="en-GB"/>
        </w:rPr>
        <w:t xml:space="preserve">national, multi-centre, open-label, phase 3 </w:t>
      </w:r>
      <w:r w:rsidR="00520BF4">
        <w:rPr>
          <w:lang w:val="en-GB"/>
        </w:rPr>
        <w:t>study</w:t>
      </w:r>
      <w:r w:rsidRPr="007C33FD">
        <w:rPr>
          <w:lang w:val="en-GB"/>
        </w:rPr>
        <w:t xml:space="preserve"> of </w:t>
      </w:r>
      <w:r w:rsidR="00D30A4F" w:rsidRPr="00D30A4F">
        <w:rPr>
          <w:lang w:val="en-GB"/>
        </w:rPr>
        <w:t>Alhemo</w:t>
      </w:r>
      <w:r w:rsidRPr="007C33FD">
        <w:rPr>
          <w:lang w:val="en-GB"/>
        </w:rPr>
        <w:t xml:space="preserve"> for </w:t>
      </w:r>
      <w:r w:rsidR="00A72B9C">
        <w:rPr>
          <w:lang w:val="en-GB"/>
        </w:rPr>
        <w:t>the treatment of</w:t>
      </w:r>
      <w:r w:rsidRPr="007C33FD">
        <w:rPr>
          <w:lang w:val="en-GB"/>
        </w:rPr>
        <w:t xml:space="preserve"> male patients with haemophilia A or B with inhibitors</w:t>
      </w:r>
      <w:r w:rsidR="00A72B9C">
        <w:rPr>
          <w:lang w:val="en-GB"/>
        </w:rPr>
        <w:t xml:space="preserve"> </w:t>
      </w:r>
      <w:r w:rsidR="00C56ED5">
        <w:rPr>
          <w:lang w:val="en-GB"/>
        </w:rPr>
        <w:t>requiring</w:t>
      </w:r>
      <w:r w:rsidR="00A72B9C">
        <w:rPr>
          <w:lang w:val="en-GB"/>
        </w:rPr>
        <w:t xml:space="preserve"> prophylaxis against bleeding</w:t>
      </w:r>
      <w:r w:rsidRPr="007C33FD">
        <w:rPr>
          <w:lang w:val="en-GB"/>
        </w:rPr>
        <w:t xml:space="preserve">. </w:t>
      </w:r>
      <w:r w:rsidR="002B756F">
        <w:rPr>
          <w:lang w:val="en-GB"/>
        </w:rPr>
        <w:t>Due to the pro-coagulant nature of Alhemo, p</w:t>
      </w:r>
      <w:r w:rsidR="00175DE0">
        <w:rPr>
          <w:lang w:val="en-GB"/>
        </w:rPr>
        <w:t xml:space="preserve">atients </w:t>
      </w:r>
      <w:r w:rsidR="00175DE0" w:rsidRPr="00175DE0">
        <w:rPr>
          <w:lang w:val="en-GB"/>
        </w:rPr>
        <w:t>considered at high risk of thromboembolic events</w:t>
      </w:r>
      <w:r w:rsidR="00175DE0">
        <w:rPr>
          <w:lang w:val="en-GB"/>
        </w:rPr>
        <w:t xml:space="preserve"> </w:t>
      </w:r>
      <w:r w:rsidR="00C56ED5">
        <w:rPr>
          <w:lang w:val="en-GB"/>
        </w:rPr>
        <w:t xml:space="preserve">(according to the investigator) </w:t>
      </w:r>
      <w:r w:rsidR="00175DE0">
        <w:rPr>
          <w:lang w:val="en-GB"/>
        </w:rPr>
        <w:t xml:space="preserve">were excluded from participating in the </w:t>
      </w:r>
      <w:r w:rsidR="002B756F">
        <w:rPr>
          <w:lang w:val="en-GB"/>
        </w:rPr>
        <w:t>trial</w:t>
      </w:r>
      <w:r w:rsidR="00175DE0">
        <w:rPr>
          <w:lang w:val="en-GB"/>
        </w:rPr>
        <w:t>.</w:t>
      </w:r>
      <w:r w:rsidR="00027B68" w:rsidRPr="00027B68">
        <w:rPr>
          <w:lang w:val="en-GB"/>
        </w:rPr>
        <w:t xml:space="preserve"> </w:t>
      </w:r>
    </w:p>
    <w:p w14:paraId="2A13BACF" w14:textId="0346E683" w:rsidR="00BE5B2D" w:rsidRDefault="007C33FD" w:rsidP="00F2167D">
      <w:pPr>
        <w:pStyle w:val="BodyText"/>
        <w:rPr>
          <w:lang w:val="en-GB"/>
        </w:rPr>
      </w:pPr>
      <w:r w:rsidRPr="007C33FD">
        <w:rPr>
          <w:lang w:val="en-GB"/>
        </w:rPr>
        <w:t>The</w:t>
      </w:r>
      <w:r w:rsidR="00520BF4">
        <w:rPr>
          <w:lang w:val="en-GB"/>
        </w:rPr>
        <w:t xml:space="preserve"> randomised part of the</w:t>
      </w:r>
      <w:r w:rsidRPr="007C33FD">
        <w:rPr>
          <w:lang w:val="en-GB"/>
        </w:rPr>
        <w:t xml:space="preserve"> trial comprised </w:t>
      </w:r>
      <w:r w:rsidR="00520BF4" w:rsidRPr="007C33FD">
        <w:rPr>
          <w:lang w:val="en-GB"/>
        </w:rPr>
        <w:t xml:space="preserve">52 patients (27 HAwI, and 25 HBwI), previously treated on-demand, </w:t>
      </w:r>
      <w:r w:rsidR="00520BF4">
        <w:rPr>
          <w:lang w:val="en-GB"/>
        </w:rPr>
        <w:t xml:space="preserve">who </w:t>
      </w:r>
      <w:r w:rsidR="00520BF4" w:rsidRPr="007C33FD">
        <w:rPr>
          <w:lang w:val="en-GB"/>
        </w:rPr>
        <w:t xml:space="preserve">were randomised 1:2 to </w:t>
      </w:r>
      <w:r w:rsidR="00C56ED5">
        <w:rPr>
          <w:lang w:val="en-GB"/>
        </w:rPr>
        <w:t>either c</w:t>
      </w:r>
      <w:r w:rsidR="00BE5B2D">
        <w:rPr>
          <w:lang w:val="en-GB"/>
        </w:rPr>
        <w:t xml:space="preserve">ontinue </w:t>
      </w:r>
      <w:r w:rsidR="00027B68" w:rsidRPr="007C33FD">
        <w:rPr>
          <w:lang w:val="en-GB"/>
        </w:rPr>
        <w:t>on</w:t>
      </w:r>
      <w:r w:rsidR="00027B68">
        <w:rPr>
          <w:lang w:val="en-GB"/>
        </w:rPr>
        <w:t>-</w:t>
      </w:r>
      <w:r w:rsidR="00027B68" w:rsidRPr="007C33FD">
        <w:rPr>
          <w:lang w:val="en-GB"/>
        </w:rPr>
        <w:t>demand treatment with bypassing agents</w:t>
      </w:r>
      <w:r w:rsidR="00C56ED5">
        <w:rPr>
          <w:lang w:val="en-GB"/>
        </w:rPr>
        <w:t xml:space="preserve"> (Arm 1, </w:t>
      </w:r>
      <w:proofErr w:type="gramStart"/>
      <w:r w:rsidR="00C56ED5">
        <w:rPr>
          <w:lang w:val="en-GB"/>
        </w:rPr>
        <w:t>i.e.</w:t>
      </w:r>
      <w:proofErr w:type="gramEnd"/>
      <w:r w:rsidR="00C56ED5">
        <w:rPr>
          <w:lang w:val="en-GB"/>
        </w:rPr>
        <w:t xml:space="preserve"> no prophylaxis</w:t>
      </w:r>
      <w:r w:rsidR="00027B68" w:rsidRPr="007C33FD">
        <w:rPr>
          <w:lang w:val="en-GB"/>
        </w:rPr>
        <w:t>)</w:t>
      </w:r>
      <w:r w:rsidR="00027B68">
        <w:rPr>
          <w:lang w:val="en-GB"/>
        </w:rPr>
        <w:t xml:space="preserve"> </w:t>
      </w:r>
      <w:r w:rsidR="00520BF4">
        <w:rPr>
          <w:lang w:val="en-GB"/>
        </w:rPr>
        <w:t xml:space="preserve">or </w:t>
      </w:r>
      <w:r w:rsidR="00C56ED5">
        <w:rPr>
          <w:lang w:val="en-GB"/>
        </w:rPr>
        <w:t>to receive Alhemo prophylaxis (</w:t>
      </w:r>
      <w:r w:rsidR="00520BF4">
        <w:rPr>
          <w:lang w:val="en-GB"/>
        </w:rPr>
        <w:t>Arm 2</w:t>
      </w:r>
      <w:r w:rsidR="00027B68">
        <w:rPr>
          <w:lang w:val="en-GB"/>
        </w:rPr>
        <w:t>)</w:t>
      </w:r>
      <w:r w:rsidR="00C56ED5">
        <w:rPr>
          <w:lang w:val="en-GB"/>
        </w:rPr>
        <w:t xml:space="preserve">. Randomisation was </w:t>
      </w:r>
      <w:r w:rsidR="00520BF4" w:rsidRPr="007C33FD">
        <w:rPr>
          <w:lang w:val="en-GB"/>
        </w:rPr>
        <w:t>stratifi</w:t>
      </w:r>
      <w:r w:rsidR="00C56ED5">
        <w:rPr>
          <w:lang w:val="en-GB"/>
        </w:rPr>
        <w:t>ed</w:t>
      </w:r>
      <w:r w:rsidR="00520BF4" w:rsidRPr="007C33FD">
        <w:rPr>
          <w:lang w:val="en-GB"/>
        </w:rPr>
        <w:t xml:space="preserve"> by haemophilia type (HAwI, HBwI) and </w:t>
      </w:r>
      <w:r w:rsidR="00520BF4">
        <w:rPr>
          <w:lang w:val="en-GB"/>
        </w:rPr>
        <w:t>categorical</w:t>
      </w:r>
      <w:r w:rsidR="00520BF4">
        <w:rPr>
          <w:rStyle w:val="FootnoteReference"/>
          <w:lang w:val="en-GB"/>
        </w:rPr>
        <w:footnoteReference w:id="2"/>
      </w:r>
      <w:r w:rsidR="00520BF4">
        <w:rPr>
          <w:lang w:val="en-GB"/>
        </w:rPr>
        <w:t xml:space="preserve"> number of bleeds in the </w:t>
      </w:r>
      <w:r w:rsidR="00520BF4" w:rsidRPr="007C33FD">
        <w:rPr>
          <w:lang w:val="en-GB"/>
        </w:rPr>
        <w:t>24</w:t>
      </w:r>
      <w:r w:rsidR="00520BF4">
        <w:rPr>
          <w:lang w:val="en-GB"/>
        </w:rPr>
        <w:t xml:space="preserve"> </w:t>
      </w:r>
      <w:r w:rsidR="00520BF4" w:rsidRPr="007C33FD">
        <w:rPr>
          <w:lang w:val="en-GB"/>
        </w:rPr>
        <w:t>week</w:t>
      </w:r>
      <w:r w:rsidR="00520BF4">
        <w:rPr>
          <w:lang w:val="en-GB"/>
        </w:rPr>
        <w:t>s</w:t>
      </w:r>
      <w:r w:rsidR="00520BF4" w:rsidRPr="007C33FD">
        <w:rPr>
          <w:lang w:val="en-GB"/>
        </w:rPr>
        <w:t xml:space="preserve"> </w:t>
      </w:r>
      <w:r w:rsidR="00520BF4">
        <w:rPr>
          <w:lang w:val="en-GB"/>
        </w:rPr>
        <w:t>prior to randomisation</w:t>
      </w:r>
      <w:r w:rsidR="00520BF4" w:rsidRPr="007C33FD">
        <w:rPr>
          <w:lang w:val="en-GB"/>
        </w:rPr>
        <w:t xml:space="preserve"> (&lt; 9 or ≥ 9).</w:t>
      </w:r>
      <w:r w:rsidR="00A72B9C">
        <w:rPr>
          <w:lang w:val="en-GB"/>
        </w:rPr>
        <w:t xml:space="preserve"> </w:t>
      </w:r>
    </w:p>
    <w:p w14:paraId="4F0D548C" w14:textId="77777777" w:rsidR="00C56ED5" w:rsidRDefault="00C56ED5" w:rsidP="00BE5B2D">
      <w:pPr>
        <w:pStyle w:val="BodyText"/>
        <w:rPr>
          <w:lang w:val="en-GB"/>
        </w:rPr>
      </w:pPr>
      <w:r>
        <w:rPr>
          <w:lang w:val="en-GB"/>
        </w:rPr>
        <w:t>In addition to the randomised portion of the study, a further</w:t>
      </w:r>
      <w:r w:rsidRPr="007C33FD">
        <w:rPr>
          <w:lang w:val="en-GB"/>
        </w:rPr>
        <w:t xml:space="preserve"> 81 patients (53 HAwI and 28 HBwI) </w:t>
      </w:r>
      <w:r>
        <w:rPr>
          <w:lang w:val="en-GB"/>
        </w:rPr>
        <w:t xml:space="preserve">received </w:t>
      </w:r>
      <w:r w:rsidRPr="00D30A4F">
        <w:rPr>
          <w:lang w:val="en-GB"/>
        </w:rPr>
        <w:t>Alhemo</w:t>
      </w:r>
      <w:r w:rsidRPr="007C33FD">
        <w:rPr>
          <w:lang w:val="en-GB"/>
        </w:rPr>
        <w:t xml:space="preserve"> prophylaxis</w:t>
      </w:r>
      <w:r>
        <w:rPr>
          <w:lang w:val="en-GB"/>
        </w:rPr>
        <w:t xml:space="preserve"> on a non-randomised basis in</w:t>
      </w:r>
      <w:r w:rsidRPr="00520BF4">
        <w:rPr>
          <w:lang w:val="en-GB"/>
        </w:rPr>
        <w:t xml:space="preserve"> </w:t>
      </w:r>
      <w:r w:rsidRPr="007C33FD">
        <w:rPr>
          <w:lang w:val="en-GB"/>
        </w:rPr>
        <w:t>Arms 3 and 4</w:t>
      </w:r>
      <w:r>
        <w:rPr>
          <w:lang w:val="en-GB"/>
        </w:rPr>
        <w:t xml:space="preserve">. </w:t>
      </w:r>
    </w:p>
    <w:p w14:paraId="4396E0BB" w14:textId="577DB618" w:rsidR="00BE5B2D" w:rsidRDefault="00BE5B2D" w:rsidP="00BE5B2D">
      <w:pPr>
        <w:pStyle w:val="BodyText"/>
        <w:rPr>
          <w:lang w:val="en-GB"/>
        </w:rPr>
      </w:pPr>
      <w:r>
        <w:rPr>
          <w:lang w:val="en-GB"/>
        </w:rPr>
        <w:t xml:space="preserve">Initially, the concizumab dose regimen consisted of a </w:t>
      </w:r>
      <w:r w:rsidRPr="00FE6832">
        <w:rPr>
          <w:lang w:val="en-GB"/>
        </w:rPr>
        <w:t xml:space="preserve">1 mg/kg </w:t>
      </w:r>
      <w:r>
        <w:rPr>
          <w:lang w:val="en-GB"/>
        </w:rPr>
        <w:t>loading dose on</w:t>
      </w:r>
      <w:r w:rsidRPr="00FE6832">
        <w:rPr>
          <w:lang w:val="en-GB"/>
        </w:rPr>
        <w:t xml:space="preserve"> Day 1 </w:t>
      </w:r>
      <w:r>
        <w:rPr>
          <w:lang w:val="en-GB"/>
        </w:rPr>
        <w:t>then</w:t>
      </w:r>
      <w:r w:rsidRPr="00FE6832">
        <w:rPr>
          <w:lang w:val="en-GB"/>
        </w:rPr>
        <w:t xml:space="preserve"> a once-daily dose of 0.25 mg/kg starting on Day 2</w:t>
      </w:r>
      <w:r>
        <w:rPr>
          <w:lang w:val="en-GB"/>
        </w:rPr>
        <w:t xml:space="preserve">. </w:t>
      </w:r>
      <w:r w:rsidRPr="00FE6832">
        <w:rPr>
          <w:lang w:val="en-GB"/>
        </w:rPr>
        <w:t>However, the study was paused in March 2020 due to</w:t>
      </w:r>
      <w:r>
        <w:rPr>
          <w:lang w:val="en-GB"/>
        </w:rPr>
        <w:t xml:space="preserve"> three</w:t>
      </w:r>
      <w:r w:rsidRPr="00FE6832">
        <w:rPr>
          <w:lang w:val="en-GB"/>
        </w:rPr>
        <w:t xml:space="preserve"> thromboembolic events </w:t>
      </w:r>
      <w:r>
        <w:rPr>
          <w:lang w:val="en-GB"/>
        </w:rPr>
        <w:t>in</w:t>
      </w:r>
      <w:r w:rsidRPr="00FE6832">
        <w:rPr>
          <w:lang w:val="en-GB"/>
        </w:rPr>
        <w:t xml:space="preserve"> Alhemo</w:t>
      </w:r>
      <w:r>
        <w:rPr>
          <w:lang w:val="en-GB"/>
        </w:rPr>
        <w:t>-treated patients</w:t>
      </w:r>
      <w:r w:rsidRPr="00FE6832">
        <w:rPr>
          <w:lang w:val="en-GB"/>
        </w:rPr>
        <w:t>. The study resumed in August 2020 with 29 of the 33 patients randomi</w:t>
      </w:r>
      <w:r>
        <w:rPr>
          <w:lang w:val="en-GB"/>
        </w:rPr>
        <w:t>s</w:t>
      </w:r>
      <w:r w:rsidRPr="00FE6832">
        <w:rPr>
          <w:lang w:val="en-GB"/>
        </w:rPr>
        <w:t xml:space="preserve">ed to Alhemo continuing in the study. Following the study pause, patients </w:t>
      </w:r>
      <w:r>
        <w:rPr>
          <w:lang w:val="en-GB"/>
        </w:rPr>
        <w:t>received concizumab</w:t>
      </w:r>
      <w:r w:rsidRPr="00FE6832">
        <w:rPr>
          <w:lang w:val="en-GB"/>
        </w:rPr>
        <w:t xml:space="preserve"> </w:t>
      </w:r>
      <w:r>
        <w:rPr>
          <w:lang w:val="en-GB"/>
        </w:rPr>
        <w:t xml:space="preserve">according to the dose regimen described in </w:t>
      </w:r>
      <w:r>
        <w:rPr>
          <w:lang w:val="en-GB"/>
        </w:rPr>
        <w:fldChar w:fldCharType="begin"/>
      </w:r>
      <w:r>
        <w:rPr>
          <w:lang w:val="en-GB"/>
        </w:rPr>
        <w:instrText xml:space="preserve"> REF _Ref132725430 \h </w:instrText>
      </w:r>
      <w:r>
        <w:rPr>
          <w:lang w:val="en-GB"/>
        </w:rPr>
      </w:r>
      <w:r>
        <w:rPr>
          <w:lang w:val="en-GB"/>
        </w:rPr>
        <w:fldChar w:fldCharType="separate"/>
      </w:r>
      <w:r w:rsidR="00A8319D" w:rsidRPr="002554A2">
        <w:t xml:space="preserve">Table </w:t>
      </w:r>
      <w:r w:rsidR="00A8319D">
        <w:rPr>
          <w:noProof/>
        </w:rPr>
        <w:t>1</w:t>
      </w:r>
      <w:r>
        <w:rPr>
          <w:lang w:val="en-GB"/>
        </w:rPr>
        <w:fldChar w:fldCharType="end"/>
      </w:r>
      <w:r>
        <w:rPr>
          <w:lang w:val="en-GB"/>
        </w:rPr>
        <w:t xml:space="preserve"> (see </w:t>
      </w:r>
      <w:r w:rsidR="009C7F00">
        <w:rPr>
          <w:lang w:val="en-GB"/>
        </w:rPr>
        <w:fldChar w:fldCharType="begin"/>
      </w:r>
      <w:r w:rsidR="009C7F00">
        <w:rPr>
          <w:lang w:val="en-GB"/>
        </w:rPr>
        <w:instrText xml:space="preserve"> REF _Ref109135507 \r \h </w:instrText>
      </w:r>
      <w:r w:rsidR="009C7F00">
        <w:rPr>
          <w:lang w:val="en-GB"/>
        </w:rPr>
      </w:r>
      <w:r w:rsidR="009C7F00">
        <w:rPr>
          <w:lang w:val="en-GB"/>
        </w:rPr>
        <w:fldChar w:fldCharType="separate"/>
      </w:r>
      <w:r w:rsidR="009C7F00">
        <w:rPr>
          <w:cs/>
          <w:lang w:val="en-GB"/>
        </w:rPr>
        <w:t>‎</w:t>
      </w:r>
      <w:r w:rsidR="009C7F00">
        <w:rPr>
          <w:lang w:val="en-GB"/>
        </w:rPr>
        <w:t>4.2</w:t>
      </w:r>
      <w:r w:rsidR="009C7F00">
        <w:rPr>
          <w:lang w:val="en-GB"/>
        </w:rPr>
        <w:fldChar w:fldCharType="end"/>
      </w:r>
      <w:r>
        <w:rPr>
          <w:lang w:val="en-GB"/>
        </w:rPr>
        <w:t xml:space="preserve"> </w:t>
      </w:r>
      <w:r w:rsidR="009C7F00">
        <w:rPr>
          <w:lang w:val="en-GB"/>
        </w:rPr>
        <w:fldChar w:fldCharType="begin"/>
      </w:r>
      <w:r w:rsidR="009C7F00">
        <w:rPr>
          <w:lang w:val="en-GB"/>
        </w:rPr>
        <w:instrText xml:space="preserve"> REF _Ref109135507 \h </w:instrText>
      </w:r>
      <w:r w:rsidR="009C7F00">
        <w:rPr>
          <w:lang w:val="en-GB"/>
        </w:rPr>
      </w:r>
      <w:r w:rsidR="009C7F00">
        <w:rPr>
          <w:lang w:val="en-GB"/>
        </w:rPr>
        <w:fldChar w:fldCharType="separate"/>
      </w:r>
      <w:r w:rsidR="009C7F00" w:rsidRPr="006570D4">
        <w:t>Dose and method of administration</w:t>
      </w:r>
      <w:r w:rsidR="009C7F00">
        <w:rPr>
          <w:lang w:val="en-GB"/>
        </w:rPr>
        <w:fldChar w:fldCharType="end"/>
      </w:r>
      <w:r>
        <w:rPr>
          <w:lang w:val="en-GB"/>
        </w:rPr>
        <w:t>).</w:t>
      </w:r>
    </w:p>
    <w:p w14:paraId="55B9E14A" w14:textId="215B8987" w:rsidR="00BE5B2D" w:rsidRDefault="00BE5B2D" w:rsidP="00DA215F">
      <w:pPr>
        <w:pStyle w:val="BodyText"/>
        <w:rPr>
          <w:lang w:val="en-GB"/>
        </w:rPr>
      </w:pPr>
      <w:r>
        <w:rPr>
          <w:lang w:val="en-GB"/>
        </w:rPr>
        <w:t xml:space="preserve">The safety profile of Alhemo was </w:t>
      </w:r>
      <w:r w:rsidR="00C56ED5">
        <w:rPr>
          <w:lang w:val="en-GB"/>
        </w:rPr>
        <w:t xml:space="preserve">described </w:t>
      </w:r>
      <w:r>
        <w:rPr>
          <w:lang w:val="en-GB"/>
        </w:rPr>
        <w:t xml:space="preserve">based on </w:t>
      </w:r>
      <w:r w:rsidR="00C56ED5">
        <w:rPr>
          <w:lang w:val="en-GB"/>
        </w:rPr>
        <w:t xml:space="preserve">data from </w:t>
      </w:r>
      <w:r>
        <w:rPr>
          <w:lang w:val="en-GB"/>
        </w:rPr>
        <w:t xml:space="preserve">patients </w:t>
      </w:r>
      <w:r w:rsidR="00C56ED5">
        <w:rPr>
          <w:lang w:val="en-GB"/>
        </w:rPr>
        <w:t>who received concizumab prophylaxis in</w:t>
      </w:r>
      <w:r>
        <w:rPr>
          <w:lang w:val="en-GB"/>
        </w:rPr>
        <w:t xml:space="preserve"> </w:t>
      </w:r>
      <w:r w:rsidR="00C56ED5">
        <w:rPr>
          <w:lang w:val="en-GB"/>
        </w:rPr>
        <w:t>Arms 2, 3 and 4</w:t>
      </w:r>
      <w:r>
        <w:rPr>
          <w:lang w:val="en-GB"/>
        </w:rPr>
        <w:t>, under both the pre-pause and post-pause dosing regimens</w:t>
      </w:r>
      <w:r w:rsidR="00027B68">
        <w:rPr>
          <w:lang w:val="en-GB"/>
        </w:rPr>
        <w:t xml:space="preserve"> (see </w:t>
      </w:r>
      <w:r w:rsidR="009C7F00">
        <w:rPr>
          <w:lang w:val="en-GB"/>
        </w:rPr>
        <w:fldChar w:fldCharType="begin"/>
      </w:r>
      <w:r w:rsidR="009C7F00">
        <w:rPr>
          <w:lang w:val="en-GB"/>
        </w:rPr>
        <w:instrText xml:space="preserve"> REF _Ref138858956 \r \h </w:instrText>
      </w:r>
      <w:r w:rsidR="009C7F00">
        <w:rPr>
          <w:lang w:val="en-GB"/>
        </w:rPr>
      </w:r>
      <w:r w:rsidR="009C7F00">
        <w:rPr>
          <w:lang w:val="en-GB"/>
        </w:rPr>
        <w:fldChar w:fldCharType="separate"/>
      </w:r>
      <w:r w:rsidR="009C7F00">
        <w:rPr>
          <w:cs/>
          <w:lang w:val="en-GB"/>
        </w:rPr>
        <w:t>‎</w:t>
      </w:r>
      <w:r w:rsidR="009C7F00">
        <w:rPr>
          <w:lang w:val="en-GB"/>
        </w:rPr>
        <w:t>4.8</w:t>
      </w:r>
      <w:r w:rsidR="009C7F00">
        <w:rPr>
          <w:lang w:val="en-GB"/>
        </w:rPr>
        <w:fldChar w:fldCharType="end"/>
      </w:r>
      <w:r w:rsidR="00027B68">
        <w:rPr>
          <w:lang w:val="en-GB"/>
        </w:rPr>
        <w:t xml:space="preserve"> </w:t>
      </w:r>
      <w:r w:rsidR="009C7F00">
        <w:rPr>
          <w:lang w:val="en-GB"/>
        </w:rPr>
        <w:fldChar w:fldCharType="begin"/>
      </w:r>
      <w:r w:rsidR="009C7F00">
        <w:rPr>
          <w:lang w:val="en-GB"/>
        </w:rPr>
        <w:instrText xml:space="preserve"> REF _Ref138858956 \h </w:instrText>
      </w:r>
      <w:r w:rsidR="009C7F00">
        <w:rPr>
          <w:lang w:val="en-GB"/>
        </w:rPr>
      </w:r>
      <w:r w:rsidR="009C7F00">
        <w:rPr>
          <w:lang w:val="en-GB"/>
        </w:rPr>
        <w:fldChar w:fldCharType="separate"/>
      </w:r>
      <w:r w:rsidR="009C7F00">
        <w:t>Adverse effects (undesirable effects)</w:t>
      </w:r>
      <w:r w:rsidR="009C7F00">
        <w:rPr>
          <w:lang w:val="en-GB"/>
        </w:rPr>
        <w:fldChar w:fldCharType="end"/>
      </w:r>
      <w:r w:rsidR="00027B68">
        <w:rPr>
          <w:lang w:val="en-GB"/>
        </w:rPr>
        <w:t>).</w:t>
      </w:r>
    </w:p>
    <w:p w14:paraId="69ABE8EB" w14:textId="3DB62242" w:rsidR="00027B68" w:rsidRPr="007C33FD" w:rsidRDefault="00FE6832" w:rsidP="00F2167D">
      <w:pPr>
        <w:pStyle w:val="BodyText"/>
        <w:rPr>
          <w:lang w:val="en-GB"/>
        </w:rPr>
      </w:pPr>
      <w:r w:rsidRPr="00FE6832">
        <w:rPr>
          <w:lang w:val="en-GB"/>
        </w:rPr>
        <w:t>The</w:t>
      </w:r>
      <w:r w:rsidR="00BE5B2D">
        <w:rPr>
          <w:lang w:val="en-GB"/>
        </w:rPr>
        <w:t xml:space="preserve"> analysis of</w:t>
      </w:r>
      <w:r w:rsidRPr="00FE6832">
        <w:rPr>
          <w:lang w:val="en-GB"/>
        </w:rPr>
        <w:t xml:space="preserve"> efficacy </w:t>
      </w:r>
      <w:r w:rsidR="00BE5B2D">
        <w:rPr>
          <w:lang w:val="en-GB"/>
        </w:rPr>
        <w:t>was</w:t>
      </w:r>
      <w:r w:rsidRPr="00FE6832">
        <w:rPr>
          <w:lang w:val="en-GB"/>
        </w:rPr>
        <w:t xml:space="preserve"> based on data obtained after the study pause</w:t>
      </w:r>
      <w:r w:rsidR="00BE5B2D">
        <w:rPr>
          <w:lang w:val="en-GB"/>
        </w:rPr>
        <w:t xml:space="preserve"> with the recommended dose (</w:t>
      </w:r>
      <w:r w:rsidR="00BE5B2D">
        <w:rPr>
          <w:lang w:val="en-GB"/>
        </w:rPr>
        <w:fldChar w:fldCharType="begin"/>
      </w:r>
      <w:r w:rsidR="00BE5B2D">
        <w:rPr>
          <w:lang w:val="en-GB"/>
        </w:rPr>
        <w:instrText xml:space="preserve"> REF _Ref132725430 \h </w:instrText>
      </w:r>
      <w:r w:rsidR="00BE5B2D">
        <w:rPr>
          <w:lang w:val="en-GB"/>
        </w:rPr>
      </w:r>
      <w:r w:rsidR="00BE5B2D">
        <w:rPr>
          <w:lang w:val="en-GB"/>
        </w:rPr>
        <w:fldChar w:fldCharType="separate"/>
      </w:r>
      <w:r w:rsidR="00A8319D" w:rsidRPr="002554A2">
        <w:t xml:space="preserve">Table </w:t>
      </w:r>
      <w:r w:rsidR="00A8319D">
        <w:rPr>
          <w:noProof/>
        </w:rPr>
        <w:t>1</w:t>
      </w:r>
      <w:r w:rsidR="00BE5B2D">
        <w:rPr>
          <w:lang w:val="en-GB"/>
        </w:rPr>
        <w:fldChar w:fldCharType="end"/>
      </w:r>
      <w:r w:rsidR="00BE5B2D">
        <w:rPr>
          <w:lang w:val="en-GB"/>
        </w:rPr>
        <w:t>) from the randomised portion of the study (Arms 1 and 2).</w:t>
      </w:r>
    </w:p>
    <w:p w14:paraId="11F9FC4D" w14:textId="098FC8B0" w:rsidR="00027B68" w:rsidRDefault="00027B68" w:rsidP="007C33FD">
      <w:pPr>
        <w:pStyle w:val="BodyText"/>
        <w:rPr>
          <w:lang w:val="en-GB"/>
        </w:rPr>
      </w:pPr>
      <w:bookmarkStart w:id="42" w:name="_Hlk71207516"/>
      <w:r>
        <w:rPr>
          <w:lang w:val="en-GB"/>
        </w:rPr>
        <w:t xml:space="preserve">The primary efficacy endpoint was </w:t>
      </w:r>
      <w:r w:rsidR="00BE5B2D">
        <w:rPr>
          <w:lang w:val="en-GB"/>
        </w:rPr>
        <w:t>comparison</w:t>
      </w:r>
      <w:r w:rsidRPr="007C33FD">
        <w:rPr>
          <w:lang w:val="en-GB"/>
        </w:rPr>
        <w:t xml:space="preserve"> </w:t>
      </w:r>
      <w:r w:rsidR="00BE5B2D">
        <w:rPr>
          <w:lang w:val="en-GB"/>
        </w:rPr>
        <w:t>between</w:t>
      </w:r>
      <w:r w:rsidRPr="007C33FD">
        <w:rPr>
          <w:lang w:val="en-GB"/>
        </w:rPr>
        <w:t xml:space="preserve"> the annualised bleeding rate (ABR)</w:t>
      </w:r>
      <w:r w:rsidR="00A72B9C">
        <w:rPr>
          <w:lang w:val="en-GB"/>
        </w:rPr>
        <w:t xml:space="preserve"> during randomised treatment</w:t>
      </w:r>
      <w:r w:rsidRPr="007C33FD">
        <w:rPr>
          <w:lang w:val="en-GB"/>
        </w:rPr>
        <w:t xml:space="preserve"> </w:t>
      </w:r>
      <w:r>
        <w:rPr>
          <w:lang w:val="en-GB"/>
        </w:rPr>
        <w:t xml:space="preserve">in Arm 1 </w:t>
      </w:r>
      <w:r w:rsidR="00BE5B2D">
        <w:rPr>
          <w:lang w:val="en-GB"/>
        </w:rPr>
        <w:t>and</w:t>
      </w:r>
      <w:r w:rsidR="00A72B9C">
        <w:rPr>
          <w:lang w:val="en-GB"/>
        </w:rPr>
        <w:t xml:space="preserve"> that in</w:t>
      </w:r>
      <w:r>
        <w:rPr>
          <w:lang w:val="en-GB"/>
        </w:rPr>
        <w:t xml:space="preserve"> Arm 2</w:t>
      </w:r>
      <w:r w:rsidR="00BE5B2D">
        <w:rPr>
          <w:lang w:val="en-GB"/>
        </w:rPr>
        <w:t>.</w:t>
      </w:r>
      <w:r w:rsidR="00A72B9C">
        <w:rPr>
          <w:lang w:val="en-GB"/>
        </w:rPr>
        <w:t xml:space="preserve"> Bleeding episodes </w:t>
      </w:r>
      <w:r w:rsidR="00A72B9C" w:rsidRPr="007C33FD">
        <w:rPr>
          <w:lang w:val="en-GB"/>
        </w:rPr>
        <w:t xml:space="preserve">were </w:t>
      </w:r>
      <w:r w:rsidR="00A72B9C">
        <w:rPr>
          <w:lang w:val="en-GB"/>
        </w:rPr>
        <w:t xml:space="preserve">defined </w:t>
      </w:r>
      <w:r w:rsidR="00A72B9C" w:rsidRPr="007C33FD">
        <w:rPr>
          <w:lang w:val="en-GB"/>
        </w:rPr>
        <w:t>according to World Federation of Haemophilia criteria</w:t>
      </w:r>
      <w:r w:rsidR="00A72B9C">
        <w:rPr>
          <w:lang w:val="en-GB"/>
        </w:rPr>
        <w:t xml:space="preserve"> and were included </w:t>
      </w:r>
      <w:r w:rsidR="00C56ED5">
        <w:rPr>
          <w:lang w:val="en-GB"/>
        </w:rPr>
        <w:t xml:space="preserve">if they were treated, </w:t>
      </w:r>
      <w:r w:rsidR="00A72B9C">
        <w:rPr>
          <w:lang w:val="en-GB"/>
        </w:rPr>
        <w:t>whether spontaneous or traumatic.</w:t>
      </w:r>
      <w:r>
        <w:rPr>
          <w:lang w:val="en-GB"/>
        </w:rPr>
        <w:t xml:space="preserve"> </w:t>
      </w:r>
      <w:r w:rsidR="007C33FD" w:rsidRPr="007C33FD">
        <w:rPr>
          <w:lang w:val="en-GB"/>
        </w:rPr>
        <w:t xml:space="preserve">Efficacy was evaluated when all patients in </w:t>
      </w:r>
      <w:r>
        <w:rPr>
          <w:lang w:val="en-GB"/>
        </w:rPr>
        <w:t>A</w:t>
      </w:r>
      <w:r w:rsidRPr="007C33FD">
        <w:rPr>
          <w:lang w:val="en-GB"/>
        </w:rPr>
        <w:t xml:space="preserve">rms </w:t>
      </w:r>
      <w:r w:rsidR="007C33FD" w:rsidRPr="007C33FD">
        <w:rPr>
          <w:lang w:val="en-GB"/>
        </w:rPr>
        <w:lastRenderedPageBreak/>
        <w:t>1 and 2 had completed the main part of the trial (at least 24 or at least 32 weeks, respectively</w:t>
      </w:r>
      <w:r>
        <w:rPr>
          <w:lang w:val="en-GB"/>
        </w:rPr>
        <w:t>).</w:t>
      </w:r>
      <w:bookmarkStart w:id="43" w:name="_Hlk84344546"/>
      <w:bookmarkStart w:id="44" w:name="_Hlk84340677"/>
      <w:r w:rsidR="007C33FD" w:rsidRPr="007C33FD">
        <w:rPr>
          <w:lang w:val="en-GB"/>
        </w:rPr>
        <w:t xml:space="preserve"> </w:t>
      </w:r>
    </w:p>
    <w:p w14:paraId="54AAB1EC" w14:textId="6ECABD60" w:rsidR="00A72B9C" w:rsidRDefault="00A72B9C" w:rsidP="00DA215F">
      <w:pPr>
        <w:pStyle w:val="BodyText"/>
        <w:rPr>
          <w:lang w:val="en-GB"/>
        </w:rPr>
      </w:pPr>
      <w:r w:rsidRPr="00DA215F">
        <w:rPr>
          <w:lang w:val="en-GB"/>
        </w:rPr>
        <w:t xml:space="preserve">Across all four arms of the study, </w:t>
      </w:r>
      <w:r w:rsidRPr="00F2167D">
        <w:rPr>
          <w:lang w:val="en-GB"/>
        </w:rPr>
        <w:t>two thirds of patients were adults</w:t>
      </w:r>
      <w:r w:rsidR="00FE6832" w:rsidRPr="00F2167D">
        <w:rPr>
          <w:lang w:val="en-GB"/>
        </w:rPr>
        <w:t xml:space="preserve"> (including 63% of Arm 1 and 46% of Arm 2)</w:t>
      </w:r>
      <w:r w:rsidRPr="00DA215F">
        <w:rPr>
          <w:lang w:val="en-GB"/>
        </w:rPr>
        <w:t>, 57% were Caucasian and 30% were Asian.</w:t>
      </w:r>
      <w:r w:rsidR="00FE6832">
        <w:rPr>
          <w:lang w:val="en-GB"/>
        </w:rPr>
        <w:t xml:space="preserve"> </w:t>
      </w:r>
      <w:r w:rsidR="00DA215F">
        <w:rPr>
          <w:lang w:val="en-GB"/>
        </w:rPr>
        <w:t>The mean (range) age was</w:t>
      </w:r>
      <w:r w:rsidR="00DA215F" w:rsidRPr="00DA215F">
        <w:rPr>
          <w:lang w:val="en-GB"/>
        </w:rPr>
        <w:t xml:space="preserve"> 2</w:t>
      </w:r>
      <w:r w:rsidR="00DA215F">
        <w:rPr>
          <w:lang w:val="en-GB"/>
        </w:rPr>
        <w:t>8 (</w:t>
      </w:r>
      <w:r w:rsidR="00DA215F" w:rsidRPr="00DA215F">
        <w:rPr>
          <w:lang w:val="en-GB"/>
        </w:rPr>
        <w:t>12-67)</w:t>
      </w:r>
      <w:r w:rsidR="00DA215F">
        <w:rPr>
          <w:lang w:val="en-GB"/>
        </w:rPr>
        <w:t xml:space="preserve"> years. A single patient over the age of 64 was enrolled: they were randomised to Arm 1. </w:t>
      </w:r>
      <w:r w:rsidR="00FE6832">
        <w:rPr>
          <w:lang w:val="en-GB"/>
        </w:rPr>
        <w:t xml:space="preserve">Haemophilia B patients made up 53% of Arm 1 and 46% of Arm 2. </w:t>
      </w:r>
      <w:proofErr w:type="gramStart"/>
      <w:r w:rsidRPr="00A72B9C">
        <w:rPr>
          <w:lang w:val="en-GB"/>
        </w:rPr>
        <w:t>The majority of</w:t>
      </w:r>
      <w:proofErr w:type="gramEnd"/>
      <w:r w:rsidRPr="00A72B9C">
        <w:rPr>
          <w:lang w:val="en-GB"/>
        </w:rPr>
        <w:t xml:space="preserve"> patients </w:t>
      </w:r>
      <w:r>
        <w:rPr>
          <w:lang w:val="en-GB"/>
        </w:rPr>
        <w:t>in A</w:t>
      </w:r>
      <w:r w:rsidRPr="00A72B9C">
        <w:rPr>
          <w:lang w:val="en-GB"/>
        </w:rPr>
        <w:t xml:space="preserve">rms 1 and 2 had </w:t>
      </w:r>
      <w:r>
        <w:rPr>
          <w:lang w:val="en-GB"/>
        </w:rPr>
        <w:t>a</w:t>
      </w:r>
      <w:r w:rsidRPr="00A72B9C">
        <w:rPr>
          <w:lang w:val="en-GB"/>
        </w:rPr>
        <w:t xml:space="preserve"> documented inhibitor of &gt;</w:t>
      </w:r>
      <w:r>
        <w:rPr>
          <w:lang w:val="en-GB"/>
        </w:rPr>
        <w:t xml:space="preserve"> </w:t>
      </w:r>
      <w:r w:rsidRPr="00A72B9C">
        <w:rPr>
          <w:lang w:val="en-GB"/>
        </w:rPr>
        <w:t>0.6 Bethesda units (BU)/mL reported prior to study entry or at screening. Two patients randomi</w:t>
      </w:r>
      <w:r>
        <w:rPr>
          <w:lang w:val="en-GB"/>
        </w:rPr>
        <w:t>s</w:t>
      </w:r>
      <w:r w:rsidRPr="00A72B9C">
        <w:rPr>
          <w:lang w:val="en-GB"/>
        </w:rPr>
        <w:t xml:space="preserve">ed to </w:t>
      </w:r>
      <w:r w:rsidR="00FE6832">
        <w:rPr>
          <w:lang w:val="en-GB"/>
        </w:rPr>
        <w:t>Arm 1</w:t>
      </w:r>
      <w:r w:rsidRPr="00A72B9C">
        <w:rPr>
          <w:lang w:val="en-GB"/>
        </w:rPr>
        <w:t xml:space="preserve"> did not have </w:t>
      </w:r>
      <w:r w:rsidR="00FE6832">
        <w:rPr>
          <w:lang w:val="en-GB"/>
        </w:rPr>
        <w:t xml:space="preserve">any </w:t>
      </w:r>
      <w:r w:rsidRPr="00A72B9C">
        <w:rPr>
          <w:lang w:val="en-GB"/>
        </w:rPr>
        <w:t>documented inhibitors recorde</w:t>
      </w:r>
      <w:r w:rsidRPr="00A72B9C">
        <w:rPr>
          <w:rFonts w:hint="eastAsia"/>
          <w:lang w:val="en-GB"/>
        </w:rPr>
        <w:t xml:space="preserve">d. </w:t>
      </w:r>
      <w:r w:rsidR="00FE6832">
        <w:rPr>
          <w:lang w:val="en-GB"/>
        </w:rPr>
        <w:t>Most</w:t>
      </w:r>
      <w:r w:rsidRPr="00A72B9C">
        <w:rPr>
          <w:lang w:val="en-GB"/>
        </w:rPr>
        <w:t xml:space="preserve"> patients had either severe or moderately severe disease (</w:t>
      </w:r>
      <w:r w:rsidR="00FE6832">
        <w:rPr>
          <w:rFonts w:cs="Times New Roman"/>
          <w:lang w:val="en-GB"/>
        </w:rPr>
        <w:t>≤</w:t>
      </w:r>
      <w:r w:rsidRPr="00A72B9C">
        <w:rPr>
          <w:lang w:val="en-GB"/>
        </w:rPr>
        <w:t xml:space="preserve">2% FVIII or FIX activity). </w:t>
      </w:r>
    </w:p>
    <w:p w14:paraId="69B478BA" w14:textId="128BAF7F" w:rsidR="007C33FD" w:rsidRPr="007C33FD" w:rsidRDefault="00A72B9C" w:rsidP="007C33FD">
      <w:pPr>
        <w:pStyle w:val="BodyText"/>
        <w:rPr>
          <w:lang w:val="en-GB"/>
        </w:rPr>
      </w:pPr>
      <w:bookmarkStart w:id="45" w:name="_Hlk84344856"/>
      <w:bookmarkEnd w:id="43"/>
      <w:bookmarkEnd w:id="44"/>
      <w:bookmarkEnd w:id="42"/>
      <w:r>
        <w:rPr>
          <w:lang w:val="en-GB"/>
        </w:rPr>
        <w:t>The main efficacy findings of explorer7</w:t>
      </w:r>
      <w:r w:rsidR="007C33FD" w:rsidRPr="007C33FD">
        <w:rPr>
          <w:lang w:val="en-GB"/>
        </w:rPr>
        <w:t xml:space="preserve"> are shown </w:t>
      </w:r>
      <w:bookmarkEnd w:id="45"/>
      <w:r w:rsidR="007C33FD" w:rsidRPr="007C33FD">
        <w:rPr>
          <w:lang w:val="en-GB"/>
        </w:rPr>
        <w:t xml:space="preserve">in </w:t>
      </w:r>
      <w:r w:rsidR="007C33FD" w:rsidRPr="007C33FD">
        <w:rPr>
          <w:lang w:val="en-GB"/>
        </w:rPr>
        <w:fldChar w:fldCharType="begin"/>
      </w:r>
      <w:r w:rsidR="007C33FD" w:rsidRPr="007C33FD">
        <w:rPr>
          <w:lang w:val="en-GB"/>
        </w:rPr>
        <w:instrText xml:space="preserve"> REF _Ref89177575 \h  \* MERGEFORMAT </w:instrText>
      </w:r>
      <w:r w:rsidR="007C33FD" w:rsidRPr="007C33FD">
        <w:rPr>
          <w:lang w:val="en-GB"/>
        </w:rPr>
      </w:r>
      <w:r w:rsidR="007C33FD" w:rsidRPr="007C33FD">
        <w:rPr>
          <w:lang w:val="en-GB"/>
        </w:rPr>
        <w:fldChar w:fldCharType="separate"/>
      </w:r>
      <w:r w:rsidR="00A8319D" w:rsidRPr="007C33FD">
        <w:rPr>
          <w:lang w:val="en-GB"/>
        </w:rPr>
        <w:t xml:space="preserve">Table </w:t>
      </w:r>
      <w:r w:rsidR="00A8319D">
        <w:rPr>
          <w:lang w:val="en-GB"/>
        </w:rPr>
        <w:t>4</w:t>
      </w:r>
      <w:r w:rsidR="007C33FD" w:rsidRPr="007C33FD">
        <w:fldChar w:fldCharType="end"/>
      </w:r>
      <w:r w:rsidR="00C56ED5">
        <w:t>, including descriptive subgroup findings by haemophilia type</w:t>
      </w:r>
      <w:r w:rsidR="007C33FD" w:rsidRPr="007C33FD">
        <w:rPr>
          <w:lang w:val="en-GB"/>
        </w:rPr>
        <w:t>.</w:t>
      </w:r>
      <w:r>
        <w:rPr>
          <w:lang w:val="en-GB"/>
        </w:rPr>
        <w:t xml:space="preserve"> </w:t>
      </w:r>
      <w:r w:rsidR="00C56ED5">
        <w:rPr>
          <w:lang w:val="en-GB"/>
        </w:rPr>
        <w:t xml:space="preserve">Based on comparing the ABRs in Arm 1 and Arm 2, superiority of concizumab over on-demand treatment was concluded. </w:t>
      </w:r>
      <w:r w:rsidR="007C33FD" w:rsidRPr="007C33FD">
        <w:rPr>
          <w:lang w:val="en-GB"/>
        </w:rPr>
        <w:tab/>
      </w:r>
    </w:p>
    <w:p w14:paraId="4D95B688" w14:textId="3A7B3662" w:rsidR="007C33FD" w:rsidRPr="007C33FD" w:rsidRDefault="007C33FD" w:rsidP="007C33FD">
      <w:pPr>
        <w:pStyle w:val="Caption"/>
        <w:rPr>
          <w:lang w:val="en-GB"/>
        </w:rPr>
      </w:pPr>
      <w:bookmarkStart w:id="46" w:name="_Ref89177575"/>
      <w:r w:rsidRPr="007C33FD">
        <w:rPr>
          <w:lang w:val="en-GB"/>
        </w:rPr>
        <w:t xml:space="preserve">Table </w:t>
      </w:r>
      <w:r w:rsidR="00425C57">
        <w:rPr>
          <w:lang w:val="en-GB"/>
        </w:rPr>
        <w:fldChar w:fldCharType="begin"/>
      </w:r>
      <w:r w:rsidR="00425C57">
        <w:rPr>
          <w:lang w:val="en-GB"/>
        </w:rPr>
        <w:instrText xml:space="preserve"> SEQ Table \* ARABIC </w:instrText>
      </w:r>
      <w:r w:rsidR="00425C57">
        <w:rPr>
          <w:lang w:val="en-GB"/>
        </w:rPr>
        <w:fldChar w:fldCharType="separate"/>
      </w:r>
      <w:r w:rsidR="00A8319D">
        <w:rPr>
          <w:noProof/>
          <w:lang w:val="en-GB"/>
        </w:rPr>
        <w:t>4</w:t>
      </w:r>
      <w:r w:rsidR="00425C57">
        <w:rPr>
          <w:lang w:val="en-GB"/>
        </w:rPr>
        <w:fldChar w:fldCharType="end"/>
      </w:r>
      <w:bookmarkEnd w:id="46"/>
      <w:r w:rsidRPr="007C33FD">
        <w:rPr>
          <w:lang w:val="en-GB"/>
        </w:rPr>
        <w:t xml:space="preserve"> </w:t>
      </w:r>
      <w:r w:rsidRPr="007C33FD">
        <w:rPr>
          <w:lang w:val="en-GB"/>
        </w:rPr>
        <w:tab/>
      </w:r>
      <w:r w:rsidR="00027B68">
        <w:rPr>
          <w:lang w:val="en-GB"/>
        </w:rPr>
        <w:t>Main efficacy findings of explorer7</w:t>
      </w:r>
      <w:r w:rsidR="000353F6" w:rsidRPr="007C33FD" w:rsidDel="000353F6">
        <w:rPr>
          <w:lang w:val="en-GB"/>
        </w:rPr>
        <w:t xml:space="preserve"> </w:t>
      </w:r>
    </w:p>
    <w:tbl>
      <w:tblPr>
        <w:tblW w:w="96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273"/>
        <w:gridCol w:w="1274"/>
        <w:gridCol w:w="1274"/>
        <w:gridCol w:w="1273"/>
        <w:gridCol w:w="1274"/>
        <w:gridCol w:w="1274"/>
      </w:tblGrid>
      <w:tr w:rsidR="00A72B9C" w:rsidRPr="007C33FD" w14:paraId="605B8F7F" w14:textId="77777777" w:rsidTr="00F2167D">
        <w:trPr>
          <w:trHeight w:val="645"/>
          <w:tblHeader/>
        </w:trPr>
        <w:tc>
          <w:tcPr>
            <w:tcW w:w="1978" w:type="dxa"/>
          </w:tcPr>
          <w:p w14:paraId="03886397" w14:textId="77777777" w:rsidR="00A72B9C" w:rsidRPr="007C33FD" w:rsidRDefault="00A72B9C" w:rsidP="007C33FD">
            <w:pPr>
              <w:pStyle w:val="Tabletext"/>
            </w:pPr>
            <w:bookmarkStart w:id="47" w:name="_Hlk81314312"/>
            <w:bookmarkStart w:id="48" w:name="_Hlk81320831"/>
          </w:p>
        </w:tc>
        <w:tc>
          <w:tcPr>
            <w:tcW w:w="2547" w:type="dxa"/>
            <w:gridSpan w:val="2"/>
            <w:vAlign w:val="center"/>
          </w:tcPr>
          <w:p w14:paraId="379184B7" w14:textId="405C94DF" w:rsidR="00A72B9C" w:rsidRPr="00F2167D" w:rsidRDefault="00A72B9C" w:rsidP="00F2167D">
            <w:pPr>
              <w:pStyle w:val="Tabletext"/>
              <w:jc w:val="center"/>
              <w:rPr>
                <w:b/>
                <w:bCs/>
                <w:sz w:val="22"/>
                <w:szCs w:val="24"/>
              </w:rPr>
            </w:pPr>
            <w:bookmarkStart w:id="49" w:name="_Hlk81314324"/>
            <w:r w:rsidRPr="00F2167D">
              <w:rPr>
                <w:b/>
                <w:bCs/>
                <w:sz w:val="22"/>
                <w:szCs w:val="24"/>
              </w:rPr>
              <w:t>HAwI and HBwI</w:t>
            </w:r>
            <w:bookmarkEnd w:id="49"/>
          </w:p>
        </w:tc>
        <w:tc>
          <w:tcPr>
            <w:tcW w:w="2547" w:type="dxa"/>
            <w:gridSpan w:val="2"/>
            <w:vAlign w:val="center"/>
          </w:tcPr>
          <w:p w14:paraId="5C4CAF82" w14:textId="5EEF8C3B" w:rsidR="00A72B9C" w:rsidRPr="00F2167D" w:rsidRDefault="00A72B9C" w:rsidP="00F2167D">
            <w:pPr>
              <w:pStyle w:val="Tabletext"/>
              <w:jc w:val="center"/>
              <w:rPr>
                <w:b/>
                <w:bCs/>
                <w:sz w:val="22"/>
                <w:szCs w:val="24"/>
              </w:rPr>
            </w:pPr>
            <w:r w:rsidRPr="00F2167D">
              <w:rPr>
                <w:b/>
                <w:bCs/>
                <w:sz w:val="22"/>
                <w:szCs w:val="24"/>
              </w:rPr>
              <w:t>HAwI</w:t>
            </w:r>
          </w:p>
        </w:tc>
        <w:tc>
          <w:tcPr>
            <w:tcW w:w="2548" w:type="dxa"/>
            <w:gridSpan w:val="2"/>
            <w:vAlign w:val="center"/>
          </w:tcPr>
          <w:p w14:paraId="7B254882" w14:textId="301C290F" w:rsidR="00A72B9C" w:rsidRPr="00F2167D" w:rsidRDefault="00A72B9C" w:rsidP="00F2167D">
            <w:pPr>
              <w:pStyle w:val="Tabletext"/>
              <w:jc w:val="center"/>
              <w:rPr>
                <w:b/>
                <w:bCs/>
                <w:sz w:val="22"/>
                <w:szCs w:val="24"/>
              </w:rPr>
            </w:pPr>
            <w:r w:rsidRPr="00F2167D">
              <w:rPr>
                <w:b/>
                <w:bCs/>
                <w:sz w:val="22"/>
                <w:szCs w:val="24"/>
              </w:rPr>
              <w:t>HBwI</w:t>
            </w:r>
          </w:p>
        </w:tc>
      </w:tr>
      <w:tr w:rsidR="00A72B9C" w:rsidRPr="007C33FD" w14:paraId="5DCD3F0A" w14:textId="77777777" w:rsidTr="00F2167D">
        <w:trPr>
          <w:trHeight w:val="645"/>
          <w:tblHeader/>
        </w:trPr>
        <w:tc>
          <w:tcPr>
            <w:tcW w:w="1978" w:type="dxa"/>
            <w:vAlign w:val="bottom"/>
          </w:tcPr>
          <w:p w14:paraId="0E090B33" w14:textId="6620AC05" w:rsidR="00A72B9C" w:rsidRPr="00F2167D" w:rsidRDefault="00BE5B2D" w:rsidP="00DA215F">
            <w:pPr>
              <w:pStyle w:val="Tabletext"/>
              <w:rPr>
                <w:b/>
                <w:bCs/>
              </w:rPr>
            </w:pPr>
            <w:r w:rsidRPr="00F2167D">
              <w:rPr>
                <w:b/>
                <w:bCs/>
              </w:rPr>
              <w:t>Exposure</w:t>
            </w:r>
          </w:p>
        </w:tc>
        <w:tc>
          <w:tcPr>
            <w:tcW w:w="1273" w:type="dxa"/>
          </w:tcPr>
          <w:p w14:paraId="42A393EA" w14:textId="77777777" w:rsidR="00A72B9C" w:rsidRDefault="00A72B9C" w:rsidP="00F2167D">
            <w:pPr>
              <w:pStyle w:val="Tabletext"/>
              <w:jc w:val="center"/>
              <w:rPr>
                <w:b/>
                <w:bCs/>
              </w:rPr>
            </w:pPr>
            <w:r>
              <w:rPr>
                <w:b/>
                <w:bCs/>
              </w:rPr>
              <w:t>Alhemo</w:t>
            </w:r>
          </w:p>
          <w:p w14:paraId="0BFF6A43" w14:textId="24FEA5F5" w:rsidR="00A72B9C" w:rsidRPr="00F2167D" w:rsidRDefault="00A72B9C" w:rsidP="00F2167D">
            <w:pPr>
              <w:pStyle w:val="Tabletext"/>
              <w:jc w:val="center"/>
            </w:pPr>
            <w:r>
              <w:t>(n=33)</w:t>
            </w:r>
          </w:p>
        </w:tc>
        <w:tc>
          <w:tcPr>
            <w:tcW w:w="1274" w:type="dxa"/>
          </w:tcPr>
          <w:p w14:paraId="4A5974E5" w14:textId="435FE1F7" w:rsidR="00A72B9C" w:rsidRDefault="00A72B9C" w:rsidP="00F2167D">
            <w:pPr>
              <w:pStyle w:val="Tabletext"/>
              <w:jc w:val="center"/>
              <w:rPr>
                <w:b/>
                <w:bCs/>
              </w:rPr>
            </w:pPr>
            <w:proofErr w:type="spellStart"/>
            <w:r>
              <w:rPr>
                <w:b/>
                <w:bCs/>
              </w:rPr>
              <w:t>O</w:t>
            </w:r>
            <w:r w:rsidR="00C56ED5">
              <w:rPr>
                <w:b/>
                <w:bCs/>
              </w:rPr>
              <w:t>n</w:t>
            </w:r>
            <w:r>
              <w:rPr>
                <w:b/>
                <w:bCs/>
              </w:rPr>
              <w:t>D</w:t>
            </w:r>
            <w:proofErr w:type="spellEnd"/>
          </w:p>
          <w:p w14:paraId="609C51CC" w14:textId="124F407F" w:rsidR="00A72B9C" w:rsidRPr="00F2167D" w:rsidRDefault="00A72B9C" w:rsidP="00F2167D">
            <w:pPr>
              <w:pStyle w:val="Tabletext"/>
              <w:jc w:val="center"/>
            </w:pPr>
            <w:r>
              <w:t>(n=19)</w:t>
            </w:r>
          </w:p>
        </w:tc>
        <w:tc>
          <w:tcPr>
            <w:tcW w:w="1274" w:type="dxa"/>
          </w:tcPr>
          <w:p w14:paraId="4695541C" w14:textId="77777777" w:rsidR="00A72B9C" w:rsidRDefault="00A72B9C" w:rsidP="00F2167D">
            <w:pPr>
              <w:pStyle w:val="Tabletext"/>
              <w:jc w:val="center"/>
              <w:rPr>
                <w:b/>
                <w:bCs/>
              </w:rPr>
            </w:pPr>
            <w:r>
              <w:rPr>
                <w:b/>
                <w:bCs/>
              </w:rPr>
              <w:t>Alhemo</w:t>
            </w:r>
          </w:p>
          <w:p w14:paraId="67FAE78F" w14:textId="0B087E4C" w:rsidR="00A72B9C" w:rsidRPr="007C33FD" w:rsidRDefault="00A72B9C" w:rsidP="00F2167D">
            <w:pPr>
              <w:pStyle w:val="Tabletext"/>
              <w:jc w:val="center"/>
              <w:rPr>
                <w:b/>
                <w:bCs/>
              </w:rPr>
            </w:pPr>
            <w:r>
              <w:t>(n=18)</w:t>
            </w:r>
          </w:p>
        </w:tc>
        <w:tc>
          <w:tcPr>
            <w:tcW w:w="1273" w:type="dxa"/>
          </w:tcPr>
          <w:p w14:paraId="513D92C0" w14:textId="506C9F70" w:rsidR="00A72B9C" w:rsidRDefault="00A72B9C" w:rsidP="00F2167D">
            <w:pPr>
              <w:pStyle w:val="Tabletext"/>
              <w:jc w:val="center"/>
              <w:rPr>
                <w:b/>
                <w:bCs/>
              </w:rPr>
            </w:pPr>
            <w:proofErr w:type="spellStart"/>
            <w:r>
              <w:rPr>
                <w:b/>
                <w:bCs/>
              </w:rPr>
              <w:t>O</w:t>
            </w:r>
            <w:r w:rsidR="00C56ED5">
              <w:rPr>
                <w:b/>
                <w:bCs/>
              </w:rPr>
              <w:t>n</w:t>
            </w:r>
            <w:r>
              <w:rPr>
                <w:b/>
                <w:bCs/>
              </w:rPr>
              <w:t>D</w:t>
            </w:r>
            <w:proofErr w:type="spellEnd"/>
          </w:p>
          <w:p w14:paraId="1F923ABC" w14:textId="5FE1E3AD" w:rsidR="00A72B9C" w:rsidRPr="007C33FD" w:rsidRDefault="00A72B9C" w:rsidP="00F2167D">
            <w:pPr>
              <w:pStyle w:val="Tabletext"/>
              <w:jc w:val="center"/>
              <w:rPr>
                <w:b/>
                <w:bCs/>
              </w:rPr>
            </w:pPr>
            <w:r>
              <w:t>(n=9)</w:t>
            </w:r>
          </w:p>
        </w:tc>
        <w:tc>
          <w:tcPr>
            <w:tcW w:w="1274" w:type="dxa"/>
          </w:tcPr>
          <w:p w14:paraId="1EBE7F2D" w14:textId="77777777" w:rsidR="00A72B9C" w:rsidRDefault="00A72B9C" w:rsidP="00F2167D">
            <w:pPr>
              <w:pStyle w:val="Tabletext"/>
              <w:jc w:val="center"/>
              <w:rPr>
                <w:b/>
                <w:bCs/>
              </w:rPr>
            </w:pPr>
            <w:r>
              <w:rPr>
                <w:b/>
                <w:bCs/>
              </w:rPr>
              <w:t>Alhemo</w:t>
            </w:r>
          </w:p>
          <w:p w14:paraId="47E3F359" w14:textId="0DAD4EF4" w:rsidR="00A72B9C" w:rsidRPr="007C33FD" w:rsidRDefault="00A72B9C" w:rsidP="00F2167D">
            <w:pPr>
              <w:pStyle w:val="Tabletext"/>
              <w:jc w:val="center"/>
              <w:rPr>
                <w:b/>
                <w:bCs/>
              </w:rPr>
            </w:pPr>
            <w:r>
              <w:t>(n=15)</w:t>
            </w:r>
          </w:p>
        </w:tc>
        <w:tc>
          <w:tcPr>
            <w:tcW w:w="1274" w:type="dxa"/>
          </w:tcPr>
          <w:p w14:paraId="5EDDF739" w14:textId="722D7C4D" w:rsidR="00A72B9C" w:rsidRDefault="00A72B9C" w:rsidP="00F2167D">
            <w:pPr>
              <w:pStyle w:val="Tabletext"/>
              <w:jc w:val="center"/>
              <w:rPr>
                <w:b/>
                <w:bCs/>
              </w:rPr>
            </w:pPr>
            <w:proofErr w:type="spellStart"/>
            <w:r>
              <w:rPr>
                <w:b/>
                <w:bCs/>
              </w:rPr>
              <w:t>O</w:t>
            </w:r>
            <w:r w:rsidR="00C56ED5">
              <w:rPr>
                <w:b/>
                <w:bCs/>
              </w:rPr>
              <w:t>n</w:t>
            </w:r>
            <w:r>
              <w:rPr>
                <w:b/>
                <w:bCs/>
              </w:rPr>
              <w:t>D</w:t>
            </w:r>
            <w:proofErr w:type="spellEnd"/>
          </w:p>
          <w:p w14:paraId="0EFB67E4" w14:textId="435FDD30" w:rsidR="00A72B9C" w:rsidRPr="007C33FD" w:rsidRDefault="00A72B9C" w:rsidP="00F2167D">
            <w:pPr>
              <w:pStyle w:val="Tabletext"/>
              <w:jc w:val="center"/>
              <w:rPr>
                <w:b/>
                <w:bCs/>
              </w:rPr>
            </w:pPr>
            <w:r>
              <w:t>(n=10)</w:t>
            </w:r>
          </w:p>
        </w:tc>
      </w:tr>
      <w:bookmarkEnd w:id="47"/>
      <w:tr w:rsidR="007C33FD" w:rsidRPr="007C33FD" w14:paraId="5322551E" w14:textId="77777777" w:rsidTr="00F2167D">
        <w:trPr>
          <w:trHeight w:val="645"/>
        </w:trPr>
        <w:tc>
          <w:tcPr>
            <w:tcW w:w="1978" w:type="dxa"/>
          </w:tcPr>
          <w:p w14:paraId="339CE71C" w14:textId="3E3152AE" w:rsidR="007C33FD" w:rsidRPr="007C33FD" w:rsidRDefault="007C33FD" w:rsidP="007C33FD">
            <w:pPr>
              <w:pStyle w:val="Tabletext"/>
            </w:pPr>
            <w:r w:rsidRPr="007C33FD">
              <w:t xml:space="preserve">Median </w:t>
            </w:r>
            <w:r w:rsidR="00BE5B2D">
              <w:t xml:space="preserve">duration of </w:t>
            </w:r>
            <w:r w:rsidR="00A72B9C">
              <w:t xml:space="preserve">exposure </w:t>
            </w:r>
            <w:r w:rsidRPr="007C33FD">
              <w:t>(</w:t>
            </w:r>
            <w:r w:rsidR="00501EE7">
              <w:t>months</w:t>
            </w:r>
            <w:r w:rsidRPr="007C33FD">
              <w:t xml:space="preserve">) </w:t>
            </w:r>
            <w:bookmarkStart w:id="50" w:name="_Hlk81307293"/>
            <w:r w:rsidRPr="007C33FD">
              <w:t>(</w:t>
            </w:r>
            <w:r w:rsidR="00BE5B2D">
              <w:t>range</w:t>
            </w:r>
            <w:r w:rsidRPr="007C33FD">
              <w:t>)</w:t>
            </w:r>
            <w:bookmarkEnd w:id="50"/>
          </w:p>
        </w:tc>
        <w:tc>
          <w:tcPr>
            <w:tcW w:w="1273" w:type="dxa"/>
            <w:vAlign w:val="center"/>
          </w:tcPr>
          <w:p w14:paraId="255AED32" w14:textId="053DA346" w:rsidR="007C33FD" w:rsidRPr="007C33FD" w:rsidRDefault="00736042" w:rsidP="00F2167D">
            <w:pPr>
              <w:pStyle w:val="Tabletext"/>
              <w:jc w:val="center"/>
            </w:pPr>
            <w:r>
              <w:t>9.2</w:t>
            </w:r>
          </w:p>
          <w:p w14:paraId="2C4A70B4" w14:textId="3C684153" w:rsidR="007C33FD" w:rsidRPr="007C33FD" w:rsidRDefault="007C33FD" w:rsidP="00F2167D">
            <w:pPr>
              <w:pStyle w:val="Tabletext"/>
              <w:jc w:val="center"/>
            </w:pPr>
            <w:r w:rsidRPr="007C33FD">
              <w:t>(</w:t>
            </w:r>
            <w:r w:rsidR="00F2370A">
              <w:t>0.7</w:t>
            </w:r>
            <w:r w:rsidR="00BE5B2D">
              <w:t xml:space="preserve">, </w:t>
            </w:r>
            <w:r w:rsidR="00F2370A">
              <w:t>1</w:t>
            </w:r>
            <w:r w:rsidR="00026E3B">
              <w:t>2.9</w:t>
            </w:r>
            <w:r w:rsidRPr="007C33FD">
              <w:t>)</w:t>
            </w:r>
          </w:p>
        </w:tc>
        <w:tc>
          <w:tcPr>
            <w:tcW w:w="1274" w:type="dxa"/>
            <w:vAlign w:val="center"/>
          </w:tcPr>
          <w:p w14:paraId="3ED2858E" w14:textId="069EE1E6" w:rsidR="007C33FD" w:rsidRPr="007C33FD" w:rsidRDefault="00C13D3A" w:rsidP="00F2167D">
            <w:pPr>
              <w:pStyle w:val="Tabletext"/>
              <w:jc w:val="center"/>
            </w:pPr>
            <w:r>
              <w:t>7.2</w:t>
            </w:r>
          </w:p>
          <w:p w14:paraId="2D5A5C19" w14:textId="06D2E0C7" w:rsidR="007C33FD" w:rsidRPr="007C33FD" w:rsidDel="00F87322" w:rsidRDefault="007C33FD" w:rsidP="00F2167D">
            <w:pPr>
              <w:pStyle w:val="Tabletext"/>
              <w:jc w:val="center"/>
            </w:pPr>
            <w:r w:rsidRPr="007C33FD">
              <w:t>(</w:t>
            </w:r>
            <w:r w:rsidR="00764C5C">
              <w:t>0.9</w:t>
            </w:r>
            <w:r w:rsidR="00BE5B2D">
              <w:t xml:space="preserve">, </w:t>
            </w:r>
            <w:r w:rsidR="00B90731">
              <w:t>16.8</w:t>
            </w:r>
            <w:r w:rsidRPr="007C33FD">
              <w:t>)</w:t>
            </w:r>
          </w:p>
        </w:tc>
        <w:tc>
          <w:tcPr>
            <w:tcW w:w="1274" w:type="dxa"/>
            <w:vAlign w:val="center"/>
          </w:tcPr>
          <w:p w14:paraId="7E8BF7CE" w14:textId="6305E0F9" w:rsidR="007C33FD" w:rsidRPr="007C33FD" w:rsidRDefault="000A6962" w:rsidP="00F2167D">
            <w:pPr>
              <w:pStyle w:val="Tabletext"/>
              <w:jc w:val="center"/>
            </w:pPr>
            <w:r>
              <w:t>11.0</w:t>
            </w:r>
          </w:p>
          <w:p w14:paraId="5AAE9A09" w14:textId="2B17938C" w:rsidR="007C33FD" w:rsidRPr="007C33FD" w:rsidDel="00F87322" w:rsidRDefault="007C33FD" w:rsidP="00F2167D">
            <w:pPr>
              <w:pStyle w:val="Tabletext"/>
              <w:jc w:val="center"/>
            </w:pPr>
            <w:r w:rsidRPr="007C33FD">
              <w:t>(</w:t>
            </w:r>
            <w:r w:rsidR="00537C9B">
              <w:t>3.4</w:t>
            </w:r>
            <w:r w:rsidR="00BE5B2D">
              <w:t xml:space="preserve">, </w:t>
            </w:r>
            <w:r w:rsidR="00E801E8">
              <w:t>12.9</w:t>
            </w:r>
            <w:r w:rsidRPr="007C33FD">
              <w:t>)</w:t>
            </w:r>
          </w:p>
        </w:tc>
        <w:tc>
          <w:tcPr>
            <w:tcW w:w="1273" w:type="dxa"/>
            <w:vAlign w:val="center"/>
          </w:tcPr>
          <w:p w14:paraId="77584360" w14:textId="42842FC9" w:rsidR="007C33FD" w:rsidRPr="007C33FD" w:rsidRDefault="009150F7" w:rsidP="00F2167D">
            <w:pPr>
              <w:pStyle w:val="Tabletext"/>
              <w:jc w:val="center"/>
            </w:pPr>
            <w:r>
              <w:t>5.5</w:t>
            </w:r>
          </w:p>
          <w:p w14:paraId="101DC099" w14:textId="7D896DDA" w:rsidR="007C33FD" w:rsidRPr="007C33FD" w:rsidDel="00F87322" w:rsidRDefault="007C33FD" w:rsidP="00F2167D">
            <w:pPr>
              <w:pStyle w:val="Tabletext"/>
              <w:jc w:val="center"/>
            </w:pPr>
            <w:r w:rsidRPr="007C33FD">
              <w:t>(</w:t>
            </w:r>
            <w:r w:rsidR="00B95650">
              <w:t>0.9</w:t>
            </w:r>
            <w:r w:rsidR="00BE5B2D">
              <w:t xml:space="preserve">, </w:t>
            </w:r>
            <w:r w:rsidR="003E407C">
              <w:t>16.8</w:t>
            </w:r>
            <w:r w:rsidRPr="007C33FD">
              <w:t>)</w:t>
            </w:r>
          </w:p>
        </w:tc>
        <w:tc>
          <w:tcPr>
            <w:tcW w:w="1274" w:type="dxa"/>
            <w:vAlign w:val="center"/>
          </w:tcPr>
          <w:p w14:paraId="607277D6" w14:textId="1C484D2B" w:rsidR="007C33FD" w:rsidRPr="007C33FD" w:rsidRDefault="00112340" w:rsidP="00F2167D">
            <w:pPr>
              <w:pStyle w:val="Tabletext"/>
              <w:jc w:val="center"/>
            </w:pPr>
            <w:r>
              <w:t>7.4</w:t>
            </w:r>
          </w:p>
          <w:p w14:paraId="226C26CF" w14:textId="02F8E952" w:rsidR="007C33FD" w:rsidRPr="007C33FD" w:rsidDel="00F87322" w:rsidRDefault="007C33FD" w:rsidP="00F2167D">
            <w:pPr>
              <w:pStyle w:val="Tabletext"/>
              <w:jc w:val="center"/>
            </w:pPr>
            <w:r w:rsidRPr="007C33FD">
              <w:t>(</w:t>
            </w:r>
            <w:r w:rsidR="00112340">
              <w:t>0.7</w:t>
            </w:r>
            <w:r w:rsidR="00BE5B2D">
              <w:t xml:space="preserve">, </w:t>
            </w:r>
            <w:r w:rsidR="003A071B">
              <w:t>12.8</w:t>
            </w:r>
            <w:r w:rsidRPr="007C33FD">
              <w:t>)</w:t>
            </w:r>
          </w:p>
        </w:tc>
        <w:tc>
          <w:tcPr>
            <w:tcW w:w="1274" w:type="dxa"/>
            <w:vAlign w:val="center"/>
          </w:tcPr>
          <w:p w14:paraId="2A19936A" w14:textId="221B9E25" w:rsidR="007C33FD" w:rsidRPr="007C33FD" w:rsidRDefault="005970B3" w:rsidP="00F2167D">
            <w:pPr>
              <w:pStyle w:val="Tabletext"/>
              <w:jc w:val="center"/>
            </w:pPr>
            <w:r>
              <w:t>7.9</w:t>
            </w:r>
          </w:p>
          <w:p w14:paraId="32391689" w14:textId="5395C412" w:rsidR="007C33FD" w:rsidRPr="007C33FD" w:rsidDel="00F87322" w:rsidRDefault="007C33FD" w:rsidP="00F2167D">
            <w:pPr>
              <w:pStyle w:val="Tabletext"/>
              <w:jc w:val="center"/>
            </w:pPr>
            <w:r w:rsidRPr="007C33FD">
              <w:t>(</w:t>
            </w:r>
            <w:r w:rsidR="005970B3">
              <w:t>1.0</w:t>
            </w:r>
            <w:r w:rsidR="00BE5B2D">
              <w:t xml:space="preserve">, </w:t>
            </w:r>
            <w:r w:rsidR="005970B3">
              <w:t>12.5</w:t>
            </w:r>
            <w:r w:rsidRPr="007C33FD">
              <w:t>)</w:t>
            </w:r>
          </w:p>
        </w:tc>
      </w:tr>
      <w:tr w:rsidR="007C33FD" w:rsidRPr="007C33FD" w14:paraId="0F49E1AB" w14:textId="77777777" w:rsidTr="00A72B9C">
        <w:trPr>
          <w:trHeight w:val="321"/>
        </w:trPr>
        <w:tc>
          <w:tcPr>
            <w:tcW w:w="9620" w:type="dxa"/>
            <w:gridSpan w:val="7"/>
          </w:tcPr>
          <w:p w14:paraId="67284773" w14:textId="338FDB5A" w:rsidR="007C33FD" w:rsidRPr="007C33FD" w:rsidRDefault="00BE5B2D" w:rsidP="00A72B9C">
            <w:pPr>
              <w:pStyle w:val="Tabletext"/>
              <w:rPr>
                <w:b/>
              </w:rPr>
            </w:pPr>
            <w:bookmarkStart w:id="51" w:name="_Hlk81321028"/>
            <w:r>
              <w:rPr>
                <w:b/>
              </w:rPr>
              <w:t>Annualised bleeding rate (ABR) - t</w:t>
            </w:r>
            <w:r w:rsidR="007C33FD" w:rsidRPr="007C33FD">
              <w:rPr>
                <w:b/>
              </w:rPr>
              <w:t>reated spontaneous and traumatic bleed</w:t>
            </w:r>
            <w:r>
              <w:rPr>
                <w:b/>
              </w:rPr>
              <w:t>ing episode</w:t>
            </w:r>
            <w:r w:rsidR="007C33FD" w:rsidRPr="007C33FD">
              <w:rPr>
                <w:b/>
              </w:rPr>
              <w:t>s</w:t>
            </w:r>
          </w:p>
        </w:tc>
      </w:tr>
      <w:bookmarkEnd w:id="48"/>
      <w:bookmarkEnd w:id="51"/>
      <w:tr w:rsidR="009A7E87" w:rsidRPr="007C33FD" w14:paraId="4FAAE09C" w14:textId="77777777" w:rsidTr="0021706B">
        <w:trPr>
          <w:trHeight w:val="321"/>
        </w:trPr>
        <w:tc>
          <w:tcPr>
            <w:tcW w:w="1978" w:type="dxa"/>
          </w:tcPr>
          <w:p w14:paraId="214B727E" w14:textId="77777777" w:rsidR="009A7E87" w:rsidRDefault="009A7E87" w:rsidP="009A7E87">
            <w:pPr>
              <w:pStyle w:val="Tabletext"/>
            </w:pPr>
            <w:r>
              <w:t>ABR estimate</w:t>
            </w:r>
          </w:p>
          <w:p w14:paraId="358E229B" w14:textId="66740877" w:rsidR="009A7E87" w:rsidRDefault="009A7E87" w:rsidP="009A7E87">
            <w:pPr>
              <w:pStyle w:val="Tabletext"/>
            </w:pPr>
            <w:r>
              <w:t>95% CI</w:t>
            </w:r>
          </w:p>
        </w:tc>
        <w:tc>
          <w:tcPr>
            <w:tcW w:w="1273" w:type="dxa"/>
            <w:vAlign w:val="center"/>
          </w:tcPr>
          <w:p w14:paraId="0C759C05" w14:textId="77777777" w:rsidR="009A7E87" w:rsidRDefault="009A7E87" w:rsidP="009A7E87">
            <w:pPr>
              <w:pStyle w:val="Tabletext"/>
              <w:jc w:val="center"/>
            </w:pPr>
            <w:r>
              <w:t>1.7</w:t>
            </w:r>
          </w:p>
          <w:p w14:paraId="28D26994" w14:textId="16EF16AE" w:rsidR="009A7E87" w:rsidRDefault="009A7E87" w:rsidP="009A7E87">
            <w:pPr>
              <w:pStyle w:val="Tabletext"/>
              <w:jc w:val="center"/>
            </w:pPr>
            <w:r>
              <w:t>(1.0, 2.9)</w:t>
            </w:r>
          </w:p>
        </w:tc>
        <w:tc>
          <w:tcPr>
            <w:tcW w:w="1274" w:type="dxa"/>
            <w:vAlign w:val="center"/>
          </w:tcPr>
          <w:p w14:paraId="6D45C0CA" w14:textId="77777777" w:rsidR="009A7E87" w:rsidRDefault="009A7E87" w:rsidP="009A7E87">
            <w:pPr>
              <w:pStyle w:val="Tabletext"/>
              <w:jc w:val="center"/>
            </w:pPr>
            <w:r>
              <w:t>11.8</w:t>
            </w:r>
          </w:p>
          <w:p w14:paraId="2B29215E" w14:textId="2801EC56" w:rsidR="009A7E87" w:rsidRPr="007C33FD" w:rsidDel="00BE5B2D" w:rsidRDefault="009A7E87" w:rsidP="009A7E87">
            <w:pPr>
              <w:pStyle w:val="Tabletext"/>
              <w:jc w:val="center"/>
            </w:pPr>
            <w:r>
              <w:t>(7.0, 19.9)</w:t>
            </w:r>
          </w:p>
        </w:tc>
        <w:tc>
          <w:tcPr>
            <w:tcW w:w="1274" w:type="dxa"/>
            <w:vAlign w:val="center"/>
          </w:tcPr>
          <w:p w14:paraId="6CD468E5" w14:textId="77777777" w:rsidR="009A7E87" w:rsidRDefault="009A7E87" w:rsidP="009A7E87">
            <w:pPr>
              <w:pStyle w:val="Tabletext"/>
              <w:jc w:val="center"/>
            </w:pPr>
            <w:r>
              <w:t>1.6</w:t>
            </w:r>
          </w:p>
          <w:p w14:paraId="63F1DB61" w14:textId="2BC9083D" w:rsidR="009A7E87" w:rsidRDefault="009A7E87" w:rsidP="009A7E87">
            <w:pPr>
              <w:pStyle w:val="Tabletext"/>
              <w:jc w:val="center"/>
            </w:pPr>
            <w:r>
              <w:t>(0.9, 2.8)</w:t>
            </w:r>
          </w:p>
        </w:tc>
        <w:tc>
          <w:tcPr>
            <w:tcW w:w="1273" w:type="dxa"/>
            <w:vAlign w:val="center"/>
          </w:tcPr>
          <w:p w14:paraId="5A4DC721" w14:textId="77777777" w:rsidR="009A7E87" w:rsidRDefault="009A7E87" w:rsidP="009A7E87">
            <w:pPr>
              <w:pStyle w:val="Tabletext"/>
              <w:jc w:val="center"/>
            </w:pPr>
            <w:r>
              <w:t>18.3</w:t>
            </w:r>
          </w:p>
          <w:p w14:paraId="5079F5F9" w14:textId="74DD14F4" w:rsidR="009A7E87" w:rsidRDefault="009A7E87" w:rsidP="009A7E87">
            <w:pPr>
              <w:pStyle w:val="Tabletext"/>
              <w:jc w:val="center"/>
            </w:pPr>
            <w:r>
              <w:t>(10.2, 32.9)</w:t>
            </w:r>
          </w:p>
        </w:tc>
        <w:tc>
          <w:tcPr>
            <w:tcW w:w="1274" w:type="dxa"/>
            <w:vAlign w:val="center"/>
          </w:tcPr>
          <w:p w14:paraId="6079B7EB" w14:textId="77777777" w:rsidR="009A7E87" w:rsidRDefault="009A7E87" w:rsidP="009A7E87">
            <w:pPr>
              <w:pStyle w:val="Tabletext"/>
              <w:jc w:val="center"/>
            </w:pPr>
            <w:r>
              <w:t>2.2</w:t>
            </w:r>
          </w:p>
          <w:p w14:paraId="71DE3436" w14:textId="3891A623" w:rsidR="009A7E87" w:rsidRDefault="009A7E87" w:rsidP="009A7E87">
            <w:pPr>
              <w:pStyle w:val="Tabletext"/>
              <w:jc w:val="center"/>
            </w:pPr>
            <w:r>
              <w:t>(0.8, 6.5)</w:t>
            </w:r>
          </w:p>
        </w:tc>
        <w:tc>
          <w:tcPr>
            <w:tcW w:w="1274" w:type="dxa"/>
            <w:vAlign w:val="center"/>
          </w:tcPr>
          <w:p w14:paraId="469F588B" w14:textId="77777777" w:rsidR="009A7E87" w:rsidRDefault="009A7E87" w:rsidP="009A7E87">
            <w:pPr>
              <w:pStyle w:val="Tabletext"/>
              <w:jc w:val="center"/>
            </w:pPr>
            <w:r>
              <w:t>7.2</w:t>
            </w:r>
          </w:p>
          <w:p w14:paraId="7485E4E3" w14:textId="6A149F71" w:rsidR="009A7E87" w:rsidRDefault="009A7E87" w:rsidP="009A7E87">
            <w:pPr>
              <w:pStyle w:val="Tabletext"/>
              <w:jc w:val="center"/>
            </w:pPr>
            <w:r>
              <w:t>(2.6, 20.1)</w:t>
            </w:r>
          </w:p>
        </w:tc>
      </w:tr>
      <w:tr w:rsidR="009A7E87" w:rsidRPr="007C33FD" w14:paraId="440E493E" w14:textId="77777777" w:rsidTr="00F2167D">
        <w:trPr>
          <w:trHeight w:val="321"/>
        </w:trPr>
        <w:tc>
          <w:tcPr>
            <w:tcW w:w="1978" w:type="dxa"/>
          </w:tcPr>
          <w:p w14:paraId="43B54152" w14:textId="77777777" w:rsidR="009A7E87" w:rsidRDefault="009A7E87" w:rsidP="009A7E87">
            <w:pPr>
              <w:pStyle w:val="Tabletext"/>
            </w:pPr>
            <w:r>
              <w:t xml:space="preserve">ABR ratio </w:t>
            </w:r>
          </w:p>
          <w:p w14:paraId="20631D43" w14:textId="35E641BB" w:rsidR="009A7E87" w:rsidRPr="007C33FD" w:rsidRDefault="009A7E87" w:rsidP="009A7E87">
            <w:pPr>
              <w:pStyle w:val="Tabletext"/>
            </w:pPr>
            <w:r>
              <w:t>(95% CI), p-value</w:t>
            </w:r>
          </w:p>
        </w:tc>
        <w:tc>
          <w:tcPr>
            <w:tcW w:w="2547" w:type="dxa"/>
            <w:gridSpan w:val="2"/>
            <w:vAlign w:val="center"/>
          </w:tcPr>
          <w:p w14:paraId="2918E2E7" w14:textId="77777777" w:rsidR="009A7E87" w:rsidRDefault="009A7E87" w:rsidP="009A7E87">
            <w:pPr>
              <w:pStyle w:val="Tabletext"/>
              <w:jc w:val="center"/>
            </w:pPr>
            <w:r>
              <w:t xml:space="preserve">0.14 </w:t>
            </w:r>
          </w:p>
          <w:p w14:paraId="04B097F9" w14:textId="1ADFB2D9" w:rsidR="009A7E87" w:rsidRPr="00DA215F" w:rsidRDefault="009A7E87" w:rsidP="00F2167D">
            <w:pPr>
              <w:pStyle w:val="Tabletext"/>
              <w:jc w:val="center"/>
            </w:pPr>
            <w:r>
              <w:t>(0.07, 0.29), &lt;0.001</w:t>
            </w:r>
          </w:p>
        </w:tc>
        <w:tc>
          <w:tcPr>
            <w:tcW w:w="2547" w:type="dxa"/>
            <w:gridSpan w:val="2"/>
            <w:vAlign w:val="center"/>
          </w:tcPr>
          <w:p w14:paraId="401D89D2" w14:textId="77777777" w:rsidR="009A7E87" w:rsidRDefault="009A7E87">
            <w:pPr>
              <w:pStyle w:val="Tabletext"/>
              <w:jc w:val="center"/>
            </w:pPr>
            <w:r>
              <w:t>0.09</w:t>
            </w:r>
          </w:p>
          <w:p w14:paraId="6F08E8F5" w14:textId="7CF2381C" w:rsidR="009A7E87" w:rsidRPr="007C33FD" w:rsidRDefault="009A7E87" w:rsidP="00F2167D">
            <w:pPr>
              <w:pStyle w:val="Tabletext"/>
              <w:jc w:val="center"/>
            </w:pPr>
            <w:r>
              <w:t>(0.04, 0.18) &lt;0.001*</w:t>
            </w:r>
          </w:p>
        </w:tc>
        <w:tc>
          <w:tcPr>
            <w:tcW w:w="2548" w:type="dxa"/>
            <w:gridSpan w:val="2"/>
            <w:vAlign w:val="center"/>
          </w:tcPr>
          <w:p w14:paraId="39000DCA" w14:textId="77777777" w:rsidR="009A7E87" w:rsidRDefault="009A7E87" w:rsidP="009A7E87">
            <w:pPr>
              <w:pStyle w:val="Tabletext"/>
              <w:jc w:val="center"/>
            </w:pPr>
            <w:r>
              <w:t>0.31</w:t>
            </w:r>
          </w:p>
          <w:p w14:paraId="25A4F316" w14:textId="407EDD23" w:rsidR="009A7E87" w:rsidRPr="007C33FD" w:rsidRDefault="009A7E87" w:rsidP="00F2167D">
            <w:pPr>
              <w:pStyle w:val="Tabletext"/>
              <w:jc w:val="center"/>
            </w:pPr>
            <w:r>
              <w:t>(0.07, 1.36), 0.12*</w:t>
            </w:r>
          </w:p>
        </w:tc>
      </w:tr>
    </w:tbl>
    <w:p w14:paraId="4B483986" w14:textId="1EBE020E" w:rsidR="009A7E87" w:rsidRDefault="009A7E87" w:rsidP="00CF19A2">
      <w:pPr>
        <w:pStyle w:val="FootnoteText"/>
        <w:rPr>
          <w:lang w:val="en-GB"/>
        </w:rPr>
      </w:pPr>
      <w:r>
        <w:rPr>
          <w:lang w:val="en-GB"/>
        </w:rPr>
        <w:t>*</w:t>
      </w:r>
      <w:proofErr w:type="gramStart"/>
      <w:r>
        <w:rPr>
          <w:lang w:val="en-GB"/>
        </w:rPr>
        <w:t>nominal</w:t>
      </w:r>
      <w:proofErr w:type="gramEnd"/>
      <w:r>
        <w:rPr>
          <w:lang w:val="en-GB"/>
        </w:rPr>
        <w:t xml:space="preserve"> p-values (not alpha-controlled)</w:t>
      </w:r>
    </w:p>
    <w:p w14:paraId="54A13321" w14:textId="5F26018A" w:rsidR="007C33FD" w:rsidRPr="007C33FD" w:rsidRDefault="0021706B" w:rsidP="00CF19A2">
      <w:pPr>
        <w:pStyle w:val="FootnoteText"/>
        <w:rPr>
          <w:lang w:val="en-GB"/>
        </w:rPr>
      </w:pPr>
      <w:r>
        <w:rPr>
          <w:lang w:val="en-GB"/>
        </w:rPr>
        <w:t xml:space="preserve">CI = confidence interval; </w:t>
      </w:r>
      <w:r w:rsidR="007C33FD" w:rsidRPr="007C33FD">
        <w:rPr>
          <w:lang w:val="en-GB"/>
        </w:rPr>
        <w:t xml:space="preserve">HAwI </w:t>
      </w:r>
      <w:r w:rsidR="00A72B9C">
        <w:rPr>
          <w:lang w:val="en-GB"/>
        </w:rPr>
        <w:t xml:space="preserve">= </w:t>
      </w:r>
      <w:r w:rsidR="007C33FD" w:rsidRPr="007C33FD">
        <w:rPr>
          <w:lang w:val="en-GB"/>
        </w:rPr>
        <w:t xml:space="preserve">Haemophilia A with inhibitors; HBwI </w:t>
      </w:r>
      <w:r w:rsidR="00A72B9C">
        <w:rPr>
          <w:lang w:val="en-GB"/>
        </w:rPr>
        <w:t>=</w:t>
      </w:r>
      <w:r w:rsidR="007C33FD" w:rsidRPr="007C33FD">
        <w:rPr>
          <w:lang w:val="en-GB"/>
        </w:rPr>
        <w:t xml:space="preserve"> Haemophilia B with inhibitors; ABR </w:t>
      </w:r>
      <w:r w:rsidR="00A72B9C">
        <w:rPr>
          <w:lang w:val="en-GB"/>
        </w:rPr>
        <w:t>=</w:t>
      </w:r>
      <w:r w:rsidR="007C33FD" w:rsidRPr="007C33FD">
        <w:rPr>
          <w:lang w:val="en-GB"/>
        </w:rPr>
        <w:t xml:space="preserve"> Annualised bleeding rate;</w:t>
      </w:r>
      <w:r w:rsidR="00A72B9C">
        <w:rPr>
          <w:lang w:val="en-GB"/>
        </w:rPr>
        <w:t xml:space="preserve"> </w:t>
      </w:r>
      <w:proofErr w:type="spellStart"/>
      <w:r w:rsidR="00A72B9C">
        <w:rPr>
          <w:lang w:val="en-GB"/>
        </w:rPr>
        <w:t>O</w:t>
      </w:r>
      <w:r w:rsidR="00C56ED5">
        <w:rPr>
          <w:lang w:val="en-GB"/>
        </w:rPr>
        <w:t>n</w:t>
      </w:r>
      <w:r w:rsidR="00A72B9C">
        <w:rPr>
          <w:lang w:val="en-GB"/>
        </w:rPr>
        <w:t>D</w:t>
      </w:r>
      <w:proofErr w:type="spellEnd"/>
      <w:r w:rsidR="00A72B9C">
        <w:rPr>
          <w:lang w:val="en-GB"/>
        </w:rPr>
        <w:t xml:space="preserve"> = on-demand treatment (with bypassing agents)</w:t>
      </w:r>
      <w:r w:rsidR="00C56ED5">
        <w:rPr>
          <w:lang w:val="en-GB"/>
        </w:rPr>
        <w:t xml:space="preserve"> </w:t>
      </w:r>
      <w:proofErr w:type="gramStart"/>
      <w:r w:rsidR="00C56ED5">
        <w:rPr>
          <w:lang w:val="en-GB"/>
        </w:rPr>
        <w:t>i.e.</w:t>
      </w:r>
      <w:proofErr w:type="gramEnd"/>
      <w:r w:rsidR="00C56ED5">
        <w:rPr>
          <w:lang w:val="en-GB"/>
        </w:rPr>
        <w:t xml:space="preserve"> no prophylaxis</w:t>
      </w:r>
      <w:r w:rsidR="00A72B9C">
        <w:rPr>
          <w:lang w:val="en-GB"/>
        </w:rPr>
        <w:t>.</w:t>
      </w:r>
      <w:r w:rsidR="00A72B9C" w:rsidRPr="007C33FD" w:rsidDel="00A72B9C">
        <w:rPr>
          <w:lang w:val="en-GB"/>
        </w:rPr>
        <w:t xml:space="preserve"> </w:t>
      </w:r>
    </w:p>
    <w:p w14:paraId="47335EF7" w14:textId="5015F9EA" w:rsidR="007C33FD" w:rsidRPr="007C33FD" w:rsidRDefault="007C33FD" w:rsidP="00CF19A2">
      <w:pPr>
        <w:pStyle w:val="FootnoteText"/>
        <w:rPr>
          <w:lang w:val="en-GB"/>
        </w:rPr>
      </w:pPr>
    </w:p>
    <w:p w14:paraId="4CA133B2" w14:textId="77777777" w:rsidR="00CF19A2" w:rsidRPr="00CF19A2" w:rsidRDefault="00CF19A2" w:rsidP="00CF19A2">
      <w:pPr>
        <w:pStyle w:val="BodyText"/>
        <w:rPr>
          <w:u w:val="single"/>
          <w:lang w:val="en-GB"/>
        </w:rPr>
      </w:pPr>
      <w:r w:rsidRPr="00CF19A2">
        <w:rPr>
          <w:u w:val="single"/>
          <w:lang w:val="en-GB"/>
        </w:rPr>
        <w:t>Immunogenicity</w:t>
      </w:r>
    </w:p>
    <w:p w14:paraId="5F4911C6" w14:textId="6D458D65" w:rsidR="00CF19A2" w:rsidRPr="00CF19A2" w:rsidRDefault="00BE5B2D" w:rsidP="007A7D57">
      <w:pPr>
        <w:pStyle w:val="BodyText"/>
        <w:rPr>
          <w:lang w:val="en-GB"/>
        </w:rPr>
      </w:pPr>
      <w:r>
        <w:rPr>
          <w:lang w:val="en-GB"/>
        </w:rPr>
        <w:t>In clinical studies</w:t>
      </w:r>
      <w:r w:rsidR="00CF19A2" w:rsidRPr="00CF19A2">
        <w:rPr>
          <w:lang w:val="en-GB"/>
        </w:rPr>
        <w:t xml:space="preserve">, 47 out of 185 of concizumab treated patients (25%) </w:t>
      </w:r>
      <w:r>
        <w:rPr>
          <w:lang w:val="en-GB"/>
        </w:rPr>
        <w:t xml:space="preserve">who were tested had </w:t>
      </w:r>
      <w:r w:rsidR="00CF19A2" w:rsidRPr="00CF19A2">
        <w:rPr>
          <w:lang w:val="en-GB"/>
        </w:rPr>
        <w:t xml:space="preserve">developed anti-concizumab </w:t>
      </w:r>
      <w:r>
        <w:rPr>
          <w:lang w:val="en-GB"/>
        </w:rPr>
        <w:t xml:space="preserve">anti-drug </w:t>
      </w:r>
      <w:r w:rsidR="00CF19A2" w:rsidRPr="00CF19A2">
        <w:rPr>
          <w:lang w:val="en-GB"/>
        </w:rPr>
        <w:t>antibodies</w:t>
      </w:r>
      <w:r>
        <w:rPr>
          <w:lang w:val="en-GB"/>
        </w:rPr>
        <w:t xml:space="preserve"> (ADA)</w:t>
      </w:r>
      <w:r w:rsidR="00CF19A2" w:rsidRPr="00CF19A2">
        <w:rPr>
          <w:lang w:val="en-GB"/>
        </w:rPr>
        <w:t xml:space="preserve">. </w:t>
      </w:r>
      <w:r>
        <w:rPr>
          <w:lang w:val="en-GB"/>
        </w:rPr>
        <w:t>ADA were neutralising in 12 patients (6.5</w:t>
      </w:r>
      <w:r w:rsidR="0021706B">
        <w:rPr>
          <w:lang w:val="en-GB"/>
        </w:rPr>
        <w:t>%). O</w:t>
      </w:r>
      <w:r w:rsidR="0021706B" w:rsidRPr="0021706B">
        <w:rPr>
          <w:lang w:val="en-GB"/>
        </w:rPr>
        <w:t xml:space="preserve">ne patient </w:t>
      </w:r>
      <w:r w:rsidR="0021706B">
        <w:rPr>
          <w:lang w:val="en-GB"/>
        </w:rPr>
        <w:t xml:space="preserve">with neutralising antibodies </w:t>
      </w:r>
      <w:r w:rsidR="0021706B" w:rsidRPr="0021706B">
        <w:rPr>
          <w:lang w:val="en-GB"/>
        </w:rPr>
        <w:t xml:space="preserve">permanently discontinued therapy, </w:t>
      </w:r>
      <w:r w:rsidR="0021706B">
        <w:rPr>
          <w:lang w:val="en-GB"/>
        </w:rPr>
        <w:t xml:space="preserve">as </w:t>
      </w:r>
      <w:r w:rsidR="0021706B" w:rsidRPr="0021706B">
        <w:rPr>
          <w:lang w:val="en-GB"/>
        </w:rPr>
        <w:t xml:space="preserve">free TFPI levels </w:t>
      </w:r>
      <w:r w:rsidR="0021706B">
        <w:rPr>
          <w:lang w:val="en-GB"/>
        </w:rPr>
        <w:t>returned</w:t>
      </w:r>
      <w:r w:rsidR="0021706B" w:rsidRPr="0021706B">
        <w:rPr>
          <w:lang w:val="en-GB"/>
        </w:rPr>
        <w:t xml:space="preserve"> to </w:t>
      </w:r>
      <w:proofErr w:type="gramStart"/>
      <w:r w:rsidR="0021706B" w:rsidRPr="0021706B">
        <w:rPr>
          <w:lang w:val="en-GB"/>
        </w:rPr>
        <w:t>baseline</w:t>
      </w:r>
      <w:proofErr w:type="gramEnd"/>
      <w:r w:rsidR="0021706B" w:rsidRPr="0021706B">
        <w:rPr>
          <w:lang w:val="en-GB"/>
        </w:rPr>
        <w:t xml:space="preserve"> </w:t>
      </w:r>
      <w:r w:rsidR="0021706B">
        <w:rPr>
          <w:lang w:val="en-GB"/>
        </w:rPr>
        <w:t>and it was considered likely</w:t>
      </w:r>
      <w:r w:rsidR="0021706B" w:rsidRPr="0021706B">
        <w:rPr>
          <w:lang w:val="en-GB"/>
        </w:rPr>
        <w:t xml:space="preserve"> that the effectiveness </w:t>
      </w:r>
      <w:r w:rsidR="0021706B">
        <w:rPr>
          <w:lang w:val="en-GB"/>
        </w:rPr>
        <w:t xml:space="preserve">of </w:t>
      </w:r>
      <w:r w:rsidR="0021706B" w:rsidRPr="0021706B">
        <w:rPr>
          <w:lang w:val="en-GB"/>
        </w:rPr>
        <w:t xml:space="preserve">concizumab was </w:t>
      </w:r>
      <w:r w:rsidR="0021706B">
        <w:rPr>
          <w:lang w:val="en-GB"/>
        </w:rPr>
        <w:t>compromised</w:t>
      </w:r>
      <w:r w:rsidR="0021706B" w:rsidRPr="0021706B">
        <w:rPr>
          <w:lang w:val="en-GB"/>
        </w:rPr>
        <w:t>.</w:t>
      </w:r>
      <w:r w:rsidR="007A7D57">
        <w:rPr>
          <w:lang w:val="en-GB"/>
        </w:rPr>
        <w:t xml:space="preserve"> </w:t>
      </w:r>
      <w:r w:rsidR="0021706B">
        <w:rPr>
          <w:lang w:val="en-GB"/>
        </w:rPr>
        <w:t>R</w:t>
      </w:r>
      <w:r w:rsidR="007A7D57" w:rsidRPr="00F2167D">
        <w:rPr>
          <w:lang w:val="en-GB"/>
        </w:rPr>
        <w:t xml:space="preserve">eduction of effectiveness of </w:t>
      </w:r>
      <w:r w:rsidR="00525272" w:rsidRPr="00F2167D">
        <w:rPr>
          <w:lang w:val="en-GB"/>
        </w:rPr>
        <w:t>concizumab</w:t>
      </w:r>
      <w:r w:rsidR="007A7D57" w:rsidRPr="00F2167D">
        <w:rPr>
          <w:lang w:val="en-GB"/>
        </w:rPr>
        <w:t xml:space="preserve"> </w:t>
      </w:r>
      <w:r w:rsidR="0021706B">
        <w:rPr>
          <w:lang w:val="en-GB"/>
        </w:rPr>
        <w:t xml:space="preserve">in association with anti-concizumab antibodies </w:t>
      </w:r>
      <w:r w:rsidR="007A7D57" w:rsidRPr="00F2167D">
        <w:rPr>
          <w:lang w:val="en-GB"/>
        </w:rPr>
        <w:t>was reported</w:t>
      </w:r>
      <w:r w:rsidR="0021706B">
        <w:rPr>
          <w:lang w:val="en-GB"/>
        </w:rPr>
        <w:t xml:space="preserve"> in a second patient </w:t>
      </w:r>
      <w:r w:rsidR="0021706B" w:rsidRPr="00341E9F">
        <w:rPr>
          <w:lang w:val="en-GB"/>
        </w:rPr>
        <w:t>in a compassionate use program</w:t>
      </w:r>
      <w:r w:rsidR="00525272" w:rsidRPr="00F2167D">
        <w:rPr>
          <w:lang w:val="en-GB"/>
        </w:rPr>
        <w:t>.</w:t>
      </w:r>
      <w:r w:rsidR="0021706B" w:rsidRPr="0021706B">
        <w:rPr>
          <w:lang w:val="en-GB"/>
        </w:rPr>
        <w:t xml:space="preserve"> </w:t>
      </w:r>
    </w:p>
    <w:p w14:paraId="6C95EFDE" w14:textId="2A8348BB" w:rsidR="001A3992" w:rsidRPr="006570D4" w:rsidRDefault="001A3992" w:rsidP="00EB541D">
      <w:pPr>
        <w:pStyle w:val="Heading2-TNR"/>
      </w:pPr>
      <w:bookmarkStart w:id="52" w:name="_Ref109218705"/>
      <w:r w:rsidRPr="006570D4">
        <w:t>Pharmacokinetic properties</w:t>
      </w:r>
      <w:bookmarkEnd w:id="52"/>
      <w:r w:rsidR="002A5BE6" w:rsidRPr="006570D4">
        <w:fldChar w:fldCharType="begin"/>
      </w:r>
      <w:r w:rsidR="002A5BE6" w:rsidRPr="006570D4">
        <w:instrText xml:space="preserve"> DOCVARIABLE VAULT_ND_a5811a76-26b8-4844-b3b6-32ce1a356e0c \* MERGEFORMAT </w:instrText>
      </w:r>
      <w:r w:rsidR="002A5BE6" w:rsidRPr="006570D4">
        <w:fldChar w:fldCharType="separate"/>
      </w:r>
      <w:r w:rsidR="00A8319D">
        <w:t xml:space="preserve"> </w:t>
      </w:r>
      <w:r w:rsidR="002A5BE6" w:rsidRPr="006570D4">
        <w:fldChar w:fldCharType="end"/>
      </w:r>
    </w:p>
    <w:p w14:paraId="2419A6C2" w14:textId="7158BC95" w:rsidR="00E10AD1" w:rsidRPr="00E10AD1" w:rsidRDefault="0021706B" w:rsidP="00E10AD1">
      <w:pPr>
        <w:pStyle w:val="BodyText"/>
        <w:rPr>
          <w:lang w:val="en-GB"/>
        </w:rPr>
      </w:pPr>
      <w:bookmarkStart w:id="53" w:name="_Hlk73343915"/>
      <w:r>
        <w:rPr>
          <w:lang w:val="en-GB"/>
        </w:rPr>
        <w:t>S</w:t>
      </w:r>
      <w:r w:rsidR="00E10AD1" w:rsidRPr="00E10AD1">
        <w:rPr>
          <w:lang w:val="en-GB"/>
        </w:rPr>
        <w:t xml:space="preserve">ystemic exposure to concizumab </w:t>
      </w:r>
      <w:r>
        <w:rPr>
          <w:lang w:val="en-GB"/>
        </w:rPr>
        <w:t>(</w:t>
      </w:r>
      <w:r w:rsidR="00E10AD1" w:rsidRPr="00E10AD1">
        <w:rPr>
          <w:lang w:val="en-GB"/>
        </w:rPr>
        <w:t>AUC and C</w:t>
      </w:r>
      <w:r w:rsidR="00E10AD1" w:rsidRPr="00E10AD1">
        <w:rPr>
          <w:vertAlign w:val="subscript"/>
          <w:lang w:val="en-GB"/>
        </w:rPr>
        <w:t>max</w:t>
      </w:r>
      <w:r>
        <w:rPr>
          <w:lang w:val="en-GB"/>
        </w:rPr>
        <w:t>)</w:t>
      </w:r>
      <w:r w:rsidR="00E10AD1" w:rsidRPr="00E10AD1">
        <w:rPr>
          <w:lang w:val="en-GB"/>
        </w:rPr>
        <w:t xml:space="preserve"> increased with increasing dose in a greater than dose-proportional manner. This non-linear pharmacokinetic behaviour is caused by target-mediated drug disposition (TMDD) which occurs when concizumab binds to </w:t>
      </w:r>
      <w:bookmarkStart w:id="54" w:name="_Hlk73345447"/>
      <w:r w:rsidR="00E10AD1" w:rsidRPr="00E10AD1">
        <w:rPr>
          <w:lang w:val="en-GB"/>
        </w:rPr>
        <w:t>endothelial cell-anchored TFPI</w:t>
      </w:r>
      <w:bookmarkEnd w:id="54"/>
      <w:r w:rsidR="00E10AD1" w:rsidRPr="00E10AD1">
        <w:rPr>
          <w:lang w:val="en-GB"/>
        </w:rPr>
        <w:t xml:space="preserve"> with subsequent elimination of the drug-target complex. This is a saturable process and the extent of concizumab elimination by TMDD is determined by </w:t>
      </w:r>
      <w:r w:rsidR="00E10AD1" w:rsidRPr="00E10AD1">
        <w:rPr>
          <w:lang w:val="en-GB"/>
        </w:rPr>
        <w:lastRenderedPageBreak/>
        <w:t xml:space="preserve">the amount of endothelial </w:t>
      </w:r>
      <w:proofErr w:type="gramStart"/>
      <w:r w:rsidR="00E10AD1" w:rsidRPr="00E10AD1">
        <w:rPr>
          <w:lang w:val="en-GB"/>
        </w:rPr>
        <w:t>cell-anchored</w:t>
      </w:r>
      <w:proofErr w:type="gramEnd"/>
      <w:r w:rsidR="00E10AD1" w:rsidRPr="00E10AD1">
        <w:rPr>
          <w:lang w:val="en-GB"/>
        </w:rPr>
        <w:t xml:space="preserve"> TFPI. </w:t>
      </w:r>
      <w:bookmarkEnd w:id="53"/>
      <w:r w:rsidR="00E10AD1" w:rsidRPr="00E10AD1">
        <w:rPr>
          <w:lang w:val="en-GB"/>
        </w:rPr>
        <w:t xml:space="preserve">This results in a fast elimination/high clearance being dominant at low concizumab concentrations (non-linear pathway) and a slower elimination/lower clearance being dominant at higher concizumab concentrations (linear pathway). </w:t>
      </w:r>
    </w:p>
    <w:p w14:paraId="346DCFA0" w14:textId="7447A473" w:rsidR="00E10AD1" w:rsidRPr="00E10AD1" w:rsidRDefault="0021706B" w:rsidP="00E10AD1">
      <w:pPr>
        <w:pStyle w:val="BodyText"/>
        <w:rPr>
          <w:lang w:val="en-GB"/>
        </w:rPr>
      </w:pPr>
      <w:r>
        <w:rPr>
          <w:lang w:val="en-GB"/>
        </w:rPr>
        <w:t>C</w:t>
      </w:r>
      <w:r w:rsidR="00E10AD1" w:rsidRPr="00E10AD1">
        <w:rPr>
          <w:lang w:val="en-GB"/>
        </w:rPr>
        <w:t>oncizumab exposure was similar between haemophilia A and B with inhibitors.</w:t>
      </w:r>
    </w:p>
    <w:p w14:paraId="1AB2D1A1" w14:textId="06C72051" w:rsidR="00E10AD1" w:rsidRPr="00E10AD1" w:rsidRDefault="00E10AD1" w:rsidP="00E10AD1">
      <w:pPr>
        <w:pStyle w:val="BodyText"/>
        <w:rPr>
          <w:b/>
          <w:bCs/>
          <w:lang w:val="en-GB"/>
        </w:rPr>
      </w:pPr>
      <w:r w:rsidRPr="00E10AD1">
        <w:rPr>
          <w:lang w:val="en-GB"/>
        </w:rPr>
        <w:t xml:space="preserve">Geometric mean steady state concizumab concentrations are shown in </w:t>
      </w:r>
      <w:r w:rsidR="00DE64A2" w:rsidRPr="00E10AD1">
        <w:rPr>
          <w:lang w:val="en-GB"/>
        </w:rPr>
        <w:fldChar w:fldCharType="begin"/>
      </w:r>
      <w:r w:rsidR="00DE64A2" w:rsidRPr="00E10AD1">
        <w:rPr>
          <w:lang w:val="en-GB"/>
        </w:rPr>
        <w:instrText xml:space="preserve"> REF _Ref94877542 \h  \* MERGEFORMAT </w:instrText>
      </w:r>
      <w:r w:rsidR="00DE64A2" w:rsidRPr="00E10AD1">
        <w:rPr>
          <w:lang w:val="en-GB"/>
        </w:rPr>
      </w:r>
      <w:r w:rsidR="00DE64A2" w:rsidRPr="00E10AD1">
        <w:rPr>
          <w:lang w:val="en-GB"/>
        </w:rPr>
        <w:fldChar w:fldCharType="separate"/>
      </w:r>
      <w:r w:rsidR="00A8319D" w:rsidRPr="00E10AD1">
        <w:rPr>
          <w:lang w:val="en-GB"/>
        </w:rPr>
        <w:t xml:space="preserve">Table </w:t>
      </w:r>
      <w:r w:rsidR="00A8319D">
        <w:rPr>
          <w:noProof/>
          <w:lang w:val="en-GB"/>
        </w:rPr>
        <w:t>5</w:t>
      </w:r>
      <w:r w:rsidR="00DE64A2" w:rsidRPr="00E10AD1">
        <w:fldChar w:fldCharType="end"/>
      </w:r>
      <w:r w:rsidRPr="00E10AD1">
        <w:rPr>
          <w:lang w:val="en-GB"/>
        </w:rPr>
        <w:t>.</w:t>
      </w:r>
      <w:r w:rsidRPr="00E10AD1">
        <w:rPr>
          <w:b/>
          <w:bCs/>
          <w:i/>
          <w:iCs/>
          <w:lang w:val="en-GB"/>
        </w:rPr>
        <w:fldChar w:fldCharType="begin"/>
      </w:r>
      <w:r w:rsidRPr="00E10AD1">
        <w:rPr>
          <w:b/>
          <w:bCs/>
          <w:i/>
          <w:iCs/>
          <w:lang w:val="en-GB"/>
        </w:rPr>
        <w:instrText xml:space="preserve"> DOCVARIABLE vault_nd_d72cf41f-a89f-4af6-a464-8dcf76856c37 \* MERGEFORMAT </w:instrText>
      </w:r>
      <w:r w:rsidRPr="00E10AD1">
        <w:rPr>
          <w:b/>
          <w:bCs/>
          <w:i/>
          <w:iCs/>
          <w:lang w:val="en-GB"/>
        </w:rPr>
        <w:fldChar w:fldCharType="separate"/>
      </w:r>
      <w:r w:rsidR="00A8319D">
        <w:rPr>
          <w:b/>
          <w:bCs/>
          <w:i/>
          <w:iCs/>
          <w:lang w:val="en-GB"/>
        </w:rPr>
        <w:t xml:space="preserve"> </w:t>
      </w:r>
      <w:r w:rsidRPr="00E10AD1">
        <w:fldChar w:fldCharType="end"/>
      </w:r>
    </w:p>
    <w:p w14:paraId="5920DFD5" w14:textId="5B07A13C" w:rsidR="00E10AD1" w:rsidRPr="00E10AD1" w:rsidRDefault="00E10AD1" w:rsidP="00E10AD1">
      <w:pPr>
        <w:pStyle w:val="Caption"/>
        <w:rPr>
          <w:lang w:val="en-GB"/>
        </w:rPr>
      </w:pPr>
      <w:bookmarkStart w:id="55" w:name="_Ref94877542"/>
      <w:r w:rsidRPr="00E10AD1">
        <w:rPr>
          <w:lang w:val="en-GB"/>
        </w:rPr>
        <w:t xml:space="preserve">Table </w:t>
      </w:r>
      <w:r w:rsidR="00425C57">
        <w:rPr>
          <w:lang w:val="en-GB"/>
        </w:rPr>
        <w:fldChar w:fldCharType="begin"/>
      </w:r>
      <w:r w:rsidR="00425C57">
        <w:rPr>
          <w:lang w:val="en-GB"/>
        </w:rPr>
        <w:instrText xml:space="preserve"> SEQ Table \* ARABIC </w:instrText>
      </w:r>
      <w:r w:rsidR="00425C57">
        <w:rPr>
          <w:lang w:val="en-GB"/>
        </w:rPr>
        <w:fldChar w:fldCharType="separate"/>
      </w:r>
      <w:r w:rsidR="00A8319D">
        <w:rPr>
          <w:noProof/>
          <w:lang w:val="en-GB"/>
        </w:rPr>
        <w:t>5</w:t>
      </w:r>
      <w:r w:rsidR="00425C57">
        <w:rPr>
          <w:lang w:val="en-GB"/>
        </w:rPr>
        <w:fldChar w:fldCharType="end"/>
      </w:r>
      <w:bookmarkEnd w:id="55"/>
      <w:r w:rsidRPr="00E10AD1">
        <w:rPr>
          <w:lang w:val="en-GB"/>
        </w:rPr>
        <w:t xml:space="preserve"> </w:t>
      </w:r>
      <w:r w:rsidRPr="00E10AD1">
        <w:rPr>
          <w:lang w:val="en-GB"/>
        </w:rPr>
        <w:tab/>
        <w:t>Steady</w:t>
      </w:r>
      <w:r w:rsidR="00DA215F">
        <w:rPr>
          <w:lang w:val="en-GB"/>
        </w:rPr>
        <w:t>-</w:t>
      </w:r>
      <w:r w:rsidRPr="00E10AD1">
        <w:rPr>
          <w:lang w:val="en-GB"/>
        </w:rPr>
        <w:t>state concizumab concentrations during 24 hours dosing interval at week 24 (explorer7).</w:t>
      </w:r>
      <w:r w:rsidRPr="00E10AD1">
        <w:rPr>
          <w:lang w:val="en-GB"/>
        </w:rPr>
        <w:fldChar w:fldCharType="begin"/>
      </w:r>
      <w:r w:rsidRPr="00E10AD1">
        <w:rPr>
          <w:lang w:val="en-GB"/>
        </w:rPr>
        <w:instrText xml:space="preserve"> DOCVARIABLE vault_nd_3d032873-9450-4280-883e-5ad0662e37b6 \* MERGEFORMAT </w:instrText>
      </w:r>
      <w:r w:rsidRPr="00E10AD1">
        <w:rPr>
          <w:lang w:val="en-GB"/>
        </w:rPr>
        <w:fldChar w:fldCharType="separate"/>
      </w:r>
      <w:r w:rsidR="00A8319D">
        <w:rPr>
          <w:lang w:val="en-GB"/>
        </w:rPr>
        <w:t xml:space="preserve"> </w:t>
      </w:r>
      <w:r w:rsidRPr="00E10AD1">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10"/>
      </w:tblGrid>
      <w:tr w:rsidR="00E10AD1" w:rsidRPr="00E10AD1" w14:paraId="7EEFD55F" w14:textId="77777777" w:rsidTr="00E10AD1">
        <w:tc>
          <w:tcPr>
            <w:tcW w:w="2499" w:type="pct"/>
          </w:tcPr>
          <w:p w14:paraId="5D37E01E" w14:textId="77777777" w:rsidR="00E10AD1" w:rsidRPr="00E10AD1" w:rsidRDefault="00E10AD1" w:rsidP="00E10AD1">
            <w:pPr>
              <w:pStyle w:val="Tabletext"/>
              <w:rPr>
                <w:b/>
                <w:bCs/>
              </w:rPr>
            </w:pPr>
            <w:r w:rsidRPr="00E10AD1">
              <w:rPr>
                <w:b/>
                <w:bCs/>
              </w:rPr>
              <w:t>Parameters</w:t>
            </w:r>
          </w:p>
        </w:tc>
        <w:tc>
          <w:tcPr>
            <w:tcW w:w="2501" w:type="pct"/>
          </w:tcPr>
          <w:p w14:paraId="439DD4C3" w14:textId="77777777" w:rsidR="00E10AD1" w:rsidRPr="00E10AD1" w:rsidRDefault="00E10AD1" w:rsidP="00FF16D2">
            <w:pPr>
              <w:pStyle w:val="Tabletext"/>
              <w:jc w:val="center"/>
              <w:rPr>
                <w:b/>
                <w:bCs/>
                <w:lang w:val="fr-FR"/>
              </w:rPr>
            </w:pPr>
            <w:r w:rsidRPr="00E10AD1">
              <w:rPr>
                <w:b/>
                <w:bCs/>
                <w:lang w:val="fr-FR"/>
              </w:rPr>
              <w:t>All maintenance doses</w:t>
            </w:r>
          </w:p>
          <w:p w14:paraId="18F80BF8" w14:textId="77777777" w:rsidR="00E10AD1" w:rsidRPr="00E10AD1" w:rsidRDefault="00E10AD1" w:rsidP="00FF16D2">
            <w:pPr>
              <w:pStyle w:val="Tabletext"/>
              <w:jc w:val="center"/>
              <w:rPr>
                <w:b/>
                <w:bCs/>
                <w:lang w:val="fr-FR"/>
              </w:rPr>
            </w:pPr>
            <w:r w:rsidRPr="00E10AD1">
              <w:rPr>
                <w:b/>
                <w:bCs/>
                <w:lang w:val="fr-FR"/>
              </w:rPr>
              <w:t>N=99*</w:t>
            </w:r>
          </w:p>
        </w:tc>
      </w:tr>
      <w:tr w:rsidR="00E10AD1" w:rsidRPr="00E10AD1" w14:paraId="1CEC46BB" w14:textId="77777777" w:rsidTr="00E10AD1">
        <w:tc>
          <w:tcPr>
            <w:tcW w:w="2499" w:type="pct"/>
          </w:tcPr>
          <w:p w14:paraId="51D9AB20" w14:textId="77777777" w:rsidR="00E10AD1" w:rsidRPr="00E10AD1" w:rsidRDefault="00E10AD1" w:rsidP="00E10AD1">
            <w:pPr>
              <w:pStyle w:val="Tabletext"/>
            </w:pPr>
            <w:proofErr w:type="spellStart"/>
            <w:proofErr w:type="gramStart"/>
            <w:r w:rsidRPr="00E10AD1">
              <w:t>C</w:t>
            </w:r>
            <w:r w:rsidRPr="00DD7F81">
              <w:rPr>
                <w:vertAlign w:val="subscript"/>
              </w:rPr>
              <w:t>max,ss</w:t>
            </w:r>
            <w:proofErr w:type="spellEnd"/>
            <w:proofErr w:type="gramEnd"/>
            <w:r w:rsidRPr="00E10AD1">
              <w:rPr>
                <w:vertAlign w:val="subscript"/>
              </w:rPr>
              <w:t xml:space="preserve"> </w:t>
            </w:r>
            <w:bookmarkStart w:id="56" w:name="_Hlk88830927"/>
            <w:r w:rsidRPr="00E10AD1">
              <w:t>(ng/mL), geometric mean (CV)</w:t>
            </w:r>
            <w:bookmarkEnd w:id="56"/>
          </w:p>
        </w:tc>
        <w:tc>
          <w:tcPr>
            <w:tcW w:w="2501" w:type="pct"/>
          </w:tcPr>
          <w:p w14:paraId="2686D028" w14:textId="7522D01B" w:rsidR="00E10AD1" w:rsidRPr="00E10AD1" w:rsidRDefault="00E10AD1" w:rsidP="00FF16D2">
            <w:pPr>
              <w:pStyle w:val="Tabletext"/>
              <w:jc w:val="center"/>
            </w:pPr>
            <w:r w:rsidRPr="00E10AD1">
              <w:t>1167.1 (1.3</w:t>
            </w:r>
            <w:r w:rsidR="00DA215F">
              <w:t>%</w:t>
            </w:r>
            <w:r w:rsidRPr="00E10AD1">
              <w:t>)</w:t>
            </w:r>
          </w:p>
        </w:tc>
      </w:tr>
      <w:tr w:rsidR="00E10AD1" w:rsidRPr="00E10AD1" w14:paraId="49C9D26A" w14:textId="77777777" w:rsidTr="00E10AD1">
        <w:tc>
          <w:tcPr>
            <w:tcW w:w="2499" w:type="pct"/>
          </w:tcPr>
          <w:p w14:paraId="2F623041" w14:textId="77777777" w:rsidR="00E10AD1" w:rsidRPr="00E10AD1" w:rsidRDefault="00E10AD1" w:rsidP="00E10AD1">
            <w:pPr>
              <w:pStyle w:val="Tabletext"/>
              <w:rPr>
                <w:vertAlign w:val="subscript"/>
              </w:rPr>
            </w:pPr>
            <w:proofErr w:type="spellStart"/>
            <w:proofErr w:type="gramStart"/>
            <w:r w:rsidRPr="00E10AD1">
              <w:t>C</w:t>
            </w:r>
            <w:r w:rsidRPr="00DD7F81">
              <w:rPr>
                <w:vertAlign w:val="subscript"/>
              </w:rPr>
              <w:t>trough,ss</w:t>
            </w:r>
            <w:proofErr w:type="spellEnd"/>
            <w:proofErr w:type="gramEnd"/>
            <w:r w:rsidRPr="00E10AD1">
              <w:t xml:space="preserve"> (ng/mL), geometric mean (CV)</w:t>
            </w:r>
          </w:p>
        </w:tc>
        <w:tc>
          <w:tcPr>
            <w:tcW w:w="2501" w:type="pct"/>
          </w:tcPr>
          <w:p w14:paraId="64E1E98E" w14:textId="53968109" w:rsidR="00E10AD1" w:rsidRPr="00E10AD1" w:rsidRDefault="00E10AD1" w:rsidP="00FF16D2">
            <w:pPr>
              <w:pStyle w:val="Tabletext"/>
              <w:jc w:val="center"/>
            </w:pPr>
            <w:r w:rsidRPr="00E10AD1">
              <w:t>665.4 (2.2</w:t>
            </w:r>
            <w:r w:rsidR="00DA215F">
              <w:t>%</w:t>
            </w:r>
            <w:r w:rsidRPr="00E10AD1">
              <w:t>)</w:t>
            </w:r>
          </w:p>
        </w:tc>
      </w:tr>
      <w:tr w:rsidR="00E10AD1" w:rsidRPr="00E10AD1" w14:paraId="21AC642D" w14:textId="77777777" w:rsidTr="00E10AD1">
        <w:tc>
          <w:tcPr>
            <w:tcW w:w="2499" w:type="pct"/>
          </w:tcPr>
          <w:p w14:paraId="5E9A0093" w14:textId="77777777" w:rsidR="00E10AD1" w:rsidRPr="00E10AD1" w:rsidRDefault="00E10AD1" w:rsidP="00E10AD1">
            <w:pPr>
              <w:pStyle w:val="Tabletext"/>
            </w:pPr>
            <w:proofErr w:type="spellStart"/>
            <w:r w:rsidRPr="00E10AD1">
              <w:t>C</w:t>
            </w:r>
            <w:r w:rsidRPr="00DD7F81">
              <w:rPr>
                <w:vertAlign w:val="subscript"/>
              </w:rPr>
              <w:t>max</w:t>
            </w:r>
            <w:proofErr w:type="spellEnd"/>
            <w:r w:rsidRPr="00E10AD1">
              <w:rPr>
                <w:vertAlign w:val="subscript"/>
              </w:rPr>
              <w:t xml:space="preserve"> </w:t>
            </w:r>
            <w:r w:rsidRPr="00E10AD1">
              <w:t xml:space="preserve">/ </w:t>
            </w:r>
            <w:proofErr w:type="spellStart"/>
            <w:r w:rsidRPr="00E10AD1">
              <w:t>C</w:t>
            </w:r>
            <w:r w:rsidRPr="00DD7F81">
              <w:rPr>
                <w:vertAlign w:val="subscript"/>
              </w:rPr>
              <w:t>trough</w:t>
            </w:r>
            <w:proofErr w:type="spellEnd"/>
            <w:r w:rsidRPr="00E10AD1">
              <w:t xml:space="preserve"> ratio, mean (SD)</w:t>
            </w:r>
          </w:p>
        </w:tc>
        <w:tc>
          <w:tcPr>
            <w:tcW w:w="2501" w:type="pct"/>
          </w:tcPr>
          <w:p w14:paraId="5514FFF6" w14:textId="77777777" w:rsidR="00E10AD1" w:rsidRPr="00E10AD1" w:rsidRDefault="00E10AD1" w:rsidP="00FF16D2">
            <w:pPr>
              <w:pStyle w:val="Tabletext"/>
              <w:jc w:val="center"/>
            </w:pPr>
            <w:r w:rsidRPr="00E10AD1">
              <w:t>2.2 (5.2)</w:t>
            </w:r>
          </w:p>
        </w:tc>
      </w:tr>
    </w:tbl>
    <w:p w14:paraId="25E084F2" w14:textId="69C783A9" w:rsidR="00E10AD1" w:rsidRPr="00E10AD1" w:rsidRDefault="00E10AD1" w:rsidP="00E10AD1">
      <w:pPr>
        <w:pStyle w:val="FootnoteText"/>
        <w:rPr>
          <w:lang w:val="en-GB"/>
        </w:rPr>
      </w:pPr>
      <w:proofErr w:type="spellStart"/>
      <w:proofErr w:type="gramStart"/>
      <w:r w:rsidRPr="00E10AD1">
        <w:rPr>
          <w:lang w:val="en-GB"/>
        </w:rPr>
        <w:t>C</w:t>
      </w:r>
      <w:r w:rsidRPr="00DD7F81">
        <w:rPr>
          <w:vertAlign w:val="subscript"/>
          <w:lang w:val="en-GB"/>
        </w:rPr>
        <w:t>max,ss</w:t>
      </w:r>
      <w:proofErr w:type="spellEnd"/>
      <w:proofErr w:type="gramEnd"/>
      <w:r w:rsidRPr="00E10AD1">
        <w:rPr>
          <w:lang w:val="en-GB"/>
        </w:rPr>
        <w:t xml:space="preserve"> = maximum plasma concentration at steady state</w:t>
      </w:r>
      <w:r w:rsidR="00DA215F">
        <w:rPr>
          <w:lang w:val="en-GB"/>
        </w:rPr>
        <w:t xml:space="preserve">; </w:t>
      </w:r>
      <w:proofErr w:type="spellStart"/>
      <w:r w:rsidRPr="00E10AD1">
        <w:rPr>
          <w:lang w:val="en-GB"/>
        </w:rPr>
        <w:t>C</w:t>
      </w:r>
      <w:r w:rsidRPr="00DD7F81">
        <w:rPr>
          <w:vertAlign w:val="subscript"/>
          <w:lang w:val="en-GB"/>
        </w:rPr>
        <w:t>trough,ss</w:t>
      </w:r>
      <w:proofErr w:type="spellEnd"/>
      <w:r w:rsidRPr="00E10AD1">
        <w:rPr>
          <w:lang w:val="en-GB"/>
        </w:rPr>
        <w:t xml:space="preserve"> = pre-dose (trough) plasma concentration at steady state.</w:t>
      </w:r>
    </w:p>
    <w:p w14:paraId="315911C1" w14:textId="3CA25991" w:rsidR="00E10AD1" w:rsidRPr="00E10AD1" w:rsidRDefault="00E10AD1" w:rsidP="00E10AD1">
      <w:pPr>
        <w:pStyle w:val="FootnoteText"/>
        <w:rPr>
          <w:lang w:val="en-GB"/>
        </w:rPr>
      </w:pPr>
      <w:r w:rsidRPr="00E10AD1">
        <w:rPr>
          <w:lang w:val="en-GB"/>
        </w:rPr>
        <w:t>*</w:t>
      </w:r>
      <w:proofErr w:type="gramStart"/>
      <w:r w:rsidRPr="00E10AD1">
        <w:rPr>
          <w:lang w:val="en-GB"/>
        </w:rPr>
        <w:t>on</w:t>
      </w:r>
      <w:proofErr w:type="gramEnd"/>
      <w:r w:rsidRPr="00E10AD1">
        <w:rPr>
          <w:lang w:val="en-GB"/>
        </w:rPr>
        <w:t xml:space="preserve"> </w:t>
      </w:r>
      <w:r w:rsidR="00D30A4F" w:rsidRPr="00D30A4F">
        <w:rPr>
          <w:lang w:val="en-GB"/>
        </w:rPr>
        <w:t>Alhemo</w:t>
      </w:r>
      <w:r w:rsidRPr="00E10AD1">
        <w:rPr>
          <w:lang w:val="en-GB"/>
        </w:rPr>
        <w:t xml:space="preserve"> dosing regimen.</w:t>
      </w:r>
    </w:p>
    <w:p w14:paraId="4F201C0C" w14:textId="26853A94" w:rsidR="0021200F" w:rsidRDefault="0021200F" w:rsidP="00B01E52">
      <w:pPr>
        <w:pStyle w:val="Heading3-TNR"/>
      </w:pPr>
      <w:r w:rsidRPr="003903B3">
        <w:t>Absorption</w:t>
      </w:r>
      <w:fldSimple w:instr="DOCVARIABLE vault_nd_e3f0841c-5f7a-491d-8f18-d682442bb384 \* MERGEFORMAT">
        <w:r w:rsidR="00A8319D">
          <w:t xml:space="preserve"> </w:t>
        </w:r>
      </w:fldSimple>
    </w:p>
    <w:p w14:paraId="347EC6D5" w14:textId="77E37277" w:rsidR="00E10AD1" w:rsidRPr="00E10AD1" w:rsidRDefault="00E10AD1" w:rsidP="00E10AD1">
      <w:pPr>
        <w:pStyle w:val="BodyText"/>
        <w:rPr>
          <w:lang w:val="en-GB"/>
        </w:rPr>
      </w:pPr>
      <w:r w:rsidRPr="00E10AD1">
        <w:rPr>
          <w:lang w:val="en-GB"/>
        </w:rPr>
        <w:t xml:space="preserve">Following a single-dose </w:t>
      </w:r>
      <w:r w:rsidR="00834E02">
        <w:rPr>
          <w:lang w:val="en-GB"/>
        </w:rPr>
        <w:t>subcutaneous</w:t>
      </w:r>
      <w:r w:rsidRPr="00E10AD1">
        <w:rPr>
          <w:lang w:val="en-GB"/>
        </w:rPr>
        <w:t xml:space="preserve"> administration of 0.05 – 3 mg/kg concizumab in healthy and haemophilia subjects, the time to maximum plasma concentration of concizumab (t</w:t>
      </w:r>
      <w:r w:rsidRPr="00E10AD1">
        <w:rPr>
          <w:vertAlign w:val="subscript"/>
          <w:lang w:val="en-GB"/>
        </w:rPr>
        <w:t>max</w:t>
      </w:r>
      <w:r w:rsidRPr="00E10AD1">
        <w:rPr>
          <w:lang w:val="en-GB"/>
        </w:rPr>
        <w:t xml:space="preserve">) was </w:t>
      </w:r>
      <w:r w:rsidR="00DA215F">
        <w:rPr>
          <w:lang w:val="en-GB"/>
        </w:rPr>
        <w:t>between 8 and</w:t>
      </w:r>
      <w:r w:rsidRPr="00E10AD1">
        <w:rPr>
          <w:lang w:val="en-GB"/>
        </w:rPr>
        <w:t xml:space="preserve"> 99 hours (4.1 days).</w:t>
      </w:r>
      <w:r w:rsidR="00DA215F">
        <w:rPr>
          <w:lang w:val="en-GB"/>
        </w:rPr>
        <w:t xml:space="preserve"> Concizumab b</w:t>
      </w:r>
      <w:r w:rsidR="00DA215F" w:rsidRPr="00DA215F">
        <w:rPr>
          <w:lang w:val="en-GB"/>
        </w:rPr>
        <w:t xml:space="preserve">ioavailability after subcutaneous administration was estimated </w:t>
      </w:r>
      <w:r w:rsidR="00DA215F">
        <w:rPr>
          <w:lang w:val="en-GB"/>
        </w:rPr>
        <w:t>to be</w:t>
      </w:r>
      <w:r w:rsidR="00DA215F" w:rsidRPr="00DA215F">
        <w:rPr>
          <w:lang w:val="en-GB"/>
        </w:rPr>
        <w:t xml:space="preserve"> 7</w:t>
      </w:r>
      <w:r w:rsidR="00DA215F">
        <w:rPr>
          <w:lang w:val="en-GB"/>
        </w:rPr>
        <w:t>8</w:t>
      </w:r>
      <w:r w:rsidR="00DA215F" w:rsidRPr="00DA215F">
        <w:rPr>
          <w:lang w:val="en-GB"/>
        </w:rPr>
        <w:t xml:space="preserve">% </w:t>
      </w:r>
      <w:r w:rsidR="00DA215F">
        <w:rPr>
          <w:lang w:val="en-GB"/>
        </w:rPr>
        <w:t>based on</w:t>
      </w:r>
      <w:r w:rsidR="00DA215F" w:rsidRPr="00DA215F">
        <w:rPr>
          <w:lang w:val="en-GB"/>
        </w:rPr>
        <w:t xml:space="preserve"> population pharmacokinetic modelling.</w:t>
      </w:r>
    </w:p>
    <w:p w14:paraId="4B01EE28" w14:textId="08F290E4" w:rsidR="00DA215F" w:rsidRDefault="00DA215F" w:rsidP="00DA215F">
      <w:pPr>
        <w:pStyle w:val="Heading3-TNR"/>
      </w:pPr>
      <w:r>
        <w:t>Distribution</w:t>
      </w:r>
      <w:fldSimple w:instr=" DOCVARIABLE vault_nd_1be9f16b-8bee-49c7-b8ea-7f1dca5a6ca3 \* MERGEFORMAT ">
        <w:r w:rsidR="00A8319D">
          <w:t xml:space="preserve"> </w:t>
        </w:r>
      </w:fldSimple>
    </w:p>
    <w:p w14:paraId="664050E3" w14:textId="56EE4035" w:rsidR="00DA215F" w:rsidRPr="00F2167D" w:rsidRDefault="00DA215F" w:rsidP="00F2167D">
      <w:pPr>
        <w:pStyle w:val="BodyText"/>
        <w:rPr>
          <w:lang w:val="en-GB"/>
        </w:rPr>
      </w:pPr>
      <w:r w:rsidRPr="00F2167D">
        <w:rPr>
          <w:lang w:val="en-GB"/>
        </w:rPr>
        <w:t xml:space="preserve">The model-based estimate of steady-state volume of distribution for a typical subject </w:t>
      </w:r>
      <w:r>
        <w:rPr>
          <w:lang w:val="en-GB"/>
        </w:rPr>
        <w:t>was</w:t>
      </w:r>
      <w:r w:rsidRPr="00F2167D">
        <w:rPr>
          <w:lang w:val="en-GB"/>
        </w:rPr>
        <w:t xml:space="preserve"> 5.92 L.</w:t>
      </w:r>
    </w:p>
    <w:p w14:paraId="54B342C9" w14:textId="7BFE4AAF" w:rsidR="0021200F" w:rsidRDefault="0021200F" w:rsidP="00DA215F">
      <w:pPr>
        <w:pStyle w:val="Heading3-TNR"/>
      </w:pPr>
      <w:r w:rsidRPr="003903B3">
        <w:t>Metabolism</w:t>
      </w:r>
      <w:fldSimple w:instr="DOCVARIABLE vault_nd_f202202f-3728-46aa-87ec-5a41cfef74a9 \* MERGEFORMAT">
        <w:r w:rsidR="00A8319D">
          <w:t xml:space="preserve"> </w:t>
        </w:r>
      </w:fldSimple>
    </w:p>
    <w:p w14:paraId="6493EA67" w14:textId="6C28EF2C" w:rsidR="00E10AD1" w:rsidRPr="00E10AD1" w:rsidRDefault="00DA215F" w:rsidP="00E10AD1">
      <w:pPr>
        <w:pStyle w:val="BodyText"/>
        <w:rPr>
          <w:lang w:val="en-GB"/>
        </w:rPr>
      </w:pPr>
      <w:r w:rsidRPr="00DA215F">
        <w:rPr>
          <w:lang w:val="en-GB"/>
        </w:rPr>
        <w:t>The metabolism of concizumab has not been studied.</w:t>
      </w:r>
      <w:r>
        <w:rPr>
          <w:lang w:val="en-GB"/>
        </w:rPr>
        <w:t xml:space="preserve"> Large proteins such as IgG antibodies </w:t>
      </w:r>
      <w:r w:rsidR="00E10AD1" w:rsidRPr="00E10AD1">
        <w:rPr>
          <w:lang w:val="en-GB"/>
        </w:rPr>
        <w:t xml:space="preserve">are </w:t>
      </w:r>
      <w:r>
        <w:rPr>
          <w:lang w:val="en-GB"/>
        </w:rPr>
        <w:t xml:space="preserve">generally </w:t>
      </w:r>
      <w:r w:rsidR="00E10AD1" w:rsidRPr="00E10AD1">
        <w:rPr>
          <w:lang w:val="en-GB"/>
        </w:rPr>
        <w:t xml:space="preserve">catabolised by lysosomal proteolysis. </w:t>
      </w:r>
    </w:p>
    <w:p w14:paraId="7C15F81A" w14:textId="17BA5803" w:rsidR="0021200F" w:rsidRDefault="0021200F" w:rsidP="00B01E52">
      <w:pPr>
        <w:pStyle w:val="Heading3-TNR"/>
      </w:pPr>
      <w:r w:rsidRPr="003903B3">
        <w:t>Excretion</w:t>
      </w:r>
      <w:fldSimple w:instr="DOCVARIABLE vault_nd_4a87bb16-692d-4cc1-a36b-77ccc943ad84 \* MERGEFORMAT">
        <w:r w:rsidR="00A8319D">
          <w:t xml:space="preserve"> </w:t>
        </w:r>
      </w:fldSimple>
    </w:p>
    <w:p w14:paraId="5E150500" w14:textId="5946CCC7" w:rsidR="00E10AD1" w:rsidRPr="00E10AD1" w:rsidRDefault="00DA215F" w:rsidP="00E10AD1">
      <w:pPr>
        <w:pStyle w:val="BodyText"/>
        <w:rPr>
          <w:lang w:val="en-GB"/>
        </w:rPr>
      </w:pPr>
      <w:r>
        <w:rPr>
          <w:lang w:val="en-GB"/>
        </w:rPr>
        <w:t>L</w:t>
      </w:r>
      <w:r w:rsidR="00E10AD1" w:rsidRPr="00E10AD1">
        <w:rPr>
          <w:lang w:val="en-GB"/>
        </w:rPr>
        <w:t xml:space="preserve">inear and non-linear pathways </w:t>
      </w:r>
      <w:r>
        <w:rPr>
          <w:lang w:val="en-GB"/>
        </w:rPr>
        <w:t xml:space="preserve">both </w:t>
      </w:r>
      <w:r w:rsidR="00E10AD1" w:rsidRPr="00E10AD1">
        <w:rPr>
          <w:lang w:val="en-GB"/>
        </w:rPr>
        <w:t xml:space="preserve">contribute to the elimination of concizumab. </w:t>
      </w:r>
      <w:r w:rsidRPr="00DA215F">
        <w:rPr>
          <w:lang w:val="en-GB"/>
        </w:rPr>
        <w:t xml:space="preserve">Due to the non-linear elimination, the half-life is dependent on the concizumab concentration. </w:t>
      </w:r>
      <w:r>
        <w:rPr>
          <w:lang w:val="en-GB"/>
        </w:rPr>
        <w:t>In</w:t>
      </w:r>
      <w:r w:rsidRPr="00E10AD1">
        <w:rPr>
          <w:lang w:val="en-GB"/>
        </w:rPr>
        <w:t xml:space="preserve"> </w:t>
      </w:r>
      <w:r w:rsidR="00E10AD1" w:rsidRPr="00E10AD1">
        <w:rPr>
          <w:lang w:val="en-GB"/>
        </w:rPr>
        <w:t xml:space="preserve">healthy and haemophilia subjects </w:t>
      </w:r>
      <w:r>
        <w:rPr>
          <w:lang w:val="en-GB"/>
        </w:rPr>
        <w:t>who received</w:t>
      </w:r>
      <w:r w:rsidRPr="00E10AD1">
        <w:rPr>
          <w:lang w:val="en-GB"/>
        </w:rPr>
        <w:t xml:space="preserve"> </w:t>
      </w:r>
      <w:r w:rsidR="00E10AD1" w:rsidRPr="00E10AD1">
        <w:rPr>
          <w:lang w:val="en-GB"/>
        </w:rPr>
        <w:t xml:space="preserve">a single </w:t>
      </w:r>
      <w:r w:rsidR="00834E02">
        <w:rPr>
          <w:lang w:val="en-GB"/>
        </w:rPr>
        <w:t>subcutaneous</w:t>
      </w:r>
      <w:r w:rsidR="00E10AD1" w:rsidRPr="00E10AD1">
        <w:rPr>
          <w:lang w:val="en-GB"/>
        </w:rPr>
        <w:t xml:space="preserve"> dose of 0.25–3 mg/kg</w:t>
      </w:r>
      <w:r>
        <w:rPr>
          <w:lang w:val="en-GB"/>
        </w:rPr>
        <w:t xml:space="preserve">, the terminal half-life </w:t>
      </w:r>
      <w:r w:rsidR="00E10AD1" w:rsidRPr="00E10AD1">
        <w:rPr>
          <w:lang w:val="en-GB"/>
        </w:rPr>
        <w:t>was 39</w:t>
      </w:r>
      <w:r>
        <w:rPr>
          <w:lang w:val="en-GB"/>
        </w:rPr>
        <w:t>-195</w:t>
      </w:r>
      <w:r w:rsidR="00E10AD1" w:rsidRPr="00E10AD1">
        <w:rPr>
          <w:lang w:val="en-GB"/>
        </w:rPr>
        <w:t xml:space="preserve"> hours (1.6</w:t>
      </w:r>
      <w:r>
        <w:rPr>
          <w:lang w:val="en-GB"/>
        </w:rPr>
        <w:t>-8.1</w:t>
      </w:r>
      <w:r w:rsidR="00E10AD1" w:rsidRPr="00E10AD1">
        <w:rPr>
          <w:lang w:val="en-GB"/>
        </w:rPr>
        <w:t xml:space="preserve"> days). At steady state, whe</w:t>
      </w:r>
      <w:r>
        <w:rPr>
          <w:lang w:val="en-GB"/>
        </w:rPr>
        <w:t>n</w:t>
      </w:r>
      <w:r w:rsidR="00E10AD1" w:rsidRPr="00E10AD1">
        <w:rPr>
          <w:lang w:val="en-GB"/>
        </w:rPr>
        <w:t xml:space="preserve"> linear elimination becomes dominant, the total half-life </w:t>
      </w:r>
      <w:r>
        <w:rPr>
          <w:lang w:val="en-GB"/>
        </w:rPr>
        <w:t>is expected to</w:t>
      </w:r>
      <w:r w:rsidRPr="00E10AD1">
        <w:rPr>
          <w:lang w:val="en-GB"/>
        </w:rPr>
        <w:t xml:space="preserve"> </w:t>
      </w:r>
      <w:r w:rsidR="00E10AD1" w:rsidRPr="00E10AD1">
        <w:rPr>
          <w:lang w:val="en-GB"/>
        </w:rPr>
        <w:t>be longer.</w:t>
      </w:r>
      <w:r w:rsidRPr="00DA215F">
        <w:t xml:space="preserve"> </w:t>
      </w:r>
      <w:r w:rsidRPr="00DA215F">
        <w:rPr>
          <w:lang w:val="en-GB"/>
        </w:rPr>
        <w:t xml:space="preserve">Following multiple subcutaneous injections and based on a population PK analysis, the linear clearance was approximately 0.192 L/day (0.008 L/h), and the estimated half-life at steady-state </w:t>
      </w:r>
      <w:proofErr w:type="spellStart"/>
      <w:r w:rsidRPr="00DA215F">
        <w:rPr>
          <w:lang w:val="en-GB"/>
        </w:rPr>
        <w:t>C</w:t>
      </w:r>
      <w:r w:rsidRPr="00F2167D">
        <w:rPr>
          <w:vertAlign w:val="subscript"/>
          <w:lang w:val="en-GB"/>
        </w:rPr>
        <w:t>trough</w:t>
      </w:r>
      <w:proofErr w:type="spellEnd"/>
      <w:r w:rsidRPr="00DA215F">
        <w:rPr>
          <w:lang w:val="en-GB"/>
        </w:rPr>
        <w:t xml:space="preserve"> (665 ng/mL) was approximately 38 hours.</w:t>
      </w:r>
    </w:p>
    <w:p w14:paraId="0F12341F" w14:textId="3FDA0694" w:rsidR="00E10AD1" w:rsidRPr="00E10AD1" w:rsidRDefault="00E10AD1" w:rsidP="00E10AD1">
      <w:pPr>
        <w:pStyle w:val="Heading3-TNR"/>
        <w:rPr>
          <w:lang w:val="en-GB"/>
        </w:rPr>
      </w:pPr>
      <w:r w:rsidRPr="00E10AD1">
        <w:rPr>
          <w:lang w:val="en-GB"/>
        </w:rPr>
        <w:t>Special populations</w:t>
      </w:r>
      <w:r w:rsidR="002A5BE6">
        <w:rPr>
          <w:lang w:val="en-GB"/>
        </w:rPr>
        <w:fldChar w:fldCharType="begin"/>
      </w:r>
      <w:r w:rsidR="002A5BE6">
        <w:rPr>
          <w:lang w:val="en-GB"/>
        </w:rPr>
        <w:instrText xml:space="preserve"> DOCVARIABLE vault_nd_efe26dd0-73bc-4175-a976-13df49913bec \* MERGEFORMAT </w:instrText>
      </w:r>
      <w:r w:rsidR="002A5BE6">
        <w:rPr>
          <w:lang w:val="en-GB"/>
        </w:rPr>
        <w:fldChar w:fldCharType="separate"/>
      </w:r>
      <w:r w:rsidR="00A8319D">
        <w:rPr>
          <w:lang w:val="en-GB"/>
        </w:rPr>
        <w:t xml:space="preserve"> </w:t>
      </w:r>
      <w:r w:rsidR="002A5BE6">
        <w:rPr>
          <w:lang w:val="en-GB"/>
        </w:rPr>
        <w:fldChar w:fldCharType="end"/>
      </w:r>
    </w:p>
    <w:p w14:paraId="48664DAC" w14:textId="77777777" w:rsidR="00E10AD1" w:rsidRPr="00E10AD1" w:rsidRDefault="00E10AD1" w:rsidP="00E10AD1">
      <w:pPr>
        <w:pStyle w:val="BodyText"/>
        <w:rPr>
          <w:i/>
          <w:iCs/>
          <w:lang w:val="en-GB"/>
        </w:rPr>
      </w:pPr>
      <w:r w:rsidRPr="00E10AD1">
        <w:rPr>
          <w:i/>
          <w:iCs/>
          <w:lang w:val="en-GB"/>
        </w:rPr>
        <w:t>Age</w:t>
      </w:r>
    </w:p>
    <w:p w14:paraId="17BE931B" w14:textId="491EB5C6" w:rsidR="00E10AD1" w:rsidRPr="00E10AD1" w:rsidRDefault="00E10AD1" w:rsidP="00E10AD1">
      <w:pPr>
        <w:pStyle w:val="BodyText"/>
        <w:rPr>
          <w:lang w:val="en-GB"/>
        </w:rPr>
      </w:pPr>
      <w:r w:rsidRPr="00E10AD1">
        <w:rPr>
          <w:lang w:val="en-GB"/>
        </w:rPr>
        <w:t xml:space="preserve">Age had no </w:t>
      </w:r>
      <w:r w:rsidR="00DA215F">
        <w:rPr>
          <w:lang w:val="en-GB"/>
        </w:rPr>
        <w:t xml:space="preserve">meaningful </w:t>
      </w:r>
      <w:r w:rsidRPr="00E10AD1">
        <w:rPr>
          <w:lang w:val="en-GB"/>
        </w:rPr>
        <w:t xml:space="preserve">effect on </w:t>
      </w:r>
      <w:bookmarkStart w:id="57" w:name="_Hlk84336141"/>
      <w:r w:rsidRPr="00E10AD1">
        <w:rPr>
          <w:lang w:val="en-GB"/>
        </w:rPr>
        <w:t>concizumab exposure</w:t>
      </w:r>
      <w:r w:rsidR="00DA215F">
        <w:rPr>
          <w:lang w:val="en-GB"/>
        </w:rPr>
        <w:t xml:space="preserve">. </w:t>
      </w:r>
      <w:bookmarkEnd w:id="57"/>
      <w:r w:rsidR="00DA215F">
        <w:rPr>
          <w:lang w:val="en-GB"/>
        </w:rPr>
        <w:t xml:space="preserve">There were insufficient patients over the age of 64 for meaningful assessment of differences in elderly patients. </w:t>
      </w:r>
    </w:p>
    <w:p w14:paraId="665A1164" w14:textId="77777777" w:rsidR="00E10AD1" w:rsidRPr="00E10AD1" w:rsidRDefault="00E10AD1" w:rsidP="00E10AD1">
      <w:pPr>
        <w:pStyle w:val="BodyText"/>
        <w:rPr>
          <w:i/>
          <w:iCs/>
          <w:lang w:val="en-GB"/>
        </w:rPr>
      </w:pPr>
      <w:r w:rsidRPr="00E10AD1">
        <w:rPr>
          <w:i/>
          <w:iCs/>
          <w:lang w:val="en-GB"/>
        </w:rPr>
        <w:lastRenderedPageBreak/>
        <w:t>Renal impairment</w:t>
      </w:r>
    </w:p>
    <w:p w14:paraId="285A0CE9" w14:textId="32380E86" w:rsidR="00E10AD1" w:rsidRPr="00E10AD1" w:rsidRDefault="00E10AD1" w:rsidP="00E10AD1">
      <w:pPr>
        <w:pStyle w:val="BodyText"/>
        <w:rPr>
          <w:lang w:val="en-GB"/>
        </w:rPr>
      </w:pPr>
      <w:bookmarkStart w:id="58" w:name="_Hlk84336226"/>
      <w:r w:rsidRPr="00E10AD1">
        <w:rPr>
          <w:lang w:val="en-GB"/>
        </w:rPr>
        <w:t xml:space="preserve">No dedicated trials on the effect of renal impairment on the pharmacokinetics of concizumab have been conducted. Of the 112 patients treated with </w:t>
      </w:r>
      <w:r w:rsidR="00D30A4F" w:rsidRPr="00D30A4F">
        <w:rPr>
          <w:lang w:val="en-GB"/>
        </w:rPr>
        <w:t>Alhemo</w:t>
      </w:r>
      <w:r w:rsidRPr="00E10AD1">
        <w:rPr>
          <w:lang w:val="en-GB"/>
        </w:rPr>
        <w:t xml:space="preserve"> dosing regimen in explorer7</w:t>
      </w:r>
      <w:bookmarkStart w:id="59" w:name="_Hlk84629382"/>
      <w:r w:rsidRPr="00E10AD1">
        <w:rPr>
          <w:lang w:val="en-GB"/>
        </w:rPr>
        <w:t xml:space="preserve">, </w:t>
      </w:r>
      <w:bookmarkEnd w:id="59"/>
      <w:r w:rsidR="00DA215F">
        <w:rPr>
          <w:lang w:val="en-GB"/>
        </w:rPr>
        <w:t>five</w:t>
      </w:r>
      <w:r w:rsidR="00DA215F" w:rsidRPr="00E10AD1">
        <w:rPr>
          <w:lang w:val="en-GB"/>
        </w:rPr>
        <w:t xml:space="preserve"> </w:t>
      </w:r>
      <w:r w:rsidRPr="00E10AD1">
        <w:rPr>
          <w:lang w:val="en-GB"/>
        </w:rPr>
        <w:t>patients had eGFR &lt;90 mL/min/1.73m</w:t>
      </w:r>
      <w:r w:rsidRPr="00E10AD1">
        <w:rPr>
          <w:vertAlign w:val="superscript"/>
          <w:lang w:val="en-GB"/>
        </w:rPr>
        <w:t>2</w:t>
      </w:r>
      <w:r w:rsidRPr="00E10AD1">
        <w:rPr>
          <w:lang w:val="en-GB"/>
        </w:rPr>
        <w:t xml:space="preserve"> at the time when the loading dose was administered. </w:t>
      </w:r>
      <w:bookmarkEnd w:id="58"/>
      <w:r w:rsidRPr="00E10AD1">
        <w:rPr>
          <w:lang w:val="en-GB"/>
        </w:rPr>
        <w:t>No impact on exposure of concizumab was observed.</w:t>
      </w:r>
    </w:p>
    <w:p w14:paraId="3F9A9DCD" w14:textId="77777777" w:rsidR="00E10AD1" w:rsidRPr="00E10AD1" w:rsidRDefault="00E10AD1" w:rsidP="00E10AD1">
      <w:pPr>
        <w:pStyle w:val="BodyText"/>
        <w:rPr>
          <w:i/>
          <w:iCs/>
          <w:lang w:val="en-GB"/>
        </w:rPr>
      </w:pPr>
      <w:r w:rsidRPr="00E10AD1">
        <w:rPr>
          <w:i/>
          <w:iCs/>
          <w:lang w:val="en-GB"/>
        </w:rPr>
        <w:t>Hepatic impairment</w:t>
      </w:r>
    </w:p>
    <w:p w14:paraId="29A48FC6" w14:textId="6ADCE517" w:rsidR="00E10AD1" w:rsidRPr="00E10AD1" w:rsidRDefault="00E10AD1" w:rsidP="00E10AD1">
      <w:pPr>
        <w:pStyle w:val="BodyText"/>
        <w:rPr>
          <w:lang w:val="en-GB"/>
        </w:rPr>
      </w:pPr>
      <w:bookmarkStart w:id="60" w:name="_Hlk89350315"/>
      <w:r w:rsidRPr="00E10AD1">
        <w:rPr>
          <w:lang w:val="en-GB"/>
        </w:rPr>
        <w:t xml:space="preserve">No dedicated trials on the effect of hepatic impairment on the pharmacokinetics of concizumab have been conducted. </w:t>
      </w:r>
      <w:bookmarkEnd w:id="60"/>
      <w:r w:rsidRPr="00E10AD1">
        <w:rPr>
          <w:lang w:val="en-GB"/>
        </w:rPr>
        <w:t xml:space="preserve">Of the 112 patients treated with </w:t>
      </w:r>
      <w:r w:rsidR="00D30A4F" w:rsidRPr="00D30A4F">
        <w:rPr>
          <w:lang w:val="en-GB"/>
        </w:rPr>
        <w:t>Alhemo</w:t>
      </w:r>
      <w:r w:rsidRPr="00E10AD1">
        <w:rPr>
          <w:lang w:val="en-GB"/>
        </w:rPr>
        <w:t xml:space="preserve"> dosing regimen in explorer7, </w:t>
      </w:r>
      <w:r w:rsidR="00DA215F">
        <w:rPr>
          <w:lang w:val="en-GB"/>
        </w:rPr>
        <w:t>four</w:t>
      </w:r>
      <w:r w:rsidRPr="00E10AD1">
        <w:rPr>
          <w:lang w:val="en-GB"/>
        </w:rPr>
        <w:t xml:space="preserve"> patients had elevated liver enzymes (ALT or AST ≥ 1.5 x ULN) at the time when the loading dose was administered. </w:t>
      </w:r>
      <w:bookmarkStart w:id="61" w:name="_Hlk89350344"/>
      <w:r w:rsidRPr="00E10AD1">
        <w:rPr>
          <w:lang w:val="en-GB"/>
        </w:rPr>
        <w:t>No impact on exposure of concizumab was observed.</w:t>
      </w:r>
      <w:bookmarkEnd w:id="61"/>
      <w:r w:rsidRPr="00E10AD1">
        <w:rPr>
          <w:lang w:val="en-GB"/>
        </w:rPr>
        <w:t xml:space="preserve"> </w:t>
      </w:r>
    </w:p>
    <w:p w14:paraId="71DBEA8A" w14:textId="3DBD9EE2" w:rsidR="001A3992" w:rsidRPr="006570D4" w:rsidRDefault="001A3992" w:rsidP="00EB541D">
      <w:pPr>
        <w:pStyle w:val="Heading2-TNR"/>
      </w:pPr>
      <w:bookmarkStart w:id="62" w:name="_Ref106655913"/>
      <w:r w:rsidRPr="006570D4">
        <w:t>Preclinical safety data</w:t>
      </w:r>
      <w:bookmarkEnd w:id="62"/>
      <w:r w:rsidR="002A5BE6" w:rsidRPr="006570D4">
        <w:fldChar w:fldCharType="begin"/>
      </w:r>
      <w:r w:rsidR="002A5BE6" w:rsidRPr="006570D4">
        <w:instrText xml:space="preserve"> DOCVARIABLE VAULT_ND_556681db-17c8-4d6f-a8b5-600ac1222d95 \* MERGEFORMAT </w:instrText>
      </w:r>
      <w:r w:rsidR="002A5BE6" w:rsidRPr="006570D4">
        <w:fldChar w:fldCharType="separate"/>
      </w:r>
      <w:r w:rsidR="00A8319D">
        <w:t xml:space="preserve"> </w:t>
      </w:r>
      <w:r w:rsidR="002A5BE6" w:rsidRPr="006570D4">
        <w:fldChar w:fldCharType="end"/>
      </w:r>
    </w:p>
    <w:p w14:paraId="1CC19BF5" w14:textId="4DC4A4A3" w:rsidR="001A3992" w:rsidRDefault="001A3992" w:rsidP="00B01E52">
      <w:pPr>
        <w:pStyle w:val="Heading3-TNR"/>
      </w:pPr>
      <w:r w:rsidRPr="003903B3">
        <w:t>Genotoxicity</w:t>
      </w:r>
      <w:fldSimple w:instr="DOCVARIABLE vault_nd_0aae0d87-5f42-44ab-b356-6657fd96a553 \* MERGEFORMAT">
        <w:r w:rsidR="00A8319D">
          <w:t xml:space="preserve"> </w:t>
        </w:r>
      </w:fldSimple>
    </w:p>
    <w:p w14:paraId="7CC13C38" w14:textId="0BECF0A3" w:rsidR="002839B0" w:rsidRPr="002839B0" w:rsidRDefault="00063957" w:rsidP="002839B0">
      <w:pPr>
        <w:pStyle w:val="BodyText"/>
        <w:rPr>
          <w:lang w:val="en-GB"/>
        </w:rPr>
      </w:pPr>
      <w:r w:rsidRPr="002839B0">
        <w:rPr>
          <w:lang w:val="en-GB"/>
        </w:rPr>
        <w:t>Genotoxicity</w:t>
      </w:r>
      <w:r>
        <w:rPr>
          <w:lang w:val="en-GB"/>
        </w:rPr>
        <w:t xml:space="preserve"> </w:t>
      </w:r>
      <w:r w:rsidRPr="00063957">
        <w:rPr>
          <w:lang w:val="en-GB"/>
        </w:rPr>
        <w:t>studies</w:t>
      </w:r>
      <w:r w:rsidRPr="002839B0">
        <w:rPr>
          <w:lang w:val="en-GB"/>
        </w:rPr>
        <w:t xml:space="preserve"> </w:t>
      </w:r>
      <w:r w:rsidR="002839B0" w:rsidRPr="002839B0">
        <w:rPr>
          <w:lang w:val="en-GB"/>
        </w:rPr>
        <w:t>have not been performed</w:t>
      </w:r>
      <w:r>
        <w:rPr>
          <w:lang w:val="en-GB"/>
        </w:rPr>
        <w:t xml:space="preserve"> </w:t>
      </w:r>
      <w:r w:rsidRPr="00063957">
        <w:rPr>
          <w:lang w:val="en-GB"/>
        </w:rPr>
        <w:t>with concizumab</w:t>
      </w:r>
      <w:r w:rsidR="002839B0" w:rsidRPr="002839B0">
        <w:rPr>
          <w:lang w:val="en-GB"/>
        </w:rPr>
        <w:t>.</w:t>
      </w:r>
      <w:r>
        <w:rPr>
          <w:lang w:val="en-GB"/>
        </w:rPr>
        <w:t xml:space="preserve"> </w:t>
      </w:r>
      <w:r w:rsidRPr="00063957">
        <w:rPr>
          <w:lang w:val="en-GB"/>
        </w:rPr>
        <w:t>As a large protein molecule, concizumab is not expected to interact with DNA or other chromosomal material.</w:t>
      </w:r>
    </w:p>
    <w:p w14:paraId="4A88C82A" w14:textId="0F6EE64E" w:rsidR="001A3992" w:rsidRDefault="001A3992" w:rsidP="00B01E52">
      <w:pPr>
        <w:pStyle w:val="Heading3-TNR"/>
      </w:pPr>
      <w:r w:rsidRPr="003903B3">
        <w:t>Carcinogenicity</w:t>
      </w:r>
      <w:fldSimple w:instr="DOCVARIABLE vault_nd_72b81df4-814b-4d1b-a3d0-632a50b8e9a2 \* MERGEFORMAT">
        <w:r w:rsidR="00A8319D">
          <w:t xml:space="preserve"> </w:t>
        </w:r>
      </w:fldSimple>
    </w:p>
    <w:p w14:paraId="28D3B45C" w14:textId="0B542211" w:rsidR="002839B0" w:rsidRPr="002839B0" w:rsidRDefault="002839B0" w:rsidP="002839B0">
      <w:pPr>
        <w:pStyle w:val="BodyText"/>
        <w:rPr>
          <w:lang w:val="en-GB"/>
        </w:rPr>
      </w:pPr>
      <w:r w:rsidRPr="002839B0">
        <w:rPr>
          <w:lang w:val="en-GB"/>
        </w:rPr>
        <w:t>Long-term studies in animals to evaluate the carcinogenic potential of concizumab</w:t>
      </w:r>
      <w:r>
        <w:rPr>
          <w:lang w:val="en-GB"/>
        </w:rPr>
        <w:t xml:space="preserve"> </w:t>
      </w:r>
      <w:r w:rsidRPr="002839B0">
        <w:rPr>
          <w:lang w:val="en-GB"/>
        </w:rPr>
        <w:t>have not been performed.</w:t>
      </w:r>
    </w:p>
    <w:p w14:paraId="7C73DC01" w14:textId="2C8308BE" w:rsidR="001A3992" w:rsidRPr="006570D4" w:rsidRDefault="001A3992" w:rsidP="00EB541D">
      <w:pPr>
        <w:pStyle w:val="Heading1-TNR"/>
      </w:pPr>
      <w:r w:rsidRPr="006570D4">
        <w:t>Pharmaceutical particulars</w:t>
      </w:r>
      <w:fldSimple w:instr="DOCVARIABLE VAULT_ND_4f3c1bd2-ef8d-4ffe-b750-03ad5815863a \* MERGEFORMAT">
        <w:r w:rsidR="00A8319D">
          <w:t xml:space="preserve"> </w:t>
        </w:r>
      </w:fldSimple>
    </w:p>
    <w:p w14:paraId="03CC1006" w14:textId="3E5A992E" w:rsidR="005B2812" w:rsidRPr="006570D4" w:rsidRDefault="005B2812" w:rsidP="00EB541D">
      <w:pPr>
        <w:pStyle w:val="Heading2-TNR"/>
      </w:pPr>
      <w:bookmarkStart w:id="63" w:name="_Ref106643879"/>
      <w:r w:rsidRPr="006570D4">
        <w:t>List of excipients</w:t>
      </w:r>
      <w:bookmarkEnd w:id="63"/>
      <w:r w:rsidR="002A5BE6" w:rsidRPr="006570D4">
        <w:fldChar w:fldCharType="begin"/>
      </w:r>
      <w:r w:rsidR="002A5BE6" w:rsidRPr="006570D4">
        <w:instrText xml:space="preserve"> DOCVARIABLE VAULT_ND_0a77d340-0dbb-4bd9-9799-912b074df149 \* MERGEFORMAT </w:instrText>
      </w:r>
      <w:r w:rsidR="002A5BE6" w:rsidRPr="006570D4">
        <w:fldChar w:fldCharType="separate"/>
      </w:r>
      <w:r w:rsidR="00A8319D">
        <w:t xml:space="preserve"> </w:t>
      </w:r>
      <w:r w:rsidR="002A5BE6" w:rsidRPr="006570D4">
        <w:fldChar w:fldCharType="end"/>
      </w:r>
    </w:p>
    <w:p w14:paraId="7DA574E7" w14:textId="51B6BE0E" w:rsidR="009D2786" w:rsidRPr="009D2786" w:rsidRDefault="002244C9" w:rsidP="00C9496B">
      <w:pPr>
        <w:pStyle w:val="BodyText"/>
        <w:spacing w:before="30" w:after="30"/>
      </w:pPr>
      <w:r>
        <w:t xml:space="preserve">Arginine hydrochloride </w:t>
      </w:r>
      <w:r w:rsidR="009D2786" w:rsidRPr="009D2786">
        <w:tab/>
      </w:r>
      <w:r w:rsidR="009D2786" w:rsidRPr="009D2786">
        <w:tab/>
      </w:r>
      <w:r w:rsidR="009D2786" w:rsidRPr="009D2786">
        <w:tab/>
      </w:r>
      <w:r w:rsidR="009D2786" w:rsidRPr="009D2786">
        <w:tab/>
      </w:r>
    </w:p>
    <w:p w14:paraId="4F82BFF2" w14:textId="4F6D7E51" w:rsidR="009D2786" w:rsidRPr="009D2786" w:rsidRDefault="002244C9" w:rsidP="00C9496B">
      <w:pPr>
        <w:pStyle w:val="BodyText"/>
        <w:spacing w:before="30" w:after="30"/>
      </w:pPr>
      <w:r w:rsidRPr="009D2786">
        <w:t>Histidine</w:t>
      </w:r>
      <w:r w:rsidR="009D2786" w:rsidRPr="009D2786">
        <w:tab/>
      </w:r>
      <w:r w:rsidR="009D2786" w:rsidRPr="009D2786">
        <w:tab/>
      </w:r>
      <w:r w:rsidR="009D2786" w:rsidRPr="009D2786">
        <w:tab/>
      </w:r>
      <w:r w:rsidR="009D2786" w:rsidRPr="009D2786">
        <w:tab/>
      </w:r>
      <w:r w:rsidR="009D2786" w:rsidRPr="009D2786">
        <w:tab/>
      </w:r>
    </w:p>
    <w:p w14:paraId="660A94D5" w14:textId="77777777" w:rsidR="009D2786" w:rsidRPr="009D2786" w:rsidRDefault="009D2786" w:rsidP="00C9496B">
      <w:pPr>
        <w:pStyle w:val="BodyText"/>
        <w:spacing w:before="30" w:after="30"/>
      </w:pPr>
      <w:r w:rsidRPr="009D2786">
        <w:t xml:space="preserve">Sodium chloride </w:t>
      </w:r>
      <w:r w:rsidRPr="009D2786">
        <w:tab/>
      </w:r>
      <w:r w:rsidRPr="009D2786">
        <w:tab/>
      </w:r>
      <w:r w:rsidRPr="009D2786">
        <w:tab/>
      </w:r>
    </w:p>
    <w:p w14:paraId="3EFC9B20" w14:textId="77777777" w:rsidR="009D2786" w:rsidRPr="009D2786" w:rsidRDefault="009D2786" w:rsidP="00C9496B">
      <w:pPr>
        <w:pStyle w:val="BodyText"/>
        <w:spacing w:before="30" w:after="30"/>
      </w:pPr>
      <w:r w:rsidRPr="009D2786">
        <w:t>Sucrose</w:t>
      </w:r>
      <w:r w:rsidRPr="009D2786">
        <w:tab/>
      </w:r>
      <w:r w:rsidRPr="009D2786">
        <w:tab/>
      </w:r>
      <w:r w:rsidRPr="009D2786">
        <w:tab/>
      </w:r>
      <w:r w:rsidRPr="009D2786">
        <w:tab/>
      </w:r>
    </w:p>
    <w:p w14:paraId="7BD7FC1A" w14:textId="77777777" w:rsidR="009D2786" w:rsidRPr="009D2786" w:rsidRDefault="009D2786" w:rsidP="00C9496B">
      <w:pPr>
        <w:pStyle w:val="BodyText"/>
        <w:spacing w:before="30" w:after="30"/>
      </w:pPr>
      <w:r w:rsidRPr="009D2786">
        <w:t xml:space="preserve">Polysorbate 80 </w:t>
      </w:r>
      <w:r w:rsidRPr="009D2786">
        <w:tab/>
      </w:r>
      <w:r w:rsidRPr="009D2786">
        <w:tab/>
      </w:r>
      <w:r w:rsidRPr="009D2786">
        <w:tab/>
      </w:r>
      <w:r w:rsidRPr="009D2786">
        <w:tab/>
      </w:r>
    </w:p>
    <w:p w14:paraId="27EF7DB6" w14:textId="77777777" w:rsidR="009D2786" w:rsidRPr="009D2786" w:rsidRDefault="009D2786" w:rsidP="00C9496B">
      <w:pPr>
        <w:pStyle w:val="BodyText"/>
        <w:spacing w:before="30" w:after="30"/>
      </w:pPr>
      <w:r w:rsidRPr="009D2786">
        <w:t>Phenol</w:t>
      </w:r>
    </w:p>
    <w:p w14:paraId="29B68A28" w14:textId="77777777" w:rsidR="009D2786" w:rsidRPr="009D2786" w:rsidRDefault="009D2786" w:rsidP="00C9496B">
      <w:pPr>
        <w:pStyle w:val="BodyText"/>
        <w:spacing w:before="30" w:after="30"/>
      </w:pPr>
      <w:r w:rsidRPr="009D2786">
        <w:t>Hydrochloric acid</w:t>
      </w:r>
      <w:r w:rsidRPr="009D2786">
        <w:tab/>
      </w:r>
    </w:p>
    <w:p w14:paraId="5ADEEE9B" w14:textId="77777777" w:rsidR="009D2786" w:rsidRPr="009D2786" w:rsidRDefault="009D2786" w:rsidP="00C9496B">
      <w:pPr>
        <w:pStyle w:val="BodyText"/>
        <w:spacing w:before="30" w:after="30"/>
      </w:pPr>
      <w:r w:rsidRPr="009D2786">
        <w:t>Sodium hydroxide</w:t>
      </w:r>
    </w:p>
    <w:p w14:paraId="468F5AD2" w14:textId="0918E3CB" w:rsidR="005B2812" w:rsidRPr="003903B3" w:rsidRDefault="009D2786" w:rsidP="00C9496B">
      <w:pPr>
        <w:pStyle w:val="BodyText"/>
        <w:spacing w:before="30" w:after="30"/>
      </w:pPr>
      <w:r w:rsidRPr="003903B3">
        <w:t>Water for injection</w:t>
      </w:r>
      <w:r w:rsidR="002244C9">
        <w:t>s</w:t>
      </w:r>
      <w:r w:rsidRPr="003903B3">
        <w:t xml:space="preserve"> </w:t>
      </w:r>
    </w:p>
    <w:p w14:paraId="049BFD50" w14:textId="5DC74355" w:rsidR="005B2812" w:rsidRPr="006570D4" w:rsidRDefault="005B2812" w:rsidP="00EB541D">
      <w:pPr>
        <w:pStyle w:val="Heading2-TNR"/>
      </w:pPr>
      <w:r w:rsidRPr="006570D4">
        <w:t>Incompatibilities</w:t>
      </w:r>
      <w:fldSimple w:instr="DOCVARIABLE VAULT_ND_87ab9b6f-6e32-489f-913e-6ee318bd392e \* MERGEFORMAT">
        <w:r w:rsidR="00A8319D">
          <w:t xml:space="preserve"> </w:t>
        </w:r>
      </w:fldSimple>
    </w:p>
    <w:p w14:paraId="6D6F2000" w14:textId="77777777" w:rsidR="00C9496B" w:rsidRPr="00C9496B" w:rsidRDefault="00C9496B" w:rsidP="00C9496B">
      <w:pPr>
        <w:pStyle w:val="BodyText"/>
        <w:rPr>
          <w:lang w:val="en-GB"/>
        </w:rPr>
      </w:pPr>
      <w:r w:rsidRPr="00C9496B">
        <w:rPr>
          <w:lang w:val="en-GB"/>
        </w:rPr>
        <w:t xml:space="preserve">In the absence of compatibility studies, this medicinal product must not be mixed with other medicinal products. </w:t>
      </w:r>
    </w:p>
    <w:p w14:paraId="29F783BC" w14:textId="7F68268C" w:rsidR="005B2812" w:rsidRPr="006570D4" w:rsidRDefault="005B2812" w:rsidP="00EB541D">
      <w:pPr>
        <w:pStyle w:val="Heading2-TNR"/>
      </w:pPr>
      <w:r w:rsidRPr="006570D4">
        <w:t>Shelf life</w:t>
      </w:r>
      <w:fldSimple w:instr="DOCVARIABLE VAULT_ND_314068ae-ad6b-4598-b0f7-2989728c149a \* MERGEFORMAT">
        <w:r w:rsidR="00A8319D">
          <w:t xml:space="preserve"> </w:t>
        </w:r>
      </w:fldSimple>
    </w:p>
    <w:p w14:paraId="178595F2" w14:textId="017F07EF" w:rsidR="005B2812" w:rsidRDefault="005B2812" w:rsidP="00B01E52">
      <w:pPr>
        <w:pStyle w:val="BodyText"/>
      </w:pPr>
      <w:r w:rsidRPr="003903B3">
        <w:t xml:space="preserve">In Australia, information on the shelf life can be found on the public summary of the Australian Register of Therapeutic Goods (ARTG). The expiry date can be found on the packaging. </w:t>
      </w:r>
    </w:p>
    <w:p w14:paraId="015FFD19" w14:textId="12FF16E7" w:rsidR="00F32D6B" w:rsidRPr="00F32D6B" w:rsidRDefault="00F32D6B" w:rsidP="00FF16D2">
      <w:pPr>
        <w:pStyle w:val="BodyText"/>
        <w:keepNext/>
        <w:rPr>
          <w:u w:val="single"/>
        </w:rPr>
      </w:pPr>
      <w:r w:rsidRPr="00F32D6B">
        <w:rPr>
          <w:u w:val="single"/>
        </w:rPr>
        <w:lastRenderedPageBreak/>
        <w:t>After first opening</w:t>
      </w:r>
    </w:p>
    <w:p w14:paraId="5F1E486C" w14:textId="0CCB57B5" w:rsidR="00F32D6B" w:rsidRPr="003903B3" w:rsidRDefault="00F32D6B" w:rsidP="00B01E52">
      <w:pPr>
        <w:pStyle w:val="BodyText"/>
      </w:pPr>
      <w:r>
        <w:t>4 weeks</w:t>
      </w:r>
      <w:r w:rsidR="00C56ED5">
        <w:t xml:space="preserve"> – see below</w:t>
      </w:r>
      <w:r>
        <w:t>.</w:t>
      </w:r>
    </w:p>
    <w:p w14:paraId="7AD625CC" w14:textId="4A68C685" w:rsidR="005B2812" w:rsidRPr="006570D4" w:rsidRDefault="005B2812" w:rsidP="00EB541D">
      <w:pPr>
        <w:pStyle w:val="Heading2-TNR"/>
      </w:pPr>
      <w:r w:rsidRPr="006570D4">
        <w:t>Special precautions for storage</w:t>
      </w:r>
      <w:fldSimple w:instr="DOCVARIABLE VAULT_ND_944b213d-caf3-45c9-b986-201db3b0192e \* MERGEFORMAT">
        <w:r w:rsidR="00A8319D">
          <w:t xml:space="preserve"> </w:t>
        </w:r>
      </w:fldSimple>
    </w:p>
    <w:p w14:paraId="4473DFD9" w14:textId="77777777" w:rsidR="00F32D6B" w:rsidRPr="00F32D6B" w:rsidRDefault="00F32D6B" w:rsidP="00F32D6B">
      <w:pPr>
        <w:pStyle w:val="BodyText"/>
        <w:rPr>
          <w:lang w:val="en-GB"/>
        </w:rPr>
      </w:pPr>
      <w:r w:rsidRPr="00F32D6B">
        <w:rPr>
          <w:lang w:val="en-GB"/>
        </w:rPr>
        <w:t>Before first use: Store in a refrigerator (2-8°C).</w:t>
      </w:r>
    </w:p>
    <w:p w14:paraId="2C5F5EC0" w14:textId="121522C3" w:rsidR="00F32D6B" w:rsidRPr="00F32D6B" w:rsidRDefault="00F32D6B" w:rsidP="00F32D6B">
      <w:pPr>
        <w:pStyle w:val="BodyText"/>
        <w:rPr>
          <w:lang w:val="en-GB"/>
        </w:rPr>
      </w:pPr>
      <w:r w:rsidRPr="00F32D6B">
        <w:rPr>
          <w:lang w:val="en-GB"/>
        </w:rPr>
        <w:t>After first use: May be stored unrefrigerated for up to 4 weeks at a temperature below 30°C.</w:t>
      </w:r>
    </w:p>
    <w:p w14:paraId="4652817C" w14:textId="2A23F18A" w:rsidR="00C9496B" w:rsidRPr="00C9496B" w:rsidRDefault="00F32D6B" w:rsidP="00C9496B">
      <w:pPr>
        <w:pStyle w:val="BodyText"/>
        <w:rPr>
          <w:lang w:val="en-GB"/>
        </w:rPr>
      </w:pPr>
      <w:r w:rsidRPr="00F32D6B">
        <w:rPr>
          <w:lang w:val="en-GB"/>
        </w:rPr>
        <w:t>Store the pen with the cap on to protect the solution from light. Do not store the pen with the needle attached.</w:t>
      </w:r>
      <w:r w:rsidR="00C9496B">
        <w:rPr>
          <w:lang w:val="en-GB"/>
        </w:rPr>
        <w:t xml:space="preserve"> </w:t>
      </w:r>
      <w:r w:rsidR="00C9496B" w:rsidRPr="00C9496B">
        <w:rPr>
          <w:lang w:val="en-GB"/>
        </w:rPr>
        <w:t>This ensures accurate dosing, and prevents contamination, infection, and leakage.</w:t>
      </w:r>
    </w:p>
    <w:p w14:paraId="1E393AD3" w14:textId="552F0160" w:rsidR="00F32D6B" w:rsidRPr="00F32D6B" w:rsidRDefault="00F32D6B" w:rsidP="00F32D6B">
      <w:pPr>
        <w:pStyle w:val="BodyText"/>
      </w:pPr>
      <w:r w:rsidRPr="009E17E0">
        <w:t xml:space="preserve">Do not freeze the pen or store it close to a cooling element in a refrigerator. </w:t>
      </w:r>
      <w:r w:rsidR="001677C4">
        <w:t>Alhemo</w:t>
      </w:r>
      <w:r w:rsidRPr="009E17E0">
        <w:t xml:space="preserve"> should be protected from heat and light and should not be stored in direct sunlight. </w:t>
      </w:r>
    </w:p>
    <w:p w14:paraId="04750EDB" w14:textId="54030F5E" w:rsidR="005B2812" w:rsidRPr="006570D4" w:rsidRDefault="005B2812" w:rsidP="00EB541D">
      <w:pPr>
        <w:pStyle w:val="Heading2-TNR"/>
      </w:pPr>
      <w:bookmarkStart w:id="64" w:name="_Ref108644742"/>
      <w:r w:rsidRPr="006570D4">
        <w:t>Nature and contents of container</w:t>
      </w:r>
      <w:bookmarkEnd w:id="64"/>
      <w:r w:rsidR="002A5BE6" w:rsidRPr="006570D4">
        <w:fldChar w:fldCharType="begin"/>
      </w:r>
      <w:r w:rsidR="002A5BE6" w:rsidRPr="006570D4">
        <w:instrText xml:space="preserve"> DOCVARIABLE VAULT_ND_14309591-6512-4d9f-907b-2a532aacf615 \* MERGEFORMAT </w:instrText>
      </w:r>
      <w:r w:rsidR="002A5BE6" w:rsidRPr="006570D4">
        <w:fldChar w:fldCharType="separate"/>
      </w:r>
      <w:r w:rsidR="00A8319D">
        <w:t xml:space="preserve"> </w:t>
      </w:r>
      <w:r w:rsidR="002A5BE6" w:rsidRPr="006570D4">
        <w:fldChar w:fldCharType="end"/>
      </w:r>
    </w:p>
    <w:p w14:paraId="61ECD2A0" w14:textId="56881166" w:rsidR="00F32D6B" w:rsidRDefault="00D30A4F" w:rsidP="00F32D6B">
      <w:pPr>
        <w:pStyle w:val="BodyText"/>
        <w:rPr>
          <w:lang w:val="en-GB"/>
        </w:rPr>
      </w:pPr>
      <w:r w:rsidRPr="00D30A4F">
        <w:rPr>
          <w:lang w:val="en-GB"/>
        </w:rPr>
        <w:t>Alhemo</w:t>
      </w:r>
      <w:r w:rsidR="00F32D6B" w:rsidRPr="00F32D6B">
        <w:rPr>
          <w:lang w:val="en-GB"/>
        </w:rPr>
        <w:t xml:space="preserve"> is provided in a portable multi-dose disposable pre-filled pen, which consists of a 1.5 mL or 3 mL glass cartridge sealed in a pen-injector, made of plastic components and metal springs. The cartridge is closed at the bottom with a rubber disc, and at the top with a laminate rubber disc sealed with an aluminium cap. The rubber discs are not made with natural rubber latex.</w:t>
      </w:r>
    </w:p>
    <w:p w14:paraId="6D7A862C" w14:textId="358DF919" w:rsidR="00C9496B" w:rsidRPr="00C9496B" w:rsidRDefault="00C9496B" w:rsidP="00C9496B">
      <w:pPr>
        <w:pStyle w:val="BodyText"/>
        <w:rPr>
          <w:lang w:val="en-GB"/>
        </w:rPr>
      </w:pPr>
      <w:r w:rsidRPr="00C9496B">
        <w:rPr>
          <w:lang w:val="en-GB"/>
        </w:rPr>
        <w:t xml:space="preserve">The </w:t>
      </w:r>
      <w:r w:rsidR="00D30A4F" w:rsidRPr="00D30A4F">
        <w:rPr>
          <w:lang w:val="en-GB"/>
        </w:rPr>
        <w:t>Alhemo</w:t>
      </w:r>
      <w:r w:rsidRPr="00C9496B">
        <w:rPr>
          <w:lang w:val="en-GB"/>
        </w:rPr>
        <w:t xml:space="preserve"> pen must not be refilled.</w:t>
      </w:r>
    </w:p>
    <w:p w14:paraId="55593351" w14:textId="2D9CC525" w:rsidR="00F32D6B" w:rsidRPr="00F32D6B" w:rsidRDefault="00F32D6B" w:rsidP="00F32D6B">
      <w:pPr>
        <w:pStyle w:val="BodyText"/>
        <w:rPr>
          <w:lang w:val="en-GB"/>
        </w:rPr>
      </w:pPr>
      <w:r w:rsidRPr="00F32D6B">
        <w:rPr>
          <w:lang w:val="en-GB"/>
        </w:rPr>
        <w:t xml:space="preserve">The dose button and the cartridge holder on the pen-injector </w:t>
      </w:r>
      <w:r w:rsidR="00395731">
        <w:rPr>
          <w:lang w:val="en-GB"/>
        </w:rPr>
        <w:t>are</w:t>
      </w:r>
      <w:r w:rsidR="00395731" w:rsidRPr="00F32D6B">
        <w:rPr>
          <w:lang w:val="en-GB"/>
        </w:rPr>
        <w:t xml:space="preserve"> </w:t>
      </w:r>
      <w:r w:rsidRPr="00F32D6B">
        <w:rPr>
          <w:lang w:val="en-GB"/>
        </w:rPr>
        <w:t xml:space="preserve">colour–coded according to strength:  </w:t>
      </w:r>
    </w:p>
    <w:p w14:paraId="5A12998B" w14:textId="77777777" w:rsidR="00F32D6B" w:rsidRPr="00F32D6B" w:rsidRDefault="00F32D6B" w:rsidP="00F32D6B">
      <w:pPr>
        <w:pStyle w:val="BodyText"/>
        <w:numPr>
          <w:ilvl w:val="0"/>
          <w:numId w:val="48"/>
        </w:numPr>
        <w:rPr>
          <w:lang w:val="en-GB"/>
        </w:rPr>
      </w:pPr>
      <w:r w:rsidRPr="00F32D6B">
        <w:rPr>
          <w:lang w:val="en-GB"/>
        </w:rPr>
        <w:t>15 mg/1.5 mL (10 mg/mL) (blue)</w:t>
      </w:r>
    </w:p>
    <w:p w14:paraId="169951A6" w14:textId="77777777" w:rsidR="00F32D6B" w:rsidRPr="00F32D6B" w:rsidRDefault="00F32D6B" w:rsidP="00F32D6B">
      <w:pPr>
        <w:pStyle w:val="BodyText"/>
        <w:numPr>
          <w:ilvl w:val="0"/>
          <w:numId w:val="48"/>
        </w:numPr>
        <w:rPr>
          <w:lang w:val="en-GB"/>
        </w:rPr>
      </w:pPr>
      <w:r w:rsidRPr="00F32D6B">
        <w:rPr>
          <w:lang w:val="en-GB"/>
        </w:rPr>
        <w:t>60 mg/1.5 mL (40 mg/mL) (brown)</w:t>
      </w:r>
    </w:p>
    <w:p w14:paraId="12DE1337" w14:textId="77777777" w:rsidR="00F32D6B" w:rsidRPr="00F32D6B" w:rsidRDefault="00F32D6B" w:rsidP="00F32D6B">
      <w:pPr>
        <w:pStyle w:val="BodyText"/>
        <w:numPr>
          <w:ilvl w:val="0"/>
          <w:numId w:val="48"/>
        </w:numPr>
        <w:rPr>
          <w:lang w:val="en-GB"/>
        </w:rPr>
      </w:pPr>
      <w:r w:rsidRPr="00F32D6B">
        <w:rPr>
          <w:lang w:val="en-GB"/>
        </w:rPr>
        <w:t>150 mg/1.5 mL (100 mg/mL) (gold)</w:t>
      </w:r>
    </w:p>
    <w:p w14:paraId="6C93EA83" w14:textId="77777777" w:rsidR="00F32D6B" w:rsidRPr="00F32D6B" w:rsidRDefault="00F32D6B" w:rsidP="00F32D6B">
      <w:pPr>
        <w:pStyle w:val="BodyText"/>
        <w:numPr>
          <w:ilvl w:val="0"/>
          <w:numId w:val="48"/>
        </w:numPr>
        <w:rPr>
          <w:lang w:val="en-GB"/>
        </w:rPr>
      </w:pPr>
      <w:r w:rsidRPr="00F32D6B">
        <w:rPr>
          <w:lang w:val="en-GB"/>
        </w:rPr>
        <w:t>300 mg/3 mL (100 mg/mL) (gold)</w:t>
      </w:r>
    </w:p>
    <w:p w14:paraId="01989303" w14:textId="4C35A36E" w:rsidR="00F32D6B" w:rsidRPr="00F32D6B" w:rsidRDefault="00F32D6B" w:rsidP="00F32D6B">
      <w:pPr>
        <w:pStyle w:val="BodyText"/>
        <w:rPr>
          <w:lang w:val="en-GB"/>
        </w:rPr>
      </w:pPr>
      <w:r w:rsidRPr="00F32D6B">
        <w:rPr>
          <w:lang w:val="en-GB"/>
        </w:rPr>
        <w:t xml:space="preserve">The pre-filled pen is packed in a carton. </w:t>
      </w:r>
      <w:r w:rsidR="00D30A4F" w:rsidRPr="00D30A4F">
        <w:rPr>
          <w:lang w:val="en-GB"/>
        </w:rPr>
        <w:t>Alhemo</w:t>
      </w:r>
      <w:r w:rsidRPr="00F32D6B">
        <w:rPr>
          <w:lang w:val="en-GB"/>
        </w:rPr>
        <w:t xml:space="preserve"> is available in pack size containing 1 or 5 pens. Not all pack sizes may be marketed</w:t>
      </w:r>
      <w:r w:rsidR="003D4486">
        <w:rPr>
          <w:lang w:val="en-GB"/>
        </w:rPr>
        <w:t xml:space="preserve"> in a particular region</w:t>
      </w:r>
      <w:r w:rsidRPr="00F32D6B">
        <w:rPr>
          <w:lang w:val="en-GB"/>
        </w:rPr>
        <w:t xml:space="preserve">. Injection needles are not included. </w:t>
      </w:r>
    </w:p>
    <w:p w14:paraId="554C9176" w14:textId="5C4721BF" w:rsidR="00F32D6B" w:rsidRPr="00F32D6B" w:rsidRDefault="00D30A4F" w:rsidP="00F32D6B">
      <w:pPr>
        <w:pStyle w:val="BodyText"/>
        <w:rPr>
          <w:lang w:val="en-GB"/>
        </w:rPr>
      </w:pPr>
      <w:r w:rsidRPr="00D30A4F">
        <w:rPr>
          <w:lang w:val="en-GB"/>
        </w:rPr>
        <w:t>Alhemo</w:t>
      </w:r>
      <w:r w:rsidR="00F32D6B" w:rsidRPr="00F32D6B">
        <w:rPr>
          <w:lang w:val="en-GB"/>
        </w:rPr>
        <w:t xml:space="preserve"> is recommended to be used with NovoFine</w:t>
      </w:r>
      <w:r w:rsidR="00F32D6B" w:rsidRPr="00F32D6B">
        <w:rPr>
          <w:vertAlign w:val="superscript"/>
          <w:lang w:val="en-GB"/>
        </w:rPr>
        <w:t>®</w:t>
      </w:r>
      <w:r w:rsidR="00F32D6B" w:rsidRPr="00F32D6B">
        <w:rPr>
          <w:lang w:val="en-GB"/>
        </w:rPr>
        <w:t xml:space="preserve"> Plus </w:t>
      </w:r>
      <w:r w:rsidR="006457BA">
        <w:rPr>
          <w:lang w:val="en-GB"/>
        </w:rPr>
        <w:t>or NovoFine</w:t>
      </w:r>
      <w:r w:rsidR="006457BA" w:rsidRPr="006457BA">
        <w:rPr>
          <w:vertAlign w:val="superscript"/>
          <w:lang w:val="en-GB"/>
        </w:rPr>
        <w:t>®</w:t>
      </w:r>
      <w:r w:rsidR="006457BA">
        <w:rPr>
          <w:lang w:val="en-GB"/>
        </w:rPr>
        <w:t xml:space="preserve"> </w:t>
      </w:r>
      <w:r w:rsidR="00F32D6B" w:rsidRPr="00F32D6B">
        <w:rPr>
          <w:lang w:val="en-GB"/>
        </w:rPr>
        <w:t>needles with a gauge of 32 and a length of 4 mm. If needles longer than 4 mm are used, injection techniques that minimise the risk of intramuscular injection should be used.</w:t>
      </w:r>
    </w:p>
    <w:p w14:paraId="75753E9F" w14:textId="77777777" w:rsidR="00F32D6B" w:rsidRPr="00F32D6B" w:rsidRDefault="00F32D6B" w:rsidP="00F32D6B">
      <w:pPr>
        <w:pStyle w:val="BodyText"/>
        <w:rPr>
          <w:u w:val="single"/>
          <w:lang w:val="en-GB"/>
        </w:rPr>
      </w:pPr>
      <w:r w:rsidRPr="00F32D6B">
        <w:rPr>
          <w:u w:val="single"/>
          <w:lang w:val="en-GB"/>
        </w:rPr>
        <w:t>Choice of product strength and volume</w:t>
      </w:r>
    </w:p>
    <w:p w14:paraId="2DF04E80" w14:textId="3940CA80" w:rsidR="00F32D6B" w:rsidRPr="00F32D6B" w:rsidRDefault="00F32D6B" w:rsidP="00F32D6B">
      <w:pPr>
        <w:pStyle w:val="BodyText"/>
        <w:rPr>
          <w:lang w:val="en-GB"/>
        </w:rPr>
      </w:pPr>
      <w:r w:rsidRPr="00F32D6B">
        <w:rPr>
          <w:lang w:val="en-GB"/>
        </w:rPr>
        <w:t xml:space="preserve">Based on technical features, the </w:t>
      </w:r>
      <w:r w:rsidR="00D30A4F" w:rsidRPr="00D30A4F">
        <w:rPr>
          <w:lang w:val="en-GB"/>
        </w:rPr>
        <w:t>Alhemo</w:t>
      </w:r>
      <w:r w:rsidRPr="00F32D6B">
        <w:rPr>
          <w:lang w:val="en-GB"/>
        </w:rPr>
        <w:t xml:space="preserve"> pens can accommodate the following body weight ranges:</w:t>
      </w:r>
    </w:p>
    <w:p w14:paraId="77005E56" w14:textId="77777777" w:rsidR="00F32D6B" w:rsidRPr="00F32D6B" w:rsidRDefault="00F32D6B" w:rsidP="00FF16D2">
      <w:pPr>
        <w:pStyle w:val="BodyText"/>
        <w:keepNext/>
        <w:keepLines/>
        <w:rPr>
          <w:lang w:val="en-GB"/>
        </w:rPr>
      </w:pPr>
      <w:r w:rsidRPr="00F32D6B">
        <w:rPr>
          <w:i/>
          <w:iCs/>
          <w:lang w:val="en-GB"/>
        </w:rPr>
        <w:lastRenderedPageBreak/>
        <w:t>For patients on a daily dose of 0.15 mg/kg body weight</w:t>
      </w:r>
    </w:p>
    <w:tbl>
      <w:tblPr>
        <w:tblStyle w:val="TableGrid"/>
        <w:tblW w:w="0" w:type="auto"/>
        <w:tblLook w:val="04A0" w:firstRow="1" w:lastRow="0" w:firstColumn="1" w:lastColumn="0" w:noHBand="0" w:noVBand="1"/>
      </w:tblPr>
      <w:tblGrid>
        <w:gridCol w:w="4515"/>
        <w:gridCol w:w="4501"/>
      </w:tblGrid>
      <w:tr w:rsidR="00F32D6B" w:rsidRPr="007D5C61" w14:paraId="489DCB0A" w14:textId="77777777" w:rsidTr="007D5C61">
        <w:tc>
          <w:tcPr>
            <w:tcW w:w="4811" w:type="dxa"/>
            <w:shd w:val="clear" w:color="auto" w:fill="D9D9D9" w:themeFill="background1" w:themeFillShade="D9"/>
          </w:tcPr>
          <w:p w14:paraId="64300147" w14:textId="77777777" w:rsidR="00F32D6B" w:rsidRPr="007D5C61" w:rsidRDefault="00F32D6B" w:rsidP="00FF16D2">
            <w:pPr>
              <w:pStyle w:val="Tabletext"/>
              <w:keepNext/>
              <w:keepLines/>
              <w:rPr>
                <w:b/>
                <w:bCs/>
                <w:sz w:val="24"/>
                <w:szCs w:val="32"/>
              </w:rPr>
            </w:pPr>
            <w:r w:rsidRPr="007D5C61">
              <w:rPr>
                <w:b/>
                <w:bCs/>
                <w:sz w:val="24"/>
                <w:szCs w:val="32"/>
              </w:rPr>
              <w:t>Product strength</w:t>
            </w:r>
          </w:p>
        </w:tc>
        <w:tc>
          <w:tcPr>
            <w:tcW w:w="4811" w:type="dxa"/>
            <w:shd w:val="clear" w:color="auto" w:fill="D9D9D9" w:themeFill="background1" w:themeFillShade="D9"/>
          </w:tcPr>
          <w:p w14:paraId="20ADDA56" w14:textId="77777777" w:rsidR="00F32D6B" w:rsidRPr="007D5C61" w:rsidRDefault="00F32D6B" w:rsidP="00FF16D2">
            <w:pPr>
              <w:pStyle w:val="Tabletext"/>
              <w:keepNext/>
              <w:keepLines/>
              <w:rPr>
                <w:b/>
                <w:bCs/>
                <w:sz w:val="24"/>
                <w:szCs w:val="32"/>
              </w:rPr>
            </w:pPr>
            <w:r w:rsidRPr="007D5C61">
              <w:rPr>
                <w:b/>
                <w:bCs/>
                <w:sz w:val="24"/>
                <w:szCs w:val="32"/>
              </w:rPr>
              <w:t>Body weight</w:t>
            </w:r>
          </w:p>
        </w:tc>
      </w:tr>
      <w:tr w:rsidR="00F32D6B" w:rsidRPr="007D5C61" w14:paraId="7BF79D7A" w14:textId="77777777" w:rsidTr="00434D4D">
        <w:tc>
          <w:tcPr>
            <w:tcW w:w="4811" w:type="dxa"/>
          </w:tcPr>
          <w:p w14:paraId="68832881" w14:textId="77777777" w:rsidR="00F32D6B" w:rsidRPr="007D5C61" w:rsidRDefault="00F32D6B" w:rsidP="00FF16D2">
            <w:pPr>
              <w:pStyle w:val="Tabletext"/>
              <w:keepNext/>
              <w:keepLines/>
              <w:rPr>
                <w:sz w:val="24"/>
                <w:szCs w:val="32"/>
                <w:lang w:val="da-DK"/>
              </w:rPr>
            </w:pPr>
            <w:r w:rsidRPr="007D5C61">
              <w:rPr>
                <w:sz w:val="24"/>
                <w:szCs w:val="32"/>
                <w:lang w:val="da-DK"/>
              </w:rPr>
              <w:t>15 mg/1.5 mL (10 mg/mL)</w:t>
            </w:r>
          </w:p>
        </w:tc>
        <w:tc>
          <w:tcPr>
            <w:tcW w:w="4811" w:type="dxa"/>
          </w:tcPr>
          <w:p w14:paraId="0AB5CFF5" w14:textId="77777777" w:rsidR="00F32D6B" w:rsidRPr="007D5C61" w:rsidRDefault="00F32D6B" w:rsidP="00FF16D2">
            <w:pPr>
              <w:pStyle w:val="Tabletext"/>
              <w:keepNext/>
              <w:keepLines/>
              <w:rPr>
                <w:sz w:val="24"/>
                <w:szCs w:val="32"/>
              </w:rPr>
            </w:pPr>
            <w:r w:rsidRPr="007D5C61">
              <w:rPr>
                <w:sz w:val="24"/>
                <w:szCs w:val="32"/>
              </w:rPr>
              <w:t>5-53 kg</w:t>
            </w:r>
          </w:p>
        </w:tc>
      </w:tr>
      <w:tr w:rsidR="00F32D6B" w:rsidRPr="007D5C61" w14:paraId="457226BE" w14:textId="77777777" w:rsidTr="00434D4D">
        <w:tc>
          <w:tcPr>
            <w:tcW w:w="4811" w:type="dxa"/>
          </w:tcPr>
          <w:p w14:paraId="6561495A" w14:textId="77777777" w:rsidR="00F32D6B" w:rsidRPr="007D5C61" w:rsidRDefault="00F32D6B" w:rsidP="00FF16D2">
            <w:pPr>
              <w:pStyle w:val="Tabletext"/>
              <w:keepNext/>
              <w:keepLines/>
              <w:rPr>
                <w:sz w:val="24"/>
                <w:szCs w:val="32"/>
                <w:lang w:val="da-DK"/>
              </w:rPr>
            </w:pPr>
            <w:r w:rsidRPr="007D5C61">
              <w:rPr>
                <w:sz w:val="24"/>
                <w:szCs w:val="32"/>
                <w:lang w:val="da-DK"/>
              </w:rPr>
              <w:t>60 mg/1.5 mL (40 mg/mL)</w:t>
            </w:r>
          </w:p>
        </w:tc>
        <w:tc>
          <w:tcPr>
            <w:tcW w:w="4811" w:type="dxa"/>
          </w:tcPr>
          <w:p w14:paraId="60480199" w14:textId="77777777" w:rsidR="00F32D6B" w:rsidRPr="007D5C61" w:rsidRDefault="00F32D6B" w:rsidP="00FF16D2">
            <w:pPr>
              <w:pStyle w:val="Tabletext"/>
              <w:keepNext/>
              <w:keepLines/>
              <w:rPr>
                <w:sz w:val="24"/>
                <w:szCs w:val="32"/>
              </w:rPr>
            </w:pPr>
            <w:r w:rsidRPr="007D5C61">
              <w:rPr>
                <w:sz w:val="24"/>
                <w:szCs w:val="32"/>
              </w:rPr>
              <w:t>19-213 kg</w:t>
            </w:r>
          </w:p>
        </w:tc>
      </w:tr>
      <w:tr w:rsidR="00F32D6B" w:rsidRPr="007D5C61" w14:paraId="591E07FE" w14:textId="77777777" w:rsidTr="00434D4D">
        <w:tc>
          <w:tcPr>
            <w:tcW w:w="4811" w:type="dxa"/>
          </w:tcPr>
          <w:p w14:paraId="474530E6" w14:textId="77777777" w:rsidR="00F32D6B" w:rsidRPr="007D5C61" w:rsidRDefault="00F32D6B" w:rsidP="00FF16D2">
            <w:pPr>
              <w:pStyle w:val="Tabletext"/>
              <w:keepNext/>
              <w:keepLines/>
              <w:rPr>
                <w:sz w:val="24"/>
                <w:szCs w:val="32"/>
                <w:lang w:val="da-DK"/>
              </w:rPr>
            </w:pPr>
            <w:r w:rsidRPr="007D5C61">
              <w:rPr>
                <w:sz w:val="24"/>
                <w:szCs w:val="32"/>
                <w:lang w:val="da-DK"/>
              </w:rPr>
              <w:t>150 mg/1.5 mL (100 mg/mL)</w:t>
            </w:r>
          </w:p>
        </w:tc>
        <w:tc>
          <w:tcPr>
            <w:tcW w:w="4811" w:type="dxa"/>
          </w:tcPr>
          <w:p w14:paraId="4471B448" w14:textId="77777777" w:rsidR="00F32D6B" w:rsidRPr="007D5C61" w:rsidRDefault="00F32D6B" w:rsidP="00FF16D2">
            <w:pPr>
              <w:pStyle w:val="Tabletext"/>
              <w:keepNext/>
              <w:keepLines/>
              <w:rPr>
                <w:sz w:val="24"/>
                <w:szCs w:val="32"/>
              </w:rPr>
            </w:pPr>
            <w:r w:rsidRPr="007D5C61">
              <w:rPr>
                <w:sz w:val="24"/>
                <w:szCs w:val="32"/>
              </w:rPr>
              <w:t>47 kg and above</w:t>
            </w:r>
          </w:p>
        </w:tc>
      </w:tr>
      <w:tr w:rsidR="00F32D6B" w:rsidRPr="007D5C61" w14:paraId="152F9BA9" w14:textId="77777777" w:rsidTr="00434D4D">
        <w:tc>
          <w:tcPr>
            <w:tcW w:w="4811" w:type="dxa"/>
          </w:tcPr>
          <w:p w14:paraId="7025934E" w14:textId="77777777" w:rsidR="00F32D6B" w:rsidRPr="007D5C61" w:rsidRDefault="00F32D6B" w:rsidP="00FF16D2">
            <w:pPr>
              <w:pStyle w:val="Tabletext"/>
              <w:keepNext/>
              <w:keepLines/>
              <w:rPr>
                <w:sz w:val="24"/>
                <w:szCs w:val="32"/>
                <w:lang w:val="da-DK"/>
              </w:rPr>
            </w:pPr>
            <w:r w:rsidRPr="007D5C61">
              <w:rPr>
                <w:sz w:val="24"/>
                <w:szCs w:val="32"/>
                <w:lang w:val="da-DK"/>
              </w:rPr>
              <w:t>300 mg/3 mL (100 mg/mL)</w:t>
            </w:r>
          </w:p>
        </w:tc>
        <w:tc>
          <w:tcPr>
            <w:tcW w:w="4811" w:type="dxa"/>
          </w:tcPr>
          <w:p w14:paraId="6C911716" w14:textId="77777777" w:rsidR="00F32D6B" w:rsidRPr="007D5C61" w:rsidRDefault="00F32D6B" w:rsidP="00FF16D2">
            <w:pPr>
              <w:pStyle w:val="Tabletext"/>
              <w:keepNext/>
              <w:keepLines/>
              <w:rPr>
                <w:sz w:val="24"/>
                <w:szCs w:val="32"/>
              </w:rPr>
            </w:pPr>
            <w:r w:rsidRPr="007D5C61">
              <w:rPr>
                <w:sz w:val="24"/>
                <w:szCs w:val="32"/>
              </w:rPr>
              <w:t>73 kg and above</w:t>
            </w:r>
          </w:p>
        </w:tc>
      </w:tr>
    </w:tbl>
    <w:p w14:paraId="08A3E9D8" w14:textId="77777777" w:rsidR="00F32D6B" w:rsidRPr="00F32D6B" w:rsidRDefault="00F32D6B" w:rsidP="00F32D6B">
      <w:pPr>
        <w:pStyle w:val="BodyText"/>
        <w:rPr>
          <w:i/>
          <w:iCs/>
          <w:lang w:val="en-GB"/>
        </w:rPr>
      </w:pPr>
      <w:r w:rsidRPr="00F32D6B">
        <w:rPr>
          <w:i/>
          <w:iCs/>
          <w:lang w:val="en-GB"/>
        </w:rPr>
        <w:t>For patients on a daily dose of 0.20 mg/kg body weight</w:t>
      </w:r>
    </w:p>
    <w:tbl>
      <w:tblPr>
        <w:tblStyle w:val="TableGrid"/>
        <w:tblW w:w="0" w:type="auto"/>
        <w:tblLook w:val="04A0" w:firstRow="1" w:lastRow="0" w:firstColumn="1" w:lastColumn="0" w:noHBand="0" w:noVBand="1"/>
      </w:tblPr>
      <w:tblGrid>
        <w:gridCol w:w="4515"/>
        <w:gridCol w:w="4501"/>
      </w:tblGrid>
      <w:tr w:rsidR="00F32D6B" w:rsidRPr="007D5C61" w14:paraId="485B0E12" w14:textId="77777777" w:rsidTr="007D5C61">
        <w:tc>
          <w:tcPr>
            <w:tcW w:w="4811" w:type="dxa"/>
            <w:shd w:val="clear" w:color="auto" w:fill="D9D9D9" w:themeFill="background1" w:themeFillShade="D9"/>
          </w:tcPr>
          <w:p w14:paraId="134EBA3F" w14:textId="77777777" w:rsidR="00F32D6B" w:rsidRPr="007D5C61" w:rsidRDefault="00F32D6B" w:rsidP="00F32D6B">
            <w:pPr>
              <w:pStyle w:val="Tabletext"/>
              <w:rPr>
                <w:b/>
                <w:bCs/>
                <w:sz w:val="24"/>
                <w:szCs w:val="32"/>
              </w:rPr>
            </w:pPr>
            <w:r w:rsidRPr="007D5C61">
              <w:rPr>
                <w:b/>
                <w:bCs/>
                <w:sz w:val="24"/>
                <w:szCs w:val="32"/>
              </w:rPr>
              <w:t>Product strength</w:t>
            </w:r>
          </w:p>
        </w:tc>
        <w:tc>
          <w:tcPr>
            <w:tcW w:w="4811" w:type="dxa"/>
            <w:shd w:val="clear" w:color="auto" w:fill="D9D9D9" w:themeFill="background1" w:themeFillShade="D9"/>
          </w:tcPr>
          <w:p w14:paraId="4E4BADE5" w14:textId="77777777" w:rsidR="00F32D6B" w:rsidRPr="007D5C61" w:rsidRDefault="00F32D6B" w:rsidP="00F32D6B">
            <w:pPr>
              <w:pStyle w:val="Tabletext"/>
              <w:rPr>
                <w:b/>
                <w:bCs/>
                <w:sz w:val="24"/>
                <w:szCs w:val="32"/>
              </w:rPr>
            </w:pPr>
            <w:r w:rsidRPr="007D5C61">
              <w:rPr>
                <w:b/>
                <w:bCs/>
                <w:sz w:val="24"/>
                <w:szCs w:val="32"/>
              </w:rPr>
              <w:t>Body weight</w:t>
            </w:r>
          </w:p>
        </w:tc>
      </w:tr>
      <w:tr w:rsidR="00F32D6B" w:rsidRPr="007D5C61" w14:paraId="47A48AED" w14:textId="77777777" w:rsidTr="00434D4D">
        <w:tc>
          <w:tcPr>
            <w:tcW w:w="4811" w:type="dxa"/>
          </w:tcPr>
          <w:p w14:paraId="6837A73F" w14:textId="77777777" w:rsidR="00F32D6B" w:rsidRPr="007D5C61" w:rsidRDefault="00F32D6B" w:rsidP="00F32D6B">
            <w:pPr>
              <w:pStyle w:val="Tabletext"/>
              <w:rPr>
                <w:sz w:val="24"/>
                <w:szCs w:val="32"/>
              </w:rPr>
            </w:pPr>
            <w:r w:rsidRPr="007D5C61">
              <w:rPr>
                <w:sz w:val="24"/>
                <w:szCs w:val="32"/>
                <w:lang w:val="da-DK"/>
              </w:rPr>
              <w:t>15 mg/1.5 mL (10 mg/mL)</w:t>
            </w:r>
          </w:p>
        </w:tc>
        <w:tc>
          <w:tcPr>
            <w:tcW w:w="4811" w:type="dxa"/>
          </w:tcPr>
          <w:p w14:paraId="3A180C81" w14:textId="77777777" w:rsidR="00F32D6B" w:rsidRPr="007D5C61" w:rsidRDefault="00F32D6B" w:rsidP="00F32D6B">
            <w:pPr>
              <w:pStyle w:val="Tabletext"/>
              <w:rPr>
                <w:sz w:val="24"/>
                <w:szCs w:val="32"/>
              </w:rPr>
            </w:pPr>
            <w:r w:rsidRPr="007D5C61">
              <w:rPr>
                <w:sz w:val="24"/>
                <w:szCs w:val="32"/>
              </w:rPr>
              <w:t>5-32 kg</w:t>
            </w:r>
          </w:p>
        </w:tc>
      </w:tr>
      <w:tr w:rsidR="00F32D6B" w:rsidRPr="007D5C61" w14:paraId="150181BA" w14:textId="77777777" w:rsidTr="00434D4D">
        <w:tc>
          <w:tcPr>
            <w:tcW w:w="4811" w:type="dxa"/>
          </w:tcPr>
          <w:p w14:paraId="0E728CAE" w14:textId="77777777" w:rsidR="00F32D6B" w:rsidRPr="007D5C61" w:rsidRDefault="00F32D6B" w:rsidP="00F32D6B">
            <w:pPr>
              <w:pStyle w:val="Tabletext"/>
              <w:rPr>
                <w:sz w:val="24"/>
                <w:szCs w:val="32"/>
              </w:rPr>
            </w:pPr>
            <w:r w:rsidRPr="007D5C61">
              <w:rPr>
                <w:sz w:val="24"/>
                <w:szCs w:val="32"/>
                <w:lang w:val="da-DK"/>
              </w:rPr>
              <w:t>60 mg/1.5 mL (40 mg/mL)</w:t>
            </w:r>
          </w:p>
        </w:tc>
        <w:tc>
          <w:tcPr>
            <w:tcW w:w="4811" w:type="dxa"/>
          </w:tcPr>
          <w:p w14:paraId="5B8B95DF" w14:textId="77777777" w:rsidR="00F32D6B" w:rsidRPr="007D5C61" w:rsidRDefault="00F32D6B" w:rsidP="00F32D6B">
            <w:pPr>
              <w:pStyle w:val="Tabletext"/>
              <w:rPr>
                <w:sz w:val="24"/>
                <w:szCs w:val="32"/>
              </w:rPr>
            </w:pPr>
            <w:r w:rsidRPr="007D5C61">
              <w:rPr>
                <w:sz w:val="24"/>
                <w:szCs w:val="32"/>
              </w:rPr>
              <w:t>19-128 kg</w:t>
            </w:r>
          </w:p>
        </w:tc>
      </w:tr>
      <w:tr w:rsidR="00F32D6B" w:rsidRPr="007D5C61" w14:paraId="4C59145D" w14:textId="77777777" w:rsidTr="00434D4D">
        <w:tc>
          <w:tcPr>
            <w:tcW w:w="4811" w:type="dxa"/>
          </w:tcPr>
          <w:p w14:paraId="75DA7DC1" w14:textId="77777777" w:rsidR="00F32D6B" w:rsidRPr="007D5C61" w:rsidRDefault="00F32D6B" w:rsidP="00F32D6B">
            <w:pPr>
              <w:pStyle w:val="Tabletext"/>
              <w:rPr>
                <w:sz w:val="24"/>
                <w:szCs w:val="32"/>
              </w:rPr>
            </w:pPr>
            <w:r w:rsidRPr="007D5C61">
              <w:rPr>
                <w:sz w:val="24"/>
                <w:szCs w:val="32"/>
                <w:lang w:val="da-DK"/>
              </w:rPr>
              <w:t>150 mg/1.5 mL (100 mg/mL)</w:t>
            </w:r>
          </w:p>
        </w:tc>
        <w:tc>
          <w:tcPr>
            <w:tcW w:w="4811" w:type="dxa"/>
          </w:tcPr>
          <w:p w14:paraId="5A17565D" w14:textId="77777777" w:rsidR="00F32D6B" w:rsidRPr="007D5C61" w:rsidRDefault="00F32D6B" w:rsidP="00F32D6B">
            <w:pPr>
              <w:pStyle w:val="Tabletext"/>
              <w:rPr>
                <w:sz w:val="24"/>
                <w:szCs w:val="32"/>
              </w:rPr>
            </w:pPr>
            <w:r w:rsidRPr="007D5C61">
              <w:rPr>
                <w:sz w:val="24"/>
                <w:szCs w:val="32"/>
              </w:rPr>
              <w:t>47 kg and above</w:t>
            </w:r>
          </w:p>
        </w:tc>
      </w:tr>
      <w:tr w:rsidR="00F32D6B" w:rsidRPr="007D5C61" w14:paraId="5B6CA432" w14:textId="77777777" w:rsidTr="00434D4D">
        <w:tc>
          <w:tcPr>
            <w:tcW w:w="4811" w:type="dxa"/>
          </w:tcPr>
          <w:p w14:paraId="106F00D1" w14:textId="77777777" w:rsidR="00F32D6B" w:rsidRPr="007D5C61" w:rsidRDefault="00F32D6B" w:rsidP="00F32D6B">
            <w:pPr>
              <w:pStyle w:val="Tabletext"/>
              <w:rPr>
                <w:sz w:val="24"/>
                <w:szCs w:val="32"/>
              </w:rPr>
            </w:pPr>
            <w:r w:rsidRPr="007D5C61">
              <w:rPr>
                <w:sz w:val="24"/>
                <w:szCs w:val="32"/>
                <w:lang w:val="da-DK"/>
              </w:rPr>
              <w:t>300 mg/3 mL (100 mg/mL)</w:t>
            </w:r>
          </w:p>
        </w:tc>
        <w:tc>
          <w:tcPr>
            <w:tcW w:w="4811" w:type="dxa"/>
          </w:tcPr>
          <w:p w14:paraId="0D7EFAEA" w14:textId="77777777" w:rsidR="00F32D6B" w:rsidRPr="007D5C61" w:rsidRDefault="00F32D6B" w:rsidP="00F32D6B">
            <w:pPr>
              <w:pStyle w:val="Tabletext"/>
              <w:rPr>
                <w:sz w:val="24"/>
                <w:szCs w:val="32"/>
              </w:rPr>
            </w:pPr>
            <w:r w:rsidRPr="007D5C61">
              <w:rPr>
                <w:sz w:val="24"/>
                <w:szCs w:val="32"/>
              </w:rPr>
              <w:t>73 kg and above</w:t>
            </w:r>
          </w:p>
        </w:tc>
      </w:tr>
    </w:tbl>
    <w:p w14:paraId="5009F239" w14:textId="77777777" w:rsidR="00F32D6B" w:rsidRPr="00F32D6B" w:rsidRDefault="00F32D6B" w:rsidP="00F32D6B">
      <w:pPr>
        <w:pStyle w:val="BodyText"/>
        <w:rPr>
          <w:i/>
          <w:iCs/>
          <w:lang w:val="en-GB"/>
        </w:rPr>
      </w:pPr>
      <w:r w:rsidRPr="00F32D6B">
        <w:rPr>
          <w:i/>
          <w:iCs/>
          <w:lang w:val="en-GB"/>
        </w:rPr>
        <w:t>For patients on a daily dose of 0.25 mg/kg body weight</w:t>
      </w:r>
    </w:p>
    <w:tbl>
      <w:tblPr>
        <w:tblStyle w:val="TableGrid"/>
        <w:tblW w:w="0" w:type="auto"/>
        <w:tblLook w:val="04A0" w:firstRow="1" w:lastRow="0" w:firstColumn="1" w:lastColumn="0" w:noHBand="0" w:noVBand="1"/>
      </w:tblPr>
      <w:tblGrid>
        <w:gridCol w:w="4515"/>
        <w:gridCol w:w="4501"/>
      </w:tblGrid>
      <w:tr w:rsidR="00F32D6B" w:rsidRPr="007D5C61" w14:paraId="44C829AE" w14:textId="77777777" w:rsidTr="007D5C61">
        <w:tc>
          <w:tcPr>
            <w:tcW w:w="4811" w:type="dxa"/>
            <w:shd w:val="clear" w:color="auto" w:fill="D9D9D9" w:themeFill="background1" w:themeFillShade="D9"/>
          </w:tcPr>
          <w:p w14:paraId="289E6121" w14:textId="77777777" w:rsidR="00F32D6B" w:rsidRPr="007D5C61" w:rsidRDefault="00F32D6B" w:rsidP="00F32D6B">
            <w:pPr>
              <w:pStyle w:val="Tabletext"/>
              <w:rPr>
                <w:b/>
                <w:bCs/>
                <w:sz w:val="24"/>
                <w:szCs w:val="32"/>
              </w:rPr>
            </w:pPr>
            <w:r w:rsidRPr="007D5C61">
              <w:rPr>
                <w:b/>
                <w:bCs/>
                <w:sz w:val="24"/>
                <w:szCs w:val="32"/>
              </w:rPr>
              <w:t>Product strength</w:t>
            </w:r>
          </w:p>
        </w:tc>
        <w:tc>
          <w:tcPr>
            <w:tcW w:w="4811" w:type="dxa"/>
            <w:shd w:val="clear" w:color="auto" w:fill="D9D9D9" w:themeFill="background1" w:themeFillShade="D9"/>
          </w:tcPr>
          <w:p w14:paraId="5F010275" w14:textId="77777777" w:rsidR="00F32D6B" w:rsidRPr="007D5C61" w:rsidRDefault="00F32D6B" w:rsidP="00F32D6B">
            <w:pPr>
              <w:pStyle w:val="Tabletext"/>
              <w:rPr>
                <w:b/>
                <w:bCs/>
                <w:sz w:val="24"/>
                <w:szCs w:val="32"/>
              </w:rPr>
            </w:pPr>
            <w:r w:rsidRPr="007D5C61">
              <w:rPr>
                <w:b/>
                <w:bCs/>
                <w:sz w:val="24"/>
                <w:szCs w:val="32"/>
              </w:rPr>
              <w:t>Body weight</w:t>
            </w:r>
          </w:p>
        </w:tc>
      </w:tr>
      <w:tr w:rsidR="00F32D6B" w:rsidRPr="007D5C61" w14:paraId="4BD24D69" w14:textId="77777777" w:rsidTr="00434D4D">
        <w:tc>
          <w:tcPr>
            <w:tcW w:w="4811" w:type="dxa"/>
          </w:tcPr>
          <w:p w14:paraId="4DF3D69F" w14:textId="77777777" w:rsidR="00F32D6B" w:rsidRPr="007D5C61" w:rsidRDefault="00F32D6B" w:rsidP="00F32D6B">
            <w:pPr>
              <w:pStyle w:val="Tabletext"/>
              <w:rPr>
                <w:sz w:val="24"/>
                <w:szCs w:val="32"/>
              </w:rPr>
            </w:pPr>
            <w:r w:rsidRPr="007D5C61">
              <w:rPr>
                <w:sz w:val="24"/>
                <w:szCs w:val="32"/>
                <w:lang w:val="da-DK"/>
              </w:rPr>
              <w:t>15 mg/1.5 mL (10 mg/mL)</w:t>
            </w:r>
          </w:p>
        </w:tc>
        <w:tc>
          <w:tcPr>
            <w:tcW w:w="4811" w:type="dxa"/>
          </w:tcPr>
          <w:p w14:paraId="1E7D6682" w14:textId="77777777" w:rsidR="00F32D6B" w:rsidRPr="007D5C61" w:rsidRDefault="00F32D6B" w:rsidP="00F32D6B">
            <w:pPr>
              <w:pStyle w:val="Tabletext"/>
              <w:rPr>
                <w:sz w:val="24"/>
                <w:szCs w:val="32"/>
              </w:rPr>
            </w:pPr>
            <w:r w:rsidRPr="007D5C61">
              <w:rPr>
                <w:sz w:val="24"/>
                <w:szCs w:val="32"/>
              </w:rPr>
              <w:t>3-32 kg</w:t>
            </w:r>
          </w:p>
        </w:tc>
      </w:tr>
      <w:tr w:rsidR="00F32D6B" w:rsidRPr="007D5C61" w14:paraId="688AE855" w14:textId="77777777" w:rsidTr="00434D4D">
        <w:tc>
          <w:tcPr>
            <w:tcW w:w="4811" w:type="dxa"/>
          </w:tcPr>
          <w:p w14:paraId="5DF09A39" w14:textId="77777777" w:rsidR="00F32D6B" w:rsidRPr="007D5C61" w:rsidRDefault="00F32D6B" w:rsidP="00F32D6B">
            <w:pPr>
              <w:pStyle w:val="Tabletext"/>
              <w:rPr>
                <w:sz w:val="24"/>
                <w:szCs w:val="32"/>
              </w:rPr>
            </w:pPr>
            <w:r w:rsidRPr="007D5C61">
              <w:rPr>
                <w:sz w:val="24"/>
                <w:szCs w:val="32"/>
                <w:lang w:val="da-DK"/>
              </w:rPr>
              <w:t>60 mg/1.5 mL (40 mg/mL)</w:t>
            </w:r>
          </w:p>
        </w:tc>
        <w:tc>
          <w:tcPr>
            <w:tcW w:w="4811" w:type="dxa"/>
          </w:tcPr>
          <w:p w14:paraId="725957D1" w14:textId="77777777" w:rsidR="00F32D6B" w:rsidRPr="007D5C61" w:rsidRDefault="00F32D6B" w:rsidP="00F32D6B">
            <w:pPr>
              <w:pStyle w:val="Tabletext"/>
              <w:rPr>
                <w:sz w:val="24"/>
                <w:szCs w:val="32"/>
              </w:rPr>
            </w:pPr>
            <w:r w:rsidRPr="007D5C61">
              <w:rPr>
                <w:sz w:val="24"/>
                <w:szCs w:val="32"/>
              </w:rPr>
              <w:t>11-128 kg</w:t>
            </w:r>
          </w:p>
        </w:tc>
      </w:tr>
      <w:tr w:rsidR="00F32D6B" w:rsidRPr="007D5C61" w14:paraId="038B022A" w14:textId="77777777" w:rsidTr="00434D4D">
        <w:tc>
          <w:tcPr>
            <w:tcW w:w="4811" w:type="dxa"/>
          </w:tcPr>
          <w:p w14:paraId="33FFE503" w14:textId="77777777" w:rsidR="00F32D6B" w:rsidRPr="007D5C61" w:rsidRDefault="00F32D6B" w:rsidP="00F32D6B">
            <w:pPr>
              <w:pStyle w:val="Tabletext"/>
              <w:rPr>
                <w:sz w:val="24"/>
                <w:szCs w:val="32"/>
              </w:rPr>
            </w:pPr>
            <w:r w:rsidRPr="007D5C61">
              <w:rPr>
                <w:sz w:val="24"/>
                <w:szCs w:val="32"/>
                <w:lang w:val="da-DK"/>
              </w:rPr>
              <w:t>150 mg/1.5 mL (100 mg/mL)</w:t>
            </w:r>
          </w:p>
        </w:tc>
        <w:tc>
          <w:tcPr>
            <w:tcW w:w="4811" w:type="dxa"/>
          </w:tcPr>
          <w:p w14:paraId="7B017FA6" w14:textId="77777777" w:rsidR="00F32D6B" w:rsidRPr="007D5C61" w:rsidRDefault="00F32D6B" w:rsidP="00F32D6B">
            <w:pPr>
              <w:pStyle w:val="Tabletext"/>
              <w:rPr>
                <w:sz w:val="24"/>
                <w:szCs w:val="32"/>
              </w:rPr>
            </w:pPr>
            <w:r w:rsidRPr="007D5C61">
              <w:rPr>
                <w:sz w:val="24"/>
                <w:szCs w:val="32"/>
              </w:rPr>
              <w:t>28 kg and above</w:t>
            </w:r>
          </w:p>
        </w:tc>
      </w:tr>
      <w:tr w:rsidR="00F32D6B" w:rsidRPr="007D5C61" w14:paraId="31B0A362" w14:textId="77777777" w:rsidTr="00434D4D">
        <w:tc>
          <w:tcPr>
            <w:tcW w:w="4811" w:type="dxa"/>
          </w:tcPr>
          <w:p w14:paraId="06DEA64E" w14:textId="77777777" w:rsidR="00F32D6B" w:rsidRPr="007D5C61" w:rsidRDefault="00F32D6B" w:rsidP="00F32D6B">
            <w:pPr>
              <w:pStyle w:val="Tabletext"/>
              <w:rPr>
                <w:sz w:val="24"/>
                <w:szCs w:val="32"/>
              </w:rPr>
            </w:pPr>
            <w:r w:rsidRPr="007D5C61">
              <w:rPr>
                <w:sz w:val="24"/>
                <w:szCs w:val="32"/>
                <w:lang w:val="da-DK"/>
              </w:rPr>
              <w:t>300 mg/3 mL (100 mg/mL)</w:t>
            </w:r>
          </w:p>
        </w:tc>
        <w:tc>
          <w:tcPr>
            <w:tcW w:w="4811" w:type="dxa"/>
          </w:tcPr>
          <w:p w14:paraId="269EB5C9" w14:textId="77777777" w:rsidR="00F32D6B" w:rsidRPr="007D5C61" w:rsidRDefault="00F32D6B" w:rsidP="00F32D6B">
            <w:pPr>
              <w:pStyle w:val="Tabletext"/>
              <w:rPr>
                <w:sz w:val="24"/>
                <w:szCs w:val="32"/>
              </w:rPr>
            </w:pPr>
            <w:r w:rsidRPr="007D5C61">
              <w:rPr>
                <w:sz w:val="24"/>
                <w:szCs w:val="32"/>
              </w:rPr>
              <w:t>44 kg and above</w:t>
            </w:r>
          </w:p>
        </w:tc>
      </w:tr>
    </w:tbl>
    <w:p w14:paraId="19C791E5" w14:textId="5CAD388E" w:rsidR="005B2812" w:rsidRPr="006570D4" w:rsidRDefault="005B2812" w:rsidP="00EB541D">
      <w:pPr>
        <w:pStyle w:val="Heading2-TNR"/>
      </w:pPr>
      <w:r w:rsidRPr="006570D4">
        <w:t>Special precautions for disposal</w:t>
      </w:r>
      <w:fldSimple w:instr="DOCVARIABLE VAULT_ND_94937b04-fdfd-4602-babd-de2e678fff8c \* MERGEFORMAT">
        <w:r w:rsidR="00A8319D">
          <w:t xml:space="preserve"> </w:t>
        </w:r>
      </w:fldSimple>
    </w:p>
    <w:p w14:paraId="272967B9" w14:textId="77777777" w:rsidR="00F32D6B" w:rsidRPr="00F32D6B" w:rsidRDefault="00F32D6B" w:rsidP="00F32D6B">
      <w:pPr>
        <w:pStyle w:val="BodyText"/>
        <w:rPr>
          <w:lang w:val="en-GB"/>
        </w:rPr>
      </w:pPr>
      <w:r w:rsidRPr="00F32D6B">
        <w:rPr>
          <w:lang w:val="en-GB"/>
        </w:rPr>
        <w:t>Patients are advised to discard injection needles after each injection.</w:t>
      </w:r>
    </w:p>
    <w:p w14:paraId="3C2B7548" w14:textId="09EC9C3B" w:rsidR="005B2812" w:rsidRPr="003903B3" w:rsidRDefault="0021200F" w:rsidP="00B01E52">
      <w:pPr>
        <w:pStyle w:val="BodyText"/>
      </w:pPr>
      <w:r w:rsidRPr="003903B3">
        <w:t xml:space="preserve">In Australia, any unused medicine or waste material should be disposed of in accordance with local requirements. </w:t>
      </w:r>
    </w:p>
    <w:p w14:paraId="6A3F1209" w14:textId="78659DE0" w:rsidR="001A3992" w:rsidRPr="006570D4" w:rsidRDefault="001A3992" w:rsidP="00EB541D">
      <w:pPr>
        <w:pStyle w:val="Heading2-TNR"/>
      </w:pPr>
      <w:r w:rsidRPr="006570D4">
        <w:t>Physicochemical properties</w:t>
      </w:r>
      <w:fldSimple w:instr="DOCVARIABLE VAULT_ND_66fc174e-1419-4cfe-8277-9df6bae7ad7d \* MERGEFORMAT">
        <w:r w:rsidR="00A8319D">
          <w:t xml:space="preserve"> </w:t>
        </w:r>
      </w:fldSimple>
    </w:p>
    <w:p w14:paraId="10A3DD08" w14:textId="12CF4254" w:rsidR="001A3992" w:rsidRPr="003903B3" w:rsidRDefault="001A3992" w:rsidP="00B01E52">
      <w:pPr>
        <w:pStyle w:val="Heading3-TNR"/>
      </w:pPr>
      <w:r w:rsidRPr="003903B3">
        <w:t>Chemical structure</w:t>
      </w:r>
      <w:fldSimple w:instr="DOCVARIABLE vault_nd_0415f6a2-55c8-4377-a82c-347c83d7843a \* MERGEFORMAT">
        <w:r w:rsidR="00A8319D">
          <w:t xml:space="preserve"> </w:t>
        </w:r>
      </w:fldSimple>
    </w:p>
    <w:p w14:paraId="60CAF9DD" w14:textId="77777777" w:rsidR="002554A2" w:rsidRPr="002554A2" w:rsidRDefault="002554A2" w:rsidP="002554A2">
      <w:pPr>
        <w:pStyle w:val="BodyText"/>
      </w:pPr>
      <w:r w:rsidRPr="002554A2">
        <w:t>Concizumab (protein part):</w:t>
      </w:r>
    </w:p>
    <w:p w14:paraId="6EB628B2" w14:textId="65E06BB3" w:rsidR="002554A2" w:rsidRPr="003903B3" w:rsidRDefault="002554A2" w:rsidP="002554A2">
      <w:pPr>
        <w:pStyle w:val="BodyText"/>
      </w:pPr>
      <w:r w:rsidRPr="003903B3">
        <w:t>C</w:t>
      </w:r>
      <w:r w:rsidRPr="003903B3">
        <w:rPr>
          <w:vertAlign w:val="subscript"/>
        </w:rPr>
        <w:t>6462</w:t>
      </w:r>
      <w:r w:rsidRPr="003903B3">
        <w:t>H</w:t>
      </w:r>
      <w:r w:rsidRPr="003903B3">
        <w:rPr>
          <w:vertAlign w:val="subscript"/>
        </w:rPr>
        <w:t>10004</w:t>
      </w:r>
      <w:r w:rsidRPr="003903B3">
        <w:t>N</w:t>
      </w:r>
      <w:r w:rsidRPr="003903B3">
        <w:rPr>
          <w:vertAlign w:val="subscript"/>
        </w:rPr>
        <w:t>1712</w:t>
      </w:r>
      <w:r w:rsidRPr="003903B3">
        <w:t>O</w:t>
      </w:r>
      <w:r w:rsidRPr="003903B3">
        <w:rPr>
          <w:vertAlign w:val="subscript"/>
        </w:rPr>
        <w:t>2046</w:t>
      </w:r>
      <w:r w:rsidRPr="003903B3">
        <w:t>S</w:t>
      </w:r>
      <w:r w:rsidRPr="003903B3">
        <w:rPr>
          <w:vertAlign w:val="subscript"/>
        </w:rPr>
        <w:t>46</w:t>
      </w:r>
    </w:p>
    <w:p w14:paraId="796335BF" w14:textId="3B766FE5" w:rsidR="001A3992" w:rsidRPr="003903B3" w:rsidRDefault="001A3992" w:rsidP="00B01E52">
      <w:pPr>
        <w:pStyle w:val="Heading3-TNR"/>
      </w:pPr>
      <w:r w:rsidRPr="003903B3">
        <w:t>CAS number</w:t>
      </w:r>
      <w:fldSimple w:instr="DOCVARIABLE vault_nd_f41bc66a-37e7-4c76-bff4-3d41271edaa8 \* MERGEFORMAT">
        <w:r w:rsidR="00A8319D">
          <w:t xml:space="preserve"> </w:t>
        </w:r>
      </w:fldSimple>
    </w:p>
    <w:p w14:paraId="6E11E947" w14:textId="6974EDC1" w:rsidR="001A3992" w:rsidRPr="006570D4" w:rsidRDefault="001A3992" w:rsidP="00EB541D">
      <w:pPr>
        <w:pStyle w:val="Heading1-TNR"/>
      </w:pPr>
      <w:r w:rsidRPr="006570D4">
        <w:t>Medicine schedule (Poisons Standard)</w:t>
      </w:r>
      <w:fldSimple w:instr="DOCVARIABLE VAULT_ND_1be4f96c-be4e-4f68-a37f-17585944a2f7 \* MERGEFORMAT">
        <w:r w:rsidR="00A8319D">
          <w:t xml:space="preserve"> </w:t>
        </w:r>
      </w:fldSimple>
    </w:p>
    <w:p w14:paraId="5E0288E1" w14:textId="58A5475C" w:rsidR="00102F59" w:rsidRPr="00102F59" w:rsidRDefault="00102F59" w:rsidP="00102F59">
      <w:pPr>
        <w:pStyle w:val="BodyText"/>
      </w:pPr>
      <w:r>
        <w:t>Schedule 4 – Prescription Only Medicine</w:t>
      </w:r>
    </w:p>
    <w:p w14:paraId="402F439A" w14:textId="2093BA9B" w:rsidR="00285173" w:rsidRPr="006570D4" w:rsidRDefault="001A3992" w:rsidP="00EB541D">
      <w:pPr>
        <w:pStyle w:val="Heading1-TNR"/>
      </w:pPr>
      <w:r w:rsidRPr="006570D4">
        <w:t>Sponsor</w:t>
      </w:r>
      <w:fldSimple w:instr="DOCVARIABLE VAULT_ND_b786352f-4919-4563-9435-c313e161d18b \* MERGEFORMAT">
        <w:r w:rsidR="00A8319D">
          <w:t xml:space="preserve"> </w:t>
        </w:r>
      </w:fldSimple>
    </w:p>
    <w:p w14:paraId="01B83FE9" w14:textId="61362A85" w:rsidR="00102F59" w:rsidRPr="00102F59" w:rsidRDefault="00102F59" w:rsidP="00102F59">
      <w:pPr>
        <w:pStyle w:val="BodyText"/>
      </w:pPr>
      <w:r>
        <w:t>Novo Nordisk Pharmaceuticals Pty Ltd</w:t>
      </w:r>
      <w:r>
        <w:br/>
        <w:t>Level 10, 118 Mount Street</w:t>
      </w:r>
      <w:r>
        <w:br/>
        <w:t>North Sydney NSW 2060</w:t>
      </w:r>
      <w:r>
        <w:br/>
      </w:r>
      <w:r>
        <w:lastRenderedPageBreak/>
        <w:t>Australia</w:t>
      </w:r>
      <w:r>
        <w:br/>
        <w:t>www.novonordisk.com.au</w:t>
      </w:r>
    </w:p>
    <w:p w14:paraId="704139B1" w14:textId="29735222" w:rsidR="00285173" w:rsidRDefault="00285173" w:rsidP="00EB541D">
      <w:pPr>
        <w:pStyle w:val="Heading1-TNR"/>
      </w:pPr>
      <w:r w:rsidRPr="006570D4">
        <w:t xml:space="preserve">Date of first approval </w:t>
      </w:r>
      <w:fldSimple w:instr="DOCVARIABLE VAULT_ND_9af1498d-60d3-4fae-87cb-1ec7d2cdf6f8 \* MERGEFORMAT">
        <w:r w:rsidR="00A8319D">
          <w:t xml:space="preserve"> </w:t>
        </w:r>
      </w:fldSimple>
    </w:p>
    <w:p w14:paraId="4822AC4E" w14:textId="0885D226" w:rsidR="009C7F00" w:rsidRPr="009C7F00" w:rsidRDefault="00EE297E" w:rsidP="00F2167D">
      <w:pPr>
        <w:pStyle w:val="BodyText"/>
      </w:pPr>
      <w:r w:rsidRPr="00EE297E">
        <w:t>5</w:t>
      </w:r>
      <w:r w:rsidR="00F2167D" w:rsidRPr="00EE297E">
        <w:t xml:space="preserve"> July 2023</w:t>
      </w:r>
    </w:p>
    <w:p w14:paraId="114F37D6" w14:textId="189240FB" w:rsidR="00285173" w:rsidRPr="006570D4" w:rsidRDefault="00285173" w:rsidP="00EB541D">
      <w:pPr>
        <w:pStyle w:val="Heading1-TNR"/>
      </w:pPr>
      <w:r w:rsidRPr="006570D4">
        <w:t>Date of revision</w:t>
      </w:r>
      <w:fldSimple w:instr="DOCVARIABLE VAULT_ND_faf7e75f-d329-4b17-b842-5f756a0339b5 \* MERGEFORMAT">
        <w:r w:rsidR="00A8319D">
          <w:t xml:space="preserve"> </w:t>
        </w:r>
      </w:fldSimple>
    </w:p>
    <w:p w14:paraId="48EF8140" w14:textId="6F4F6F36" w:rsidR="00021B61" w:rsidRPr="00021B61" w:rsidRDefault="00021B61" w:rsidP="00021B61">
      <w:pPr>
        <w:pStyle w:val="BodyText"/>
      </w:pPr>
      <w:r>
        <w:t>N/A</w:t>
      </w:r>
    </w:p>
    <w:p w14:paraId="271DBC06" w14:textId="77777777" w:rsidR="00285173" w:rsidRPr="003903B3" w:rsidRDefault="00285173" w:rsidP="00B01E52">
      <w:pPr>
        <w:pStyle w:val="BodyText"/>
        <w:rPr>
          <w:b/>
          <w:bCs/>
        </w:rPr>
      </w:pPr>
      <w:r w:rsidRPr="003903B3">
        <w:rPr>
          <w:b/>
          <w:bCs/>
        </w:rPr>
        <w:t>Summary table of changes</w:t>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285173" w:rsidRPr="00FE6A61" w14:paraId="2D643157" w14:textId="77777777" w:rsidTr="007B3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1" w:type="dxa"/>
            <w:shd w:val="clear" w:color="auto" w:fill="F2F2F2" w:themeFill="background1" w:themeFillShade="F2"/>
            <w:vAlign w:val="center"/>
          </w:tcPr>
          <w:p w14:paraId="3AC2FD42" w14:textId="05A5579C" w:rsidR="00285173" w:rsidRPr="00FE6A61" w:rsidRDefault="00285173" w:rsidP="00B31805">
            <w:pPr>
              <w:pStyle w:val="Tabletext"/>
              <w:spacing w:before="20" w:after="20"/>
            </w:pPr>
            <w:r w:rsidRPr="00FE6A61">
              <w:t xml:space="preserve">Section </w:t>
            </w:r>
            <w:r w:rsidR="009E17E0">
              <w:t>c</w:t>
            </w:r>
            <w:r w:rsidRPr="00FE6A61">
              <w:t>hanged</w:t>
            </w:r>
          </w:p>
        </w:tc>
        <w:tc>
          <w:tcPr>
            <w:tcW w:w="7635" w:type="dxa"/>
            <w:shd w:val="clear" w:color="auto" w:fill="F2F2F2" w:themeFill="background1" w:themeFillShade="F2"/>
            <w:vAlign w:val="center"/>
          </w:tcPr>
          <w:p w14:paraId="657AA6F7" w14:textId="77777777" w:rsidR="00285173" w:rsidRPr="00FE6A61" w:rsidRDefault="00285173" w:rsidP="00B31805">
            <w:pPr>
              <w:pStyle w:val="Tabletext"/>
              <w:spacing w:before="20" w:after="20"/>
              <w:cnfStyle w:val="100000000000" w:firstRow="1" w:lastRow="0" w:firstColumn="0" w:lastColumn="0" w:oddVBand="0" w:evenVBand="0" w:oddHBand="0" w:evenHBand="0" w:firstRowFirstColumn="0" w:firstRowLastColumn="0" w:lastRowFirstColumn="0" w:lastRowLastColumn="0"/>
            </w:pPr>
            <w:r w:rsidRPr="00FE6A61">
              <w:t>Summary of new information</w:t>
            </w:r>
          </w:p>
        </w:tc>
      </w:tr>
      <w:tr w:rsidR="00285173" w:rsidRPr="00FE6A61" w14:paraId="3A764537" w14:textId="77777777" w:rsidTr="007B3D52">
        <w:tc>
          <w:tcPr>
            <w:cnfStyle w:val="001000000000" w:firstRow="0" w:lastRow="0" w:firstColumn="1" w:lastColumn="0" w:oddVBand="0" w:evenVBand="0" w:oddHBand="0" w:evenHBand="0" w:firstRowFirstColumn="0" w:firstRowLastColumn="0" w:lastRowFirstColumn="0" w:lastRowLastColumn="0"/>
            <w:tcW w:w="1371" w:type="dxa"/>
            <w:vAlign w:val="center"/>
          </w:tcPr>
          <w:p w14:paraId="77C5A7C0" w14:textId="54BC36AD" w:rsidR="00285173" w:rsidRPr="00FE6A61" w:rsidRDefault="007B3D52" w:rsidP="00FE6A61">
            <w:pPr>
              <w:pStyle w:val="Tabletext"/>
            </w:pPr>
            <w:r>
              <w:t>N/A</w:t>
            </w:r>
          </w:p>
        </w:tc>
        <w:tc>
          <w:tcPr>
            <w:tcW w:w="7635" w:type="dxa"/>
            <w:vAlign w:val="center"/>
          </w:tcPr>
          <w:p w14:paraId="74C16616" w14:textId="1B8328F5" w:rsidR="00285173" w:rsidRPr="00FE6A61" w:rsidRDefault="00CC48E2" w:rsidP="00FE6A61">
            <w:pPr>
              <w:pStyle w:val="Tabletext"/>
              <w:cnfStyle w:val="000000000000" w:firstRow="0" w:lastRow="0" w:firstColumn="0" w:lastColumn="0" w:oddVBand="0" w:evenVBand="0" w:oddHBand="0" w:evenHBand="0" w:firstRowFirstColumn="0" w:firstRowLastColumn="0" w:lastRowFirstColumn="0" w:lastRowLastColumn="0"/>
            </w:pPr>
            <w:r>
              <w:t>New registration</w:t>
            </w:r>
          </w:p>
        </w:tc>
      </w:tr>
    </w:tbl>
    <w:p w14:paraId="1D6A0367" w14:textId="77777777" w:rsidR="00960CD5" w:rsidRPr="003903B3" w:rsidRDefault="00960CD5" w:rsidP="00B31805">
      <w:pPr>
        <w:pStyle w:val="BodyText"/>
      </w:pPr>
    </w:p>
    <w:sectPr w:rsidR="00960CD5" w:rsidRPr="003903B3">
      <w:headerReference w:type="default" r:id="rId11"/>
      <w:footerReference w:type="default" r:id="rId12"/>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5DE5" w14:textId="77777777" w:rsidR="00312FF5" w:rsidRDefault="00312FF5" w:rsidP="001A3992">
      <w:pPr>
        <w:spacing w:after="0" w:line="240" w:lineRule="auto"/>
      </w:pPr>
      <w:r>
        <w:separator/>
      </w:r>
    </w:p>
  </w:endnote>
  <w:endnote w:type="continuationSeparator" w:id="0">
    <w:p w14:paraId="2D6A115B" w14:textId="77777777" w:rsidR="00312FF5" w:rsidRDefault="00312FF5" w:rsidP="001A3992">
      <w:pPr>
        <w:spacing w:after="0" w:line="240" w:lineRule="auto"/>
      </w:pPr>
      <w:r>
        <w:continuationSeparator/>
      </w:r>
    </w:p>
  </w:endnote>
  <w:endnote w:type="continuationNotice" w:id="1">
    <w:p w14:paraId="08BCE636" w14:textId="77777777" w:rsidR="00312FF5" w:rsidRDefault="00312F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93163430"/>
      <w:docPartObj>
        <w:docPartGallery w:val="Page Numbers (Bottom of Page)"/>
        <w:docPartUnique/>
      </w:docPartObj>
    </w:sdtPr>
    <w:sdtEndPr>
      <w:rPr>
        <w:noProof/>
        <w:sz w:val="20"/>
      </w:rPr>
    </w:sdtEndPr>
    <w:sdtContent>
      <w:p w14:paraId="12E00AFC" w14:textId="43AE3210" w:rsidR="00434D4D" w:rsidRPr="00FE6A61" w:rsidRDefault="00F2167D" w:rsidP="007B3D52">
        <w:pPr>
          <w:pStyle w:val="Footer"/>
          <w:pBdr>
            <w:top w:val="single" w:sz="4" w:space="1" w:color="auto"/>
          </w:pBdr>
          <w:ind w:right="-46"/>
          <w:rPr>
            <w:rFonts w:ascii="Times New Roman" w:hAnsi="Times New Roman" w:cs="Times New Roman"/>
            <w:sz w:val="20"/>
          </w:rPr>
        </w:pPr>
        <w:r w:rsidRPr="00EE297E">
          <w:rPr>
            <w:rFonts w:ascii="Times New Roman" w:hAnsi="Times New Roman" w:cs="Times New Roman"/>
          </w:rPr>
          <w:t>23070</w:t>
        </w:r>
        <w:r w:rsidR="00EE297E" w:rsidRPr="00EE297E">
          <w:rPr>
            <w:rFonts w:ascii="Times New Roman" w:hAnsi="Times New Roman" w:cs="Times New Roman"/>
          </w:rPr>
          <w:t>5</w:t>
        </w:r>
        <w:r w:rsidR="00FE6A61" w:rsidRPr="00EE297E">
          <w:rPr>
            <w:rFonts w:ascii="Times New Roman" w:hAnsi="Times New Roman" w:cs="Times New Roman"/>
          </w:rPr>
          <w:t>-concizumab-pi-v</w:t>
        </w:r>
        <w:r w:rsidRPr="00EE297E">
          <w:rPr>
            <w:rFonts w:ascii="Times New Roman" w:hAnsi="Times New Roman" w:cs="Times New Roman"/>
          </w:rPr>
          <w:t>1.0</w:t>
        </w:r>
        <w:r w:rsidR="00FE6A61" w:rsidRPr="00EE297E">
          <w:rPr>
            <w:rFonts w:ascii="Times New Roman" w:hAnsi="Times New Roman" w:cs="Times New Roman"/>
          </w:rPr>
          <w:tab/>
        </w:r>
        <w:r w:rsidR="00FE6A61" w:rsidRPr="00EE297E">
          <w:rPr>
            <w:rFonts w:ascii="Times New Roman" w:hAnsi="Times New Roman" w:cs="Times New Roman"/>
          </w:rPr>
          <w:tab/>
        </w:r>
        <w:r w:rsidR="00431ACD" w:rsidRPr="00EE297E">
          <w:rPr>
            <w:rFonts w:ascii="Times New Roman" w:hAnsi="Times New Roman" w:cs="Times New Roman"/>
            <w:sz w:val="20"/>
          </w:rPr>
          <w:fldChar w:fldCharType="begin"/>
        </w:r>
        <w:r w:rsidR="00431ACD" w:rsidRPr="00EE297E">
          <w:rPr>
            <w:rFonts w:ascii="Times New Roman" w:hAnsi="Times New Roman" w:cs="Times New Roman"/>
            <w:sz w:val="20"/>
          </w:rPr>
          <w:instrText xml:space="preserve"> PAGE   \* MERGEFORMAT </w:instrText>
        </w:r>
        <w:r w:rsidR="00431ACD" w:rsidRPr="00EE297E">
          <w:rPr>
            <w:rFonts w:ascii="Times New Roman" w:hAnsi="Times New Roman" w:cs="Times New Roman"/>
            <w:sz w:val="20"/>
          </w:rPr>
          <w:fldChar w:fldCharType="separate"/>
        </w:r>
        <w:r w:rsidR="0021200F" w:rsidRPr="00EE297E">
          <w:rPr>
            <w:rFonts w:ascii="Times New Roman" w:hAnsi="Times New Roman" w:cs="Times New Roman"/>
            <w:noProof/>
            <w:sz w:val="20"/>
          </w:rPr>
          <w:t>1</w:t>
        </w:r>
        <w:r w:rsidR="00431ACD" w:rsidRPr="00EE297E">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084A" w14:textId="77777777" w:rsidR="00312FF5" w:rsidRDefault="00312FF5" w:rsidP="001A3992">
      <w:pPr>
        <w:spacing w:after="0" w:line="240" w:lineRule="auto"/>
      </w:pPr>
      <w:r>
        <w:separator/>
      </w:r>
    </w:p>
  </w:footnote>
  <w:footnote w:type="continuationSeparator" w:id="0">
    <w:p w14:paraId="0EC590BD" w14:textId="77777777" w:rsidR="00312FF5" w:rsidRDefault="00312FF5" w:rsidP="001A3992">
      <w:pPr>
        <w:spacing w:after="0" w:line="240" w:lineRule="auto"/>
      </w:pPr>
      <w:r>
        <w:continuationSeparator/>
      </w:r>
    </w:p>
  </w:footnote>
  <w:footnote w:type="continuationNotice" w:id="1">
    <w:p w14:paraId="740C113B" w14:textId="77777777" w:rsidR="00312FF5" w:rsidRDefault="00312FF5">
      <w:pPr>
        <w:spacing w:after="0" w:line="240" w:lineRule="auto"/>
      </w:pPr>
    </w:p>
  </w:footnote>
  <w:footnote w:id="2">
    <w:p w14:paraId="44CA1C15" w14:textId="40177928" w:rsidR="00520BF4" w:rsidRDefault="00520BF4">
      <w:pPr>
        <w:pStyle w:val="FootnoteText"/>
      </w:pPr>
      <w:r>
        <w:rPr>
          <w:rStyle w:val="FootnoteReference"/>
        </w:rPr>
        <w:footnoteRef/>
      </w:r>
      <w:r>
        <w:t xml:space="preserve"> </w:t>
      </w:r>
      <w:r w:rsidR="00C56ED5">
        <w:t>The a</w:t>
      </w:r>
      <w:r>
        <w:t xml:space="preserve">ctual (non-categorical) number of bleeds in the 24 weeks prior to randomisation </w:t>
      </w:r>
      <w:r w:rsidR="00C56ED5">
        <w:t xml:space="preserve">for each patient </w:t>
      </w:r>
      <w:r>
        <w:t>was not collected.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CE66C0" w:rsidRPr="000B2145" w14:paraId="73BBF718" w14:textId="77777777" w:rsidTr="001E24A3">
      <w:trPr>
        <w:trHeight w:val="1012"/>
      </w:trPr>
      <w:tc>
        <w:tcPr>
          <w:tcW w:w="9180" w:type="dxa"/>
          <w:shd w:val="clear" w:color="auto" w:fill="E4F2E0"/>
        </w:tcPr>
        <w:p w14:paraId="3B061763" w14:textId="77777777" w:rsidR="00CE66C0" w:rsidRPr="000E4791" w:rsidRDefault="00CE66C0" w:rsidP="00CE66C0">
          <w:pPr>
            <w:pStyle w:val="Footer"/>
            <w:rPr>
              <w:b/>
              <w:sz w:val="18"/>
              <w:szCs w:val="18"/>
            </w:rPr>
          </w:pPr>
          <w:bookmarkStart w:id="65" w:name="_Hlk109054010"/>
          <w:r w:rsidRPr="009156B4">
            <w:rPr>
              <w:b/>
              <w:sz w:val="18"/>
              <w:szCs w:val="18"/>
            </w:rPr>
            <w:t>AusPAR - Alhemo - concizumab - Novo Nordisk Pharmaceuticals Pty Ltd - PM-2022-03458-1-6</w:t>
          </w:r>
          <w:r>
            <w:rPr>
              <w:b/>
              <w:sz w:val="18"/>
              <w:szCs w:val="18"/>
            </w:rPr>
            <w:t xml:space="preserve"> </w:t>
          </w:r>
          <w:r>
            <w:rPr>
              <w:b/>
              <w:sz w:val="18"/>
              <w:szCs w:val="18"/>
            </w:rPr>
            <w:br/>
          </w:r>
          <w:r w:rsidRPr="009156B4">
            <w:rPr>
              <w:b/>
              <w:sz w:val="18"/>
              <w:szCs w:val="18"/>
            </w:rPr>
            <w:t>FINAL 8 March 2024</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65"/>
  </w:tbl>
  <w:p w14:paraId="1FC0B8ED" w14:textId="77777777" w:rsidR="00CE66C0" w:rsidRDefault="00CE6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E246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0433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40B3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C28B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9C81E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2825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F861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A4D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26DC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0BC42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696520"/>
    <w:multiLevelType w:val="multilevel"/>
    <w:tmpl w:val="F1BEC552"/>
    <w:lvl w:ilvl="0">
      <w:start w:val="1"/>
      <w:numFmt w:val="decimal"/>
      <w:pStyle w:val="Heading1-TNR"/>
      <w:lvlText w:val="%1."/>
      <w:lvlJc w:val="left"/>
      <w:pPr>
        <w:ind w:left="360" w:hanging="360"/>
      </w:pPr>
      <w:rPr>
        <w:rFonts w:hint="default"/>
        <w:b/>
        <w:bCs/>
      </w:rPr>
    </w:lvl>
    <w:lvl w:ilvl="1">
      <w:start w:val="1"/>
      <w:numFmt w:val="decimal"/>
      <w:pStyle w:val="Heading2-TNR"/>
      <w:suff w:val="nothing"/>
      <w:lvlText w:val="%1.%2."/>
      <w:lvlJc w:val="left"/>
      <w:pPr>
        <w:ind w:left="28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811B61"/>
    <w:multiLevelType w:val="hybridMultilevel"/>
    <w:tmpl w:val="CC8CC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FE16FC"/>
    <w:multiLevelType w:val="hybridMultilevel"/>
    <w:tmpl w:val="E7FE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D712A8"/>
    <w:multiLevelType w:val="hybridMultilevel"/>
    <w:tmpl w:val="D6366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FC3831"/>
    <w:multiLevelType w:val="hybridMultilevel"/>
    <w:tmpl w:val="BCA0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1D2C5A"/>
    <w:multiLevelType w:val="hybridMultilevel"/>
    <w:tmpl w:val="7EBA23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FF12FA"/>
    <w:multiLevelType w:val="hybridMultilevel"/>
    <w:tmpl w:val="6D889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406270"/>
    <w:multiLevelType w:val="hybridMultilevel"/>
    <w:tmpl w:val="604A7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7C4EE9"/>
    <w:multiLevelType w:val="hybridMultilevel"/>
    <w:tmpl w:val="8012B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8433C3"/>
    <w:multiLevelType w:val="hybridMultilevel"/>
    <w:tmpl w:val="D7C2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332797"/>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9C0729"/>
    <w:multiLevelType w:val="hybridMultilevel"/>
    <w:tmpl w:val="BE02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560378">
    <w:abstractNumId w:val="26"/>
  </w:num>
  <w:num w:numId="2" w16cid:durableId="560333137">
    <w:abstractNumId w:val="12"/>
  </w:num>
  <w:num w:numId="3" w16cid:durableId="1788810150">
    <w:abstractNumId w:val="10"/>
  </w:num>
  <w:num w:numId="4" w16cid:durableId="798839344">
    <w:abstractNumId w:val="21"/>
  </w:num>
  <w:num w:numId="5" w16cid:durableId="139420983">
    <w:abstractNumId w:val="30"/>
  </w:num>
  <w:num w:numId="6" w16cid:durableId="1763407895">
    <w:abstractNumId w:val="27"/>
  </w:num>
  <w:num w:numId="7" w16cid:durableId="1706909825">
    <w:abstractNumId w:val="24"/>
  </w:num>
  <w:num w:numId="8" w16cid:durableId="1278102556">
    <w:abstractNumId w:val="28"/>
  </w:num>
  <w:num w:numId="9" w16cid:durableId="1521746110">
    <w:abstractNumId w:val="17"/>
  </w:num>
  <w:num w:numId="10" w16cid:durableId="754329118">
    <w:abstractNumId w:val="23"/>
  </w:num>
  <w:num w:numId="11" w16cid:durableId="368729435">
    <w:abstractNumId w:val="11"/>
  </w:num>
  <w:num w:numId="12" w16cid:durableId="2052993205">
    <w:abstractNumId w:val="11"/>
    <w:lvlOverride w:ilvl="0">
      <w:lvl w:ilvl="0">
        <w:start w:val="1"/>
        <w:numFmt w:val="decimal"/>
        <w:pStyle w:val="Heading1-TNR"/>
        <w:lvlText w:val="%1."/>
        <w:lvlJc w:val="left"/>
        <w:pPr>
          <w:ind w:left="360" w:hanging="360"/>
        </w:pPr>
        <w:rPr>
          <w:rFonts w:hint="default"/>
        </w:rPr>
      </w:lvl>
    </w:lvlOverride>
    <w:lvlOverride w:ilvl="1">
      <w:lvl w:ilvl="1">
        <w:start w:val="1"/>
        <w:numFmt w:val="decimal"/>
        <w:pStyle w:val="Heading2-TNR"/>
        <w:lvlText w:val="%1.%2."/>
        <w:lvlJc w:val="left"/>
        <w:pPr>
          <w:ind w:left="284" w:hanging="28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709254408">
    <w:abstractNumId w:val="9"/>
  </w:num>
  <w:num w:numId="14" w16cid:durableId="1054041521">
    <w:abstractNumId w:val="7"/>
  </w:num>
  <w:num w:numId="15" w16cid:durableId="160126030">
    <w:abstractNumId w:val="7"/>
  </w:num>
  <w:num w:numId="16" w16cid:durableId="1839343007">
    <w:abstractNumId w:val="6"/>
  </w:num>
  <w:num w:numId="17" w16cid:durableId="1658261644">
    <w:abstractNumId w:val="6"/>
  </w:num>
  <w:num w:numId="18" w16cid:durableId="60060113">
    <w:abstractNumId w:val="5"/>
  </w:num>
  <w:num w:numId="19" w16cid:durableId="532308408">
    <w:abstractNumId w:val="5"/>
  </w:num>
  <w:num w:numId="20" w16cid:durableId="1489664600">
    <w:abstractNumId w:val="4"/>
  </w:num>
  <w:num w:numId="21" w16cid:durableId="687414268">
    <w:abstractNumId w:val="4"/>
  </w:num>
  <w:num w:numId="22" w16cid:durableId="1192567877">
    <w:abstractNumId w:val="8"/>
  </w:num>
  <w:num w:numId="23" w16cid:durableId="20130966">
    <w:abstractNumId w:val="8"/>
  </w:num>
  <w:num w:numId="24" w16cid:durableId="1653868068">
    <w:abstractNumId w:val="3"/>
  </w:num>
  <w:num w:numId="25" w16cid:durableId="522130084">
    <w:abstractNumId w:val="3"/>
  </w:num>
  <w:num w:numId="26" w16cid:durableId="844133773">
    <w:abstractNumId w:val="2"/>
  </w:num>
  <w:num w:numId="27" w16cid:durableId="2103068126">
    <w:abstractNumId w:val="2"/>
  </w:num>
  <w:num w:numId="28" w16cid:durableId="1169364227">
    <w:abstractNumId w:val="1"/>
  </w:num>
  <w:num w:numId="29" w16cid:durableId="1368873066">
    <w:abstractNumId w:val="1"/>
  </w:num>
  <w:num w:numId="30" w16cid:durableId="1566797615">
    <w:abstractNumId w:val="0"/>
  </w:num>
  <w:num w:numId="31" w16cid:durableId="1548373294">
    <w:abstractNumId w:val="0"/>
  </w:num>
  <w:num w:numId="32" w16cid:durableId="1487741250">
    <w:abstractNumId w:val="11"/>
  </w:num>
  <w:num w:numId="33" w16cid:durableId="1582520675">
    <w:abstractNumId w:val="11"/>
    <w:lvlOverride w:ilvl="0">
      <w:lvl w:ilvl="0">
        <w:start w:val="1"/>
        <w:numFmt w:val="decimal"/>
        <w:pStyle w:val="Heading1-TNR"/>
        <w:lvlText w:val="%1."/>
        <w:lvlJc w:val="left"/>
        <w:pPr>
          <w:ind w:left="360" w:hanging="360"/>
        </w:pPr>
        <w:rPr>
          <w:rFonts w:hint="default"/>
        </w:rPr>
      </w:lvl>
    </w:lvlOverride>
    <w:lvlOverride w:ilvl="1">
      <w:lvl w:ilvl="1">
        <w:start w:val="1"/>
        <w:numFmt w:val="decimal"/>
        <w:pStyle w:val="Heading2-TNR"/>
        <w:lvlText w:val="%1.%2."/>
        <w:lvlJc w:val="left"/>
        <w:pPr>
          <w:ind w:left="284" w:hanging="28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1442067666">
    <w:abstractNumId w:val="9"/>
  </w:num>
  <w:num w:numId="35" w16cid:durableId="328364613">
    <w:abstractNumId w:val="7"/>
  </w:num>
  <w:num w:numId="36" w16cid:durableId="791094916">
    <w:abstractNumId w:val="6"/>
  </w:num>
  <w:num w:numId="37" w16cid:durableId="1579513946">
    <w:abstractNumId w:val="5"/>
  </w:num>
  <w:num w:numId="38" w16cid:durableId="840855856">
    <w:abstractNumId w:val="4"/>
  </w:num>
  <w:num w:numId="39" w16cid:durableId="1268081499">
    <w:abstractNumId w:val="8"/>
  </w:num>
  <w:num w:numId="40" w16cid:durableId="554706557">
    <w:abstractNumId w:val="3"/>
  </w:num>
  <w:num w:numId="41" w16cid:durableId="1788231248">
    <w:abstractNumId w:val="2"/>
  </w:num>
  <w:num w:numId="42" w16cid:durableId="1092817429">
    <w:abstractNumId w:val="1"/>
  </w:num>
  <w:num w:numId="43" w16cid:durableId="1394620689">
    <w:abstractNumId w:val="0"/>
  </w:num>
  <w:num w:numId="44" w16cid:durableId="1979921062">
    <w:abstractNumId w:val="16"/>
  </w:num>
  <w:num w:numId="45" w16cid:durableId="994840950">
    <w:abstractNumId w:val="13"/>
  </w:num>
  <w:num w:numId="46" w16cid:durableId="98840432">
    <w:abstractNumId w:val="14"/>
  </w:num>
  <w:num w:numId="47" w16cid:durableId="1168865039">
    <w:abstractNumId w:val="22"/>
  </w:num>
  <w:num w:numId="48" w16cid:durableId="250434475">
    <w:abstractNumId w:val="25"/>
  </w:num>
  <w:num w:numId="49" w16cid:durableId="785465843">
    <w:abstractNumId w:val="29"/>
  </w:num>
  <w:num w:numId="50" w16cid:durableId="851338538">
    <w:abstractNumId w:val="15"/>
  </w:num>
  <w:num w:numId="51" w16cid:durableId="1132406425">
    <w:abstractNumId w:val="19"/>
  </w:num>
  <w:num w:numId="52" w16cid:durableId="1072580190">
    <w:abstractNumId w:val="18"/>
  </w:num>
  <w:num w:numId="53" w16cid:durableId="1937863463">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numFmt w:val="chicago"/>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0ccce04-c873-4446-a949-83126829a144" w:val=" "/>
    <w:docVar w:name="vault_nd_030bdaab-bfc1-4c4b-b986-d0589fcdf829" w:val=" "/>
    <w:docVar w:name="vault_nd_0415f6a2-55c8-4377-a82c-347c83d7843a" w:val=" "/>
    <w:docVar w:name="VAULT_ND_0a77d340-0dbb-4bd9-9799-912b074df149" w:val=" "/>
    <w:docVar w:name="vault_nd_0aae0d87-5f42-44ab-b356-6657fd96a553" w:val=" "/>
    <w:docVar w:name="vault_nd_0b67247f-9173-454d-987e-9eedcae605eb" w:val=" "/>
    <w:docVar w:name="vault_nd_0d90589f-da41-4dd8-8a45-6d756fbb56a6" w:val=" "/>
    <w:docVar w:name="VAULT_ND_14309591-6512-4d9f-907b-2a532aacf615" w:val=" "/>
    <w:docVar w:name="VAULT_ND_1be4f96c-be4e-4f68-a37f-17585944a2f7" w:val=" "/>
    <w:docVar w:name="vault_nd_1be9f16b-8bee-49c7-b8ea-7f1dca5a6ca3" w:val=" "/>
    <w:docVar w:name="vault_nd_1fddb251-0840-4d6a-ace1-389cbc669b88" w:val=" "/>
    <w:docVar w:name="vault_nd_2028498e-63f3-443b-ad3f-2c207251be8d" w:val=" "/>
    <w:docVar w:name="VAULT_ND_23dc134c-d025-4933-a580-92ded19968a3" w:val=" "/>
    <w:docVar w:name="VAULT_ND_2ea817d7-e7c3-4f17-9864-8d65f7dfd6e6" w:val=" "/>
    <w:docVar w:name="vault_nd_2eba9151-258c-4379-884f-f85b7b9153bc" w:val=" "/>
    <w:docVar w:name="vault_nd_2f62a130-9222-4b91-91c8-4c6fcd66dedd" w:val=" "/>
    <w:docVar w:name="vault_nd_2f8cd99b-e044-4e31-aa4b-333f6717aa6c" w:val=" "/>
    <w:docVar w:name="VAULT_ND_314068ae-ad6b-4598-b0f7-2989728c149a" w:val=" "/>
    <w:docVar w:name="VAULT_ND_327b6daa-5b61-4974-a35c-8c4bb60f01d2" w:val=" "/>
    <w:docVar w:name="vault_nd_3baba733-b8df-4a3b-8405-54f86cd3a561" w:val=" "/>
    <w:docVar w:name="vault_nd_3d032873-9450-4280-883e-5ad0662e37b6" w:val=" "/>
    <w:docVar w:name="vault_nd_3e66eb42-5165-4400-aedc-c888ffba81e0" w:val=" "/>
    <w:docVar w:name="VAULT_ND_41645373-477f-429e-981f-2c08f5c55b55" w:val=" "/>
    <w:docVar w:name="vault_nd_45368ef6-47db-4bf9-9d8a-5d6e8d3ae345" w:val=" "/>
    <w:docVar w:name="vault_nd_4840f14f-dd1e-420a-8d92-371cff122cc5" w:val=" "/>
    <w:docVar w:name="vault_nd_4a87bb16-692d-4cc1-a36b-77ccc943ad84" w:val=" "/>
    <w:docVar w:name="vault_nd_4d9f7e3c-e837-4883-8d4e-a7f792c95e1c" w:val=" "/>
    <w:docVar w:name="VAULT_ND_4f3c1bd2-ef8d-4ffe-b750-03ad5815863a" w:val=" "/>
    <w:docVar w:name="VAULT_ND_556681db-17c8-4d6f-a8b5-600ac1222d95" w:val=" "/>
    <w:docVar w:name="VAULT_ND_59e3ce63-a6b5-4ba7-b246-925d6c7e93c6" w:val=" "/>
    <w:docVar w:name="VAULT_ND_6068323c-0986-4970-b7a9-307c3c722aba" w:val=" "/>
    <w:docVar w:name="VAULT_ND_6072ed10-ac55-426c-a900-819fdedafa1d" w:val=" "/>
    <w:docVar w:name="vault_nd_629052e8-1d56-4e8b-9f77-19acb669baaa" w:val=" "/>
    <w:docVar w:name="vault_nd_66251535-0b7a-47e2-b7a7-1fa2d5242b41" w:val=" "/>
    <w:docVar w:name="VAULT_ND_66fc174e-1419-4cfe-8277-9df6bae7ad7d" w:val=" "/>
    <w:docVar w:name="vault_nd_6de67e6a-d4b7-4b82-8c43-56c8f9f8e28a" w:val=" "/>
    <w:docVar w:name="vault_nd_6f249603-ac49-4a41-a2f0-b20a3b8c35e3" w:val=" "/>
    <w:docVar w:name="vault_nd_72b81df4-814b-4d1b-a3d0-632a50b8e9a2" w:val=" "/>
    <w:docVar w:name="vault_nd_7993824b-7880-4344-9403-396dc6738ebb" w:val=" "/>
    <w:docVar w:name="VAULT_ND_7ed7083c-214d-4626-865c-478703bb7ea3" w:val=" "/>
    <w:docVar w:name="VAULT_ND_87ab9b6f-6e32-489f-913e-6ee318bd392e" w:val=" "/>
    <w:docVar w:name="VAULT_ND_944b213d-caf3-45c9-b986-201db3b0192e" w:val=" "/>
    <w:docVar w:name="VAULT_ND_94937b04-fdfd-4602-babd-de2e678fff8c" w:val=" "/>
    <w:docVar w:name="VAULT_ND_9af1498d-60d3-4fae-87cb-1ec7d2cdf6f8" w:val=" "/>
    <w:docVar w:name="vault_nd_9e952608-cd4f-437f-9a07-f4aba71a7235" w:val=" "/>
    <w:docVar w:name="VAULT_ND_9ecc32fd-dbaa-4ce1-ad8a-f70bfaee42a4" w:val=" "/>
    <w:docVar w:name="VAULT_ND_a5811a76-26b8-4844-b3b6-32ce1a356e0c" w:val=" "/>
    <w:docVar w:name="VAULT_ND_a9a6f585-ef38-42f1-8e48-87757e4717d6" w:val=" "/>
    <w:docVar w:name="vault_nd_b1174294-79b8-46b1-975a-e9eefc8a7fc8" w:val=" "/>
    <w:docVar w:name="VAULT_ND_b786352f-4919-4563-9435-c313e161d18b" w:val=" "/>
    <w:docVar w:name="VAULT_ND_bb6c404b-cf74-4d88-ad0d-3e91e7de8dd1" w:val=" "/>
    <w:docVar w:name="VAULT_ND_bc2bc28d-d6d9-4d21-85e1-d841e4540578" w:val=" "/>
    <w:docVar w:name="vault_nd_be673426-dc52-4014-84cc-190c95c5c17d" w:val=" "/>
    <w:docVar w:name="vault_nd_c6a90e51-cd42-4551-a92b-58a9f1e52c8b" w:val=" "/>
    <w:docVar w:name="VAULT_ND_c6c71252-57cb-4125-b772-ad0edd499f48" w:val=" "/>
    <w:docVar w:name="vault_nd_c6ef2d89-8946-4442-a1d4-c9e842701423" w:val=" "/>
    <w:docVar w:name="VAULT_ND_ca046b67-33e1-43fd-852a-894c47487424" w:val=" "/>
    <w:docVar w:name="vault_nd_cbb33bc5-e6ca-49ae-992a-c51c9e29d0be" w:val=" "/>
    <w:docVar w:name="vault_nd_cc8bfa63-988f-49c4-ae0f-b90e16bef9b5" w:val=" "/>
    <w:docVar w:name="vault_nd_ccdf873b-f779-420c-a6a9-5d6f94553367" w:val=" "/>
    <w:docVar w:name="vault_nd_d5b39be2-ef74-4203-a274-11ff44b60a6c" w:val=" "/>
    <w:docVar w:name="vault_nd_d72cf41f-a89f-4af6-a464-8dcf76856c37" w:val=" "/>
    <w:docVar w:name="vault_nd_d876c71b-9725-41ae-b761-ed56d4aaa74d" w:val=" "/>
    <w:docVar w:name="vault_nd_da6af819-eb71-4483-8805-a066d3a1dee6" w:val=" "/>
    <w:docVar w:name="VAULT_ND_df307f31-7168-4de0-857d-94a7fe025241" w:val=" "/>
    <w:docVar w:name="VAULT_ND_e12e9705-f4e1-4138-ae4c-44ee1cf744a6" w:val=" "/>
    <w:docVar w:name="vault_nd_e254eb1f-4e99-4464-9a85-a5a49e3f6388" w:val=" "/>
    <w:docVar w:name="vault_nd_e3f0841c-5f7a-491d-8f18-d682442bb384" w:val=" "/>
    <w:docVar w:name="vault_nd_efe26dd0-73bc-4175-a976-13df49913bec" w:val=" "/>
    <w:docVar w:name="vault_nd_f02352b5-2a5e-461c-8607-b321d8963eec" w:val=" "/>
    <w:docVar w:name="vault_nd_f202202f-3728-46aa-87ec-5a41cfef74a9" w:val=" "/>
    <w:docVar w:name="vault_nd_f27dcda9-78d2-45ab-b7bf-393990289b1b" w:val=" "/>
    <w:docVar w:name="vault_nd_f2f01f90-004a-4cba-986a-d2d38a16c393" w:val=" "/>
    <w:docVar w:name="vault_nd_f41bc66a-37e7-4c76-bff4-3d41271edaa8" w:val=" "/>
    <w:docVar w:name="vault_nd_f64a2de8-4df5-4e4c-a8fc-fe1b08472d08" w:val=" "/>
    <w:docVar w:name="vault_nd_f6e40494-d4b9-40ee-9c28-5486d0ef3d9f" w:val=" "/>
    <w:docVar w:name="VAULT_ND_faf7e75f-d329-4b17-b842-5f756a0339b5" w:val=" "/>
  </w:docVars>
  <w:rsids>
    <w:rsidRoot w:val="00E25281"/>
    <w:rsid w:val="0000326F"/>
    <w:rsid w:val="00006856"/>
    <w:rsid w:val="00010FD7"/>
    <w:rsid w:val="000114A0"/>
    <w:rsid w:val="000125AB"/>
    <w:rsid w:val="00012603"/>
    <w:rsid w:val="00013205"/>
    <w:rsid w:val="0001341B"/>
    <w:rsid w:val="00013732"/>
    <w:rsid w:val="000145C0"/>
    <w:rsid w:val="0001535D"/>
    <w:rsid w:val="00015AC3"/>
    <w:rsid w:val="00016625"/>
    <w:rsid w:val="00016980"/>
    <w:rsid w:val="00016F29"/>
    <w:rsid w:val="0002048A"/>
    <w:rsid w:val="00021B61"/>
    <w:rsid w:val="00021F53"/>
    <w:rsid w:val="000229CC"/>
    <w:rsid w:val="00026E3B"/>
    <w:rsid w:val="00027B68"/>
    <w:rsid w:val="00031D0E"/>
    <w:rsid w:val="00033F3B"/>
    <w:rsid w:val="000353F6"/>
    <w:rsid w:val="00036763"/>
    <w:rsid w:val="0003787B"/>
    <w:rsid w:val="00040D0A"/>
    <w:rsid w:val="00042302"/>
    <w:rsid w:val="00042567"/>
    <w:rsid w:val="00042CB3"/>
    <w:rsid w:val="00044323"/>
    <w:rsid w:val="0004484E"/>
    <w:rsid w:val="00044D0E"/>
    <w:rsid w:val="0004617E"/>
    <w:rsid w:val="0004643C"/>
    <w:rsid w:val="00047509"/>
    <w:rsid w:val="000534F5"/>
    <w:rsid w:val="00054D75"/>
    <w:rsid w:val="00055021"/>
    <w:rsid w:val="00056604"/>
    <w:rsid w:val="00060079"/>
    <w:rsid w:val="000637AE"/>
    <w:rsid w:val="00063957"/>
    <w:rsid w:val="0006765B"/>
    <w:rsid w:val="00070019"/>
    <w:rsid w:val="00072A0A"/>
    <w:rsid w:val="00074208"/>
    <w:rsid w:val="00074464"/>
    <w:rsid w:val="000810E1"/>
    <w:rsid w:val="0008464F"/>
    <w:rsid w:val="000862FB"/>
    <w:rsid w:val="00086C3B"/>
    <w:rsid w:val="000900B9"/>
    <w:rsid w:val="000906D8"/>
    <w:rsid w:val="00091A75"/>
    <w:rsid w:val="000920D3"/>
    <w:rsid w:val="0009511A"/>
    <w:rsid w:val="00096F1B"/>
    <w:rsid w:val="000A1C4A"/>
    <w:rsid w:val="000A3227"/>
    <w:rsid w:val="000A3CA2"/>
    <w:rsid w:val="000A6962"/>
    <w:rsid w:val="000A6F79"/>
    <w:rsid w:val="000A7AF8"/>
    <w:rsid w:val="000B115E"/>
    <w:rsid w:val="000B1843"/>
    <w:rsid w:val="000B2364"/>
    <w:rsid w:val="000B3CE3"/>
    <w:rsid w:val="000B4FF6"/>
    <w:rsid w:val="000B5B57"/>
    <w:rsid w:val="000B76C2"/>
    <w:rsid w:val="000C00B3"/>
    <w:rsid w:val="000C2166"/>
    <w:rsid w:val="000C2F4E"/>
    <w:rsid w:val="000C392C"/>
    <w:rsid w:val="000C4AE9"/>
    <w:rsid w:val="000C6A34"/>
    <w:rsid w:val="000D0ED8"/>
    <w:rsid w:val="000D0FC4"/>
    <w:rsid w:val="000D16BD"/>
    <w:rsid w:val="000D267D"/>
    <w:rsid w:val="000D4053"/>
    <w:rsid w:val="000D44CC"/>
    <w:rsid w:val="000D619F"/>
    <w:rsid w:val="000D6730"/>
    <w:rsid w:val="000E3F96"/>
    <w:rsid w:val="000E5855"/>
    <w:rsid w:val="000E5D4A"/>
    <w:rsid w:val="000F1121"/>
    <w:rsid w:val="000F1B26"/>
    <w:rsid w:val="000F4529"/>
    <w:rsid w:val="000F5A39"/>
    <w:rsid w:val="000F5C92"/>
    <w:rsid w:val="000F6D37"/>
    <w:rsid w:val="000F734C"/>
    <w:rsid w:val="000F7A8C"/>
    <w:rsid w:val="0010139C"/>
    <w:rsid w:val="00101750"/>
    <w:rsid w:val="00101957"/>
    <w:rsid w:val="00102855"/>
    <w:rsid w:val="00102F59"/>
    <w:rsid w:val="00104A9E"/>
    <w:rsid w:val="001063ED"/>
    <w:rsid w:val="00107D94"/>
    <w:rsid w:val="00112340"/>
    <w:rsid w:val="00114F93"/>
    <w:rsid w:val="00116135"/>
    <w:rsid w:val="0011758C"/>
    <w:rsid w:val="0012777C"/>
    <w:rsid w:val="00130BC8"/>
    <w:rsid w:val="00131864"/>
    <w:rsid w:val="00132D6E"/>
    <w:rsid w:val="0013424B"/>
    <w:rsid w:val="00136ACC"/>
    <w:rsid w:val="0013735F"/>
    <w:rsid w:val="00140ED5"/>
    <w:rsid w:val="001411FA"/>
    <w:rsid w:val="0014652A"/>
    <w:rsid w:val="0014753F"/>
    <w:rsid w:val="001531D1"/>
    <w:rsid w:val="0015327B"/>
    <w:rsid w:val="001533C9"/>
    <w:rsid w:val="00157BDC"/>
    <w:rsid w:val="00162225"/>
    <w:rsid w:val="00162A31"/>
    <w:rsid w:val="00163E3C"/>
    <w:rsid w:val="00166385"/>
    <w:rsid w:val="001677C4"/>
    <w:rsid w:val="00175DE0"/>
    <w:rsid w:val="001760B3"/>
    <w:rsid w:val="00180FB5"/>
    <w:rsid w:val="001835BE"/>
    <w:rsid w:val="00183C25"/>
    <w:rsid w:val="0018580C"/>
    <w:rsid w:val="0019007C"/>
    <w:rsid w:val="00190F23"/>
    <w:rsid w:val="0019116F"/>
    <w:rsid w:val="00191850"/>
    <w:rsid w:val="0019283B"/>
    <w:rsid w:val="00193DA2"/>
    <w:rsid w:val="001953F4"/>
    <w:rsid w:val="001955AA"/>
    <w:rsid w:val="0019706A"/>
    <w:rsid w:val="0019715C"/>
    <w:rsid w:val="0019786C"/>
    <w:rsid w:val="00197A89"/>
    <w:rsid w:val="001A018E"/>
    <w:rsid w:val="001A090C"/>
    <w:rsid w:val="001A192E"/>
    <w:rsid w:val="001A318C"/>
    <w:rsid w:val="001A380F"/>
    <w:rsid w:val="001A3992"/>
    <w:rsid w:val="001A519A"/>
    <w:rsid w:val="001A61E7"/>
    <w:rsid w:val="001A68FE"/>
    <w:rsid w:val="001B128D"/>
    <w:rsid w:val="001B2C82"/>
    <w:rsid w:val="001B3374"/>
    <w:rsid w:val="001B3A57"/>
    <w:rsid w:val="001B42AC"/>
    <w:rsid w:val="001B7A13"/>
    <w:rsid w:val="001C0F27"/>
    <w:rsid w:val="001C1C19"/>
    <w:rsid w:val="001C31A0"/>
    <w:rsid w:val="001C34FF"/>
    <w:rsid w:val="001C4399"/>
    <w:rsid w:val="001D02A7"/>
    <w:rsid w:val="001D090C"/>
    <w:rsid w:val="001D0F92"/>
    <w:rsid w:val="001D22B8"/>
    <w:rsid w:val="001D5207"/>
    <w:rsid w:val="001D5F4F"/>
    <w:rsid w:val="001D6592"/>
    <w:rsid w:val="001D6BBD"/>
    <w:rsid w:val="001D7739"/>
    <w:rsid w:val="001E051C"/>
    <w:rsid w:val="001F1B04"/>
    <w:rsid w:val="001F3AC2"/>
    <w:rsid w:val="001F70C1"/>
    <w:rsid w:val="001F762D"/>
    <w:rsid w:val="001F7D2B"/>
    <w:rsid w:val="00200682"/>
    <w:rsid w:val="0020275C"/>
    <w:rsid w:val="00203284"/>
    <w:rsid w:val="0021200F"/>
    <w:rsid w:val="00212414"/>
    <w:rsid w:val="002128C7"/>
    <w:rsid w:val="00214474"/>
    <w:rsid w:val="0021706B"/>
    <w:rsid w:val="00217737"/>
    <w:rsid w:val="00222FD7"/>
    <w:rsid w:val="002241A6"/>
    <w:rsid w:val="002244C9"/>
    <w:rsid w:val="00224610"/>
    <w:rsid w:val="00224C49"/>
    <w:rsid w:val="00225665"/>
    <w:rsid w:val="00226013"/>
    <w:rsid w:val="00240F15"/>
    <w:rsid w:val="00241A27"/>
    <w:rsid w:val="00241E75"/>
    <w:rsid w:val="00243122"/>
    <w:rsid w:val="002435A1"/>
    <w:rsid w:val="0024654C"/>
    <w:rsid w:val="00246DAC"/>
    <w:rsid w:val="0024737D"/>
    <w:rsid w:val="00252B68"/>
    <w:rsid w:val="002533B1"/>
    <w:rsid w:val="00254F0C"/>
    <w:rsid w:val="002554A2"/>
    <w:rsid w:val="002602E4"/>
    <w:rsid w:val="00260B1B"/>
    <w:rsid w:val="002622CC"/>
    <w:rsid w:val="00264360"/>
    <w:rsid w:val="00264EE3"/>
    <w:rsid w:val="002653D6"/>
    <w:rsid w:val="0026650F"/>
    <w:rsid w:val="002724FB"/>
    <w:rsid w:val="00272CF6"/>
    <w:rsid w:val="0027601E"/>
    <w:rsid w:val="00276F7D"/>
    <w:rsid w:val="002772D6"/>
    <w:rsid w:val="002802D6"/>
    <w:rsid w:val="00280DCC"/>
    <w:rsid w:val="00281CD0"/>
    <w:rsid w:val="00282213"/>
    <w:rsid w:val="002839B0"/>
    <w:rsid w:val="00285173"/>
    <w:rsid w:val="00286123"/>
    <w:rsid w:val="00290743"/>
    <w:rsid w:val="00291364"/>
    <w:rsid w:val="00291C08"/>
    <w:rsid w:val="002942F0"/>
    <w:rsid w:val="002948C1"/>
    <w:rsid w:val="002965F4"/>
    <w:rsid w:val="002971C4"/>
    <w:rsid w:val="0029724D"/>
    <w:rsid w:val="002A1414"/>
    <w:rsid w:val="002A5B94"/>
    <w:rsid w:val="002A5BE6"/>
    <w:rsid w:val="002A6530"/>
    <w:rsid w:val="002A6FCE"/>
    <w:rsid w:val="002A7CE8"/>
    <w:rsid w:val="002B25FA"/>
    <w:rsid w:val="002B491A"/>
    <w:rsid w:val="002B7277"/>
    <w:rsid w:val="002B756F"/>
    <w:rsid w:val="002C181F"/>
    <w:rsid w:val="002C1FC0"/>
    <w:rsid w:val="002C5378"/>
    <w:rsid w:val="002C65AC"/>
    <w:rsid w:val="002C7A91"/>
    <w:rsid w:val="002C7E6C"/>
    <w:rsid w:val="002D2808"/>
    <w:rsid w:val="002D2EBA"/>
    <w:rsid w:val="002D38AA"/>
    <w:rsid w:val="002E0714"/>
    <w:rsid w:val="002E12F7"/>
    <w:rsid w:val="002E277D"/>
    <w:rsid w:val="002E2E6B"/>
    <w:rsid w:val="002E5126"/>
    <w:rsid w:val="002E7385"/>
    <w:rsid w:val="002F0E2C"/>
    <w:rsid w:val="002F0FB9"/>
    <w:rsid w:val="002F29C4"/>
    <w:rsid w:val="002F395C"/>
    <w:rsid w:val="002F4BE5"/>
    <w:rsid w:val="002F4CBE"/>
    <w:rsid w:val="0030029E"/>
    <w:rsid w:val="00300939"/>
    <w:rsid w:val="00300C9D"/>
    <w:rsid w:val="00304ACD"/>
    <w:rsid w:val="00305B0B"/>
    <w:rsid w:val="0031057A"/>
    <w:rsid w:val="00310B31"/>
    <w:rsid w:val="003127A3"/>
    <w:rsid w:val="00312FF5"/>
    <w:rsid w:val="00313BE7"/>
    <w:rsid w:val="00313C4A"/>
    <w:rsid w:val="00315976"/>
    <w:rsid w:val="00316E6B"/>
    <w:rsid w:val="0031707E"/>
    <w:rsid w:val="00324713"/>
    <w:rsid w:val="00333676"/>
    <w:rsid w:val="00335241"/>
    <w:rsid w:val="00335C4C"/>
    <w:rsid w:val="003418D7"/>
    <w:rsid w:val="0034408B"/>
    <w:rsid w:val="003442A8"/>
    <w:rsid w:val="0034616F"/>
    <w:rsid w:val="0034698C"/>
    <w:rsid w:val="003473BC"/>
    <w:rsid w:val="003478DB"/>
    <w:rsid w:val="003501EE"/>
    <w:rsid w:val="003517C5"/>
    <w:rsid w:val="003517D1"/>
    <w:rsid w:val="0035278F"/>
    <w:rsid w:val="00353746"/>
    <w:rsid w:val="00354C8E"/>
    <w:rsid w:val="0035598A"/>
    <w:rsid w:val="00360D28"/>
    <w:rsid w:val="00361147"/>
    <w:rsid w:val="00361B22"/>
    <w:rsid w:val="00362584"/>
    <w:rsid w:val="00362F96"/>
    <w:rsid w:val="00364CB5"/>
    <w:rsid w:val="0036547B"/>
    <w:rsid w:val="0036548E"/>
    <w:rsid w:val="00365BA8"/>
    <w:rsid w:val="00366238"/>
    <w:rsid w:val="00370DC8"/>
    <w:rsid w:val="003716DC"/>
    <w:rsid w:val="003753A1"/>
    <w:rsid w:val="00375BA5"/>
    <w:rsid w:val="00375DF3"/>
    <w:rsid w:val="003760CA"/>
    <w:rsid w:val="0038299D"/>
    <w:rsid w:val="00383122"/>
    <w:rsid w:val="0038564F"/>
    <w:rsid w:val="00386AAC"/>
    <w:rsid w:val="003872D9"/>
    <w:rsid w:val="003903B3"/>
    <w:rsid w:val="003935BB"/>
    <w:rsid w:val="00393635"/>
    <w:rsid w:val="00395731"/>
    <w:rsid w:val="00396D65"/>
    <w:rsid w:val="003A071B"/>
    <w:rsid w:val="003A1FC9"/>
    <w:rsid w:val="003A404A"/>
    <w:rsid w:val="003A4AED"/>
    <w:rsid w:val="003A6F68"/>
    <w:rsid w:val="003A734C"/>
    <w:rsid w:val="003B0BED"/>
    <w:rsid w:val="003B0CB0"/>
    <w:rsid w:val="003B5879"/>
    <w:rsid w:val="003B627A"/>
    <w:rsid w:val="003C157F"/>
    <w:rsid w:val="003C1BD5"/>
    <w:rsid w:val="003C30F8"/>
    <w:rsid w:val="003C55A6"/>
    <w:rsid w:val="003C5B1A"/>
    <w:rsid w:val="003D11DB"/>
    <w:rsid w:val="003D294C"/>
    <w:rsid w:val="003D2A11"/>
    <w:rsid w:val="003D31B7"/>
    <w:rsid w:val="003D329C"/>
    <w:rsid w:val="003D4486"/>
    <w:rsid w:val="003D6194"/>
    <w:rsid w:val="003D61FF"/>
    <w:rsid w:val="003D650E"/>
    <w:rsid w:val="003D6AEA"/>
    <w:rsid w:val="003D777F"/>
    <w:rsid w:val="003E1EB9"/>
    <w:rsid w:val="003E2713"/>
    <w:rsid w:val="003E407C"/>
    <w:rsid w:val="003E78DA"/>
    <w:rsid w:val="003F0D2B"/>
    <w:rsid w:val="003F3408"/>
    <w:rsid w:val="003F4F55"/>
    <w:rsid w:val="003F665C"/>
    <w:rsid w:val="00400353"/>
    <w:rsid w:val="004036D3"/>
    <w:rsid w:val="0040421C"/>
    <w:rsid w:val="00405E8D"/>
    <w:rsid w:val="00410969"/>
    <w:rsid w:val="00411098"/>
    <w:rsid w:val="00411BFD"/>
    <w:rsid w:val="004138AF"/>
    <w:rsid w:val="00421DAE"/>
    <w:rsid w:val="00423F78"/>
    <w:rsid w:val="00424AEF"/>
    <w:rsid w:val="00425C57"/>
    <w:rsid w:val="00426D72"/>
    <w:rsid w:val="00427251"/>
    <w:rsid w:val="0042782D"/>
    <w:rsid w:val="00427F72"/>
    <w:rsid w:val="004303B3"/>
    <w:rsid w:val="004317F1"/>
    <w:rsid w:val="00431ACD"/>
    <w:rsid w:val="00431C48"/>
    <w:rsid w:val="00434D4D"/>
    <w:rsid w:val="00434E9F"/>
    <w:rsid w:val="00436797"/>
    <w:rsid w:val="0043699F"/>
    <w:rsid w:val="00444D43"/>
    <w:rsid w:val="0044531C"/>
    <w:rsid w:val="004461CC"/>
    <w:rsid w:val="004466FE"/>
    <w:rsid w:val="004473CD"/>
    <w:rsid w:val="00451AA3"/>
    <w:rsid w:val="00451EF0"/>
    <w:rsid w:val="004536DC"/>
    <w:rsid w:val="00455ECA"/>
    <w:rsid w:val="004561F6"/>
    <w:rsid w:val="004572D0"/>
    <w:rsid w:val="0046006D"/>
    <w:rsid w:val="004603C4"/>
    <w:rsid w:val="004609B6"/>
    <w:rsid w:val="004637C8"/>
    <w:rsid w:val="00463A32"/>
    <w:rsid w:val="00465A36"/>
    <w:rsid w:val="00466B1E"/>
    <w:rsid w:val="004710CC"/>
    <w:rsid w:val="004719A9"/>
    <w:rsid w:val="00472AB8"/>
    <w:rsid w:val="0047387B"/>
    <w:rsid w:val="00473B2F"/>
    <w:rsid w:val="00474C14"/>
    <w:rsid w:val="00476FF9"/>
    <w:rsid w:val="00477906"/>
    <w:rsid w:val="00477C7D"/>
    <w:rsid w:val="00482C06"/>
    <w:rsid w:val="00483FD8"/>
    <w:rsid w:val="0048405C"/>
    <w:rsid w:val="00486CBD"/>
    <w:rsid w:val="004870AA"/>
    <w:rsid w:val="00490125"/>
    <w:rsid w:val="00492D60"/>
    <w:rsid w:val="00496031"/>
    <w:rsid w:val="00497654"/>
    <w:rsid w:val="00497DCF"/>
    <w:rsid w:val="004A1DBD"/>
    <w:rsid w:val="004A6C5F"/>
    <w:rsid w:val="004A7D53"/>
    <w:rsid w:val="004B2C87"/>
    <w:rsid w:val="004B355C"/>
    <w:rsid w:val="004B5DBA"/>
    <w:rsid w:val="004B6B19"/>
    <w:rsid w:val="004C1375"/>
    <w:rsid w:val="004C1D87"/>
    <w:rsid w:val="004C233C"/>
    <w:rsid w:val="004C2606"/>
    <w:rsid w:val="004C4ECE"/>
    <w:rsid w:val="004C5A9A"/>
    <w:rsid w:val="004C6987"/>
    <w:rsid w:val="004C76F8"/>
    <w:rsid w:val="004D0DDD"/>
    <w:rsid w:val="004D1E17"/>
    <w:rsid w:val="004D28D3"/>
    <w:rsid w:val="004D32F4"/>
    <w:rsid w:val="004D3759"/>
    <w:rsid w:val="004D3E4A"/>
    <w:rsid w:val="004D468F"/>
    <w:rsid w:val="004D75BB"/>
    <w:rsid w:val="004D7672"/>
    <w:rsid w:val="004D79F1"/>
    <w:rsid w:val="004E0E86"/>
    <w:rsid w:val="004E2BFD"/>
    <w:rsid w:val="004E3667"/>
    <w:rsid w:val="004E3ABA"/>
    <w:rsid w:val="004E4F30"/>
    <w:rsid w:val="004E7491"/>
    <w:rsid w:val="004F04B5"/>
    <w:rsid w:val="004F6BC5"/>
    <w:rsid w:val="00501EE7"/>
    <w:rsid w:val="00502A39"/>
    <w:rsid w:val="00502B92"/>
    <w:rsid w:val="00504326"/>
    <w:rsid w:val="005125CB"/>
    <w:rsid w:val="00514CCF"/>
    <w:rsid w:val="00515AC8"/>
    <w:rsid w:val="00516420"/>
    <w:rsid w:val="00517ED3"/>
    <w:rsid w:val="00520BF4"/>
    <w:rsid w:val="00520D47"/>
    <w:rsid w:val="00520DDA"/>
    <w:rsid w:val="00521175"/>
    <w:rsid w:val="005228B1"/>
    <w:rsid w:val="005241DA"/>
    <w:rsid w:val="00525259"/>
    <w:rsid w:val="00525272"/>
    <w:rsid w:val="0053158B"/>
    <w:rsid w:val="00531615"/>
    <w:rsid w:val="00532FA4"/>
    <w:rsid w:val="00533D92"/>
    <w:rsid w:val="0053793C"/>
    <w:rsid w:val="00537C9B"/>
    <w:rsid w:val="005411DC"/>
    <w:rsid w:val="005413D2"/>
    <w:rsid w:val="00542A0F"/>
    <w:rsid w:val="00543319"/>
    <w:rsid w:val="00543759"/>
    <w:rsid w:val="00543A47"/>
    <w:rsid w:val="00547C40"/>
    <w:rsid w:val="00552850"/>
    <w:rsid w:val="00553671"/>
    <w:rsid w:val="00554BCB"/>
    <w:rsid w:val="00555201"/>
    <w:rsid w:val="0055608D"/>
    <w:rsid w:val="0055759D"/>
    <w:rsid w:val="00560E64"/>
    <w:rsid w:val="00560FBA"/>
    <w:rsid w:val="00561BFA"/>
    <w:rsid w:val="00562F18"/>
    <w:rsid w:val="00566654"/>
    <w:rsid w:val="0056797F"/>
    <w:rsid w:val="00570461"/>
    <w:rsid w:val="0057122D"/>
    <w:rsid w:val="00571858"/>
    <w:rsid w:val="0057469A"/>
    <w:rsid w:val="0057552B"/>
    <w:rsid w:val="00576981"/>
    <w:rsid w:val="00583599"/>
    <w:rsid w:val="00583C82"/>
    <w:rsid w:val="00586872"/>
    <w:rsid w:val="005876F9"/>
    <w:rsid w:val="005879A4"/>
    <w:rsid w:val="005904EE"/>
    <w:rsid w:val="00592950"/>
    <w:rsid w:val="00593D84"/>
    <w:rsid w:val="005944FF"/>
    <w:rsid w:val="00594720"/>
    <w:rsid w:val="00595D12"/>
    <w:rsid w:val="005970B3"/>
    <w:rsid w:val="00597D4B"/>
    <w:rsid w:val="005A11DC"/>
    <w:rsid w:val="005A156E"/>
    <w:rsid w:val="005A3FA5"/>
    <w:rsid w:val="005A61A0"/>
    <w:rsid w:val="005A6E0B"/>
    <w:rsid w:val="005B0FC1"/>
    <w:rsid w:val="005B12DC"/>
    <w:rsid w:val="005B2812"/>
    <w:rsid w:val="005B355B"/>
    <w:rsid w:val="005C434E"/>
    <w:rsid w:val="005C4897"/>
    <w:rsid w:val="005C734A"/>
    <w:rsid w:val="005C7B65"/>
    <w:rsid w:val="005D419C"/>
    <w:rsid w:val="005D6749"/>
    <w:rsid w:val="005E20D4"/>
    <w:rsid w:val="005E24B8"/>
    <w:rsid w:val="005E2FE6"/>
    <w:rsid w:val="005E3DEE"/>
    <w:rsid w:val="005E59FA"/>
    <w:rsid w:val="005E7001"/>
    <w:rsid w:val="005E7DAB"/>
    <w:rsid w:val="005F11BE"/>
    <w:rsid w:val="005F15DB"/>
    <w:rsid w:val="005F1CC8"/>
    <w:rsid w:val="005F22F9"/>
    <w:rsid w:val="005F7ECE"/>
    <w:rsid w:val="00600BE8"/>
    <w:rsid w:val="006010E1"/>
    <w:rsid w:val="006018AE"/>
    <w:rsid w:val="00602845"/>
    <w:rsid w:val="0060386E"/>
    <w:rsid w:val="00603EF4"/>
    <w:rsid w:val="00605291"/>
    <w:rsid w:val="006061C0"/>
    <w:rsid w:val="00607879"/>
    <w:rsid w:val="00607A48"/>
    <w:rsid w:val="006103B4"/>
    <w:rsid w:val="00611ADA"/>
    <w:rsid w:val="00612424"/>
    <w:rsid w:val="006132A1"/>
    <w:rsid w:val="00615F1C"/>
    <w:rsid w:val="00620463"/>
    <w:rsid w:val="0062066B"/>
    <w:rsid w:val="006221D0"/>
    <w:rsid w:val="00623424"/>
    <w:rsid w:val="00624EB7"/>
    <w:rsid w:val="00624FA4"/>
    <w:rsid w:val="00631719"/>
    <w:rsid w:val="00631D78"/>
    <w:rsid w:val="006364F6"/>
    <w:rsid w:val="006403A1"/>
    <w:rsid w:val="006411EB"/>
    <w:rsid w:val="00641BD8"/>
    <w:rsid w:val="0064419E"/>
    <w:rsid w:val="006457BA"/>
    <w:rsid w:val="00647E91"/>
    <w:rsid w:val="00650286"/>
    <w:rsid w:val="00652449"/>
    <w:rsid w:val="00653385"/>
    <w:rsid w:val="00655149"/>
    <w:rsid w:val="006570D4"/>
    <w:rsid w:val="00657641"/>
    <w:rsid w:val="006577DA"/>
    <w:rsid w:val="0066002C"/>
    <w:rsid w:val="0066197B"/>
    <w:rsid w:val="00663816"/>
    <w:rsid w:val="0066397A"/>
    <w:rsid w:val="00663D2D"/>
    <w:rsid w:val="00664233"/>
    <w:rsid w:val="0066793A"/>
    <w:rsid w:val="00667E7B"/>
    <w:rsid w:val="0067153C"/>
    <w:rsid w:val="00672665"/>
    <w:rsid w:val="00673E33"/>
    <w:rsid w:val="00674B0E"/>
    <w:rsid w:val="00675A82"/>
    <w:rsid w:val="006778B9"/>
    <w:rsid w:val="00683B2C"/>
    <w:rsid w:val="00685C55"/>
    <w:rsid w:val="00685EBE"/>
    <w:rsid w:val="00691E9F"/>
    <w:rsid w:val="00693E97"/>
    <w:rsid w:val="00696546"/>
    <w:rsid w:val="006967A9"/>
    <w:rsid w:val="006A3DF0"/>
    <w:rsid w:val="006A5FA7"/>
    <w:rsid w:val="006A64A1"/>
    <w:rsid w:val="006B238D"/>
    <w:rsid w:val="006B50A8"/>
    <w:rsid w:val="006C215D"/>
    <w:rsid w:val="006C3C18"/>
    <w:rsid w:val="006D20DC"/>
    <w:rsid w:val="006D25B4"/>
    <w:rsid w:val="006D2E63"/>
    <w:rsid w:val="006D391C"/>
    <w:rsid w:val="006D3C9C"/>
    <w:rsid w:val="006D771F"/>
    <w:rsid w:val="006E36A1"/>
    <w:rsid w:val="006E61BD"/>
    <w:rsid w:val="006F0DA6"/>
    <w:rsid w:val="006F2548"/>
    <w:rsid w:val="006F2E47"/>
    <w:rsid w:val="006F3DBE"/>
    <w:rsid w:val="006F4633"/>
    <w:rsid w:val="006F59FE"/>
    <w:rsid w:val="006F5ABB"/>
    <w:rsid w:val="006F66BC"/>
    <w:rsid w:val="006F687C"/>
    <w:rsid w:val="006F6B1A"/>
    <w:rsid w:val="006F7C61"/>
    <w:rsid w:val="00700F45"/>
    <w:rsid w:val="00702D0C"/>
    <w:rsid w:val="0070391D"/>
    <w:rsid w:val="0070458F"/>
    <w:rsid w:val="00704BB0"/>
    <w:rsid w:val="00706181"/>
    <w:rsid w:val="007130BC"/>
    <w:rsid w:val="007148CE"/>
    <w:rsid w:val="00716F9A"/>
    <w:rsid w:val="00721823"/>
    <w:rsid w:val="007257B0"/>
    <w:rsid w:val="007262FF"/>
    <w:rsid w:val="0072679A"/>
    <w:rsid w:val="007337AB"/>
    <w:rsid w:val="007347D6"/>
    <w:rsid w:val="00736042"/>
    <w:rsid w:val="00737F10"/>
    <w:rsid w:val="00740B50"/>
    <w:rsid w:val="007410F6"/>
    <w:rsid w:val="0074395D"/>
    <w:rsid w:val="00743AD2"/>
    <w:rsid w:val="00745D33"/>
    <w:rsid w:val="00751576"/>
    <w:rsid w:val="00752FC1"/>
    <w:rsid w:val="00753D7E"/>
    <w:rsid w:val="00754479"/>
    <w:rsid w:val="007547A5"/>
    <w:rsid w:val="00756714"/>
    <w:rsid w:val="00756D4C"/>
    <w:rsid w:val="00762B6D"/>
    <w:rsid w:val="00763556"/>
    <w:rsid w:val="00763CEB"/>
    <w:rsid w:val="00764063"/>
    <w:rsid w:val="00764AD8"/>
    <w:rsid w:val="00764C5C"/>
    <w:rsid w:val="0077340F"/>
    <w:rsid w:val="00776345"/>
    <w:rsid w:val="00776FF3"/>
    <w:rsid w:val="00780142"/>
    <w:rsid w:val="007811D6"/>
    <w:rsid w:val="00781ADA"/>
    <w:rsid w:val="0078325E"/>
    <w:rsid w:val="00785EFF"/>
    <w:rsid w:val="00786166"/>
    <w:rsid w:val="00786178"/>
    <w:rsid w:val="00787240"/>
    <w:rsid w:val="00791A29"/>
    <w:rsid w:val="00791E81"/>
    <w:rsid w:val="0079269F"/>
    <w:rsid w:val="00793194"/>
    <w:rsid w:val="007931A0"/>
    <w:rsid w:val="0079349C"/>
    <w:rsid w:val="00794533"/>
    <w:rsid w:val="00794DDA"/>
    <w:rsid w:val="00795FFE"/>
    <w:rsid w:val="00797A81"/>
    <w:rsid w:val="007A050B"/>
    <w:rsid w:val="007A2CBB"/>
    <w:rsid w:val="007A39FC"/>
    <w:rsid w:val="007A49BE"/>
    <w:rsid w:val="007A7AC6"/>
    <w:rsid w:val="007A7D57"/>
    <w:rsid w:val="007B0C46"/>
    <w:rsid w:val="007B0CA0"/>
    <w:rsid w:val="007B2801"/>
    <w:rsid w:val="007B2E7B"/>
    <w:rsid w:val="007B3BB1"/>
    <w:rsid w:val="007B3D52"/>
    <w:rsid w:val="007B47CD"/>
    <w:rsid w:val="007B6442"/>
    <w:rsid w:val="007B67C6"/>
    <w:rsid w:val="007B6D73"/>
    <w:rsid w:val="007B7729"/>
    <w:rsid w:val="007C218D"/>
    <w:rsid w:val="007C33FD"/>
    <w:rsid w:val="007C3B9D"/>
    <w:rsid w:val="007C4A7F"/>
    <w:rsid w:val="007C53DB"/>
    <w:rsid w:val="007C66C8"/>
    <w:rsid w:val="007C6839"/>
    <w:rsid w:val="007D1663"/>
    <w:rsid w:val="007D22BF"/>
    <w:rsid w:val="007D2787"/>
    <w:rsid w:val="007D5C61"/>
    <w:rsid w:val="007D5CAD"/>
    <w:rsid w:val="007D7C37"/>
    <w:rsid w:val="007E0A71"/>
    <w:rsid w:val="007E2072"/>
    <w:rsid w:val="007E5A4C"/>
    <w:rsid w:val="007E5F11"/>
    <w:rsid w:val="007E6C14"/>
    <w:rsid w:val="007E7A4B"/>
    <w:rsid w:val="007F0B22"/>
    <w:rsid w:val="007F311C"/>
    <w:rsid w:val="007F3879"/>
    <w:rsid w:val="007F3DD9"/>
    <w:rsid w:val="00800B6A"/>
    <w:rsid w:val="0080294E"/>
    <w:rsid w:val="00802982"/>
    <w:rsid w:val="008030BA"/>
    <w:rsid w:val="008037C2"/>
    <w:rsid w:val="008053B0"/>
    <w:rsid w:val="008054F4"/>
    <w:rsid w:val="00810208"/>
    <w:rsid w:val="00810684"/>
    <w:rsid w:val="0081106A"/>
    <w:rsid w:val="00814E35"/>
    <w:rsid w:val="00815042"/>
    <w:rsid w:val="00820049"/>
    <w:rsid w:val="00820055"/>
    <w:rsid w:val="008207A8"/>
    <w:rsid w:val="00821398"/>
    <w:rsid w:val="00826345"/>
    <w:rsid w:val="00826D6D"/>
    <w:rsid w:val="00834E02"/>
    <w:rsid w:val="0083593B"/>
    <w:rsid w:val="0083696D"/>
    <w:rsid w:val="008426A4"/>
    <w:rsid w:val="0084442E"/>
    <w:rsid w:val="008508CA"/>
    <w:rsid w:val="0085156E"/>
    <w:rsid w:val="00853C45"/>
    <w:rsid w:val="00855600"/>
    <w:rsid w:val="00855EEB"/>
    <w:rsid w:val="008604B3"/>
    <w:rsid w:val="0086240A"/>
    <w:rsid w:val="00862DB1"/>
    <w:rsid w:val="008642F6"/>
    <w:rsid w:val="00864ACC"/>
    <w:rsid w:val="00865A83"/>
    <w:rsid w:val="00872AE9"/>
    <w:rsid w:val="008735A7"/>
    <w:rsid w:val="0088453C"/>
    <w:rsid w:val="00891093"/>
    <w:rsid w:val="008913F7"/>
    <w:rsid w:val="00891986"/>
    <w:rsid w:val="008920D2"/>
    <w:rsid w:val="00893746"/>
    <w:rsid w:val="008949BC"/>
    <w:rsid w:val="00896988"/>
    <w:rsid w:val="008A0FB7"/>
    <w:rsid w:val="008A2434"/>
    <w:rsid w:val="008A3EE1"/>
    <w:rsid w:val="008A5FB1"/>
    <w:rsid w:val="008A5FF0"/>
    <w:rsid w:val="008B0A79"/>
    <w:rsid w:val="008B500C"/>
    <w:rsid w:val="008B56B3"/>
    <w:rsid w:val="008B7461"/>
    <w:rsid w:val="008C1936"/>
    <w:rsid w:val="008C2CB3"/>
    <w:rsid w:val="008C36ED"/>
    <w:rsid w:val="008C3C11"/>
    <w:rsid w:val="008C4174"/>
    <w:rsid w:val="008C50FB"/>
    <w:rsid w:val="008C51E3"/>
    <w:rsid w:val="008D0270"/>
    <w:rsid w:val="008D31C9"/>
    <w:rsid w:val="008D424E"/>
    <w:rsid w:val="008D482F"/>
    <w:rsid w:val="008E0277"/>
    <w:rsid w:val="008E0A05"/>
    <w:rsid w:val="008E1BD7"/>
    <w:rsid w:val="008E34BB"/>
    <w:rsid w:val="008E4B7E"/>
    <w:rsid w:val="008E4F07"/>
    <w:rsid w:val="008F0945"/>
    <w:rsid w:val="008F0AF4"/>
    <w:rsid w:val="008F0F33"/>
    <w:rsid w:val="008F2308"/>
    <w:rsid w:val="008F3E5D"/>
    <w:rsid w:val="008F5605"/>
    <w:rsid w:val="008F674F"/>
    <w:rsid w:val="008F7270"/>
    <w:rsid w:val="008F76DA"/>
    <w:rsid w:val="009002DE"/>
    <w:rsid w:val="009006BF"/>
    <w:rsid w:val="00901608"/>
    <w:rsid w:val="00901D75"/>
    <w:rsid w:val="00901E96"/>
    <w:rsid w:val="00902A0B"/>
    <w:rsid w:val="00903007"/>
    <w:rsid w:val="00905FE6"/>
    <w:rsid w:val="00912ECC"/>
    <w:rsid w:val="009150F7"/>
    <w:rsid w:val="00915BD1"/>
    <w:rsid w:val="00916644"/>
    <w:rsid w:val="00920C07"/>
    <w:rsid w:val="00920D04"/>
    <w:rsid w:val="00923C7C"/>
    <w:rsid w:val="00924F31"/>
    <w:rsid w:val="00924FA0"/>
    <w:rsid w:val="00925D66"/>
    <w:rsid w:val="0092648E"/>
    <w:rsid w:val="00926D42"/>
    <w:rsid w:val="00926E84"/>
    <w:rsid w:val="009274CF"/>
    <w:rsid w:val="009279AF"/>
    <w:rsid w:val="009317A3"/>
    <w:rsid w:val="00932258"/>
    <w:rsid w:val="00932655"/>
    <w:rsid w:val="009336F7"/>
    <w:rsid w:val="00933F74"/>
    <w:rsid w:val="00937A33"/>
    <w:rsid w:val="00940C17"/>
    <w:rsid w:val="00941C59"/>
    <w:rsid w:val="00943807"/>
    <w:rsid w:val="00943C35"/>
    <w:rsid w:val="009472D4"/>
    <w:rsid w:val="0095280D"/>
    <w:rsid w:val="00952C1E"/>
    <w:rsid w:val="00952DAD"/>
    <w:rsid w:val="00954CFB"/>
    <w:rsid w:val="009600F5"/>
    <w:rsid w:val="00960CD5"/>
    <w:rsid w:val="00961BB1"/>
    <w:rsid w:val="00962521"/>
    <w:rsid w:val="009653DB"/>
    <w:rsid w:val="00965C21"/>
    <w:rsid w:val="009666CE"/>
    <w:rsid w:val="00967B05"/>
    <w:rsid w:val="00967E0C"/>
    <w:rsid w:val="00970CE6"/>
    <w:rsid w:val="00975994"/>
    <w:rsid w:val="00975F61"/>
    <w:rsid w:val="009766C8"/>
    <w:rsid w:val="0098323D"/>
    <w:rsid w:val="009860E8"/>
    <w:rsid w:val="00986C61"/>
    <w:rsid w:val="00991208"/>
    <w:rsid w:val="00994AA2"/>
    <w:rsid w:val="00996ED6"/>
    <w:rsid w:val="009A0073"/>
    <w:rsid w:val="009A36BF"/>
    <w:rsid w:val="009A6CD7"/>
    <w:rsid w:val="009A6EA4"/>
    <w:rsid w:val="009A7C84"/>
    <w:rsid w:val="009A7E87"/>
    <w:rsid w:val="009B0261"/>
    <w:rsid w:val="009B118D"/>
    <w:rsid w:val="009B1957"/>
    <w:rsid w:val="009B348E"/>
    <w:rsid w:val="009B6FB3"/>
    <w:rsid w:val="009B7A74"/>
    <w:rsid w:val="009C0245"/>
    <w:rsid w:val="009C45F9"/>
    <w:rsid w:val="009C5017"/>
    <w:rsid w:val="009C731F"/>
    <w:rsid w:val="009C7F00"/>
    <w:rsid w:val="009D072E"/>
    <w:rsid w:val="009D115D"/>
    <w:rsid w:val="009D1BC3"/>
    <w:rsid w:val="009D1EE0"/>
    <w:rsid w:val="009D2786"/>
    <w:rsid w:val="009D5CF5"/>
    <w:rsid w:val="009D6383"/>
    <w:rsid w:val="009E0A3F"/>
    <w:rsid w:val="009E17E0"/>
    <w:rsid w:val="009E2DCB"/>
    <w:rsid w:val="009E4FDF"/>
    <w:rsid w:val="009E7138"/>
    <w:rsid w:val="009F3F31"/>
    <w:rsid w:val="009F4C75"/>
    <w:rsid w:val="009F538C"/>
    <w:rsid w:val="009F59E5"/>
    <w:rsid w:val="009F785D"/>
    <w:rsid w:val="00A01861"/>
    <w:rsid w:val="00A01BF0"/>
    <w:rsid w:val="00A02090"/>
    <w:rsid w:val="00A0224F"/>
    <w:rsid w:val="00A026E6"/>
    <w:rsid w:val="00A04C8F"/>
    <w:rsid w:val="00A04CCE"/>
    <w:rsid w:val="00A050DD"/>
    <w:rsid w:val="00A055E1"/>
    <w:rsid w:val="00A060CA"/>
    <w:rsid w:val="00A11412"/>
    <w:rsid w:val="00A14725"/>
    <w:rsid w:val="00A150E1"/>
    <w:rsid w:val="00A2386F"/>
    <w:rsid w:val="00A23897"/>
    <w:rsid w:val="00A25496"/>
    <w:rsid w:val="00A30609"/>
    <w:rsid w:val="00A33938"/>
    <w:rsid w:val="00A34909"/>
    <w:rsid w:val="00A3553B"/>
    <w:rsid w:val="00A35D85"/>
    <w:rsid w:val="00A36350"/>
    <w:rsid w:val="00A36A9E"/>
    <w:rsid w:val="00A379BC"/>
    <w:rsid w:val="00A4288C"/>
    <w:rsid w:val="00A445C0"/>
    <w:rsid w:val="00A46668"/>
    <w:rsid w:val="00A5418F"/>
    <w:rsid w:val="00A549F1"/>
    <w:rsid w:val="00A55D1D"/>
    <w:rsid w:val="00A61008"/>
    <w:rsid w:val="00A62167"/>
    <w:rsid w:val="00A64655"/>
    <w:rsid w:val="00A64C22"/>
    <w:rsid w:val="00A67C46"/>
    <w:rsid w:val="00A67DB3"/>
    <w:rsid w:val="00A709A0"/>
    <w:rsid w:val="00A7219C"/>
    <w:rsid w:val="00A72B9C"/>
    <w:rsid w:val="00A75AA8"/>
    <w:rsid w:val="00A76062"/>
    <w:rsid w:val="00A76D62"/>
    <w:rsid w:val="00A76E08"/>
    <w:rsid w:val="00A76FEE"/>
    <w:rsid w:val="00A810C9"/>
    <w:rsid w:val="00A8319D"/>
    <w:rsid w:val="00A8346E"/>
    <w:rsid w:val="00A838A8"/>
    <w:rsid w:val="00A849F1"/>
    <w:rsid w:val="00A85031"/>
    <w:rsid w:val="00A879F0"/>
    <w:rsid w:val="00A9640C"/>
    <w:rsid w:val="00AA3265"/>
    <w:rsid w:val="00AA61E8"/>
    <w:rsid w:val="00AA6728"/>
    <w:rsid w:val="00AB0FF2"/>
    <w:rsid w:val="00AB201E"/>
    <w:rsid w:val="00AB4F1D"/>
    <w:rsid w:val="00AB5EFC"/>
    <w:rsid w:val="00AB69D9"/>
    <w:rsid w:val="00AB7BE7"/>
    <w:rsid w:val="00AC1C39"/>
    <w:rsid w:val="00AC4123"/>
    <w:rsid w:val="00AC4BE4"/>
    <w:rsid w:val="00AC57E8"/>
    <w:rsid w:val="00AC6E60"/>
    <w:rsid w:val="00AD146C"/>
    <w:rsid w:val="00AD2727"/>
    <w:rsid w:val="00AE0AEE"/>
    <w:rsid w:val="00AE49C5"/>
    <w:rsid w:val="00AE4BAB"/>
    <w:rsid w:val="00AE7140"/>
    <w:rsid w:val="00AE7236"/>
    <w:rsid w:val="00AE7C4E"/>
    <w:rsid w:val="00AF099F"/>
    <w:rsid w:val="00AF238D"/>
    <w:rsid w:val="00AF649D"/>
    <w:rsid w:val="00AF6AF7"/>
    <w:rsid w:val="00AF6E43"/>
    <w:rsid w:val="00AF7361"/>
    <w:rsid w:val="00AF7EBE"/>
    <w:rsid w:val="00B00535"/>
    <w:rsid w:val="00B00876"/>
    <w:rsid w:val="00B01E52"/>
    <w:rsid w:val="00B0578C"/>
    <w:rsid w:val="00B062AD"/>
    <w:rsid w:val="00B1143F"/>
    <w:rsid w:val="00B13201"/>
    <w:rsid w:val="00B1414F"/>
    <w:rsid w:val="00B143CE"/>
    <w:rsid w:val="00B26631"/>
    <w:rsid w:val="00B27493"/>
    <w:rsid w:val="00B30591"/>
    <w:rsid w:val="00B30A88"/>
    <w:rsid w:val="00B31805"/>
    <w:rsid w:val="00B32E3F"/>
    <w:rsid w:val="00B34938"/>
    <w:rsid w:val="00B3521E"/>
    <w:rsid w:val="00B37FC1"/>
    <w:rsid w:val="00B44A3E"/>
    <w:rsid w:val="00B46F91"/>
    <w:rsid w:val="00B50387"/>
    <w:rsid w:val="00B510BD"/>
    <w:rsid w:val="00B51BA6"/>
    <w:rsid w:val="00B53DC6"/>
    <w:rsid w:val="00B54A25"/>
    <w:rsid w:val="00B572D1"/>
    <w:rsid w:val="00B57C65"/>
    <w:rsid w:val="00B57CAD"/>
    <w:rsid w:val="00B619EA"/>
    <w:rsid w:val="00B620E6"/>
    <w:rsid w:val="00B64EBC"/>
    <w:rsid w:val="00B65CD8"/>
    <w:rsid w:val="00B72263"/>
    <w:rsid w:val="00B73C3A"/>
    <w:rsid w:val="00B7474E"/>
    <w:rsid w:val="00B83974"/>
    <w:rsid w:val="00B87897"/>
    <w:rsid w:val="00B90731"/>
    <w:rsid w:val="00B90F33"/>
    <w:rsid w:val="00B93CF9"/>
    <w:rsid w:val="00B94CA6"/>
    <w:rsid w:val="00B95650"/>
    <w:rsid w:val="00B960FD"/>
    <w:rsid w:val="00B96CE8"/>
    <w:rsid w:val="00BA1D73"/>
    <w:rsid w:val="00BA2221"/>
    <w:rsid w:val="00BA2C17"/>
    <w:rsid w:val="00BA33EF"/>
    <w:rsid w:val="00BA54C3"/>
    <w:rsid w:val="00BA5792"/>
    <w:rsid w:val="00BB14A1"/>
    <w:rsid w:val="00BB177E"/>
    <w:rsid w:val="00BB1D54"/>
    <w:rsid w:val="00BB56B8"/>
    <w:rsid w:val="00BB5E5B"/>
    <w:rsid w:val="00BC0C77"/>
    <w:rsid w:val="00BC1095"/>
    <w:rsid w:val="00BC14AD"/>
    <w:rsid w:val="00BC162F"/>
    <w:rsid w:val="00BC24F6"/>
    <w:rsid w:val="00BC2773"/>
    <w:rsid w:val="00BC2E44"/>
    <w:rsid w:val="00BC6551"/>
    <w:rsid w:val="00BD0190"/>
    <w:rsid w:val="00BD5255"/>
    <w:rsid w:val="00BD53B2"/>
    <w:rsid w:val="00BD54AC"/>
    <w:rsid w:val="00BE2684"/>
    <w:rsid w:val="00BE2A26"/>
    <w:rsid w:val="00BE2F73"/>
    <w:rsid w:val="00BE344F"/>
    <w:rsid w:val="00BE3F35"/>
    <w:rsid w:val="00BE46B7"/>
    <w:rsid w:val="00BE5AC6"/>
    <w:rsid w:val="00BE5B2D"/>
    <w:rsid w:val="00BF0A06"/>
    <w:rsid w:val="00BF2558"/>
    <w:rsid w:val="00BF5E9E"/>
    <w:rsid w:val="00BF6020"/>
    <w:rsid w:val="00BF72EC"/>
    <w:rsid w:val="00BF7E08"/>
    <w:rsid w:val="00C00D76"/>
    <w:rsid w:val="00C01AB2"/>
    <w:rsid w:val="00C058B6"/>
    <w:rsid w:val="00C067E3"/>
    <w:rsid w:val="00C07C55"/>
    <w:rsid w:val="00C1000F"/>
    <w:rsid w:val="00C102F5"/>
    <w:rsid w:val="00C11A0B"/>
    <w:rsid w:val="00C13D3A"/>
    <w:rsid w:val="00C16A16"/>
    <w:rsid w:val="00C17160"/>
    <w:rsid w:val="00C20409"/>
    <w:rsid w:val="00C20B5C"/>
    <w:rsid w:val="00C2177F"/>
    <w:rsid w:val="00C223DD"/>
    <w:rsid w:val="00C2400A"/>
    <w:rsid w:val="00C25BBC"/>
    <w:rsid w:val="00C25CA5"/>
    <w:rsid w:val="00C25EAA"/>
    <w:rsid w:val="00C26462"/>
    <w:rsid w:val="00C315BF"/>
    <w:rsid w:val="00C33BCA"/>
    <w:rsid w:val="00C33C6A"/>
    <w:rsid w:val="00C35112"/>
    <w:rsid w:val="00C35A27"/>
    <w:rsid w:val="00C372A0"/>
    <w:rsid w:val="00C3779E"/>
    <w:rsid w:val="00C37AA7"/>
    <w:rsid w:val="00C40276"/>
    <w:rsid w:val="00C47E53"/>
    <w:rsid w:val="00C509C9"/>
    <w:rsid w:val="00C51461"/>
    <w:rsid w:val="00C55D3D"/>
    <w:rsid w:val="00C55DE6"/>
    <w:rsid w:val="00C56AFD"/>
    <w:rsid w:val="00C56ED5"/>
    <w:rsid w:val="00C61048"/>
    <w:rsid w:val="00C61916"/>
    <w:rsid w:val="00C62A91"/>
    <w:rsid w:val="00C635D1"/>
    <w:rsid w:val="00C63C4A"/>
    <w:rsid w:val="00C63F7B"/>
    <w:rsid w:val="00C67A91"/>
    <w:rsid w:val="00C70C5A"/>
    <w:rsid w:val="00C74F92"/>
    <w:rsid w:val="00C75E5D"/>
    <w:rsid w:val="00C76074"/>
    <w:rsid w:val="00C767A9"/>
    <w:rsid w:val="00C77209"/>
    <w:rsid w:val="00C778B4"/>
    <w:rsid w:val="00C77E39"/>
    <w:rsid w:val="00C8011A"/>
    <w:rsid w:val="00C81270"/>
    <w:rsid w:val="00C91E88"/>
    <w:rsid w:val="00C920E3"/>
    <w:rsid w:val="00C92C2B"/>
    <w:rsid w:val="00C93135"/>
    <w:rsid w:val="00C93672"/>
    <w:rsid w:val="00C93DFE"/>
    <w:rsid w:val="00C9496B"/>
    <w:rsid w:val="00C954FF"/>
    <w:rsid w:val="00CA0345"/>
    <w:rsid w:val="00CA06A4"/>
    <w:rsid w:val="00CA089F"/>
    <w:rsid w:val="00CA1043"/>
    <w:rsid w:val="00CA3996"/>
    <w:rsid w:val="00CA41E2"/>
    <w:rsid w:val="00CA4E1B"/>
    <w:rsid w:val="00CA5D00"/>
    <w:rsid w:val="00CA6897"/>
    <w:rsid w:val="00CC1EAF"/>
    <w:rsid w:val="00CC2069"/>
    <w:rsid w:val="00CC2920"/>
    <w:rsid w:val="00CC3D71"/>
    <w:rsid w:val="00CC45D1"/>
    <w:rsid w:val="00CC48E2"/>
    <w:rsid w:val="00CC4F50"/>
    <w:rsid w:val="00CD0EFE"/>
    <w:rsid w:val="00CD3C3A"/>
    <w:rsid w:val="00CD54A3"/>
    <w:rsid w:val="00CD615F"/>
    <w:rsid w:val="00CD6346"/>
    <w:rsid w:val="00CD7FFD"/>
    <w:rsid w:val="00CE66C0"/>
    <w:rsid w:val="00CE6A1D"/>
    <w:rsid w:val="00CE7990"/>
    <w:rsid w:val="00CF19A2"/>
    <w:rsid w:val="00CF2104"/>
    <w:rsid w:val="00CF77DD"/>
    <w:rsid w:val="00D00E72"/>
    <w:rsid w:val="00D012BD"/>
    <w:rsid w:val="00D03078"/>
    <w:rsid w:val="00D0565D"/>
    <w:rsid w:val="00D05C0D"/>
    <w:rsid w:val="00D117F5"/>
    <w:rsid w:val="00D12B5D"/>
    <w:rsid w:val="00D1388D"/>
    <w:rsid w:val="00D13C08"/>
    <w:rsid w:val="00D148F0"/>
    <w:rsid w:val="00D14AA8"/>
    <w:rsid w:val="00D159DC"/>
    <w:rsid w:val="00D165CC"/>
    <w:rsid w:val="00D1762B"/>
    <w:rsid w:val="00D1773B"/>
    <w:rsid w:val="00D204AE"/>
    <w:rsid w:val="00D205C8"/>
    <w:rsid w:val="00D2791D"/>
    <w:rsid w:val="00D3067C"/>
    <w:rsid w:val="00D306A4"/>
    <w:rsid w:val="00D30A4F"/>
    <w:rsid w:val="00D30CAC"/>
    <w:rsid w:val="00D33C42"/>
    <w:rsid w:val="00D37F61"/>
    <w:rsid w:val="00D42218"/>
    <w:rsid w:val="00D436C6"/>
    <w:rsid w:val="00D45ABD"/>
    <w:rsid w:val="00D4792E"/>
    <w:rsid w:val="00D50FB0"/>
    <w:rsid w:val="00D5262F"/>
    <w:rsid w:val="00D528D9"/>
    <w:rsid w:val="00D5374E"/>
    <w:rsid w:val="00D546FD"/>
    <w:rsid w:val="00D552C0"/>
    <w:rsid w:val="00D55B1F"/>
    <w:rsid w:val="00D608C1"/>
    <w:rsid w:val="00D61112"/>
    <w:rsid w:val="00D61D4E"/>
    <w:rsid w:val="00D70418"/>
    <w:rsid w:val="00D704B1"/>
    <w:rsid w:val="00D72A66"/>
    <w:rsid w:val="00D7361F"/>
    <w:rsid w:val="00D74A7F"/>
    <w:rsid w:val="00D752D1"/>
    <w:rsid w:val="00D75427"/>
    <w:rsid w:val="00D7604E"/>
    <w:rsid w:val="00D80357"/>
    <w:rsid w:val="00D80F37"/>
    <w:rsid w:val="00D81845"/>
    <w:rsid w:val="00D84BA5"/>
    <w:rsid w:val="00D85B3E"/>
    <w:rsid w:val="00D87C6F"/>
    <w:rsid w:val="00D92783"/>
    <w:rsid w:val="00D93461"/>
    <w:rsid w:val="00D942EB"/>
    <w:rsid w:val="00D9437B"/>
    <w:rsid w:val="00D950B5"/>
    <w:rsid w:val="00D954B0"/>
    <w:rsid w:val="00D960DA"/>
    <w:rsid w:val="00D97B97"/>
    <w:rsid w:val="00DA1BDB"/>
    <w:rsid w:val="00DA215F"/>
    <w:rsid w:val="00DA449A"/>
    <w:rsid w:val="00DA52A0"/>
    <w:rsid w:val="00DA61E2"/>
    <w:rsid w:val="00DA62D3"/>
    <w:rsid w:val="00DA7210"/>
    <w:rsid w:val="00DA75F6"/>
    <w:rsid w:val="00DA7791"/>
    <w:rsid w:val="00DA7EEE"/>
    <w:rsid w:val="00DB0DC2"/>
    <w:rsid w:val="00DB1E63"/>
    <w:rsid w:val="00DB3029"/>
    <w:rsid w:val="00DB4BD9"/>
    <w:rsid w:val="00DB5802"/>
    <w:rsid w:val="00DC02AA"/>
    <w:rsid w:val="00DC15D8"/>
    <w:rsid w:val="00DC2016"/>
    <w:rsid w:val="00DC26BB"/>
    <w:rsid w:val="00DC3AA3"/>
    <w:rsid w:val="00DC6AD9"/>
    <w:rsid w:val="00DC78CF"/>
    <w:rsid w:val="00DD073D"/>
    <w:rsid w:val="00DD0B15"/>
    <w:rsid w:val="00DD2E75"/>
    <w:rsid w:val="00DD321D"/>
    <w:rsid w:val="00DD415A"/>
    <w:rsid w:val="00DD52F9"/>
    <w:rsid w:val="00DD702A"/>
    <w:rsid w:val="00DD7F81"/>
    <w:rsid w:val="00DE09FC"/>
    <w:rsid w:val="00DE0CB4"/>
    <w:rsid w:val="00DE188E"/>
    <w:rsid w:val="00DE1C37"/>
    <w:rsid w:val="00DE34D6"/>
    <w:rsid w:val="00DE4558"/>
    <w:rsid w:val="00DE4D01"/>
    <w:rsid w:val="00DE4D53"/>
    <w:rsid w:val="00DE64A2"/>
    <w:rsid w:val="00DF1210"/>
    <w:rsid w:val="00DF1863"/>
    <w:rsid w:val="00DF1F2D"/>
    <w:rsid w:val="00DF28E9"/>
    <w:rsid w:val="00DF2C86"/>
    <w:rsid w:val="00DF3452"/>
    <w:rsid w:val="00DF3745"/>
    <w:rsid w:val="00DF45F5"/>
    <w:rsid w:val="00DF7A78"/>
    <w:rsid w:val="00E00302"/>
    <w:rsid w:val="00E0121C"/>
    <w:rsid w:val="00E0193B"/>
    <w:rsid w:val="00E05283"/>
    <w:rsid w:val="00E10AD1"/>
    <w:rsid w:val="00E12288"/>
    <w:rsid w:val="00E14C50"/>
    <w:rsid w:val="00E15744"/>
    <w:rsid w:val="00E16434"/>
    <w:rsid w:val="00E2082C"/>
    <w:rsid w:val="00E21412"/>
    <w:rsid w:val="00E21A1B"/>
    <w:rsid w:val="00E22315"/>
    <w:rsid w:val="00E25281"/>
    <w:rsid w:val="00E252C1"/>
    <w:rsid w:val="00E25309"/>
    <w:rsid w:val="00E276D5"/>
    <w:rsid w:val="00E32C7E"/>
    <w:rsid w:val="00E32D99"/>
    <w:rsid w:val="00E33204"/>
    <w:rsid w:val="00E33D27"/>
    <w:rsid w:val="00E34FF0"/>
    <w:rsid w:val="00E37442"/>
    <w:rsid w:val="00E4273E"/>
    <w:rsid w:val="00E433D1"/>
    <w:rsid w:val="00E43BBC"/>
    <w:rsid w:val="00E4453B"/>
    <w:rsid w:val="00E45C50"/>
    <w:rsid w:val="00E45DE1"/>
    <w:rsid w:val="00E46D5E"/>
    <w:rsid w:val="00E476D2"/>
    <w:rsid w:val="00E50B96"/>
    <w:rsid w:val="00E51ED5"/>
    <w:rsid w:val="00E61516"/>
    <w:rsid w:val="00E61673"/>
    <w:rsid w:val="00E64F84"/>
    <w:rsid w:val="00E66709"/>
    <w:rsid w:val="00E66A22"/>
    <w:rsid w:val="00E7027F"/>
    <w:rsid w:val="00E7028F"/>
    <w:rsid w:val="00E73552"/>
    <w:rsid w:val="00E73578"/>
    <w:rsid w:val="00E74A56"/>
    <w:rsid w:val="00E76700"/>
    <w:rsid w:val="00E76AAC"/>
    <w:rsid w:val="00E76C39"/>
    <w:rsid w:val="00E76CFA"/>
    <w:rsid w:val="00E801E8"/>
    <w:rsid w:val="00E8114C"/>
    <w:rsid w:val="00E842BE"/>
    <w:rsid w:val="00E85F60"/>
    <w:rsid w:val="00E85F68"/>
    <w:rsid w:val="00E86244"/>
    <w:rsid w:val="00E87DA7"/>
    <w:rsid w:val="00E900B9"/>
    <w:rsid w:val="00E90325"/>
    <w:rsid w:val="00E9064E"/>
    <w:rsid w:val="00E91FEC"/>
    <w:rsid w:val="00E9316F"/>
    <w:rsid w:val="00E97852"/>
    <w:rsid w:val="00EA1C5B"/>
    <w:rsid w:val="00EA301C"/>
    <w:rsid w:val="00EA447A"/>
    <w:rsid w:val="00EA4972"/>
    <w:rsid w:val="00EB2225"/>
    <w:rsid w:val="00EB43A5"/>
    <w:rsid w:val="00EB5249"/>
    <w:rsid w:val="00EB541D"/>
    <w:rsid w:val="00EB56D9"/>
    <w:rsid w:val="00EB65AA"/>
    <w:rsid w:val="00EB6B29"/>
    <w:rsid w:val="00EB74C9"/>
    <w:rsid w:val="00EB76B6"/>
    <w:rsid w:val="00EC1049"/>
    <w:rsid w:val="00EC1F7F"/>
    <w:rsid w:val="00EC3492"/>
    <w:rsid w:val="00EC3BE7"/>
    <w:rsid w:val="00EC4DF3"/>
    <w:rsid w:val="00ED0763"/>
    <w:rsid w:val="00ED1C8B"/>
    <w:rsid w:val="00ED5228"/>
    <w:rsid w:val="00ED6203"/>
    <w:rsid w:val="00ED6C53"/>
    <w:rsid w:val="00ED7B06"/>
    <w:rsid w:val="00EE0CDA"/>
    <w:rsid w:val="00EE297E"/>
    <w:rsid w:val="00EE43DA"/>
    <w:rsid w:val="00EE66A3"/>
    <w:rsid w:val="00EF23B1"/>
    <w:rsid w:val="00EF28FF"/>
    <w:rsid w:val="00EF694D"/>
    <w:rsid w:val="00F01C0D"/>
    <w:rsid w:val="00F0503A"/>
    <w:rsid w:val="00F07559"/>
    <w:rsid w:val="00F07F11"/>
    <w:rsid w:val="00F11897"/>
    <w:rsid w:val="00F14F18"/>
    <w:rsid w:val="00F15A02"/>
    <w:rsid w:val="00F2167D"/>
    <w:rsid w:val="00F2370A"/>
    <w:rsid w:val="00F24D4A"/>
    <w:rsid w:val="00F25EFA"/>
    <w:rsid w:val="00F27DB8"/>
    <w:rsid w:val="00F309B0"/>
    <w:rsid w:val="00F31BA4"/>
    <w:rsid w:val="00F32939"/>
    <w:rsid w:val="00F32D6B"/>
    <w:rsid w:val="00F358B5"/>
    <w:rsid w:val="00F41C63"/>
    <w:rsid w:val="00F44C41"/>
    <w:rsid w:val="00F4668C"/>
    <w:rsid w:val="00F472D2"/>
    <w:rsid w:val="00F526C4"/>
    <w:rsid w:val="00F52820"/>
    <w:rsid w:val="00F528AD"/>
    <w:rsid w:val="00F54E35"/>
    <w:rsid w:val="00F55522"/>
    <w:rsid w:val="00F5698B"/>
    <w:rsid w:val="00F60F76"/>
    <w:rsid w:val="00F6252E"/>
    <w:rsid w:val="00F6274C"/>
    <w:rsid w:val="00F62BD6"/>
    <w:rsid w:val="00F6312A"/>
    <w:rsid w:val="00F634E7"/>
    <w:rsid w:val="00F6550B"/>
    <w:rsid w:val="00F66C9F"/>
    <w:rsid w:val="00F67D4B"/>
    <w:rsid w:val="00F704AD"/>
    <w:rsid w:val="00F704D9"/>
    <w:rsid w:val="00F73C79"/>
    <w:rsid w:val="00F74666"/>
    <w:rsid w:val="00F762F6"/>
    <w:rsid w:val="00F83FBD"/>
    <w:rsid w:val="00F8562B"/>
    <w:rsid w:val="00F858BA"/>
    <w:rsid w:val="00F90376"/>
    <w:rsid w:val="00F90687"/>
    <w:rsid w:val="00F9170C"/>
    <w:rsid w:val="00F93891"/>
    <w:rsid w:val="00F9412B"/>
    <w:rsid w:val="00F94241"/>
    <w:rsid w:val="00F94267"/>
    <w:rsid w:val="00F97128"/>
    <w:rsid w:val="00FA0F94"/>
    <w:rsid w:val="00FA59EE"/>
    <w:rsid w:val="00FA68DD"/>
    <w:rsid w:val="00FB00EE"/>
    <w:rsid w:val="00FB2933"/>
    <w:rsid w:val="00FB44C6"/>
    <w:rsid w:val="00FC08B3"/>
    <w:rsid w:val="00FC11D0"/>
    <w:rsid w:val="00FC3EE7"/>
    <w:rsid w:val="00FC3FBC"/>
    <w:rsid w:val="00FC4BB6"/>
    <w:rsid w:val="00FC5624"/>
    <w:rsid w:val="00FC7C3F"/>
    <w:rsid w:val="00FD06F8"/>
    <w:rsid w:val="00FD30DB"/>
    <w:rsid w:val="00FD3C56"/>
    <w:rsid w:val="00FD6926"/>
    <w:rsid w:val="00FD76B3"/>
    <w:rsid w:val="00FE14A6"/>
    <w:rsid w:val="00FE2818"/>
    <w:rsid w:val="00FE32F3"/>
    <w:rsid w:val="00FE57B8"/>
    <w:rsid w:val="00FE6832"/>
    <w:rsid w:val="00FE6A61"/>
    <w:rsid w:val="00FE7E8A"/>
    <w:rsid w:val="00FF0638"/>
    <w:rsid w:val="00FF16D2"/>
    <w:rsid w:val="00FF1E20"/>
    <w:rsid w:val="00FF4E21"/>
    <w:rsid w:val="00FF6160"/>
    <w:rsid w:val="00FF73F6"/>
    <w:rsid w:val="0A37ED35"/>
    <w:rsid w:val="0B638B81"/>
    <w:rsid w:val="0D774251"/>
    <w:rsid w:val="0FE424AB"/>
    <w:rsid w:val="15B6DFF7"/>
    <w:rsid w:val="18A8F252"/>
    <w:rsid w:val="1BD207C4"/>
    <w:rsid w:val="1D1B135E"/>
    <w:rsid w:val="1F2B3D6B"/>
    <w:rsid w:val="2086A20E"/>
    <w:rsid w:val="222F22B1"/>
    <w:rsid w:val="23BE63D6"/>
    <w:rsid w:val="26595776"/>
    <w:rsid w:val="265F84F6"/>
    <w:rsid w:val="2B7A438B"/>
    <w:rsid w:val="2D9E76F6"/>
    <w:rsid w:val="2E2791C8"/>
    <w:rsid w:val="30824C22"/>
    <w:rsid w:val="335F8F22"/>
    <w:rsid w:val="355FC814"/>
    <w:rsid w:val="35FCDAE4"/>
    <w:rsid w:val="397C4BBE"/>
    <w:rsid w:val="3EA8CD8E"/>
    <w:rsid w:val="406D2965"/>
    <w:rsid w:val="43D8B815"/>
    <w:rsid w:val="4504F940"/>
    <w:rsid w:val="45AB3974"/>
    <w:rsid w:val="46102FD7"/>
    <w:rsid w:val="48EB52AF"/>
    <w:rsid w:val="513181BB"/>
    <w:rsid w:val="533FDE05"/>
    <w:rsid w:val="53F75537"/>
    <w:rsid w:val="55F3FA53"/>
    <w:rsid w:val="5730CF03"/>
    <w:rsid w:val="5C574421"/>
    <w:rsid w:val="61B0E322"/>
    <w:rsid w:val="69E85B11"/>
    <w:rsid w:val="6CD53D26"/>
    <w:rsid w:val="6DF99808"/>
    <w:rsid w:val="6F653B63"/>
    <w:rsid w:val="73F7F570"/>
    <w:rsid w:val="76FC2DC8"/>
    <w:rsid w:val="7993162F"/>
    <w:rsid w:val="79C8FD56"/>
    <w:rsid w:val="7B507A24"/>
    <w:rsid w:val="7C1926C0"/>
    <w:rsid w:val="7CBC8A7C"/>
    <w:rsid w:val="7D2975AC"/>
    <w:rsid w:val="7D37EDFC"/>
    <w:rsid w:val="7F7B018E"/>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2BE7"/>
  <w15:docId w15:val="{53332275-4B1F-4A8E-A187-BE99CBD0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5"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82D"/>
    <w:pPr>
      <w:spacing w:after="160" w:line="259" w:lineRule="auto"/>
    </w:pPr>
    <w:rPr>
      <w:lang w:eastAsia="zh-CN" w:bidi="he-IL"/>
    </w:rPr>
  </w:style>
  <w:style w:type="paragraph" w:styleId="Heading1">
    <w:name w:val="heading 1"/>
    <w:basedOn w:val="Normal"/>
    <w:next w:val="Normal"/>
    <w:link w:val="Heading1Char"/>
    <w:uiPriority w:val="9"/>
    <w:qFormat/>
    <w:rsid w:val="0042782D"/>
    <w:pPr>
      <w:keepNext/>
      <w:keepLines/>
      <w:spacing w:before="240" w:after="120" w:line="240" w:lineRule="auto"/>
      <w:outlineLvl w:val="0"/>
    </w:pPr>
    <w:rPr>
      <w:rFonts w:asciiTheme="majorBidi" w:eastAsiaTheme="majorEastAsia" w:hAnsiTheme="majorBidi" w:cstheme="majorBidi"/>
      <w:b/>
      <w:sz w:val="28"/>
      <w:szCs w:val="32"/>
    </w:rPr>
  </w:style>
  <w:style w:type="paragraph" w:styleId="Heading2">
    <w:name w:val="heading 2"/>
    <w:basedOn w:val="Normal"/>
    <w:next w:val="Normal"/>
    <w:link w:val="Heading2Char"/>
    <w:uiPriority w:val="9"/>
    <w:unhideWhenUsed/>
    <w:qFormat/>
    <w:rsid w:val="004278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278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next w:val="BodyText"/>
    <w:link w:val="Heading4Char"/>
    <w:uiPriority w:val="9"/>
    <w:unhideWhenUsed/>
    <w:qFormat/>
    <w:rsid w:val="00FE7E8A"/>
    <w:pPr>
      <w:spacing w:before="180" w:after="120" w:line="240" w:lineRule="auto"/>
      <w:outlineLvl w:val="3"/>
    </w:pPr>
    <w:rPr>
      <w:rFonts w:ascii="Times New Roman" w:hAnsi="Times New Roman"/>
      <w:bCs/>
      <w:color w:val="auto"/>
      <w:u w:val="single"/>
    </w:rPr>
  </w:style>
  <w:style w:type="paragraph" w:styleId="Heading5">
    <w:name w:val="heading 5"/>
    <w:basedOn w:val="Heading4"/>
    <w:next w:val="BodyText"/>
    <w:link w:val="Heading5Char"/>
    <w:uiPriority w:val="9"/>
    <w:unhideWhenUsed/>
    <w:qFormat/>
    <w:rsid w:val="00C47E53"/>
    <w:pPr>
      <w:spacing w:before="40" w:after="0"/>
      <w:outlineLvl w:val="4"/>
    </w:pPr>
    <w:rPr>
      <w:b/>
      <w:i/>
      <w:u w:val="none"/>
    </w:rPr>
  </w:style>
  <w:style w:type="paragraph" w:styleId="Heading6">
    <w:name w:val="heading 6"/>
    <w:basedOn w:val="Normal"/>
    <w:next w:val="Normal"/>
    <w:link w:val="Heading6Char"/>
    <w:uiPriority w:val="9"/>
    <w:semiHidden/>
    <w:unhideWhenUsed/>
    <w:qFormat/>
    <w:rsid w:val="0042782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2782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2782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782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82D"/>
    <w:rPr>
      <w:rFonts w:asciiTheme="majorBidi" w:eastAsiaTheme="majorEastAsia" w:hAnsiTheme="majorBidi" w:cstheme="majorBidi"/>
      <w:b/>
      <w:sz w:val="28"/>
      <w:szCs w:val="32"/>
      <w:lang w:val="en-GB" w:eastAsia="zh-CN" w:bidi="he-IL"/>
    </w:rPr>
  </w:style>
  <w:style w:type="character" w:customStyle="1" w:styleId="Heading2Char">
    <w:name w:val="Heading 2 Char"/>
    <w:basedOn w:val="DefaultParagraphFont"/>
    <w:link w:val="Heading2"/>
    <w:uiPriority w:val="9"/>
    <w:rsid w:val="0042782D"/>
    <w:rPr>
      <w:rFonts w:asciiTheme="majorHAnsi" w:eastAsiaTheme="majorEastAsia" w:hAnsiTheme="majorHAnsi" w:cstheme="majorBidi"/>
      <w:color w:val="365F91" w:themeColor="accent1" w:themeShade="BF"/>
      <w:sz w:val="26"/>
      <w:szCs w:val="26"/>
      <w:lang w:val="en-GB" w:eastAsia="zh-CN" w:bidi="he-IL"/>
    </w:rPr>
  </w:style>
  <w:style w:type="character" w:customStyle="1" w:styleId="Heading3Char">
    <w:name w:val="Heading 3 Char"/>
    <w:basedOn w:val="DefaultParagraphFont"/>
    <w:link w:val="Heading3"/>
    <w:uiPriority w:val="9"/>
    <w:rsid w:val="0042782D"/>
    <w:rPr>
      <w:rFonts w:asciiTheme="majorHAnsi" w:eastAsiaTheme="majorEastAsia" w:hAnsiTheme="majorHAnsi" w:cstheme="majorBidi"/>
      <w:color w:val="243F60" w:themeColor="accent1" w:themeShade="7F"/>
      <w:sz w:val="24"/>
      <w:szCs w:val="24"/>
      <w:lang w:val="en-GB" w:eastAsia="zh-CN" w:bidi="he-IL"/>
    </w:rPr>
  </w:style>
  <w:style w:type="character" w:customStyle="1" w:styleId="Heading4Char">
    <w:name w:val="Heading 4 Char"/>
    <w:basedOn w:val="DefaultParagraphFont"/>
    <w:link w:val="Heading4"/>
    <w:uiPriority w:val="9"/>
    <w:rsid w:val="00FE7E8A"/>
    <w:rPr>
      <w:rFonts w:ascii="Times New Roman" w:eastAsiaTheme="majorEastAsia" w:hAnsi="Times New Roman" w:cstheme="majorBidi"/>
      <w:bCs/>
      <w:sz w:val="24"/>
      <w:szCs w:val="24"/>
      <w:u w:val="single"/>
      <w:lang w:val="en-GB" w:eastAsia="zh-CN" w:bidi="he-IL"/>
    </w:rPr>
  </w:style>
  <w:style w:type="character" w:customStyle="1" w:styleId="Heading5Char">
    <w:name w:val="Heading 5 Char"/>
    <w:basedOn w:val="DefaultParagraphFont"/>
    <w:link w:val="Heading5"/>
    <w:uiPriority w:val="9"/>
    <w:rsid w:val="00C47E53"/>
    <w:rPr>
      <w:rFonts w:ascii="Times New Roman" w:eastAsiaTheme="majorEastAsia" w:hAnsi="Times New Roman" w:cstheme="majorBidi"/>
      <w:b/>
      <w:bCs/>
      <w:i/>
      <w:sz w:val="24"/>
      <w:szCs w:val="24"/>
      <w:lang w:eastAsia="zh-CN" w:bidi="he-IL"/>
    </w:rPr>
  </w:style>
  <w:style w:type="character" w:customStyle="1" w:styleId="Heading6Char">
    <w:name w:val="Heading 6 Char"/>
    <w:basedOn w:val="DefaultParagraphFont"/>
    <w:link w:val="Heading6"/>
    <w:uiPriority w:val="9"/>
    <w:semiHidden/>
    <w:rsid w:val="0042782D"/>
    <w:rPr>
      <w:rFonts w:asciiTheme="majorHAnsi" w:eastAsiaTheme="majorEastAsia" w:hAnsiTheme="majorHAnsi" w:cstheme="majorBidi"/>
      <w:color w:val="243F60" w:themeColor="accent1" w:themeShade="7F"/>
      <w:lang w:val="en-GB" w:eastAsia="zh-CN" w:bidi="he-IL"/>
    </w:rPr>
  </w:style>
  <w:style w:type="character" w:customStyle="1" w:styleId="Heading7Char">
    <w:name w:val="Heading 7 Char"/>
    <w:basedOn w:val="DefaultParagraphFont"/>
    <w:link w:val="Heading7"/>
    <w:uiPriority w:val="9"/>
    <w:semiHidden/>
    <w:rsid w:val="0042782D"/>
    <w:rPr>
      <w:rFonts w:asciiTheme="majorHAnsi" w:eastAsiaTheme="majorEastAsia" w:hAnsiTheme="majorHAnsi" w:cstheme="majorBidi"/>
      <w:i/>
      <w:iCs/>
      <w:color w:val="243F60" w:themeColor="accent1" w:themeShade="7F"/>
      <w:lang w:val="en-GB" w:eastAsia="zh-CN" w:bidi="he-IL"/>
    </w:rPr>
  </w:style>
  <w:style w:type="character" w:customStyle="1" w:styleId="Heading8Char">
    <w:name w:val="Heading 8 Char"/>
    <w:basedOn w:val="DefaultParagraphFont"/>
    <w:link w:val="Heading8"/>
    <w:uiPriority w:val="9"/>
    <w:semiHidden/>
    <w:rsid w:val="0042782D"/>
    <w:rPr>
      <w:rFonts w:asciiTheme="majorHAnsi" w:eastAsiaTheme="majorEastAsia" w:hAnsiTheme="majorHAnsi" w:cstheme="majorBidi"/>
      <w:color w:val="272727" w:themeColor="text1" w:themeTint="D8"/>
      <w:sz w:val="21"/>
      <w:szCs w:val="21"/>
      <w:lang w:val="en-GB" w:eastAsia="zh-CN" w:bidi="he-IL"/>
    </w:rPr>
  </w:style>
  <w:style w:type="character" w:customStyle="1" w:styleId="Heading9Char">
    <w:name w:val="Heading 9 Char"/>
    <w:basedOn w:val="DefaultParagraphFont"/>
    <w:link w:val="Heading9"/>
    <w:uiPriority w:val="9"/>
    <w:semiHidden/>
    <w:rsid w:val="0042782D"/>
    <w:rPr>
      <w:rFonts w:asciiTheme="majorHAnsi" w:eastAsiaTheme="majorEastAsia" w:hAnsiTheme="majorHAnsi" w:cstheme="majorBidi"/>
      <w:i/>
      <w:iCs/>
      <w:color w:val="272727" w:themeColor="text1" w:themeTint="D8"/>
      <w:sz w:val="21"/>
      <w:szCs w:val="21"/>
      <w:lang w:val="en-GB" w:eastAsia="zh-CN" w:bidi="he-IL"/>
    </w:rPr>
  </w:style>
  <w:style w:type="paragraph" w:styleId="ListParagraph">
    <w:name w:val="List Paragraph"/>
    <w:basedOn w:val="Normal"/>
    <w:uiPriority w:val="34"/>
    <w:qFormat/>
    <w:rsid w:val="0042782D"/>
    <w:pPr>
      <w:ind w:left="720"/>
      <w:contextualSpacing/>
    </w:pPr>
  </w:style>
  <w:style w:type="character" w:styleId="CommentReference">
    <w:name w:val="annotation reference"/>
    <w:basedOn w:val="DefaultParagraphFont"/>
    <w:uiPriority w:val="99"/>
    <w:semiHidden/>
    <w:unhideWhenUsed/>
    <w:rsid w:val="0042782D"/>
    <w:rPr>
      <w:sz w:val="16"/>
      <w:szCs w:val="16"/>
    </w:rPr>
  </w:style>
  <w:style w:type="paragraph" w:styleId="CommentText">
    <w:name w:val="annotation text"/>
    <w:basedOn w:val="Normal"/>
    <w:link w:val="CommentTextChar"/>
    <w:uiPriority w:val="99"/>
    <w:unhideWhenUsed/>
    <w:rsid w:val="0042782D"/>
    <w:pPr>
      <w:spacing w:line="240" w:lineRule="auto"/>
    </w:pPr>
    <w:rPr>
      <w:sz w:val="20"/>
      <w:szCs w:val="20"/>
    </w:rPr>
  </w:style>
  <w:style w:type="character" w:customStyle="1" w:styleId="CommentTextChar">
    <w:name w:val="Comment Text Char"/>
    <w:basedOn w:val="DefaultParagraphFont"/>
    <w:link w:val="CommentText"/>
    <w:uiPriority w:val="99"/>
    <w:rsid w:val="0042782D"/>
    <w:rPr>
      <w:rFonts w:eastAsiaTheme="minorEastAsia"/>
      <w:sz w:val="20"/>
      <w:szCs w:val="20"/>
      <w:lang w:val="en-GB" w:eastAsia="zh-CN" w:bidi="he-IL"/>
    </w:rPr>
  </w:style>
  <w:style w:type="paragraph" w:styleId="FootnoteText">
    <w:name w:val="footnote text"/>
    <w:basedOn w:val="Normal"/>
    <w:next w:val="BodyText"/>
    <w:link w:val="FootnoteTextChar"/>
    <w:uiPriority w:val="99"/>
    <w:unhideWhenUsed/>
    <w:rsid w:val="00CF19A2"/>
    <w:pPr>
      <w:spacing w:before="30" w:after="3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CF19A2"/>
    <w:rPr>
      <w:rFonts w:ascii="Times New Roman" w:eastAsiaTheme="minorEastAsia" w:hAnsi="Times New Roman"/>
      <w:sz w:val="20"/>
      <w:szCs w:val="20"/>
      <w:lang w:eastAsia="zh-CN" w:bidi="he-IL"/>
    </w:rPr>
  </w:style>
  <w:style w:type="character" w:styleId="FootnoteReference">
    <w:name w:val="footnote reference"/>
    <w:basedOn w:val="DefaultParagraphFont"/>
    <w:uiPriority w:val="99"/>
    <w:unhideWhenUsed/>
    <w:rsid w:val="0042782D"/>
    <w:rPr>
      <w:vertAlign w:val="superscript"/>
    </w:rPr>
  </w:style>
  <w:style w:type="paragraph" w:styleId="ListBullet">
    <w:name w:val="List Bullet"/>
    <w:basedOn w:val="Normal"/>
    <w:uiPriority w:val="99"/>
    <w:unhideWhenUsed/>
    <w:rsid w:val="0042782D"/>
    <w:pPr>
      <w:numPr>
        <w:numId w:val="34"/>
      </w:numPr>
      <w:contextualSpacing/>
    </w:pPr>
  </w:style>
  <w:style w:type="character" w:styleId="Hyperlink">
    <w:name w:val="Hyperlink"/>
    <w:basedOn w:val="DefaultParagraphFont"/>
    <w:uiPriority w:val="99"/>
    <w:unhideWhenUsed/>
    <w:rsid w:val="0042782D"/>
    <w:rPr>
      <w:color w:val="0000FF" w:themeColor="hyperlink"/>
      <w:u w:val="single"/>
    </w:rPr>
  </w:style>
  <w:style w:type="table" w:styleId="LightGrid">
    <w:name w:val="Light Grid"/>
    <w:basedOn w:val="TableNormal"/>
    <w:uiPriority w:val="62"/>
    <w:unhideWhenUsed/>
    <w:rsid w:val="0042782D"/>
    <w:pPr>
      <w:spacing w:after="0" w:line="240" w:lineRule="auto"/>
    </w:pPr>
    <w:rPr>
      <w:lang w:val="en-GB" w:eastAsia="zh-CN" w:bidi="he-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42782D"/>
    <w:pPr>
      <w:tabs>
        <w:tab w:val="center" w:pos="4513"/>
        <w:tab w:val="right" w:pos="9026"/>
      </w:tabs>
      <w:spacing w:after="0" w:line="240" w:lineRule="auto"/>
    </w:pPr>
  </w:style>
  <w:style w:type="character" w:customStyle="1" w:styleId="FooterChar">
    <w:name w:val="Footer Char"/>
    <w:basedOn w:val="DefaultParagraphFont"/>
    <w:link w:val="Footer"/>
    <w:rsid w:val="0042782D"/>
    <w:rPr>
      <w:rFonts w:eastAsiaTheme="minorEastAsia"/>
      <w:lang w:val="en-GB" w:eastAsia="zh-CN" w:bidi="he-IL"/>
    </w:rPr>
  </w:style>
  <w:style w:type="paragraph" w:styleId="BalloonText">
    <w:name w:val="Balloon Text"/>
    <w:basedOn w:val="Normal"/>
    <w:link w:val="BalloonTextChar"/>
    <w:uiPriority w:val="99"/>
    <w:semiHidden/>
    <w:unhideWhenUsed/>
    <w:rsid w:val="00427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82D"/>
    <w:rPr>
      <w:rFonts w:ascii="Segoe UI" w:eastAsiaTheme="minorEastAsia" w:hAnsi="Segoe UI" w:cs="Segoe UI"/>
      <w:sz w:val="18"/>
      <w:szCs w:val="18"/>
      <w:lang w:val="en-GB" w:eastAsia="zh-CN" w:bidi="he-IL"/>
    </w:rPr>
  </w:style>
  <w:style w:type="paragraph" w:styleId="Bibliography">
    <w:name w:val="Bibliography"/>
    <w:basedOn w:val="Normal"/>
    <w:next w:val="Normal"/>
    <w:uiPriority w:val="37"/>
    <w:semiHidden/>
    <w:unhideWhenUsed/>
    <w:rsid w:val="0042782D"/>
  </w:style>
  <w:style w:type="paragraph" w:styleId="BlockText">
    <w:name w:val="Block Text"/>
    <w:basedOn w:val="Normal"/>
    <w:uiPriority w:val="99"/>
    <w:semiHidden/>
    <w:unhideWhenUsed/>
    <w:rsid w:val="004278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aliases w:val="Body Text Char3 Char,Body Text Char1 Char Char,Body Text Char Char Char Char1,Body Text Char1 Char Char Char Char1,Body Text Char Char1 Char Char Char Char,Body Text Char Char Char Char1 Char Char Char Char,Body Text Char3,Char,Cha,Ch,C"/>
    <w:basedOn w:val="Normal"/>
    <w:link w:val="BodyTextChar"/>
    <w:uiPriority w:val="99"/>
    <w:unhideWhenUsed/>
    <w:qFormat/>
    <w:rsid w:val="0042782D"/>
    <w:pPr>
      <w:spacing w:before="120" w:after="180" w:line="240" w:lineRule="auto"/>
    </w:pPr>
    <w:rPr>
      <w:rFonts w:ascii="Times New Roman" w:hAnsi="Times New Roman"/>
      <w:sz w:val="24"/>
    </w:rPr>
  </w:style>
  <w:style w:type="character" w:customStyle="1" w:styleId="BodyTextChar">
    <w:name w:val="Body Text Char"/>
    <w:aliases w:val="Body Text Char3 Char Char,Body Text Char1 Char Char Char,Body Text Char Char Char Char1 Char,Body Text Char1 Char Char Char Char1 Char,Body Text Char Char1 Char Char Char Char Char,Body Text Char Char Char Char1 Char Char Char Char Char"/>
    <w:basedOn w:val="DefaultParagraphFont"/>
    <w:link w:val="BodyText"/>
    <w:uiPriority w:val="99"/>
    <w:rsid w:val="0042782D"/>
    <w:rPr>
      <w:rFonts w:ascii="Times New Roman" w:eastAsiaTheme="minorEastAsia" w:hAnsi="Times New Roman"/>
      <w:sz w:val="24"/>
      <w:lang w:val="en-GB" w:eastAsia="zh-CN" w:bidi="he-IL"/>
    </w:rPr>
  </w:style>
  <w:style w:type="paragraph" w:styleId="BodyText2">
    <w:name w:val="Body Text 2"/>
    <w:basedOn w:val="Normal"/>
    <w:link w:val="BodyText2Char"/>
    <w:uiPriority w:val="99"/>
    <w:semiHidden/>
    <w:unhideWhenUsed/>
    <w:rsid w:val="0042782D"/>
    <w:pPr>
      <w:spacing w:after="120" w:line="480" w:lineRule="auto"/>
    </w:pPr>
  </w:style>
  <w:style w:type="character" w:customStyle="1" w:styleId="BodyText2Char">
    <w:name w:val="Body Text 2 Char"/>
    <w:basedOn w:val="DefaultParagraphFont"/>
    <w:link w:val="BodyText2"/>
    <w:uiPriority w:val="99"/>
    <w:semiHidden/>
    <w:rsid w:val="0042782D"/>
    <w:rPr>
      <w:rFonts w:eastAsiaTheme="minorEastAsia"/>
      <w:lang w:val="en-GB" w:eastAsia="zh-CN" w:bidi="he-IL"/>
    </w:rPr>
  </w:style>
  <w:style w:type="paragraph" w:styleId="BodyText3">
    <w:name w:val="Body Text 3"/>
    <w:basedOn w:val="Normal"/>
    <w:link w:val="BodyText3Char"/>
    <w:uiPriority w:val="99"/>
    <w:semiHidden/>
    <w:unhideWhenUsed/>
    <w:rsid w:val="0042782D"/>
    <w:pPr>
      <w:spacing w:after="120"/>
    </w:pPr>
    <w:rPr>
      <w:sz w:val="16"/>
      <w:szCs w:val="16"/>
    </w:rPr>
  </w:style>
  <w:style w:type="character" w:customStyle="1" w:styleId="BodyText3Char">
    <w:name w:val="Body Text 3 Char"/>
    <w:basedOn w:val="DefaultParagraphFont"/>
    <w:link w:val="BodyText3"/>
    <w:uiPriority w:val="99"/>
    <w:semiHidden/>
    <w:rsid w:val="0042782D"/>
    <w:rPr>
      <w:rFonts w:eastAsiaTheme="minorEastAsia"/>
      <w:sz w:val="16"/>
      <w:szCs w:val="16"/>
      <w:lang w:val="en-GB" w:eastAsia="zh-CN" w:bidi="he-IL"/>
    </w:rPr>
  </w:style>
  <w:style w:type="paragraph" w:styleId="BodyTextFirstIndent">
    <w:name w:val="Body Text First Indent"/>
    <w:basedOn w:val="BodyText"/>
    <w:link w:val="BodyTextFirstIndentChar"/>
    <w:uiPriority w:val="99"/>
    <w:semiHidden/>
    <w:unhideWhenUsed/>
    <w:rsid w:val="0042782D"/>
    <w:pPr>
      <w:spacing w:after="160"/>
      <w:ind w:firstLine="360"/>
    </w:pPr>
  </w:style>
  <w:style w:type="character" w:customStyle="1" w:styleId="BodyTextFirstIndentChar">
    <w:name w:val="Body Text First Indent Char"/>
    <w:basedOn w:val="BodyTextChar"/>
    <w:link w:val="BodyTextFirstIndent"/>
    <w:uiPriority w:val="99"/>
    <w:semiHidden/>
    <w:rsid w:val="0042782D"/>
    <w:rPr>
      <w:rFonts w:ascii="Times New Roman" w:eastAsiaTheme="minorEastAsia" w:hAnsi="Times New Roman"/>
      <w:sz w:val="24"/>
      <w:lang w:val="en-GB" w:eastAsia="zh-CN" w:bidi="he-IL"/>
    </w:rPr>
  </w:style>
  <w:style w:type="paragraph" w:styleId="BodyTextIndent">
    <w:name w:val="Body Text Indent"/>
    <w:basedOn w:val="Normal"/>
    <w:link w:val="BodyTextIndentChar"/>
    <w:uiPriority w:val="99"/>
    <w:semiHidden/>
    <w:unhideWhenUsed/>
    <w:rsid w:val="0042782D"/>
    <w:pPr>
      <w:spacing w:after="120"/>
      <w:ind w:left="283"/>
    </w:pPr>
  </w:style>
  <w:style w:type="character" w:customStyle="1" w:styleId="BodyTextIndentChar">
    <w:name w:val="Body Text Indent Char"/>
    <w:basedOn w:val="DefaultParagraphFont"/>
    <w:link w:val="BodyTextIndent"/>
    <w:uiPriority w:val="99"/>
    <w:semiHidden/>
    <w:rsid w:val="0042782D"/>
    <w:rPr>
      <w:rFonts w:eastAsiaTheme="minorEastAsia"/>
      <w:lang w:val="en-GB" w:eastAsia="zh-CN" w:bidi="he-IL"/>
    </w:rPr>
  </w:style>
  <w:style w:type="paragraph" w:styleId="BodyTextFirstIndent2">
    <w:name w:val="Body Text First Indent 2"/>
    <w:basedOn w:val="BodyTextIndent"/>
    <w:link w:val="BodyTextFirstIndent2Char"/>
    <w:uiPriority w:val="99"/>
    <w:semiHidden/>
    <w:unhideWhenUsed/>
    <w:rsid w:val="0042782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42782D"/>
    <w:rPr>
      <w:rFonts w:eastAsiaTheme="minorEastAsia"/>
      <w:lang w:val="en-GB" w:eastAsia="zh-CN" w:bidi="he-IL"/>
    </w:rPr>
  </w:style>
  <w:style w:type="paragraph" w:styleId="BodyTextIndent2">
    <w:name w:val="Body Text Indent 2"/>
    <w:basedOn w:val="Normal"/>
    <w:link w:val="BodyTextIndent2Char"/>
    <w:uiPriority w:val="99"/>
    <w:semiHidden/>
    <w:unhideWhenUsed/>
    <w:rsid w:val="0042782D"/>
    <w:pPr>
      <w:spacing w:after="120" w:line="480" w:lineRule="auto"/>
      <w:ind w:left="283"/>
    </w:pPr>
  </w:style>
  <w:style w:type="character" w:customStyle="1" w:styleId="BodyTextIndent2Char">
    <w:name w:val="Body Text Indent 2 Char"/>
    <w:basedOn w:val="DefaultParagraphFont"/>
    <w:link w:val="BodyTextIndent2"/>
    <w:uiPriority w:val="99"/>
    <w:semiHidden/>
    <w:rsid w:val="0042782D"/>
    <w:rPr>
      <w:rFonts w:eastAsiaTheme="minorEastAsia"/>
      <w:lang w:val="en-GB" w:eastAsia="zh-CN" w:bidi="he-IL"/>
    </w:rPr>
  </w:style>
  <w:style w:type="paragraph" w:styleId="BodyTextIndent3">
    <w:name w:val="Body Text Indent 3"/>
    <w:basedOn w:val="Normal"/>
    <w:link w:val="BodyTextIndent3Char"/>
    <w:uiPriority w:val="99"/>
    <w:semiHidden/>
    <w:unhideWhenUsed/>
    <w:rsid w:val="0042782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2782D"/>
    <w:rPr>
      <w:rFonts w:eastAsiaTheme="minorEastAsia"/>
      <w:sz w:val="16"/>
      <w:szCs w:val="16"/>
      <w:lang w:val="en-GB" w:eastAsia="zh-CN" w:bidi="he-IL"/>
    </w:rPr>
  </w:style>
  <w:style w:type="paragraph" w:styleId="Caption">
    <w:name w:val="caption"/>
    <w:basedOn w:val="Normal"/>
    <w:next w:val="Normal"/>
    <w:uiPriority w:val="35"/>
    <w:unhideWhenUsed/>
    <w:qFormat/>
    <w:rsid w:val="0042782D"/>
    <w:pPr>
      <w:keepNext/>
      <w:keepLines/>
      <w:spacing w:before="240" w:after="0" w:line="240" w:lineRule="auto"/>
    </w:pPr>
    <w:rPr>
      <w:rFonts w:ascii="Times New Roman" w:hAnsi="Times New Roman"/>
      <w:b/>
      <w:iCs/>
      <w:sz w:val="20"/>
      <w:szCs w:val="18"/>
    </w:rPr>
  </w:style>
  <w:style w:type="paragraph" w:styleId="Closing">
    <w:name w:val="Closing"/>
    <w:basedOn w:val="Normal"/>
    <w:link w:val="ClosingChar"/>
    <w:uiPriority w:val="99"/>
    <w:semiHidden/>
    <w:unhideWhenUsed/>
    <w:rsid w:val="0042782D"/>
    <w:pPr>
      <w:spacing w:after="0" w:line="240" w:lineRule="auto"/>
      <w:ind w:left="4252"/>
    </w:pPr>
  </w:style>
  <w:style w:type="character" w:customStyle="1" w:styleId="ClosingChar">
    <w:name w:val="Closing Char"/>
    <w:basedOn w:val="DefaultParagraphFont"/>
    <w:link w:val="Closing"/>
    <w:uiPriority w:val="99"/>
    <w:semiHidden/>
    <w:rsid w:val="0042782D"/>
    <w:rPr>
      <w:rFonts w:eastAsiaTheme="minorEastAsia"/>
      <w:lang w:val="en-GB" w:eastAsia="zh-CN" w:bidi="he-IL"/>
    </w:rPr>
  </w:style>
  <w:style w:type="paragraph" w:styleId="CommentSubject">
    <w:name w:val="annotation subject"/>
    <w:basedOn w:val="CommentText"/>
    <w:next w:val="CommentText"/>
    <w:link w:val="CommentSubjectChar"/>
    <w:uiPriority w:val="99"/>
    <w:semiHidden/>
    <w:unhideWhenUsed/>
    <w:rsid w:val="0042782D"/>
    <w:rPr>
      <w:b/>
      <w:bCs/>
    </w:rPr>
  </w:style>
  <w:style w:type="character" w:customStyle="1" w:styleId="CommentSubjectChar">
    <w:name w:val="Comment Subject Char"/>
    <w:basedOn w:val="CommentTextChar"/>
    <w:link w:val="CommentSubject"/>
    <w:uiPriority w:val="99"/>
    <w:semiHidden/>
    <w:rsid w:val="0042782D"/>
    <w:rPr>
      <w:rFonts w:eastAsiaTheme="minorEastAsia"/>
      <w:b/>
      <w:bCs/>
      <w:sz w:val="20"/>
      <w:szCs w:val="20"/>
      <w:lang w:val="en-GB" w:eastAsia="zh-CN" w:bidi="he-IL"/>
    </w:rPr>
  </w:style>
  <w:style w:type="paragraph" w:styleId="Date">
    <w:name w:val="Date"/>
    <w:basedOn w:val="Normal"/>
    <w:next w:val="Normal"/>
    <w:link w:val="DateChar"/>
    <w:uiPriority w:val="99"/>
    <w:semiHidden/>
    <w:unhideWhenUsed/>
    <w:rsid w:val="0042782D"/>
  </w:style>
  <w:style w:type="character" w:customStyle="1" w:styleId="DateChar">
    <w:name w:val="Date Char"/>
    <w:basedOn w:val="DefaultParagraphFont"/>
    <w:link w:val="Date"/>
    <w:uiPriority w:val="99"/>
    <w:semiHidden/>
    <w:rsid w:val="0042782D"/>
    <w:rPr>
      <w:rFonts w:eastAsiaTheme="minorEastAsia"/>
      <w:lang w:val="en-GB" w:eastAsia="zh-CN" w:bidi="he-IL"/>
    </w:rPr>
  </w:style>
  <w:style w:type="paragraph" w:customStyle="1" w:styleId="Default">
    <w:name w:val="Default"/>
    <w:rsid w:val="0042782D"/>
    <w:pPr>
      <w:autoSpaceDE w:val="0"/>
      <w:autoSpaceDN w:val="0"/>
      <w:adjustRightInd w:val="0"/>
      <w:spacing w:after="0" w:line="240" w:lineRule="auto"/>
    </w:pPr>
    <w:rPr>
      <w:rFonts w:ascii="Cambria" w:hAnsi="Cambria" w:cs="Cambria"/>
      <w:color w:val="000000"/>
      <w:sz w:val="24"/>
      <w:szCs w:val="24"/>
      <w:lang w:val="en-GB" w:eastAsia="zh-CN" w:bidi="he-IL"/>
    </w:rPr>
  </w:style>
  <w:style w:type="paragraph" w:styleId="DocumentMap">
    <w:name w:val="Document Map"/>
    <w:basedOn w:val="Normal"/>
    <w:link w:val="DocumentMapChar"/>
    <w:uiPriority w:val="99"/>
    <w:semiHidden/>
    <w:unhideWhenUsed/>
    <w:rsid w:val="0042782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2782D"/>
    <w:rPr>
      <w:rFonts w:ascii="Segoe UI" w:eastAsiaTheme="minorEastAsia" w:hAnsi="Segoe UI" w:cs="Segoe UI"/>
      <w:sz w:val="16"/>
      <w:szCs w:val="16"/>
      <w:lang w:val="en-GB" w:eastAsia="zh-CN" w:bidi="he-IL"/>
    </w:rPr>
  </w:style>
  <w:style w:type="paragraph" w:styleId="E-mailSignature">
    <w:name w:val="E-mail Signature"/>
    <w:basedOn w:val="Normal"/>
    <w:link w:val="E-mailSignatureChar"/>
    <w:uiPriority w:val="99"/>
    <w:semiHidden/>
    <w:unhideWhenUsed/>
    <w:rsid w:val="0042782D"/>
    <w:pPr>
      <w:spacing w:after="0" w:line="240" w:lineRule="auto"/>
    </w:pPr>
  </w:style>
  <w:style w:type="character" w:customStyle="1" w:styleId="E-mailSignatureChar">
    <w:name w:val="E-mail Signature Char"/>
    <w:basedOn w:val="DefaultParagraphFont"/>
    <w:link w:val="E-mailSignature"/>
    <w:uiPriority w:val="99"/>
    <w:semiHidden/>
    <w:rsid w:val="0042782D"/>
    <w:rPr>
      <w:rFonts w:eastAsiaTheme="minorEastAsia"/>
      <w:lang w:val="en-GB" w:eastAsia="zh-CN" w:bidi="he-IL"/>
    </w:rPr>
  </w:style>
  <w:style w:type="character" w:styleId="EndnoteReference">
    <w:name w:val="endnote reference"/>
    <w:basedOn w:val="DefaultParagraphFont"/>
    <w:uiPriority w:val="99"/>
    <w:semiHidden/>
    <w:unhideWhenUsed/>
    <w:rsid w:val="0042782D"/>
    <w:rPr>
      <w:vertAlign w:val="superscript"/>
    </w:rPr>
  </w:style>
  <w:style w:type="paragraph" w:styleId="EndnoteText">
    <w:name w:val="endnote text"/>
    <w:basedOn w:val="Normal"/>
    <w:link w:val="EndnoteTextChar"/>
    <w:uiPriority w:val="99"/>
    <w:semiHidden/>
    <w:unhideWhenUsed/>
    <w:rsid w:val="004278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782D"/>
    <w:rPr>
      <w:rFonts w:eastAsiaTheme="minorEastAsia"/>
      <w:sz w:val="20"/>
      <w:szCs w:val="20"/>
      <w:lang w:val="en-GB" w:eastAsia="zh-CN" w:bidi="he-IL"/>
    </w:rPr>
  </w:style>
  <w:style w:type="paragraph" w:styleId="EnvelopeAddress">
    <w:name w:val="envelope address"/>
    <w:basedOn w:val="Normal"/>
    <w:uiPriority w:val="99"/>
    <w:semiHidden/>
    <w:unhideWhenUsed/>
    <w:rsid w:val="0042782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2782D"/>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42782D"/>
    <w:rPr>
      <w:color w:val="800080" w:themeColor="followedHyperlink"/>
      <w:u w:val="single"/>
    </w:rPr>
  </w:style>
  <w:style w:type="paragraph" w:styleId="Header">
    <w:name w:val="header"/>
    <w:basedOn w:val="Normal"/>
    <w:link w:val="HeaderChar"/>
    <w:uiPriority w:val="99"/>
    <w:unhideWhenUsed/>
    <w:rsid w:val="00427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82D"/>
    <w:rPr>
      <w:rFonts w:eastAsiaTheme="minorEastAsia"/>
      <w:lang w:val="en-GB" w:eastAsia="zh-CN" w:bidi="he-IL"/>
    </w:rPr>
  </w:style>
  <w:style w:type="paragraph" w:customStyle="1" w:styleId="Heading1-TNR">
    <w:name w:val="Heading 1 - TNR"/>
    <w:basedOn w:val="Heading2"/>
    <w:next w:val="BodyText"/>
    <w:link w:val="Heading1-TNRChar"/>
    <w:qFormat/>
    <w:rsid w:val="0042782D"/>
    <w:pPr>
      <w:numPr>
        <w:numId w:val="33"/>
      </w:numPr>
      <w:spacing w:before="240" w:after="120" w:line="240" w:lineRule="auto"/>
      <w:ind w:left="0" w:firstLine="0"/>
    </w:pPr>
    <w:rPr>
      <w:rFonts w:ascii="Times New Roman" w:hAnsi="Times New Roman" w:cs="Times New Roman"/>
      <w:b/>
      <w:bCs/>
      <w:caps/>
      <w:color w:val="auto"/>
      <w:sz w:val="24"/>
      <w:szCs w:val="24"/>
    </w:rPr>
  </w:style>
  <w:style w:type="character" w:customStyle="1" w:styleId="Heading1-TNRChar">
    <w:name w:val="Heading 1 - TNR Char"/>
    <w:basedOn w:val="Style1Char"/>
    <w:link w:val="Heading1-TNR"/>
    <w:rsid w:val="0042782D"/>
    <w:rPr>
      <w:rFonts w:ascii="Times New Roman" w:eastAsiaTheme="majorEastAsia" w:hAnsi="Times New Roman" w:cs="Times New Roman"/>
      <w:b w:val="0"/>
      <w:bCs/>
      <w:caps/>
      <w:sz w:val="24"/>
      <w:szCs w:val="24"/>
      <w:lang w:val="en-GB" w:eastAsia="zh-CN" w:bidi="he-IL"/>
    </w:rPr>
  </w:style>
  <w:style w:type="paragraph" w:customStyle="1" w:styleId="Heading2-TNR">
    <w:name w:val="Heading 2 - TNR"/>
    <w:basedOn w:val="Heading1-TNR"/>
    <w:next w:val="BodyText"/>
    <w:link w:val="Heading2-TNRChar"/>
    <w:qFormat/>
    <w:rsid w:val="004572D0"/>
    <w:pPr>
      <w:numPr>
        <w:ilvl w:val="1"/>
      </w:numPr>
      <w:ind w:left="0" w:firstLine="0"/>
      <w:mirrorIndents/>
      <w:outlineLvl w:val="2"/>
    </w:pPr>
    <w:rPr>
      <w:rFonts w:asciiTheme="majorBidi" w:hAnsiTheme="majorBidi"/>
    </w:rPr>
  </w:style>
  <w:style w:type="character" w:customStyle="1" w:styleId="Heading2-TNRChar">
    <w:name w:val="Heading 2 - TNR Char"/>
    <w:basedOn w:val="DefaultParagraphFont"/>
    <w:link w:val="Heading2-TNR"/>
    <w:rsid w:val="004572D0"/>
    <w:rPr>
      <w:rFonts w:asciiTheme="majorBidi" w:eastAsiaTheme="majorEastAsia" w:hAnsiTheme="majorBidi" w:cs="Times New Roman"/>
      <w:b/>
      <w:bCs/>
      <w:caps/>
      <w:sz w:val="24"/>
      <w:szCs w:val="24"/>
      <w:lang w:eastAsia="zh-CN" w:bidi="he-IL"/>
    </w:rPr>
  </w:style>
  <w:style w:type="paragraph" w:customStyle="1" w:styleId="Heading3-TNR">
    <w:name w:val="Heading 3 - TNR"/>
    <w:basedOn w:val="Normal"/>
    <w:next w:val="BodyText"/>
    <w:link w:val="Heading3-TNRChar"/>
    <w:qFormat/>
    <w:rsid w:val="00281CD0"/>
    <w:pPr>
      <w:keepNext/>
      <w:keepLines/>
      <w:spacing w:before="180" w:after="120" w:line="240" w:lineRule="auto"/>
      <w:outlineLvl w:val="3"/>
    </w:pPr>
    <w:rPr>
      <w:rFonts w:ascii="Times New Roman" w:hAnsi="Times New Roman"/>
      <w:b/>
      <w:bCs/>
      <w:sz w:val="24"/>
      <w:szCs w:val="24"/>
    </w:rPr>
  </w:style>
  <w:style w:type="character" w:customStyle="1" w:styleId="Heading3-TNRChar">
    <w:name w:val="Heading 3 - TNR Char"/>
    <w:basedOn w:val="DefaultParagraphFont"/>
    <w:link w:val="Heading3-TNR"/>
    <w:rsid w:val="00281CD0"/>
    <w:rPr>
      <w:rFonts w:ascii="Times New Roman" w:eastAsiaTheme="minorEastAsia" w:hAnsi="Times New Roman"/>
      <w:b/>
      <w:bCs/>
      <w:sz w:val="24"/>
      <w:szCs w:val="24"/>
      <w:lang w:eastAsia="zh-CN" w:bidi="he-IL"/>
    </w:rPr>
  </w:style>
  <w:style w:type="paragraph" w:styleId="HTMLAddress">
    <w:name w:val="HTML Address"/>
    <w:basedOn w:val="Normal"/>
    <w:link w:val="HTMLAddressChar"/>
    <w:uiPriority w:val="99"/>
    <w:semiHidden/>
    <w:unhideWhenUsed/>
    <w:rsid w:val="0042782D"/>
    <w:pPr>
      <w:spacing w:after="0" w:line="240" w:lineRule="auto"/>
    </w:pPr>
    <w:rPr>
      <w:i/>
      <w:iCs/>
    </w:rPr>
  </w:style>
  <w:style w:type="character" w:customStyle="1" w:styleId="HTMLAddressChar">
    <w:name w:val="HTML Address Char"/>
    <w:basedOn w:val="DefaultParagraphFont"/>
    <w:link w:val="HTMLAddress"/>
    <w:uiPriority w:val="99"/>
    <w:semiHidden/>
    <w:rsid w:val="0042782D"/>
    <w:rPr>
      <w:rFonts w:eastAsiaTheme="minorEastAsia"/>
      <w:i/>
      <w:iCs/>
      <w:lang w:val="en-GB" w:eastAsia="zh-CN" w:bidi="he-IL"/>
    </w:rPr>
  </w:style>
  <w:style w:type="paragraph" w:styleId="HTMLPreformatted">
    <w:name w:val="HTML Preformatted"/>
    <w:basedOn w:val="Normal"/>
    <w:link w:val="HTMLPreformattedChar"/>
    <w:uiPriority w:val="99"/>
    <w:semiHidden/>
    <w:unhideWhenUsed/>
    <w:rsid w:val="0042782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782D"/>
    <w:rPr>
      <w:rFonts w:ascii="Consolas" w:eastAsiaTheme="minorEastAsia" w:hAnsi="Consolas"/>
      <w:sz w:val="20"/>
      <w:szCs w:val="20"/>
      <w:lang w:val="en-GB" w:eastAsia="zh-CN" w:bidi="he-IL"/>
    </w:rPr>
  </w:style>
  <w:style w:type="paragraph" w:styleId="Index1">
    <w:name w:val="index 1"/>
    <w:basedOn w:val="Normal"/>
    <w:next w:val="Normal"/>
    <w:autoRedefine/>
    <w:uiPriority w:val="99"/>
    <w:semiHidden/>
    <w:unhideWhenUsed/>
    <w:rsid w:val="0042782D"/>
    <w:pPr>
      <w:spacing w:after="0" w:line="240" w:lineRule="auto"/>
      <w:ind w:left="220" w:hanging="220"/>
    </w:pPr>
  </w:style>
  <w:style w:type="paragraph" w:styleId="Index2">
    <w:name w:val="index 2"/>
    <w:basedOn w:val="Normal"/>
    <w:next w:val="Normal"/>
    <w:autoRedefine/>
    <w:uiPriority w:val="99"/>
    <w:semiHidden/>
    <w:unhideWhenUsed/>
    <w:rsid w:val="0042782D"/>
    <w:pPr>
      <w:spacing w:after="0" w:line="240" w:lineRule="auto"/>
      <w:ind w:left="440" w:hanging="220"/>
    </w:pPr>
  </w:style>
  <w:style w:type="paragraph" w:styleId="Index3">
    <w:name w:val="index 3"/>
    <w:basedOn w:val="Normal"/>
    <w:next w:val="Normal"/>
    <w:autoRedefine/>
    <w:uiPriority w:val="99"/>
    <w:semiHidden/>
    <w:unhideWhenUsed/>
    <w:rsid w:val="0042782D"/>
    <w:pPr>
      <w:spacing w:after="0" w:line="240" w:lineRule="auto"/>
      <w:ind w:left="660" w:hanging="220"/>
    </w:pPr>
  </w:style>
  <w:style w:type="paragraph" w:styleId="Index4">
    <w:name w:val="index 4"/>
    <w:basedOn w:val="Normal"/>
    <w:next w:val="Normal"/>
    <w:autoRedefine/>
    <w:uiPriority w:val="99"/>
    <w:semiHidden/>
    <w:unhideWhenUsed/>
    <w:rsid w:val="0042782D"/>
    <w:pPr>
      <w:spacing w:after="0" w:line="240" w:lineRule="auto"/>
      <w:ind w:left="880" w:hanging="220"/>
    </w:pPr>
  </w:style>
  <w:style w:type="paragraph" w:styleId="Index5">
    <w:name w:val="index 5"/>
    <w:basedOn w:val="Normal"/>
    <w:next w:val="Normal"/>
    <w:autoRedefine/>
    <w:uiPriority w:val="99"/>
    <w:semiHidden/>
    <w:unhideWhenUsed/>
    <w:rsid w:val="0042782D"/>
    <w:pPr>
      <w:spacing w:after="0" w:line="240" w:lineRule="auto"/>
      <w:ind w:left="1100" w:hanging="220"/>
    </w:pPr>
  </w:style>
  <w:style w:type="paragraph" w:styleId="Index6">
    <w:name w:val="index 6"/>
    <w:basedOn w:val="Normal"/>
    <w:next w:val="Normal"/>
    <w:autoRedefine/>
    <w:uiPriority w:val="99"/>
    <w:semiHidden/>
    <w:unhideWhenUsed/>
    <w:rsid w:val="0042782D"/>
    <w:pPr>
      <w:spacing w:after="0" w:line="240" w:lineRule="auto"/>
      <w:ind w:left="1320" w:hanging="220"/>
    </w:pPr>
  </w:style>
  <w:style w:type="paragraph" w:styleId="Index7">
    <w:name w:val="index 7"/>
    <w:basedOn w:val="Normal"/>
    <w:next w:val="Normal"/>
    <w:autoRedefine/>
    <w:uiPriority w:val="99"/>
    <w:semiHidden/>
    <w:unhideWhenUsed/>
    <w:rsid w:val="0042782D"/>
    <w:pPr>
      <w:spacing w:after="0" w:line="240" w:lineRule="auto"/>
      <w:ind w:left="1540" w:hanging="220"/>
    </w:pPr>
  </w:style>
  <w:style w:type="paragraph" w:styleId="Index8">
    <w:name w:val="index 8"/>
    <w:basedOn w:val="Normal"/>
    <w:next w:val="Normal"/>
    <w:autoRedefine/>
    <w:uiPriority w:val="99"/>
    <w:semiHidden/>
    <w:unhideWhenUsed/>
    <w:rsid w:val="0042782D"/>
    <w:pPr>
      <w:spacing w:after="0" w:line="240" w:lineRule="auto"/>
      <w:ind w:left="1760" w:hanging="220"/>
    </w:pPr>
  </w:style>
  <w:style w:type="paragraph" w:styleId="Index9">
    <w:name w:val="index 9"/>
    <w:basedOn w:val="Normal"/>
    <w:next w:val="Normal"/>
    <w:autoRedefine/>
    <w:uiPriority w:val="99"/>
    <w:semiHidden/>
    <w:unhideWhenUsed/>
    <w:rsid w:val="0042782D"/>
    <w:pPr>
      <w:spacing w:after="0" w:line="240" w:lineRule="auto"/>
      <w:ind w:left="1980" w:hanging="220"/>
    </w:pPr>
  </w:style>
  <w:style w:type="paragraph" w:styleId="IndexHeading">
    <w:name w:val="index heading"/>
    <w:basedOn w:val="Normal"/>
    <w:next w:val="Index1"/>
    <w:uiPriority w:val="99"/>
    <w:semiHidden/>
    <w:unhideWhenUsed/>
    <w:rsid w:val="0042782D"/>
    <w:rPr>
      <w:rFonts w:asciiTheme="majorHAnsi" w:eastAsiaTheme="majorEastAsia" w:hAnsiTheme="majorHAnsi" w:cstheme="majorBidi"/>
      <w:b/>
      <w:bCs/>
    </w:rPr>
  </w:style>
  <w:style w:type="character" w:styleId="IntenseEmphasis">
    <w:name w:val="Intense Emphasis"/>
    <w:basedOn w:val="DefaultParagraphFont"/>
    <w:uiPriority w:val="21"/>
    <w:rsid w:val="0042782D"/>
    <w:rPr>
      <w:b/>
      <w:bCs/>
      <w:i/>
      <w:iCs/>
      <w:color w:val="4F81BD" w:themeColor="accent1"/>
    </w:rPr>
  </w:style>
  <w:style w:type="paragraph" w:styleId="IntenseQuote">
    <w:name w:val="Intense Quote"/>
    <w:basedOn w:val="Normal"/>
    <w:next w:val="Normal"/>
    <w:link w:val="IntenseQuoteChar"/>
    <w:uiPriority w:val="30"/>
    <w:qFormat/>
    <w:rsid w:val="0042782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2782D"/>
    <w:rPr>
      <w:rFonts w:eastAsiaTheme="minorEastAsia"/>
      <w:i/>
      <w:iCs/>
      <w:color w:val="4F81BD" w:themeColor="accent1"/>
      <w:lang w:val="en-GB" w:eastAsia="zh-CN" w:bidi="he-IL"/>
    </w:rPr>
  </w:style>
  <w:style w:type="character" w:styleId="IntenseReference">
    <w:name w:val="Intense Reference"/>
    <w:basedOn w:val="DefaultParagraphFont"/>
    <w:uiPriority w:val="32"/>
    <w:qFormat/>
    <w:rsid w:val="0042782D"/>
    <w:rPr>
      <w:b/>
      <w:bCs/>
      <w:smallCaps/>
      <w:color w:val="4F81BD" w:themeColor="accent1"/>
      <w:spacing w:val="5"/>
    </w:rPr>
  </w:style>
  <w:style w:type="paragraph" w:styleId="List">
    <w:name w:val="List"/>
    <w:basedOn w:val="Normal"/>
    <w:uiPriority w:val="99"/>
    <w:semiHidden/>
    <w:unhideWhenUsed/>
    <w:rsid w:val="0042782D"/>
    <w:pPr>
      <w:ind w:left="283" w:hanging="283"/>
      <w:contextualSpacing/>
    </w:pPr>
  </w:style>
  <w:style w:type="paragraph" w:styleId="List2">
    <w:name w:val="List 2"/>
    <w:basedOn w:val="Normal"/>
    <w:uiPriority w:val="99"/>
    <w:semiHidden/>
    <w:unhideWhenUsed/>
    <w:rsid w:val="0042782D"/>
    <w:pPr>
      <w:ind w:left="566" w:hanging="283"/>
      <w:contextualSpacing/>
    </w:pPr>
  </w:style>
  <w:style w:type="paragraph" w:styleId="List3">
    <w:name w:val="List 3"/>
    <w:basedOn w:val="Normal"/>
    <w:uiPriority w:val="99"/>
    <w:semiHidden/>
    <w:unhideWhenUsed/>
    <w:rsid w:val="0042782D"/>
    <w:pPr>
      <w:ind w:left="849" w:hanging="283"/>
      <w:contextualSpacing/>
    </w:pPr>
  </w:style>
  <w:style w:type="paragraph" w:styleId="List4">
    <w:name w:val="List 4"/>
    <w:basedOn w:val="Normal"/>
    <w:uiPriority w:val="99"/>
    <w:semiHidden/>
    <w:unhideWhenUsed/>
    <w:rsid w:val="0042782D"/>
    <w:pPr>
      <w:ind w:left="1132" w:hanging="283"/>
      <w:contextualSpacing/>
    </w:pPr>
  </w:style>
  <w:style w:type="paragraph" w:styleId="List5">
    <w:name w:val="List 5"/>
    <w:basedOn w:val="Normal"/>
    <w:uiPriority w:val="99"/>
    <w:semiHidden/>
    <w:unhideWhenUsed/>
    <w:rsid w:val="0042782D"/>
    <w:pPr>
      <w:ind w:left="1415" w:hanging="283"/>
      <w:contextualSpacing/>
    </w:pPr>
  </w:style>
  <w:style w:type="paragraph" w:styleId="ListBullet2">
    <w:name w:val="List Bullet 2"/>
    <w:basedOn w:val="Normal"/>
    <w:uiPriority w:val="99"/>
    <w:semiHidden/>
    <w:unhideWhenUsed/>
    <w:rsid w:val="0042782D"/>
    <w:pPr>
      <w:numPr>
        <w:numId w:val="35"/>
      </w:numPr>
      <w:contextualSpacing/>
    </w:pPr>
  </w:style>
  <w:style w:type="paragraph" w:styleId="ListBullet3">
    <w:name w:val="List Bullet 3"/>
    <w:basedOn w:val="Normal"/>
    <w:uiPriority w:val="99"/>
    <w:semiHidden/>
    <w:unhideWhenUsed/>
    <w:rsid w:val="0042782D"/>
    <w:pPr>
      <w:numPr>
        <w:numId w:val="36"/>
      </w:numPr>
      <w:contextualSpacing/>
    </w:pPr>
  </w:style>
  <w:style w:type="paragraph" w:styleId="ListBullet4">
    <w:name w:val="List Bullet 4"/>
    <w:basedOn w:val="Normal"/>
    <w:uiPriority w:val="99"/>
    <w:semiHidden/>
    <w:unhideWhenUsed/>
    <w:rsid w:val="0042782D"/>
    <w:pPr>
      <w:numPr>
        <w:numId w:val="37"/>
      </w:numPr>
      <w:contextualSpacing/>
    </w:pPr>
  </w:style>
  <w:style w:type="paragraph" w:styleId="ListBullet5">
    <w:name w:val="List Bullet 5"/>
    <w:basedOn w:val="Normal"/>
    <w:uiPriority w:val="99"/>
    <w:semiHidden/>
    <w:unhideWhenUsed/>
    <w:rsid w:val="0042782D"/>
    <w:pPr>
      <w:numPr>
        <w:numId w:val="38"/>
      </w:numPr>
      <w:contextualSpacing/>
    </w:pPr>
  </w:style>
  <w:style w:type="paragraph" w:styleId="ListContinue">
    <w:name w:val="List Continue"/>
    <w:basedOn w:val="Normal"/>
    <w:uiPriority w:val="99"/>
    <w:semiHidden/>
    <w:unhideWhenUsed/>
    <w:rsid w:val="0042782D"/>
    <w:pPr>
      <w:spacing w:after="120"/>
      <w:ind w:left="283"/>
      <w:contextualSpacing/>
    </w:pPr>
  </w:style>
  <w:style w:type="paragraph" w:styleId="ListContinue2">
    <w:name w:val="List Continue 2"/>
    <w:basedOn w:val="Normal"/>
    <w:uiPriority w:val="99"/>
    <w:semiHidden/>
    <w:unhideWhenUsed/>
    <w:rsid w:val="0042782D"/>
    <w:pPr>
      <w:spacing w:after="120"/>
      <w:ind w:left="566"/>
      <w:contextualSpacing/>
    </w:pPr>
  </w:style>
  <w:style w:type="paragraph" w:styleId="ListContinue3">
    <w:name w:val="List Continue 3"/>
    <w:basedOn w:val="Normal"/>
    <w:uiPriority w:val="99"/>
    <w:semiHidden/>
    <w:unhideWhenUsed/>
    <w:rsid w:val="0042782D"/>
    <w:pPr>
      <w:spacing w:after="120"/>
      <w:ind w:left="849"/>
      <w:contextualSpacing/>
    </w:pPr>
  </w:style>
  <w:style w:type="paragraph" w:styleId="ListContinue4">
    <w:name w:val="List Continue 4"/>
    <w:basedOn w:val="Normal"/>
    <w:uiPriority w:val="99"/>
    <w:semiHidden/>
    <w:unhideWhenUsed/>
    <w:rsid w:val="0042782D"/>
    <w:pPr>
      <w:spacing w:after="120"/>
      <w:ind w:left="1132"/>
      <w:contextualSpacing/>
    </w:pPr>
  </w:style>
  <w:style w:type="paragraph" w:styleId="ListContinue5">
    <w:name w:val="List Continue 5"/>
    <w:basedOn w:val="Normal"/>
    <w:uiPriority w:val="99"/>
    <w:semiHidden/>
    <w:unhideWhenUsed/>
    <w:rsid w:val="0042782D"/>
    <w:pPr>
      <w:spacing w:after="120"/>
      <w:ind w:left="1415"/>
      <w:contextualSpacing/>
    </w:pPr>
  </w:style>
  <w:style w:type="paragraph" w:styleId="ListNumber">
    <w:name w:val="List Number"/>
    <w:basedOn w:val="Normal"/>
    <w:uiPriority w:val="99"/>
    <w:semiHidden/>
    <w:unhideWhenUsed/>
    <w:rsid w:val="0042782D"/>
    <w:pPr>
      <w:numPr>
        <w:numId w:val="39"/>
      </w:numPr>
      <w:contextualSpacing/>
    </w:pPr>
  </w:style>
  <w:style w:type="paragraph" w:styleId="ListNumber2">
    <w:name w:val="List Number 2"/>
    <w:basedOn w:val="Normal"/>
    <w:uiPriority w:val="99"/>
    <w:semiHidden/>
    <w:unhideWhenUsed/>
    <w:rsid w:val="0042782D"/>
    <w:pPr>
      <w:numPr>
        <w:numId w:val="40"/>
      </w:numPr>
      <w:contextualSpacing/>
    </w:pPr>
  </w:style>
  <w:style w:type="paragraph" w:styleId="ListNumber3">
    <w:name w:val="List Number 3"/>
    <w:basedOn w:val="Normal"/>
    <w:uiPriority w:val="99"/>
    <w:semiHidden/>
    <w:unhideWhenUsed/>
    <w:rsid w:val="0042782D"/>
    <w:pPr>
      <w:numPr>
        <w:numId w:val="41"/>
      </w:numPr>
      <w:contextualSpacing/>
    </w:pPr>
  </w:style>
  <w:style w:type="paragraph" w:styleId="ListNumber4">
    <w:name w:val="List Number 4"/>
    <w:basedOn w:val="Normal"/>
    <w:uiPriority w:val="99"/>
    <w:semiHidden/>
    <w:unhideWhenUsed/>
    <w:rsid w:val="0042782D"/>
    <w:pPr>
      <w:numPr>
        <w:numId w:val="42"/>
      </w:numPr>
      <w:contextualSpacing/>
    </w:pPr>
  </w:style>
  <w:style w:type="paragraph" w:styleId="ListNumber5">
    <w:name w:val="List Number 5"/>
    <w:basedOn w:val="Normal"/>
    <w:uiPriority w:val="99"/>
    <w:semiHidden/>
    <w:unhideWhenUsed/>
    <w:rsid w:val="0042782D"/>
    <w:pPr>
      <w:numPr>
        <w:numId w:val="43"/>
      </w:numPr>
      <w:contextualSpacing/>
    </w:pPr>
  </w:style>
  <w:style w:type="paragraph" w:styleId="MacroText">
    <w:name w:val="macro"/>
    <w:link w:val="MacroTextChar"/>
    <w:uiPriority w:val="99"/>
    <w:semiHidden/>
    <w:unhideWhenUsed/>
    <w:rsid w:val="0042782D"/>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sz w:val="20"/>
      <w:szCs w:val="20"/>
      <w:lang w:val="en-GB" w:eastAsia="zh-CN" w:bidi="he-IL"/>
    </w:rPr>
  </w:style>
  <w:style w:type="character" w:customStyle="1" w:styleId="MacroTextChar">
    <w:name w:val="Macro Text Char"/>
    <w:basedOn w:val="DefaultParagraphFont"/>
    <w:link w:val="MacroText"/>
    <w:uiPriority w:val="99"/>
    <w:semiHidden/>
    <w:rsid w:val="0042782D"/>
    <w:rPr>
      <w:rFonts w:ascii="Consolas" w:eastAsiaTheme="minorEastAsia" w:hAnsi="Consolas"/>
      <w:sz w:val="20"/>
      <w:szCs w:val="20"/>
      <w:lang w:val="en-GB" w:eastAsia="zh-CN" w:bidi="he-IL"/>
    </w:rPr>
  </w:style>
  <w:style w:type="paragraph" w:styleId="MessageHeader">
    <w:name w:val="Message Header"/>
    <w:basedOn w:val="Normal"/>
    <w:link w:val="MessageHeaderChar"/>
    <w:uiPriority w:val="99"/>
    <w:semiHidden/>
    <w:unhideWhenUsed/>
    <w:rsid w:val="0042782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2782D"/>
    <w:rPr>
      <w:rFonts w:asciiTheme="majorHAnsi" w:eastAsiaTheme="majorEastAsia" w:hAnsiTheme="majorHAnsi" w:cstheme="majorBidi"/>
      <w:sz w:val="24"/>
      <w:szCs w:val="24"/>
      <w:shd w:val="pct20" w:color="auto" w:fill="auto"/>
      <w:lang w:val="en-GB" w:eastAsia="zh-CN" w:bidi="he-IL"/>
    </w:rPr>
  </w:style>
  <w:style w:type="paragraph" w:styleId="NoSpacing">
    <w:name w:val="No Spacing"/>
    <w:uiPriority w:val="1"/>
    <w:qFormat/>
    <w:rsid w:val="0042782D"/>
    <w:pPr>
      <w:spacing w:after="0" w:line="240" w:lineRule="auto"/>
    </w:pPr>
    <w:rPr>
      <w:lang w:val="en-GB" w:eastAsia="zh-CN" w:bidi="he-IL"/>
    </w:rPr>
  </w:style>
  <w:style w:type="paragraph" w:customStyle="1" w:styleId="Normal-TNR">
    <w:name w:val="Normal - TNR"/>
    <w:basedOn w:val="Normal"/>
    <w:link w:val="Normal-TNRChar"/>
    <w:qFormat/>
    <w:rsid w:val="0042782D"/>
    <w:rPr>
      <w:sz w:val="24"/>
      <w:szCs w:val="24"/>
      <w:lang w:val="en"/>
    </w:rPr>
  </w:style>
  <w:style w:type="character" w:customStyle="1" w:styleId="Normal-TNRChar">
    <w:name w:val="Normal - TNR Char"/>
    <w:basedOn w:val="DefaultParagraphFont"/>
    <w:link w:val="Normal-TNR"/>
    <w:rsid w:val="0042782D"/>
    <w:rPr>
      <w:rFonts w:eastAsiaTheme="minorEastAsia"/>
      <w:sz w:val="24"/>
      <w:szCs w:val="24"/>
      <w:lang w:val="en" w:eastAsia="zh-CN" w:bidi="he-IL"/>
    </w:rPr>
  </w:style>
  <w:style w:type="paragraph" w:styleId="NormalWeb">
    <w:name w:val="Normal (Web)"/>
    <w:basedOn w:val="Normal"/>
    <w:uiPriority w:val="99"/>
    <w:semiHidden/>
    <w:unhideWhenUsed/>
    <w:rsid w:val="0042782D"/>
    <w:rPr>
      <w:rFonts w:ascii="Times New Roman" w:hAnsi="Times New Roman" w:cs="Times New Roman"/>
      <w:sz w:val="24"/>
      <w:szCs w:val="24"/>
    </w:rPr>
  </w:style>
  <w:style w:type="paragraph" w:styleId="NormalIndent">
    <w:name w:val="Normal Indent"/>
    <w:basedOn w:val="Normal"/>
    <w:uiPriority w:val="99"/>
    <w:semiHidden/>
    <w:unhideWhenUsed/>
    <w:rsid w:val="0042782D"/>
    <w:pPr>
      <w:ind w:left="720"/>
    </w:pPr>
  </w:style>
  <w:style w:type="paragraph" w:styleId="NoteHeading">
    <w:name w:val="Note Heading"/>
    <w:basedOn w:val="Normal"/>
    <w:next w:val="Normal"/>
    <w:link w:val="NoteHeadingChar"/>
    <w:uiPriority w:val="99"/>
    <w:semiHidden/>
    <w:unhideWhenUsed/>
    <w:rsid w:val="0042782D"/>
    <w:pPr>
      <w:spacing w:after="0" w:line="240" w:lineRule="auto"/>
    </w:pPr>
  </w:style>
  <w:style w:type="character" w:customStyle="1" w:styleId="NoteHeadingChar">
    <w:name w:val="Note Heading Char"/>
    <w:basedOn w:val="DefaultParagraphFont"/>
    <w:link w:val="NoteHeading"/>
    <w:uiPriority w:val="99"/>
    <w:semiHidden/>
    <w:rsid w:val="0042782D"/>
    <w:rPr>
      <w:rFonts w:eastAsiaTheme="minorEastAsia"/>
      <w:lang w:val="en-GB" w:eastAsia="zh-CN" w:bidi="he-IL"/>
    </w:rPr>
  </w:style>
  <w:style w:type="character" w:styleId="PageNumber">
    <w:name w:val="page number"/>
    <w:uiPriority w:val="5"/>
    <w:semiHidden/>
    <w:rsid w:val="0042782D"/>
    <w:rPr>
      <w:color w:val="82786F"/>
    </w:rPr>
  </w:style>
  <w:style w:type="paragraph" w:styleId="PlainText">
    <w:name w:val="Plain Text"/>
    <w:basedOn w:val="Normal"/>
    <w:link w:val="PlainTextChar"/>
    <w:uiPriority w:val="99"/>
    <w:semiHidden/>
    <w:unhideWhenUsed/>
    <w:rsid w:val="004278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2782D"/>
    <w:rPr>
      <w:rFonts w:ascii="Consolas" w:eastAsiaTheme="minorEastAsia" w:hAnsi="Consolas"/>
      <w:sz w:val="21"/>
      <w:szCs w:val="21"/>
      <w:lang w:val="en-GB" w:eastAsia="zh-CN" w:bidi="he-IL"/>
    </w:rPr>
  </w:style>
  <w:style w:type="paragraph" w:styleId="Quote">
    <w:name w:val="Quote"/>
    <w:basedOn w:val="Normal"/>
    <w:next w:val="Normal"/>
    <w:link w:val="QuoteChar"/>
    <w:uiPriority w:val="29"/>
    <w:qFormat/>
    <w:rsid w:val="0042782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2782D"/>
    <w:rPr>
      <w:rFonts w:eastAsiaTheme="minorEastAsia"/>
      <w:i/>
      <w:iCs/>
      <w:color w:val="404040" w:themeColor="text1" w:themeTint="BF"/>
      <w:lang w:val="en-GB" w:eastAsia="zh-CN" w:bidi="he-IL"/>
    </w:rPr>
  </w:style>
  <w:style w:type="paragraph" w:styleId="Salutation">
    <w:name w:val="Salutation"/>
    <w:basedOn w:val="Normal"/>
    <w:next w:val="Normal"/>
    <w:link w:val="SalutationChar"/>
    <w:uiPriority w:val="99"/>
    <w:semiHidden/>
    <w:unhideWhenUsed/>
    <w:rsid w:val="0042782D"/>
  </w:style>
  <w:style w:type="character" w:customStyle="1" w:styleId="SalutationChar">
    <w:name w:val="Salutation Char"/>
    <w:basedOn w:val="DefaultParagraphFont"/>
    <w:link w:val="Salutation"/>
    <w:uiPriority w:val="99"/>
    <w:semiHidden/>
    <w:rsid w:val="0042782D"/>
    <w:rPr>
      <w:rFonts w:eastAsiaTheme="minorEastAsia"/>
      <w:lang w:val="en-GB" w:eastAsia="zh-CN" w:bidi="he-IL"/>
    </w:rPr>
  </w:style>
  <w:style w:type="paragraph" w:styleId="Signature">
    <w:name w:val="Signature"/>
    <w:basedOn w:val="Normal"/>
    <w:link w:val="SignatureChar"/>
    <w:uiPriority w:val="99"/>
    <w:semiHidden/>
    <w:unhideWhenUsed/>
    <w:rsid w:val="0042782D"/>
    <w:pPr>
      <w:spacing w:after="0" w:line="240" w:lineRule="auto"/>
      <w:ind w:left="4252"/>
    </w:pPr>
  </w:style>
  <w:style w:type="character" w:customStyle="1" w:styleId="SignatureChar">
    <w:name w:val="Signature Char"/>
    <w:basedOn w:val="DefaultParagraphFont"/>
    <w:link w:val="Signature"/>
    <w:uiPriority w:val="99"/>
    <w:semiHidden/>
    <w:rsid w:val="0042782D"/>
    <w:rPr>
      <w:rFonts w:eastAsiaTheme="minorEastAsia"/>
      <w:lang w:val="en-GB" w:eastAsia="zh-CN" w:bidi="he-IL"/>
    </w:rPr>
  </w:style>
  <w:style w:type="paragraph" w:customStyle="1" w:styleId="Style1">
    <w:name w:val="Style1"/>
    <w:basedOn w:val="Heading1"/>
    <w:link w:val="Style1Char"/>
    <w:rsid w:val="0042782D"/>
  </w:style>
  <w:style w:type="character" w:customStyle="1" w:styleId="Style1Char">
    <w:name w:val="Style1 Char"/>
    <w:basedOn w:val="Heading1Char"/>
    <w:link w:val="Style1"/>
    <w:rsid w:val="0042782D"/>
    <w:rPr>
      <w:rFonts w:asciiTheme="majorBidi" w:eastAsiaTheme="majorEastAsia" w:hAnsiTheme="majorBidi" w:cstheme="majorBidi"/>
      <w:b/>
      <w:sz w:val="28"/>
      <w:szCs w:val="32"/>
      <w:lang w:val="en-GB" w:eastAsia="zh-CN" w:bidi="he-IL"/>
    </w:rPr>
  </w:style>
  <w:style w:type="paragraph" w:styleId="Subtitle">
    <w:name w:val="Subtitle"/>
    <w:basedOn w:val="Normal"/>
    <w:next w:val="Normal"/>
    <w:link w:val="SubtitleChar"/>
    <w:uiPriority w:val="11"/>
    <w:qFormat/>
    <w:rsid w:val="0042782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42782D"/>
    <w:rPr>
      <w:rFonts w:eastAsiaTheme="minorEastAsia"/>
      <w:color w:val="5A5A5A" w:themeColor="text1" w:themeTint="A5"/>
      <w:spacing w:val="15"/>
      <w:lang w:val="en-GB" w:eastAsia="zh-CN" w:bidi="he-IL"/>
    </w:rPr>
  </w:style>
  <w:style w:type="character" w:styleId="SubtleEmphasis">
    <w:name w:val="Subtle Emphasis"/>
    <w:basedOn w:val="DefaultParagraphFont"/>
    <w:uiPriority w:val="19"/>
    <w:rsid w:val="0042782D"/>
    <w:rPr>
      <w:i/>
      <w:iCs/>
      <w:color w:val="808080" w:themeColor="text1" w:themeTint="7F"/>
    </w:rPr>
  </w:style>
  <w:style w:type="paragraph" w:customStyle="1" w:styleId="Table">
    <w:name w:val="Table"/>
    <w:basedOn w:val="BodyText"/>
    <w:qFormat/>
    <w:rsid w:val="0042782D"/>
    <w:pPr>
      <w:spacing w:before="20" w:after="20"/>
    </w:pPr>
    <w:rPr>
      <w:rFonts w:asciiTheme="majorHAnsi" w:eastAsiaTheme="majorEastAsia" w:hAnsiTheme="majorHAnsi" w:cstheme="majorBidi"/>
      <w:b/>
      <w:bCs/>
    </w:rPr>
  </w:style>
  <w:style w:type="table" w:styleId="TableGrid">
    <w:name w:val="Table Grid"/>
    <w:basedOn w:val="TableNormal"/>
    <w:uiPriority w:val="59"/>
    <w:rsid w:val="0042782D"/>
    <w:pPr>
      <w:spacing w:after="0" w:line="240" w:lineRule="auto"/>
    </w:pPr>
    <w:rPr>
      <w:lang w:val="en-GB"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42782D"/>
    <w:pPr>
      <w:spacing w:after="0"/>
      <w:ind w:left="220" w:hanging="220"/>
    </w:pPr>
  </w:style>
  <w:style w:type="paragraph" w:styleId="TableofFigures">
    <w:name w:val="table of figures"/>
    <w:basedOn w:val="Normal"/>
    <w:next w:val="Normal"/>
    <w:uiPriority w:val="99"/>
    <w:semiHidden/>
    <w:unhideWhenUsed/>
    <w:rsid w:val="0042782D"/>
    <w:pPr>
      <w:spacing w:after="0"/>
    </w:pPr>
  </w:style>
  <w:style w:type="paragraph" w:styleId="Title">
    <w:name w:val="Title"/>
    <w:basedOn w:val="Normal"/>
    <w:next w:val="Normal"/>
    <w:link w:val="TitleChar"/>
    <w:uiPriority w:val="10"/>
    <w:qFormat/>
    <w:rsid w:val="004278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82D"/>
    <w:rPr>
      <w:rFonts w:asciiTheme="majorHAnsi" w:eastAsiaTheme="majorEastAsia" w:hAnsiTheme="majorHAnsi" w:cstheme="majorBidi"/>
      <w:spacing w:val="-10"/>
      <w:kern w:val="28"/>
      <w:sz w:val="56"/>
      <w:szCs w:val="56"/>
      <w:lang w:val="en-GB" w:eastAsia="zh-CN" w:bidi="he-IL"/>
    </w:rPr>
  </w:style>
  <w:style w:type="paragraph" w:customStyle="1" w:styleId="Title-TNR">
    <w:name w:val="Title - TNR"/>
    <w:basedOn w:val="Title"/>
    <w:link w:val="Title-TNRChar"/>
    <w:qFormat/>
    <w:rsid w:val="0042782D"/>
    <w:pPr>
      <w:jc w:val="center"/>
    </w:pPr>
    <w:rPr>
      <w:b/>
      <w:bCs/>
      <w:sz w:val="24"/>
      <w:szCs w:val="24"/>
    </w:rPr>
  </w:style>
  <w:style w:type="character" w:customStyle="1" w:styleId="Title-TNRChar">
    <w:name w:val="Title - TNR Char"/>
    <w:basedOn w:val="TitleChar"/>
    <w:link w:val="Title-TNR"/>
    <w:rsid w:val="0042782D"/>
    <w:rPr>
      <w:rFonts w:asciiTheme="majorHAnsi" w:eastAsiaTheme="majorEastAsia" w:hAnsiTheme="majorHAnsi" w:cstheme="majorBidi"/>
      <w:b/>
      <w:bCs/>
      <w:spacing w:val="-10"/>
      <w:kern w:val="28"/>
      <w:sz w:val="24"/>
      <w:szCs w:val="24"/>
      <w:lang w:val="en-GB" w:eastAsia="zh-CN" w:bidi="he-IL"/>
    </w:rPr>
  </w:style>
  <w:style w:type="paragraph" w:styleId="TOAHeading">
    <w:name w:val="toa heading"/>
    <w:basedOn w:val="Normal"/>
    <w:next w:val="Normal"/>
    <w:uiPriority w:val="99"/>
    <w:semiHidden/>
    <w:unhideWhenUsed/>
    <w:rsid w:val="004278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2782D"/>
    <w:pPr>
      <w:spacing w:after="100"/>
    </w:pPr>
  </w:style>
  <w:style w:type="paragraph" w:styleId="TOC2">
    <w:name w:val="toc 2"/>
    <w:basedOn w:val="Normal"/>
    <w:next w:val="Normal"/>
    <w:autoRedefine/>
    <w:uiPriority w:val="39"/>
    <w:semiHidden/>
    <w:unhideWhenUsed/>
    <w:rsid w:val="0042782D"/>
    <w:pPr>
      <w:spacing w:after="100"/>
      <w:ind w:left="220"/>
    </w:pPr>
  </w:style>
  <w:style w:type="paragraph" w:styleId="TOC3">
    <w:name w:val="toc 3"/>
    <w:basedOn w:val="Normal"/>
    <w:next w:val="Normal"/>
    <w:autoRedefine/>
    <w:uiPriority w:val="39"/>
    <w:semiHidden/>
    <w:unhideWhenUsed/>
    <w:rsid w:val="0042782D"/>
    <w:pPr>
      <w:spacing w:after="100"/>
      <w:ind w:left="440"/>
    </w:pPr>
  </w:style>
  <w:style w:type="paragraph" w:styleId="TOC4">
    <w:name w:val="toc 4"/>
    <w:basedOn w:val="Normal"/>
    <w:next w:val="Normal"/>
    <w:autoRedefine/>
    <w:uiPriority w:val="39"/>
    <w:semiHidden/>
    <w:unhideWhenUsed/>
    <w:rsid w:val="0042782D"/>
    <w:pPr>
      <w:spacing w:after="100"/>
      <w:ind w:left="660"/>
    </w:pPr>
  </w:style>
  <w:style w:type="paragraph" w:styleId="TOC5">
    <w:name w:val="toc 5"/>
    <w:basedOn w:val="Normal"/>
    <w:next w:val="Normal"/>
    <w:autoRedefine/>
    <w:uiPriority w:val="39"/>
    <w:semiHidden/>
    <w:unhideWhenUsed/>
    <w:rsid w:val="0042782D"/>
    <w:pPr>
      <w:spacing w:after="100"/>
      <w:ind w:left="880"/>
    </w:pPr>
  </w:style>
  <w:style w:type="paragraph" w:styleId="TOC6">
    <w:name w:val="toc 6"/>
    <w:basedOn w:val="Normal"/>
    <w:next w:val="Normal"/>
    <w:autoRedefine/>
    <w:uiPriority w:val="39"/>
    <w:semiHidden/>
    <w:unhideWhenUsed/>
    <w:rsid w:val="0042782D"/>
    <w:pPr>
      <w:spacing w:after="100"/>
      <w:ind w:left="1100"/>
    </w:pPr>
  </w:style>
  <w:style w:type="paragraph" w:styleId="TOC7">
    <w:name w:val="toc 7"/>
    <w:basedOn w:val="Normal"/>
    <w:next w:val="Normal"/>
    <w:autoRedefine/>
    <w:uiPriority w:val="39"/>
    <w:semiHidden/>
    <w:unhideWhenUsed/>
    <w:rsid w:val="0042782D"/>
    <w:pPr>
      <w:spacing w:after="100"/>
      <w:ind w:left="1320"/>
    </w:pPr>
  </w:style>
  <w:style w:type="paragraph" w:styleId="TOC8">
    <w:name w:val="toc 8"/>
    <w:basedOn w:val="Normal"/>
    <w:next w:val="Normal"/>
    <w:autoRedefine/>
    <w:uiPriority w:val="39"/>
    <w:semiHidden/>
    <w:unhideWhenUsed/>
    <w:rsid w:val="0042782D"/>
    <w:pPr>
      <w:spacing w:after="100"/>
      <w:ind w:left="1540"/>
    </w:pPr>
  </w:style>
  <w:style w:type="paragraph" w:styleId="TOC9">
    <w:name w:val="toc 9"/>
    <w:basedOn w:val="Normal"/>
    <w:next w:val="Normal"/>
    <w:autoRedefine/>
    <w:uiPriority w:val="39"/>
    <w:semiHidden/>
    <w:unhideWhenUsed/>
    <w:rsid w:val="0042782D"/>
    <w:pPr>
      <w:spacing w:after="100"/>
      <w:ind w:left="1760"/>
    </w:pPr>
  </w:style>
  <w:style w:type="paragraph" w:styleId="TOCHeading">
    <w:name w:val="TOC Heading"/>
    <w:basedOn w:val="Heading1"/>
    <w:next w:val="Normal"/>
    <w:uiPriority w:val="39"/>
    <w:unhideWhenUsed/>
    <w:qFormat/>
    <w:rsid w:val="0042782D"/>
    <w:pPr>
      <w:outlineLvl w:val="9"/>
    </w:pPr>
    <w:rPr>
      <w:lang w:val="en-US" w:eastAsia="en-US" w:bidi="ar-SA"/>
    </w:rPr>
  </w:style>
  <w:style w:type="character" w:styleId="UnresolvedMention">
    <w:name w:val="Unresolved Mention"/>
    <w:basedOn w:val="DefaultParagraphFont"/>
    <w:uiPriority w:val="99"/>
    <w:unhideWhenUsed/>
    <w:rsid w:val="0042782D"/>
    <w:rPr>
      <w:color w:val="605E5C"/>
      <w:shd w:val="clear" w:color="auto" w:fill="E1DFDD"/>
    </w:rPr>
  </w:style>
  <w:style w:type="character" w:styleId="BookTitle">
    <w:name w:val="Book Title"/>
    <w:basedOn w:val="DefaultParagraphFont"/>
    <w:uiPriority w:val="33"/>
    <w:rsid w:val="00EB541D"/>
    <w:rPr>
      <w:b/>
      <w:bCs/>
      <w:i/>
      <w:iCs/>
      <w:spacing w:val="5"/>
    </w:rPr>
  </w:style>
  <w:style w:type="table" w:customStyle="1" w:styleId="LightGrid1">
    <w:name w:val="Light Grid1"/>
    <w:basedOn w:val="TableNormal"/>
    <w:next w:val="LightGrid"/>
    <w:uiPriority w:val="62"/>
    <w:rsid w:val="00EB541D"/>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abletext">
    <w:name w:val="Table text"/>
    <w:basedOn w:val="BodyText"/>
    <w:next w:val="BodyText"/>
    <w:qFormat/>
    <w:rsid w:val="00CF19A2"/>
    <w:pPr>
      <w:spacing w:before="30" w:after="30"/>
    </w:pPr>
    <w:rPr>
      <w:sz w:val="20"/>
      <w:lang w:val="en-GB"/>
    </w:rPr>
  </w:style>
  <w:style w:type="paragraph" w:styleId="Revision">
    <w:name w:val="Revision"/>
    <w:hidden/>
    <w:uiPriority w:val="99"/>
    <w:semiHidden/>
    <w:rsid w:val="00175DE0"/>
    <w:pPr>
      <w:spacing w:after="0" w:line="240" w:lineRule="auto"/>
    </w:pPr>
    <w:rPr>
      <w:lang w:eastAsia="zh-CN" w:bidi="he-IL"/>
    </w:rPr>
  </w:style>
  <w:style w:type="character" w:styleId="Mention">
    <w:name w:val="Mention"/>
    <w:basedOn w:val="DefaultParagraphFont"/>
    <w:uiPriority w:val="99"/>
    <w:unhideWhenUsed/>
    <w:rsid w:val="00C93D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37373">
      <w:bodyDiv w:val="1"/>
      <w:marLeft w:val="0"/>
      <w:marRight w:val="0"/>
      <w:marTop w:val="0"/>
      <w:marBottom w:val="0"/>
      <w:divBdr>
        <w:top w:val="none" w:sz="0" w:space="0" w:color="auto"/>
        <w:left w:val="none" w:sz="0" w:space="0" w:color="auto"/>
        <w:bottom w:val="none" w:sz="0" w:space="0" w:color="auto"/>
        <w:right w:val="none" w:sz="0" w:space="0" w:color="auto"/>
      </w:divBdr>
    </w:div>
    <w:div w:id="962492834">
      <w:bodyDiv w:val="1"/>
      <w:marLeft w:val="0"/>
      <w:marRight w:val="0"/>
      <w:marTop w:val="0"/>
      <w:marBottom w:val="0"/>
      <w:divBdr>
        <w:top w:val="none" w:sz="0" w:space="0" w:color="auto"/>
        <w:left w:val="none" w:sz="0" w:space="0" w:color="auto"/>
        <w:bottom w:val="none" w:sz="0" w:space="0" w:color="auto"/>
        <w:right w:val="none" w:sz="0" w:space="0" w:color="auto"/>
      </w:divBdr>
      <w:divsChild>
        <w:div w:id="649945867">
          <w:marLeft w:val="0"/>
          <w:marRight w:val="0"/>
          <w:marTop w:val="0"/>
          <w:marBottom w:val="0"/>
          <w:divBdr>
            <w:top w:val="none" w:sz="0" w:space="0" w:color="auto"/>
            <w:left w:val="none" w:sz="0" w:space="0" w:color="auto"/>
            <w:bottom w:val="none" w:sz="0" w:space="0" w:color="auto"/>
            <w:right w:val="none" w:sz="0" w:space="0" w:color="auto"/>
          </w:divBdr>
        </w:div>
      </w:divsChild>
    </w:div>
    <w:div w:id="1244604432">
      <w:bodyDiv w:val="1"/>
      <w:marLeft w:val="0"/>
      <w:marRight w:val="0"/>
      <w:marTop w:val="0"/>
      <w:marBottom w:val="0"/>
      <w:divBdr>
        <w:top w:val="none" w:sz="0" w:space="0" w:color="auto"/>
        <w:left w:val="none" w:sz="0" w:space="0" w:color="auto"/>
        <w:bottom w:val="none" w:sz="0" w:space="0" w:color="auto"/>
        <w:right w:val="none" w:sz="0" w:space="0" w:color="auto"/>
      </w:divBdr>
    </w:div>
    <w:div w:id="214481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fd61fac-c190-4a8b-81f4-e25d6767e77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1C9D961F2B2B4FBB76AB9E7ECF9005" ma:contentTypeVersion="8" ma:contentTypeDescription="Create a new document." ma:contentTypeScope="" ma:versionID="b6e64a60379b788f3d167f2fa3d75441">
  <xsd:schema xmlns:xsd="http://www.w3.org/2001/XMLSchema" xmlns:xs="http://www.w3.org/2001/XMLSchema" xmlns:p="http://schemas.microsoft.com/office/2006/metadata/properties" xmlns:ns1="http://schemas.microsoft.com/sharepoint/v3" xmlns:ns2="bfd61fac-c190-4a8b-81f4-e25d6767e775" xmlns:ns3="58bc51e9-82f7-4a33-a2b2-3395e6e73634" targetNamespace="http://schemas.microsoft.com/office/2006/metadata/properties" ma:root="true" ma:fieldsID="c1bac73587aa5b438e629453e9954b00" ns1:_="" ns2:_="" ns3:_="">
    <xsd:import namespace="http://schemas.microsoft.com/sharepoint/v3"/>
    <xsd:import namespace="bfd61fac-c190-4a8b-81f4-e25d6767e775"/>
    <xsd:import namespace="58bc51e9-82f7-4a33-a2b2-3395e6e736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61fac-c190-4a8b-81f4-e25d6767e7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bc51e9-82f7-4a33-a2b2-3395e6e736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428DD-0571-4B5D-9BFA-9B346592568A}">
  <ds:schemaRefs>
    <ds:schemaRef ds:uri="http://schemas.microsoft.com/sharepoint/v3/contenttype/forms"/>
  </ds:schemaRefs>
</ds:datastoreItem>
</file>

<file path=customXml/itemProps2.xml><?xml version="1.0" encoding="utf-8"?>
<ds:datastoreItem xmlns:ds="http://schemas.openxmlformats.org/officeDocument/2006/customXml" ds:itemID="{B3FDEA44-0E39-4E45-A105-3B272CB909C5}">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58bc51e9-82f7-4a33-a2b2-3395e6e73634"/>
    <ds:schemaRef ds:uri="http://purl.org/dc/elements/1.1/"/>
    <ds:schemaRef ds:uri="http://schemas.openxmlformats.org/package/2006/metadata/core-properties"/>
    <ds:schemaRef ds:uri="bfd61fac-c190-4a8b-81f4-e25d6767e775"/>
    <ds:schemaRef ds:uri="http://www.w3.org/XML/1998/namespace"/>
    <ds:schemaRef ds:uri="http://purl.org/dc/dcmitype/"/>
  </ds:schemaRefs>
</ds:datastoreItem>
</file>

<file path=customXml/itemProps3.xml><?xml version="1.0" encoding="utf-8"?>
<ds:datastoreItem xmlns:ds="http://schemas.openxmlformats.org/officeDocument/2006/customXml" ds:itemID="{D912928E-E21F-46AB-A09F-06FD2FEAC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d61fac-c190-4a8b-81f4-e25d6767e775"/>
    <ds:schemaRef ds:uri="58bc51e9-82f7-4a33-a2b2-3395e6e73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FE6A5-330D-446B-B3E8-81D59D67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5145</Words>
  <Characters>34762</Characters>
  <Application>Microsoft Office Word</Application>
  <DocSecurity>0</DocSecurity>
  <Lines>695</Lines>
  <Paragraphs>350</Paragraphs>
  <ScaleCrop>false</ScaleCrop>
  <HeadingPairs>
    <vt:vector size="2" baseType="variant">
      <vt:variant>
        <vt:lpstr>Title</vt:lpstr>
      </vt:variant>
      <vt:variant>
        <vt:i4>1</vt:i4>
      </vt:variant>
    </vt:vector>
  </HeadingPairs>
  <TitlesOfParts>
    <vt:vector size="1" baseType="lpstr">
      <vt:lpstr/>
    </vt:vector>
  </TitlesOfParts>
  <Company>Novo Nordisk Pharmaceuticals Pty ltd</Company>
  <LinksUpToDate>false</LinksUpToDate>
  <CharactersWithSpaces>39557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Alhemo</dc:title>
  <dc:subject>prescription medicines</dc:subject>
  <dc:creator>Novo Nordisk</dc:creator>
  <cp:keywords/>
  <cp:lastModifiedBy>LACK, Janet</cp:lastModifiedBy>
  <cp:revision>3</cp:revision>
  <dcterms:created xsi:type="dcterms:W3CDTF">2024-03-18T01:12:00Z</dcterms:created>
  <dcterms:modified xsi:type="dcterms:W3CDTF">2024-03-18T01:15:00Z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0x010100761C9D961F2B2B4FBB76AB9E7ECF9005</vt:lpwstr>
  </property>
</Properties>
</file>