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620CD2C0" w:rsidR="00F02AEC" w:rsidRPr="00215D48" w:rsidRDefault="00346EC2" w:rsidP="007452E8">
            <w:pPr>
              <w:pStyle w:val="Title"/>
            </w:pPr>
            <w:r w:rsidRPr="00346EC2">
              <w:t xml:space="preserve">Australian Public Assessment Report for </w:t>
            </w:r>
            <w:bookmarkStart w:id="0" w:name="_Hlk161651073"/>
            <w:r w:rsidR="00D07148">
              <w:t>Alhemo</w:t>
            </w:r>
            <w:bookmarkEnd w:id="0"/>
          </w:p>
        </w:tc>
      </w:tr>
      <w:tr w:rsidR="00F02AEC" w:rsidRPr="00215D48" w14:paraId="318A40A3" w14:textId="77777777" w:rsidTr="00346EC2">
        <w:trPr>
          <w:trHeight w:val="995"/>
        </w:trPr>
        <w:tc>
          <w:tcPr>
            <w:tcW w:w="8720" w:type="dxa"/>
          </w:tcPr>
          <w:p w14:paraId="1AA7C701" w14:textId="489AF028" w:rsidR="00F02AEC" w:rsidRPr="00215D48" w:rsidRDefault="00346EC2" w:rsidP="007452E8">
            <w:pPr>
              <w:pStyle w:val="Subtitle"/>
              <w:ind w:left="0"/>
            </w:pPr>
            <w:r w:rsidRPr="00346EC2">
              <w:t>Active ingredient:</w:t>
            </w:r>
            <w:r w:rsidR="00501234">
              <w:t xml:space="preserve"> </w:t>
            </w:r>
            <w:bookmarkStart w:id="1" w:name="_Hlk161651127"/>
            <w:r w:rsidR="00D07148">
              <w:t>Concizumab</w:t>
            </w:r>
            <w:bookmarkEnd w:id="1"/>
          </w:p>
        </w:tc>
      </w:tr>
      <w:tr w:rsidR="00346EC2" w:rsidRPr="00215D48" w14:paraId="362CCAE4" w14:textId="77777777" w:rsidTr="007452E8">
        <w:trPr>
          <w:trHeight w:val="1916"/>
        </w:trPr>
        <w:tc>
          <w:tcPr>
            <w:tcW w:w="8720" w:type="dxa"/>
          </w:tcPr>
          <w:p w14:paraId="709C45C0" w14:textId="47DE3159" w:rsidR="00346EC2" w:rsidRPr="00215D48" w:rsidRDefault="00346EC2" w:rsidP="007452E8">
            <w:pPr>
              <w:pStyle w:val="Subtitle"/>
              <w:ind w:left="0"/>
            </w:pPr>
            <w:r w:rsidRPr="00346EC2">
              <w:t xml:space="preserve">Sponsor: </w:t>
            </w:r>
            <w:bookmarkStart w:id="2" w:name="_Hlk161651142"/>
            <w:r w:rsidR="00D07148" w:rsidRPr="00D07148">
              <w:t>Novo Nordisk Pharmaceuticals Pty Ltd</w:t>
            </w:r>
            <w:bookmarkEnd w:id="2"/>
          </w:p>
        </w:tc>
      </w:tr>
      <w:tr w:rsidR="00F02AEC" w:rsidRPr="00215D48" w14:paraId="37F2AA1F" w14:textId="77777777" w:rsidTr="007452E8">
        <w:tc>
          <w:tcPr>
            <w:tcW w:w="8720" w:type="dxa"/>
          </w:tcPr>
          <w:p w14:paraId="1FDE8DCD" w14:textId="5A262954" w:rsidR="00F02AEC" w:rsidRPr="00215D48" w:rsidRDefault="007E080D" w:rsidP="007452E8">
            <w:pPr>
              <w:pStyle w:val="Date"/>
            </w:pPr>
            <w:r>
              <w:t xml:space="preserve">March </w:t>
            </w:r>
            <w:r w:rsidR="00D07148">
              <w:t>202</w:t>
            </w:r>
            <w:r w:rsidR="00A43853">
              <w:t>4</w:t>
            </w:r>
          </w:p>
        </w:tc>
      </w:tr>
    </w:tbl>
    <w:p w14:paraId="73752706" w14:textId="77777777" w:rsidR="00F02AEC" w:rsidRPr="00215D48" w:rsidRDefault="00F02AEC" w:rsidP="007452E8">
      <w:pPr>
        <w:pStyle w:val="ListBullet"/>
        <w:numPr>
          <w:ilvl w:val="0"/>
          <w:numId w:val="0"/>
        </w:numPr>
        <w:sectPr w:rsidR="00F02AEC" w:rsidRPr="00215D48" w:rsidSect="005355DA">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4CD72D21" w:rsidR="00346EC2" w:rsidRPr="001F6CBA" w:rsidRDefault="00346EC2" w:rsidP="00346EC2">
      <w:pPr>
        <w:pStyle w:val="NonTOCHeading20"/>
      </w:pPr>
      <w:r w:rsidRPr="001F6CBA">
        <w:lastRenderedPageBreak/>
        <w:t>About the Therapeutic Goods Administration (TGA)</w:t>
      </w:r>
      <w:r w:rsidR="00572F9F">
        <w:fldChar w:fldCharType="begin"/>
      </w:r>
      <w:r w:rsidR="00572F9F">
        <w:instrText xml:space="preserve"> DOCVARIABLE vault_nd_4d8e3641-4b9e-4a7f-abe1-0abf9716ffc5 \* MERGEFORMAT </w:instrText>
      </w:r>
      <w:r w:rsidR="00572F9F">
        <w:fldChar w:fldCharType="separate"/>
      </w:r>
      <w:r w:rsidR="001B5D20">
        <w:t xml:space="preserve"> </w:t>
      </w:r>
      <w:r w:rsidR="00572F9F">
        <w:fldChar w:fldCharType="end"/>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6A39B03E"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0F15B4">
          <w:rPr>
            <w:rStyle w:val="Hyperlink"/>
          </w:rPr>
          <w:t>TGA website</w:t>
        </w:r>
      </w:hyperlink>
      <w:r w:rsidRPr="003C6D1F">
        <w:t>.</w:t>
      </w:r>
    </w:p>
    <w:p w14:paraId="737B7A99" w14:textId="5A12FDA0" w:rsidR="00346EC2" w:rsidRDefault="00346EC2" w:rsidP="00346EC2">
      <w:pPr>
        <w:pStyle w:val="NonTOCHeading20"/>
      </w:pPr>
      <w:r>
        <w:t>About AusPARs</w:t>
      </w:r>
      <w:fldSimple w:instr=" DOCVARIABLE vault_nd_970daba4-a9ea-4a48-9205-dc6f692a74dc \* MERGEFORMAT ">
        <w:r w:rsidR="001B5D20">
          <w:t xml:space="preserve"> </w:t>
        </w:r>
      </w:fldSimple>
    </w:p>
    <w:p w14:paraId="631B2209" w14:textId="1C60E42A"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70651817" w:rsidR="00F02AEC" w:rsidRPr="00E1198B" w:rsidRDefault="00F02AEC" w:rsidP="00FE087C">
      <w:pPr>
        <w:pStyle w:val="LegalSubheading"/>
        <w:spacing w:before="3600"/>
      </w:pPr>
      <w:r w:rsidRPr="00BA0DFC">
        <w:t>Copyright</w:t>
      </w:r>
      <w:r w:rsidR="00572F9F">
        <w:fldChar w:fldCharType="begin"/>
      </w:r>
      <w:r w:rsidR="00572F9F">
        <w:instrText xml:space="preserve"> DOCVARIABLE vault_nd_e91357b6-9358-4447-b6e4-373c136628be \* MERGEFORMAT </w:instrText>
      </w:r>
      <w:r w:rsidR="00572F9F">
        <w:fldChar w:fldCharType="separate"/>
      </w:r>
      <w:r w:rsidR="001B5D20">
        <w:t xml:space="preserve"> </w:t>
      </w:r>
      <w:r w:rsidR="00572F9F">
        <w:fldChar w:fldCharType="end"/>
      </w:r>
    </w:p>
    <w:p w14:paraId="170A8A5D" w14:textId="33CCA92A" w:rsidR="00175CD8" w:rsidRPr="00346EC2" w:rsidRDefault="00F02AEC" w:rsidP="00346EC2">
      <w:pPr>
        <w:pStyle w:val="LegalCopy"/>
        <w:rPr>
          <w:rFonts w:cs="Arial"/>
        </w:rPr>
      </w:pPr>
      <w:r w:rsidRPr="00215D48">
        <w:rPr>
          <w:rFonts w:cs="Arial"/>
        </w:rPr>
        <w:t>© Commonwealth of Australia 20</w:t>
      </w:r>
      <w:r>
        <w:rPr>
          <w:rFonts w:cs="Arial"/>
        </w:rPr>
        <w:t>2</w:t>
      </w:r>
      <w:r w:rsidR="00A3617F">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487664B3" w:rsidR="00F02AEC" w:rsidRPr="00215D48" w:rsidRDefault="00F02AEC" w:rsidP="007452E8">
          <w:pPr>
            <w:pStyle w:val="NonTOCheading2"/>
          </w:pPr>
          <w:r w:rsidRPr="00215D48">
            <w:t>Contents</w:t>
          </w:r>
          <w:r w:rsidR="00572F9F">
            <w:fldChar w:fldCharType="begin"/>
          </w:r>
          <w:r w:rsidR="00572F9F">
            <w:instrText xml:space="preserve"> DOCVARIABLE vault_nd_f6a4841f-db72-49f1-b9f8-0cb4d810a086 \* MERGEFORMAT </w:instrText>
          </w:r>
          <w:r w:rsidR="00572F9F">
            <w:fldChar w:fldCharType="separate"/>
          </w:r>
          <w:r w:rsidR="001B5D20">
            <w:t xml:space="preserve"> </w:t>
          </w:r>
          <w:r w:rsidR="00572F9F">
            <w:fldChar w:fldCharType="end"/>
          </w:r>
        </w:p>
        <w:p w14:paraId="0C34F6FB" w14:textId="10B27059" w:rsidR="001B5D20"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60786368" w:history="1">
            <w:r w:rsidR="001B5D20" w:rsidRPr="00906A0D">
              <w:rPr>
                <w:rStyle w:val="Hyperlink"/>
                <w:noProof/>
              </w:rPr>
              <w:t>List of abbreviations</w:t>
            </w:r>
            <w:r w:rsidR="001B5D20">
              <w:rPr>
                <w:noProof/>
                <w:webHidden/>
              </w:rPr>
              <w:tab/>
            </w:r>
            <w:r w:rsidR="001B5D20">
              <w:rPr>
                <w:noProof/>
                <w:webHidden/>
              </w:rPr>
              <w:fldChar w:fldCharType="begin"/>
            </w:r>
            <w:r w:rsidR="001B5D20">
              <w:rPr>
                <w:noProof/>
                <w:webHidden/>
              </w:rPr>
              <w:instrText xml:space="preserve"> PAGEREF _Toc160786368 \h </w:instrText>
            </w:r>
            <w:r w:rsidR="001B5D20">
              <w:rPr>
                <w:noProof/>
                <w:webHidden/>
              </w:rPr>
            </w:r>
            <w:r w:rsidR="001B5D20">
              <w:rPr>
                <w:noProof/>
                <w:webHidden/>
              </w:rPr>
              <w:fldChar w:fldCharType="separate"/>
            </w:r>
            <w:r w:rsidR="001B5D20">
              <w:rPr>
                <w:noProof/>
                <w:webHidden/>
              </w:rPr>
              <w:t>4</w:t>
            </w:r>
            <w:r w:rsidR="001B5D20">
              <w:rPr>
                <w:noProof/>
                <w:webHidden/>
              </w:rPr>
              <w:fldChar w:fldCharType="end"/>
            </w:r>
          </w:hyperlink>
        </w:p>
        <w:p w14:paraId="66F3B840" w14:textId="18D56D56" w:rsidR="001B5D20" w:rsidRDefault="00572F9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786369" w:history="1">
            <w:r w:rsidR="001B5D20" w:rsidRPr="00906A0D">
              <w:rPr>
                <w:rStyle w:val="Hyperlink"/>
                <w:noProof/>
              </w:rPr>
              <w:t>Product submission</w:t>
            </w:r>
            <w:r w:rsidR="001B5D20">
              <w:rPr>
                <w:noProof/>
                <w:webHidden/>
              </w:rPr>
              <w:tab/>
            </w:r>
            <w:r w:rsidR="001B5D20">
              <w:rPr>
                <w:noProof/>
                <w:webHidden/>
              </w:rPr>
              <w:fldChar w:fldCharType="begin"/>
            </w:r>
            <w:r w:rsidR="001B5D20">
              <w:rPr>
                <w:noProof/>
                <w:webHidden/>
              </w:rPr>
              <w:instrText xml:space="preserve"> PAGEREF _Toc160786369 \h </w:instrText>
            </w:r>
            <w:r w:rsidR="001B5D20">
              <w:rPr>
                <w:noProof/>
                <w:webHidden/>
              </w:rPr>
            </w:r>
            <w:r w:rsidR="001B5D20">
              <w:rPr>
                <w:noProof/>
                <w:webHidden/>
              </w:rPr>
              <w:fldChar w:fldCharType="separate"/>
            </w:r>
            <w:r w:rsidR="001B5D20">
              <w:rPr>
                <w:noProof/>
                <w:webHidden/>
              </w:rPr>
              <w:t>6</w:t>
            </w:r>
            <w:r w:rsidR="001B5D20">
              <w:rPr>
                <w:noProof/>
                <w:webHidden/>
              </w:rPr>
              <w:fldChar w:fldCharType="end"/>
            </w:r>
          </w:hyperlink>
        </w:p>
        <w:p w14:paraId="2EF04A84" w14:textId="384720FC"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70" w:history="1">
            <w:r w:rsidR="001B5D20" w:rsidRPr="00906A0D">
              <w:rPr>
                <w:rStyle w:val="Hyperlink"/>
                <w:noProof/>
                <w:lang w:eastAsia="en-AU"/>
              </w:rPr>
              <w:t>Submission details</w:t>
            </w:r>
            <w:r w:rsidR="001B5D20">
              <w:rPr>
                <w:noProof/>
                <w:webHidden/>
              </w:rPr>
              <w:tab/>
            </w:r>
            <w:r w:rsidR="001B5D20">
              <w:rPr>
                <w:noProof/>
                <w:webHidden/>
              </w:rPr>
              <w:fldChar w:fldCharType="begin"/>
            </w:r>
            <w:r w:rsidR="001B5D20">
              <w:rPr>
                <w:noProof/>
                <w:webHidden/>
              </w:rPr>
              <w:instrText xml:space="preserve"> PAGEREF _Toc160786370 \h </w:instrText>
            </w:r>
            <w:r w:rsidR="001B5D20">
              <w:rPr>
                <w:noProof/>
                <w:webHidden/>
              </w:rPr>
            </w:r>
            <w:r w:rsidR="001B5D20">
              <w:rPr>
                <w:noProof/>
                <w:webHidden/>
              </w:rPr>
              <w:fldChar w:fldCharType="separate"/>
            </w:r>
            <w:r w:rsidR="001B5D20">
              <w:rPr>
                <w:noProof/>
                <w:webHidden/>
              </w:rPr>
              <w:t>6</w:t>
            </w:r>
            <w:r w:rsidR="001B5D20">
              <w:rPr>
                <w:noProof/>
                <w:webHidden/>
              </w:rPr>
              <w:fldChar w:fldCharType="end"/>
            </w:r>
          </w:hyperlink>
        </w:p>
        <w:p w14:paraId="53676692" w14:textId="39C610C4"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71" w:history="1">
            <w:r w:rsidR="001B5D20" w:rsidRPr="00906A0D">
              <w:rPr>
                <w:rStyle w:val="Hyperlink"/>
                <w:noProof/>
              </w:rPr>
              <w:t>Product background</w:t>
            </w:r>
            <w:r w:rsidR="001B5D20">
              <w:rPr>
                <w:noProof/>
                <w:webHidden/>
              </w:rPr>
              <w:tab/>
            </w:r>
            <w:r w:rsidR="001B5D20">
              <w:rPr>
                <w:noProof/>
                <w:webHidden/>
              </w:rPr>
              <w:fldChar w:fldCharType="begin"/>
            </w:r>
            <w:r w:rsidR="001B5D20">
              <w:rPr>
                <w:noProof/>
                <w:webHidden/>
              </w:rPr>
              <w:instrText xml:space="preserve"> PAGEREF _Toc160786371 \h </w:instrText>
            </w:r>
            <w:r w:rsidR="001B5D20">
              <w:rPr>
                <w:noProof/>
                <w:webHidden/>
              </w:rPr>
            </w:r>
            <w:r w:rsidR="001B5D20">
              <w:rPr>
                <w:noProof/>
                <w:webHidden/>
              </w:rPr>
              <w:fldChar w:fldCharType="separate"/>
            </w:r>
            <w:r w:rsidR="001B5D20">
              <w:rPr>
                <w:noProof/>
                <w:webHidden/>
              </w:rPr>
              <w:t>7</w:t>
            </w:r>
            <w:r w:rsidR="001B5D20">
              <w:rPr>
                <w:noProof/>
                <w:webHidden/>
              </w:rPr>
              <w:fldChar w:fldCharType="end"/>
            </w:r>
          </w:hyperlink>
        </w:p>
        <w:p w14:paraId="40D6C6DB" w14:textId="2FFC0350"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72" w:history="1">
            <w:r w:rsidR="001B5D20" w:rsidRPr="00906A0D">
              <w:rPr>
                <w:rStyle w:val="Hyperlink"/>
                <w:noProof/>
              </w:rPr>
              <w:t>Condition</w:t>
            </w:r>
            <w:r w:rsidR="001B5D20">
              <w:rPr>
                <w:noProof/>
                <w:webHidden/>
              </w:rPr>
              <w:tab/>
            </w:r>
            <w:r w:rsidR="001B5D20">
              <w:rPr>
                <w:noProof/>
                <w:webHidden/>
              </w:rPr>
              <w:fldChar w:fldCharType="begin"/>
            </w:r>
            <w:r w:rsidR="001B5D20">
              <w:rPr>
                <w:noProof/>
                <w:webHidden/>
              </w:rPr>
              <w:instrText xml:space="preserve"> PAGEREF _Toc160786372 \h </w:instrText>
            </w:r>
            <w:r w:rsidR="001B5D20">
              <w:rPr>
                <w:noProof/>
                <w:webHidden/>
              </w:rPr>
            </w:r>
            <w:r w:rsidR="001B5D20">
              <w:rPr>
                <w:noProof/>
                <w:webHidden/>
              </w:rPr>
              <w:fldChar w:fldCharType="separate"/>
            </w:r>
            <w:r w:rsidR="001B5D20">
              <w:rPr>
                <w:noProof/>
                <w:webHidden/>
              </w:rPr>
              <w:t>7</w:t>
            </w:r>
            <w:r w:rsidR="001B5D20">
              <w:rPr>
                <w:noProof/>
                <w:webHidden/>
              </w:rPr>
              <w:fldChar w:fldCharType="end"/>
            </w:r>
          </w:hyperlink>
        </w:p>
        <w:p w14:paraId="0A9794E8" w14:textId="1BC601C5"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73" w:history="1">
            <w:r w:rsidR="001B5D20" w:rsidRPr="00906A0D">
              <w:rPr>
                <w:rStyle w:val="Hyperlink"/>
                <w:noProof/>
              </w:rPr>
              <w:t>Current treatment options</w:t>
            </w:r>
            <w:r w:rsidR="001B5D20">
              <w:rPr>
                <w:noProof/>
                <w:webHidden/>
              </w:rPr>
              <w:tab/>
            </w:r>
            <w:r w:rsidR="001B5D20">
              <w:rPr>
                <w:noProof/>
                <w:webHidden/>
              </w:rPr>
              <w:fldChar w:fldCharType="begin"/>
            </w:r>
            <w:r w:rsidR="001B5D20">
              <w:rPr>
                <w:noProof/>
                <w:webHidden/>
              </w:rPr>
              <w:instrText xml:space="preserve"> PAGEREF _Toc160786373 \h </w:instrText>
            </w:r>
            <w:r w:rsidR="001B5D20">
              <w:rPr>
                <w:noProof/>
                <w:webHidden/>
              </w:rPr>
            </w:r>
            <w:r w:rsidR="001B5D20">
              <w:rPr>
                <w:noProof/>
                <w:webHidden/>
              </w:rPr>
              <w:fldChar w:fldCharType="separate"/>
            </w:r>
            <w:r w:rsidR="001B5D20">
              <w:rPr>
                <w:noProof/>
                <w:webHidden/>
              </w:rPr>
              <w:t>9</w:t>
            </w:r>
            <w:r w:rsidR="001B5D20">
              <w:rPr>
                <w:noProof/>
                <w:webHidden/>
              </w:rPr>
              <w:fldChar w:fldCharType="end"/>
            </w:r>
          </w:hyperlink>
        </w:p>
        <w:p w14:paraId="7438377C" w14:textId="24650293"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74" w:history="1">
            <w:r w:rsidR="001B5D20" w:rsidRPr="00906A0D">
              <w:rPr>
                <w:rStyle w:val="Hyperlink"/>
                <w:noProof/>
              </w:rPr>
              <w:t>Clinical need</w:t>
            </w:r>
            <w:r w:rsidR="001B5D20">
              <w:rPr>
                <w:noProof/>
                <w:webHidden/>
              </w:rPr>
              <w:tab/>
            </w:r>
            <w:r w:rsidR="001B5D20">
              <w:rPr>
                <w:noProof/>
                <w:webHidden/>
              </w:rPr>
              <w:fldChar w:fldCharType="begin"/>
            </w:r>
            <w:r w:rsidR="001B5D20">
              <w:rPr>
                <w:noProof/>
                <w:webHidden/>
              </w:rPr>
              <w:instrText xml:space="preserve"> PAGEREF _Toc160786374 \h </w:instrText>
            </w:r>
            <w:r w:rsidR="001B5D20">
              <w:rPr>
                <w:noProof/>
                <w:webHidden/>
              </w:rPr>
            </w:r>
            <w:r w:rsidR="001B5D20">
              <w:rPr>
                <w:noProof/>
                <w:webHidden/>
              </w:rPr>
              <w:fldChar w:fldCharType="separate"/>
            </w:r>
            <w:r w:rsidR="001B5D20">
              <w:rPr>
                <w:noProof/>
                <w:webHidden/>
              </w:rPr>
              <w:t>10</w:t>
            </w:r>
            <w:r w:rsidR="001B5D20">
              <w:rPr>
                <w:noProof/>
                <w:webHidden/>
              </w:rPr>
              <w:fldChar w:fldCharType="end"/>
            </w:r>
          </w:hyperlink>
        </w:p>
        <w:p w14:paraId="2BB57A86" w14:textId="5493A1B9"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75" w:history="1">
            <w:r w:rsidR="001B5D20" w:rsidRPr="00906A0D">
              <w:rPr>
                <w:rStyle w:val="Hyperlink"/>
                <w:noProof/>
              </w:rPr>
              <w:t>Mechanism of action of concizumab</w:t>
            </w:r>
            <w:r w:rsidR="001B5D20">
              <w:rPr>
                <w:noProof/>
                <w:webHidden/>
              </w:rPr>
              <w:tab/>
            </w:r>
            <w:r w:rsidR="001B5D20">
              <w:rPr>
                <w:noProof/>
                <w:webHidden/>
              </w:rPr>
              <w:fldChar w:fldCharType="begin"/>
            </w:r>
            <w:r w:rsidR="001B5D20">
              <w:rPr>
                <w:noProof/>
                <w:webHidden/>
              </w:rPr>
              <w:instrText xml:space="preserve"> PAGEREF _Toc160786375 \h </w:instrText>
            </w:r>
            <w:r w:rsidR="001B5D20">
              <w:rPr>
                <w:noProof/>
                <w:webHidden/>
              </w:rPr>
            </w:r>
            <w:r w:rsidR="001B5D20">
              <w:rPr>
                <w:noProof/>
                <w:webHidden/>
              </w:rPr>
              <w:fldChar w:fldCharType="separate"/>
            </w:r>
            <w:r w:rsidR="001B5D20">
              <w:rPr>
                <w:noProof/>
                <w:webHidden/>
              </w:rPr>
              <w:t>11</w:t>
            </w:r>
            <w:r w:rsidR="001B5D20">
              <w:rPr>
                <w:noProof/>
                <w:webHidden/>
              </w:rPr>
              <w:fldChar w:fldCharType="end"/>
            </w:r>
          </w:hyperlink>
        </w:p>
        <w:p w14:paraId="6C2A1E80" w14:textId="3EBEE530"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76" w:history="1">
            <w:r w:rsidR="001B5D20" w:rsidRPr="00906A0D">
              <w:rPr>
                <w:rStyle w:val="Hyperlink"/>
                <w:noProof/>
              </w:rPr>
              <w:t>Australian regulatory status</w:t>
            </w:r>
            <w:r w:rsidR="001B5D20">
              <w:rPr>
                <w:noProof/>
                <w:webHidden/>
              </w:rPr>
              <w:tab/>
            </w:r>
            <w:r w:rsidR="001B5D20">
              <w:rPr>
                <w:noProof/>
                <w:webHidden/>
              </w:rPr>
              <w:fldChar w:fldCharType="begin"/>
            </w:r>
            <w:r w:rsidR="001B5D20">
              <w:rPr>
                <w:noProof/>
                <w:webHidden/>
              </w:rPr>
              <w:instrText xml:space="preserve"> PAGEREF _Toc160786376 \h </w:instrText>
            </w:r>
            <w:r w:rsidR="001B5D20">
              <w:rPr>
                <w:noProof/>
                <w:webHidden/>
              </w:rPr>
            </w:r>
            <w:r w:rsidR="001B5D20">
              <w:rPr>
                <w:noProof/>
                <w:webHidden/>
              </w:rPr>
              <w:fldChar w:fldCharType="separate"/>
            </w:r>
            <w:r w:rsidR="001B5D20">
              <w:rPr>
                <w:noProof/>
                <w:webHidden/>
              </w:rPr>
              <w:t>13</w:t>
            </w:r>
            <w:r w:rsidR="001B5D20">
              <w:rPr>
                <w:noProof/>
                <w:webHidden/>
              </w:rPr>
              <w:fldChar w:fldCharType="end"/>
            </w:r>
          </w:hyperlink>
        </w:p>
        <w:p w14:paraId="26E0FAB4" w14:textId="08429D09"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77" w:history="1">
            <w:r w:rsidR="001B5D20" w:rsidRPr="00906A0D">
              <w:rPr>
                <w:rStyle w:val="Hyperlink"/>
                <w:noProof/>
              </w:rPr>
              <w:t>Foreign regulatory status</w:t>
            </w:r>
            <w:r w:rsidR="001B5D20">
              <w:rPr>
                <w:noProof/>
                <w:webHidden/>
              </w:rPr>
              <w:tab/>
            </w:r>
            <w:r w:rsidR="001B5D20">
              <w:rPr>
                <w:noProof/>
                <w:webHidden/>
              </w:rPr>
              <w:fldChar w:fldCharType="begin"/>
            </w:r>
            <w:r w:rsidR="001B5D20">
              <w:rPr>
                <w:noProof/>
                <w:webHidden/>
              </w:rPr>
              <w:instrText xml:space="preserve"> PAGEREF _Toc160786377 \h </w:instrText>
            </w:r>
            <w:r w:rsidR="001B5D20">
              <w:rPr>
                <w:noProof/>
                <w:webHidden/>
              </w:rPr>
            </w:r>
            <w:r w:rsidR="001B5D20">
              <w:rPr>
                <w:noProof/>
                <w:webHidden/>
              </w:rPr>
              <w:fldChar w:fldCharType="separate"/>
            </w:r>
            <w:r w:rsidR="001B5D20">
              <w:rPr>
                <w:noProof/>
                <w:webHidden/>
              </w:rPr>
              <w:t>13</w:t>
            </w:r>
            <w:r w:rsidR="001B5D20">
              <w:rPr>
                <w:noProof/>
                <w:webHidden/>
              </w:rPr>
              <w:fldChar w:fldCharType="end"/>
            </w:r>
          </w:hyperlink>
        </w:p>
        <w:p w14:paraId="1FFE9BF1" w14:textId="0E57BEE0" w:rsidR="001B5D20" w:rsidRDefault="00572F9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786378" w:history="1">
            <w:r w:rsidR="001B5D20" w:rsidRPr="00906A0D">
              <w:rPr>
                <w:rStyle w:val="Hyperlink"/>
                <w:noProof/>
              </w:rPr>
              <w:t>Registration timeline</w:t>
            </w:r>
            <w:r w:rsidR="001B5D20">
              <w:rPr>
                <w:noProof/>
                <w:webHidden/>
              </w:rPr>
              <w:tab/>
            </w:r>
            <w:r w:rsidR="001B5D20">
              <w:rPr>
                <w:noProof/>
                <w:webHidden/>
              </w:rPr>
              <w:fldChar w:fldCharType="begin"/>
            </w:r>
            <w:r w:rsidR="001B5D20">
              <w:rPr>
                <w:noProof/>
                <w:webHidden/>
              </w:rPr>
              <w:instrText xml:space="preserve"> PAGEREF _Toc160786378 \h </w:instrText>
            </w:r>
            <w:r w:rsidR="001B5D20">
              <w:rPr>
                <w:noProof/>
                <w:webHidden/>
              </w:rPr>
            </w:r>
            <w:r w:rsidR="001B5D20">
              <w:rPr>
                <w:noProof/>
                <w:webHidden/>
              </w:rPr>
              <w:fldChar w:fldCharType="separate"/>
            </w:r>
            <w:r w:rsidR="001B5D20">
              <w:rPr>
                <w:noProof/>
                <w:webHidden/>
              </w:rPr>
              <w:t>14</w:t>
            </w:r>
            <w:r w:rsidR="001B5D20">
              <w:rPr>
                <w:noProof/>
                <w:webHidden/>
              </w:rPr>
              <w:fldChar w:fldCharType="end"/>
            </w:r>
          </w:hyperlink>
        </w:p>
        <w:p w14:paraId="05B12A25" w14:textId="72B61204" w:rsidR="001B5D20" w:rsidRDefault="00572F9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786379" w:history="1">
            <w:r w:rsidR="001B5D20" w:rsidRPr="00906A0D">
              <w:rPr>
                <w:rStyle w:val="Hyperlink"/>
                <w:noProof/>
              </w:rPr>
              <w:t>Submission overview and risk/benefit assessment</w:t>
            </w:r>
            <w:r w:rsidR="001B5D20">
              <w:rPr>
                <w:noProof/>
                <w:webHidden/>
              </w:rPr>
              <w:tab/>
            </w:r>
            <w:r w:rsidR="001B5D20">
              <w:rPr>
                <w:noProof/>
                <w:webHidden/>
              </w:rPr>
              <w:fldChar w:fldCharType="begin"/>
            </w:r>
            <w:r w:rsidR="001B5D20">
              <w:rPr>
                <w:noProof/>
                <w:webHidden/>
              </w:rPr>
              <w:instrText xml:space="preserve"> PAGEREF _Toc160786379 \h </w:instrText>
            </w:r>
            <w:r w:rsidR="001B5D20">
              <w:rPr>
                <w:noProof/>
                <w:webHidden/>
              </w:rPr>
            </w:r>
            <w:r w:rsidR="001B5D20">
              <w:rPr>
                <w:noProof/>
                <w:webHidden/>
              </w:rPr>
              <w:fldChar w:fldCharType="separate"/>
            </w:r>
            <w:r w:rsidR="001B5D20">
              <w:rPr>
                <w:noProof/>
                <w:webHidden/>
              </w:rPr>
              <w:t>15</w:t>
            </w:r>
            <w:r w:rsidR="001B5D20">
              <w:rPr>
                <w:noProof/>
                <w:webHidden/>
              </w:rPr>
              <w:fldChar w:fldCharType="end"/>
            </w:r>
          </w:hyperlink>
        </w:p>
        <w:p w14:paraId="78AA8CC1" w14:textId="69B92486"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80" w:history="1">
            <w:r w:rsidR="001B5D20" w:rsidRPr="00906A0D">
              <w:rPr>
                <w:rStyle w:val="Hyperlink"/>
                <w:noProof/>
              </w:rPr>
              <w:t>Quality</w:t>
            </w:r>
            <w:r w:rsidR="001B5D20">
              <w:rPr>
                <w:noProof/>
                <w:webHidden/>
              </w:rPr>
              <w:tab/>
            </w:r>
            <w:r w:rsidR="001B5D20">
              <w:rPr>
                <w:noProof/>
                <w:webHidden/>
              </w:rPr>
              <w:fldChar w:fldCharType="begin"/>
            </w:r>
            <w:r w:rsidR="001B5D20">
              <w:rPr>
                <w:noProof/>
                <w:webHidden/>
              </w:rPr>
              <w:instrText xml:space="preserve"> PAGEREF _Toc160786380 \h </w:instrText>
            </w:r>
            <w:r w:rsidR="001B5D20">
              <w:rPr>
                <w:noProof/>
                <w:webHidden/>
              </w:rPr>
            </w:r>
            <w:r w:rsidR="001B5D20">
              <w:rPr>
                <w:noProof/>
                <w:webHidden/>
              </w:rPr>
              <w:fldChar w:fldCharType="separate"/>
            </w:r>
            <w:r w:rsidR="001B5D20">
              <w:rPr>
                <w:noProof/>
                <w:webHidden/>
              </w:rPr>
              <w:t>15</w:t>
            </w:r>
            <w:r w:rsidR="001B5D20">
              <w:rPr>
                <w:noProof/>
                <w:webHidden/>
              </w:rPr>
              <w:fldChar w:fldCharType="end"/>
            </w:r>
          </w:hyperlink>
        </w:p>
        <w:p w14:paraId="41E6B49C" w14:textId="3DD117A7"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81" w:history="1">
            <w:r w:rsidR="001B5D20" w:rsidRPr="00906A0D">
              <w:rPr>
                <w:rStyle w:val="Hyperlink"/>
                <w:noProof/>
              </w:rPr>
              <w:t>Nonclinical</w:t>
            </w:r>
            <w:r w:rsidR="001B5D20">
              <w:rPr>
                <w:noProof/>
                <w:webHidden/>
              </w:rPr>
              <w:tab/>
            </w:r>
            <w:r w:rsidR="001B5D20">
              <w:rPr>
                <w:noProof/>
                <w:webHidden/>
              </w:rPr>
              <w:fldChar w:fldCharType="begin"/>
            </w:r>
            <w:r w:rsidR="001B5D20">
              <w:rPr>
                <w:noProof/>
                <w:webHidden/>
              </w:rPr>
              <w:instrText xml:space="preserve"> PAGEREF _Toc160786381 \h </w:instrText>
            </w:r>
            <w:r w:rsidR="001B5D20">
              <w:rPr>
                <w:noProof/>
                <w:webHidden/>
              </w:rPr>
            </w:r>
            <w:r w:rsidR="001B5D20">
              <w:rPr>
                <w:noProof/>
                <w:webHidden/>
              </w:rPr>
              <w:fldChar w:fldCharType="separate"/>
            </w:r>
            <w:r w:rsidR="001B5D20">
              <w:rPr>
                <w:noProof/>
                <w:webHidden/>
              </w:rPr>
              <w:t>15</w:t>
            </w:r>
            <w:r w:rsidR="001B5D20">
              <w:rPr>
                <w:noProof/>
                <w:webHidden/>
              </w:rPr>
              <w:fldChar w:fldCharType="end"/>
            </w:r>
          </w:hyperlink>
        </w:p>
        <w:p w14:paraId="4AAB9F1C" w14:textId="1A656FA0"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82" w:history="1">
            <w:r w:rsidR="001B5D20" w:rsidRPr="00906A0D">
              <w:rPr>
                <w:rStyle w:val="Hyperlink"/>
                <w:noProof/>
              </w:rPr>
              <w:t>Clinical</w:t>
            </w:r>
            <w:r w:rsidR="001B5D20">
              <w:rPr>
                <w:noProof/>
                <w:webHidden/>
              </w:rPr>
              <w:tab/>
            </w:r>
            <w:r w:rsidR="001B5D20">
              <w:rPr>
                <w:noProof/>
                <w:webHidden/>
              </w:rPr>
              <w:fldChar w:fldCharType="begin"/>
            </w:r>
            <w:r w:rsidR="001B5D20">
              <w:rPr>
                <w:noProof/>
                <w:webHidden/>
              </w:rPr>
              <w:instrText xml:space="preserve"> PAGEREF _Toc160786382 \h </w:instrText>
            </w:r>
            <w:r w:rsidR="001B5D20">
              <w:rPr>
                <w:noProof/>
                <w:webHidden/>
              </w:rPr>
            </w:r>
            <w:r w:rsidR="001B5D20">
              <w:rPr>
                <w:noProof/>
                <w:webHidden/>
              </w:rPr>
              <w:fldChar w:fldCharType="separate"/>
            </w:r>
            <w:r w:rsidR="001B5D20">
              <w:rPr>
                <w:noProof/>
                <w:webHidden/>
              </w:rPr>
              <w:t>17</w:t>
            </w:r>
            <w:r w:rsidR="001B5D20">
              <w:rPr>
                <w:noProof/>
                <w:webHidden/>
              </w:rPr>
              <w:fldChar w:fldCharType="end"/>
            </w:r>
          </w:hyperlink>
        </w:p>
        <w:p w14:paraId="3503D83A" w14:textId="5617C119"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3" w:history="1">
            <w:r w:rsidR="001B5D20" w:rsidRPr="00906A0D">
              <w:rPr>
                <w:rStyle w:val="Hyperlink"/>
                <w:noProof/>
              </w:rPr>
              <w:t>Summary of clinical studies</w:t>
            </w:r>
            <w:r w:rsidR="001B5D20">
              <w:rPr>
                <w:noProof/>
                <w:webHidden/>
              </w:rPr>
              <w:tab/>
            </w:r>
            <w:r w:rsidR="001B5D20">
              <w:rPr>
                <w:noProof/>
                <w:webHidden/>
              </w:rPr>
              <w:fldChar w:fldCharType="begin"/>
            </w:r>
            <w:r w:rsidR="001B5D20">
              <w:rPr>
                <w:noProof/>
                <w:webHidden/>
              </w:rPr>
              <w:instrText xml:space="preserve"> PAGEREF _Toc160786383 \h </w:instrText>
            </w:r>
            <w:r w:rsidR="001B5D20">
              <w:rPr>
                <w:noProof/>
                <w:webHidden/>
              </w:rPr>
            </w:r>
            <w:r w:rsidR="001B5D20">
              <w:rPr>
                <w:noProof/>
                <w:webHidden/>
              </w:rPr>
              <w:fldChar w:fldCharType="separate"/>
            </w:r>
            <w:r w:rsidR="001B5D20">
              <w:rPr>
                <w:noProof/>
                <w:webHidden/>
              </w:rPr>
              <w:t>17</w:t>
            </w:r>
            <w:r w:rsidR="001B5D20">
              <w:rPr>
                <w:noProof/>
                <w:webHidden/>
              </w:rPr>
              <w:fldChar w:fldCharType="end"/>
            </w:r>
          </w:hyperlink>
        </w:p>
        <w:p w14:paraId="6F8B07DA" w14:textId="4AC678B3"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4" w:history="1">
            <w:r w:rsidR="001B5D20" w:rsidRPr="00906A0D">
              <w:rPr>
                <w:rStyle w:val="Hyperlink"/>
                <w:noProof/>
              </w:rPr>
              <w:t>Pharmacology</w:t>
            </w:r>
            <w:r w:rsidR="001B5D20">
              <w:rPr>
                <w:noProof/>
                <w:webHidden/>
              </w:rPr>
              <w:tab/>
            </w:r>
            <w:r w:rsidR="001B5D20">
              <w:rPr>
                <w:noProof/>
                <w:webHidden/>
              </w:rPr>
              <w:fldChar w:fldCharType="begin"/>
            </w:r>
            <w:r w:rsidR="001B5D20">
              <w:rPr>
                <w:noProof/>
                <w:webHidden/>
              </w:rPr>
              <w:instrText xml:space="preserve"> PAGEREF _Toc160786384 \h </w:instrText>
            </w:r>
            <w:r w:rsidR="001B5D20">
              <w:rPr>
                <w:noProof/>
                <w:webHidden/>
              </w:rPr>
            </w:r>
            <w:r w:rsidR="001B5D20">
              <w:rPr>
                <w:noProof/>
                <w:webHidden/>
              </w:rPr>
              <w:fldChar w:fldCharType="separate"/>
            </w:r>
            <w:r w:rsidR="001B5D20">
              <w:rPr>
                <w:noProof/>
                <w:webHidden/>
              </w:rPr>
              <w:t>18</w:t>
            </w:r>
            <w:r w:rsidR="001B5D20">
              <w:rPr>
                <w:noProof/>
                <w:webHidden/>
              </w:rPr>
              <w:fldChar w:fldCharType="end"/>
            </w:r>
          </w:hyperlink>
        </w:p>
        <w:p w14:paraId="43B92DC8" w14:textId="71344FB3"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5" w:history="1">
            <w:r w:rsidR="001B5D20" w:rsidRPr="00906A0D">
              <w:rPr>
                <w:rStyle w:val="Hyperlink"/>
                <w:noProof/>
              </w:rPr>
              <w:t>Efficacy</w:t>
            </w:r>
            <w:r w:rsidR="001B5D20">
              <w:rPr>
                <w:noProof/>
                <w:webHidden/>
              </w:rPr>
              <w:tab/>
            </w:r>
            <w:r w:rsidR="001B5D20">
              <w:rPr>
                <w:noProof/>
                <w:webHidden/>
              </w:rPr>
              <w:fldChar w:fldCharType="begin"/>
            </w:r>
            <w:r w:rsidR="001B5D20">
              <w:rPr>
                <w:noProof/>
                <w:webHidden/>
              </w:rPr>
              <w:instrText xml:space="preserve"> PAGEREF _Toc160786385 \h </w:instrText>
            </w:r>
            <w:r w:rsidR="001B5D20">
              <w:rPr>
                <w:noProof/>
                <w:webHidden/>
              </w:rPr>
            </w:r>
            <w:r w:rsidR="001B5D20">
              <w:rPr>
                <w:noProof/>
                <w:webHidden/>
              </w:rPr>
              <w:fldChar w:fldCharType="separate"/>
            </w:r>
            <w:r w:rsidR="001B5D20">
              <w:rPr>
                <w:noProof/>
                <w:webHidden/>
              </w:rPr>
              <w:t>25</w:t>
            </w:r>
            <w:r w:rsidR="001B5D20">
              <w:rPr>
                <w:noProof/>
                <w:webHidden/>
              </w:rPr>
              <w:fldChar w:fldCharType="end"/>
            </w:r>
          </w:hyperlink>
        </w:p>
        <w:p w14:paraId="321E279A" w14:textId="258BA79F"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6" w:history="1">
            <w:r w:rsidR="001B5D20" w:rsidRPr="00906A0D">
              <w:rPr>
                <w:rStyle w:val="Hyperlink"/>
                <w:noProof/>
              </w:rPr>
              <w:t>Safety</w:t>
            </w:r>
            <w:r w:rsidR="001B5D20">
              <w:rPr>
                <w:noProof/>
                <w:webHidden/>
              </w:rPr>
              <w:tab/>
            </w:r>
            <w:r w:rsidR="001B5D20">
              <w:rPr>
                <w:noProof/>
                <w:webHidden/>
              </w:rPr>
              <w:fldChar w:fldCharType="begin"/>
            </w:r>
            <w:r w:rsidR="001B5D20">
              <w:rPr>
                <w:noProof/>
                <w:webHidden/>
              </w:rPr>
              <w:instrText xml:space="preserve"> PAGEREF _Toc160786386 \h </w:instrText>
            </w:r>
            <w:r w:rsidR="001B5D20">
              <w:rPr>
                <w:noProof/>
                <w:webHidden/>
              </w:rPr>
            </w:r>
            <w:r w:rsidR="001B5D20">
              <w:rPr>
                <w:noProof/>
                <w:webHidden/>
              </w:rPr>
              <w:fldChar w:fldCharType="separate"/>
            </w:r>
            <w:r w:rsidR="001B5D20">
              <w:rPr>
                <w:noProof/>
                <w:webHidden/>
              </w:rPr>
              <w:t>41</w:t>
            </w:r>
            <w:r w:rsidR="001B5D20">
              <w:rPr>
                <w:noProof/>
                <w:webHidden/>
              </w:rPr>
              <w:fldChar w:fldCharType="end"/>
            </w:r>
          </w:hyperlink>
        </w:p>
        <w:p w14:paraId="49E1FF89" w14:textId="6EFD78B4"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7" w:history="1">
            <w:r w:rsidR="001B5D20" w:rsidRPr="00906A0D">
              <w:rPr>
                <w:rStyle w:val="Hyperlink"/>
                <w:noProof/>
              </w:rPr>
              <w:t>Paediatric patients</w:t>
            </w:r>
            <w:r w:rsidR="001B5D20">
              <w:rPr>
                <w:noProof/>
                <w:webHidden/>
              </w:rPr>
              <w:tab/>
            </w:r>
            <w:r w:rsidR="001B5D20">
              <w:rPr>
                <w:noProof/>
                <w:webHidden/>
              </w:rPr>
              <w:fldChar w:fldCharType="begin"/>
            </w:r>
            <w:r w:rsidR="001B5D20">
              <w:rPr>
                <w:noProof/>
                <w:webHidden/>
              </w:rPr>
              <w:instrText xml:space="preserve"> PAGEREF _Toc160786387 \h </w:instrText>
            </w:r>
            <w:r w:rsidR="001B5D20">
              <w:rPr>
                <w:noProof/>
                <w:webHidden/>
              </w:rPr>
            </w:r>
            <w:r w:rsidR="001B5D20">
              <w:rPr>
                <w:noProof/>
                <w:webHidden/>
              </w:rPr>
              <w:fldChar w:fldCharType="separate"/>
            </w:r>
            <w:r w:rsidR="001B5D20">
              <w:rPr>
                <w:noProof/>
                <w:webHidden/>
              </w:rPr>
              <w:t>48</w:t>
            </w:r>
            <w:r w:rsidR="001B5D20">
              <w:rPr>
                <w:noProof/>
                <w:webHidden/>
              </w:rPr>
              <w:fldChar w:fldCharType="end"/>
            </w:r>
          </w:hyperlink>
        </w:p>
        <w:p w14:paraId="7E14F445" w14:textId="6D59DC48"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8" w:history="1">
            <w:r w:rsidR="001B5D20" w:rsidRPr="00906A0D">
              <w:rPr>
                <w:rStyle w:val="Hyperlink"/>
                <w:noProof/>
              </w:rPr>
              <w:t>Drug delivery device</w:t>
            </w:r>
            <w:r w:rsidR="001B5D20">
              <w:rPr>
                <w:noProof/>
                <w:webHidden/>
              </w:rPr>
              <w:tab/>
            </w:r>
            <w:r w:rsidR="001B5D20">
              <w:rPr>
                <w:noProof/>
                <w:webHidden/>
              </w:rPr>
              <w:fldChar w:fldCharType="begin"/>
            </w:r>
            <w:r w:rsidR="001B5D20">
              <w:rPr>
                <w:noProof/>
                <w:webHidden/>
              </w:rPr>
              <w:instrText xml:space="preserve"> PAGEREF _Toc160786388 \h </w:instrText>
            </w:r>
            <w:r w:rsidR="001B5D20">
              <w:rPr>
                <w:noProof/>
                <w:webHidden/>
              </w:rPr>
            </w:r>
            <w:r w:rsidR="001B5D20">
              <w:rPr>
                <w:noProof/>
                <w:webHidden/>
              </w:rPr>
              <w:fldChar w:fldCharType="separate"/>
            </w:r>
            <w:r w:rsidR="001B5D20">
              <w:rPr>
                <w:noProof/>
                <w:webHidden/>
              </w:rPr>
              <w:t>49</w:t>
            </w:r>
            <w:r w:rsidR="001B5D20">
              <w:rPr>
                <w:noProof/>
                <w:webHidden/>
              </w:rPr>
              <w:fldChar w:fldCharType="end"/>
            </w:r>
          </w:hyperlink>
        </w:p>
        <w:p w14:paraId="04EC028A" w14:textId="5AD2A54F"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89" w:history="1">
            <w:r w:rsidR="001B5D20" w:rsidRPr="00906A0D">
              <w:rPr>
                <w:rStyle w:val="Hyperlink"/>
                <w:noProof/>
              </w:rPr>
              <w:t>Companion diagnostic considerations</w:t>
            </w:r>
            <w:r w:rsidR="001B5D20">
              <w:rPr>
                <w:noProof/>
                <w:webHidden/>
              </w:rPr>
              <w:tab/>
            </w:r>
            <w:r w:rsidR="001B5D20">
              <w:rPr>
                <w:noProof/>
                <w:webHidden/>
              </w:rPr>
              <w:fldChar w:fldCharType="begin"/>
            </w:r>
            <w:r w:rsidR="001B5D20">
              <w:rPr>
                <w:noProof/>
                <w:webHidden/>
              </w:rPr>
              <w:instrText xml:space="preserve"> PAGEREF _Toc160786389 \h </w:instrText>
            </w:r>
            <w:r w:rsidR="001B5D20">
              <w:rPr>
                <w:noProof/>
                <w:webHidden/>
              </w:rPr>
            </w:r>
            <w:r w:rsidR="001B5D20">
              <w:rPr>
                <w:noProof/>
                <w:webHidden/>
              </w:rPr>
              <w:fldChar w:fldCharType="separate"/>
            </w:r>
            <w:r w:rsidR="001B5D20">
              <w:rPr>
                <w:noProof/>
                <w:webHidden/>
              </w:rPr>
              <w:t>49</w:t>
            </w:r>
            <w:r w:rsidR="001B5D20">
              <w:rPr>
                <w:noProof/>
                <w:webHidden/>
              </w:rPr>
              <w:fldChar w:fldCharType="end"/>
            </w:r>
          </w:hyperlink>
        </w:p>
        <w:p w14:paraId="6D2A2B31" w14:textId="073F1EED"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90" w:history="1">
            <w:r w:rsidR="001B5D20" w:rsidRPr="00906A0D">
              <w:rPr>
                <w:rStyle w:val="Hyperlink"/>
                <w:noProof/>
              </w:rPr>
              <w:t>Real world evidence</w:t>
            </w:r>
            <w:r w:rsidR="001B5D20">
              <w:rPr>
                <w:noProof/>
                <w:webHidden/>
              </w:rPr>
              <w:tab/>
            </w:r>
            <w:r w:rsidR="001B5D20">
              <w:rPr>
                <w:noProof/>
                <w:webHidden/>
              </w:rPr>
              <w:fldChar w:fldCharType="begin"/>
            </w:r>
            <w:r w:rsidR="001B5D20">
              <w:rPr>
                <w:noProof/>
                <w:webHidden/>
              </w:rPr>
              <w:instrText xml:space="preserve"> PAGEREF _Toc160786390 \h </w:instrText>
            </w:r>
            <w:r w:rsidR="001B5D20">
              <w:rPr>
                <w:noProof/>
                <w:webHidden/>
              </w:rPr>
            </w:r>
            <w:r w:rsidR="001B5D20">
              <w:rPr>
                <w:noProof/>
                <w:webHidden/>
              </w:rPr>
              <w:fldChar w:fldCharType="separate"/>
            </w:r>
            <w:r w:rsidR="001B5D20">
              <w:rPr>
                <w:noProof/>
                <w:webHidden/>
              </w:rPr>
              <w:t>49</w:t>
            </w:r>
            <w:r w:rsidR="001B5D20">
              <w:rPr>
                <w:noProof/>
                <w:webHidden/>
              </w:rPr>
              <w:fldChar w:fldCharType="end"/>
            </w:r>
          </w:hyperlink>
        </w:p>
        <w:p w14:paraId="05C7E673" w14:textId="2558E4B1"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91" w:history="1">
            <w:r w:rsidR="001B5D20" w:rsidRPr="00906A0D">
              <w:rPr>
                <w:rStyle w:val="Hyperlink"/>
                <w:noProof/>
                <w:lang w:eastAsia="en-AU"/>
              </w:rPr>
              <w:t>Risk management plan</w:t>
            </w:r>
            <w:r w:rsidR="001B5D20">
              <w:rPr>
                <w:noProof/>
                <w:webHidden/>
              </w:rPr>
              <w:tab/>
            </w:r>
            <w:r w:rsidR="001B5D20">
              <w:rPr>
                <w:noProof/>
                <w:webHidden/>
              </w:rPr>
              <w:fldChar w:fldCharType="begin"/>
            </w:r>
            <w:r w:rsidR="001B5D20">
              <w:rPr>
                <w:noProof/>
                <w:webHidden/>
              </w:rPr>
              <w:instrText xml:space="preserve"> PAGEREF _Toc160786391 \h </w:instrText>
            </w:r>
            <w:r w:rsidR="001B5D20">
              <w:rPr>
                <w:noProof/>
                <w:webHidden/>
              </w:rPr>
            </w:r>
            <w:r w:rsidR="001B5D20">
              <w:rPr>
                <w:noProof/>
                <w:webHidden/>
              </w:rPr>
              <w:fldChar w:fldCharType="separate"/>
            </w:r>
            <w:r w:rsidR="001B5D20">
              <w:rPr>
                <w:noProof/>
                <w:webHidden/>
              </w:rPr>
              <w:t>49</w:t>
            </w:r>
            <w:r w:rsidR="001B5D20">
              <w:rPr>
                <w:noProof/>
                <w:webHidden/>
              </w:rPr>
              <w:fldChar w:fldCharType="end"/>
            </w:r>
          </w:hyperlink>
        </w:p>
        <w:p w14:paraId="60E06FC4" w14:textId="26935E09"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92" w:history="1">
            <w:r w:rsidR="001B5D20" w:rsidRPr="00906A0D">
              <w:rPr>
                <w:rStyle w:val="Hyperlink"/>
                <w:noProof/>
              </w:rPr>
              <w:t>Risk-benefit analysis</w:t>
            </w:r>
            <w:r w:rsidR="001B5D20">
              <w:rPr>
                <w:noProof/>
                <w:webHidden/>
              </w:rPr>
              <w:tab/>
            </w:r>
            <w:r w:rsidR="001B5D20">
              <w:rPr>
                <w:noProof/>
                <w:webHidden/>
              </w:rPr>
              <w:fldChar w:fldCharType="begin"/>
            </w:r>
            <w:r w:rsidR="001B5D20">
              <w:rPr>
                <w:noProof/>
                <w:webHidden/>
              </w:rPr>
              <w:instrText xml:space="preserve"> PAGEREF _Toc160786392 \h </w:instrText>
            </w:r>
            <w:r w:rsidR="001B5D20">
              <w:rPr>
                <w:noProof/>
                <w:webHidden/>
              </w:rPr>
            </w:r>
            <w:r w:rsidR="001B5D20">
              <w:rPr>
                <w:noProof/>
                <w:webHidden/>
              </w:rPr>
              <w:fldChar w:fldCharType="separate"/>
            </w:r>
            <w:r w:rsidR="001B5D20">
              <w:rPr>
                <w:noProof/>
                <w:webHidden/>
              </w:rPr>
              <w:t>51</w:t>
            </w:r>
            <w:r w:rsidR="001B5D20">
              <w:rPr>
                <w:noProof/>
                <w:webHidden/>
              </w:rPr>
              <w:fldChar w:fldCharType="end"/>
            </w:r>
          </w:hyperlink>
        </w:p>
        <w:p w14:paraId="1D2C8F91" w14:textId="756AEB65"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93" w:history="1">
            <w:r w:rsidR="001B5D20" w:rsidRPr="00906A0D">
              <w:rPr>
                <w:rStyle w:val="Hyperlink"/>
                <w:noProof/>
              </w:rPr>
              <w:t>Delegate’s considerations</w:t>
            </w:r>
            <w:r w:rsidR="001B5D20">
              <w:rPr>
                <w:noProof/>
                <w:webHidden/>
              </w:rPr>
              <w:tab/>
            </w:r>
            <w:r w:rsidR="001B5D20">
              <w:rPr>
                <w:noProof/>
                <w:webHidden/>
              </w:rPr>
              <w:fldChar w:fldCharType="begin"/>
            </w:r>
            <w:r w:rsidR="001B5D20">
              <w:rPr>
                <w:noProof/>
                <w:webHidden/>
              </w:rPr>
              <w:instrText xml:space="preserve"> PAGEREF _Toc160786393 \h </w:instrText>
            </w:r>
            <w:r w:rsidR="001B5D20">
              <w:rPr>
                <w:noProof/>
                <w:webHidden/>
              </w:rPr>
            </w:r>
            <w:r w:rsidR="001B5D20">
              <w:rPr>
                <w:noProof/>
                <w:webHidden/>
              </w:rPr>
              <w:fldChar w:fldCharType="separate"/>
            </w:r>
            <w:r w:rsidR="001B5D20">
              <w:rPr>
                <w:noProof/>
                <w:webHidden/>
              </w:rPr>
              <w:t>51</w:t>
            </w:r>
            <w:r w:rsidR="001B5D20">
              <w:rPr>
                <w:noProof/>
                <w:webHidden/>
              </w:rPr>
              <w:fldChar w:fldCharType="end"/>
            </w:r>
          </w:hyperlink>
        </w:p>
        <w:p w14:paraId="518C6D97" w14:textId="3ECC86E1"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94" w:history="1">
            <w:r w:rsidR="001B5D20" w:rsidRPr="00906A0D">
              <w:rPr>
                <w:rStyle w:val="Hyperlink"/>
                <w:noProof/>
              </w:rPr>
              <w:t>Proposed action</w:t>
            </w:r>
            <w:r w:rsidR="001B5D20">
              <w:rPr>
                <w:noProof/>
                <w:webHidden/>
              </w:rPr>
              <w:tab/>
            </w:r>
            <w:r w:rsidR="001B5D20">
              <w:rPr>
                <w:noProof/>
                <w:webHidden/>
              </w:rPr>
              <w:fldChar w:fldCharType="begin"/>
            </w:r>
            <w:r w:rsidR="001B5D20">
              <w:rPr>
                <w:noProof/>
                <w:webHidden/>
              </w:rPr>
              <w:instrText xml:space="preserve"> PAGEREF _Toc160786394 \h </w:instrText>
            </w:r>
            <w:r w:rsidR="001B5D20">
              <w:rPr>
                <w:noProof/>
                <w:webHidden/>
              </w:rPr>
            </w:r>
            <w:r w:rsidR="001B5D20">
              <w:rPr>
                <w:noProof/>
                <w:webHidden/>
              </w:rPr>
              <w:fldChar w:fldCharType="separate"/>
            </w:r>
            <w:r w:rsidR="001B5D20">
              <w:rPr>
                <w:noProof/>
                <w:webHidden/>
              </w:rPr>
              <w:t>58</w:t>
            </w:r>
            <w:r w:rsidR="001B5D20">
              <w:rPr>
                <w:noProof/>
                <w:webHidden/>
              </w:rPr>
              <w:fldChar w:fldCharType="end"/>
            </w:r>
          </w:hyperlink>
        </w:p>
        <w:p w14:paraId="13551160" w14:textId="673B3C0C" w:rsidR="001B5D20" w:rsidRDefault="00572F9F">
          <w:pPr>
            <w:pStyle w:val="TOC3"/>
            <w:rPr>
              <w:rFonts w:asciiTheme="minorHAnsi" w:eastAsiaTheme="minorEastAsia" w:hAnsiTheme="minorHAnsi" w:cstheme="minorBidi"/>
              <w:b w:val="0"/>
              <w:noProof/>
              <w:color w:val="auto"/>
              <w:kern w:val="2"/>
              <w:szCs w:val="22"/>
              <w:lang w:eastAsia="en-AU"/>
              <w14:ligatures w14:val="standardContextual"/>
            </w:rPr>
          </w:pPr>
          <w:hyperlink w:anchor="_Toc160786395" w:history="1">
            <w:r w:rsidR="001B5D20" w:rsidRPr="00906A0D">
              <w:rPr>
                <w:rStyle w:val="Hyperlink"/>
                <w:noProof/>
              </w:rPr>
              <w:t>Advisory Committee considerations</w:t>
            </w:r>
            <w:r w:rsidR="001B5D20">
              <w:rPr>
                <w:noProof/>
                <w:webHidden/>
              </w:rPr>
              <w:tab/>
            </w:r>
            <w:r w:rsidR="001B5D20">
              <w:rPr>
                <w:noProof/>
                <w:webHidden/>
              </w:rPr>
              <w:fldChar w:fldCharType="begin"/>
            </w:r>
            <w:r w:rsidR="001B5D20">
              <w:rPr>
                <w:noProof/>
                <w:webHidden/>
              </w:rPr>
              <w:instrText xml:space="preserve"> PAGEREF _Toc160786395 \h </w:instrText>
            </w:r>
            <w:r w:rsidR="001B5D20">
              <w:rPr>
                <w:noProof/>
                <w:webHidden/>
              </w:rPr>
            </w:r>
            <w:r w:rsidR="001B5D20">
              <w:rPr>
                <w:noProof/>
                <w:webHidden/>
              </w:rPr>
              <w:fldChar w:fldCharType="separate"/>
            </w:r>
            <w:r w:rsidR="001B5D20">
              <w:rPr>
                <w:noProof/>
                <w:webHidden/>
              </w:rPr>
              <w:t>58</w:t>
            </w:r>
            <w:r w:rsidR="001B5D20">
              <w:rPr>
                <w:noProof/>
                <w:webHidden/>
              </w:rPr>
              <w:fldChar w:fldCharType="end"/>
            </w:r>
          </w:hyperlink>
        </w:p>
        <w:p w14:paraId="41884958" w14:textId="49C340BA" w:rsidR="001B5D20" w:rsidRDefault="00572F9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786396" w:history="1">
            <w:r w:rsidR="001B5D20" w:rsidRPr="00906A0D">
              <w:rPr>
                <w:rStyle w:val="Hyperlink"/>
                <w:noProof/>
              </w:rPr>
              <w:t>Outcome</w:t>
            </w:r>
            <w:r w:rsidR="001B5D20">
              <w:rPr>
                <w:noProof/>
                <w:webHidden/>
              </w:rPr>
              <w:tab/>
            </w:r>
            <w:r w:rsidR="001B5D20">
              <w:rPr>
                <w:noProof/>
                <w:webHidden/>
              </w:rPr>
              <w:fldChar w:fldCharType="begin"/>
            </w:r>
            <w:r w:rsidR="001B5D20">
              <w:rPr>
                <w:noProof/>
                <w:webHidden/>
              </w:rPr>
              <w:instrText xml:space="preserve"> PAGEREF _Toc160786396 \h </w:instrText>
            </w:r>
            <w:r w:rsidR="001B5D20">
              <w:rPr>
                <w:noProof/>
                <w:webHidden/>
              </w:rPr>
            </w:r>
            <w:r w:rsidR="001B5D20">
              <w:rPr>
                <w:noProof/>
                <w:webHidden/>
              </w:rPr>
              <w:fldChar w:fldCharType="separate"/>
            </w:r>
            <w:r w:rsidR="001B5D20">
              <w:rPr>
                <w:noProof/>
                <w:webHidden/>
              </w:rPr>
              <w:t>60</w:t>
            </w:r>
            <w:r w:rsidR="001B5D20">
              <w:rPr>
                <w:noProof/>
                <w:webHidden/>
              </w:rPr>
              <w:fldChar w:fldCharType="end"/>
            </w:r>
          </w:hyperlink>
        </w:p>
        <w:p w14:paraId="24729B06" w14:textId="2CF55E44" w:rsidR="001B5D20" w:rsidRDefault="00572F9F">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60786397" w:history="1">
            <w:r w:rsidR="001B5D20" w:rsidRPr="00906A0D">
              <w:rPr>
                <w:rStyle w:val="Hyperlink"/>
                <w:noProof/>
              </w:rPr>
              <w:t>Specific conditions of registration applying to these goods</w:t>
            </w:r>
            <w:r w:rsidR="001B5D20">
              <w:rPr>
                <w:noProof/>
                <w:webHidden/>
              </w:rPr>
              <w:tab/>
            </w:r>
            <w:r w:rsidR="001B5D20">
              <w:rPr>
                <w:noProof/>
                <w:webHidden/>
              </w:rPr>
              <w:fldChar w:fldCharType="begin"/>
            </w:r>
            <w:r w:rsidR="001B5D20">
              <w:rPr>
                <w:noProof/>
                <w:webHidden/>
              </w:rPr>
              <w:instrText xml:space="preserve"> PAGEREF _Toc160786397 \h </w:instrText>
            </w:r>
            <w:r w:rsidR="001B5D20">
              <w:rPr>
                <w:noProof/>
                <w:webHidden/>
              </w:rPr>
            </w:r>
            <w:r w:rsidR="001B5D20">
              <w:rPr>
                <w:noProof/>
                <w:webHidden/>
              </w:rPr>
              <w:fldChar w:fldCharType="separate"/>
            </w:r>
            <w:r w:rsidR="001B5D20">
              <w:rPr>
                <w:noProof/>
                <w:webHidden/>
              </w:rPr>
              <w:t>60</w:t>
            </w:r>
            <w:r w:rsidR="001B5D20">
              <w:rPr>
                <w:noProof/>
                <w:webHidden/>
              </w:rPr>
              <w:fldChar w:fldCharType="end"/>
            </w:r>
          </w:hyperlink>
        </w:p>
        <w:p w14:paraId="5BB1F7CA" w14:textId="021A30A5" w:rsidR="001B5D20" w:rsidRDefault="00572F9F">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60786398" w:history="1">
            <w:r w:rsidR="001B5D20" w:rsidRPr="00906A0D">
              <w:rPr>
                <w:rStyle w:val="Hyperlink"/>
                <w:noProof/>
              </w:rPr>
              <w:t>Attachment 1. Product Information</w:t>
            </w:r>
            <w:r w:rsidR="001B5D20">
              <w:rPr>
                <w:noProof/>
                <w:webHidden/>
              </w:rPr>
              <w:tab/>
            </w:r>
            <w:r w:rsidR="001B5D20">
              <w:rPr>
                <w:noProof/>
                <w:webHidden/>
              </w:rPr>
              <w:fldChar w:fldCharType="begin"/>
            </w:r>
            <w:r w:rsidR="001B5D20">
              <w:rPr>
                <w:noProof/>
                <w:webHidden/>
              </w:rPr>
              <w:instrText xml:space="preserve"> PAGEREF _Toc160786398 \h </w:instrText>
            </w:r>
            <w:r w:rsidR="001B5D20">
              <w:rPr>
                <w:noProof/>
                <w:webHidden/>
              </w:rPr>
            </w:r>
            <w:r w:rsidR="001B5D20">
              <w:rPr>
                <w:noProof/>
                <w:webHidden/>
              </w:rPr>
              <w:fldChar w:fldCharType="separate"/>
            </w:r>
            <w:r w:rsidR="001B5D20">
              <w:rPr>
                <w:noProof/>
                <w:webHidden/>
              </w:rPr>
              <w:t>61</w:t>
            </w:r>
            <w:r w:rsidR="001B5D20">
              <w:rPr>
                <w:noProof/>
                <w:webHidden/>
              </w:rPr>
              <w:fldChar w:fldCharType="end"/>
            </w:r>
          </w:hyperlink>
        </w:p>
        <w:p w14:paraId="77659F2D" w14:textId="557BEC94" w:rsidR="00F02AEC" w:rsidRPr="00215D48" w:rsidRDefault="00F02AEC" w:rsidP="007452E8">
          <w:r w:rsidRPr="00215D48">
            <w:fldChar w:fldCharType="end"/>
          </w:r>
        </w:p>
      </w:sdtContent>
    </w:sdt>
    <w:p w14:paraId="1E73AB93" w14:textId="52339FEC" w:rsidR="00324B33" w:rsidRDefault="00324B33" w:rsidP="00324B33">
      <w:pPr>
        <w:pStyle w:val="Heading2"/>
      </w:pPr>
      <w:bookmarkStart w:id="3" w:name="_Toc98931917"/>
      <w:bookmarkStart w:id="4" w:name="_Toc103679287"/>
      <w:bookmarkStart w:id="5" w:name="_Toc160786368"/>
      <w:bookmarkStart w:id="6" w:name="_Toc323739589"/>
      <w:bookmarkStart w:id="7" w:name="_Toc356305216"/>
      <w:r>
        <w:lastRenderedPageBreak/>
        <w:t>List of abbreviations</w:t>
      </w:r>
      <w:bookmarkEnd w:id="3"/>
      <w:bookmarkEnd w:id="4"/>
      <w:bookmarkEnd w:id="5"/>
      <w:r w:rsidR="0048603E">
        <w:fldChar w:fldCharType="begin"/>
      </w:r>
      <w:r w:rsidR="0048603E">
        <w:instrText xml:space="preserve"> DOCVARIABLE vault_nd_3aeabab0-2c77-458e-8484-0f273d5966c4 \* MERGEFORMAT </w:instrText>
      </w:r>
      <w:r w:rsidR="0048603E">
        <w:fldChar w:fldCharType="separate"/>
      </w:r>
      <w:r w:rsidR="001B5D20">
        <w:t xml:space="preserve"> </w:t>
      </w:r>
      <w:r w:rsidR="0048603E">
        <w:fldChar w:fldCharType="end"/>
      </w:r>
    </w:p>
    <w:tbl>
      <w:tblPr>
        <w:tblStyle w:val="TableTGAblue2023"/>
        <w:tblW w:w="9430" w:type="dxa"/>
        <w:tblLook w:val="04A0" w:firstRow="1" w:lastRow="0" w:firstColumn="1" w:lastColumn="0" w:noHBand="0" w:noVBand="1"/>
      </w:tblPr>
      <w:tblGrid>
        <w:gridCol w:w="2263"/>
        <w:gridCol w:w="7167"/>
      </w:tblGrid>
      <w:tr w:rsidR="00676791" w:rsidRPr="003D71A1" w14:paraId="09DEDB88"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E81ADF3" w14:textId="77777777" w:rsidR="00676791" w:rsidRPr="007C71D5" w:rsidRDefault="00676791">
            <w:pPr>
              <w:rPr>
                <w:szCs w:val="22"/>
              </w:rPr>
            </w:pPr>
            <w:bookmarkStart w:id="8" w:name="_Hlk133418605"/>
            <w:r w:rsidRPr="007C71D5">
              <w:rPr>
                <w:szCs w:val="22"/>
              </w:rPr>
              <w:t>Abbreviation</w:t>
            </w:r>
          </w:p>
        </w:tc>
        <w:tc>
          <w:tcPr>
            <w:tcW w:w="7167" w:type="dxa"/>
          </w:tcPr>
          <w:p w14:paraId="6FFAF6E6" w14:textId="77777777" w:rsidR="00676791" w:rsidRPr="007C71D5" w:rsidRDefault="00676791">
            <w:pPr>
              <w:cnfStyle w:val="100000000000" w:firstRow="1" w:lastRow="0" w:firstColumn="0" w:lastColumn="0" w:oddVBand="0" w:evenVBand="0" w:oddHBand="0" w:evenHBand="0" w:firstRowFirstColumn="0" w:firstRowLastColumn="0" w:lastRowFirstColumn="0" w:lastRowLastColumn="0"/>
              <w:rPr>
                <w:szCs w:val="22"/>
              </w:rPr>
            </w:pPr>
            <w:r w:rsidRPr="007C71D5">
              <w:rPr>
                <w:szCs w:val="22"/>
              </w:rPr>
              <w:t>Meaning</w:t>
            </w:r>
          </w:p>
        </w:tc>
      </w:tr>
      <w:tr w:rsidR="00676791" w:rsidRPr="002B2C82" w14:paraId="6361180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5989B31" w14:textId="77777777" w:rsidR="00676791" w:rsidRPr="00690976" w:rsidRDefault="00676791">
            <w:pPr>
              <w:rPr>
                <w:rFonts w:cstheme="minorHAnsi"/>
                <w:szCs w:val="32"/>
              </w:rPr>
            </w:pPr>
            <w:r w:rsidRPr="00690976">
              <w:rPr>
                <w:rFonts w:cstheme="minorHAnsi"/>
                <w:szCs w:val="32"/>
              </w:rPr>
              <w:t>ABR</w:t>
            </w:r>
          </w:p>
        </w:tc>
        <w:tc>
          <w:tcPr>
            <w:tcW w:w="7167" w:type="dxa"/>
          </w:tcPr>
          <w:p w14:paraId="0A8675C7"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32"/>
              </w:rPr>
            </w:pPr>
            <w:r w:rsidRPr="00690976">
              <w:rPr>
                <w:szCs w:val="32"/>
              </w:rPr>
              <w:t>Annualised bleeding rate</w:t>
            </w:r>
          </w:p>
        </w:tc>
      </w:tr>
      <w:tr w:rsidR="00676791" w:rsidRPr="002B2C82" w14:paraId="5B4B541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EE2A77F" w14:textId="77777777" w:rsidR="00676791" w:rsidRPr="00690976" w:rsidRDefault="00676791">
            <w:pPr>
              <w:rPr>
                <w:rFonts w:cstheme="minorHAnsi"/>
                <w:szCs w:val="24"/>
              </w:rPr>
            </w:pPr>
            <w:r w:rsidRPr="00690976">
              <w:rPr>
                <w:rFonts w:cstheme="minorHAnsi"/>
                <w:szCs w:val="24"/>
              </w:rPr>
              <w:t>ACM</w:t>
            </w:r>
          </w:p>
        </w:tc>
        <w:tc>
          <w:tcPr>
            <w:tcW w:w="7167" w:type="dxa"/>
          </w:tcPr>
          <w:p w14:paraId="78407166"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szCs w:val="24"/>
              </w:rPr>
              <w:t>Advisory Committee on Medicines</w:t>
            </w:r>
          </w:p>
        </w:tc>
      </w:tr>
      <w:tr w:rsidR="00676791" w:rsidRPr="002B2C82" w14:paraId="275738F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3E5978C" w14:textId="77777777" w:rsidR="00676791" w:rsidRPr="00690976" w:rsidRDefault="00676791">
            <w:pPr>
              <w:rPr>
                <w:rFonts w:cstheme="minorHAnsi"/>
                <w:szCs w:val="32"/>
              </w:rPr>
            </w:pPr>
            <w:proofErr w:type="spellStart"/>
            <w:r w:rsidRPr="00690976">
              <w:rPr>
                <w:rFonts w:cstheme="minorHAnsi"/>
                <w:szCs w:val="32"/>
              </w:rPr>
              <w:t>aPCC</w:t>
            </w:r>
            <w:proofErr w:type="spellEnd"/>
          </w:p>
        </w:tc>
        <w:tc>
          <w:tcPr>
            <w:tcW w:w="7167" w:type="dxa"/>
          </w:tcPr>
          <w:p w14:paraId="49F3C19B"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32"/>
              </w:rPr>
            </w:pPr>
            <w:r w:rsidRPr="00690976">
              <w:rPr>
                <w:szCs w:val="32"/>
              </w:rPr>
              <w:t>Activated prothrombin complex concentrate</w:t>
            </w:r>
          </w:p>
        </w:tc>
      </w:tr>
      <w:tr w:rsidR="00676791" w:rsidRPr="002B2C82" w14:paraId="5A99766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8304307" w14:textId="77777777" w:rsidR="00676791" w:rsidRPr="00690976" w:rsidRDefault="00676791">
            <w:pPr>
              <w:rPr>
                <w:rFonts w:cstheme="minorHAnsi"/>
                <w:szCs w:val="24"/>
              </w:rPr>
            </w:pPr>
            <w:r w:rsidRPr="00690976">
              <w:rPr>
                <w:rFonts w:cstheme="minorHAnsi"/>
                <w:szCs w:val="24"/>
              </w:rPr>
              <w:t>ASA</w:t>
            </w:r>
          </w:p>
        </w:tc>
        <w:tc>
          <w:tcPr>
            <w:tcW w:w="7167" w:type="dxa"/>
          </w:tcPr>
          <w:p w14:paraId="4E883657"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Australia specific annex</w:t>
            </w:r>
          </w:p>
        </w:tc>
      </w:tr>
      <w:tr w:rsidR="00676791" w:rsidRPr="002B2C82" w14:paraId="2C71C50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613719" w14:textId="77777777" w:rsidR="00676791" w:rsidRPr="00690976" w:rsidRDefault="00676791">
            <w:pPr>
              <w:rPr>
                <w:rFonts w:cstheme="minorHAnsi"/>
                <w:szCs w:val="32"/>
              </w:rPr>
            </w:pPr>
            <w:r w:rsidRPr="00690976">
              <w:rPr>
                <w:rFonts w:cstheme="minorHAnsi"/>
                <w:szCs w:val="32"/>
              </w:rPr>
              <w:t>BU</w:t>
            </w:r>
          </w:p>
        </w:tc>
        <w:tc>
          <w:tcPr>
            <w:tcW w:w="7167" w:type="dxa"/>
          </w:tcPr>
          <w:p w14:paraId="488B8B74"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90976">
              <w:rPr>
                <w:szCs w:val="32"/>
              </w:rPr>
              <w:t>Bethesda units</w:t>
            </w:r>
          </w:p>
        </w:tc>
      </w:tr>
      <w:tr w:rsidR="00676791" w:rsidRPr="002B2C82" w14:paraId="294CF5A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A02F87" w14:textId="77777777" w:rsidR="00676791" w:rsidRPr="00690976" w:rsidRDefault="00676791">
            <w:pPr>
              <w:rPr>
                <w:rFonts w:cstheme="minorHAnsi"/>
                <w:szCs w:val="32"/>
              </w:rPr>
            </w:pPr>
            <w:r w:rsidRPr="00690976">
              <w:rPr>
                <w:rFonts w:cstheme="minorHAnsi"/>
                <w:szCs w:val="32"/>
              </w:rPr>
              <w:t>CI</w:t>
            </w:r>
          </w:p>
        </w:tc>
        <w:tc>
          <w:tcPr>
            <w:tcW w:w="7167" w:type="dxa"/>
          </w:tcPr>
          <w:p w14:paraId="534C184C"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90976">
              <w:rPr>
                <w:rFonts w:cstheme="minorHAnsi"/>
                <w:szCs w:val="32"/>
              </w:rPr>
              <w:t>Confidence interval</w:t>
            </w:r>
          </w:p>
        </w:tc>
      </w:tr>
      <w:tr w:rsidR="00676791" w:rsidRPr="002B2C82" w14:paraId="001DCF7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879AE11" w14:textId="77777777" w:rsidR="00676791" w:rsidRPr="00690976" w:rsidRDefault="00676791">
            <w:pPr>
              <w:rPr>
                <w:rFonts w:cstheme="minorHAnsi"/>
                <w:szCs w:val="24"/>
              </w:rPr>
            </w:pPr>
            <w:proofErr w:type="spellStart"/>
            <w:r w:rsidRPr="00690976">
              <w:rPr>
                <w:rFonts w:cstheme="minorHAnsi"/>
                <w:szCs w:val="24"/>
              </w:rPr>
              <w:t>C</w:t>
            </w:r>
            <w:r w:rsidRPr="00690976">
              <w:rPr>
                <w:rFonts w:cstheme="minorHAnsi"/>
                <w:szCs w:val="24"/>
                <w:vertAlign w:val="subscript"/>
              </w:rPr>
              <w:t>max</w:t>
            </w:r>
            <w:proofErr w:type="spellEnd"/>
          </w:p>
        </w:tc>
        <w:tc>
          <w:tcPr>
            <w:tcW w:w="7167" w:type="dxa"/>
          </w:tcPr>
          <w:p w14:paraId="3F1768D7"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Maximum concentration</w:t>
            </w:r>
          </w:p>
        </w:tc>
      </w:tr>
      <w:tr w:rsidR="00676791" w:rsidRPr="002B2C82" w14:paraId="55C1BF4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2AC7CB2" w14:textId="77777777" w:rsidR="00676791" w:rsidRPr="00690976" w:rsidRDefault="00676791">
            <w:pPr>
              <w:rPr>
                <w:rFonts w:cstheme="minorHAnsi"/>
                <w:color w:val="auto"/>
                <w:szCs w:val="22"/>
              </w:rPr>
            </w:pPr>
            <w:r w:rsidRPr="00690976">
              <w:rPr>
                <w:rFonts w:cstheme="minorHAnsi"/>
                <w:color w:val="auto"/>
                <w:szCs w:val="22"/>
              </w:rPr>
              <w:t>CMI</w:t>
            </w:r>
          </w:p>
        </w:tc>
        <w:tc>
          <w:tcPr>
            <w:tcW w:w="7167" w:type="dxa"/>
          </w:tcPr>
          <w:p w14:paraId="7E386D30"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90976">
              <w:rPr>
                <w:rFonts w:cstheme="minorHAnsi"/>
                <w:color w:val="auto"/>
                <w:szCs w:val="22"/>
              </w:rPr>
              <w:t>Consumer Medicines Information</w:t>
            </w:r>
          </w:p>
        </w:tc>
      </w:tr>
      <w:tr w:rsidR="00676791" w:rsidRPr="002B2C82" w14:paraId="1573F28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4D502E8" w14:textId="77777777" w:rsidR="00676791" w:rsidRPr="00690976" w:rsidRDefault="00676791">
            <w:pPr>
              <w:rPr>
                <w:rFonts w:cstheme="minorHAnsi"/>
                <w:szCs w:val="24"/>
              </w:rPr>
            </w:pPr>
            <w:r w:rsidRPr="00690976">
              <w:rPr>
                <w:rFonts w:cstheme="minorHAnsi"/>
                <w:szCs w:val="24"/>
              </w:rPr>
              <w:t>CSR</w:t>
            </w:r>
          </w:p>
        </w:tc>
        <w:tc>
          <w:tcPr>
            <w:tcW w:w="7167" w:type="dxa"/>
          </w:tcPr>
          <w:p w14:paraId="7ADD4383"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Case study report</w:t>
            </w:r>
          </w:p>
        </w:tc>
      </w:tr>
      <w:tr w:rsidR="00676791" w:rsidRPr="00106388" w14:paraId="485CC86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C2AE05C" w14:textId="77777777" w:rsidR="00676791" w:rsidRPr="00690976" w:rsidRDefault="00676791">
            <w:pPr>
              <w:rPr>
                <w:rFonts w:cstheme="minorHAnsi"/>
                <w:szCs w:val="32"/>
              </w:rPr>
            </w:pPr>
            <w:proofErr w:type="spellStart"/>
            <w:r w:rsidRPr="00690976">
              <w:rPr>
                <w:rFonts w:cstheme="minorHAnsi"/>
                <w:szCs w:val="32"/>
              </w:rPr>
              <w:t>C</w:t>
            </w:r>
            <w:r w:rsidRPr="00690976">
              <w:rPr>
                <w:rFonts w:cstheme="minorHAnsi"/>
                <w:szCs w:val="32"/>
                <w:vertAlign w:val="subscript"/>
              </w:rPr>
              <w:t>trough</w:t>
            </w:r>
            <w:proofErr w:type="spellEnd"/>
          </w:p>
        </w:tc>
        <w:tc>
          <w:tcPr>
            <w:tcW w:w="7167" w:type="dxa"/>
          </w:tcPr>
          <w:p w14:paraId="33EDE451"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90976">
              <w:rPr>
                <w:szCs w:val="32"/>
              </w:rPr>
              <w:t>Trough concentration</w:t>
            </w:r>
          </w:p>
        </w:tc>
      </w:tr>
      <w:tr w:rsidR="00676791" w:rsidRPr="00106388" w14:paraId="69597A00"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A81BEA3" w14:textId="77777777" w:rsidR="00676791" w:rsidRPr="00690976" w:rsidRDefault="00676791">
            <w:pPr>
              <w:rPr>
                <w:rFonts w:cstheme="minorHAnsi"/>
                <w:szCs w:val="32"/>
              </w:rPr>
            </w:pPr>
            <w:r w:rsidRPr="00690976">
              <w:rPr>
                <w:rFonts w:cstheme="minorHAnsi"/>
                <w:szCs w:val="32"/>
              </w:rPr>
              <w:t>DLP</w:t>
            </w:r>
          </w:p>
        </w:tc>
        <w:tc>
          <w:tcPr>
            <w:tcW w:w="7167" w:type="dxa"/>
          </w:tcPr>
          <w:p w14:paraId="4E7B402A"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90976">
              <w:rPr>
                <w:rFonts w:cstheme="minorHAnsi"/>
                <w:szCs w:val="32"/>
              </w:rPr>
              <w:t>Data lock point</w:t>
            </w:r>
          </w:p>
        </w:tc>
      </w:tr>
      <w:tr w:rsidR="00676791" w:rsidRPr="002B2C82" w14:paraId="53AE25A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8AA3DAC" w14:textId="77777777" w:rsidR="00676791" w:rsidRPr="00690976" w:rsidRDefault="00676791">
            <w:pPr>
              <w:rPr>
                <w:rFonts w:cstheme="minorHAnsi"/>
                <w:szCs w:val="96"/>
              </w:rPr>
            </w:pPr>
            <w:r w:rsidRPr="00690976">
              <w:rPr>
                <w:rFonts w:cstheme="minorHAnsi"/>
                <w:szCs w:val="96"/>
              </w:rPr>
              <w:t>FAS</w:t>
            </w:r>
          </w:p>
        </w:tc>
        <w:tc>
          <w:tcPr>
            <w:tcW w:w="7167" w:type="dxa"/>
          </w:tcPr>
          <w:p w14:paraId="260CCA00"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96"/>
              </w:rPr>
            </w:pPr>
            <w:r w:rsidRPr="00690976">
              <w:rPr>
                <w:szCs w:val="96"/>
              </w:rPr>
              <w:t>Full analysis set</w:t>
            </w:r>
          </w:p>
        </w:tc>
      </w:tr>
      <w:tr w:rsidR="00676791" w:rsidRPr="002B2C82" w14:paraId="2D4CA2C8"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AE79F0E" w14:textId="77777777" w:rsidR="00676791" w:rsidRPr="00690976" w:rsidRDefault="00676791">
            <w:pPr>
              <w:rPr>
                <w:rFonts w:cstheme="minorHAnsi"/>
                <w:szCs w:val="48"/>
              </w:rPr>
            </w:pPr>
            <w:proofErr w:type="spellStart"/>
            <w:r w:rsidRPr="00690976">
              <w:rPr>
                <w:rFonts w:cstheme="minorHAnsi"/>
                <w:szCs w:val="56"/>
              </w:rPr>
              <w:t>fIX</w:t>
            </w:r>
            <w:proofErr w:type="spellEnd"/>
          </w:p>
        </w:tc>
        <w:tc>
          <w:tcPr>
            <w:tcW w:w="7167" w:type="dxa"/>
          </w:tcPr>
          <w:p w14:paraId="02CDD40D"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8"/>
              </w:rPr>
            </w:pPr>
            <w:r w:rsidRPr="00690976">
              <w:rPr>
                <w:szCs w:val="56"/>
              </w:rPr>
              <w:t>Factor IX</w:t>
            </w:r>
          </w:p>
        </w:tc>
      </w:tr>
      <w:tr w:rsidR="00676791" w:rsidRPr="002B2C82" w14:paraId="069CDAE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0DA501" w14:textId="77777777" w:rsidR="00676791" w:rsidRPr="00690976" w:rsidRDefault="00676791">
            <w:pPr>
              <w:rPr>
                <w:rFonts w:cstheme="minorHAnsi"/>
                <w:szCs w:val="56"/>
              </w:rPr>
            </w:pPr>
            <w:proofErr w:type="spellStart"/>
            <w:r w:rsidRPr="00690976">
              <w:rPr>
                <w:rFonts w:cstheme="minorHAnsi"/>
                <w:szCs w:val="48"/>
              </w:rPr>
              <w:t>fVIII</w:t>
            </w:r>
            <w:proofErr w:type="spellEnd"/>
          </w:p>
        </w:tc>
        <w:tc>
          <w:tcPr>
            <w:tcW w:w="7167" w:type="dxa"/>
          </w:tcPr>
          <w:p w14:paraId="567FF9BE"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56"/>
              </w:rPr>
            </w:pPr>
            <w:r w:rsidRPr="00690976">
              <w:rPr>
                <w:szCs w:val="48"/>
              </w:rPr>
              <w:t>Factor VIII</w:t>
            </w:r>
          </w:p>
        </w:tc>
      </w:tr>
      <w:tr w:rsidR="00676791" w:rsidRPr="002B2C82" w14:paraId="50405E6B"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A865A1C" w14:textId="77777777" w:rsidR="00676791" w:rsidRPr="00690976" w:rsidRDefault="00676791">
            <w:pPr>
              <w:rPr>
                <w:rFonts w:cstheme="minorHAnsi"/>
                <w:szCs w:val="40"/>
              </w:rPr>
            </w:pPr>
            <w:r w:rsidRPr="00690976">
              <w:rPr>
                <w:rFonts w:cstheme="minorHAnsi"/>
                <w:szCs w:val="40"/>
              </w:rPr>
              <w:t>HA</w:t>
            </w:r>
          </w:p>
        </w:tc>
        <w:tc>
          <w:tcPr>
            <w:tcW w:w="7167" w:type="dxa"/>
          </w:tcPr>
          <w:p w14:paraId="1F3BB2A0"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0"/>
              </w:rPr>
            </w:pPr>
            <w:r w:rsidRPr="00690976">
              <w:rPr>
                <w:szCs w:val="40"/>
              </w:rPr>
              <w:t>Haemophilia A</w:t>
            </w:r>
          </w:p>
        </w:tc>
      </w:tr>
      <w:tr w:rsidR="00676791" w:rsidRPr="002B2C82" w14:paraId="43EDC40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07314D9" w14:textId="77777777" w:rsidR="00676791" w:rsidRPr="00690976" w:rsidRDefault="00676791">
            <w:pPr>
              <w:rPr>
                <w:rFonts w:cstheme="minorHAnsi"/>
                <w:szCs w:val="48"/>
              </w:rPr>
            </w:pPr>
            <w:proofErr w:type="spellStart"/>
            <w:r w:rsidRPr="00690976">
              <w:rPr>
                <w:rFonts w:cstheme="minorHAnsi"/>
                <w:szCs w:val="48"/>
              </w:rPr>
              <w:t>HAwI</w:t>
            </w:r>
            <w:proofErr w:type="spellEnd"/>
          </w:p>
        </w:tc>
        <w:tc>
          <w:tcPr>
            <w:tcW w:w="7167" w:type="dxa"/>
          </w:tcPr>
          <w:p w14:paraId="69F3AAD6"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8"/>
              </w:rPr>
            </w:pPr>
            <w:r w:rsidRPr="00690976">
              <w:rPr>
                <w:szCs w:val="48"/>
              </w:rPr>
              <w:t>Haemophilia A with inhibitors</w:t>
            </w:r>
          </w:p>
        </w:tc>
      </w:tr>
      <w:tr w:rsidR="00676791" w:rsidRPr="002B2C82" w14:paraId="44AB045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3875802" w14:textId="77777777" w:rsidR="00676791" w:rsidRPr="00690976" w:rsidRDefault="00676791">
            <w:pPr>
              <w:rPr>
                <w:rFonts w:cstheme="minorHAnsi"/>
                <w:szCs w:val="40"/>
              </w:rPr>
            </w:pPr>
            <w:r w:rsidRPr="00690976">
              <w:rPr>
                <w:rFonts w:cstheme="minorHAnsi"/>
                <w:szCs w:val="40"/>
              </w:rPr>
              <w:t>HB</w:t>
            </w:r>
          </w:p>
        </w:tc>
        <w:tc>
          <w:tcPr>
            <w:tcW w:w="7167" w:type="dxa"/>
          </w:tcPr>
          <w:p w14:paraId="4A47EF10"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0"/>
              </w:rPr>
            </w:pPr>
            <w:r w:rsidRPr="00690976">
              <w:rPr>
                <w:szCs w:val="40"/>
              </w:rPr>
              <w:t>Haemophilia B</w:t>
            </w:r>
          </w:p>
        </w:tc>
      </w:tr>
      <w:tr w:rsidR="00676791" w:rsidRPr="002B2C82" w14:paraId="11CC3A4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FD25B0A" w14:textId="77777777" w:rsidR="00676791" w:rsidRPr="00690976" w:rsidRDefault="00676791">
            <w:pPr>
              <w:rPr>
                <w:rFonts w:cstheme="minorHAnsi"/>
                <w:szCs w:val="48"/>
              </w:rPr>
            </w:pPr>
            <w:proofErr w:type="spellStart"/>
            <w:r w:rsidRPr="00690976">
              <w:rPr>
                <w:rFonts w:cstheme="minorHAnsi"/>
                <w:szCs w:val="48"/>
              </w:rPr>
              <w:t>HBwI</w:t>
            </w:r>
            <w:proofErr w:type="spellEnd"/>
          </w:p>
        </w:tc>
        <w:tc>
          <w:tcPr>
            <w:tcW w:w="7167" w:type="dxa"/>
          </w:tcPr>
          <w:p w14:paraId="73FB7BE0"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8"/>
              </w:rPr>
            </w:pPr>
            <w:r w:rsidRPr="00690976">
              <w:rPr>
                <w:szCs w:val="48"/>
              </w:rPr>
              <w:t>Haemophilia B with inhibitors</w:t>
            </w:r>
          </w:p>
        </w:tc>
      </w:tr>
      <w:tr w:rsidR="00676791" w:rsidRPr="002B2C82" w14:paraId="44D6375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2E4CA60" w14:textId="77777777" w:rsidR="00676791" w:rsidRPr="00690976" w:rsidRDefault="00676791">
            <w:pPr>
              <w:rPr>
                <w:rFonts w:cstheme="minorHAnsi"/>
                <w:szCs w:val="56"/>
              </w:rPr>
            </w:pPr>
            <w:r w:rsidRPr="00690976">
              <w:rPr>
                <w:rFonts w:cstheme="minorHAnsi"/>
                <w:szCs w:val="56"/>
              </w:rPr>
              <w:t>IgG</w:t>
            </w:r>
          </w:p>
        </w:tc>
        <w:tc>
          <w:tcPr>
            <w:tcW w:w="7167" w:type="dxa"/>
          </w:tcPr>
          <w:p w14:paraId="7E34A621"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56"/>
              </w:rPr>
            </w:pPr>
            <w:r w:rsidRPr="00690976">
              <w:rPr>
                <w:szCs w:val="56"/>
              </w:rPr>
              <w:t>Immunoglobulin G</w:t>
            </w:r>
          </w:p>
        </w:tc>
      </w:tr>
      <w:tr w:rsidR="00676791" w:rsidRPr="002B2C82" w14:paraId="2DFF3686"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91638CE" w14:textId="77777777" w:rsidR="00676791" w:rsidRPr="00690976" w:rsidRDefault="00676791">
            <w:pPr>
              <w:rPr>
                <w:rFonts w:cstheme="minorHAnsi"/>
                <w:szCs w:val="96"/>
              </w:rPr>
            </w:pPr>
            <w:r w:rsidRPr="00690976">
              <w:rPr>
                <w:rFonts w:cstheme="minorHAnsi"/>
                <w:szCs w:val="96"/>
              </w:rPr>
              <w:t>ITI</w:t>
            </w:r>
          </w:p>
        </w:tc>
        <w:tc>
          <w:tcPr>
            <w:tcW w:w="7167" w:type="dxa"/>
          </w:tcPr>
          <w:p w14:paraId="148E311F"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96"/>
              </w:rPr>
            </w:pPr>
            <w:r w:rsidRPr="00690976">
              <w:rPr>
                <w:szCs w:val="96"/>
              </w:rPr>
              <w:t>Immune tolerance induction</w:t>
            </w:r>
          </w:p>
        </w:tc>
      </w:tr>
      <w:tr w:rsidR="00676791" w:rsidRPr="002B2C82" w14:paraId="6B31CDB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2DB785D" w14:textId="77777777" w:rsidR="00676791" w:rsidRPr="00690976" w:rsidRDefault="00676791">
            <w:pPr>
              <w:rPr>
                <w:rFonts w:cstheme="minorHAnsi"/>
                <w:szCs w:val="48"/>
              </w:rPr>
            </w:pPr>
            <w:r w:rsidRPr="00690976">
              <w:rPr>
                <w:rFonts w:cstheme="minorHAnsi"/>
                <w:szCs w:val="48"/>
              </w:rPr>
              <w:t>IU</w:t>
            </w:r>
          </w:p>
        </w:tc>
        <w:tc>
          <w:tcPr>
            <w:tcW w:w="7167" w:type="dxa"/>
          </w:tcPr>
          <w:p w14:paraId="28A55EC7"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szCs w:val="48"/>
              </w:rPr>
            </w:pPr>
            <w:r w:rsidRPr="00690976">
              <w:rPr>
                <w:szCs w:val="48"/>
              </w:rPr>
              <w:t>International units</w:t>
            </w:r>
          </w:p>
        </w:tc>
      </w:tr>
      <w:tr w:rsidR="00676791" w:rsidRPr="002B2C82" w14:paraId="61C34A3F"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0AD9BA7" w14:textId="77777777" w:rsidR="00676791" w:rsidRPr="00690976" w:rsidRDefault="00676791">
            <w:pPr>
              <w:rPr>
                <w:rFonts w:cstheme="minorHAnsi"/>
                <w:szCs w:val="32"/>
              </w:rPr>
            </w:pPr>
            <w:proofErr w:type="spellStart"/>
            <w:r w:rsidRPr="00690976">
              <w:rPr>
                <w:iCs/>
                <w:szCs w:val="32"/>
              </w:rPr>
              <w:t>OTexIR</w:t>
            </w:r>
            <w:proofErr w:type="spellEnd"/>
          </w:p>
        </w:tc>
        <w:tc>
          <w:tcPr>
            <w:tcW w:w="7167" w:type="dxa"/>
          </w:tcPr>
          <w:p w14:paraId="4F393C18"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iCs/>
                <w:szCs w:val="32"/>
              </w:rPr>
            </w:pPr>
            <w:r w:rsidRPr="00690976">
              <w:rPr>
                <w:iCs/>
                <w:szCs w:val="32"/>
              </w:rPr>
              <w:t>On treatment without data on initial regimen</w:t>
            </w:r>
          </w:p>
        </w:tc>
      </w:tr>
      <w:tr w:rsidR="00676791" w:rsidRPr="002B2C82" w14:paraId="0E3B0C07"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C043173" w14:textId="77777777" w:rsidR="00676791" w:rsidRPr="00690976" w:rsidRDefault="00676791">
            <w:pPr>
              <w:rPr>
                <w:rFonts w:cstheme="minorHAnsi"/>
                <w:szCs w:val="24"/>
              </w:rPr>
            </w:pPr>
            <w:r w:rsidRPr="00690976">
              <w:rPr>
                <w:rFonts w:cstheme="minorHAnsi"/>
                <w:szCs w:val="24"/>
              </w:rPr>
              <w:t>PD</w:t>
            </w:r>
          </w:p>
        </w:tc>
        <w:tc>
          <w:tcPr>
            <w:tcW w:w="7167" w:type="dxa"/>
          </w:tcPr>
          <w:p w14:paraId="67E9C518"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Pharmacodynamic(s)</w:t>
            </w:r>
          </w:p>
        </w:tc>
      </w:tr>
      <w:tr w:rsidR="00676791" w:rsidRPr="002B2C82" w14:paraId="4FA86C4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A492803" w14:textId="77777777" w:rsidR="00676791" w:rsidRPr="00690976" w:rsidRDefault="00676791">
            <w:pPr>
              <w:rPr>
                <w:rFonts w:cstheme="minorHAnsi"/>
                <w:color w:val="auto"/>
                <w:szCs w:val="22"/>
              </w:rPr>
            </w:pPr>
            <w:r w:rsidRPr="00690976">
              <w:rPr>
                <w:rFonts w:cstheme="minorHAnsi"/>
                <w:color w:val="auto"/>
                <w:szCs w:val="22"/>
              </w:rPr>
              <w:t>PI</w:t>
            </w:r>
          </w:p>
        </w:tc>
        <w:tc>
          <w:tcPr>
            <w:tcW w:w="7167" w:type="dxa"/>
          </w:tcPr>
          <w:p w14:paraId="3390A8CC"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90976">
              <w:rPr>
                <w:rFonts w:cstheme="minorHAnsi"/>
                <w:color w:val="auto"/>
                <w:szCs w:val="22"/>
              </w:rPr>
              <w:t>Product Information</w:t>
            </w:r>
          </w:p>
        </w:tc>
      </w:tr>
      <w:tr w:rsidR="00676791" w:rsidRPr="002B2C82" w14:paraId="23EE62AB"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4FD025" w14:textId="77777777" w:rsidR="00676791" w:rsidRPr="00690976" w:rsidRDefault="00676791">
            <w:pPr>
              <w:rPr>
                <w:rFonts w:cstheme="minorHAnsi"/>
                <w:szCs w:val="24"/>
              </w:rPr>
            </w:pPr>
            <w:r w:rsidRPr="00690976">
              <w:rPr>
                <w:rFonts w:cstheme="minorHAnsi"/>
                <w:szCs w:val="24"/>
              </w:rPr>
              <w:t>PK</w:t>
            </w:r>
          </w:p>
        </w:tc>
        <w:tc>
          <w:tcPr>
            <w:tcW w:w="7167" w:type="dxa"/>
          </w:tcPr>
          <w:p w14:paraId="0FF0CCD3"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Pharmacokinetic(s)</w:t>
            </w:r>
          </w:p>
        </w:tc>
      </w:tr>
      <w:tr w:rsidR="00676791" w:rsidRPr="002B2C82" w14:paraId="28763B3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B4BED73" w14:textId="77777777" w:rsidR="00676791" w:rsidRPr="00690976" w:rsidRDefault="00676791">
            <w:pPr>
              <w:rPr>
                <w:rFonts w:cstheme="minorHAnsi"/>
                <w:szCs w:val="32"/>
              </w:rPr>
            </w:pPr>
            <w:r w:rsidRPr="00690976">
              <w:rPr>
                <w:rFonts w:cstheme="minorHAnsi"/>
                <w:szCs w:val="32"/>
              </w:rPr>
              <w:t>PPX</w:t>
            </w:r>
          </w:p>
        </w:tc>
        <w:tc>
          <w:tcPr>
            <w:tcW w:w="7167" w:type="dxa"/>
          </w:tcPr>
          <w:p w14:paraId="7AE11882"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32"/>
              </w:rPr>
            </w:pPr>
            <w:r w:rsidRPr="00690976">
              <w:rPr>
                <w:rFonts w:cstheme="minorHAnsi"/>
                <w:szCs w:val="32"/>
              </w:rPr>
              <w:t>Prophylaxis</w:t>
            </w:r>
          </w:p>
        </w:tc>
      </w:tr>
      <w:tr w:rsidR="00676791" w:rsidRPr="002B2C82" w14:paraId="499B2BBA"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ACAC742" w14:textId="77777777" w:rsidR="00676791" w:rsidRPr="006B2645" w:rsidRDefault="00676791">
            <w:pPr>
              <w:rPr>
                <w:rFonts w:cstheme="minorHAnsi"/>
                <w:szCs w:val="32"/>
              </w:rPr>
            </w:pPr>
            <w:r w:rsidRPr="006B2645">
              <w:rPr>
                <w:rFonts w:cstheme="minorHAnsi"/>
                <w:szCs w:val="32"/>
              </w:rPr>
              <w:t>PSUR</w:t>
            </w:r>
          </w:p>
        </w:tc>
        <w:tc>
          <w:tcPr>
            <w:tcW w:w="7167" w:type="dxa"/>
          </w:tcPr>
          <w:p w14:paraId="304B08BE" w14:textId="77777777" w:rsidR="00676791" w:rsidRPr="006B2645" w:rsidRDefault="00676791">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32"/>
              </w:rPr>
            </w:pPr>
            <w:r w:rsidRPr="006B2645">
              <w:rPr>
                <w:szCs w:val="24"/>
              </w:rPr>
              <w:t>Periodic safety update report</w:t>
            </w:r>
          </w:p>
        </w:tc>
      </w:tr>
      <w:tr w:rsidR="00676791" w:rsidRPr="002B2C82" w14:paraId="5221C0F5"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E95C14" w14:textId="77777777" w:rsidR="00676791" w:rsidRPr="00690976" w:rsidRDefault="00676791">
            <w:pPr>
              <w:rPr>
                <w:rFonts w:cstheme="minorHAnsi"/>
                <w:szCs w:val="24"/>
              </w:rPr>
            </w:pPr>
            <w:proofErr w:type="spellStart"/>
            <w:r w:rsidRPr="00690976">
              <w:rPr>
                <w:rFonts w:cstheme="minorHAnsi"/>
                <w:szCs w:val="24"/>
              </w:rPr>
              <w:t>rfVIIa</w:t>
            </w:r>
            <w:proofErr w:type="spellEnd"/>
          </w:p>
        </w:tc>
        <w:tc>
          <w:tcPr>
            <w:tcW w:w="7167" w:type="dxa"/>
          </w:tcPr>
          <w:p w14:paraId="737E5F7A"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szCs w:val="24"/>
              </w:rPr>
              <w:t>Recombinant activated factor VII</w:t>
            </w:r>
          </w:p>
        </w:tc>
      </w:tr>
      <w:tr w:rsidR="00676791" w:rsidRPr="002B2C82" w14:paraId="6ACD8C8E"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3F457BC" w14:textId="77777777" w:rsidR="00676791" w:rsidRPr="00690976" w:rsidRDefault="00676791">
            <w:pPr>
              <w:rPr>
                <w:rFonts w:cstheme="minorHAnsi"/>
                <w:color w:val="auto"/>
                <w:szCs w:val="22"/>
              </w:rPr>
            </w:pPr>
            <w:r w:rsidRPr="00690976">
              <w:rPr>
                <w:rFonts w:cstheme="minorHAnsi"/>
                <w:color w:val="auto"/>
                <w:szCs w:val="22"/>
              </w:rPr>
              <w:t>RMP</w:t>
            </w:r>
          </w:p>
        </w:tc>
        <w:tc>
          <w:tcPr>
            <w:tcW w:w="7167" w:type="dxa"/>
          </w:tcPr>
          <w:p w14:paraId="7FD6B43D"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90976">
              <w:rPr>
                <w:rFonts w:cstheme="minorHAnsi"/>
                <w:color w:val="auto"/>
                <w:szCs w:val="22"/>
              </w:rPr>
              <w:t>Risk management plan</w:t>
            </w:r>
          </w:p>
        </w:tc>
      </w:tr>
      <w:tr w:rsidR="00676791" w:rsidRPr="002B2C82" w14:paraId="665B6288"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A96224A" w14:textId="77777777" w:rsidR="00676791" w:rsidRPr="00690976" w:rsidRDefault="00676791">
            <w:pPr>
              <w:rPr>
                <w:rFonts w:cstheme="minorHAnsi"/>
                <w:szCs w:val="32"/>
              </w:rPr>
            </w:pPr>
            <w:r w:rsidRPr="00690976">
              <w:rPr>
                <w:rFonts w:cstheme="minorHAnsi"/>
                <w:szCs w:val="32"/>
              </w:rPr>
              <w:t>SAS</w:t>
            </w:r>
          </w:p>
        </w:tc>
        <w:tc>
          <w:tcPr>
            <w:tcW w:w="7167" w:type="dxa"/>
          </w:tcPr>
          <w:p w14:paraId="1CAE50B8"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szCs w:val="32"/>
              </w:rPr>
            </w:pPr>
            <w:r w:rsidRPr="00690976">
              <w:rPr>
                <w:szCs w:val="32"/>
              </w:rPr>
              <w:t>Safety analysis set</w:t>
            </w:r>
          </w:p>
        </w:tc>
      </w:tr>
      <w:tr w:rsidR="00676791" w:rsidRPr="002B2C82" w14:paraId="48930C41"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ADFE461" w14:textId="77777777" w:rsidR="00676791" w:rsidRPr="00690976" w:rsidRDefault="00676791">
            <w:pPr>
              <w:rPr>
                <w:rFonts w:cstheme="minorHAnsi"/>
                <w:szCs w:val="24"/>
              </w:rPr>
            </w:pPr>
            <w:r w:rsidRPr="00690976">
              <w:rPr>
                <w:rFonts w:cstheme="minorHAnsi"/>
                <w:szCs w:val="24"/>
              </w:rPr>
              <w:t>SC</w:t>
            </w:r>
          </w:p>
        </w:tc>
        <w:tc>
          <w:tcPr>
            <w:tcW w:w="7167" w:type="dxa"/>
          </w:tcPr>
          <w:p w14:paraId="5A49496F"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szCs w:val="24"/>
              </w:rPr>
              <w:t>Subcutaneous</w:t>
            </w:r>
          </w:p>
        </w:tc>
      </w:tr>
      <w:tr w:rsidR="00676791" w:rsidRPr="002B2C82" w14:paraId="6FB16F6D"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49E6CA" w14:textId="77777777" w:rsidR="00676791" w:rsidRPr="00690976" w:rsidRDefault="00676791">
            <w:pPr>
              <w:rPr>
                <w:rFonts w:cstheme="minorHAnsi"/>
                <w:szCs w:val="32"/>
              </w:rPr>
            </w:pPr>
            <w:r w:rsidRPr="00690976">
              <w:rPr>
                <w:rFonts w:cstheme="minorHAnsi"/>
                <w:szCs w:val="32"/>
              </w:rPr>
              <w:t>SD</w:t>
            </w:r>
          </w:p>
        </w:tc>
        <w:tc>
          <w:tcPr>
            <w:tcW w:w="7167" w:type="dxa"/>
          </w:tcPr>
          <w:p w14:paraId="4A27B0AB"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szCs w:val="32"/>
              </w:rPr>
            </w:pPr>
            <w:r w:rsidRPr="00690976">
              <w:rPr>
                <w:szCs w:val="32"/>
              </w:rPr>
              <w:t>Standard deviation</w:t>
            </w:r>
          </w:p>
        </w:tc>
      </w:tr>
      <w:tr w:rsidR="00676791" w:rsidRPr="002B2C82" w14:paraId="6DF43C13"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50CAA9A" w14:textId="77777777" w:rsidR="00676791" w:rsidRPr="00690976" w:rsidRDefault="00676791">
            <w:pPr>
              <w:rPr>
                <w:rFonts w:cstheme="minorHAnsi"/>
                <w:szCs w:val="24"/>
              </w:rPr>
            </w:pPr>
            <w:r w:rsidRPr="00690976">
              <w:rPr>
                <w:szCs w:val="24"/>
              </w:rPr>
              <w:lastRenderedPageBreak/>
              <w:t>SF-36v2</w:t>
            </w:r>
          </w:p>
        </w:tc>
        <w:tc>
          <w:tcPr>
            <w:tcW w:w="7167" w:type="dxa"/>
          </w:tcPr>
          <w:p w14:paraId="51F98F1D" w14:textId="77777777" w:rsidR="00676791" w:rsidRPr="00690976" w:rsidRDefault="00676791">
            <w:pPr>
              <w:tabs>
                <w:tab w:val="center" w:pos="3532"/>
              </w:tabs>
              <w:cnfStyle w:val="000000000000" w:firstRow="0" w:lastRow="0" w:firstColumn="0" w:lastColumn="0" w:oddVBand="0" w:evenVBand="0" w:oddHBand="0" w:evenHBand="0" w:firstRowFirstColumn="0" w:firstRowLastColumn="0" w:lastRowFirstColumn="0" w:lastRowLastColumn="0"/>
              <w:rPr>
                <w:szCs w:val="24"/>
              </w:rPr>
            </w:pPr>
            <w:r w:rsidRPr="00690976">
              <w:rPr>
                <w:szCs w:val="24"/>
              </w:rPr>
              <w:t>36-item short form health survey version 2 questionnaire</w:t>
            </w:r>
          </w:p>
        </w:tc>
      </w:tr>
      <w:tr w:rsidR="00676791" w:rsidRPr="002B2C82" w14:paraId="6E9AC3C8"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DB19E5C" w14:textId="77777777" w:rsidR="00676791" w:rsidRPr="00690976" w:rsidRDefault="00676791">
            <w:pPr>
              <w:rPr>
                <w:rFonts w:cstheme="minorHAnsi"/>
                <w:szCs w:val="24"/>
              </w:rPr>
            </w:pPr>
            <w:r w:rsidRPr="00690976">
              <w:rPr>
                <w:rFonts w:cstheme="minorHAnsi"/>
                <w:szCs w:val="24"/>
              </w:rPr>
              <w:t>TF</w:t>
            </w:r>
          </w:p>
        </w:tc>
        <w:tc>
          <w:tcPr>
            <w:tcW w:w="7167" w:type="dxa"/>
          </w:tcPr>
          <w:p w14:paraId="32151A32"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Tissue factor</w:t>
            </w:r>
          </w:p>
        </w:tc>
      </w:tr>
      <w:tr w:rsidR="00676791" w:rsidRPr="002B2C82" w14:paraId="661BD4A9"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255C4C5" w14:textId="77777777" w:rsidR="00676791" w:rsidRPr="00690976" w:rsidRDefault="00676791">
            <w:pPr>
              <w:rPr>
                <w:rFonts w:cstheme="minorHAnsi"/>
                <w:szCs w:val="24"/>
              </w:rPr>
            </w:pPr>
            <w:r w:rsidRPr="00690976">
              <w:rPr>
                <w:rFonts w:cstheme="minorHAnsi"/>
                <w:szCs w:val="24"/>
              </w:rPr>
              <w:t>TFPI</w:t>
            </w:r>
          </w:p>
        </w:tc>
        <w:tc>
          <w:tcPr>
            <w:tcW w:w="7167" w:type="dxa"/>
          </w:tcPr>
          <w:p w14:paraId="6F6A8FCE"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szCs w:val="24"/>
              </w:rPr>
            </w:pPr>
            <w:r w:rsidRPr="00690976">
              <w:rPr>
                <w:rFonts w:cstheme="minorHAnsi"/>
                <w:szCs w:val="24"/>
              </w:rPr>
              <w:t>Tissue factor pathway inhibitor</w:t>
            </w:r>
          </w:p>
        </w:tc>
      </w:tr>
      <w:tr w:rsidR="00676791" w:rsidRPr="002B2C82" w14:paraId="7709F0AC" w14:textId="7777777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4BA36ED" w14:textId="77777777" w:rsidR="00676791" w:rsidRPr="00690976" w:rsidRDefault="00676791">
            <w:pPr>
              <w:rPr>
                <w:rFonts w:cstheme="minorHAnsi"/>
                <w:color w:val="auto"/>
                <w:szCs w:val="22"/>
              </w:rPr>
            </w:pPr>
            <w:r w:rsidRPr="00690976">
              <w:rPr>
                <w:rFonts w:cstheme="minorHAnsi"/>
                <w:color w:val="auto"/>
                <w:szCs w:val="22"/>
              </w:rPr>
              <w:t>TGA</w:t>
            </w:r>
          </w:p>
        </w:tc>
        <w:tc>
          <w:tcPr>
            <w:tcW w:w="7167" w:type="dxa"/>
          </w:tcPr>
          <w:p w14:paraId="06DA12A5" w14:textId="77777777" w:rsidR="00676791" w:rsidRPr="00690976" w:rsidRDefault="00676791">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690976">
              <w:rPr>
                <w:rFonts w:cstheme="minorHAnsi"/>
                <w:color w:val="auto"/>
                <w:szCs w:val="22"/>
              </w:rPr>
              <w:t>Therapeutic Goods Administration</w:t>
            </w:r>
          </w:p>
        </w:tc>
      </w:tr>
      <w:bookmarkEnd w:id="8"/>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F1164A9" w:rsidR="00324B33" w:rsidRDefault="00324B33" w:rsidP="00324B33">
      <w:pPr>
        <w:pStyle w:val="Heading2"/>
      </w:pPr>
      <w:bookmarkStart w:id="9" w:name="_Toc103679288"/>
      <w:bookmarkStart w:id="10" w:name="_Toc160786369"/>
      <w:r>
        <w:lastRenderedPageBreak/>
        <w:t>Product submission</w:t>
      </w:r>
      <w:bookmarkEnd w:id="9"/>
      <w:bookmarkEnd w:id="10"/>
      <w:r w:rsidR="0048603E">
        <w:fldChar w:fldCharType="begin"/>
      </w:r>
      <w:r w:rsidR="0048603E">
        <w:instrText xml:space="preserve"> DOCVARIABLE vault_nd_bc08daad-19c6-4b99-807a-ba5983c31aac \* MERGEFORMAT </w:instrText>
      </w:r>
      <w:r w:rsidR="0048603E">
        <w:fldChar w:fldCharType="separate"/>
      </w:r>
      <w:r w:rsidR="001B5D20">
        <w:t xml:space="preserve"> </w:t>
      </w:r>
      <w:r w:rsidR="0048603E">
        <w:fldChar w:fldCharType="end"/>
      </w:r>
    </w:p>
    <w:p w14:paraId="21D559DF" w14:textId="505904D8" w:rsidR="00324B33" w:rsidRDefault="00324B33" w:rsidP="00324B33">
      <w:pPr>
        <w:pStyle w:val="Heading3"/>
        <w:rPr>
          <w:lang w:eastAsia="en-AU"/>
        </w:rPr>
      </w:pPr>
      <w:bookmarkStart w:id="11" w:name="_Toc247691502"/>
      <w:bookmarkStart w:id="12" w:name="_Toc314842483"/>
      <w:bookmarkStart w:id="13" w:name="_Toc103679289"/>
      <w:bookmarkStart w:id="14" w:name="_Toc160786370"/>
      <w:r>
        <w:rPr>
          <w:lang w:eastAsia="en-AU"/>
        </w:rPr>
        <w:t>Submission details</w:t>
      </w:r>
      <w:bookmarkEnd w:id="11"/>
      <w:bookmarkEnd w:id="12"/>
      <w:bookmarkEnd w:id="13"/>
      <w:bookmarkEnd w:id="14"/>
      <w:r w:rsidR="0048603E">
        <w:rPr>
          <w:lang w:eastAsia="en-AU"/>
        </w:rPr>
        <w:fldChar w:fldCharType="begin"/>
      </w:r>
      <w:r w:rsidR="0048603E">
        <w:rPr>
          <w:lang w:eastAsia="en-AU"/>
        </w:rPr>
        <w:instrText xml:space="preserve"> DOCVARIABLE vault_nd_949dfc6d-dd1f-4b6d-91d1-bdfdd6cf6e54 \* MERGEFORMAT </w:instrText>
      </w:r>
      <w:r w:rsidR="0048603E">
        <w:rPr>
          <w:lang w:eastAsia="en-AU"/>
        </w:rPr>
        <w:fldChar w:fldCharType="separate"/>
      </w:r>
      <w:r w:rsidR="001B5D20">
        <w:rPr>
          <w:lang w:eastAsia="en-AU"/>
        </w:rPr>
        <w:t xml:space="preserve"> </w:t>
      </w:r>
      <w:r w:rsidR="0048603E">
        <w:rPr>
          <w:lang w:eastAsia="en-AU"/>
        </w:rPr>
        <w:fldChar w:fldCharType="end"/>
      </w:r>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77777777" w:rsidR="00324B33" w:rsidRPr="00BD5DBD" w:rsidRDefault="00324B33" w:rsidP="007452E8">
            <w:pPr>
              <w:rPr>
                <w:i/>
                <w:szCs w:val="22"/>
              </w:rPr>
            </w:pPr>
            <w:r w:rsidRPr="00BD5DBD">
              <w:rPr>
                <w:i/>
                <w:szCs w:val="22"/>
              </w:rPr>
              <w:t>Type of submission:</w:t>
            </w:r>
          </w:p>
        </w:tc>
        <w:tc>
          <w:tcPr>
            <w:tcW w:w="3423" w:type="pct"/>
          </w:tcPr>
          <w:p w14:paraId="4F07C303" w14:textId="4E2AF964" w:rsidR="00324B33" w:rsidRPr="00BD5DBD" w:rsidRDefault="00324B33" w:rsidP="007452E8">
            <w:pPr>
              <w:rPr>
                <w:szCs w:val="22"/>
              </w:rPr>
            </w:pPr>
            <w:r w:rsidRPr="00BD5DBD">
              <w:rPr>
                <w:szCs w:val="22"/>
              </w:rPr>
              <w:t xml:space="preserve">New </w:t>
            </w:r>
            <w:r w:rsidR="009267AB">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7B87180F" w:rsidR="00324B33" w:rsidRPr="00BD5DBD" w:rsidRDefault="00324B33" w:rsidP="007452E8">
            <w:pPr>
              <w:rPr>
                <w:i/>
                <w:szCs w:val="22"/>
              </w:rPr>
            </w:pPr>
            <w:r w:rsidRPr="00BD5DBD">
              <w:rPr>
                <w:i/>
                <w:szCs w:val="22"/>
              </w:rPr>
              <w:t>Product name:</w:t>
            </w:r>
          </w:p>
        </w:tc>
        <w:tc>
          <w:tcPr>
            <w:tcW w:w="3423" w:type="pct"/>
          </w:tcPr>
          <w:p w14:paraId="0E2DEF76" w14:textId="66B10A0D" w:rsidR="00324B33" w:rsidRPr="00BD5DBD" w:rsidRDefault="009267AB" w:rsidP="007452E8">
            <w:pPr>
              <w:rPr>
                <w:szCs w:val="22"/>
              </w:rPr>
            </w:pPr>
            <w:r>
              <w:rPr>
                <w:szCs w:val="22"/>
              </w:rPr>
              <w:t>Alhemo</w:t>
            </w:r>
          </w:p>
        </w:tc>
      </w:tr>
      <w:tr w:rsidR="00324B33" w:rsidRPr="00BD5DBD" w14:paraId="01255B5B" w14:textId="77777777" w:rsidTr="00F865A7">
        <w:tc>
          <w:tcPr>
            <w:tcW w:w="1577" w:type="pct"/>
          </w:tcPr>
          <w:p w14:paraId="52B4F3D7" w14:textId="04BC1D49" w:rsidR="00324B33" w:rsidRPr="00BD5DBD" w:rsidRDefault="00324B33" w:rsidP="007452E8">
            <w:pPr>
              <w:rPr>
                <w:i/>
                <w:szCs w:val="22"/>
              </w:rPr>
            </w:pPr>
            <w:r w:rsidRPr="00BD5DBD">
              <w:rPr>
                <w:i/>
                <w:szCs w:val="22"/>
              </w:rPr>
              <w:t>Active ingredient:</w:t>
            </w:r>
          </w:p>
        </w:tc>
        <w:tc>
          <w:tcPr>
            <w:tcW w:w="3423" w:type="pct"/>
          </w:tcPr>
          <w:p w14:paraId="02FB6383" w14:textId="731DB640" w:rsidR="00324B33" w:rsidRPr="00BD5DBD" w:rsidRDefault="009267AB" w:rsidP="007452E8">
            <w:pPr>
              <w:rPr>
                <w:szCs w:val="22"/>
              </w:rPr>
            </w:pPr>
            <w:r>
              <w:t>C</w:t>
            </w:r>
            <w:r w:rsidRPr="00997899">
              <w:t>oncizumab</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40F20E33"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1623C933" w:rsidR="00AE1947" w:rsidRPr="00B968BE" w:rsidRDefault="00AE1947" w:rsidP="00B968BE">
            <w:pPr>
              <w:rPr>
                <w:i/>
                <w:szCs w:val="22"/>
              </w:rPr>
            </w:pPr>
            <w:r w:rsidRPr="00BD5DBD">
              <w:rPr>
                <w:i/>
                <w:szCs w:val="22"/>
              </w:rPr>
              <w:t>Date of decision:</w:t>
            </w:r>
          </w:p>
        </w:tc>
        <w:tc>
          <w:tcPr>
            <w:tcW w:w="3423" w:type="pct"/>
          </w:tcPr>
          <w:p w14:paraId="7B381CD6" w14:textId="5B84952B" w:rsidR="00AE1947" w:rsidRPr="00BD5DBD" w:rsidRDefault="009267AB">
            <w:pPr>
              <w:rPr>
                <w:szCs w:val="22"/>
              </w:rPr>
            </w:pPr>
            <w:r>
              <w:rPr>
                <w:szCs w:val="22"/>
              </w:rPr>
              <w:t>3 July 2023</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C84F969" w:rsidR="00324B33" w:rsidRPr="00BD5DBD" w:rsidRDefault="009267AB" w:rsidP="007452E8">
            <w:pPr>
              <w:rPr>
                <w:szCs w:val="22"/>
              </w:rPr>
            </w:pPr>
            <w:r>
              <w:rPr>
                <w:szCs w:val="22"/>
              </w:rPr>
              <w:t>5 July 2023</w:t>
            </w:r>
            <w:r w:rsidR="00324B33" w:rsidRPr="00BD5DBD">
              <w:rPr>
                <w:szCs w:val="22"/>
              </w:rPr>
              <w:t xml:space="preserve"> </w:t>
            </w:r>
          </w:p>
        </w:tc>
      </w:tr>
      <w:tr w:rsidR="00324B33" w:rsidRPr="00BD5DBD" w14:paraId="547E08D7" w14:textId="77777777" w:rsidTr="00F865A7">
        <w:tc>
          <w:tcPr>
            <w:tcW w:w="1577" w:type="pct"/>
          </w:tcPr>
          <w:p w14:paraId="5030EF30" w14:textId="58C2975F" w:rsidR="00324B33" w:rsidRPr="00BD5DBD" w:rsidRDefault="00324B33" w:rsidP="007452E8">
            <w:pPr>
              <w:rPr>
                <w:i/>
                <w:szCs w:val="22"/>
              </w:rPr>
            </w:pPr>
            <w:r w:rsidRPr="00BD5DBD">
              <w:rPr>
                <w:i/>
                <w:szCs w:val="22"/>
              </w:rPr>
              <w:t>ARTG number</w:t>
            </w:r>
            <w:r w:rsidR="009267AB">
              <w:rPr>
                <w:i/>
                <w:szCs w:val="22"/>
              </w:rPr>
              <w:t>s</w:t>
            </w:r>
            <w:r w:rsidRPr="00BD5DBD">
              <w:rPr>
                <w:i/>
                <w:szCs w:val="22"/>
              </w:rPr>
              <w:t>:</w:t>
            </w:r>
          </w:p>
        </w:tc>
        <w:tc>
          <w:tcPr>
            <w:tcW w:w="3423" w:type="pct"/>
          </w:tcPr>
          <w:p w14:paraId="0054E912" w14:textId="34D56911" w:rsidR="00324B33" w:rsidRPr="00BD5DBD" w:rsidRDefault="009267AB" w:rsidP="007452E8">
            <w:pPr>
              <w:rPr>
                <w:szCs w:val="22"/>
              </w:rPr>
            </w:pPr>
            <w:r w:rsidRPr="009267AB">
              <w:t>394065, 394067, 394068 and 394066</w:t>
            </w:r>
          </w:p>
        </w:tc>
      </w:tr>
      <w:tr w:rsidR="00324B33" w:rsidRPr="00BD5DBD" w14:paraId="7618393F" w14:textId="77777777" w:rsidTr="00F865A7">
        <w:tc>
          <w:tcPr>
            <w:tcW w:w="1577" w:type="pct"/>
          </w:tcPr>
          <w:p w14:paraId="6C24CEB6" w14:textId="6C8457C4" w:rsidR="00E47E0C" w:rsidRPr="00BD5DBD" w:rsidRDefault="00324B33" w:rsidP="007452E8">
            <w:pPr>
              <w:rPr>
                <w:rStyle w:val="Hyperlink"/>
                <w:i/>
                <w:szCs w:val="22"/>
              </w:rPr>
            </w:pPr>
            <w:r w:rsidRPr="00BD5DBD">
              <w:rPr>
                <w:rFonts w:ascii="Wingdings 3" w:hAnsi="Wingdings 3"/>
                <w:szCs w:val="22"/>
                <w:lang w:eastAsia="en-AU"/>
              </w:rPr>
              <w:t></w:t>
            </w:r>
            <w:hyperlink r:id="rId18"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38D2B6D9"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5DB5A9" w14:textId="77777777" w:rsidR="00324B33" w:rsidRDefault="009267AB" w:rsidP="007452E8">
            <w:pPr>
              <w:rPr>
                <w:szCs w:val="22"/>
              </w:rPr>
            </w:pPr>
            <w:r w:rsidRPr="009267AB">
              <w:rPr>
                <w:szCs w:val="22"/>
              </w:rPr>
              <w:t>Novo Nordisk Pharmaceuticals Pty Ltd</w:t>
            </w:r>
          </w:p>
          <w:p w14:paraId="68DD94B0" w14:textId="586DAE74" w:rsidR="009267AB" w:rsidRPr="00BD5DBD" w:rsidRDefault="009267AB" w:rsidP="007452E8">
            <w:pPr>
              <w:rPr>
                <w:szCs w:val="22"/>
              </w:rPr>
            </w:pPr>
            <w:r w:rsidRPr="009267AB">
              <w:rPr>
                <w:szCs w:val="22"/>
              </w:rPr>
              <w:t>Level 10/ 118 Mount Street North Sydney, NSW 2060</w:t>
            </w:r>
          </w:p>
        </w:tc>
      </w:tr>
      <w:tr w:rsidR="00324B33" w:rsidRPr="00BD5DBD" w14:paraId="5322B989" w14:textId="77777777" w:rsidTr="00F865A7">
        <w:tc>
          <w:tcPr>
            <w:tcW w:w="1577" w:type="pct"/>
          </w:tcPr>
          <w:p w14:paraId="24F217E3" w14:textId="04B83C34" w:rsidR="00324B33" w:rsidRPr="00BD5DBD" w:rsidRDefault="00324B33" w:rsidP="007452E8">
            <w:pPr>
              <w:rPr>
                <w:i/>
                <w:szCs w:val="22"/>
              </w:rPr>
            </w:pPr>
            <w:r w:rsidRPr="00BD5DBD">
              <w:rPr>
                <w:i/>
                <w:szCs w:val="22"/>
              </w:rPr>
              <w:t>Dose form:</w:t>
            </w:r>
          </w:p>
        </w:tc>
        <w:tc>
          <w:tcPr>
            <w:tcW w:w="3423" w:type="pct"/>
          </w:tcPr>
          <w:p w14:paraId="768B254C" w14:textId="2C4DF3D1" w:rsidR="00324B33" w:rsidRPr="00BD5DBD" w:rsidRDefault="009267AB" w:rsidP="007452E8">
            <w:pPr>
              <w:rPr>
                <w:szCs w:val="22"/>
              </w:rPr>
            </w:pPr>
            <w:r>
              <w:rPr>
                <w:szCs w:val="22"/>
              </w:rPr>
              <w:t>Solution for injection</w:t>
            </w:r>
          </w:p>
        </w:tc>
      </w:tr>
      <w:tr w:rsidR="00324B33" w:rsidRPr="00BD5DBD" w14:paraId="115243E6" w14:textId="77777777" w:rsidTr="00F865A7">
        <w:tc>
          <w:tcPr>
            <w:tcW w:w="1577" w:type="pct"/>
          </w:tcPr>
          <w:p w14:paraId="7634B062" w14:textId="78697216" w:rsidR="00324B33" w:rsidRPr="00BD5DBD" w:rsidRDefault="00324B33" w:rsidP="007452E8">
            <w:pPr>
              <w:rPr>
                <w:i/>
                <w:szCs w:val="22"/>
              </w:rPr>
            </w:pPr>
            <w:r w:rsidRPr="00BD5DBD">
              <w:rPr>
                <w:i/>
                <w:szCs w:val="22"/>
              </w:rPr>
              <w:t>Strength</w:t>
            </w:r>
            <w:r w:rsidR="009267AB">
              <w:rPr>
                <w:i/>
                <w:szCs w:val="22"/>
              </w:rPr>
              <w:t>s</w:t>
            </w:r>
            <w:r w:rsidRPr="00BD5DBD">
              <w:rPr>
                <w:i/>
                <w:szCs w:val="22"/>
              </w:rPr>
              <w:t>:</w:t>
            </w:r>
          </w:p>
        </w:tc>
        <w:tc>
          <w:tcPr>
            <w:tcW w:w="3423" w:type="pct"/>
          </w:tcPr>
          <w:p w14:paraId="5E5F83DB" w14:textId="6DF53126" w:rsidR="00324B33" w:rsidRPr="00BD5DBD" w:rsidRDefault="009267AB" w:rsidP="007452E8">
            <w:pPr>
              <w:rPr>
                <w:szCs w:val="22"/>
              </w:rPr>
            </w:pPr>
            <w:r w:rsidRPr="009267AB">
              <w:rPr>
                <w:szCs w:val="22"/>
              </w:rPr>
              <w:t>10 mg/mL, 40 mg/</w:t>
            </w:r>
            <w:proofErr w:type="gramStart"/>
            <w:r w:rsidRPr="009267AB">
              <w:rPr>
                <w:szCs w:val="22"/>
              </w:rPr>
              <w:t>mL</w:t>
            </w:r>
            <w:proofErr w:type="gramEnd"/>
            <w:r w:rsidRPr="009267AB">
              <w:rPr>
                <w:szCs w:val="22"/>
              </w:rPr>
              <w:t xml:space="preserve"> and 100 mg/mL</w:t>
            </w:r>
          </w:p>
        </w:tc>
      </w:tr>
      <w:tr w:rsidR="00324B33" w:rsidRPr="00BD5DBD" w14:paraId="34B07BA6" w14:textId="77777777" w:rsidTr="00F865A7">
        <w:tc>
          <w:tcPr>
            <w:tcW w:w="1577" w:type="pct"/>
          </w:tcPr>
          <w:p w14:paraId="1C039224" w14:textId="4619D1E1" w:rsidR="00324B33" w:rsidRPr="00BD5DBD" w:rsidRDefault="00324B33" w:rsidP="007452E8">
            <w:pPr>
              <w:rPr>
                <w:i/>
                <w:szCs w:val="22"/>
              </w:rPr>
            </w:pPr>
            <w:r w:rsidRPr="00BD5DBD">
              <w:rPr>
                <w:i/>
                <w:szCs w:val="22"/>
              </w:rPr>
              <w:t>Container:</w:t>
            </w:r>
          </w:p>
        </w:tc>
        <w:tc>
          <w:tcPr>
            <w:tcW w:w="3423" w:type="pct"/>
          </w:tcPr>
          <w:p w14:paraId="500A42C6" w14:textId="507DA01F" w:rsidR="00324B33" w:rsidRPr="00BD5DBD" w:rsidRDefault="009267AB" w:rsidP="007452E8">
            <w:pPr>
              <w:rPr>
                <w:szCs w:val="22"/>
              </w:rPr>
            </w:pPr>
            <w:r>
              <w:rPr>
                <w:szCs w:val="22"/>
              </w:rPr>
              <w:t>Pre-filled pen</w:t>
            </w:r>
          </w:p>
        </w:tc>
      </w:tr>
      <w:tr w:rsidR="00324B33" w:rsidRPr="00BD5DBD" w14:paraId="176B6773" w14:textId="77777777" w:rsidTr="00F865A7">
        <w:tc>
          <w:tcPr>
            <w:tcW w:w="1577" w:type="pct"/>
          </w:tcPr>
          <w:p w14:paraId="71846159" w14:textId="4622C9FA" w:rsidR="00324B33" w:rsidRPr="00BD5DBD" w:rsidRDefault="00324B33" w:rsidP="007452E8">
            <w:pPr>
              <w:rPr>
                <w:i/>
                <w:szCs w:val="22"/>
              </w:rPr>
            </w:pPr>
            <w:r w:rsidRPr="00BD5DBD">
              <w:rPr>
                <w:i/>
                <w:szCs w:val="22"/>
              </w:rPr>
              <w:t>Pack size:</w:t>
            </w:r>
          </w:p>
        </w:tc>
        <w:tc>
          <w:tcPr>
            <w:tcW w:w="3423" w:type="pct"/>
          </w:tcPr>
          <w:p w14:paraId="7E978F8F" w14:textId="3066216A" w:rsidR="00324B33" w:rsidRPr="00BD5DBD" w:rsidRDefault="009267AB" w:rsidP="007452E8">
            <w:pPr>
              <w:rPr>
                <w:szCs w:val="22"/>
              </w:rPr>
            </w:pPr>
            <w:r>
              <w:rPr>
                <w:szCs w:val="22"/>
              </w:rPr>
              <w:t>One</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1388670A" w:rsidR="00324B33" w:rsidRPr="009267AB" w:rsidRDefault="009267AB" w:rsidP="007452E8">
            <w:pPr>
              <w:rPr>
                <w:i/>
                <w:iCs/>
                <w:szCs w:val="22"/>
              </w:rPr>
            </w:pPr>
            <w:r w:rsidRPr="009267AB">
              <w:rPr>
                <w:i/>
                <w:iCs/>
                <w:szCs w:val="22"/>
              </w:rPr>
              <w:t>Alhemo is indicated where prophylaxis is required to prevent or reduce the frequency of bleeding in patients at least 12 years of age who have haemophilia B (congenital factor IX deficiency) with FIX inhibitors.</w:t>
            </w:r>
          </w:p>
        </w:tc>
      </w:tr>
      <w:tr w:rsidR="00324B33" w:rsidRPr="00BD5DBD" w14:paraId="5AFDEED3" w14:textId="77777777" w:rsidTr="00F865A7">
        <w:tc>
          <w:tcPr>
            <w:tcW w:w="1577" w:type="pct"/>
          </w:tcPr>
          <w:p w14:paraId="03884BD1" w14:textId="104BDF6D" w:rsidR="00324B33" w:rsidRPr="00BD5DBD" w:rsidRDefault="00324B33" w:rsidP="007452E8">
            <w:pPr>
              <w:rPr>
                <w:i/>
                <w:szCs w:val="22"/>
              </w:rPr>
            </w:pPr>
            <w:r w:rsidRPr="00BD5DBD">
              <w:rPr>
                <w:i/>
                <w:szCs w:val="22"/>
              </w:rPr>
              <w:t>Route of administration:</w:t>
            </w:r>
          </w:p>
        </w:tc>
        <w:tc>
          <w:tcPr>
            <w:tcW w:w="3423" w:type="pct"/>
          </w:tcPr>
          <w:p w14:paraId="1ED1357E" w14:textId="37477D31" w:rsidR="00324B33" w:rsidRPr="00BD5DBD" w:rsidRDefault="009267AB" w:rsidP="007452E8">
            <w:pPr>
              <w:rPr>
                <w:szCs w:val="22"/>
              </w:rPr>
            </w:pPr>
            <w:r>
              <w:rPr>
                <w:szCs w:val="22"/>
              </w:rPr>
              <w:t>Subcutaneous</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0F8FB347" w14:textId="77777777" w:rsidR="009267AB" w:rsidRDefault="009267AB" w:rsidP="009267AB">
            <w:pPr>
              <w:rPr>
                <w:szCs w:val="22"/>
              </w:rPr>
            </w:pPr>
            <w:r w:rsidRPr="009267AB">
              <w:rPr>
                <w:szCs w:val="22"/>
              </w:rPr>
              <w:t xml:space="preserve">Treatment should be initiated under the supervision of a physician experienced in treatment of haemophilia and/or bleeding disorders. Initiate concizumab in a non-bleeding state, and after discontinuing treatment with bypassing agents. Discontinue recombinant factor </w:t>
            </w:r>
            <w:proofErr w:type="spellStart"/>
            <w:r w:rsidRPr="009267AB">
              <w:rPr>
                <w:szCs w:val="22"/>
              </w:rPr>
              <w:t>VIIa</w:t>
            </w:r>
            <w:proofErr w:type="spellEnd"/>
            <w:r w:rsidRPr="009267AB">
              <w:rPr>
                <w:szCs w:val="22"/>
              </w:rPr>
              <w:t xml:space="preserve"> (</w:t>
            </w:r>
            <w:proofErr w:type="spellStart"/>
            <w:r w:rsidRPr="009267AB">
              <w:rPr>
                <w:szCs w:val="22"/>
              </w:rPr>
              <w:t>rFVIIa</w:t>
            </w:r>
            <w:proofErr w:type="spellEnd"/>
            <w:r w:rsidRPr="009267AB">
              <w:rPr>
                <w:szCs w:val="22"/>
              </w:rPr>
              <w:t>) at least 12 hours before starting concizumab therapy. Discontinue activated prothrombin complex concentrates (</w:t>
            </w:r>
            <w:proofErr w:type="spellStart"/>
            <w:r w:rsidRPr="009267AB">
              <w:rPr>
                <w:szCs w:val="22"/>
              </w:rPr>
              <w:t>aPCC</w:t>
            </w:r>
            <w:proofErr w:type="spellEnd"/>
            <w:r w:rsidRPr="009267AB">
              <w:rPr>
                <w:szCs w:val="22"/>
              </w:rPr>
              <w:t>) at least 48 hours before starting concizumab therapy.</w:t>
            </w:r>
          </w:p>
          <w:p w14:paraId="4ACFDD81" w14:textId="16DD53EE" w:rsidR="009267AB" w:rsidRPr="009267AB" w:rsidRDefault="009267AB" w:rsidP="009267AB">
            <w:pPr>
              <w:rPr>
                <w:szCs w:val="22"/>
              </w:rPr>
            </w:pPr>
            <w:r w:rsidRPr="009267AB">
              <w:rPr>
                <w:szCs w:val="22"/>
              </w:rPr>
              <w:t>The recommended dosing regimen is a loading dose of 1 mg/kg concizumab given once on treatment day one. From day two until determination of individual maintenance dose an initial maintenance dose of 0.20 mg/kg concizumab is administered daily.</w:t>
            </w:r>
          </w:p>
          <w:p w14:paraId="74C26D23" w14:textId="77777777" w:rsidR="009267AB" w:rsidRDefault="009267AB" w:rsidP="009267AB">
            <w:pPr>
              <w:rPr>
                <w:szCs w:val="22"/>
              </w:rPr>
            </w:pPr>
            <w:r w:rsidRPr="009267AB">
              <w:rPr>
                <w:szCs w:val="22"/>
              </w:rPr>
              <w:t>From determination of individual maintenance dose onwards concizumab is administered daily.</w:t>
            </w:r>
          </w:p>
          <w:p w14:paraId="3D0B2D5C" w14:textId="43E9A096" w:rsidR="00324B33" w:rsidRPr="00BD5DBD" w:rsidRDefault="00324B33" w:rsidP="009267AB">
            <w:pPr>
              <w:rPr>
                <w:szCs w:val="22"/>
              </w:rPr>
            </w:pPr>
            <w:r w:rsidRPr="00BD5DBD">
              <w:rPr>
                <w:szCs w:val="22"/>
              </w:rPr>
              <w:t>For further information regarding dosage, refer to the Product Information.</w:t>
            </w:r>
          </w:p>
        </w:tc>
      </w:tr>
      <w:tr w:rsidR="00324B33" w:rsidRPr="00BD5DBD" w14:paraId="24DC408E" w14:textId="77777777" w:rsidTr="00F865A7">
        <w:tc>
          <w:tcPr>
            <w:tcW w:w="1577" w:type="pct"/>
          </w:tcPr>
          <w:p w14:paraId="26380792" w14:textId="77777777" w:rsidR="00324B33" w:rsidRPr="00BD5DBD" w:rsidRDefault="00324B33" w:rsidP="007452E8">
            <w:pPr>
              <w:rPr>
                <w:i/>
                <w:szCs w:val="22"/>
              </w:rPr>
            </w:pPr>
            <w:r w:rsidRPr="00BD5DBD">
              <w:rPr>
                <w:i/>
                <w:szCs w:val="22"/>
              </w:rPr>
              <w:lastRenderedPageBreak/>
              <w:t>Pregnancy category:</w:t>
            </w:r>
          </w:p>
        </w:tc>
        <w:tc>
          <w:tcPr>
            <w:tcW w:w="3423" w:type="pct"/>
          </w:tcPr>
          <w:p w14:paraId="3E7A23EA" w14:textId="77777777" w:rsidR="009267AB" w:rsidRPr="009267AB" w:rsidRDefault="009267AB" w:rsidP="009267AB">
            <w:pPr>
              <w:rPr>
                <w:szCs w:val="22"/>
              </w:rPr>
            </w:pPr>
            <w:r w:rsidRPr="009267AB">
              <w:rPr>
                <w:szCs w:val="22"/>
              </w:rPr>
              <w:t>D</w:t>
            </w:r>
          </w:p>
          <w:p w14:paraId="23ACC769" w14:textId="77777777" w:rsidR="009267AB" w:rsidRDefault="009267AB" w:rsidP="009267AB">
            <w:pPr>
              <w:rPr>
                <w:szCs w:val="22"/>
              </w:rPr>
            </w:pPr>
            <w:r w:rsidRPr="009267AB">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707DC2F3" w:rsidR="00324B33" w:rsidRPr="00BD5DBD" w:rsidRDefault="00324B33" w:rsidP="009267AB">
            <w:pPr>
              <w:rPr>
                <w:szCs w:val="22"/>
              </w:rPr>
            </w:pPr>
            <w:r w:rsidRPr="00BD5DBD">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9245616" w:rsidR="00324B33" w:rsidRDefault="00324B33" w:rsidP="00324B33">
      <w:pPr>
        <w:pStyle w:val="Heading3"/>
      </w:pPr>
      <w:bookmarkStart w:id="15" w:name="_Toc247691503"/>
      <w:bookmarkStart w:id="16" w:name="_Toc314842484"/>
      <w:bookmarkStart w:id="17" w:name="_Toc103679290"/>
      <w:bookmarkStart w:id="18" w:name="_Toc160786371"/>
      <w:r>
        <w:t>Product background</w:t>
      </w:r>
      <w:bookmarkEnd w:id="15"/>
      <w:bookmarkEnd w:id="16"/>
      <w:bookmarkEnd w:id="17"/>
      <w:bookmarkEnd w:id="18"/>
      <w:r w:rsidR="0048603E">
        <w:fldChar w:fldCharType="begin"/>
      </w:r>
      <w:r w:rsidR="0048603E">
        <w:instrText xml:space="preserve"> DOCVARIABLE vault_nd_26ebf85e-8605-4bc8-9ba9-103b34fda768 \* MERGEFORMAT </w:instrText>
      </w:r>
      <w:r w:rsidR="0048603E">
        <w:fldChar w:fldCharType="separate"/>
      </w:r>
      <w:r w:rsidR="001B5D20">
        <w:t xml:space="preserve"> </w:t>
      </w:r>
      <w:r w:rsidR="0048603E">
        <w:fldChar w:fldCharType="end"/>
      </w:r>
    </w:p>
    <w:p w14:paraId="56B27CF2" w14:textId="6F4DF9D6" w:rsidR="00324B33" w:rsidRDefault="00324B33" w:rsidP="00324B33">
      <w:pPr>
        <w:rPr>
          <w:szCs w:val="22"/>
        </w:rPr>
      </w:pPr>
      <w:r w:rsidRPr="00BD5DBD">
        <w:rPr>
          <w:szCs w:val="22"/>
        </w:rPr>
        <w:t xml:space="preserve">This AusPAR describes the submission by </w:t>
      </w:r>
      <w:r w:rsidR="00B968BE" w:rsidRPr="00D07148">
        <w:t>Novo Nordisk Pharmaceuticals Pty Ltd</w:t>
      </w:r>
      <w:r w:rsidR="00B968BE">
        <w:t xml:space="preserve"> </w:t>
      </w:r>
      <w:r w:rsidRPr="00BD5DBD">
        <w:rPr>
          <w:szCs w:val="22"/>
        </w:rPr>
        <w:t xml:space="preserve">(the sponsor) to register </w:t>
      </w:r>
      <w:r w:rsidR="00B968BE">
        <w:t>Alhemo (concizumab</w:t>
      </w:r>
      <w:r w:rsidRPr="00BD5DBD">
        <w:rPr>
          <w:szCs w:val="22"/>
        </w:rPr>
        <w:t xml:space="preserve">) </w:t>
      </w:r>
      <w:r w:rsidR="00B968BE">
        <w:rPr>
          <w:szCs w:val="22"/>
        </w:rPr>
        <w:t>60 mg/1.5 mL</w:t>
      </w:r>
      <w:r w:rsidRPr="00BD5DBD">
        <w:rPr>
          <w:szCs w:val="22"/>
        </w:rPr>
        <w:t>,</w:t>
      </w:r>
      <w:r w:rsidR="00B968BE">
        <w:rPr>
          <w:szCs w:val="22"/>
        </w:rPr>
        <w:t xml:space="preserve"> 300 mg/ 3 mL, 150 mg/1.5 mL, 15 mg/1.5 mL, solution for injection, prefilled pen</w:t>
      </w:r>
      <w:r w:rsidRPr="00BD5DBD">
        <w:rPr>
          <w:szCs w:val="22"/>
        </w:rPr>
        <w:t xml:space="preserve"> for the following proposed indication:</w:t>
      </w:r>
      <w:r w:rsidR="00D63760" w:rsidRPr="00BD5DBD">
        <w:rPr>
          <w:rStyle w:val="FootnoteReference"/>
          <w:szCs w:val="22"/>
        </w:rPr>
        <w:footnoteReference w:id="2"/>
      </w:r>
    </w:p>
    <w:p w14:paraId="27D01049" w14:textId="77777777" w:rsidR="00676791" w:rsidRDefault="00A42573" w:rsidP="009267AB">
      <w:pPr>
        <w:ind w:left="360"/>
        <w:rPr>
          <w:i/>
          <w:iCs/>
        </w:rPr>
      </w:pPr>
      <w:r w:rsidRPr="00A42573">
        <w:rPr>
          <w:i/>
          <w:iCs/>
        </w:rPr>
        <w:t>Alhemo</w:t>
      </w:r>
      <w:r w:rsidRPr="00A42573">
        <w:rPr>
          <w:i/>
          <w:iCs/>
          <w:szCs w:val="22"/>
        </w:rPr>
        <w:t xml:space="preserve"> is indicated for the routine prophylaxis to prevent or reduce the frequency of bleeding in patients ≥ 12 years of age with</w:t>
      </w:r>
      <w:r w:rsidR="009267AB">
        <w:rPr>
          <w:i/>
          <w:iCs/>
          <w:szCs w:val="22"/>
        </w:rPr>
        <w:t xml:space="preserve"> </w:t>
      </w:r>
      <w:r w:rsidRPr="00A42573">
        <w:rPr>
          <w:i/>
          <w:iCs/>
        </w:rPr>
        <w:t>haemophilia B (congenital factor IX deficiency) with FIX inhibitors</w:t>
      </w:r>
      <w:r w:rsidR="00676791">
        <w:rPr>
          <w:i/>
          <w:iCs/>
        </w:rPr>
        <w:t>.</w:t>
      </w:r>
    </w:p>
    <w:p w14:paraId="789B5086" w14:textId="749B7C70" w:rsidR="00A42573" w:rsidRDefault="00A42573" w:rsidP="00A42573">
      <w:pPr>
        <w:pStyle w:val="Heading4"/>
      </w:pPr>
      <w:bookmarkStart w:id="19" w:name="_Ref127370731"/>
      <w:bookmarkStart w:id="20" w:name="_Toc160786372"/>
      <w:bookmarkStart w:id="21" w:name="_Toc314842485"/>
      <w:bookmarkStart w:id="22" w:name="_Toc247691504"/>
      <w:r>
        <w:t>C</w:t>
      </w:r>
      <w:r w:rsidRPr="00AA53F4">
        <w:t>ondition</w:t>
      </w:r>
      <w:bookmarkEnd w:id="19"/>
      <w:bookmarkEnd w:id="20"/>
      <w:r w:rsidR="0048603E">
        <w:fldChar w:fldCharType="begin"/>
      </w:r>
      <w:r w:rsidR="0048603E">
        <w:instrText xml:space="preserve"> DOCVARIABLE vault_nd_d33de578-a6c3-4e9b-a2a2-c43e3700ba16 \* MERGEFORMAT </w:instrText>
      </w:r>
      <w:r w:rsidR="0048603E">
        <w:fldChar w:fldCharType="separate"/>
      </w:r>
      <w:r w:rsidR="001B5D20">
        <w:t xml:space="preserve"> </w:t>
      </w:r>
      <w:r w:rsidR="0048603E">
        <w:fldChar w:fldCharType="end"/>
      </w:r>
    </w:p>
    <w:p w14:paraId="796D2434" w14:textId="2431BF73" w:rsidR="00A42573" w:rsidRPr="00B11549" w:rsidRDefault="00A42573" w:rsidP="00B11549">
      <w:r w:rsidRPr="00B11549">
        <w:t>Blood clotting is a critical process through which mammals achieve haemostasis despite injury to blood vessels.</w:t>
      </w:r>
      <w:bookmarkStart w:id="23" w:name="_Ref149560235"/>
      <w:r w:rsidR="00B11549">
        <w:rPr>
          <w:rStyle w:val="FootnoteReference"/>
        </w:rPr>
        <w:footnoteReference w:id="3"/>
      </w:r>
      <w:bookmarkEnd w:id="23"/>
      <w:r w:rsidR="00B61BD6" w:rsidRPr="00B61BD6">
        <w:rPr>
          <w:vertAlign w:val="superscript"/>
        </w:rPr>
        <w:t>,</w:t>
      </w:r>
      <w:bookmarkStart w:id="24" w:name="_Ref149560237"/>
      <w:r w:rsidR="00B61BD6">
        <w:rPr>
          <w:rStyle w:val="FootnoteReference"/>
        </w:rPr>
        <w:footnoteReference w:id="4"/>
      </w:r>
      <w:bookmarkEnd w:id="24"/>
      <w:r w:rsidR="00A3617F">
        <w:rPr>
          <w:vertAlign w:val="superscript"/>
        </w:rPr>
        <w:t xml:space="preserve"> </w:t>
      </w:r>
      <w:r w:rsidRPr="00B11549">
        <w:t xml:space="preserve">The process is classically described as the coagulation cascade, with two major mechanisms of activation </w:t>
      </w:r>
      <w:r w:rsidR="00D27341">
        <w:t>(</w:t>
      </w:r>
      <w:r w:rsidR="00D27341">
        <w:fldChar w:fldCharType="begin"/>
      </w:r>
      <w:r w:rsidR="00D27341">
        <w:instrText xml:space="preserve"> REF _Ref149560950 \h </w:instrText>
      </w:r>
      <w:r w:rsidR="00D27341">
        <w:fldChar w:fldCharType="separate"/>
      </w:r>
      <w:r w:rsidR="001B5D20" w:rsidRPr="00B61BD6">
        <w:t xml:space="preserve">Figure </w:t>
      </w:r>
      <w:r w:rsidR="001B5D20">
        <w:rPr>
          <w:noProof/>
        </w:rPr>
        <w:t>1</w:t>
      </w:r>
      <w:r w:rsidR="00D27341">
        <w:fldChar w:fldCharType="end"/>
      </w:r>
      <w:r w:rsidR="00D27341">
        <w:t>)</w:t>
      </w:r>
      <w:r w:rsidRPr="00B11549">
        <w:t>.</w:t>
      </w:r>
      <w:r w:rsidR="00B61BD6">
        <w:fldChar w:fldCharType="begin"/>
      </w:r>
      <w:r w:rsidR="00B61BD6">
        <w:instrText xml:space="preserve"> NOTEREF _Ref149560235 \f \h </w:instrText>
      </w:r>
      <w:r w:rsidR="00B61BD6">
        <w:fldChar w:fldCharType="separate"/>
      </w:r>
      <w:r w:rsidR="001B5D20" w:rsidRPr="001B5D20">
        <w:rPr>
          <w:rStyle w:val="FootnoteReference"/>
        </w:rPr>
        <w:t>2</w:t>
      </w:r>
      <w:r w:rsidR="00B61BD6">
        <w:fldChar w:fldCharType="end"/>
      </w:r>
      <w:r w:rsidR="00B61BD6" w:rsidRPr="00B61BD6">
        <w:rPr>
          <w:vertAlign w:val="superscript"/>
        </w:rPr>
        <w:t>,</w:t>
      </w:r>
      <w:r w:rsidR="00B61BD6">
        <w:fldChar w:fldCharType="begin"/>
      </w:r>
      <w:r w:rsidR="00B61BD6">
        <w:instrText xml:space="preserve"> NOTEREF _Ref149560237 \f \h </w:instrText>
      </w:r>
      <w:r w:rsidR="00B61BD6">
        <w:fldChar w:fldCharType="separate"/>
      </w:r>
      <w:r w:rsidR="001B5D20" w:rsidRPr="001B5D20">
        <w:rPr>
          <w:rStyle w:val="FootnoteReference"/>
        </w:rPr>
        <w:t>3</w:t>
      </w:r>
      <w:r w:rsidR="00B61BD6">
        <w:fldChar w:fldCharType="end"/>
      </w:r>
      <w:r w:rsidR="00A3617F">
        <w:t xml:space="preserve"> </w:t>
      </w:r>
      <w:r w:rsidRPr="00B11549">
        <w:t>Initiation can occur through the extrinsic (tissue factor) pathway, and/or the intrinsic (contact) pathway, both of which converge on a common pathway.</w:t>
      </w:r>
      <w:r w:rsidR="00B61BD6">
        <w:fldChar w:fldCharType="begin"/>
      </w:r>
      <w:r w:rsidR="00B61BD6">
        <w:instrText xml:space="preserve"> NOTEREF _Ref149560237 \f \h </w:instrText>
      </w:r>
      <w:r w:rsidR="00B61BD6">
        <w:fldChar w:fldCharType="separate"/>
      </w:r>
      <w:r w:rsidR="001B5D20" w:rsidRPr="001B5D20">
        <w:rPr>
          <w:rStyle w:val="FootnoteReference"/>
        </w:rPr>
        <w:t>3</w:t>
      </w:r>
      <w:r w:rsidR="00B61BD6">
        <w:fldChar w:fldCharType="end"/>
      </w:r>
      <w:r w:rsidRPr="00B11549">
        <w:t xml:space="preserve"> The extrinsic pathway was named after its trigger: contact between plasma and</w:t>
      </w:r>
      <w:r w:rsidR="00676791">
        <w:t xml:space="preserve"> </w:t>
      </w:r>
      <w:r w:rsidRPr="00B11549">
        <w:t>something extrinsic (</w:t>
      </w:r>
      <w:r w:rsidR="00B61BD6">
        <w:t>that is</w:t>
      </w:r>
      <w:r w:rsidRPr="00B11549">
        <w:t xml:space="preserve"> tissue factor).</w:t>
      </w:r>
      <w:r w:rsidR="00B61BD6">
        <w:fldChar w:fldCharType="begin"/>
      </w:r>
      <w:r w:rsidR="00B61BD6">
        <w:instrText xml:space="preserve"> NOTEREF _Ref149560237 \f \h </w:instrText>
      </w:r>
      <w:r w:rsidR="00B61BD6">
        <w:fldChar w:fldCharType="separate"/>
      </w:r>
      <w:r w:rsidR="001B5D20" w:rsidRPr="001B5D20">
        <w:rPr>
          <w:rStyle w:val="FootnoteReference"/>
        </w:rPr>
        <w:t>3</w:t>
      </w:r>
      <w:r w:rsidR="00B61BD6">
        <w:fldChar w:fldCharType="end"/>
      </w:r>
      <w:r w:rsidRPr="00B11549">
        <w:t xml:space="preserve"> The intrinsic (or contact) pathway is activated through contact between blood and an artificial surface, and was so named as it appeared to be an intrinsic property of plasma.</w:t>
      </w:r>
      <w:r w:rsidR="00B61BD6">
        <w:rPr>
          <w:rStyle w:val="FootnoteReference"/>
        </w:rPr>
        <w:footnoteReference w:id="5"/>
      </w:r>
      <w:r w:rsidR="00B61BD6" w:rsidRPr="00B11549">
        <w:t xml:space="preserve"> </w:t>
      </w:r>
      <w:r w:rsidRPr="00B11549">
        <w:t>Intrinsic coagulation does not contribute to normal haemostasis, but is thought to contribute to pathological thrombosis.</w:t>
      </w:r>
      <w:r w:rsidR="00B61BD6">
        <w:rPr>
          <w:rStyle w:val="FootnoteReference"/>
        </w:rPr>
        <w:footnoteReference w:id="6"/>
      </w:r>
    </w:p>
    <w:p w14:paraId="6B12E516" w14:textId="0D7C6E0A" w:rsidR="00A42573" w:rsidRPr="00B11549" w:rsidRDefault="00A42573" w:rsidP="00B11549">
      <w:r w:rsidRPr="00676791">
        <w:t>Haemophilia is a congenital bleeding disorder characterised by deficiency of key proteins, referred to as clotting factors, involved in these pathways. Haemophilia A (HA) is caused by factor VIII (</w:t>
      </w:r>
      <w:proofErr w:type="spellStart"/>
      <w:r w:rsidRPr="00676791">
        <w:t>fVIII</w:t>
      </w:r>
      <w:proofErr w:type="spellEnd"/>
      <w:r w:rsidRPr="00676791">
        <w:t>) deficiency (due to pathogenic mutations of the F8 gene). Haemophilia B (HB) is caused by factor IX (</w:t>
      </w:r>
      <w:proofErr w:type="spellStart"/>
      <w:r w:rsidRPr="00676791">
        <w:t>fIX</w:t>
      </w:r>
      <w:proofErr w:type="spellEnd"/>
      <w:r w:rsidRPr="00676791">
        <w:t>) deficiency</w:t>
      </w:r>
      <w:r w:rsidRPr="00B11549">
        <w:t xml:space="preserve"> (due to pathogenic mutations of the F9 gene). As both F8 and </w:t>
      </w:r>
      <w:r w:rsidRPr="00B11549">
        <w:lastRenderedPageBreak/>
        <w:t>F9 are located on the X chromosome, HA and HB are X-linked disorders: clinical disease rarely affects females. Whilst most cases are inherited, a significant proportion are attributable to spontaneous germ cell mutations (30%): around half of newly diagnosed cases occur with no known family history of haemophilia.</w:t>
      </w:r>
      <w:r w:rsidR="00B61BD6">
        <w:fldChar w:fldCharType="begin"/>
      </w:r>
      <w:r w:rsidR="00B61BD6">
        <w:instrText xml:space="preserve"> NOTEREF _Ref149560235 \f \h </w:instrText>
      </w:r>
      <w:r w:rsidR="00B61BD6">
        <w:fldChar w:fldCharType="separate"/>
      </w:r>
      <w:r w:rsidR="001B5D20" w:rsidRPr="001B5D20">
        <w:rPr>
          <w:rStyle w:val="FootnoteReference"/>
        </w:rPr>
        <w:t>2</w:t>
      </w:r>
      <w:r w:rsidR="00B61BD6">
        <w:fldChar w:fldCharType="end"/>
      </w:r>
    </w:p>
    <w:p w14:paraId="4EEB631E" w14:textId="0EA5E084" w:rsidR="00A42573" w:rsidRPr="00B11549" w:rsidRDefault="00A43853" w:rsidP="00B11549">
      <w:r>
        <w:t>Haemophilia A</w:t>
      </w:r>
      <w:r w:rsidR="00A42573" w:rsidRPr="00B11549">
        <w:t xml:space="preserve"> and HB have a similar clinical presentation, with easy bruising, mucous membrane bleeding, spontaneous haemorrhages into joints, muscles and soft tissues, or excessive bleeding following trauma or surgery. Repeated haemorrhages into joints may result in chronic arthropathy.</w:t>
      </w:r>
      <w:r w:rsidR="00B61BD6">
        <w:fldChar w:fldCharType="begin"/>
      </w:r>
      <w:r w:rsidR="00B61BD6">
        <w:instrText xml:space="preserve"> NOTEREF _Ref149560235 \f \h </w:instrText>
      </w:r>
      <w:r w:rsidR="00B61BD6">
        <w:fldChar w:fldCharType="separate"/>
      </w:r>
      <w:r w:rsidR="001B5D20" w:rsidRPr="001B5D20">
        <w:rPr>
          <w:rStyle w:val="FootnoteReference"/>
        </w:rPr>
        <w:t>2</w:t>
      </w:r>
      <w:r w:rsidR="00B61BD6">
        <w:fldChar w:fldCharType="end"/>
      </w:r>
    </w:p>
    <w:p w14:paraId="374665EB" w14:textId="039ABBF7" w:rsidR="00A42573" w:rsidRPr="00B11549" w:rsidRDefault="00A42573" w:rsidP="00B11549">
      <w:r w:rsidRPr="00B11549">
        <w:t xml:space="preserve">Severity of haemophilia can be classified according to clotting factor levels relative to normal (0.5 </w:t>
      </w:r>
      <w:r w:rsidR="00A43853">
        <w:t>to</w:t>
      </w:r>
      <w:r w:rsidRPr="00B11549">
        <w:t xml:space="preserve"> 1.5</w:t>
      </w:r>
      <w:r w:rsidR="00A43853">
        <w:t> </w:t>
      </w:r>
      <w:r w:rsidR="00A3617F">
        <w:t xml:space="preserve">international </w:t>
      </w:r>
      <w:r w:rsidR="00A3617F" w:rsidRPr="00676791">
        <w:t>units (</w:t>
      </w:r>
      <w:r w:rsidRPr="00676791">
        <w:t>IU</w:t>
      </w:r>
      <w:r w:rsidR="00A3617F" w:rsidRPr="00676791">
        <w:t>)</w:t>
      </w:r>
      <w:r w:rsidRPr="00676791">
        <w:t>/mL</w:t>
      </w:r>
      <w:r w:rsidRPr="00B11549">
        <w:t xml:space="preserve">): mild (5 to </w:t>
      </w:r>
      <w:r w:rsidR="00A43853">
        <w:t>less than</w:t>
      </w:r>
      <w:r w:rsidR="007A11FC" w:rsidRPr="00B11549">
        <w:t xml:space="preserve"> </w:t>
      </w:r>
      <w:r w:rsidRPr="00B11549">
        <w:t>40% of normal), moderate (1</w:t>
      </w:r>
      <w:r w:rsidR="00A43853">
        <w:t xml:space="preserve"> to </w:t>
      </w:r>
      <w:r w:rsidRPr="00B11549">
        <w:t xml:space="preserve">5% of normal </w:t>
      </w:r>
      <w:proofErr w:type="spellStart"/>
      <w:r w:rsidRPr="00B11549">
        <w:t>fVIII</w:t>
      </w:r>
      <w:proofErr w:type="spellEnd"/>
      <w:r w:rsidRPr="00B11549">
        <w:t xml:space="preserve"> </w:t>
      </w:r>
      <w:r w:rsidR="00A43853">
        <w:t>(</w:t>
      </w:r>
      <w:r w:rsidRPr="00B11549">
        <w:t>0.02-0.05</w:t>
      </w:r>
      <w:r w:rsidR="00A43853">
        <w:t> </w:t>
      </w:r>
      <w:r w:rsidRPr="00B11549">
        <w:t>IU/mL</w:t>
      </w:r>
      <w:r w:rsidR="00A43853">
        <w:t>)</w:t>
      </w:r>
      <w:r w:rsidRPr="00B11549">
        <w:t xml:space="preserve"> or 6</w:t>
      </w:r>
      <w:r w:rsidR="00A43853">
        <w:t xml:space="preserve"> to </w:t>
      </w:r>
      <w:r w:rsidRPr="00B11549">
        <w:t xml:space="preserve">40% of normal </w:t>
      </w:r>
      <w:proofErr w:type="spellStart"/>
      <w:r w:rsidRPr="00B11549">
        <w:t>fIX</w:t>
      </w:r>
      <w:proofErr w:type="spellEnd"/>
      <w:r w:rsidRPr="00B11549">
        <w:t xml:space="preserve"> </w:t>
      </w:r>
      <w:r w:rsidR="00A43853">
        <w:t>(</w:t>
      </w:r>
      <w:r w:rsidRPr="00B11549">
        <w:t>0.06-0.40 IU/mL</w:t>
      </w:r>
      <w:r w:rsidR="00A43853">
        <w:t>)</w:t>
      </w:r>
      <w:r w:rsidRPr="00B11549">
        <w:t>) or severe (</w:t>
      </w:r>
      <w:r w:rsidR="00A43853">
        <w:t xml:space="preserve">less than </w:t>
      </w:r>
      <w:r w:rsidRPr="00B11549">
        <w:t xml:space="preserve">1% of normal; </w:t>
      </w:r>
      <w:r w:rsidR="00A43853">
        <w:t xml:space="preserve">less than </w:t>
      </w:r>
      <w:r w:rsidRPr="00B11549">
        <w:t>0.01</w:t>
      </w:r>
      <w:r w:rsidR="00A43853">
        <w:t> </w:t>
      </w:r>
      <w:r w:rsidRPr="00B11549">
        <w:t>IU/mL).</w:t>
      </w:r>
      <w:r w:rsidR="00B61BD6">
        <w:rPr>
          <w:rStyle w:val="FootnoteReference"/>
        </w:rPr>
        <w:footnoteReference w:id="7"/>
      </w:r>
      <w:r w:rsidR="00B61BD6">
        <w:t xml:space="preserve"> </w:t>
      </w:r>
      <w:r w:rsidRPr="00B11549">
        <w:t>Severity and frequency of bleeding episodes broadly correlates with the severity of clotting factor deficiency.</w:t>
      </w:r>
      <w:r w:rsidR="00B61BD6">
        <w:rPr>
          <w:rStyle w:val="FootnoteReference"/>
        </w:rPr>
        <w:footnoteReference w:id="8"/>
      </w:r>
    </w:p>
    <w:p w14:paraId="22C0B10E" w14:textId="120A6316" w:rsidR="00A42573" w:rsidRPr="00B11549" w:rsidRDefault="00A42573" w:rsidP="00B11549">
      <w:r w:rsidRPr="00B11549">
        <w:t>Haemophilia is a rare disorder. There were 3127 people with haemophilia A or B in Australia according to the 2019-20 Annual Report of the Australian Bleeding Disorders Registry.</w:t>
      </w:r>
      <w:r w:rsidR="00B61BD6">
        <w:rPr>
          <w:rStyle w:val="FootnoteReference"/>
        </w:rPr>
        <w:footnoteReference w:id="9"/>
      </w:r>
      <w:r w:rsidR="00B61BD6" w:rsidRPr="00B11549">
        <w:t xml:space="preserve"> </w:t>
      </w:r>
      <w:r w:rsidR="00A43853">
        <w:t xml:space="preserve">Haemophilia A </w:t>
      </w:r>
      <w:r w:rsidRPr="00B11549">
        <w:t>accounts for 80</w:t>
      </w:r>
      <w:r w:rsidR="00A43853">
        <w:t xml:space="preserve"> to </w:t>
      </w:r>
      <w:r w:rsidRPr="00B11549">
        <w:t>85% of cases of haemophilia and HB for 15</w:t>
      </w:r>
      <w:r w:rsidR="00A43853">
        <w:t xml:space="preserve"> to </w:t>
      </w:r>
      <w:r w:rsidRPr="00B11549">
        <w:t>20%.</w:t>
      </w:r>
    </w:p>
    <w:p w14:paraId="555520E7" w14:textId="5CC373E9" w:rsidR="00A42573" w:rsidRDefault="00B61BD6" w:rsidP="00B61BD6">
      <w:pPr>
        <w:pStyle w:val="FigureTitle"/>
      </w:pPr>
      <w:bookmarkStart w:id="25" w:name="_Ref149560950"/>
      <w:r w:rsidRPr="00B61BD6">
        <w:t xml:space="preserve">Figure </w:t>
      </w:r>
      <w:r w:rsidR="00572F9F">
        <w:fldChar w:fldCharType="begin"/>
      </w:r>
      <w:r w:rsidR="00572F9F">
        <w:instrText xml:space="preserve"> SEQ Figure \* ARABIC </w:instrText>
      </w:r>
      <w:r w:rsidR="00572F9F">
        <w:fldChar w:fldCharType="separate"/>
      </w:r>
      <w:r w:rsidR="001B5D20">
        <w:rPr>
          <w:noProof/>
        </w:rPr>
        <w:t>1</w:t>
      </w:r>
      <w:r w:rsidR="00572F9F">
        <w:rPr>
          <w:noProof/>
        </w:rPr>
        <w:fldChar w:fldCharType="end"/>
      </w:r>
      <w:bookmarkEnd w:id="25"/>
      <w:r>
        <w:t>: The classical schematic blood coagulation cascade pathways</w:t>
      </w:r>
      <w:r w:rsidR="00572F9F">
        <w:fldChar w:fldCharType="begin"/>
      </w:r>
      <w:r w:rsidR="00572F9F">
        <w:instrText xml:space="preserve"> DOCVARIABLE vault_nd_a9f698bc-4c8e-40be-9da0-3acc14dfaf49 \* MERGEFORMAT </w:instrText>
      </w:r>
      <w:r w:rsidR="00572F9F">
        <w:fldChar w:fldCharType="separate"/>
      </w:r>
      <w:r w:rsidR="001B5D20">
        <w:t xml:space="preserve"> </w:t>
      </w:r>
      <w:r w:rsidR="00572F9F">
        <w:fldChar w:fldCharType="end"/>
      </w:r>
    </w:p>
    <w:p w14:paraId="04192E3E" w14:textId="63B99EA9" w:rsidR="00B61BD6" w:rsidRPr="00B61BD6" w:rsidRDefault="00B61BD6" w:rsidP="00B61BD6">
      <w:r>
        <w:rPr>
          <w:noProof/>
          <w:lang w:eastAsia="ja-JP"/>
        </w:rPr>
        <w:drawing>
          <wp:inline distT="0" distB="0" distL="0" distR="0" wp14:anchorId="630897CD" wp14:editId="46E5F8A3">
            <wp:extent cx="4871420" cy="2735249"/>
            <wp:effectExtent l="0" t="0" r="5715" b="8255"/>
            <wp:docPr id="1" name="Picture 1" descr="The classical schematic blood coagulation cascade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lassical schematic blood coagulation cascade pathway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8258" cy="2739088"/>
                    </a:xfrm>
                    <a:prstGeom prst="rect">
                      <a:avLst/>
                    </a:prstGeom>
                    <a:noFill/>
                    <a:ln>
                      <a:noFill/>
                    </a:ln>
                  </pic:spPr>
                </pic:pic>
              </a:graphicData>
            </a:graphic>
          </wp:inline>
        </w:drawing>
      </w:r>
    </w:p>
    <w:p w14:paraId="450D1B5D" w14:textId="07FFCABB" w:rsidR="00A42573" w:rsidRDefault="00B61BD6" w:rsidP="00B61BD6">
      <w:pPr>
        <w:pStyle w:val="FigureDescription"/>
      </w:pPr>
      <w:r>
        <w:t xml:space="preserve">Yellow fill = activated. Red = </w:t>
      </w:r>
      <w:proofErr w:type="spellStart"/>
      <w:r>
        <w:t>fVIII</w:t>
      </w:r>
      <w:proofErr w:type="spellEnd"/>
      <w:r>
        <w:t xml:space="preserve"> is deficient in haemophilia A. Pink = </w:t>
      </w:r>
      <w:proofErr w:type="spellStart"/>
      <w:r>
        <w:t>fIX</w:t>
      </w:r>
      <w:proofErr w:type="spellEnd"/>
      <w:r>
        <w:t xml:space="preserve"> is deficient in haemophilia B.</w:t>
      </w:r>
      <w:r>
        <w:br/>
        <w:t xml:space="preserve">Dotted line = in a positive feedback loop, thrombin (Xa) cleaves circulating, inactive </w:t>
      </w:r>
      <w:proofErr w:type="spellStart"/>
      <w:r>
        <w:t>fVIII</w:t>
      </w:r>
      <w:proofErr w:type="spellEnd"/>
      <w:r>
        <w:t xml:space="preserve"> </w:t>
      </w:r>
      <w:r w:rsidRPr="00546A22">
        <w:t xml:space="preserve">yielding </w:t>
      </w:r>
      <w:r>
        <w:t>active</w:t>
      </w:r>
      <w:r w:rsidRPr="00546A22">
        <w:t xml:space="preserve"> </w:t>
      </w:r>
      <w:r>
        <w:t>co-</w:t>
      </w:r>
      <w:r w:rsidRPr="00546A22">
        <w:t xml:space="preserve">factor </w:t>
      </w:r>
      <w:proofErr w:type="spellStart"/>
      <w:r w:rsidRPr="00546A22">
        <w:t>VIIIa</w:t>
      </w:r>
      <w:proofErr w:type="spellEnd"/>
      <w:r w:rsidRPr="00546A22">
        <w:t xml:space="preserve">. </w:t>
      </w:r>
      <w:r>
        <w:t>Factor</w:t>
      </w:r>
      <w:r w:rsidRPr="00546A22">
        <w:t xml:space="preserve"> </w:t>
      </w:r>
      <w:proofErr w:type="spellStart"/>
      <w:r w:rsidRPr="00546A22">
        <w:t>VIIIa</w:t>
      </w:r>
      <w:proofErr w:type="spellEnd"/>
      <w:r w:rsidRPr="00546A22">
        <w:t xml:space="preserve"> </w:t>
      </w:r>
      <w:r>
        <w:t>markedly increases</w:t>
      </w:r>
      <w:r w:rsidRPr="00546A22">
        <w:t xml:space="preserve"> the catalytic efficiency of factor </w:t>
      </w:r>
      <w:proofErr w:type="spellStart"/>
      <w:r w:rsidRPr="00546A22">
        <w:t>IXa</w:t>
      </w:r>
      <w:proofErr w:type="spellEnd"/>
      <w:r w:rsidRPr="00546A22">
        <w:t xml:space="preserve"> in </w:t>
      </w:r>
      <w:r>
        <w:t>making more thrombin.</w:t>
      </w:r>
    </w:p>
    <w:p w14:paraId="7B110F1E" w14:textId="5AAE1D5F" w:rsidR="00B61BD6" w:rsidRDefault="00B61BD6" w:rsidP="00B61BD6">
      <w:pPr>
        <w:pStyle w:val="FigureDescription"/>
      </w:pPr>
      <w:r>
        <w:t xml:space="preserve">Source: </w:t>
      </w:r>
      <w:r w:rsidRPr="00B61BD6">
        <w:t>Quizlet image accessed 17 FEB 2023</w:t>
      </w:r>
      <w:r>
        <w:t>;</w:t>
      </w:r>
      <w:r>
        <w:rPr>
          <w:rStyle w:val="FootnoteReference"/>
        </w:rPr>
        <w:footnoteReference w:id="10"/>
      </w:r>
      <w:r>
        <w:t xml:space="preserve"> and </w:t>
      </w:r>
      <w:r w:rsidRPr="00B61BD6">
        <w:t>Fay PJ</w:t>
      </w:r>
      <w:r>
        <w:t>, et al (2006);</w:t>
      </w:r>
      <w:r>
        <w:rPr>
          <w:rStyle w:val="FootnoteReference"/>
        </w:rPr>
        <w:footnoteReference w:id="11"/>
      </w:r>
    </w:p>
    <w:p w14:paraId="366EB07A" w14:textId="02CB1041" w:rsidR="00B61BD6" w:rsidRDefault="00B61BD6" w:rsidP="00B61BD6">
      <w:pPr>
        <w:pStyle w:val="Heading4"/>
      </w:pPr>
      <w:bookmarkStart w:id="26" w:name="_Toc160786373"/>
      <w:r>
        <w:lastRenderedPageBreak/>
        <w:t>Current treatment options</w:t>
      </w:r>
      <w:bookmarkEnd w:id="26"/>
      <w:r w:rsidR="0048603E">
        <w:fldChar w:fldCharType="begin"/>
      </w:r>
      <w:r w:rsidR="0048603E">
        <w:instrText xml:space="preserve"> DOCVARIABLE vault_nd_5c9e14cc-775e-4bed-bbe1-3eda5da812c7 \* MERGEFORMAT </w:instrText>
      </w:r>
      <w:r w:rsidR="0048603E">
        <w:fldChar w:fldCharType="separate"/>
      </w:r>
      <w:r w:rsidR="001B5D20">
        <w:t xml:space="preserve"> </w:t>
      </w:r>
      <w:r w:rsidR="0048603E">
        <w:fldChar w:fldCharType="end"/>
      </w:r>
    </w:p>
    <w:p w14:paraId="4F751455" w14:textId="5422D6AF" w:rsidR="00B61BD6" w:rsidRDefault="00B61BD6" w:rsidP="00B61BD6">
      <w:pPr>
        <w:pStyle w:val="Heading5"/>
      </w:pPr>
      <w:bookmarkStart w:id="27" w:name="_Ref149647327"/>
      <w:r>
        <w:t>Clotting factor replacement and inhibitors</w:t>
      </w:r>
      <w:bookmarkEnd w:id="27"/>
      <w:r w:rsidR="0048603E">
        <w:fldChar w:fldCharType="begin"/>
      </w:r>
      <w:r w:rsidR="0048603E">
        <w:instrText xml:space="preserve"> DOCVARIABLE vault_nd_1e0fd82d-1376-40a2-a3a6-60ef38118d3d \* MERGEFORMAT </w:instrText>
      </w:r>
      <w:r w:rsidR="0048603E">
        <w:fldChar w:fldCharType="separate"/>
      </w:r>
      <w:r w:rsidR="001B5D20">
        <w:t xml:space="preserve"> </w:t>
      </w:r>
      <w:r w:rsidR="0048603E">
        <w:fldChar w:fldCharType="end"/>
      </w:r>
    </w:p>
    <w:p w14:paraId="4618ED6D" w14:textId="77777777" w:rsidR="00676791" w:rsidRDefault="00B61BD6" w:rsidP="00B61BD6">
      <w:r>
        <w:t xml:space="preserve">Treatment of haemophilia involves clotting factor replacement with recombinant </w:t>
      </w:r>
      <w:proofErr w:type="spellStart"/>
      <w:r>
        <w:t>fVIII</w:t>
      </w:r>
      <w:proofErr w:type="spellEnd"/>
      <w:r>
        <w:t xml:space="preserve"> or </w:t>
      </w:r>
      <w:proofErr w:type="spellStart"/>
      <w:r>
        <w:t>fIX</w:t>
      </w:r>
      <w:proofErr w:type="spellEnd"/>
      <w:r>
        <w:t xml:space="preserve"> products. Factors can be administered </w:t>
      </w:r>
      <w:r w:rsidR="00661D0D">
        <w:t>‘</w:t>
      </w:r>
      <w:r>
        <w:t>on demand</w:t>
      </w:r>
      <w:r w:rsidR="00661D0D">
        <w:t>’,</w:t>
      </w:r>
      <w:r>
        <w:t xml:space="preserve"> </w:t>
      </w:r>
      <w:r w:rsidR="00661D0D">
        <w:t>that is</w:t>
      </w:r>
      <w:r>
        <w:t xml:space="preserve"> for the treatment of bleeding episodes, or in a prophylaxis regimen to prevent haemorrhages. Clotting factor replacement is the treatment of choice for people with haemophilia as it is very safe and effective for treating and preventing bleeds. Prophylaxis regimens are considered standard of care for patients with severe (and some patients with moderate) haemophilia</w:t>
      </w:r>
      <w:r w:rsidR="00676791">
        <w:t>.</w:t>
      </w:r>
    </w:p>
    <w:p w14:paraId="7EB912E4" w14:textId="740D87A0" w:rsidR="00B61BD6" w:rsidRDefault="00B61BD6" w:rsidP="00B61BD6">
      <w:r>
        <w:t xml:space="preserve">Inhibitors are </w:t>
      </w:r>
      <w:r w:rsidR="00A43853" w:rsidRPr="00676791">
        <w:t>immunoglobulin G (</w:t>
      </w:r>
      <w:r w:rsidRPr="00676791">
        <w:t>IgG</w:t>
      </w:r>
      <w:r w:rsidR="00A43853" w:rsidRPr="00676791">
        <w:t>)</w:t>
      </w:r>
      <w:r w:rsidRPr="00676791">
        <w:t xml:space="preserve"> antibodies to exogenous </w:t>
      </w:r>
      <w:proofErr w:type="spellStart"/>
      <w:r w:rsidRPr="00676791">
        <w:t>fVIII</w:t>
      </w:r>
      <w:proofErr w:type="spellEnd"/>
      <w:r w:rsidRPr="00676791">
        <w:t xml:space="preserve"> or </w:t>
      </w:r>
      <w:proofErr w:type="spellStart"/>
      <w:r w:rsidRPr="00676791">
        <w:t>fIX</w:t>
      </w:r>
      <w:proofErr w:type="spellEnd"/>
      <w:r w:rsidRPr="00676791">
        <w:t xml:space="preserve"> that neutralise their clotting function. Inhibitors to </w:t>
      </w:r>
      <w:proofErr w:type="spellStart"/>
      <w:r w:rsidRPr="00676791">
        <w:t>fVIII</w:t>
      </w:r>
      <w:proofErr w:type="spellEnd"/>
      <w:r w:rsidRPr="00676791">
        <w:t xml:space="preserve"> develop</w:t>
      </w:r>
      <w:r>
        <w:t xml:space="preserve"> in approximately 30% of HA subjects and inhibitors to </w:t>
      </w:r>
      <w:proofErr w:type="spellStart"/>
      <w:r>
        <w:t>fIX</w:t>
      </w:r>
      <w:proofErr w:type="spellEnd"/>
      <w:r>
        <w:t xml:space="preserve"> occur in approximately 5% of HB subjects. They occur more commonly in subjects with severe factor deficiency.</w:t>
      </w:r>
    </w:p>
    <w:p w14:paraId="1D16B449" w14:textId="32DBC7A7" w:rsidR="00B61BD6" w:rsidRDefault="00B61BD6" w:rsidP="00B61BD6">
      <w:r>
        <w:t xml:space="preserve">Inhibitors are measured by the Bethesda assay or the Nijmegen-modified Bethesda assay. The definition of a positive inhibitor is a Bethesda titre of </w:t>
      </w:r>
      <w:r w:rsidR="00A43853">
        <w:t>greater than</w:t>
      </w:r>
      <w:r w:rsidR="00661D0D">
        <w:t> </w:t>
      </w:r>
      <w:r>
        <w:t xml:space="preserve">0.6 Bethesda </w:t>
      </w:r>
      <w:r w:rsidRPr="00676791">
        <w:t>units (BU) for</w:t>
      </w:r>
      <w:r>
        <w:t xml:space="preserve"> </w:t>
      </w:r>
      <w:proofErr w:type="spellStart"/>
      <w:r>
        <w:t>fVIII</w:t>
      </w:r>
      <w:proofErr w:type="spellEnd"/>
      <w:r>
        <w:t xml:space="preserve"> and</w:t>
      </w:r>
      <w:r w:rsidR="00661D0D">
        <w:t> </w:t>
      </w:r>
      <w:r>
        <w:t>0.3 BU</w:t>
      </w:r>
      <w:r w:rsidR="00A43853">
        <w:t xml:space="preserve"> or greater</w:t>
      </w:r>
      <w:r>
        <w:t xml:space="preserve"> for </w:t>
      </w:r>
      <w:proofErr w:type="spellStart"/>
      <w:r>
        <w:t>fIX</w:t>
      </w:r>
      <w:proofErr w:type="spellEnd"/>
      <w:r>
        <w:t>. A low</w:t>
      </w:r>
      <w:r w:rsidR="00A43853">
        <w:t xml:space="preserve"> </w:t>
      </w:r>
      <w:r>
        <w:t xml:space="preserve">responding inhibitor is an inhibitor </w:t>
      </w:r>
      <w:r w:rsidR="00A43853">
        <w:t xml:space="preserve">less than </w:t>
      </w:r>
      <w:r>
        <w:t>5.0 BU. A high</w:t>
      </w:r>
      <w:r w:rsidR="00A43853">
        <w:t xml:space="preserve"> </w:t>
      </w:r>
      <w:r>
        <w:t>responding inhibitor is an inhibitor</w:t>
      </w:r>
      <w:r w:rsidR="00661D0D">
        <w:t xml:space="preserve"> </w:t>
      </w:r>
      <w:r>
        <w:t>5.0 BU</w:t>
      </w:r>
      <w:r w:rsidR="00A43853">
        <w:t xml:space="preserve"> or greater</w:t>
      </w:r>
      <w:r>
        <w:t>.</w:t>
      </w:r>
    </w:p>
    <w:p w14:paraId="0B0F06F3" w14:textId="303EF473" w:rsidR="00B61BD6" w:rsidRDefault="00B61BD6" w:rsidP="00B61BD6">
      <w:r>
        <w:t>A transient inhibitor is defined as a positive inhibitor that drops below the definition threshold within 6 months of initial documentation without any change in treatment regimen, and despite antigenic challenge with clotting factor. Low</w:t>
      </w:r>
      <w:r w:rsidR="00A43853">
        <w:t xml:space="preserve"> </w:t>
      </w:r>
      <w:r>
        <w:t>responding inhibitors tend to be transient whereas high</w:t>
      </w:r>
      <w:r w:rsidR="00A43853">
        <w:t xml:space="preserve"> </w:t>
      </w:r>
      <w:r>
        <w:t>responding inhibitors tend to be persistent. High</w:t>
      </w:r>
      <w:r w:rsidR="00A43853">
        <w:t xml:space="preserve"> </w:t>
      </w:r>
      <w:r>
        <w:t>responding inhibitors may become undetectable after a prolonged period without clotting factor exposure but reoccur after a rechallenge (an anamnestic response).</w:t>
      </w:r>
    </w:p>
    <w:p w14:paraId="5A8A551E" w14:textId="36700192" w:rsidR="00B61BD6" w:rsidRDefault="00B61BD6" w:rsidP="00661D0D">
      <w:pPr>
        <w:pStyle w:val="Heading5"/>
      </w:pPr>
      <w:r>
        <w:t xml:space="preserve">Treatment of </w:t>
      </w:r>
      <w:r w:rsidR="00A43853">
        <w:t>h</w:t>
      </w:r>
      <w:r>
        <w:t>aemophilia A with inhibitors</w:t>
      </w:r>
      <w:r w:rsidR="00572F9F">
        <w:fldChar w:fldCharType="begin"/>
      </w:r>
      <w:r w:rsidR="00572F9F">
        <w:instrText xml:space="preserve"> DOCVARIABLE vault_nd_c3f7cb05-bce2-4b92-b17b-017e73aad3c4 \* MERGEFORMAT </w:instrText>
      </w:r>
      <w:r w:rsidR="00572F9F">
        <w:fldChar w:fldCharType="separate"/>
      </w:r>
      <w:r w:rsidR="001B5D20">
        <w:t xml:space="preserve"> </w:t>
      </w:r>
      <w:r w:rsidR="00572F9F">
        <w:fldChar w:fldCharType="end"/>
      </w:r>
    </w:p>
    <w:p w14:paraId="07F04CA0" w14:textId="43F5C53E" w:rsidR="00B61BD6" w:rsidRDefault="00B61BD6" w:rsidP="00B61BD6">
      <w:r>
        <w:t xml:space="preserve">Immune </w:t>
      </w:r>
      <w:r w:rsidR="00661D0D">
        <w:t>t</w:t>
      </w:r>
      <w:r>
        <w:t xml:space="preserve">olerance </w:t>
      </w:r>
      <w:r w:rsidR="00661D0D">
        <w:t>i</w:t>
      </w:r>
      <w:r>
        <w:t>nduction (</w:t>
      </w:r>
      <w:r w:rsidRPr="00676791">
        <w:t>ITI</w:t>
      </w:r>
      <w:r>
        <w:t>) aims to eradicate inhibitors by regular administration (</w:t>
      </w:r>
      <w:r w:rsidR="00661D0D">
        <w:t>for example</w:t>
      </w:r>
      <w:r>
        <w:t xml:space="preserve">, daily or several times a week) of high doses of </w:t>
      </w:r>
      <w:proofErr w:type="spellStart"/>
      <w:r>
        <w:t>fVIII</w:t>
      </w:r>
      <w:proofErr w:type="spellEnd"/>
      <w:r>
        <w:t xml:space="preserve">, for a period of months to years. </w:t>
      </w:r>
      <w:r w:rsidR="00A43853" w:rsidRPr="00A43853">
        <w:t xml:space="preserve">Immune tolerance induction </w:t>
      </w:r>
      <w:r>
        <w:t>is effective in 60</w:t>
      </w:r>
      <w:r w:rsidR="00661D0D">
        <w:t xml:space="preserve"> to </w:t>
      </w:r>
      <w:r>
        <w:t>80% of HA patients and is considered standard of care in subjects with severe HA who develop high-titre inhibitors.</w:t>
      </w:r>
      <w:bookmarkStart w:id="28" w:name="_Ref149560999"/>
      <w:r w:rsidR="00661D0D">
        <w:rPr>
          <w:rStyle w:val="FootnoteReference"/>
        </w:rPr>
        <w:footnoteReference w:id="12"/>
      </w:r>
      <w:bookmarkEnd w:id="28"/>
      <w:r w:rsidR="00A43853">
        <w:t xml:space="preserve"> Immune tolerance induction </w:t>
      </w:r>
      <w:r>
        <w:t>is less successful in subjects with mild or moderate HA.</w:t>
      </w:r>
    </w:p>
    <w:p w14:paraId="28B838BE" w14:textId="77777777" w:rsidR="00B61BD6" w:rsidRDefault="00B61BD6" w:rsidP="00B61BD6">
      <w:r>
        <w:t>Prophylaxis for bleeding episodes can be achieved through the administration of bypassing agents. These include:</w:t>
      </w:r>
    </w:p>
    <w:p w14:paraId="3E65A7B7" w14:textId="63E2C681" w:rsidR="00B61BD6" w:rsidRDefault="00B61BD6" w:rsidP="00661D0D">
      <w:pPr>
        <w:pStyle w:val="ListBullet"/>
      </w:pPr>
      <w:r>
        <w:t xml:space="preserve">Recombinant activated factor </w:t>
      </w:r>
      <w:r w:rsidRPr="00676791">
        <w:t>VII (</w:t>
      </w:r>
      <w:proofErr w:type="spellStart"/>
      <w:r w:rsidRPr="00676791">
        <w:t>rfVIIa</w:t>
      </w:r>
      <w:proofErr w:type="spellEnd"/>
      <w:r w:rsidRPr="00676791">
        <w:t>),</w:t>
      </w:r>
      <w:r>
        <w:t xml:space="preserve"> which makes use of the extrinsic pathway and negates the need for </w:t>
      </w:r>
      <w:proofErr w:type="spellStart"/>
      <w:r>
        <w:t>fVIII</w:t>
      </w:r>
      <w:proofErr w:type="spellEnd"/>
      <w:r>
        <w:t xml:space="preserve"> (see</w:t>
      </w:r>
      <w:r w:rsidR="00661D0D">
        <w:t xml:space="preserve"> </w:t>
      </w:r>
      <w:r w:rsidR="00661D0D">
        <w:fldChar w:fldCharType="begin"/>
      </w:r>
      <w:r w:rsidR="00661D0D">
        <w:instrText xml:space="preserve"> REF _Ref149560950 \h </w:instrText>
      </w:r>
      <w:r w:rsidR="00661D0D">
        <w:fldChar w:fldCharType="separate"/>
      </w:r>
      <w:r w:rsidR="001B5D20" w:rsidRPr="00B61BD6">
        <w:t xml:space="preserve">Figure </w:t>
      </w:r>
      <w:r w:rsidR="001B5D20">
        <w:rPr>
          <w:noProof/>
        </w:rPr>
        <w:t>1</w:t>
      </w:r>
      <w:r w:rsidR="00661D0D">
        <w:fldChar w:fldCharType="end"/>
      </w:r>
      <w:r>
        <w:t xml:space="preserve">), </w:t>
      </w:r>
      <w:proofErr w:type="gramStart"/>
      <w:r>
        <w:t>and;</w:t>
      </w:r>
      <w:proofErr w:type="gramEnd"/>
    </w:p>
    <w:p w14:paraId="5CDFF763" w14:textId="08BD1196" w:rsidR="00B61BD6" w:rsidRDefault="00B61BD6" w:rsidP="00661D0D">
      <w:pPr>
        <w:pStyle w:val="ListBullet"/>
      </w:pPr>
      <w:r>
        <w:t xml:space="preserve">Activated prothrombin complex </w:t>
      </w:r>
      <w:r w:rsidRPr="00676791">
        <w:t>concentrate (</w:t>
      </w:r>
      <w:proofErr w:type="spellStart"/>
      <w:r w:rsidRPr="00676791">
        <w:t>aPCC</w:t>
      </w:r>
      <w:proofErr w:type="spellEnd"/>
      <w:r w:rsidR="00A43853" w:rsidRPr="00676791">
        <w:t>)</w:t>
      </w:r>
      <w:r w:rsidRPr="00676791">
        <w:t>,</w:t>
      </w:r>
      <w:r>
        <w:t xml:space="preserve"> also known as factor VIII inhibitor bypassing fraction), which contains a mix of activated and inactivated factors VII, II, IX and X.</w:t>
      </w:r>
      <w:r w:rsidR="00661D0D">
        <w:rPr>
          <w:rStyle w:val="FootnoteReference"/>
        </w:rPr>
        <w:footnoteReference w:id="13"/>
      </w:r>
    </w:p>
    <w:p w14:paraId="17227DFD" w14:textId="541B06B2" w:rsidR="00B61BD6" w:rsidRDefault="00B61BD6" w:rsidP="00B61BD6">
      <w:r>
        <w:t xml:space="preserve">In HA, </w:t>
      </w:r>
      <w:proofErr w:type="spellStart"/>
      <w:r>
        <w:t>emicizumab</w:t>
      </w:r>
      <w:proofErr w:type="spellEnd"/>
      <w:r>
        <w:t xml:space="preserve"> is another option for prophylaxis. </w:t>
      </w:r>
      <w:proofErr w:type="spellStart"/>
      <w:r>
        <w:t>Emicizumab</w:t>
      </w:r>
      <w:proofErr w:type="spellEnd"/>
      <w:r>
        <w:t xml:space="preserve"> is a bispecific monoclonal antibody that bridges activated </w:t>
      </w:r>
      <w:proofErr w:type="spellStart"/>
      <w:r>
        <w:t>fIX</w:t>
      </w:r>
      <w:proofErr w:type="spellEnd"/>
      <w:r>
        <w:t xml:space="preserve"> and FX to mimic the function of missing activated </w:t>
      </w:r>
      <w:proofErr w:type="spellStart"/>
      <w:r>
        <w:t>fVIII</w:t>
      </w:r>
      <w:proofErr w:type="spellEnd"/>
      <w:r>
        <w:t xml:space="preserve">. </w:t>
      </w:r>
      <w:proofErr w:type="spellStart"/>
      <w:r>
        <w:t>Emicizumab</w:t>
      </w:r>
      <w:proofErr w:type="spellEnd"/>
      <w:r>
        <w:t xml:space="preserve"> is more effective as prophylaxis than bypassing agents, and simpler to administer, as it is given subcutaneously (</w:t>
      </w:r>
      <w:r w:rsidRPr="00676791">
        <w:t>SC</w:t>
      </w:r>
      <w:r>
        <w:t>).</w:t>
      </w:r>
      <w:r w:rsidR="00661D0D">
        <w:fldChar w:fldCharType="begin"/>
      </w:r>
      <w:r w:rsidR="00661D0D">
        <w:instrText xml:space="preserve"> NOTEREF _Ref149560999 \f \h </w:instrText>
      </w:r>
      <w:r w:rsidR="00661D0D">
        <w:fldChar w:fldCharType="separate"/>
      </w:r>
      <w:r w:rsidR="001B5D20" w:rsidRPr="001B5D20">
        <w:rPr>
          <w:rStyle w:val="FootnoteReference"/>
        </w:rPr>
        <w:t>11</w:t>
      </w:r>
      <w:r w:rsidR="00661D0D">
        <w:fldChar w:fldCharType="end"/>
      </w:r>
    </w:p>
    <w:p w14:paraId="21481167" w14:textId="40F8F85B" w:rsidR="00B61BD6" w:rsidRDefault="00B61BD6" w:rsidP="00B61BD6">
      <w:r w:rsidRPr="00676791">
        <w:lastRenderedPageBreak/>
        <w:t xml:space="preserve">In Australia both </w:t>
      </w:r>
      <w:proofErr w:type="spellStart"/>
      <w:r w:rsidRPr="00676791">
        <w:t>emicizumab</w:t>
      </w:r>
      <w:proofErr w:type="spellEnd"/>
      <w:r w:rsidRPr="00676791">
        <w:t xml:space="preserve"> (</w:t>
      </w:r>
      <w:proofErr w:type="spellStart"/>
      <w:r w:rsidRPr="00676791">
        <w:t>H</w:t>
      </w:r>
      <w:r w:rsidR="00661D0D" w:rsidRPr="00676791">
        <w:t>emlibra</w:t>
      </w:r>
      <w:proofErr w:type="spellEnd"/>
      <w:r w:rsidRPr="00676791">
        <w:t xml:space="preserve">) and </w:t>
      </w:r>
      <w:proofErr w:type="spellStart"/>
      <w:r w:rsidRPr="00676791">
        <w:t>aPCC</w:t>
      </w:r>
      <w:proofErr w:type="spellEnd"/>
      <w:r w:rsidRPr="00676791">
        <w:t xml:space="preserve"> (</w:t>
      </w:r>
      <w:proofErr w:type="spellStart"/>
      <w:r w:rsidRPr="00676791">
        <w:t>F</w:t>
      </w:r>
      <w:r w:rsidR="00661D0D" w:rsidRPr="00676791">
        <w:t>eiba</w:t>
      </w:r>
      <w:proofErr w:type="spellEnd"/>
      <w:r w:rsidR="00661D0D" w:rsidRPr="00676791">
        <w:t xml:space="preserve"> </w:t>
      </w:r>
      <w:proofErr w:type="spellStart"/>
      <w:r w:rsidR="00661D0D" w:rsidRPr="00676791">
        <w:t>nf</w:t>
      </w:r>
      <w:proofErr w:type="spellEnd"/>
      <w:r w:rsidRPr="00676791">
        <w:t xml:space="preserve">) are registered for the routine prophylaxis of bleeding episodes in </w:t>
      </w:r>
      <w:r w:rsidR="005715BC" w:rsidRPr="00676791">
        <w:t>haemophilia A with inhibitors (</w:t>
      </w:r>
      <w:proofErr w:type="spellStart"/>
      <w:r w:rsidRPr="00676791">
        <w:t>HAwI</w:t>
      </w:r>
      <w:proofErr w:type="spellEnd"/>
      <w:r w:rsidR="005715BC" w:rsidRPr="00676791">
        <w:t>)</w:t>
      </w:r>
      <w:r w:rsidRPr="00676791">
        <w:t xml:space="preserve"> subjects.</w:t>
      </w:r>
      <w:r w:rsidR="00661D0D" w:rsidRPr="00676791">
        <w:rPr>
          <w:rStyle w:val="FootnoteReference"/>
        </w:rPr>
        <w:footnoteReference w:id="14"/>
      </w:r>
      <w:r w:rsidR="00661D0D" w:rsidRPr="00676791">
        <w:t>,</w:t>
      </w:r>
      <w:r w:rsidR="00661D0D" w:rsidRPr="00676791">
        <w:rPr>
          <w:rStyle w:val="FootnoteReference"/>
        </w:rPr>
        <w:footnoteReference w:id="15"/>
      </w:r>
      <w:r w:rsidR="00A43853" w:rsidRPr="00676791">
        <w:t xml:space="preserve"> </w:t>
      </w:r>
      <w:r w:rsidRPr="00676791">
        <w:t xml:space="preserve">The approved Australian </w:t>
      </w:r>
      <w:r w:rsidR="00A43853" w:rsidRPr="00676791">
        <w:t>Product Information (</w:t>
      </w:r>
      <w:r w:rsidRPr="00676791">
        <w:t>PI</w:t>
      </w:r>
      <w:r w:rsidR="00A43853" w:rsidRPr="00676791">
        <w:t>)</w:t>
      </w:r>
      <w:r w:rsidRPr="00676791">
        <w:t xml:space="preserve"> for </w:t>
      </w:r>
      <w:proofErr w:type="spellStart"/>
      <w:r w:rsidRPr="00676791">
        <w:t>rfVIIa</w:t>
      </w:r>
      <w:proofErr w:type="spellEnd"/>
      <w:r w:rsidRPr="00676791">
        <w:t>/</w:t>
      </w:r>
      <w:proofErr w:type="spellStart"/>
      <w:r w:rsidRPr="00676791">
        <w:t>eptacog</w:t>
      </w:r>
      <w:proofErr w:type="spellEnd"/>
      <w:r w:rsidRPr="00676791">
        <w:t xml:space="preserve"> alfa (</w:t>
      </w:r>
      <w:proofErr w:type="spellStart"/>
      <w:r w:rsidRPr="00676791">
        <w:t>N</w:t>
      </w:r>
      <w:r w:rsidR="00A3617F" w:rsidRPr="00676791">
        <w:t>ovo</w:t>
      </w:r>
      <w:r w:rsidR="00676791">
        <w:t>S</w:t>
      </w:r>
      <w:r w:rsidR="00A3617F" w:rsidRPr="00676791">
        <w:t>even</w:t>
      </w:r>
      <w:proofErr w:type="spellEnd"/>
      <w:r w:rsidR="00A3617F" w:rsidRPr="00676791">
        <w:t xml:space="preserve"> </w:t>
      </w:r>
      <w:r w:rsidRPr="00676791">
        <w:t>RT) also allows for prophylactic use, but for a limited period (up to 3 months).</w:t>
      </w:r>
      <w:r w:rsidR="00661D0D" w:rsidRPr="00676791">
        <w:rPr>
          <w:rStyle w:val="FootnoteReference"/>
        </w:rPr>
        <w:footnoteReference w:id="16"/>
      </w:r>
    </w:p>
    <w:p w14:paraId="64D062A0" w14:textId="73EDE6D3" w:rsidR="00B61BD6" w:rsidRDefault="00B61BD6" w:rsidP="00B61BD6">
      <w:r>
        <w:t>Treatment of acute bleeding episodes is dependent upon the level of inhibitor present. In subjects with a low</w:t>
      </w:r>
      <w:r w:rsidR="00A43853">
        <w:t xml:space="preserve"> </w:t>
      </w:r>
      <w:r>
        <w:t xml:space="preserve">responding inhibitor, acute bleeds can be managed with continuing use of a </w:t>
      </w:r>
      <w:proofErr w:type="spellStart"/>
      <w:r>
        <w:t>fVIII</w:t>
      </w:r>
      <w:proofErr w:type="spellEnd"/>
      <w:r>
        <w:t xml:space="preserve"> product, although higher doses may be required. In subjects with a high</w:t>
      </w:r>
      <w:r w:rsidR="00A43853">
        <w:t xml:space="preserve"> </w:t>
      </w:r>
      <w:r>
        <w:t xml:space="preserve">responding inhibitor, </w:t>
      </w:r>
      <w:proofErr w:type="spellStart"/>
      <w:r>
        <w:t>fVIII</w:t>
      </w:r>
      <w:proofErr w:type="spellEnd"/>
      <w:r>
        <w:t xml:space="preserve"> replacement is ineffective, and treatment requires use of a bypassing agent (</w:t>
      </w:r>
      <w:proofErr w:type="spellStart"/>
      <w:r>
        <w:t>rfVIIa</w:t>
      </w:r>
      <w:proofErr w:type="spellEnd"/>
      <w:r>
        <w:t xml:space="preserve"> or </w:t>
      </w:r>
      <w:proofErr w:type="spellStart"/>
      <w:r>
        <w:t>aPCC</w:t>
      </w:r>
      <w:proofErr w:type="spellEnd"/>
      <w:r>
        <w:t xml:space="preserve">). In subjects receiving </w:t>
      </w:r>
      <w:proofErr w:type="spellStart"/>
      <w:r>
        <w:t>emicizumab</w:t>
      </w:r>
      <w:proofErr w:type="spellEnd"/>
      <w:r>
        <w:t xml:space="preserve"> prophylaxis who require treatment of an acute bleeding episode, use of </w:t>
      </w:r>
      <w:proofErr w:type="spellStart"/>
      <w:r>
        <w:t>aPCC</w:t>
      </w:r>
      <w:proofErr w:type="spellEnd"/>
      <w:r>
        <w:t xml:space="preserve"> has been associated with cases of thrombotic microangiopathy and thrombotic events, so </w:t>
      </w:r>
      <w:proofErr w:type="spellStart"/>
      <w:r>
        <w:t>rfVIIa</w:t>
      </w:r>
      <w:proofErr w:type="spellEnd"/>
      <w:r>
        <w:t xml:space="preserve"> is preferred.</w:t>
      </w:r>
    </w:p>
    <w:p w14:paraId="29647589" w14:textId="4BF196F3" w:rsidR="00B61BD6" w:rsidRDefault="00B61BD6" w:rsidP="00661D0D">
      <w:pPr>
        <w:pStyle w:val="Heading5"/>
      </w:pPr>
      <w:r w:rsidRPr="00A3617F">
        <w:t xml:space="preserve">Treatment of </w:t>
      </w:r>
      <w:r w:rsidR="00A43853" w:rsidRPr="00A3617F">
        <w:t>h</w:t>
      </w:r>
      <w:r w:rsidRPr="00A3617F">
        <w:t>aemophilia B with inhibitors</w:t>
      </w:r>
      <w:r w:rsidR="00572F9F">
        <w:fldChar w:fldCharType="begin"/>
      </w:r>
      <w:r w:rsidR="00572F9F">
        <w:instrText xml:space="preserve"> DOCVARIABLE vault_nd_6a5dca7f-b9ed-4d82-8fc9-994f343c5cd7 \* MERGEFORMAT </w:instrText>
      </w:r>
      <w:r w:rsidR="00572F9F">
        <w:fldChar w:fldCharType="separate"/>
      </w:r>
      <w:r w:rsidR="001B5D20">
        <w:t xml:space="preserve"> </w:t>
      </w:r>
      <w:r w:rsidR="00572F9F">
        <w:fldChar w:fldCharType="end"/>
      </w:r>
    </w:p>
    <w:p w14:paraId="0DFDC158" w14:textId="77777777" w:rsidR="00B61BD6" w:rsidRDefault="00B61BD6" w:rsidP="00B61BD6">
      <w:r>
        <w:t xml:space="preserve">Inhibitor development in HB subjects is associated with anaphylaxis or severe allergic reactions to exogenous </w:t>
      </w:r>
      <w:proofErr w:type="spellStart"/>
      <w:r>
        <w:t>fIX</w:t>
      </w:r>
      <w:proofErr w:type="spellEnd"/>
      <w:r>
        <w:t xml:space="preserve"> in 50% of subjects. Inhibitors may also be associated with the development of nephrotic syndrome.</w:t>
      </w:r>
    </w:p>
    <w:p w14:paraId="5AEF05C3" w14:textId="0CDB99A6" w:rsidR="00B61BD6" w:rsidRDefault="00B61BD6" w:rsidP="00B61BD6">
      <w:r>
        <w:t xml:space="preserve">Eradication of inhibitors through ITI can be attempted using regular administration of high doses of </w:t>
      </w:r>
      <w:proofErr w:type="spellStart"/>
      <w:r>
        <w:t>fIX</w:t>
      </w:r>
      <w:proofErr w:type="spellEnd"/>
      <w:r>
        <w:t>. However, ITI in HB subjects has a low success rate (30</w:t>
      </w:r>
      <w:r w:rsidR="00676791">
        <w:t xml:space="preserve"> to </w:t>
      </w:r>
      <w:r>
        <w:t>35%)</w:t>
      </w:r>
      <w:r w:rsidR="00661D0D">
        <w:rPr>
          <w:rStyle w:val="FootnoteReference"/>
        </w:rPr>
        <w:footnoteReference w:id="17"/>
      </w:r>
      <w:r w:rsidR="00A3617F">
        <w:t xml:space="preserve"> </w:t>
      </w:r>
      <w:r>
        <w:t xml:space="preserve">and is complicated by the additional risks of anaphylaxis and nephrotic syndrome. In its current guideline document the </w:t>
      </w:r>
      <w:r w:rsidR="00A3617F" w:rsidRPr="00A3617F">
        <w:t xml:space="preserve">World Federation of </w:t>
      </w:r>
      <w:r w:rsidR="00A3617F" w:rsidRPr="00676791">
        <w:t>Haemophilia (</w:t>
      </w:r>
      <w:r w:rsidRPr="00676791">
        <w:t>WFH</w:t>
      </w:r>
      <w:r w:rsidR="00A3617F" w:rsidRPr="00676791">
        <w:t>)</w:t>
      </w:r>
      <w:r>
        <w:t xml:space="preserve"> states that it is unable to make a recommendation on the use of ITI in HB, as experience is limited.</w:t>
      </w:r>
    </w:p>
    <w:p w14:paraId="1EBCFDE8" w14:textId="077F3B55" w:rsidR="00B61BD6" w:rsidRDefault="00B61BD6" w:rsidP="00B61BD6">
      <w:r>
        <w:t xml:space="preserve">Prophylaxis for bleeding episodes is possible using the same bypassing agents described above, which are registered in Australia for HB as for HA. </w:t>
      </w:r>
      <w:r w:rsidR="00676791" w:rsidRPr="0099192B">
        <w:rPr>
          <w:szCs w:val="24"/>
        </w:rPr>
        <w:t>Recombinant activated factor VII</w:t>
      </w:r>
      <w:r w:rsidR="00676791">
        <w:t xml:space="preserve"> (</w:t>
      </w:r>
      <w:proofErr w:type="spellStart"/>
      <w:r>
        <w:t>rfVIIa</w:t>
      </w:r>
      <w:proofErr w:type="spellEnd"/>
      <w:r w:rsidR="00676791">
        <w:t>)</w:t>
      </w:r>
      <w:r>
        <w:t xml:space="preserve"> is preferred, </w:t>
      </w:r>
      <w:proofErr w:type="gramStart"/>
      <w:r>
        <w:t>due to the fact that</w:t>
      </w:r>
      <w:proofErr w:type="gramEnd"/>
      <w:r>
        <w:t xml:space="preserve"> </w:t>
      </w:r>
      <w:proofErr w:type="spellStart"/>
      <w:r>
        <w:t>aPCC</w:t>
      </w:r>
      <w:proofErr w:type="spellEnd"/>
      <w:r>
        <w:t xml:space="preserve"> contains </w:t>
      </w:r>
      <w:proofErr w:type="spellStart"/>
      <w:r>
        <w:t>fIX</w:t>
      </w:r>
      <w:proofErr w:type="spellEnd"/>
      <w:r>
        <w:t xml:space="preserve"> which may precipitate anaphylaxis.</w:t>
      </w:r>
    </w:p>
    <w:p w14:paraId="53656E9E" w14:textId="26FF5810" w:rsidR="00B61BD6" w:rsidRDefault="00B61BD6" w:rsidP="00B61BD6">
      <w:proofErr w:type="spellStart"/>
      <w:r>
        <w:t>Emicizumab</w:t>
      </w:r>
      <w:proofErr w:type="spellEnd"/>
      <w:r>
        <w:t xml:space="preserve"> can</w:t>
      </w:r>
      <w:r w:rsidR="00661D0D">
        <w:t>not</w:t>
      </w:r>
      <w:r>
        <w:t xml:space="preserve"> be used for prophylaxis in HB as its mechanism of action is specific to HA.</w:t>
      </w:r>
    </w:p>
    <w:p w14:paraId="547D44F7" w14:textId="07FFD014" w:rsidR="00B61BD6" w:rsidRDefault="00B61BD6" w:rsidP="00B61BD6">
      <w:r>
        <w:t xml:space="preserve">On-demand treatment of acute bleeding episodes uses a similar approach to that used in </w:t>
      </w:r>
      <w:proofErr w:type="spellStart"/>
      <w:r>
        <w:t>HAwI</w:t>
      </w:r>
      <w:proofErr w:type="spellEnd"/>
      <w:r>
        <w:t>. For</w:t>
      </w:r>
      <w:r w:rsidR="00676791">
        <w:t xml:space="preserve"> </w:t>
      </w:r>
      <w:r w:rsidR="00676791" w:rsidRPr="00A3617F">
        <w:t>haemophilia B with inhibitors</w:t>
      </w:r>
      <w:r>
        <w:t xml:space="preserve"> </w:t>
      </w:r>
      <w:r w:rsidR="00676791">
        <w:t>(</w:t>
      </w:r>
      <w:proofErr w:type="spellStart"/>
      <w:r>
        <w:t>HBwI</w:t>
      </w:r>
      <w:proofErr w:type="spellEnd"/>
      <w:r w:rsidR="00676791">
        <w:t>)</w:t>
      </w:r>
      <w:r>
        <w:t xml:space="preserve"> subjects with a low-responding inhibitor, acute bleeds can be managed with continuing use of a </w:t>
      </w:r>
      <w:proofErr w:type="spellStart"/>
      <w:r>
        <w:t>fIX</w:t>
      </w:r>
      <w:proofErr w:type="spellEnd"/>
      <w:r>
        <w:t xml:space="preserve"> product, provided there is no allergic response. In subjects with a high-responding inhibitor, or those with a low-responding inhibitor and evidence of allergy to </w:t>
      </w:r>
      <w:proofErr w:type="spellStart"/>
      <w:r>
        <w:t>fIX</w:t>
      </w:r>
      <w:proofErr w:type="spellEnd"/>
      <w:r>
        <w:t xml:space="preserve">, a bypassing agent is used. </w:t>
      </w:r>
      <w:r w:rsidR="00A3617F">
        <w:t xml:space="preserve">Recombinant </w:t>
      </w:r>
      <w:proofErr w:type="spellStart"/>
      <w:r>
        <w:t>fVIIa</w:t>
      </w:r>
      <w:proofErr w:type="spellEnd"/>
      <w:r>
        <w:t xml:space="preserve"> is preferred due to the presence of </w:t>
      </w:r>
      <w:proofErr w:type="spellStart"/>
      <w:r>
        <w:t>fIX</w:t>
      </w:r>
      <w:proofErr w:type="spellEnd"/>
      <w:r>
        <w:t xml:space="preserve"> in </w:t>
      </w:r>
      <w:proofErr w:type="spellStart"/>
      <w:r>
        <w:t>aPCC</w:t>
      </w:r>
      <w:proofErr w:type="spellEnd"/>
      <w:r>
        <w:t>.</w:t>
      </w:r>
    </w:p>
    <w:p w14:paraId="64CBA50D" w14:textId="343676A8" w:rsidR="00B61BD6" w:rsidRDefault="00B61BD6" w:rsidP="00661D0D">
      <w:pPr>
        <w:pStyle w:val="Heading4"/>
      </w:pPr>
      <w:bookmarkStart w:id="29" w:name="_Toc160786374"/>
      <w:r>
        <w:t>Clinical need</w:t>
      </w:r>
      <w:bookmarkEnd w:id="29"/>
      <w:r w:rsidR="0048603E">
        <w:fldChar w:fldCharType="begin"/>
      </w:r>
      <w:r w:rsidR="0048603E">
        <w:instrText xml:space="preserve"> DOCVARIABLE vault_nd_ddc38240-329c-40eb-a697-64caca9c4b80 \* MERGEFORMAT </w:instrText>
      </w:r>
      <w:r w:rsidR="0048603E">
        <w:fldChar w:fldCharType="separate"/>
      </w:r>
      <w:r w:rsidR="001B5D20">
        <w:t xml:space="preserve"> </w:t>
      </w:r>
      <w:r w:rsidR="0048603E">
        <w:fldChar w:fldCharType="end"/>
      </w:r>
    </w:p>
    <w:p w14:paraId="7387BE15" w14:textId="16F57533" w:rsidR="00B61BD6" w:rsidRDefault="00B61BD6" w:rsidP="00B61BD6">
      <w:r>
        <w:t>Bypassing agents (</w:t>
      </w:r>
      <w:proofErr w:type="spellStart"/>
      <w:r>
        <w:t>rfVIIa</w:t>
      </w:r>
      <w:proofErr w:type="spellEnd"/>
      <w:r>
        <w:t xml:space="preserve"> and </w:t>
      </w:r>
      <w:proofErr w:type="spellStart"/>
      <w:r>
        <w:t>aPCC</w:t>
      </w:r>
      <w:proofErr w:type="spellEnd"/>
      <w:r>
        <w:t>) must be administered</w:t>
      </w:r>
      <w:r w:rsidR="00A3617F">
        <w:t xml:space="preserve"> intravenously</w:t>
      </w:r>
      <w:r>
        <w:t xml:space="preserve">. Prophylaxis regimens may therefore require an implanted central venous access device. Subcutaneous prophylaxis with </w:t>
      </w:r>
      <w:proofErr w:type="spellStart"/>
      <w:r>
        <w:t>emicizumab</w:t>
      </w:r>
      <w:proofErr w:type="spellEnd"/>
      <w:r>
        <w:t xml:space="preserve"> obviates the need for such a procedure but can only be used in </w:t>
      </w:r>
      <w:r w:rsidR="00A3617F" w:rsidRPr="00A3617F">
        <w:t xml:space="preserve">haemophilia </w:t>
      </w:r>
      <w:r w:rsidR="00A3617F">
        <w:t>A</w:t>
      </w:r>
      <w:r w:rsidR="00A3617F" w:rsidRPr="00A3617F">
        <w:t xml:space="preserve"> with inhibitors </w:t>
      </w:r>
      <w:r w:rsidR="00A3617F">
        <w:t>(</w:t>
      </w:r>
      <w:proofErr w:type="spellStart"/>
      <w:r w:rsidRPr="00676791">
        <w:t>HAwI</w:t>
      </w:r>
      <w:proofErr w:type="spellEnd"/>
      <w:r w:rsidR="00A3617F" w:rsidRPr="00676791">
        <w:t>)</w:t>
      </w:r>
      <w:r w:rsidRPr="00676791">
        <w:t xml:space="preserve"> subjects. The availability of a subcutaneously administered product for prophylaxis in </w:t>
      </w:r>
      <w:r w:rsidR="00A3617F" w:rsidRPr="00676791">
        <w:t>haemophilia B with inhibitors (</w:t>
      </w:r>
      <w:proofErr w:type="spellStart"/>
      <w:r w:rsidRPr="00676791">
        <w:t>HBwI</w:t>
      </w:r>
      <w:proofErr w:type="spellEnd"/>
      <w:r w:rsidR="00A3617F" w:rsidRPr="00676791">
        <w:t>)</w:t>
      </w:r>
      <w:r w:rsidRPr="00676791">
        <w:t xml:space="preserve"> would therefore improve treatment options for </w:t>
      </w:r>
      <w:proofErr w:type="spellStart"/>
      <w:r w:rsidRPr="00676791">
        <w:t>HBwI</w:t>
      </w:r>
      <w:proofErr w:type="spellEnd"/>
      <w:r w:rsidRPr="00676791">
        <w:t xml:space="preserve"> subjects.</w:t>
      </w:r>
    </w:p>
    <w:p w14:paraId="39942E14" w14:textId="5792B569" w:rsidR="00B61BD6" w:rsidRDefault="00B61BD6" w:rsidP="00661D0D">
      <w:pPr>
        <w:pStyle w:val="Heading4"/>
      </w:pPr>
      <w:bookmarkStart w:id="30" w:name="_Toc160786375"/>
      <w:r>
        <w:lastRenderedPageBreak/>
        <w:t>Mechanism of action of concizumab</w:t>
      </w:r>
      <w:bookmarkEnd w:id="30"/>
      <w:r w:rsidR="0048603E">
        <w:fldChar w:fldCharType="begin"/>
      </w:r>
      <w:r w:rsidR="0048603E">
        <w:instrText xml:space="preserve"> DOCVARIABLE vault_nd_4f6c5744-2c0a-496b-a955-8431f0130245 \* MERGEFORMAT </w:instrText>
      </w:r>
      <w:r w:rsidR="0048603E">
        <w:fldChar w:fldCharType="separate"/>
      </w:r>
      <w:r w:rsidR="001B5D20">
        <w:t xml:space="preserve"> </w:t>
      </w:r>
      <w:r w:rsidR="0048603E">
        <w:fldChar w:fldCharType="end"/>
      </w:r>
    </w:p>
    <w:p w14:paraId="04B89840" w14:textId="48B3FA81" w:rsidR="00B61BD6" w:rsidRDefault="00B61BD6" w:rsidP="00B61BD6">
      <w:r>
        <w:t xml:space="preserve">Concizumab is a monoclonal antibody with specificity against the K2 domain of tissue factor pathway inhibitor 1 (TFPI-1, hereafter referred to </w:t>
      </w:r>
      <w:r w:rsidRPr="00676791">
        <w:t>as TFPI).</w:t>
      </w:r>
      <w:r w:rsidR="00676791">
        <w:t xml:space="preserve"> Tissue factor pathway inhibitor</w:t>
      </w:r>
      <w:r>
        <w:t xml:space="preserve"> is an alternatively spliced anticoagulant protein that down-regulates initiation of the coagulation cascade.</w:t>
      </w:r>
      <w:bookmarkStart w:id="31" w:name="_Ref149561382"/>
      <w:r w:rsidR="00661D0D">
        <w:rPr>
          <w:rStyle w:val="FootnoteReference"/>
        </w:rPr>
        <w:footnoteReference w:id="18"/>
      </w:r>
      <w:bookmarkEnd w:id="31"/>
    </w:p>
    <w:p w14:paraId="38B580B4" w14:textId="3A89A081" w:rsidR="00B61BD6" w:rsidRDefault="00B61BD6" w:rsidP="00B61BD6">
      <w:r>
        <w:t>There are two major isoforms of TFPI in humans</w:t>
      </w:r>
      <w:r w:rsidR="00676791">
        <w:t xml:space="preserve">, </w:t>
      </w:r>
      <w:r>
        <w:t>TFPI</w:t>
      </w:r>
      <w:r w:rsidR="00A3617F">
        <w:t>α</w:t>
      </w:r>
      <w:r>
        <w:t xml:space="preserve"> (full length) and TFPI</w:t>
      </w:r>
      <w:r w:rsidR="00A3617F">
        <w:t>β</w:t>
      </w:r>
      <w:r>
        <w:t xml:space="preserve"> (splice variant).</w:t>
      </w:r>
      <w:r w:rsidR="00661D0D">
        <w:rPr>
          <w:rStyle w:val="FootnoteReference"/>
        </w:rPr>
        <w:footnoteReference w:id="19"/>
      </w:r>
      <w:r w:rsidR="00661D0D">
        <w:t xml:space="preserve"> </w:t>
      </w:r>
      <w:r>
        <w:t xml:space="preserve">Both contain K (Kunitz) protease inhibitor domains K1 and K2. K2 directly binds the active site of </w:t>
      </w:r>
      <w:proofErr w:type="spellStart"/>
      <w:r>
        <w:t>fXa</w:t>
      </w:r>
      <w:proofErr w:type="spellEnd"/>
      <w:r>
        <w:t xml:space="preserve"> and facilitates binding of K1 to the active site of the </w:t>
      </w:r>
      <w:r w:rsidR="00676791">
        <w:t>TF</w:t>
      </w:r>
      <w:r>
        <w:t>-</w:t>
      </w:r>
      <w:proofErr w:type="spellStart"/>
      <w:r>
        <w:t>fVIIa</w:t>
      </w:r>
      <w:proofErr w:type="spellEnd"/>
      <w:r>
        <w:t xml:space="preserve"> complex, leading to inhibition of the</w:t>
      </w:r>
      <w:r w:rsidR="00676791">
        <w:t xml:space="preserve"> TF</w:t>
      </w:r>
      <w:r>
        <w:t>‐</w:t>
      </w:r>
      <w:proofErr w:type="spellStart"/>
      <w:r>
        <w:t>fVIIa</w:t>
      </w:r>
      <w:proofErr w:type="spellEnd"/>
      <w:r>
        <w:t>‐</w:t>
      </w:r>
      <w:proofErr w:type="spellStart"/>
      <w:r>
        <w:t>fXa</w:t>
      </w:r>
      <w:proofErr w:type="spellEnd"/>
      <w:r>
        <w:t xml:space="preserve"> ternary complex (</w:t>
      </w:r>
      <w:r w:rsidR="00A526A8">
        <w:fldChar w:fldCharType="begin"/>
      </w:r>
      <w:r w:rsidR="00A526A8">
        <w:instrText xml:space="preserve"> REF _Ref149561511 \h </w:instrText>
      </w:r>
      <w:r w:rsidR="00A526A8">
        <w:fldChar w:fldCharType="separate"/>
      </w:r>
      <w:r w:rsidR="001B5D20" w:rsidRPr="00A526A8">
        <w:t xml:space="preserve">Figure </w:t>
      </w:r>
      <w:r w:rsidR="001B5D20">
        <w:rPr>
          <w:noProof/>
        </w:rPr>
        <w:t>2</w:t>
      </w:r>
      <w:r w:rsidR="00A526A8">
        <w:fldChar w:fldCharType="end"/>
      </w:r>
      <w:r>
        <w:t>).</w:t>
      </w:r>
      <w:r w:rsidR="00661D0D">
        <w:rPr>
          <w:rStyle w:val="FootnoteReference"/>
        </w:rPr>
        <w:footnoteReference w:id="20"/>
      </w:r>
    </w:p>
    <w:p w14:paraId="26174EBC" w14:textId="2C73D13B" w:rsidR="00B61BD6" w:rsidRDefault="00B61BD6" w:rsidP="00B61BD6">
      <w:r>
        <w:t>TFPI</w:t>
      </w:r>
      <w:r w:rsidR="00661D0D">
        <w:t>α</w:t>
      </w:r>
      <w:r>
        <w:t xml:space="preserve"> includes an additional domain (K3) that binds Protein S. Protein S provides a mechanism of cell surface localisation for TFPI</w:t>
      </w:r>
      <w:r w:rsidR="00661D0D">
        <w:t>α</w:t>
      </w:r>
      <w:r>
        <w:t xml:space="preserve"> and synergistically enhances its inhibition of </w:t>
      </w:r>
      <w:proofErr w:type="spellStart"/>
      <w:r>
        <w:t>fXa</w:t>
      </w:r>
      <w:proofErr w:type="spellEnd"/>
      <w:r>
        <w:t>.</w:t>
      </w:r>
      <w:r w:rsidR="00661D0D">
        <w:rPr>
          <w:rStyle w:val="FootnoteReference"/>
        </w:rPr>
        <w:footnoteReference w:id="21"/>
      </w:r>
      <w:r w:rsidR="00661D0D">
        <w:t xml:space="preserve"> </w:t>
      </w:r>
      <w:r>
        <w:t>Next to the K3 domain, TFPI</w:t>
      </w:r>
      <w:r w:rsidR="00661D0D">
        <w:t>α</w:t>
      </w:r>
      <w:r>
        <w:t xml:space="preserve"> has a basic C‐terminus that can bind to </w:t>
      </w:r>
      <w:proofErr w:type="spellStart"/>
      <w:r>
        <w:t>fV</w:t>
      </w:r>
      <w:proofErr w:type="spellEnd"/>
      <w:r>
        <w:t xml:space="preserve"> and inhibit early forms of the </w:t>
      </w:r>
      <w:proofErr w:type="spellStart"/>
      <w:r>
        <w:t>fVa‐fXa</w:t>
      </w:r>
      <w:proofErr w:type="spellEnd"/>
      <w:r>
        <w:t xml:space="preserve"> catalytic complex (prothrombinase), providing downregulation of the common coagulation pathway through this second mechanism.</w:t>
      </w:r>
      <w:r w:rsidR="00661D0D">
        <w:fldChar w:fldCharType="begin"/>
      </w:r>
      <w:r w:rsidR="00661D0D">
        <w:instrText xml:space="preserve"> NOTEREF _Ref149561382 \f \h </w:instrText>
      </w:r>
      <w:r w:rsidR="00661D0D">
        <w:fldChar w:fldCharType="separate"/>
      </w:r>
      <w:r w:rsidR="001B5D20" w:rsidRPr="001B5D20">
        <w:rPr>
          <w:rStyle w:val="FootnoteReference"/>
        </w:rPr>
        <w:t>17</w:t>
      </w:r>
      <w:r w:rsidR="00661D0D">
        <w:fldChar w:fldCharType="end"/>
      </w:r>
    </w:p>
    <w:p w14:paraId="673457DD" w14:textId="2D54086E" w:rsidR="00B61BD6" w:rsidRDefault="00B61BD6" w:rsidP="00B61BD6">
      <w:r>
        <w:t>TFPI</w:t>
      </w:r>
      <w:r w:rsidR="00661D0D">
        <w:t>β</w:t>
      </w:r>
      <w:r>
        <w:t xml:space="preserve">, whilst unable to inhibit prothrombinase, has a C-terminal glycophosphatidylinositol anchor that localises it to the cell surface. This localisation increases its ability to inhibit </w:t>
      </w:r>
      <w:r w:rsidR="00676791">
        <w:t>TF</w:t>
      </w:r>
      <w:r w:rsidR="00A3617F">
        <w:noBreakHyphen/>
      </w:r>
      <w:r>
        <w:t>mediated procoagulant activity at the endothelial surface.</w:t>
      </w:r>
      <w:r w:rsidR="00661D0D">
        <w:rPr>
          <w:rStyle w:val="FootnoteReference"/>
        </w:rPr>
        <w:footnoteReference w:id="22"/>
      </w:r>
    </w:p>
    <w:p w14:paraId="5E1BA3C2" w14:textId="0EF260E4" w:rsidR="00B61BD6" w:rsidRDefault="00B61BD6" w:rsidP="00B61BD6">
      <w:r>
        <w:t>In keeping with their differing C-termini, TFPI</w:t>
      </w:r>
      <w:r w:rsidR="00A526A8">
        <w:t>β</w:t>
      </w:r>
      <w:r>
        <w:t xml:space="preserve"> is only found on endothelial cells, whilst TFPI</w:t>
      </w:r>
      <w:r w:rsidR="00A526A8">
        <w:t>α</w:t>
      </w:r>
      <w:r>
        <w:t xml:space="preserve"> (with its ability to circulate as a soluble protein) is also found in platelets and plasma.</w:t>
      </w:r>
      <w:bookmarkStart w:id="32" w:name="_Ref149561759"/>
      <w:r w:rsidR="00A526A8">
        <w:rPr>
          <w:rStyle w:val="FootnoteReference"/>
        </w:rPr>
        <w:footnoteReference w:id="23"/>
      </w:r>
      <w:bookmarkEnd w:id="32"/>
      <w:r w:rsidR="00A526A8">
        <w:t xml:space="preserve"> </w:t>
      </w:r>
      <w:r>
        <w:t>The ratio of total body TFPI across endothelial cells, platelets and plasma is approximately 85:10:5.</w:t>
      </w:r>
      <w:r w:rsidR="00A526A8">
        <w:rPr>
          <w:rStyle w:val="FootnoteReference"/>
        </w:rPr>
        <w:footnoteReference w:id="24"/>
      </w:r>
    </w:p>
    <w:p w14:paraId="65662796" w14:textId="18CCA7A9" w:rsidR="00B61BD6" w:rsidRDefault="00B61BD6" w:rsidP="00B61BD6">
      <w:r>
        <w:t xml:space="preserve">Haemophilia A and B patients have normal initiation of the coagulation system but suffer from an inadequate propagation of the coagulation process due to deficiency in </w:t>
      </w:r>
      <w:proofErr w:type="spellStart"/>
      <w:r>
        <w:t>fVIII</w:t>
      </w:r>
      <w:proofErr w:type="spellEnd"/>
      <w:r>
        <w:t xml:space="preserve"> or </w:t>
      </w:r>
      <w:proofErr w:type="spellStart"/>
      <w:r>
        <w:t>fIX</w:t>
      </w:r>
      <w:proofErr w:type="spellEnd"/>
      <w:r>
        <w:t xml:space="preserve">, leading to impaired </w:t>
      </w:r>
      <w:proofErr w:type="spellStart"/>
      <w:r>
        <w:t>fXa</w:t>
      </w:r>
      <w:proofErr w:type="spellEnd"/>
      <w:r>
        <w:t xml:space="preserve"> generation and, consequently, impaired fibrin clot formation. By binding to TFPI, concizumab is intended to reduce TFPI inhibitory activity so that the </w:t>
      </w:r>
      <w:proofErr w:type="spellStart"/>
      <w:r>
        <w:t>fXa</w:t>
      </w:r>
      <w:proofErr w:type="spellEnd"/>
      <w:r>
        <w:t xml:space="preserve"> produced by the </w:t>
      </w:r>
      <w:proofErr w:type="spellStart"/>
      <w:r>
        <w:t>fVIIa</w:t>
      </w:r>
      <w:proofErr w:type="spellEnd"/>
      <w:r>
        <w:t>/TF complex will result in sufficient generation of thrombin to achieve haemostasis (</w:t>
      </w:r>
      <w:r w:rsidR="00A526A8">
        <w:fldChar w:fldCharType="begin"/>
      </w:r>
      <w:r w:rsidR="00A526A8">
        <w:instrText xml:space="preserve"> REF _Ref149561518 \h </w:instrText>
      </w:r>
      <w:r w:rsidR="00A526A8">
        <w:fldChar w:fldCharType="separate"/>
      </w:r>
      <w:r w:rsidR="001B5D20" w:rsidRPr="00A526A8">
        <w:t xml:space="preserve">Figure </w:t>
      </w:r>
      <w:r w:rsidR="001B5D20">
        <w:rPr>
          <w:noProof/>
        </w:rPr>
        <w:t>3</w:t>
      </w:r>
      <w:r w:rsidR="00A526A8">
        <w:fldChar w:fldCharType="end"/>
      </w:r>
      <w:r>
        <w:t>).</w:t>
      </w:r>
    </w:p>
    <w:p w14:paraId="64A9B288" w14:textId="02FF000C" w:rsidR="00B61BD6" w:rsidRDefault="00B61BD6" w:rsidP="00B61BD6">
      <w:r>
        <w:t xml:space="preserve">The mechanism of action of concizumab is independent of the presence of </w:t>
      </w:r>
      <w:proofErr w:type="spellStart"/>
      <w:r>
        <w:t>fVIII</w:t>
      </w:r>
      <w:proofErr w:type="spellEnd"/>
      <w:r>
        <w:t xml:space="preserve"> or </w:t>
      </w:r>
      <w:proofErr w:type="spellStart"/>
      <w:r>
        <w:t>fIX</w:t>
      </w:r>
      <w:proofErr w:type="spellEnd"/>
      <w:r>
        <w:t xml:space="preserve">, and the drug is therefore being developed for the treatment of both </w:t>
      </w:r>
      <w:r w:rsidR="00676791">
        <w:t>H</w:t>
      </w:r>
      <w:r>
        <w:t xml:space="preserve">A and </w:t>
      </w:r>
      <w:r w:rsidR="00676791">
        <w:t>H</w:t>
      </w:r>
      <w:r>
        <w:t>B, regardless of inhibitor status.</w:t>
      </w:r>
    </w:p>
    <w:p w14:paraId="39AD6DC0" w14:textId="457ACE15" w:rsidR="00A526A8" w:rsidRDefault="00A526A8" w:rsidP="00A526A8">
      <w:pPr>
        <w:pStyle w:val="FigureTitle"/>
      </w:pPr>
      <w:bookmarkStart w:id="33" w:name="_Ref149561511"/>
      <w:r w:rsidRPr="00A526A8">
        <w:lastRenderedPageBreak/>
        <w:t xml:space="preserve">Figure </w:t>
      </w:r>
      <w:r w:rsidR="00572F9F">
        <w:fldChar w:fldCharType="begin"/>
      </w:r>
      <w:r w:rsidR="00572F9F">
        <w:instrText xml:space="preserve"> SEQ Figure \* ARABIC </w:instrText>
      </w:r>
      <w:r w:rsidR="00572F9F">
        <w:fldChar w:fldCharType="separate"/>
      </w:r>
      <w:r w:rsidR="001B5D20">
        <w:rPr>
          <w:noProof/>
        </w:rPr>
        <w:t>2</w:t>
      </w:r>
      <w:r w:rsidR="00572F9F">
        <w:rPr>
          <w:noProof/>
        </w:rPr>
        <w:fldChar w:fldCharType="end"/>
      </w:r>
      <w:bookmarkEnd w:id="33"/>
      <w:r>
        <w:t>:</w:t>
      </w:r>
      <w:r w:rsidRPr="00A526A8">
        <w:t xml:space="preserve"> </w:t>
      </w:r>
      <w:r>
        <w:t xml:space="preserve">Physiological functions of </w:t>
      </w:r>
      <w:r w:rsidR="00A3617F">
        <w:t>tissue factor pathway inhibitor</w:t>
      </w:r>
      <w:r w:rsidR="00572F9F">
        <w:fldChar w:fldCharType="begin"/>
      </w:r>
      <w:r w:rsidR="00572F9F">
        <w:instrText xml:space="preserve"> DOCVARIABLE vault_nd_85717771-47a2-4fab-adeb-88c3ea082392 \* MERGEFORMAT </w:instrText>
      </w:r>
      <w:r w:rsidR="00572F9F">
        <w:fldChar w:fldCharType="separate"/>
      </w:r>
      <w:r w:rsidR="001B5D20">
        <w:t xml:space="preserve"> </w:t>
      </w:r>
      <w:r w:rsidR="00572F9F">
        <w:fldChar w:fldCharType="end"/>
      </w:r>
    </w:p>
    <w:p w14:paraId="60F1BD5D" w14:textId="3DAEFE44" w:rsidR="00A526A8" w:rsidRDefault="00A526A8" w:rsidP="00A526A8">
      <w:r>
        <w:rPr>
          <w:noProof/>
        </w:rPr>
        <w:drawing>
          <wp:inline distT="0" distB="0" distL="0" distR="0" wp14:anchorId="5D3AA88B" wp14:editId="469ABD90">
            <wp:extent cx="5731510" cy="5302885"/>
            <wp:effectExtent l="0" t="0" r="2540" b="0"/>
            <wp:docPr id="2" name="Picture 2" descr="Physiological functions of tissue factor pathway inhib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ysiological functions of tissue factor pathway inhibi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302885"/>
                    </a:xfrm>
                    <a:prstGeom prst="rect">
                      <a:avLst/>
                    </a:prstGeom>
                    <a:noFill/>
                    <a:ln>
                      <a:noFill/>
                    </a:ln>
                  </pic:spPr>
                </pic:pic>
              </a:graphicData>
            </a:graphic>
          </wp:inline>
        </w:drawing>
      </w:r>
    </w:p>
    <w:p w14:paraId="38B5F293" w14:textId="77777777" w:rsidR="00A526A8" w:rsidRDefault="00A526A8" w:rsidP="00A526A8">
      <w:pPr>
        <w:pStyle w:val="FigureDescription"/>
      </w:pPr>
      <w:r w:rsidRPr="00943AEB">
        <w:t xml:space="preserve">a, active; C, carboxy; F, factor; GPI, glycophosphatidylinositol; K, Kunitz; N, amino; TF, tissue factor; TFPI, tissue factor pathway inhibitor </w:t>
      </w:r>
    </w:p>
    <w:p w14:paraId="0C56CCB5" w14:textId="77777777" w:rsidR="00676791" w:rsidRDefault="00A526A8" w:rsidP="00A526A8">
      <w:pPr>
        <w:pStyle w:val="FigureDescription"/>
      </w:pPr>
      <w:r>
        <w:t>(A) T</w:t>
      </w:r>
      <w:r w:rsidRPr="00943AEB">
        <w:t>he TF‐</w:t>
      </w:r>
      <w:proofErr w:type="spellStart"/>
      <w:r>
        <w:t>f</w:t>
      </w:r>
      <w:r w:rsidRPr="00943AEB">
        <w:t>VIIa</w:t>
      </w:r>
      <w:proofErr w:type="spellEnd"/>
      <w:r w:rsidRPr="00943AEB">
        <w:t xml:space="preserve"> complex </w:t>
      </w:r>
      <w:r>
        <w:t xml:space="preserve">promotes coagulation (through the common pathway) by </w:t>
      </w:r>
      <w:r w:rsidRPr="00943AEB">
        <w:t>activat</w:t>
      </w:r>
      <w:r>
        <w:t>ing</w:t>
      </w:r>
      <w:r w:rsidRPr="00943AEB">
        <w:t xml:space="preserve"> </w:t>
      </w:r>
      <w:proofErr w:type="spellStart"/>
      <w:r>
        <w:t>fX</w:t>
      </w:r>
      <w:proofErr w:type="spellEnd"/>
      <w:r>
        <w:t xml:space="preserve">, </w:t>
      </w:r>
      <w:proofErr w:type="gramStart"/>
      <w:r>
        <w:t>and also</w:t>
      </w:r>
      <w:proofErr w:type="gramEnd"/>
      <w:r>
        <w:t xml:space="preserve"> (through the intrinsic pathway) by activating </w:t>
      </w:r>
      <w:proofErr w:type="spellStart"/>
      <w:r>
        <w:t>f</w:t>
      </w:r>
      <w:r w:rsidRPr="00943AEB">
        <w:t>IX</w:t>
      </w:r>
      <w:proofErr w:type="spellEnd"/>
      <w:r w:rsidRPr="00943AEB">
        <w:t xml:space="preserve"> </w:t>
      </w:r>
      <w:r>
        <w:t xml:space="preserve">which also catalyses activation of </w:t>
      </w:r>
      <w:proofErr w:type="spellStart"/>
      <w:r>
        <w:t>fX</w:t>
      </w:r>
      <w:proofErr w:type="spellEnd"/>
      <w:r>
        <w:t xml:space="preserve"> (enhanced by </w:t>
      </w:r>
      <w:proofErr w:type="spellStart"/>
      <w:r>
        <w:t>fVIIIa</w:t>
      </w:r>
      <w:proofErr w:type="spellEnd"/>
      <w:r>
        <w:t>)</w:t>
      </w:r>
      <w:r w:rsidRPr="00943AEB">
        <w:t xml:space="preserve">. </w:t>
      </w:r>
      <w:proofErr w:type="spellStart"/>
      <w:r>
        <w:t>fXa</w:t>
      </w:r>
      <w:proofErr w:type="spellEnd"/>
      <w:r>
        <w:t xml:space="preserve"> activates </w:t>
      </w:r>
      <w:proofErr w:type="spellStart"/>
      <w:r>
        <w:t>fV</w:t>
      </w:r>
      <w:proofErr w:type="spellEnd"/>
      <w:r>
        <w:t xml:space="preserve">, and associates with </w:t>
      </w:r>
      <w:proofErr w:type="spellStart"/>
      <w:r>
        <w:t>fVa</w:t>
      </w:r>
      <w:proofErr w:type="spellEnd"/>
      <w:r>
        <w:t xml:space="preserve"> </w:t>
      </w:r>
      <w:r w:rsidRPr="00943AEB">
        <w:t xml:space="preserve">in </w:t>
      </w:r>
      <w:r>
        <w:t xml:space="preserve">the </w:t>
      </w:r>
      <w:r w:rsidRPr="00943AEB">
        <w:t>plasma membrane</w:t>
      </w:r>
      <w:r>
        <w:t xml:space="preserve">, becoming </w:t>
      </w:r>
      <w:r w:rsidRPr="00943AEB">
        <w:t xml:space="preserve">the prothrombinase complex, and </w:t>
      </w:r>
      <w:r>
        <w:t>proceeds to cleave</w:t>
      </w:r>
      <w:r w:rsidRPr="00943AEB">
        <w:t xml:space="preserve"> prothrombin to thrombin</w:t>
      </w:r>
      <w:r w:rsidR="00676791">
        <w:t>.</w:t>
      </w:r>
    </w:p>
    <w:p w14:paraId="2499B8DA" w14:textId="45594271" w:rsidR="00A526A8" w:rsidRDefault="00A526A8" w:rsidP="00A526A8">
      <w:pPr>
        <w:pStyle w:val="FigureDescription"/>
      </w:pPr>
      <w:r>
        <w:t xml:space="preserve">(B) </w:t>
      </w:r>
      <w:r w:rsidRPr="00943AEB">
        <w:t xml:space="preserve">The K2 domain of TFPIα binds to </w:t>
      </w:r>
      <w:proofErr w:type="spellStart"/>
      <w:r>
        <w:t>f</w:t>
      </w:r>
      <w:r w:rsidRPr="00943AEB">
        <w:t>Xa</w:t>
      </w:r>
      <w:proofErr w:type="spellEnd"/>
      <w:r w:rsidRPr="00943AEB">
        <w:t>, which supports inhibition of the TF‐</w:t>
      </w:r>
      <w:proofErr w:type="spellStart"/>
      <w:r>
        <w:t>f</w:t>
      </w:r>
      <w:r w:rsidRPr="00943AEB">
        <w:t>VIIa</w:t>
      </w:r>
      <w:proofErr w:type="spellEnd"/>
      <w:r w:rsidRPr="00943AEB">
        <w:t xml:space="preserve"> complex</w:t>
      </w:r>
      <w:r>
        <w:t>.</w:t>
      </w:r>
      <w:r w:rsidRPr="00943AEB">
        <w:t xml:space="preserve"> The binding of the K3 domain to PS supports membrane association of TFPIα and thus further promotes inhibition of the TF‐</w:t>
      </w:r>
      <w:proofErr w:type="spellStart"/>
      <w:r>
        <w:t>f</w:t>
      </w:r>
      <w:r w:rsidRPr="00943AEB">
        <w:t>VIIa</w:t>
      </w:r>
      <w:proofErr w:type="spellEnd"/>
      <w:r w:rsidRPr="00943AEB">
        <w:t xml:space="preserve"> complex. The basic C‐terminus of TFPIα can also interact with </w:t>
      </w:r>
      <w:proofErr w:type="spellStart"/>
      <w:r>
        <w:t>f</w:t>
      </w:r>
      <w:r w:rsidRPr="00943AEB">
        <w:t>Va</w:t>
      </w:r>
      <w:proofErr w:type="spellEnd"/>
      <w:r w:rsidRPr="00943AEB">
        <w:t>, resulting in inhibition of the early prothrombinase complex.</w:t>
      </w:r>
    </w:p>
    <w:p w14:paraId="600005FA" w14:textId="0E4B35BB" w:rsidR="00A526A8" w:rsidRDefault="00A526A8" w:rsidP="00A526A8">
      <w:pPr>
        <w:pStyle w:val="FigureDescription"/>
      </w:pPr>
      <w:r>
        <w:t xml:space="preserve">(C) </w:t>
      </w:r>
      <w:r w:rsidRPr="00943AEB">
        <w:t xml:space="preserve">TFPIβ localizes to the cell surface via its GPI anchor, increasing its ability to inhibit </w:t>
      </w:r>
      <w:proofErr w:type="spellStart"/>
      <w:r>
        <w:t>f</w:t>
      </w:r>
      <w:r w:rsidRPr="00943AEB">
        <w:t>Xa</w:t>
      </w:r>
      <w:proofErr w:type="spellEnd"/>
      <w:r w:rsidRPr="00943AEB">
        <w:t>.</w:t>
      </w:r>
    </w:p>
    <w:p w14:paraId="7D5D56F2" w14:textId="37394610" w:rsidR="00A526A8" w:rsidRPr="00A526A8" w:rsidRDefault="00A526A8" w:rsidP="00A526A8">
      <w:pPr>
        <w:pStyle w:val="FigureDescription"/>
      </w:pPr>
      <w:r>
        <w:t xml:space="preserve">Source: </w:t>
      </w:r>
      <w:r w:rsidRPr="00A526A8">
        <w:t xml:space="preserve">Mast AE, </w:t>
      </w:r>
      <w:r>
        <w:t xml:space="preserve">and </w:t>
      </w:r>
      <w:proofErr w:type="spellStart"/>
      <w:r w:rsidRPr="00A526A8">
        <w:t>Ruf</w:t>
      </w:r>
      <w:proofErr w:type="spellEnd"/>
      <w:r w:rsidRPr="00A526A8">
        <w:t xml:space="preserve"> W</w:t>
      </w:r>
      <w:r>
        <w:t xml:space="preserve"> (</w:t>
      </w:r>
      <w:r w:rsidRPr="00A526A8">
        <w:t>2022</w:t>
      </w:r>
      <w:r>
        <w:t>);</w:t>
      </w:r>
      <w:r>
        <w:fldChar w:fldCharType="begin"/>
      </w:r>
      <w:r>
        <w:instrText xml:space="preserve"> NOTEREF _Ref149561382 \f \h </w:instrText>
      </w:r>
      <w:r>
        <w:fldChar w:fldCharType="separate"/>
      </w:r>
      <w:r w:rsidR="001B5D20" w:rsidRPr="001B5D20">
        <w:rPr>
          <w:rStyle w:val="FootnoteReference"/>
        </w:rPr>
        <w:t>17</w:t>
      </w:r>
      <w:r>
        <w:fldChar w:fldCharType="end"/>
      </w:r>
    </w:p>
    <w:p w14:paraId="1C97A5E4" w14:textId="104581A3" w:rsidR="00A526A8" w:rsidRDefault="00A526A8" w:rsidP="00A526A8">
      <w:pPr>
        <w:pStyle w:val="FigureTitle"/>
      </w:pPr>
      <w:bookmarkStart w:id="34" w:name="_Ref149561518"/>
      <w:r w:rsidRPr="00A526A8">
        <w:lastRenderedPageBreak/>
        <w:t xml:space="preserve">Figure </w:t>
      </w:r>
      <w:r w:rsidR="00572F9F">
        <w:fldChar w:fldCharType="begin"/>
      </w:r>
      <w:r w:rsidR="00572F9F">
        <w:instrText xml:space="preserve"> SEQ Figure \* ARABIC </w:instrText>
      </w:r>
      <w:r w:rsidR="00572F9F">
        <w:fldChar w:fldCharType="separate"/>
      </w:r>
      <w:r w:rsidR="001B5D20">
        <w:rPr>
          <w:noProof/>
        </w:rPr>
        <w:t>3</w:t>
      </w:r>
      <w:r w:rsidR="00572F9F">
        <w:rPr>
          <w:noProof/>
        </w:rPr>
        <w:fldChar w:fldCharType="end"/>
      </w:r>
      <w:bookmarkEnd w:id="34"/>
      <w:r>
        <w:t xml:space="preserve">: </w:t>
      </w:r>
      <w:r w:rsidRPr="00A526A8">
        <w:t xml:space="preserve">The physiological function of </w:t>
      </w:r>
      <w:r w:rsidR="00A3617F">
        <w:t>tissue factor pathway inhibitor</w:t>
      </w:r>
      <w:r w:rsidR="00A3617F" w:rsidRPr="00A526A8">
        <w:t xml:space="preserve"> </w:t>
      </w:r>
      <w:r w:rsidRPr="00A526A8">
        <w:t xml:space="preserve">in clotting, and the proposed mechanism of action of </w:t>
      </w:r>
      <w:r w:rsidR="00A3617F">
        <w:t xml:space="preserve">tissue factor pathway </w:t>
      </w:r>
      <w:r w:rsidRPr="00A526A8">
        <w:t xml:space="preserve">inhibition in </w:t>
      </w:r>
      <w:r w:rsidR="00A3617F">
        <w:t xml:space="preserve">haemophilia </w:t>
      </w:r>
      <w:r w:rsidRPr="00A526A8">
        <w:t xml:space="preserve">A or </w:t>
      </w:r>
      <w:r w:rsidR="00A3617F">
        <w:t>haemophilia B</w:t>
      </w:r>
      <w:r w:rsidR="00572F9F">
        <w:fldChar w:fldCharType="begin"/>
      </w:r>
      <w:r w:rsidR="00572F9F">
        <w:instrText xml:space="preserve"> DOCVARIABLE vault_nd_8cddc777-cb84-426c-9078-152cdd497eb4 \* MERGEFORMAT </w:instrText>
      </w:r>
      <w:r w:rsidR="00572F9F">
        <w:fldChar w:fldCharType="separate"/>
      </w:r>
      <w:r w:rsidR="001B5D20">
        <w:t xml:space="preserve"> </w:t>
      </w:r>
      <w:r w:rsidR="00572F9F">
        <w:fldChar w:fldCharType="end"/>
      </w:r>
    </w:p>
    <w:p w14:paraId="294ADDFC" w14:textId="6E948F36" w:rsidR="00A526A8" w:rsidRDefault="00A526A8" w:rsidP="00572F9F">
      <w:r>
        <w:rPr>
          <w:noProof/>
        </w:rPr>
        <w:drawing>
          <wp:inline distT="0" distB="0" distL="0" distR="0" wp14:anchorId="64C076E5" wp14:editId="196EDB60">
            <wp:extent cx="5669280" cy="1920240"/>
            <wp:effectExtent l="0" t="0" r="7620" b="3810"/>
            <wp:docPr id="4" name="Picture 4" descr="The physiological function of tissue factor pathway inhibitor in clotting, and the proposed mechanism of action of tissue factor pathway inhibition in haemophilia A or haemophili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hysiological function of tissue factor pathway inhibitor in clotting, and the proposed mechanism of action of tissue factor pathway inhibition in haemophilia A or haemophilia 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9280" cy="1920240"/>
                    </a:xfrm>
                    <a:prstGeom prst="rect">
                      <a:avLst/>
                    </a:prstGeom>
                    <a:noFill/>
                    <a:ln>
                      <a:noFill/>
                    </a:ln>
                  </pic:spPr>
                </pic:pic>
              </a:graphicData>
            </a:graphic>
          </wp:inline>
        </w:drawing>
      </w:r>
    </w:p>
    <w:p w14:paraId="5DFA1591" w14:textId="77777777" w:rsidR="00676791" w:rsidRDefault="00A526A8" w:rsidP="00A526A8">
      <w:pPr>
        <w:pStyle w:val="FigureDescription"/>
      </w:pPr>
      <w:r>
        <w:t>(A) Physiologically,</w:t>
      </w:r>
      <w:r w:rsidRPr="00781540">
        <w:t xml:space="preserve"> TFPI downregulates the extrinsic pathway as a </w:t>
      </w:r>
      <w:proofErr w:type="spellStart"/>
      <w:r w:rsidRPr="00781540">
        <w:t>fXa</w:t>
      </w:r>
      <w:proofErr w:type="spellEnd"/>
      <w:r w:rsidRPr="00781540">
        <w:t>-dependent inhibitor of TF-</w:t>
      </w:r>
      <w:proofErr w:type="spellStart"/>
      <w:proofErr w:type="gramStart"/>
      <w:r w:rsidRPr="00781540">
        <w:t>fVIIa</w:t>
      </w:r>
      <w:proofErr w:type="spellEnd"/>
      <w:r w:rsidRPr="00781540">
        <w:t>, and</w:t>
      </w:r>
      <w:proofErr w:type="gramEnd"/>
      <w:r w:rsidRPr="00781540">
        <w:t xml:space="preserve"> downregulates </w:t>
      </w:r>
      <w:r>
        <w:t>the common pathway as an inhibitor o</w:t>
      </w:r>
      <w:r w:rsidRPr="00781540">
        <w:t xml:space="preserve">f prothrombinase. </w:t>
      </w:r>
      <w:r>
        <w:t>H</w:t>
      </w:r>
      <w:r w:rsidRPr="00781540">
        <w:t xml:space="preserve">aemostasis </w:t>
      </w:r>
      <w:r>
        <w:t>is still achieved</w:t>
      </w:r>
      <w:r w:rsidRPr="00781540">
        <w:t xml:space="preserve"> </w:t>
      </w:r>
      <w:r>
        <w:t>where there is significant enough tissue damage – the excess TF-</w:t>
      </w:r>
      <w:proofErr w:type="spellStart"/>
      <w:r>
        <w:t>fVIIa</w:t>
      </w:r>
      <w:proofErr w:type="spellEnd"/>
      <w:r w:rsidRPr="00781540">
        <w:t xml:space="preserve"> </w:t>
      </w:r>
      <w:r>
        <w:t xml:space="preserve">can </w:t>
      </w:r>
      <w:r w:rsidRPr="00781540">
        <w:t>amplif</w:t>
      </w:r>
      <w:r>
        <w:t>y</w:t>
      </w:r>
      <w:r w:rsidRPr="00781540">
        <w:t xml:space="preserve"> </w:t>
      </w:r>
      <w:proofErr w:type="spellStart"/>
      <w:r w:rsidRPr="00781540">
        <w:t>fXa</w:t>
      </w:r>
      <w:proofErr w:type="spellEnd"/>
      <w:r w:rsidRPr="00781540">
        <w:t xml:space="preserve"> generation </w:t>
      </w:r>
      <w:r>
        <w:t xml:space="preserve">through the intrinsic pathway, </w:t>
      </w:r>
      <w:r w:rsidRPr="00781540">
        <w:t xml:space="preserve">such that </w:t>
      </w:r>
      <w:r>
        <w:t>adequate thrombin is generated to form a clot</w:t>
      </w:r>
      <w:r w:rsidR="00676791">
        <w:t>.</w:t>
      </w:r>
    </w:p>
    <w:p w14:paraId="2149F5A1" w14:textId="78F8058E" w:rsidR="00A526A8" w:rsidRDefault="00A526A8" w:rsidP="00A526A8">
      <w:pPr>
        <w:pStyle w:val="FigureDescription"/>
      </w:pPr>
      <w:r>
        <w:t xml:space="preserve">(B) In HA or HB, the intrinsic pathway is not functional due to missing </w:t>
      </w:r>
      <w:proofErr w:type="spellStart"/>
      <w:r>
        <w:t>fVIII</w:t>
      </w:r>
      <w:proofErr w:type="spellEnd"/>
      <w:r>
        <w:t xml:space="preserve"> or </w:t>
      </w:r>
      <w:proofErr w:type="spellStart"/>
      <w:r>
        <w:t>fIX</w:t>
      </w:r>
      <w:proofErr w:type="spellEnd"/>
      <w:r>
        <w:t>. By</w:t>
      </w:r>
      <w:r w:rsidRPr="00781540">
        <w:t xml:space="preserve"> </w:t>
      </w:r>
      <w:r>
        <w:t>removing the inhibitory activity of</w:t>
      </w:r>
      <w:r w:rsidRPr="00781540">
        <w:t xml:space="preserve"> TFPI, </w:t>
      </w:r>
      <w:r>
        <w:t>the extrinsic pathway alone may be able to</w:t>
      </w:r>
      <w:r w:rsidRPr="00781540">
        <w:t xml:space="preserve"> generate sufficient thrombin for haemostasis.</w:t>
      </w:r>
    </w:p>
    <w:p w14:paraId="6781F98F" w14:textId="53359E50" w:rsidR="00A526A8" w:rsidRDefault="00A526A8" w:rsidP="00A526A8">
      <w:pPr>
        <w:pStyle w:val="FigureDescription"/>
      </w:pPr>
      <w:r>
        <w:t>Source: Mast AE (2016);</w:t>
      </w:r>
      <w:r>
        <w:fldChar w:fldCharType="begin"/>
      </w:r>
      <w:r>
        <w:instrText xml:space="preserve"> NOTEREF _Ref149561759 \f \h </w:instrText>
      </w:r>
      <w:r>
        <w:fldChar w:fldCharType="separate"/>
      </w:r>
      <w:r w:rsidR="001B5D20" w:rsidRPr="001B5D20">
        <w:rPr>
          <w:rStyle w:val="FootnoteReference"/>
        </w:rPr>
        <w:t>22</w:t>
      </w:r>
      <w:r>
        <w:fldChar w:fldCharType="end"/>
      </w:r>
    </w:p>
    <w:p w14:paraId="0A4C033A" w14:textId="70DD6E65" w:rsidR="00A526A8" w:rsidRPr="00A526A8" w:rsidRDefault="00A526A8" w:rsidP="00A526A8">
      <w:pPr>
        <w:pStyle w:val="Heading4"/>
      </w:pPr>
      <w:bookmarkStart w:id="35" w:name="_Toc160786376"/>
      <w:r w:rsidRPr="00A526A8">
        <w:t>Australian regulatory status</w:t>
      </w:r>
      <w:bookmarkEnd w:id="35"/>
      <w:r w:rsidR="0048603E">
        <w:fldChar w:fldCharType="begin"/>
      </w:r>
      <w:r w:rsidR="0048603E">
        <w:instrText xml:space="preserve"> DOCVARIABLE vault_nd_4fecc082-faf3-4662-a278-5492907d83c9 \* MERGEFORMAT </w:instrText>
      </w:r>
      <w:r w:rsidR="0048603E">
        <w:fldChar w:fldCharType="separate"/>
      </w:r>
      <w:r w:rsidR="001B5D20">
        <w:t xml:space="preserve"> </w:t>
      </w:r>
      <w:r w:rsidR="0048603E">
        <w:fldChar w:fldCharType="end"/>
      </w:r>
    </w:p>
    <w:p w14:paraId="21247F72" w14:textId="77777777" w:rsidR="00A526A8" w:rsidRPr="00A526A8" w:rsidRDefault="00A526A8" w:rsidP="00A526A8">
      <w:r w:rsidRPr="00A526A8">
        <w:t>There have been no previous applications to register concizumab in Australia: this is a new biological entity, and first in its pharmacological class.</w:t>
      </w:r>
    </w:p>
    <w:p w14:paraId="1039F4CF" w14:textId="510EEF17" w:rsidR="00A526A8" w:rsidRPr="00A526A8" w:rsidRDefault="00A526A8" w:rsidP="00A526A8">
      <w:r w:rsidRPr="00A526A8">
        <w:t xml:space="preserve">Concizumab was designated an orphan drug on 4 August 2022. The indication for which orphan designation was granted was: </w:t>
      </w:r>
      <w:r>
        <w:t>‘</w:t>
      </w:r>
      <w:r w:rsidR="00A3617F">
        <w:t>f</w:t>
      </w:r>
      <w:r w:rsidRPr="00A526A8">
        <w:t>or the treatment of haemophilia B</w:t>
      </w:r>
      <w:r>
        <w:t>’.</w:t>
      </w:r>
    </w:p>
    <w:p w14:paraId="1A716C1D" w14:textId="5D0B54A5" w:rsidR="00A526A8" w:rsidRPr="00A526A8" w:rsidRDefault="00A526A8" w:rsidP="00A526A8">
      <w:r w:rsidRPr="00A526A8">
        <w:t xml:space="preserve">The current new active substance submission (for </w:t>
      </w:r>
      <w:proofErr w:type="spellStart"/>
      <w:r w:rsidRPr="00A526A8">
        <w:t>HBwI</w:t>
      </w:r>
      <w:proofErr w:type="spellEnd"/>
      <w:r w:rsidRPr="00A526A8">
        <w:t>) was determined to be eligible for priority review on 7 July 2022</w:t>
      </w:r>
      <w:r>
        <w:t>.</w:t>
      </w:r>
      <w:r w:rsidRPr="00A526A8">
        <w:t xml:space="preserve"> It was reviewed under a pilot arrangement between Health Canada, </w:t>
      </w:r>
      <w:proofErr w:type="spellStart"/>
      <w:r w:rsidRPr="00A526A8">
        <w:t>Swissmedic</w:t>
      </w:r>
      <w:proofErr w:type="spellEnd"/>
      <w:r w:rsidRPr="00A526A8">
        <w:t xml:space="preserve"> and TGA (new active substance priority submissions are not currently eligible for the </w:t>
      </w:r>
      <w:r w:rsidR="00676791" w:rsidRPr="00A526A8">
        <w:t>work-sharing</w:t>
      </w:r>
      <w:r w:rsidRPr="00A526A8">
        <w:t xml:space="preserve"> framework).</w:t>
      </w:r>
      <w:r>
        <w:rPr>
          <w:rStyle w:val="FootnoteReference"/>
        </w:rPr>
        <w:footnoteReference w:id="25"/>
      </w:r>
    </w:p>
    <w:p w14:paraId="30196A93" w14:textId="657ABD81" w:rsidR="00A526A8" w:rsidRDefault="00A526A8" w:rsidP="00A526A8">
      <w:r w:rsidRPr="00A526A8">
        <w:t xml:space="preserve">A separate submission (for </w:t>
      </w:r>
      <w:proofErr w:type="spellStart"/>
      <w:r w:rsidRPr="00A526A8">
        <w:t>HAwI</w:t>
      </w:r>
      <w:proofErr w:type="spellEnd"/>
      <w:r w:rsidRPr="00A526A8">
        <w:t>) has also been lodged with the TGA. The latter submission was not eligible for priority review. Both submissions seek to register the product for use as routine prophylaxis for bleeding in the respective groups of haemophilia patients.</w:t>
      </w:r>
    </w:p>
    <w:p w14:paraId="0D615854" w14:textId="4BB2D8DE" w:rsidR="00324B33" w:rsidRPr="003F31A2" w:rsidRDefault="00A3617F" w:rsidP="00324B33">
      <w:pPr>
        <w:pStyle w:val="Heading3"/>
      </w:pPr>
      <w:bookmarkStart w:id="36" w:name="_Toc103679291"/>
      <w:bookmarkStart w:id="37" w:name="_Toc160786377"/>
      <w:r>
        <w:t>Foreign r</w:t>
      </w:r>
      <w:r w:rsidR="00324B33">
        <w:t>egulatory status</w:t>
      </w:r>
      <w:bookmarkEnd w:id="21"/>
      <w:bookmarkEnd w:id="22"/>
      <w:bookmarkEnd w:id="36"/>
      <w:bookmarkEnd w:id="37"/>
      <w:r w:rsidR="0048603E">
        <w:fldChar w:fldCharType="begin"/>
      </w:r>
      <w:r w:rsidR="0048603E">
        <w:instrText xml:space="preserve"> DOCVARIABLE vault_nd_49d6ff2a-5551-4dbe-816d-eafc412e74e0 \* MERGEFORMAT </w:instrText>
      </w:r>
      <w:r w:rsidR="0048603E">
        <w:fldChar w:fldCharType="separate"/>
      </w:r>
      <w:r w:rsidR="001B5D20">
        <w:t xml:space="preserve"> </w:t>
      </w:r>
      <w:r w:rsidR="0048603E">
        <w:fldChar w:fldCharType="end"/>
      </w:r>
    </w:p>
    <w:p w14:paraId="0E6445BD" w14:textId="1C685BB1" w:rsidR="00A3617F" w:rsidRDefault="00A3617F" w:rsidP="00520CBC">
      <w:r w:rsidRPr="00A3617F">
        <w:t xml:space="preserve">This submission was evaluated as part of the </w:t>
      </w:r>
      <w:hyperlink r:id="rId22" w:history="1">
        <w:r w:rsidRPr="00BD5DBD">
          <w:rPr>
            <w:rStyle w:val="Hyperlink"/>
            <w:szCs w:val="22"/>
          </w:rPr>
          <w:t>Australia-Canada-Singapore-Switzerland-United Kingdom (ACCESS) Consortium</w:t>
        </w:r>
      </w:hyperlink>
      <w:r w:rsidRPr="00BD5DBD">
        <w:rPr>
          <w:szCs w:val="22"/>
        </w:rPr>
        <w:t xml:space="preserve"> </w:t>
      </w:r>
      <w:r w:rsidRPr="00A3617F">
        <w:t xml:space="preserve">with work-sharing between the TGA, Health Canada, and </w:t>
      </w:r>
      <w:proofErr w:type="spellStart"/>
      <w:r w:rsidRPr="00A3617F">
        <w:t>Swissmedic</w:t>
      </w:r>
      <w:proofErr w:type="spellEnd"/>
      <w:r w:rsidRPr="00A3617F">
        <w:t>. Each regulator made independent decisions regarding approval (market authorisation) of the new medicine</w:t>
      </w:r>
      <w:r>
        <w:t>.</w:t>
      </w:r>
    </w:p>
    <w:p w14:paraId="19DB4D9A" w14:textId="77777777" w:rsidR="00520CBC" w:rsidRPr="00520CBC" w:rsidRDefault="00520CBC" w:rsidP="00520CBC">
      <w:r w:rsidRPr="00520CBC">
        <w:t xml:space="preserve">At the time the current submission was lodged with the TGA (August 2022), concurrent submissions were also planned in the United States, Switzerland, </w:t>
      </w:r>
      <w:proofErr w:type="gramStart"/>
      <w:r w:rsidRPr="00520CBC">
        <w:t>Canada</w:t>
      </w:r>
      <w:proofErr w:type="gramEnd"/>
      <w:r w:rsidRPr="00520CBC">
        <w:t xml:space="preserve"> and Japan. In these </w:t>
      </w:r>
      <w:r w:rsidRPr="00520CBC">
        <w:lastRenderedPageBreak/>
        <w:t xml:space="preserve">jurisdictions the proposed indications were for both HA with </w:t>
      </w:r>
      <w:proofErr w:type="spellStart"/>
      <w:r w:rsidRPr="00520CBC">
        <w:t>fVIII</w:t>
      </w:r>
      <w:proofErr w:type="spellEnd"/>
      <w:r w:rsidRPr="00520CBC">
        <w:t xml:space="preserve"> inhibitors and HB with </w:t>
      </w:r>
      <w:proofErr w:type="spellStart"/>
      <w:r w:rsidRPr="00520CBC">
        <w:t>fIX</w:t>
      </w:r>
      <w:proofErr w:type="spellEnd"/>
      <w:r w:rsidRPr="00520CBC">
        <w:t xml:space="preserve"> inhibitors.</w:t>
      </w:r>
    </w:p>
    <w:p w14:paraId="2E615C2E" w14:textId="706D9821" w:rsidR="00676791" w:rsidRDefault="00520CBC" w:rsidP="00520CBC">
      <w:r w:rsidRPr="00520CBC">
        <w:t xml:space="preserve">A submission in Europe was planned for the first quarter of 2023. This submission was to be for subjects with HA and HB with </w:t>
      </w:r>
      <w:r w:rsidR="00F559A9" w:rsidRPr="00520CBC">
        <w:t>inhibitors</w:t>
      </w:r>
      <w:r w:rsidR="00676791">
        <w:t>.</w:t>
      </w:r>
    </w:p>
    <w:p w14:paraId="56170D8F" w14:textId="5E1A349D" w:rsidR="00324B33" w:rsidRPr="00520CBC" w:rsidRDefault="00520CBC" w:rsidP="00520CBC">
      <w:pPr>
        <w:rPr>
          <w:lang w:val="en-US"/>
        </w:rPr>
      </w:pPr>
      <w:r w:rsidRPr="00520CBC">
        <w:t xml:space="preserve">Health Canada approved concizumab for </w:t>
      </w:r>
      <w:proofErr w:type="spellStart"/>
      <w:r w:rsidRPr="00520CBC">
        <w:t>HBwI</w:t>
      </w:r>
      <w:proofErr w:type="spellEnd"/>
      <w:r w:rsidRPr="00520CBC">
        <w:t xml:space="preserve"> in April 2023. On 24 April 2023,</w:t>
      </w:r>
      <w:r w:rsidR="00676791">
        <w:t xml:space="preserve"> The United States Food and Drug Administration </w:t>
      </w:r>
      <w:r w:rsidRPr="00520CBC">
        <w:t xml:space="preserve">issued a complete response </w:t>
      </w:r>
      <w:proofErr w:type="gramStart"/>
      <w:r w:rsidRPr="00520CBC">
        <w:t>letter, and</w:t>
      </w:r>
      <w:proofErr w:type="gramEnd"/>
      <w:r w:rsidRPr="00520CBC">
        <w:t xml:space="preserve"> did not approve concizumab. Their complete response letter was shared with TGA by the </w:t>
      </w:r>
      <w:r>
        <w:t>s</w:t>
      </w:r>
      <w:r w:rsidRPr="00520CBC">
        <w:t xml:space="preserve">ponsor, and the reasons for the complete response reviewed by the respective evaluation areas. All issues were resolved prior to TGA approval, </w:t>
      </w:r>
      <w:proofErr w:type="gramStart"/>
      <w:r w:rsidRPr="00520CBC">
        <w:t>with the exception of</w:t>
      </w:r>
      <w:proofErr w:type="gramEnd"/>
      <w:r w:rsidRPr="00520CBC">
        <w:t xml:space="preserve"> the companion diagnostic plan. This is not considered a barrier to completing the medicine registration, as the </w:t>
      </w:r>
      <w:r w:rsidR="00A3617F">
        <w:t>s</w:t>
      </w:r>
      <w:r w:rsidRPr="00520CBC">
        <w:t>ponsor has agreed to a condition of registration to not supply the medicine until evaluation of the companion testing plan has been completed.</w:t>
      </w:r>
    </w:p>
    <w:p w14:paraId="6D92589C" w14:textId="76D2ED13" w:rsidR="00324B33" w:rsidRDefault="00324B33" w:rsidP="00324B33">
      <w:pPr>
        <w:pStyle w:val="Heading2"/>
      </w:pPr>
      <w:bookmarkStart w:id="38" w:name="_Toc504480011"/>
      <w:bookmarkStart w:id="39" w:name="_Toc103679293"/>
      <w:bookmarkStart w:id="40" w:name="_Toc160786378"/>
      <w:r>
        <w:t>Registration timeline</w:t>
      </w:r>
      <w:bookmarkEnd w:id="38"/>
      <w:bookmarkEnd w:id="39"/>
      <w:bookmarkEnd w:id="40"/>
      <w:r w:rsidR="0048603E">
        <w:fldChar w:fldCharType="begin"/>
      </w:r>
      <w:r w:rsidR="0048603E">
        <w:instrText xml:space="preserve"> DOCVARIABLE vault_nd_7fb07449-2ea1-468f-8697-48afb7cd0d44 \* MERGEFORMAT </w:instrText>
      </w:r>
      <w:r w:rsidR="0048603E">
        <w:fldChar w:fldCharType="separate"/>
      </w:r>
      <w:r w:rsidR="001B5D20">
        <w:t xml:space="preserve"> </w:t>
      </w:r>
      <w:r w:rsidR="0048603E">
        <w:fldChar w:fldCharType="end"/>
      </w:r>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02523E59" w:rsidR="00477C4E" w:rsidRPr="00BD5DBD" w:rsidRDefault="00477C4E" w:rsidP="00324B33">
      <w:pPr>
        <w:rPr>
          <w:szCs w:val="22"/>
        </w:rPr>
      </w:pPr>
      <w:r w:rsidRPr="00BD5DBD">
        <w:rPr>
          <w:szCs w:val="22"/>
        </w:rPr>
        <w:t xml:space="preserve">This submission was evaluated under the </w:t>
      </w:r>
      <w:hyperlink r:id="rId23" w:anchor="process" w:history="1">
        <w:r w:rsidR="006A3279" w:rsidRPr="00BD5DBD">
          <w:rPr>
            <w:rStyle w:val="Hyperlink"/>
            <w:szCs w:val="22"/>
          </w:rPr>
          <w:t>priority registration process</w:t>
        </w:r>
      </w:hyperlink>
      <w:r w:rsidR="006A3279">
        <w:rPr>
          <w:rStyle w:val="Hyperlink"/>
          <w:szCs w:val="22"/>
        </w:rPr>
        <w:t>.</w:t>
      </w:r>
    </w:p>
    <w:p w14:paraId="44628C5F" w14:textId="3A30A630" w:rsidR="00324B33" w:rsidRDefault="00324B33" w:rsidP="0013528C">
      <w:pPr>
        <w:pStyle w:val="TableTitle"/>
      </w:pPr>
      <w:r>
        <w:t>Table</w:t>
      </w:r>
      <w:r w:rsidRPr="00A43853">
        <w:t xml:space="preserve"> </w:t>
      </w:r>
      <w:r w:rsidR="00572F9F">
        <w:fldChar w:fldCharType="begin"/>
      </w:r>
      <w:r w:rsidR="00572F9F">
        <w:instrText xml:space="preserve"> SEQ Table \* ARABIC </w:instrText>
      </w:r>
      <w:r w:rsidR="00572F9F">
        <w:fldChar w:fldCharType="separate"/>
      </w:r>
      <w:r w:rsidR="001B5D20">
        <w:rPr>
          <w:noProof/>
        </w:rPr>
        <w:t>1</w:t>
      </w:r>
      <w:r w:rsidR="00572F9F">
        <w:rPr>
          <w:noProof/>
        </w:rPr>
        <w:fldChar w:fldCharType="end"/>
      </w:r>
      <w:r>
        <w:t>:</w:t>
      </w:r>
      <w:r w:rsidRPr="006A58A8">
        <w:t xml:space="preserve"> Timeline for Submission PM-20</w:t>
      </w:r>
      <w:r>
        <w:t>2</w:t>
      </w:r>
      <w:r w:rsidR="00B11549">
        <w:t>2</w:t>
      </w:r>
      <w:r w:rsidRPr="006A58A8">
        <w:t>-</w:t>
      </w:r>
      <w:r w:rsidR="00B11549">
        <w:t>03458</w:t>
      </w:r>
      <w:r w:rsidRPr="006A58A8">
        <w:t>-1-</w:t>
      </w:r>
      <w:r w:rsidR="00B11549">
        <w:t>6</w:t>
      </w:r>
      <w:r w:rsidR="00572F9F">
        <w:fldChar w:fldCharType="begin"/>
      </w:r>
      <w:r w:rsidR="00572F9F">
        <w:instrText xml:space="preserve"> DOCVARIABLE vault_nd_0759b80b-e79b-4c60-ad11-1cc5f72e7afd \* MERGEFORMAT </w:instrText>
      </w:r>
      <w:r w:rsidR="00572F9F">
        <w:fldChar w:fldCharType="separate"/>
      </w:r>
      <w:r w:rsidR="001B5D20">
        <w:t xml:space="preserve"> </w:t>
      </w:r>
      <w:r w:rsidR="00572F9F">
        <w:fldChar w:fldCharType="end"/>
      </w:r>
    </w:p>
    <w:tbl>
      <w:tblPr>
        <w:tblStyle w:val="TableTGAblue2023"/>
        <w:tblW w:w="8642" w:type="dxa"/>
        <w:tblLook w:val="04A0" w:firstRow="1" w:lastRow="0" w:firstColumn="1" w:lastColumn="0" w:noHBand="0" w:noVBand="1"/>
      </w:tblPr>
      <w:tblGrid>
        <w:gridCol w:w="6091"/>
        <w:gridCol w:w="2551"/>
      </w:tblGrid>
      <w:tr w:rsidR="00324B33" w:rsidRPr="00D01DDB" w14:paraId="6C59BE9C" w14:textId="77777777" w:rsidTr="00572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6D80E78" w14:textId="3EC0CCAF" w:rsidR="00324B33" w:rsidRPr="00D01DDB" w:rsidRDefault="00324B33" w:rsidP="00324B33">
            <w:pPr>
              <w:rPr>
                <w:szCs w:val="22"/>
              </w:rPr>
            </w:pPr>
            <w:r w:rsidRPr="00D01DDB">
              <w:rPr>
                <w:szCs w:val="22"/>
              </w:rPr>
              <w:t>Description</w:t>
            </w:r>
          </w:p>
        </w:tc>
        <w:tc>
          <w:tcPr>
            <w:tcW w:w="2551"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62135C" w:rsidRPr="00D01DDB" w14:paraId="1C060EBA"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1EF955B1" w14:textId="7C0E9DB1" w:rsidR="0062135C" w:rsidRPr="00D01DDB" w:rsidRDefault="003C0B9D" w:rsidP="00324B33">
            <w:pPr>
              <w:rPr>
                <w:szCs w:val="22"/>
              </w:rPr>
            </w:pPr>
            <w:r w:rsidRPr="00E679D1">
              <w:t>Priority determination</w:t>
            </w:r>
          </w:p>
        </w:tc>
        <w:tc>
          <w:tcPr>
            <w:tcW w:w="2551" w:type="dxa"/>
          </w:tcPr>
          <w:p w14:paraId="5E591EF9" w14:textId="150AD129" w:rsidR="0062135C" w:rsidRDefault="0062135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July 2022</w:t>
            </w:r>
          </w:p>
        </w:tc>
      </w:tr>
      <w:tr w:rsidR="00324B33" w:rsidRPr="00D01DDB" w14:paraId="23610C53"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759D2A12" w14:textId="0D705F83" w:rsidR="00324B33" w:rsidRPr="00D01DDB" w:rsidRDefault="00324B33" w:rsidP="00324B33">
            <w:pPr>
              <w:rPr>
                <w:szCs w:val="22"/>
              </w:rPr>
            </w:pPr>
            <w:r w:rsidRPr="00D01DDB">
              <w:rPr>
                <w:szCs w:val="22"/>
              </w:rPr>
              <w:t>Submission dossier accepted and first round evaluation commenced</w:t>
            </w:r>
          </w:p>
        </w:tc>
        <w:tc>
          <w:tcPr>
            <w:tcW w:w="2551" w:type="dxa"/>
          </w:tcPr>
          <w:p w14:paraId="2963D9D8" w14:textId="56E10EED"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September 2022</w:t>
            </w:r>
          </w:p>
        </w:tc>
      </w:tr>
      <w:tr w:rsidR="00324B33" w:rsidRPr="00D01DDB" w14:paraId="53437815"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4C037D4E" w14:textId="2B0CE255" w:rsidR="00324B33" w:rsidRPr="00D01DDB" w:rsidRDefault="00324B33" w:rsidP="00324B33">
            <w:pPr>
              <w:rPr>
                <w:szCs w:val="22"/>
              </w:rPr>
            </w:pPr>
            <w:r w:rsidRPr="00D01DDB">
              <w:rPr>
                <w:szCs w:val="22"/>
              </w:rPr>
              <w:t>First round evaluation completed</w:t>
            </w:r>
          </w:p>
        </w:tc>
        <w:tc>
          <w:tcPr>
            <w:tcW w:w="2551" w:type="dxa"/>
          </w:tcPr>
          <w:p w14:paraId="3CEAFAAB" w14:textId="5C612524"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10 January 2023</w:t>
            </w:r>
          </w:p>
        </w:tc>
      </w:tr>
      <w:tr w:rsidR="00324B33" w:rsidRPr="00D01DDB" w14:paraId="60DA57CC"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02EA1147" w14:textId="2853A422" w:rsidR="00324B33" w:rsidRPr="00D01DDB" w:rsidRDefault="00324B33" w:rsidP="00324B33">
            <w:pPr>
              <w:rPr>
                <w:szCs w:val="22"/>
              </w:rPr>
            </w:pPr>
            <w:r w:rsidRPr="00D01DDB">
              <w:rPr>
                <w:szCs w:val="22"/>
              </w:rPr>
              <w:t>Sponsor provides responses on questions raised in first round evaluation</w:t>
            </w:r>
          </w:p>
        </w:tc>
        <w:tc>
          <w:tcPr>
            <w:tcW w:w="2551" w:type="dxa"/>
          </w:tcPr>
          <w:p w14:paraId="68A577C1" w14:textId="607FEE89"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November 2022</w:t>
            </w:r>
          </w:p>
        </w:tc>
      </w:tr>
      <w:tr w:rsidR="00324B33" w:rsidRPr="00D01DDB" w14:paraId="767E33A4"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4AFC5B50" w14:textId="2BCC6A3E" w:rsidR="00324B33" w:rsidRPr="00D01DDB" w:rsidRDefault="00324B33" w:rsidP="00324B33">
            <w:pPr>
              <w:rPr>
                <w:szCs w:val="22"/>
              </w:rPr>
            </w:pPr>
            <w:r w:rsidRPr="00D01DDB">
              <w:rPr>
                <w:szCs w:val="22"/>
              </w:rPr>
              <w:t>Second round evaluation completed</w:t>
            </w:r>
          </w:p>
        </w:tc>
        <w:tc>
          <w:tcPr>
            <w:tcW w:w="2551" w:type="dxa"/>
          </w:tcPr>
          <w:p w14:paraId="4E47DF62" w14:textId="75B7E58B"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6 </w:t>
            </w:r>
            <w:r w:rsidR="00213FD5">
              <w:rPr>
                <w:szCs w:val="22"/>
              </w:rPr>
              <w:t xml:space="preserve">March </w:t>
            </w:r>
            <w:r>
              <w:rPr>
                <w:szCs w:val="22"/>
              </w:rPr>
              <w:t>2023</w:t>
            </w:r>
          </w:p>
        </w:tc>
      </w:tr>
      <w:tr w:rsidR="00324B33" w:rsidRPr="00D01DDB" w14:paraId="302FCB45"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716E9DC1" w14:textId="34E84AA5" w:rsidR="00324B33" w:rsidRPr="00D01DDB" w:rsidRDefault="00324B33" w:rsidP="00324B33">
            <w:pPr>
              <w:rPr>
                <w:szCs w:val="22"/>
              </w:rPr>
            </w:pPr>
            <w:r w:rsidRPr="00D01DDB">
              <w:rPr>
                <w:szCs w:val="22"/>
              </w:rPr>
              <w:t xml:space="preserve">Delegate’s Overall benefit-risk assessment </w:t>
            </w:r>
            <w:r w:rsidRPr="00520CBC">
              <w:rPr>
                <w:color w:val="auto"/>
                <w:szCs w:val="22"/>
              </w:rPr>
              <w:t>and request for Advisory Committee advice</w:t>
            </w:r>
          </w:p>
        </w:tc>
        <w:tc>
          <w:tcPr>
            <w:tcW w:w="2551" w:type="dxa"/>
          </w:tcPr>
          <w:p w14:paraId="3BA6EF79" w14:textId="2CF9CC0B"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March 2023</w:t>
            </w:r>
          </w:p>
        </w:tc>
      </w:tr>
      <w:tr w:rsidR="00324B33" w:rsidRPr="00D01DDB" w14:paraId="5832EBC8"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720592DE" w14:textId="1F72CD22" w:rsidR="00324B33" w:rsidRPr="00D01DDB" w:rsidRDefault="00324B33" w:rsidP="00324B33">
            <w:pPr>
              <w:rPr>
                <w:szCs w:val="22"/>
              </w:rPr>
            </w:pPr>
            <w:r w:rsidRPr="00D01DDB">
              <w:rPr>
                <w:szCs w:val="22"/>
              </w:rPr>
              <w:t>Sponsor’s pre-Advisory Committee response</w:t>
            </w:r>
          </w:p>
        </w:tc>
        <w:tc>
          <w:tcPr>
            <w:tcW w:w="2551" w:type="dxa"/>
          </w:tcPr>
          <w:p w14:paraId="5AE04841" w14:textId="13AA4AAA"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March 2023</w:t>
            </w:r>
          </w:p>
        </w:tc>
      </w:tr>
      <w:tr w:rsidR="00324B33" w:rsidRPr="00D01DDB" w14:paraId="5754F7AC"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789DE187" w14:textId="123446EE" w:rsidR="00324B33" w:rsidRPr="00D01DDB" w:rsidRDefault="00324B33" w:rsidP="00324B33">
            <w:pPr>
              <w:rPr>
                <w:szCs w:val="22"/>
              </w:rPr>
            </w:pPr>
            <w:r w:rsidRPr="00D01DDB">
              <w:rPr>
                <w:szCs w:val="22"/>
              </w:rPr>
              <w:t>Advisory Committee meeting</w:t>
            </w:r>
          </w:p>
        </w:tc>
        <w:tc>
          <w:tcPr>
            <w:tcW w:w="2551" w:type="dxa"/>
          </w:tcPr>
          <w:p w14:paraId="5BE1EDE7" w14:textId="58CF7019"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and 31 March 2023</w:t>
            </w:r>
          </w:p>
        </w:tc>
      </w:tr>
      <w:tr w:rsidR="00324B33" w:rsidRPr="00D01DDB" w14:paraId="6E5D32FE"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4E95C44C" w14:textId="7A91C710" w:rsidR="00324B33" w:rsidRPr="00D01DDB" w:rsidRDefault="00324B33" w:rsidP="00324B33">
            <w:pPr>
              <w:rPr>
                <w:szCs w:val="22"/>
              </w:rPr>
            </w:pPr>
            <w:r w:rsidRPr="00D01DDB">
              <w:rPr>
                <w:szCs w:val="22"/>
              </w:rPr>
              <w:t>Registration decision (Outcome)</w:t>
            </w:r>
          </w:p>
        </w:tc>
        <w:tc>
          <w:tcPr>
            <w:tcW w:w="2551" w:type="dxa"/>
          </w:tcPr>
          <w:p w14:paraId="62987ABD" w14:textId="6112F725"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July 2023</w:t>
            </w:r>
          </w:p>
        </w:tc>
      </w:tr>
      <w:tr w:rsidR="00324B33" w:rsidRPr="00D01DDB" w14:paraId="6DDCDDA4"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192FD19D" w14:textId="7D5F96C5" w:rsidR="00324B33" w:rsidRPr="00D01DDB" w:rsidRDefault="0013132F" w:rsidP="00324B33">
            <w:pPr>
              <w:rPr>
                <w:szCs w:val="22"/>
              </w:rPr>
            </w:pPr>
            <w:r>
              <w:t>Administrative activities and registration on the ARTG completed</w:t>
            </w:r>
          </w:p>
        </w:tc>
        <w:tc>
          <w:tcPr>
            <w:tcW w:w="2551" w:type="dxa"/>
          </w:tcPr>
          <w:p w14:paraId="5A8923FD" w14:textId="128EBA08"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July 2023</w:t>
            </w:r>
          </w:p>
        </w:tc>
      </w:tr>
      <w:tr w:rsidR="00324B33" w:rsidRPr="00D01DDB" w14:paraId="56D922E2" w14:textId="77777777" w:rsidTr="00572F9F">
        <w:tc>
          <w:tcPr>
            <w:cnfStyle w:val="001000000000" w:firstRow="0" w:lastRow="0" w:firstColumn="1" w:lastColumn="0" w:oddVBand="0" w:evenVBand="0" w:oddHBand="0" w:evenHBand="0" w:firstRowFirstColumn="0" w:firstRowLastColumn="0" w:lastRowFirstColumn="0" w:lastRowLastColumn="0"/>
            <w:tcW w:w="6091" w:type="dxa"/>
          </w:tcPr>
          <w:p w14:paraId="787FD8DD" w14:textId="0E0CF97F" w:rsidR="00324B33" w:rsidRPr="00D01DDB" w:rsidRDefault="00324B33" w:rsidP="00324B33">
            <w:pPr>
              <w:rPr>
                <w:szCs w:val="22"/>
              </w:rPr>
            </w:pPr>
            <w:r w:rsidRPr="00D01DDB">
              <w:rPr>
                <w:szCs w:val="22"/>
              </w:rPr>
              <w:t>Number of working days from submission dossier acceptance to registration decision*</w:t>
            </w:r>
          </w:p>
        </w:tc>
        <w:tc>
          <w:tcPr>
            <w:tcW w:w="2551" w:type="dxa"/>
          </w:tcPr>
          <w:p w14:paraId="5BAF9FA1" w14:textId="425ED80D" w:rsidR="00324B33" w:rsidRPr="00D01DDB" w:rsidRDefault="00B1154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141</w:t>
            </w:r>
          </w:p>
        </w:tc>
      </w:tr>
    </w:tbl>
    <w:p w14:paraId="7B02554C" w14:textId="71350D16" w:rsidR="00433318" w:rsidRDefault="00900678" w:rsidP="00433318">
      <w:pPr>
        <w:pStyle w:val="TableDescription"/>
      </w:pPr>
      <w:r w:rsidRPr="00900678">
        <w:t>*Target timeframe for priority submissions is 150 working days from acceptance for evaluation to the decision.</w:t>
      </w:r>
    </w:p>
    <w:p w14:paraId="220925F1" w14:textId="61851629" w:rsidR="00C22214" w:rsidRPr="00792A32" w:rsidRDefault="00C22214" w:rsidP="00C22214">
      <w:pPr>
        <w:pStyle w:val="Heading2"/>
      </w:pPr>
      <w:bookmarkStart w:id="41" w:name="_Toc196046504"/>
      <w:bookmarkStart w:id="42" w:name="_Toc247691527"/>
      <w:bookmarkStart w:id="43" w:name="_Toc314842510"/>
      <w:bookmarkStart w:id="44" w:name="_Toc103679294"/>
      <w:bookmarkStart w:id="45" w:name="_Toc160786379"/>
      <w:r w:rsidRPr="00006FAB">
        <w:lastRenderedPageBreak/>
        <w:t xml:space="preserve">Submission overview </w:t>
      </w:r>
      <w:r w:rsidRPr="00792A32">
        <w:t xml:space="preserve">and </w:t>
      </w:r>
      <w:r>
        <w:t>r</w:t>
      </w:r>
      <w:r w:rsidRPr="00792A32">
        <w:t>isk/</w:t>
      </w:r>
      <w:r>
        <w:t>b</w:t>
      </w:r>
      <w:r w:rsidRPr="00792A32">
        <w:t xml:space="preserve">enefit </w:t>
      </w:r>
      <w:r>
        <w:t>a</w:t>
      </w:r>
      <w:r w:rsidRPr="00792A32">
        <w:t>ssessment</w:t>
      </w:r>
      <w:bookmarkEnd w:id="41"/>
      <w:bookmarkEnd w:id="42"/>
      <w:bookmarkEnd w:id="43"/>
      <w:bookmarkEnd w:id="44"/>
      <w:bookmarkEnd w:id="45"/>
      <w:r w:rsidR="0048603E">
        <w:fldChar w:fldCharType="begin"/>
      </w:r>
      <w:r w:rsidR="0048603E">
        <w:instrText xml:space="preserve"> DOCVARIABLE vault_nd_6935e53c-27ac-47a9-bc25-fe8116100a17 \* MERGEFORMAT </w:instrText>
      </w:r>
      <w:r w:rsidR="0048603E">
        <w:fldChar w:fldCharType="separate"/>
      </w:r>
      <w:r w:rsidR="001B5D20">
        <w:t xml:space="preserve"> </w:t>
      </w:r>
      <w:r w:rsidR="0048603E">
        <w:fldChar w:fldCharType="end"/>
      </w:r>
    </w:p>
    <w:p w14:paraId="5F5FAA14" w14:textId="77777777" w:rsidR="00C22214" w:rsidRPr="00BD5DBD" w:rsidRDefault="00C22214" w:rsidP="00C22214">
      <w:pPr>
        <w:rPr>
          <w:szCs w:val="22"/>
        </w:rPr>
      </w:pPr>
      <w:bookmarkStart w:id="46" w:name="_Toc247691528"/>
      <w:bookmarkStart w:id="47" w:name="_Toc314842511"/>
      <w:r w:rsidRPr="00BD5DBD">
        <w:rPr>
          <w:szCs w:val="22"/>
        </w:rPr>
        <w:t>This section is a TGA summary of wording used in TGA’s evaluation report, which discussed numerous aspects of overseas evaluation reports and included some information that was commercial-in-confidence.</w:t>
      </w:r>
    </w:p>
    <w:p w14:paraId="37F5A1C0" w14:textId="003781B2" w:rsidR="00C22214" w:rsidRDefault="00C22214" w:rsidP="00C22214">
      <w:pPr>
        <w:pStyle w:val="Heading3"/>
      </w:pPr>
      <w:bookmarkStart w:id="48" w:name="_Toc103679295"/>
      <w:bookmarkStart w:id="49" w:name="_Toc160786380"/>
      <w:r>
        <w:t>Quality</w:t>
      </w:r>
      <w:bookmarkEnd w:id="46"/>
      <w:bookmarkEnd w:id="47"/>
      <w:bookmarkEnd w:id="48"/>
      <w:bookmarkEnd w:id="49"/>
      <w:r w:rsidR="0048603E">
        <w:fldChar w:fldCharType="begin"/>
      </w:r>
      <w:r w:rsidR="0048603E">
        <w:instrText xml:space="preserve"> DOCVARIABLE vault_nd_695594f2-791e-4764-a5ef-69c9e23c2367 \* MERGEFORMAT </w:instrText>
      </w:r>
      <w:r w:rsidR="0048603E">
        <w:fldChar w:fldCharType="separate"/>
      </w:r>
      <w:r w:rsidR="001B5D20">
        <w:t xml:space="preserve"> </w:t>
      </w:r>
      <w:r w:rsidR="0048603E">
        <w:fldChar w:fldCharType="end"/>
      </w:r>
    </w:p>
    <w:p w14:paraId="1FC63BE4" w14:textId="0EA33592" w:rsidR="00520CBC" w:rsidRPr="00520CBC" w:rsidRDefault="00520CBC" w:rsidP="00520CBC">
      <w:bookmarkStart w:id="50" w:name="_Toc314842512"/>
      <w:bookmarkStart w:id="51" w:name="_Toc103679296"/>
      <w:r w:rsidRPr="00520CBC">
        <w:t xml:space="preserve">Concizumab is a humanised, recombinant </w:t>
      </w:r>
      <w:r w:rsidR="00A3617F" w:rsidRPr="00A3617F">
        <w:t xml:space="preserve">immunoglobulin G4 </w:t>
      </w:r>
      <w:r w:rsidR="00A3617F" w:rsidRPr="00676791">
        <w:t>(</w:t>
      </w:r>
      <w:r w:rsidRPr="00676791">
        <w:t>IgG4</w:t>
      </w:r>
      <w:r w:rsidR="00A3617F">
        <w:t>)</w:t>
      </w:r>
      <w:r w:rsidRPr="00520CBC">
        <w:t xml:space="preserve"> monoclonal antibody of the IgG4 isotype. It is a glycosylated polypeptide with a molecular mass of approximately 149</w:t>
      </w:r>
      <w:r w:rsidR="00676791">
        <w:t> </w:t>
      </w:r>
      <w:proofErr w:type="spellStart"/>
      <w:r w:rsidRPr="00520CBC">
        <w:t>kDa</w:t>
      </w:r>
      <w:proofErr w:type="spellEnd"/>
      <w:r w:rsidRPr="00520CBC">
        <w:t xml:space="preserve"> and contains </w:t>
      </w:r>
      <w:r w:rsidR="008C27B2">
        <w:t>two</w:t>
      </w:r>
      <w:r w:rsidRPr="00520CBC">
        <w:t xml:space="preserve"> heavy chains (each with 448 amino acid residues), and </w:t>
      </w:r>
      <w:r w:rsidR="008C27B2">
        <w:t>two</w:t>
      </w:r>
      <w:r w:rsidRPr="00520CBC">
        <w:t xml:space="preserve"> light chains (each with 219 amino acid residues), connected by 16 disulphide bridges. The molecule is produced by recombinant DNA technology in Chinese hamster ovary cells.</w:t>
      </w:r>
    </w:p>
    <w:p w14:paraId="12F466A2" w14:textId="77777777" w:rsidR="00520CBC" w:rsidRPr="00520CBC" w:rsidRDefault="00520CBC" w:rsidP="00520CBC">
      <w:r w:rsidRPr="00520CBC">
        <w:t>A point mutation (serine to proline) at position 241 of the native human IgG4 protein (S241P) was engineered into the molecule to prevent the formation of half antibodies during manufacture. This point mutation is present in other marketed IgG4 antibodies.</w:t>
      </w:r>
    </w:p>
    <w:p w14:paraId="45120F4C" w14:textId="4EEE79E6" w:rsidR="00520CBC" w:rsidRPr="00520CBC" w:rsidRDefault="00520CBC" w:rsidP="00520CBC">
      <w:r w:rsidRPr="00520CBC">
        <w:t>The drug product is presented as a solution for subcutaneous injection in a pre-filled pen injector device. It is planned for manufacture at four strengths: 15</w:t>
      </w:r>
      <w:r w:rsidR="00A3617F">
        <w:t> </w:t>
      </w:r>
      <w:r w:rsidRPr="00520CBC">
        <w:t>mg in 1.5</w:t>
      </w:r>
      <w:r w:rsidR="00A3617F">
        <w:t> </w:t>
      </w:r>
      <w:r w:rsidRPr="00520CBC">
        <w:t>mL, 60</w:t>
      </w:r>
      <w:r w:rsidR="00A3617F">
        <w:t> </w:t>
      </w:r>
      <w:r w:rsidRPr="00520CBC">
        <w:t>mg in 1.5</w:t>
      </w:r>
      <w:r w:rsidR="00A3617F">
        <w:t> </w:t>
      </w:r>
      <w:r w:rsidRPr="00520CBC">
        <w:t>mL, 150</w:t>
      </w:r>
      <w:r w:rsidR="00A3617F">
        <w:t> </w:t>
      </w:r>
      <w:r w:rsidRPr="00520CBC">
        <w:t>mg in 1.5</w:t>
      </w:r>
      <w:r w:rsidR="00A3617F">
        <w:t> </w:t>
      </w:r>
      <w:r w:rsidRPr="00520CBC">
        <w:t>mL, or 300</w:t>
      </w:r>
      <w:r w:rsidR="00A3617F">
        <w:t> </w:t>
      </w:r>
      <w:r w:rsidRPr="00520CBC">
        <w:t>mg in 3</w:t>
      </w:r>
      <w:r w:rsidR="00A3617F">
        <w:t> </w:t>
      </w:r>
      <w:proofErr w:type="spellStart"/>
      <w:r w:rsidRPr="00520CBC">
        <w:t>mL.</w:t>
      </w:r>
      <w:proofErr w:type="spellEnd"/>
    </w:p>
    <w:p w14:paraId="60E1A429" w14:textId="29CAA6BA" w:rsidR="00520CBC" w:rsidRPr="00520CBC" w:rsidRDefault="00520CBC" w:rsidP="00520CBC">
      <w:r w:rsidRPr="00520CBC">
        <w:t>The concizumab drug product is a sterile solution containing phenol as a preservative and is intended for multi-use daily subcutaneous injections. It contains 10</w:t>
      </w:r>
      <w:r w:rsidR="00A3617F">
        <w:t> </w:t>
      </w:r>
      <w:r w:rsidRPr="00520CBC">
        <w:t>mg/mL, 40</w:t>
      </w:r>
      <w:r w:rsidR="00A3617F">
        <w:t> </w:t>
      </w:r>
      <w:r w:rsidRPr="00520CBC">
        <w:t>mg/</w:t>
      </w:r>
      <w:proofErr w:type="gramStart"/>
      <w:r w:rsidRPr="00520CBC">
        <w:t>mL</w:t>
      </w:r>
      <w:proofErr w:type="gramEnd"/>
      <w:r w:rsidRPr="00520CBC">
        <w:t xml:space="preserve"> or 100</w:t>
      </w:r>
      <w:r w:rsidR="00A3617F">
        <w:t> </w:t>
      </w:r>
      <w:r w:rsidRPr="00520CBC">
        <w:t>mg/mL concizumab in L-Histidine, L-Arginine hydrochloride, sodium chloride, sucrose, polysorbate 80, and phenol.</w:t>
      </w:r>
    </w:p>
    <w:p w14:paraId="4B6392A9" w14:textId="77777777" w:rsidR="00520CBC" w:rsidRPr="00A3617F" w:rsidRDefault="00520CBC" w:rsidP="00A3617F">
      <w:r w:rsidRPr="00A3617F">
        <w:t>The proposed products contain the following excipients: arginine hydrochloride, histidine, sodium chloride, sucrose, polysorbate 80, phenol, hydrochloric acid, sodium hydroxide and water for injections. No novel excipients are proposed.</w:t>
      </w:r>
    </w:p>
    <w:p w14:paraId="45FE2819" w14:textId="67340A4F" w:rsidR="00520CBC" w:rsidRPr="00520CBC" w:rsidRDefault="00520CBC" w:rsidP="00520CBC">
      <w:r w:rsidRPr="00520CBC">
        <w:t>The container closure system consists of either a 1.5</w:t>
      </w:r>
      <w:r w:rsidR="00A3617F">
        <w:t> </w:t>
      </w:r>
      <w:r w:rsidRPr="00520CBC">
        <w:t>mL or a 3</w:t>
      </w:r>
      <w:r w:rsidR="00A3617F">
        <w:t> </w:t>
      </w:r>
      <w:r w:rsidRPr="00520CBC">
        <w:t xml:space="preserve">mL type I glass cartridge with a cap consisting of a laminated </w:t>
      </w:r>
      <w:proofErr w:type="spellStart"/>
      <w:r w:rsidRPr="00520CBC">
        <w:t>bromobutyl</w:t>
      </w:r>
      <w:proofErr w:type="spellEnd"/>
      <w:r w:rsidRPr="00520CBC">
        <w:t xml:space="preserve"> rubber disc and aluminium seal at one end of the cartridge and a </w:t>
      </w:r>
      <w:proofErr w:type="spellStart"/>
      <w:r w:rsidRPr="00520CBC">
        <w:t>chlorobutyl</w:t>
      </w:r>
      <w:proofErr w:type="spellEnd"/>
      <w:r w:rsidRPr="00520CBC">
        <w:t xml:space="preserve"> rubber plunger at the other end.</w:t>
      </w:r>
    </w:p>
    <w:p w14:paraId="42552498" w14:textId="5833C1D3" w:rsidR="00520CBC" w:rsidRPr="00520CBC" w:rsidRDefault="00520CBC" w:rsidP="00520CBC">
      <w:r w:rsidRPr="00520CBC">
        <w:t>The submitted data support a drug substance shelf life of 60 months at -80</w:t>
      </w:r>
      <w:r w:rsidR="00A3617F">
        <w:t> </w:t>
      </w:r>
      <w:r w:rsidRPr="00520CBC">
        <w:t>°C storage conditions, and a drug product shelf life of 36 months when stored at 2</w:t>
      </w:r>
      <w:r w:rsidR="008C27B2">
        <w:t xml:space="preserve"> to </w:t>
      </w:r>
      <w:r w:rsidRPr="00520CBC">
        <w:t>8</w:t>
      </w:r>
      <w:r w:rsidR="00A3617F">
        <w:t> </w:t>
      </w:r>
      <w:r w:rsidRPr="00520CBC">
        <w:t>°C, including an in-use period of 4 weeks below 30</w:t>
      </w:r>
      <w:r w:rsidR="00A3617F">
        <w:t> </w:t>
      </w:r>
      <w:r w:rsidRPr="00520CBC">
        <w:t>°C.</w:t>
      </w:r>
    </w:p>
    <w:p w14:paraId="5769A911" w14:textId="56CD245C" w:rsidR="00520CBC" w:rsidRPr="00520CBC" w:rsidRDefault="00520CBC" w:rsidP="00520CBC">
      <w:r w:rsidRPr="00520CBC">
        <w:t>There are no outstanding Good Manufacturing Practice (GMP) clearances,</w:t>
      </w:r>
      <w:r w:rsidR="008C27B2">
        <w:t xml:space="preserve"> </w:t>
      </w:r>
      <w:r w:rsidRPr="00520CBC">
        <w:t>and the tradename is considered acceptable.</w:t>
      </w:r>
    </w:p>
    <w:p w14:paraId="0B87E6D1" w14:textId="627045A9" w:rsidR="00520CBC" w:rsidRPr="00520CBC" w:rsidRDefault="00520CBC" w:rsidP="00520CBC">
      <w:r w:rsidRPr="00520CBC">
        <w:t>From a quality perspective, it was concluded that there is sufficient data to support Australian registration.</w:t>
      </w:r>
    </w:p>
    <w:p w14:paraId="2BE90AAE" w14:textId="36181840" w:rsidR="00C22214" w:rsidRPr="008C27B2" w:rsidRDefault="00C22214" w:rsidP="008C27B2">
      <w:pPr>
        <w:pStyle w:val="Heading3"/>
      </w:pPr>
      <w:bookmarkStart w:id="52" w:name="_Toc160786381"/>
      <w:r w:rsidRPr="008C27B2">
        <w:t>Nonclinical</w:t>
      </w:r>
      <w:bookmarkEnd w:id="50"/>
      <w:bookmarkEnd w:id="51"/>
      <w:bookmarkEnd w:id="52"/>
      <w:r w:rsidR="0048603E">
        <w:fldChar w:fldCharType="begin"/>
      </w:r>
      <w:r w:rsidR="0048603E">
        <w:instrText xml:space="preserve"> DOCVARIABLE vault_nd_6dfa90ef-1d4b-40d9-bb36-d8b8131072c1 \* MERGEFORMAT </w:instrText>
      </w:r>
      <w:r w:rsidR="0048603E">
        <w:fldChar w:fldCharType="separate"/>
      </w:r>
      <w:r w:rsidR="001B5D20">
        <w:t xml:space="preserve"> </w:t>
      </w:r>
      <w:r w:rsidR="0048603E">
        <w:fldChar w:fldCharType="end"/>
      </w:r>
    </w:p>
    <w:p w14:paraId="631ED061" w14:textId="60CC113F" w:rsidR="008C27B2" w:rsidRPr="008C27B2" w:rsidRDefault="008C27B2" w:rsidP="008C27B2">
      <w:bookmarkStart w:id="53" w:name="_Toc247691530"/>
      <w:bookmarkStart w:id="54" w:name="_Toc314842513"/>
      <w:bookmarkStart w:id="55" w:name="_Toc103679297"/>
      <w:r w:rsidRPr="008C27B2">
        <w:t>The nonclinical dossier was of adequate quality and scope, consistent with the ICH S6 (R1) guideline for biotechnology-derived pharmaceuticals.</w:t>
      </w:r>
      <w:r w:rsidR="00A3617F">
        <w:rPr>
          <w:rStyle w:val="FootnoteReference"/>
        </w:rPr>
        <w:footnoteReference w:id="26"/>
      </w:r>
      <w:r w:rsidRPr="008C27B2">
        <w:t xml:space="preserve"> All pivotal safety-related studies, as well as the tissue cross-reactivity study, were </w:t>
      </w:r>
      <w:r w:rsidR="00A3617F">
        <w:t xml:space="preserve">Good Laboratory Practice </w:t>
      </w:r>
      <w:r w:rsidRPr="008C27B2">
        <w:t>compliant.</w:t>
      </w:r>
    </w:p>
    <w:p w14:paraId="302D1180" w14:textId="77777777" w:rsidR="008C27B2" w:rsidRPr="008C27B2" w:rsidRDefault="008C27B2" w:rsidP="008C27B2">
      <w:r w:rsidRPr="008C27B2">
        <w:lastRenderedPageBreak/>
        <w:t>The submitted primary pharmacology studies support the utility of concizumab as prophylaxis in HA and HB.</w:t>
      </w:r>
    </w:p>
    <w:p w14:paraId="4C05236E" w14:textId="77777777" w:rsidR="008C27B2" w:rsidRPr="008C27B2" w:rsidRDefault="008C27B2" w:rsidP="008C27B2">
      <w:r w:rsidRPr="008C27B2">
        <w:t>The key concerns for patients identified from non-clinical data were:</w:t>
      </w:r>
    </w:p>
    <w:p w14:paraId="7C2D1B2F" w14:textId="48560979" w:rsidR="008C27B2" w:rsidRPr="000171F9" w:rsidRDefault="008C27B2" w:rsidP="008C27B2">
      <w:pPr>
        <w:pStyle w:val="ListBullet"/>
      </w:pPr>
      <w:r w:rsidRPr="000171F9">
        <w:t xml:space="preserve">Thromboembolic events at </w:t>
      </w:r>
      <w:r>
        <w:t xml:space="preserve">very </w:t>
      </w:r>
      <w:r w:rsidRPr="000171F9">
        <w:t>high doses</w:t>
      </w:r>
      <w:r>
        <w:t>:</w:t>
      </w:r>
    </w:p>
    <w:p w14:paraId="6978CD50" w14:textId="19B6AA1D" w:rsidR="008C27B2" w:rsidRPr="000171F9" w:rsidRDefault="008C27B2" w:rsidP="008C27B2">
      <w:pPr>
        <w:pStyle w:val="ListBullet2"/>
      </w:pPr>
      <w:r>
        <w:t>In r</w:t>
      </w:r>
      <w:r w:rsidRPr="000171F9">
        <w:t>epeat-dose toxicity studies</w:t>
      </w:r>
      <w:r>
        <w:t xml:space="preserve">, </w:t>
      </w:r>
      <w:r w:rsidRPr="000171F9">
        <w:t xml:space="preserve">cynomolgus monkeys </w:t>
      </w:r>
      <w:r>
        <w:t xml:space="preserve">received </w:t>
      </w:r>
      <w:r w:rsidRPr="000171F9">
        <w:t xml:space="preserve">once daily </w:t>
      </w:r>
      <w:r>
        <w:t>subcutaneously concizumab</w:t>
      </w:r>
      <w:r w:rsidRPr="000171F9">
        <w:t xml:space="preserve"> for up to 52 weeks or once weekly </w:t>
      </w:r>
      <w:r>
        <w:t>intravenous</w:t>
      </w:r>
      <w:r w:rsidRPr="000171F9">
        <w:t xml:space="preserve"> administration for up to 26 weeks. The highest dose administered in the pivotal </w:t>
      </w:r>
      <w:proofErr w:type="gramStart"/>
      <w:r w:rsidRPr="000171F9">
        <w:t>52</w:t>
      </w:r>
      <w:r w:rsidR="00A3617F">
        <w:t> </w:t>
      </w:r>
      <w:r w:rsidRPr="000171F9">
        <w:t>week</w:t>
      </w:r>
      <w:proofErr w:type="gramEnd"/>
      <w:r w:rsidRPr="000171F9">
        <w:t xml:space="preserve"> study </w:t>
      </w:r>
      <w:r>
        <w:t xml:space="preserve">- </w:t>
      </w:r>
      <w:r w:rsidRPr="000171F9">
        <w:t>9</w:t>
      </w:r>
      <w:r w:rsidR="00A3617F">
        <w:t> </w:t>
      </w:r>
      <w:r w:rsidRPr="000171F9">
        <w:t xml:space="preserve">mg/kg/day </w:t>
      </w:r>
      <w:r>
        <w:t xml:space="preserve">subcutaneous </w:t>
      </w:r>
      <w:r w:rsidRPr="000171F9">
        <w:t xml:space="preserve">yielded systemic exposure to concizumab (plasma </w:t>
      </w:r>
      <w:r w:rsidR="00A3617F">
        <w:t>a</w:t>
      </w:r>
      <w:r w:rsidR="00A3617F" w:rsidRPr="00A3617F">
        <w:t xml:space="preserve">rea under the concentration time curve from time 0 to </w:t>
      </w:r>
      <w:r w:rsidR="00A3617F">
        <w:t>24</w:t>
      </w:r>
      <w:r w:rsidR="00A3617F" w:rsidRPr="00A3617F">
        <w:t> hours</w:t>
      </w:r>
      <w:r w:rsidRPr="000171F9">
        <w:t xml:space="preserve">), </w:t>
      </w:r>
      <w:r w:rsidR="00A3617F">
        <w:t xml:space="preserve">over </w:t>
      </w:r>
      <w:r w:rsidRPr="000171F9">
        <w:t>4400</w:t>
      </w:r>
      <w:r w:rsidR="00A3617F">
        <w:t xml:space="preserve"> </w:t>
      </w:r>
      <w:r w:rsidRPr="000171F9">
        <w:t>times greater than in patients at steady state.</w:t>
      </w:r>
    </w:p>
    <w:p w14:paraId="5A695DFD" w14:textId="72C75061" w:rsidR="008C27B2" w:rsidRPr="000171F9" w:rsidRDefault="008C27B2" w:rsidP="008C27B2">
      <w:pPr>
        <w:pStyle w:val="ListBullet2"/>
      </w:pPr>
      <w:r>
        <w:t>T</w:t>
      </w:r>
      <w:r w:rsidRPr="000171F9">
        <w:t>hrombi</w:t>
      </w:r>
      <w:r>
        <w:t xml:space="preserve"> were observed</w:t>
      </w:r>
      <w:r w:rsidRPr="000171F9">
        <w:t xml:space="preserve"> in various organs (including the heart, lung, liver, spleen and lymph nodes)</w:t>
      </w:r>
      <w:r>
        <w:t xml:space="preserve">, </w:t>
      </w:r>
      <w:r w:rsidRPr="000171F9">
        <w:t>consistent with an exaggerated pharmacological response to concizumab in monkeys with a normal coagulation system (</w:t>
      </w:r>
      <w:r>
        <w:t>that is</w:t>
      </w:r>
      <w:r w:rsidRPr="000171F9">
        <w:t>, non-haemophilic animals)</w:t>
      </w:r>
      <w:r>
        <w:t xml:space="preserve">, at doses above </w:t>
      </w:r>
      <w:r w:rsidRPr="000171F9">
        <w:t>0.5</w:t>
      </w:r>
      <w:r w:rsidR="00A3617F">
        <w:t> </w:t>
      </w:r>
      <w:r w:rsidRPr="000171F9">
        <w:t xml:space="preserve">mg/kg/day </w:t>
      </w:r>
      <w:r>
        <w:t xml:space="preserve">subcutaneously </w:t>
      </w:r>
      <w:r w:rsidR="00A43853">
        <w:t>the</w:t>
      </w:r>
      <w:r>
        <w:t xml:space="preserve"> no </w:t>
      </w:r>
      <w:r w:rsidR="00A3617F">
        <w:t xml:space="preserve">observed </w:t>
      </w:r>
      <w:r>
        <w:t>adverse effect limit</w:t>
      </w:r>
      <w:r w:rsidR="00676791">
        <w:t xml:space="preserve"> </w:t>
      </w:r>
      <w:r>
        <w:t xml:space="preserve">corresponds to an exposure approximately 70 times the </w:t>
      </w:r>
      <w:r w:rsidRPr="000171F9">
        <w:t xml:space="preserve">plasma </w:t>
      </w:r>
      <w:r w:rsidR="00A3617F">
        <w:t xml:space="preserve">maximum </w:t>
      </w:r>
      <w:r w:rsidR="00A3617F" w:rsidRPr="00676791">
        <w:t>concentration (</w:t>
      </w:r>
      <w:proofErr w:type="spellStart"/>
      <w:r w:rsidR="00A3617F" w:rsidRPr="00676791">
        <w:t>C</w:t>
      </w:r>
      <w:r w:rsidRPr="00676791">
        <w:rPr>
          <w:vertAlign w:val="subscript"/>
        </w:rPr>
        <w:t>max</w:t>
      </w:r>
      <w:proofErr w:type="spellEnd"/>
      <w:r w:rsidR="00A3617F" w:rsidRPr="00676791">
        <w:t>)</w:t>
      </w:r>
      <w:r w:rsidRPr="000171F9">
        <w:t xml:space="preserve"> and </w:t>
      </w:r>
      <w:r w:rsidR="00A3617F">
        <w:t>ar</w:t>
      </w:r>
      <w:r w:rsidR="00A3617F" w:rsidRPr="00A3617F">
        <w:t>ea under the concentration-time curve</w:t>
      </w:r>
      <w:r w:rsidRPr="000171F9">
        <w:t xml:space="preserve"> in patients at steady state.</w:t>
      </w:r>
    </w:p>
    <w:p w14:paraId="17478A48" w14:textId="27B646A4" w:rsidR="008C27B2" w:rsidRPr="00A3617F" w:rsidRDefault="008C27B2" w:rsidP="00A3617F">
      <w:pPr>
        <w:pStyle w:val="ListBullet"/>
      </w:pPr>
      <w:r w:rsidRPr="00A3617F">
        <w:t>Embryofetal lethality if used during pregnancy:</w:t>
      </w:r>
    </w:p>
    <w:p w14:paraId="2E9097B1" w14:textId="77777777" w:rsidR="008C27B2" w:rsidRPr="00A3617F" w:rsidRDefault="008C27B2" w:rsidP="00A3617F">
      <w:pPr>
        <w:pStyle w:val="ListBullet2"/>
      </w:pPr>
      <w:r w:rsidRPr="00A3617F">
        <w:t>No specialised reproductive and developmental toxicity studies were conducted due to the lack of pharmacological activity in rodents, significant loss of exposure after repeated dosing in rabbits (secondary to the development of anti-drug antibodies), and because the intended patient population is almost exclusively male.</w:t>
      </w:r>
    </w:p>
    <w:p w14:paraId="7C18293B" w14:textId="61727654" w:rsidR="008C27B2" w:rsidRPr="000171F9" w:rsidRDefault="008C27B2" w:rsidP="008C27B2">
      <w:pPr>
        <w:pStyle w:val="ListBullet2"/>
        <w:rPr>
          <w:kern w:val="2"/>
        </w:rPr>
      </w:pPr>
      <w:r w:rsidRPr="00A327CB">
        <w:t xml:space="preserve">Monitoring of endpoints relevant to fertility was included in the </w:t>
      </w:r>
      <w:proofErr w:type="gramStart"/>
      <w:r w:rsidRPr="00A327CB">
        <w:t>26</w:t>
      </w:r>
      <w:r w:rsidR="00A3617F">
        <w:t xml:space="preserve"> </w:t>
      </w:r>
      <w:r w:rsidRPr="00A327CB">
        <w:t>week</w:t>
      </w:r>
      <w:proofErr w:type="gramEnd"/>
      <w:r w:rsidRPr="00A327CB">
        <w:t xml:space="preserve"> general repeat-dose toxicity study in monkeys, with no effects on menstrual cycle duration, testicular volume, sperm count, sperm motility or sperm morphology observed (</w:t>
      </w:r>
      <w:r w:rsidR="00A3617F">
        <w:t xml:space="preserve">less than or equal to </w:t>
      </w:r>
      <w:r w:rsidRPr="00A327CB">
        <w:t>9</w:t>
      </w:r>
      <w:r w:rsidR="00A3617F">
        <w:t> </w:t>
      </w:r>
      <w:r w:rsidRPr="00A327CB">
        <w:t xml:space="preserve">mg/kg/day </w:t>
      </w:r>
      <w:r w:rsidR="00676791">
        <w:t>SC</w:t>
      </w:r>
      <w:r w:rsidRPr="00A327CB">
        <w:t xml:space="preserve">; relative exposure based on </w:t>
      </w:r>
      <w:r w:rsidR="00676791">
        <w:t>ar</w:t>
      </w:r>
      <w:r w:rsidR="00676791" w:rsidRPr="00A3617F">
        <w:t>ea under the concentration-time curve</w:t>
      </w:r>
      <w:r w:rsidRPr="00A327CB">
        <w:t xml:space="preserve">, </w:t>
      </w:r>
      <w:r w:rsidR="00A3617F">
        <w:t>greater than</w:t>
      </w:r>
      <w:r>
        <w:t xml:space="preserve"> </w:t>
      </w:r>
      <w:r w:rsidRPr="00A327CB">
        <w:t>3400). Histopathological examination did not identify male and female reproductive tissues as targets for toxicity in this or other studies</w:t>
      </w:r>
      <w:r>
        <w:t xml:space="preserve"> (conducted in juvenile and sexually mature monkeys)</w:t>
      </w:r>
      <w:r w:rsidRPr="00A327CB">
        <w:t>.</w:t>
      </w:r>
    </w:p>
    <w:p w14:paraId="45F2A4A9" w14:textId="28EFEB9C" w:rsidR="008C27B2" w:rsidRPr="000171F9" w:rsidRDefault="008C27B2" w:rsidP="008C27B2">
      <w:pPr>
        <w:pStyle w:val="ListBullet2"/>
        <w:rPr>
          <w:kern w:val="2"/>
        </w:rPr>
      </w:pPr>
      <w:r w:rsidRPr="00A327CB">
        <w:t xml:space="preserve">Published knockout studies </w:t>
      </w:r>
      <w:r>
        <w:t>have demonstrated that</w:t>
      </w:r>
      <w:r w:rsidRPr="00A327CB">
        <w:t xml:space="preserve"> TFPI </w:t>
      </w:r>
      <w:r>
        <w:t>is</w:t>
      </w:r>
      <w:r w:rsidRPr="00A327CB">
        <w:t xml:space="preserve"> critical for </w:t>
      </w:r>
      <w:r>
        <w:t xml:space="preserve">fetal </w:t>
      </w:r>
      <w:r w:rsidRPr="00A327CB">
        <w:t>development, with inactivation of the TFPI-gene in mice shown to result in embryofetal lethality</w:t>
      </w:r>
      <w:r>
        <w:t>.</w:t>
      </w:r>
      <w:r>
        <w:rPr>
          <w:rStyle w:val="FootnoteReference"/>
        </w:rPr>
        <w:footnoteReference w:id="27"/>
      </w:r>
      <w:r w:rsidRPr="00A3617F">
        <w:rPr>
          <w:vertAlign w:val="superscript"/>
        </w:rPr>
        <w:t>,</w:t>
      </w:r>
      <w:r w:rsidR="00A3617F">
        <w:rPr>
          <w:vertAlign w:val="superscript"/>
        </w:rPr>
        <w:t xml:space="preserve"> </w:t>
      </w:r>
      <w:r>
        <w:rPr>
          <w:rStyle w:val="FootnoteReference"/>
        </w:rPr>
        <w:footnoteReference w:id="28"/>
      </w:r>
    </w:p>
    <w:p w14:paraId="08A3B459" w14:textId="77777777" w:rsidR="008C27B2" w:rsidRPr="000171F9" w:rsidRDefault="008C27B2" w:rsidP="008C27B2">
      <w:pPr>
        <w:pStyle w:val="ListBullet2"/>
        <w:rPr>
          <w:kern w:val="2"/>
        </w:rPr>
      </w:pPr>
      <w:r>
        <w:t xml:space="preserve">As an IgG antibody, placental transfer of </w:t>
      </w:r>
      <w:r w:rsidRPr="00BB6338">
        <w:t>concizumab is expected, increasing in a linear fashion as pregnancy progresses.</w:t>
      </w:r>
    </w:p>
    <w:p w14:paraId="0B4A82B7" w14:textId="10097CC6" w:rsidR="008C27B2" w:rsidRPr="000171F9" w:rsidRDefault="008C27B2" w:rsidP="008C27B2">
      <w:pPr>
        <w:pStyle w:val="ListBullet2"/>
        <w:rPr>
          <w:kern w:val="2"/>
        </w:rPr>
      </w:pPr>
      <w:r w:rsidRPr="00BB6338">
        <w:lastRenderedPageBreak/>
        <w:t xml:space="preserve">The </w:t>
      </w:r>
      <w:r>
        <w:t>s</w:t>
      </w:r>
      <w:r w:rsidRPr="00BB6338">
        <w:t>ponsor has proposed Pregnancy Category B3</w:t>
      </w:r>
      <w:r>
        <w:t>,</w:t>
      </w:r>
      <w:r>
        <w:rPr>
          <w:rStyle w:val="FootnoteReference"/>
        </w:rPr>
        <w:footnoteReference w:id="29"/>
      </w:r>
      <w:r>
        <w:t xml:space="preserve"> but based on the mechanism of action and </w:t>
      </w:r>
      <w:proofErr w:type="spellStart"/>
      <w:r>
        <w:t>embyrolethality</w:t>
      </w:r>
      <w:proofErr w:type="spellEnd"/>
      <w:r>
        <w:t xml:space="preserve"> seen in TFPI knockout studies,</w:t>
      </w:r>
      <w:r w:rsidRPr="00BB6338">
        <w:t xml:space="preserve"> </w:t>
      </w:r>
      <w:r>
        <w:t>TGA considers</w:t>
      </w:r>
      <w:r w:rsidRPr="00BB6338">
        <w:t xml:space="preserve"> Pregnancy Category D</w:t>
      </w:r>
      <w:r>
        <w:t>;</w:t>
      </w:r>
      <w:r>
        <w:rPr>
          <w:rStyle w:val="FootnoteReference"/>
        </w:rPr>
        <w:footnoteReference w:id="30"/>
      </w:r>
      <w:r w:rsidRPr="00BB6338">
        <w:t xml:space="preserve"> is warranted.</w:t>
      </w:r>
    </w:p>
    <w:p w14:paraId="0B803487" w14:textId="64B25194" w:rsidR="008C27B2" w:rsidRPr="008C27B2" w:rsidRDefault="008C27B2" w:rsidP="008804CF">
      <w:r w:rsidRPr="008C27B2">
        <w:t>There were no nonclinical objections to registration of concizumab for the proposed indications.</w:t>
      </w:r>
    </w:p>
    <w:p w14:paraId="35B580A5" w14:textId="7263A03B" w:rsidR="00C22214" w:rsidRDefault="00C22214" w:rsidP="008804CF">
      <w:pPr>
        <w:pStyle w:val="Heading3"/>
      </w:pPr>
      <w:bookmarkStart w:id="56" w:name="_Toc160786382"/>
      <w:r>
        <w:t>Clinical</w:t>
      </w:r>
      <w:bookmarkEnd w:id="53"/>
      <w:bookmarkEnd w:id="54"/>
      <w:bookmarkEnd w:id="55"/>
      <w:bookmarkEnd w:id="56"/>
      <w:r w:rsidR="0048603E">
        <w:fldChar w:fldCharType="begin"/>
      </w:r>
      <w:r w:rsidR="0048603E">
        <w:instrText xml:space="preserve"> DOCVARIABLE vault_nd_9a3e7c73-4e0d-4b88-879a-92fc1e73b142 \* MERGEFORMAT </w:instrText>
      </w:r>
      <w:r w:rsidR="0048603E">
        <w:fldChar w:fldCharType="separate"/>
      </w:r>
      <w:r w:rsidR="001B5D20">
        <w:t xml:space="preserve"> </w:t>
      </w:r>
      <w:r w:rsidR="0048603E">
        <w:fldChar w:fldCharType="end"/>
      </w:r>
    </w:p>
    <w:p w14:paraId="32B0DEDA" w14:textId="6B854EE9" w:rsidR="00C22214" w:rsidRPr="00433318" w:rsidRDefault="00C22214" w:rsidP="00433318">
      <w:pPr>
        <w:pStyle w:val="Heading4"/>
      </w:pPr>
      <w:bookmarkStart w:id="57" w:name="_Toc98931928"/>
      <w:bookmarkStart w:id="58" w:name="_Toc160786383"/>
      <w:r>
        <w:t>Summary of clinical studies</w:t>
      </w:r>
      <w:bookmarkEnd w:id="57"/>
      <w:bookmarkEnd w:id="58"/>
      <w:r w:rsidR="0048603E">
        <w:fldChar w:fldCharType="begin"/>
      </w:r>
      <w:r w:rsidR="0048603E">
        <w:instrText xml:space="preserve"> DOCVARIABLE vault_nd_f225ad70-6be0-4a42-908c-f5e3fdae4c83 \* MERGEFORMAT </w:instrText>
      </w:r>
      <w:r w:rsidR="0048603E">
        <w:fldChar w:fldCharType="separate"/>
      </w:r>
      <w:r w:rsidR="001B5D20">
        <w:t xml:space="preserve"> </w:t>
      </w:r>
      <w:r w:rsidR="0048603E">
        <w:fldChar w:fldCharType="end"/>
      </w:r>
    </w:p>
    <w:p w14:paraId="25F2876F" w14:textId="4697EA1F" w:rsidR="008C27B2" w:rsidRDefault="008C27B2" w:rsidP="008C27B2">
      <w:bookmarkStart w:id="59" w:name="_Toc314842514"/>
      <w:r w:rsidRPr="008C27B2">
        <w:t>Clinical study rep</w:t>
      </w:r>
      <w:r w:rsidRPr="00676791">
        <w:t>orts (CSRs)</w:t>
      </w:r>
      <w:r w:rsidRPr="008C27B2">
        <w:t xml:space="preserve"> for seven clinical trials and one observational study were submitted to TGA and are listed in </w:t>
      </w:r>
      <w:r w:rsidR="00446B45">
        <w:fldChar w:fldCharType="begin"/>
      </w:r>
      <w:r w:rsidR="00446B45">
        <w:instrText xml:space="preserve"> REF _Ref160700153 \h </w:instrText>
      </w:r>
      <w:r w:rsidR="00446B45">
        <w:fldChar w:fldCharType="separate"/>
      </w:r>
      <w:r w:rsidR="001B5D20" w:rsidRPr="008C27B2">
        <w:t xml:space="preserve">Table </w:t>
      </w:r>
      <w:r w:rsidR="001B5D20">
        <w:rPr>
          <w:noProof/>
        </w:rPr>
        <w:t>2</w:t>
      </w:r>
      <w:r w:rsidR="00446B45">
        <w:fldChar w:fldCharType="end"/>
      </w:r>
      <w:r w:rsidRPr="008C27B2">
        <w:t xml:space="preserve">. The submission also included limited safety data from an ongoing </w:t>
      </w:r>
      <w:r>
        <w:t>P</w:t>
      </w:r>
      <w:r w:rsidRPr="008C27B2">
        <w:t xml:space="preserve">hase </w:t>
      </w:r>
      <w:r>
        <w:t>III</w:t>
      </w:r>
      <w:r w:rsidRPr="008C27B2">
        <w:t xml:space="preserve"> trial in subjects with haemophilia A or B without inhibitors (</w:t>
      </w:r>
      <w:r>
        <w:t>S</w:t>
      </w:r>
      <w:r w:rsidRPr="008C27B2">
        <w:t>tudy</w:t>
      </w:r>
      <w:r w:rsidR="00A3617F">
        <w:t> </w:t>
      </w:r>
      <w:r w:rsidRPr="008C27B2">
        <w:t>4307), and a report of safety and efficacy within a compassionate access program.</w:t>
      </w:r>
    </w:p>
    <w:p w14:paraId="1817892F" w14:textId="326BA9D8" w:rsidR="008C27B2" w:rsidRDefault="008C27B2" w:rsidP="008C27B2">
      <w:pPr>
        <w:pStyle w:val="TableTitle"/>
      </w:pPr>
      <w:bookmarkStart w:id="60" w:name="_Ref160700153"/>
      <w:r w:rsidRPr="008C27B2">
        <w:t xml:space="preserve">Table </w:t>
      </w:r>
      <w:r w:rsidR="00572F9F">
        <w:fldChar w:fldCharType="begin"/>
      </w:r>
      <w:r w:rsidR="00572F9F">
        <w:instrText xml:space="preserve"> SEQ Table \* ARABIC </w:instrText>
      </w:r>
      <w:r w:rsidR="00572F9F">
        <w:fldChar w:fldCharType="separate"/>
      </w:r>
      <w:r w:rsidR="001B5D20">
        <w:rPr>
          <w:noProof/>
        </w:rPr>
        <w:t>2</w:t>
      </w:r>
      <w:r w:rsidR="00572F9F">
        <w:rPr>
          <w:noProof/>
        </w:rPr>
        <w:fldChar w:fldCharType="end"/>
      </w:r>
      <w:bookmarkEnd w:id="60"/>
      <w:r w:rsidRPr="008C27B2">
        <w:t>:</w:t>
      </w:r>
      <w:r>
        <w:t xml:space="preserve"> Concizumab clinical studies from which data were submitted</w:t>
      </w:r>
      <w:r w:rsidR="00572F9F">
        <w:fldChar w:fldCharType="begin"/>
      </w:r>
      <w:r w:rsidR="00572F9F">
        <w:instrText xml:space="preserve"> DOCVARIABLE vault_nd_2dfddb20-3bc4-476c-abdf-3b2aad742fac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932"/>
        <w:gridCol w:w="1705"/>
        <w:gridCol w:w="3541"/>
        <w:gridCol w:w="2860"/>
      </w:tblGrid>
      <w:tr w:rsidR="008C27B2" w14:paraId="040B8D06" w14:textId="77777777" w:rsidTr="008C2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 w:type="dxa"/>
          </w:tcPr>
          <w:p w14:paraId="3057AA55" w14:textId="77777777" w:rsidR="008C27B2" w:rsidRDefault="008C27B2">
            <w:pPr>
              <w:spacing w:before="0" w:after="0" w:line="240" w:lineRule="auto"/>
              <w:ind w:left="57" w:right="57"/>
              <w:jc w:val="center"/>
              <w:rPr>
                <w:lang w:eastAsia="ja-JP"/>
              </w:rPr>
            </w:pPr>
            <w:r>
              <w:rPr>
                <w:lang w:eastAsia="ja-JP"/>
              </w:rPr>
              <w:t>Phase</w:t>
            </w:r>
          </w:p>
        </w:tc>
        <w:tc>
          <w:tcPr>
            <w:tcW w:w="1705" w:type="dxa"/>
          </w:tcPr>
          <w:p w14:paraId="2E2E4922" w14:textId="77777777" w:rsidR="008C27B2" w:rsidRDefault="008C27B2">
            <w:pPr>
              <w:spacing w:before="0" w:after="0" w:line="240" w:lineRule="auto"/>
              <w:ind w:left="57" w:right="57"/>
              <w:jc w:val="center"/>
              <w:cnfStyle w:val="100000000000" w:firstRow="1" w:lastRow="0" w:firstColumn="0" w:lastColumn="0" w:oddVBand="0" w:evenVBand="0" w:oddHBand="0" w:evenHBand="0" w:firstRowFirstColumn="0" w:firstRowLastColumn="0" w:lastRowFirstColumn="0" w:lastRowLastColumn="0"/>
              <w:rPr>
                <w:lang w:eastAsia="ja-JP"/>
              </w:rPr>
            </w:pPr>
            <w:r>
              <w:rPr>
                <w:lang w:eastAsia="ja-JP"/>
              </w:rPr>
              <w:t>Study #</w:t>
            </w:r>
          </w:p>
        </w:tc>
        <w:tc>
          <w:tcPr>
            <w:tcW w:w="3541" w:type="dxa"/>
          </w:tcPr>
          <w:p w14:paraId="40B8776A" w14:textId="77777777" w:rsidR="008C27B2" w:rsidRDefault="008C27B2">
            <w:pPr>
              <w:spacing w:before="0" w:after="0" w:line="240" w:lineRule="auto"/>
              <w:ind w:left="57" w:right="57"/>
              <w:cnfStyle w:val="100000000000" w:firstRow="1" w:lastRow="0" w:firstColumn="0" w:lastColumn="0" w:oddVBand="0" w:evenVBand="0" w:oddHBand="0" w:evenHBand="0" w:firstRowFirstColumn="0" w:firstRowLastColumn="0" w:lastRowFirstColumn="0" w:lastRowLastColumn="0"/>
              <w:rPr>
                <w:lang w:eastAsia="ja-JP"/>
              </w:rPr>
            </w:pPr>
            <w:r>
              <w:rPr>
                <w:lang w:eastAsia="ja-JP"/>
              </w:rPr>
              <w:t>Description</w:t>
            </w:r>
          </w:p>
        </w:tc>
        <w:tc>
          <w:tcPr>
            <w:tcW w:w="2860" w:type="dxa"/>
          </w:tcPr>
          <w:p w14:paraId="7FCA0415" w14:textId="77777777" w:rsidR="008C27B2" w:rsidRDefault="008C27B2">
            <w:pPr>
              <w:spacing w:before="0" w:after="0" w:line="240" w:lineRule="auto"/>
              <w:ind w:left="57" w:right="57"/>
              <w:cnfStyle w:val="100000000000" w:firstRow="1" w:lastRow="0" w:firstColumn="0" w:lastColumn="0" w:oddVBand="0" w:evenVBand="0" w:oddHBand="0" w:evenHBand="0" w:firstRowFirstColumn="0" w:firstRowLastColumn="0" w:lastRowFirstColumn="0" w:lastRowLastColumn="0"/>
              <w:rPr>
                <w:lang w:eastAsia="ja-JP"/>
              </w:rPr>
            </w:pPr>
            <w:r>
              <w:rPr>
                <w:lang w:eastAsia="ja-JP"/>
              </w:rPr>
              <w:t>Submitted data</w:t>
            </w:r>
          </w:p>
        </w:tc>
      </w:tr>
      <w:tr w:rsidR="008C27B2" w14:paraId="6EBEC3A2"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4A2DC82A" w14:textId="77777777" w:rsidR="008C27B2" w:rsidRDefault="008C27B2">
            <w:pPr>
              <w:spacing w:before="0" w:after="0" w:line="240" w:lineRule="auto"/>
              <w:ind w:left="57" w:right="57"/>
              <w:jc w:val="center"/>
              <w:rPr>
                <w:lang w:eastAsia="ja-JP"/>
              </w:rPr>
            </w:pPr>
            <w:r>
              <w:rPr>
                <w:lang w:eastAsia="ja-JP"/>
              </w:rPr>
              <w:t>I</w:t>
            </w:r>
          </w:p>
        </w:tc>
        <w:tc>
          <w:tcPr>
            <w:tcW w:w="1705" w:type="dxa"/>
          </w:tcPr>
          <w:p w14:paraId="5964DACF"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3813</w:t>
            </w:r>
          </w:p>
          <w:p w14:paraId="0D2B1217"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(explorer1)</w:t>
            </w:r>
          </w:p>
        </w:tc>
        <w:tc>
          <w:tcPr>
            <w:tcW w:w="3541" w:type="dxa"/>
          </w:tcPr>
          <w:p w14:paraId="4861BC7E"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single IV and SC doses in healthy voluntee</w:t>
            </w:r>
            <w:r>
              <w:t>rs and subjects with haemophilia A or B</w:t>
            </w:r>
          </w:p>
        </w:tc>
        <w:tc>
          <w:tcPr>
            <w:tcW w:w="2860" w:type="dxa"/>
          </w:tcPr>
          <w:p w14:paraId="68891A31"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075BCD17"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27640508" w14:textId="77777777" w:rsidR="008C27B2" w:rsidRDefault="008C27B2">
            <w:pPr>
              <w:spacing w:before="0" w:after="0" w:line="240" w:lineRule="auto"/>
              <w:ind w:left="57" w:right="57"/>
              <w:jc w:val="center"/>
              <w:rPr>
                <w:lang w:eastAsia="ja-JP"/>
              </w:rPr>
            </w:pPr>
            <w:r>
              <w:rPr>
                <w:lang w:eastAsia="ja-JP"/>
              </w:rPr>
              <w:t>I</w:t>
            </w:r>
          </w:p>
        </w:tc>
        <w:tc>
          <w:tcPr>
            <w:tcW w:w="1705" w:type="dxa"/>
          </w:tcPr>
          <w:p w14:paraId="4321BC07" w14:textId="77777777" w:rsidR="008C27B2" w:rsidRPr="00AE200C"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bCs/>
                <w:lang w:eastAsia="ja-JP"/>
              </w:rPr>
            </w:pPr>
            <w:r w:rsidRPr="00AE200C">
              <w:rPr>
                <w:bCs/>
              </w:rPr>
              <w:t>3981</w:t>
            </w:r>
          </w:p>
        </w:tc>
        <w:tc>
          <w:tcPr>
            <w:tcW w:w="3541" w:type="dxa"/>
          </w:tcPr>
          <w:p w14:paraId="00373442"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single SC doses in healthy Japanese subjects</w:t>
            </w:r>
          </w:p>
        </w:tc>
        <w:tc>
          <w:tcPr>
            <w:tcW w:w="2860" w:type="dxa"/>
          </w:tcPr>
          <w:p w14:paraId="60DC880A"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331ACE81"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67D7AAF8" w14:textId="77777777" w:rsidR="008C27B2" w:rsidRDefault="008C27B2">
            <w:pPr>
              <w:spacing w:before="0" w:after="0" w:line="240" w:lineRule="auto"/>
              <w:ind w:left="57" w:right="57"/>
              <w:jc w:val="center"/>
              <w:rPr>
                <w:lang w:eastAsia="ja-JP"/>
              </w:rPr>
            </w:pPr>
            <w:r>
              <w:rPr>
                <w:lang w:eastAsia="ja-JP"/>
              </w:rPr>
              <w:t>I</w:t>
            </w:r>
          </w:p>
        </w:tc>
        <w:tc>
          <w:tcPr>
            <w:tcW w:w="1705" w:type="dxa"/>
          </w:tcPr>
          <w:p w14:paraId="57C6CE19"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3986</w:t>
            </w:r>
          </w:p>
          <w:p w14:paraId="00DD8567"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(explorer2)</w:t>
            </w:r>
          </w:p>
        </w:tc>
        <w:tc>
          <w:tcPr>
            <w:tcW w:w="3541" w:type="dxa"/>
          </w:tcPr>
          <w:p w14:paraId="4D537E9C"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repeated SC doses (every 2</w:t>
            </w:r>
            <w:r>
              <w:rPr>
                <w:bCs/>
                <w:vertAlign w:val="superscript"/>
              </w:rPr>
              <w:t>nd</w:t>
            </w:r>
            <w:r>
              <w:rPr>
                <w:bCs/>
              </w:rPr>
              <w:t xml:space="preserve"> day) in healthy volunteers. This study was terminated early and only enrolled 4 subjects</w:t>
            </w:r>
          </w:p>
        </w:tc>
        <w:tc>
          <w:tcPr>
            <w:tcW w:w="2860" w:type="dxa"/>
          </w:tcPr>
          <w:p w14:paraId="172CF760"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44EBEEE1"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26710049" w14:textId="77777777" w:rsidR="008C27B2" w:rsidRDefault="008C27B2">
            <w:pPr>
              <w:spacing w:before="0" w:after="0" w:line="240" w:lineRule="auto"/>
              <w:ind w:left="57" w:right="57"/>
              <w:jc w:val="center"/>
              <w:rPr>
                <w:lang w:eastAsia="ja-JP"/>
              </w:rPr>
            </w:pPr>
            <w:r>
              <w:rPr>
                <w:lang w:eastAsia="ja-JP"/>
              </w:rPr>
              <w:t>I</w:t>
            </w:r>
          </w:p>
        </w:tc>
        <w:tc>
          <w:tcPr>
            <w:tcW w:w="1705" w:type="dxa"/>
          </w:tcPr>
          <w:p w14:paraId="5824A6B1"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4159 (explorer3)</w:t>
            </w:r>
          </w:p>
        </w:tc>
        <w:tc>
          <w:tcPr>
            <w:tcW w:w="3541" w:type="dxa"/>
          </w:tcPr>
          <w:p w14:paraId="111BBAA8"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repeated SC doses (every 4</w:t>
            </w:r>
            <w:r>
              <w:rPr>
                <w:bCs/>
                <w:vertAlign w:val="superscript"/>
              </w:rPr>
              <w:t>th</w:t>
            </w:r>
            <w:r>
              <w:rPr>
                <w:bCs/>
              </w:rPr>
              <w:t xml:space="preserve"> day) in subjects with severe haemophilia A</w:t>
            </w:r>
          </w:p>
        </w:tc>
        <w:tc>
          <w:tcPr>
            <w:tcW w:w="2860" w:type="dxa"/>
          </w:tcPr>
          <w:p w14:paraId="6FD47726"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192C6085"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2A38142B" w14:textId="77777777" w:rsidR="008C27B2" w:rsidRDefault="008C27B2">
            <w:pPr>
              <w:spacing w:before="0" w:after="0" w:line="240" w:lineRule="auto"/>
              <w:ind w:left="57" w:right="57"/>
              <w:jc w:val="center"/>
              <w:rPr>
                <w:lang w:eastAsia="ja-JP"/>
              </w:rPr>
            </w:pPr>
            <w:r>
              <w:rPr>
                <w:lang w:eastAsia="ja-JP"/>
              </w:rPr>
              <w:t>II</w:t>
            </w:r>
          </w:p>
        </w:tc>
        <w:tc>
          <w:tcPr>
            <w:tcW w:w="1705" w:type="dxa"/>
          </w:tcPr>
          <w:p w14:paraId="446A74B6"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4310 (explorer4)</w:t>
            </w:r>
          </w:p>
        </w:tc>
        <w:tc>
          <w:tcPr>
            <w:tcW w:w="3541" w:type="dxa"/>
          </w:tcPr>
          <w:p w14:paraId="430C41B5"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 xml:space="preserve">efficacy and safety in subjects with </w:t>
            </w:r>
            <w:proofErr w:type="spellStart"/>
            <w:r>
              <w:rPr>
                <w:bCs/>
              </w:rPr>
              <w:t>HAwI</w:t>
            </w:r>
            <w:proofErr w:type="spellEnd"/>
            <w:r>
              <w:rPr>
                <w:bCs/>
              </w:rPr>
              <w:t xml:space="preserve"> or </w:t>
            </w:r>
            <w:proofErr w:type="spellStart"/>
            <w:r>
              <w:rPr>
                <w:bCs/>
              </w:rPr>
              <w:t>HBwI</w:t>
            </w:r>
            <w:proofErr w:type="spellEnd"/>
          </w:p>
        </w:tc>
        <w:tc>
          <w:tcPr>
            <w:tcW w:w="2860" w:type="dxa"/>
          </w:tcPr>
          <w:p w14:paraId="4841A38E"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0E9417D0"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567F914D" w14:textId="77777777" w:rsidR="008C27B2" w:rsidRDefault="008C27B2">
            <w:pPr>
              <w:spacing w:before="0" w:after="0" w:line="240" w:lineRule="auto"/>
              <w:ind w:left="57" w:right="57"/>
              <w:jc w:val="center"/>
              <w:rPr>
                <w:lang w:eastAsia="ja-JP"/>
              </w:rPr>
            </w:pPr>
            <w:r>
              <w:rPr>
                <w:lang w:eastAsia="ja-JP"/>
              </w:rPr>
              <w:t>II</w:t>
            </w:r>
          </w:p>
        </w:tc>
        <w:tc>
          <w:tcPr>
            <w:tcW w:w="1705" w:type="dxa"/>
          </w:tcPr>
          <w:p w14:paraId="76F61FA5"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4255 (explorer5)</w:t>
            </w:r>
          </w:p>
        </w:tc>
        <w:tc>
          <w:tcPr>
            <w:tcW w:w="3541" w:type="dxa"/>
          </w:tcPr>
          <w:p w14:paraId="5B28F3A0"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lang w:eastAsia="ja-JP"/>
              </w:rPr>
            </w:pPr>
            <w:r>
              <w:rPr>
                <w:bCs/>
              </w:rPr>
              <w:t xml:space="preserve">efficacy and safety in subjects with haemophilia A </w:t>
            </w:r>
            <w:r>
              <w:rPr>
                <w:bCs/>
                <w:i/>
                <w:iCs/>
              </w:rPr>
              <w:t>without</w:t>
            </w:r>
            <w:r>
              <w:rPr>
                <w:bCs/>
              </w:rPr>
              <w:t xml:space="preserve"> inhibitors </w:t>
            </w:r>
          </w:p>
        </w:tc>
        <w:tc>
          <w:tcPr>
            <w:tcW w:w="2860" w:type="dxa"/>
          </w:tcPr>
          <w:p w14:paraId="4D17368A"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3D277314"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62624B92" w14:textId="77777777" w:rsidR="008C27B2" w:rsidRDefault="008C27B2">
            <w:pPr>
              <w:spacing w:before="0" w:after="0" w:line="240" w:lineRule="auto"/>
              <w:ind w:left="57" w:right="57"/>
              <w:jc w:val="center"/>
              <w:rPr>
                <w:lang w:eastAsia="ja-JP"/>
              </w:rPr>
            </w:pPr>
            <w:r>
              <w:rPr>
                <w:lang w:eastAsia="ja-JP"/>
              </w:rPr>
              <w:t>NA</w:t>
            </w:r>
          </w:p>
        </w:tc>
        <w:tc>
          <w:tcPr>
            <w:tcW w:w="1705" w:type="dxa"/>
          </w:tcPr>
          <w:p w14:paraId="6FFA050A"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4322 (explorer6)</w:t>
            </w:r>
          </w:p>
        </w:tc>
        <w:tc>
          <w:tcPr>
            <w:tcW w:w="3541" w:type="dxa"/>
          </w:tcPr>
          <w:p w14:paraId="65A04B23"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observational study of</w:t>
            </w:r>
            <w:r w:rsidRPr="00382E78">
              <w:rPr>
                <w:bCs/>
              </w:rPr>
              <w:t xml:space="preserve"> bleeding rates </w:t>
            </w:r>
            <w:r>
              <w:rPr>
                <w:bCs/>
              </w:rPr>
              <w:t>in</w:t>
            </w:r>
            <w:r w:rsidRPr="00382E78">
              <w:rPr>
                <w:bCs/>
              </w:rPr>
              <w:t xml:space="preserve"> </w:t>
            </w:r>
            <w:proofErr w:type="spellStart"/>
            <w:r w:rsidRPr="00382E78">
              <w:rPr>
                <w:bCs/>
              </w:rPr>
              <w:t>HAwI</w:t>
            </w:r>
            <w:proofErr w:type="spellEnd"/>
            <w:r w:rsidRPr="00382E78">
              <w:rPr>
                <w:bCs/>
              </w:rPr>
              <w:t xml:space="preserve">, </w:t>
            </w:r>
            <w:proofErr w:type="spellStart"/>
            <w:r w:rsidRPr="00382E78">
              <w:rPr>
                <w:bCs/>
              </w:rPr>
              <w:t>HBwI</w:t>
            </w:r>
            <w:proofErr w:type="spellEnd"/>
            <w:r w:rsidRPr="00382E78">
              <w:rPr>
                <w:bCs/>
              </w:rPr>
              <w:t>, HA or HB</w:t>
            </w:r>
          </w:p>
        </w:tc>
        <w:tc>
          <w:tcPr>
            <w:tcW w:w="2860" w:type="dxa"/>
          </w:tcPr>
          <w:p w14:paraId="516F7D51"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CSR</w:t>
            </w:r>
          </w:p>
        </w:tc>
      </w:tr>
      <w:tr w:rsidR="008C27B2" w14:paraId="0C76431D"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2D769A43" w14:textId="77777777" w:rsidR="008C27B2" w:rsidRPr="00F642A5" w:rsidRDefault="008C27B2">
            <w:pPr>
              <w:spacing w:before="0" w:after="0" w:line="240" w:lineRule="auto"/>
              <w:ind w:left="57" w:right="57"/>
              <w:jc w:val="center"/>
              <w:rPr>
                <w:b/>
                <w:bCs/>
                <w:lang w:eastAsia="ja-JP"/>
              </w:rPr>
            </w:pPr>
            <w:r w:rsidRPr="00F642A5">
              <w:rPr>
                <w:b/>
                <w:bCs/>
                <w:lang w:eastAsia="ja-JP"/>
              </w:rPr>
              <w:t>III</w:t>
            </w:r>
          </w:p>
        </w:tc>
        <w:tc>
          <w:tcPr>
            <w:tcW w:w="1705" w:type="dxa"/>
          </w:tcPr>
          <w:p w14:paraId="3A08C792" w14:textId="77777777" w:rsidR="008C27B2" w:rsidRPr="00F642A5"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b/>
                <w:bCs/>
                <w:lang w:eastAsia="ja-JP"/>
              </w:rPr>
            </w:pPr>
            <w:r w:rsidRPr="00F642A5">
              <w:rPr>
                <w:b/>
                <w:bCs/>
                <w:lang w:eastAsia="ja-JP"/>
              </w:rPr>
              <w:t>4311 (explorer7)</w:t>
            </w:r>
          </w:p>
        </w:tc>
        <w:tc>
          <w:tcPr>
            <w:tcW w:w="3541" w:type="dxa"/>
          </w:tcPr>
          <w:p w14:paraId="7DDCED99" w14:textId="77777777" w:rsidR="008C27B2" w:rsidRPr="00F642A5"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lang w:eastAsia="ja-JP"/>
              </w:rPr>
            </w:pPr>
            <w:r w:rsidRPr="00F642A5">
              <w:rPr>
                <w:b/>
                <w:bCs/>
              </w:rPr>
              <w:t xml:space="preserve">efficacy and safety in subjects with </w:t>
            </w:r>
            <w:proofErr w:type="spellStart"/>
            <w:r w:rsidRPr="00F642A5">
              <w:rPr>
                <w:b/>
                <w:bCs/>
              </w:rPr>
              <w:t>HAwI</w:t>
            </w:r>
            <w:proofErr w:type="spellEnd"/>
            <w:r w:rsidRPr="00F642A5">
              <w:rPr>
                <w:b/>
                <w:bCs/>
              </w:rPr>
              <w:t xml:space="preserve"> or </w:t>
            </w:r>
            <w:proofErr w:type="spellStart"/>
            <w:r w:rsidRPr="00F642A5">
              <w:rPr>
                <w:b/>
                <w:bCs/>
              </w:rPr>
              <w:t>HBwI</w:t>
            </w:r>
            <w:proofErr w:type="spellEnd"/>
            <w:r w:rsidRPr="00F642A5">
              <w:rPr>
                <w:b/>
                <w:bCs/>
              </w:rPr>
              <w:t xml:space="preserve"> </w:t>
            </w:r>
          </w:p>
        </w:tc>
        <w:tc>
          <w:tcPr>
            <w:tcW w:w="2860" w:type="dxa"/>
          </w:tcPr>
          <w:p w14:paraId="1F940450" w14:textId="77777777" w:rsidR="008C27B2" w:rsidRPr="00F642A5"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F642A5">
              <w:rPr>
                <w:b/>
                <w:bCs/>
              </w:rPr>
              <w:t>CSR - pivotal</w:t>
            </w:r>
          </w:p>
        </w:tc>
      </w:tr>
      <w:tr w:rsidR="008C27B2" w14:paraId="6C57C296"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2FF95F0A" w14:textId="77777777" w:rsidR="008C27B2" w:rsidRDefault="008C27B2">
            <w:pPr>
              <w:spacing w:before="0" w:after="0" w:line="240" w:lineRule="auto"/>
              <w:ind w:left="57" w:right="57"/>
              <w:jc w:val="center"/>
              <w:rPr>
                <w:lang w:eastAsia="ja-JP"/>
              </w:rPr>
            </w:pPr>
            <w:r>
              <w:rPr>
                <w:lang w:eastAsia="ja-JP"/>
              </w:rPr>
              <w:t>III</w:t>
            </w:r>
          </w:p>
        </w:tc>
        <w:tc>
          <w:tcPr>
            <w:tcW w:w="1705" w:type="dxa"/>
          </w:tcPr>
          <w:p w14:paraId="0CBFE29F"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4307 (explorer8)</w:t>
            </w:r>
          </w:p>
        </w:tc>
        <w:tc>
          <w:tcPr>
            <w:tcW w:w="3541" w:type="dxa"/>
          </w:tcPr>
          <w:p w14:paraId="38659506"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efficacy and safety in subjects with HA or HB</w:t>
            </w:r>
          </w:p>
        </w:tc>
        <w:tc>
          <w:tcPr>
            <w:tcW w:w="2860" w:type="dxa"/>
          </w:tcPr>
          <w:p w14:paraId="2C12E7EA"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Limited safety data</w:t>
            </w:r>
          </w:p>
        </w:tc>
      </w:tr>
      <w:tr w:rsidR="008C27B2" w14:paraId="611FDA09" w14:textId="77777777" w:rsidTr="008C27B2">
        <w:tc>
          <w:tcPr>
            <w:cnfStyle w:val="001000000000" w:firstRow="0" w:lastRow="0" w:firstColumn="1" w:lastColumn="0" w:oddVBand="0" w:evenVBand="0" w:oddHBand="0" w:evenHBand="0" w:firstRowFirstColumn="0" w:firstRowLastColumn="0" w:lastRowFirstColumn="0" w:lastRowLastColumn="0"/>
            <w:tcW w:w="900" w:type="dxa"/>
          </w:tcPr>
          <w:p w14:paraId="7DD0F8BD" w14:textId="77777777" w:rsidR="008C27B2" w:rsidRDefault="008C27B2">
            <w:pPr>
              <w:spacing w:before="0" w:after="0" w:line="240" w:lineRule="auto"/>
              <w:ind w:left="57" w:right="57"/>
              <w:jc w:val="center"/>
              <w:rPr>
                <w:lang w:eastAsia="ja-JP"/>
              </w:rPr>
            </w:pPr>
            <w:r>
              <w:rPr>
                <w:lang w:eastAsia="ja-JP"/>
              </w:rPr>
              <w:t>NA</w:t>
            </w:r>
          </w:p>
        </w:tc>
        <w:tc>
          <w:tcPr>
            <w:tcW w:w="1705" w:type="dxa"/>
          </w:tcPr>
          <w:p w14:paraId="54E35B6D" w14:textId="77777777" w:rsidR="008C27B2" w:rsidRDefault="008C27B2">
            <w:pPr>
              <w:spacing w:before="0"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lang w:eastAsia="ja-JP"/>
              </w:rPr>
            </w:pPr>
            <w:r>
              <w:rPr>
                <w:lang w:eastAsia="ja-JP"/>
              </w:rPr>
              <w:t>-</w:t>
            </w:r>
          </w:p>
        </w:tc>
        <w:tc>
          <w:tcPr>
            <w:tcW w:w="3541" w:type="dxa"/>
          </w:tcPr>
          <w:p w14:paraId="31374CAD"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lang w:eastAsia="ja-JP"/>
              </w:rPr>
              <w:t xml:space="preserve">Compassionate use - whether under a compassionate use protocol or physician-driven </w:t>
            </w:r>
          </w:p>
        </w:tc>
        <w:tc>
          <w:tcPr>
            <w:tcW w:w="2860" w:type="dxa"/>
          </w:tcPr>
          <w:p w14:paraId="318547CA" w14:textId="77777777" w:rsidR="008C27B2" w:rsidRDefault="008C27B2">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Cs/>
              </w:rPr>
            </w:pPr>
            <w:r>
              <w:rPr>
                <w:bCs/>
              </w:rPr>
              <w:t>Efficacy and safety data</w:t>
            </w:r>
          </w:p>
        </w:tc>
      </w:tr>
    </w:tbl>
    <w:p w14:paraId="2E67A99E" w14:textId="77777777" w:rsidR="008C27B2" w:rsidRDefault="008C27B2" w:rsidP="008C27B2">
      <w:pPr>
        <w:pStyle w:val="TableDescription"/>
      </w:pPr>
      <w:r>
        <w:t>CSR = clinical study report; NA = not applicable</w:t>
      </w:r>
    </w:p>
    <w:p w14:paraId="38BCEACE" w14:textId="136E6C14" w:rsidR="00676791" w:rsidRDefault="00676791" w:rsidP="008C27B2">
      <w:pPr>
        <w:pStyle w:val="TableDescription"/>
      </w:pPr>
      <w:r>
        <w:t>Note: pivotal study highlighted with bold font.</w:t>
      </w:r>
    </w:p>
    <w:p w14:paraId="708BC79C" w14:textId="5A566F0B" w:rsidR="008C27B2" w:rsidRPr="00126D45" w:rsidRDefault="008C27B2" w:rsidP="00126D45">
      <w:pPr>
        <w:pStyle w:val="Heading5"/>
      </w:pPr>
      <w:r w:rsidRPr="00126D45">
        <w:lastRenderedPageBreak/>
        <w:t>Clinical development pause</w:t>
      </w:r>
      <w:r w:rsidR="00572F9F">
        <w:fldChar w:fldCharType="begin"/>
      </w:r>
      <w:r w:rsidR="00572F9F">
        <w:instrText xml:space="preserve"> DOCVARIABLE vault_nd</w:instrText>
      </w:r>
      <w:r w:rsidR="00572F9F">
        <w:instrText xml:space="preserve">_261ba52c-4614-4266-b5eb-1218b2833944 \* MERGEFORMAT </w:instrText>
      </w:r>
      <w:r w:rsidR="00572F9F">
        <w:fldChar w:fldCharType="separate"/>
      </w:r>
      <w:r w:rsidR="001B5D20">
        <w:t xml:space="preserve"> </w:t>
      </w:r>
      <w:r w:rsidR="00572F9F">
        <w:fldChar w:fldCharType="end"/>
      </w:r>
    </w:p>
    <w:p w14:paraId="4AB7A4BF" w14:textId="3A208A89" w:rsidR="00676791" w:rsidRDefault="008C27B2" w:rsidP="00FB32A5">
      <w:r w:rsidRPr="00126D45">
        <w:t>The clinical development program for concizumab was paused between 16 M</w:t>
      </w:r>
      <w:r w:rsidR="00A3617F">
        <w:t xml:space="preserve">arch </w:t>
      </w:r>
      <w:r w:rsidRPr="00126D45">
        <w:t>2020 and 30</w:t>
      </w:r>
      <w:r w:rsidR="00A3617F">
        <w:t> </w:t>
      </w:r>
      <w:r w:rsidRPr="00126D45">
        <w:t>S</w:t>
      </w:r>
      <w:r w:rsidR="00A3617F">
        <w:t xml:space="preserve">eptember </w:t>
      </w:r>
      <w:r w:rsidRPr="00126D45">
        <w:t>2020 (approximately 6.5 months) while a safety issue relating to thromboembolic events was investigated (</w:t>
      </w:r>
      <w:r w:rsidRPr="002523A3">
        <w:t>see</w:t>
      </w:r>
      <w:r w:rsidR="00FB32A5" w:rsidRPr="002523A3">
        <w:t xml:space="preserve"> </w:t>
      </w:r>
      <w:r w:rsidR="002523A3" w:rsidRPr="002523A3">
        <w:rPr>
          <w:highlight w:val="yellow"/>
        </w:rPr>
        <w:fldChar w:fldCharType="begin"/>
      </w:r>
      <w:r w:rsidR="002523A3" w:rsidRPr="002523A3">
        <w:instrText xml:space="preserve"> REF _Ref159851602 \h </w:instrText>
      </w:r>
      <w:r w:rsidR="002523A3" w:rsidRPr="002523A3">
        <w:rPr>
          <w:highlight w:val="yellow"/>
        </w:rPr>
        <w:instrText xml:space="preserve"> \* MERGEFORMAT </w:instrText>
      </w:r>
      <w:r w:rsidR="002523A3" w:rsidRPr="002523A3">
        <w:rPr>
          <w:highlight w:val="yellow"/>
        </w:rPr>
      </w:r>
      <w:r w:rsidR="002523A3" w:rsidRPr="002523A3">
        <w:rPr>
          <w:highlight w:val="yellow"/>
        </w:rPr>
        <w:fldChar w:fldCharType="separate"/>
      </w:r>
      <w:r w:rsidR="001B5D20">
        <w:t>Thromboembolic events</w:t>
      </w:r>
      <w:r w:rsidR="002523A3" w:rsidRPr="002523A3">
        <w:rPr>
          <w:highlight w:val="yellow"/>
        </w:rPr>
        <w:fldChar w:fldCharType="end"/>
      </w:r>
      <w:r w:rsidRPr="00FB32A5">
        <w:t>)</w:t>
      </w:r>
      <w:r w:rsidRPr="00126D45">
        <w:t>. This pause affected pivotal Study 4311 (also known as explorer7) and resulted in changes to dosing (</w:t>
      </w:r>
      <w:r w:rsidRPr="00A3617F">
        <w:t>se</w:t>
      </w:r>
      <w:r w:rsidR="00FB32A5" w:rsidRPr="00A3617F">
        <w:t xml:space="preserve">e </w:t>
      </w:r>
      <w:r w:rsidR="005715BC">
        <w:fldChar w:fldCharType="begin"/>
      </w:r>
      <w:r w:rsidR="005715BC">
        <w:instrText xml:space="preserve"> REF _Ref126573513 \h </w:instrText>
      </w:r>
      <w:r w:rsidR="005715BC">
        <w:fldChar w:fldCharType="separate"/>
      </w:r>
      <w:r w:rsidR="001B5D20" w:rsidRPr="00097F1E">
        <w:t xml:space="preserve">Study pause and changes to </w:t>
      </w:r>
      <w:r w:rsidR="001B5D20">
        <w:t>P</w:t>
      </w:r>
      <w:r w:rsidR="001B5D20" w:rsidRPr="00097F1E">
        <w:t xml:space="preserve">hase </w:t>
      </w:r>
      <w:r w:rsidR="001B5D20">
        <w:t>III</w:t>
      </w:r>
      <w:r w:rsidR="001B5D20" w:rsidRPr="00097F1E">
        <w:t xml:space="preserve"> dosing</w:t>
      </w:r>
      <w:r w:rsidR="005715BC">
        <w:fldChar w:fldCharType="end"/>
      </w:r>
      <w:r w:rsidRPr="00A3617F">
        <w:t>) and protocol advice regarding the use of bypass agents (se</w:t>
      </w:r>
      <w:r w:rsidR="00FB32A5" w:rsidRPr="00A3617F">
        <w:t xml:space="preserve">e </w:t>
      </w:r>
      <w:r w:rsidR="005715BC">
        <w:fldChar w:fldCharType="begin"/>
      </w:r>
      <w:r w:rsidR="005715BC">
        <w:instrText xml:space="preserve"> REF _Ref126579607 \h </w:instrText>
      </w:r>
      <w:r w:rsidR="005715BC">
        <w:fldChar w:fldCharType="separate"/>
      </w:r>
      <w:r w:rsidR="001B5D20" w:rsidRPr="0078639B">
        <w:t>Study pause and changes to protocol</w:t>
      </w:r>
      <w:r w:rsidR="005715BC">
        <w:fldChar w:fldCharType="end"/>
      </w:r>
      <w:r w:rsidRPr="005715BC">
        <w:t>)</w:t>
      </w:r>
      <w:r w:rsidRPr="00A3617F">
        <w:t xml:space="preserve"> when development was recommenced</w:t>
      </w:r>
      <w:r w:rsidR="00676791">
        <w:t>.</w:t>
      </w:r>
    </w:p>
    <w:p w14:paraId="6244B0AD" w14:textId="681A0ED3" w:rsidR="008C27B2" w:rsidRPr="00126D45" w:rsidRDefault="008C27B2" w:rsidP="00126D45">
      <w:r w:rsidRPr="00126D45">
        <w:t>Throughout this document, the terms pre-pause and post-pause will be used to differentiate between the periods of time before and after the study pause period, respectively.</w:t>
      </w:r>
    </w:p>
    <w:p w14:paraId="003AD6FC" w14:textId="06BD5004" w:rsidR="008C27B2" w:rsidRPr="00126D45" w:rsidRDefault="008C27B2" w:rsidP="00126D45">
      <w:pPr>
        <w:pStyle w:val="Heading4"/>
      </w:pPr>
      <w:bookmarkStart w:id="61" w:name="_Toc160786384"/>
      <w:r w:rsidRPr="00126D45">
        <w:t>Pharmacology</w:t>
      </w:r>
      <w:bookmarkEnd w:id="61"/>
      <w:r w:rsidR="0048603E">
        <w:fldChar w:fldCharType="begin"/>
      </w:r>
      <w:r w:rsidR="0048603E">
        <w:instrText xml:space="preserve"> DOCVARIABLE vault_nd_0b8e4079-e553-4b25-9663-ee445471fad9 \* MERGEFORMAT </w:instrText>
      </w:r>
      <w:r w:rsidR="0048603E">
        <w:fldChar w:fldCharType="separate"/>
      </w:r>
      <w:r w:rsidR="001B5D20">
        <w:t xml:space="preserve"> </w:t>
      </w:r>
      <w:r w:rsidR="0048603E">
        <w:fldChar w:fldCharType="end"/>
      </w:r>
    </w:p>
    <w:p w14:paraId="6C5637DE" w14:textId="279F0106" w:rsidR="008C27B2" w:rsidRPr="00126D45" w:rsidRDefault="008C27B2" w:rsidP="00126D45">
      <w:pPr>
        <w:pStyle w:val="Heading5"/>
      </w:pPr>
      <w:r w:rsidRPr="00126D45">
        <w:t>Formulation</w:t>
      </w:r>
      <w:r w:rsidR="00572F9F">
        <w:fldChar w:fldCharType="begin"/>
      </w:r>
      <w:r w:rsidR="00572F9F">
        <w:instrText xml:space="preserve"> DOCVARIABLE vault_nd_56886516-3712-4584-95fd-bf08e562f380 \* MERGEFORMAT </w:instrText>
      </w:r>
      <w:r w:rsidR="00572F9F">
        <w:fldChar w:fldCharType="separate"/>
      </w:r>
      <w:r w:rsidR="001B5D20">
        <w:t xml:space="preserve"> </w:t>
      </w:r>
      <w:r w:rsidR="00572F9F">
        <w:fldChar w:fldCharType="end"/>
      </w:r>
    </w:p>
    <w:p w14:paraId="169762D2" w14:textId="6086FBD0" w:rsidR="008C27B2" w:rsidRPr="00126D45" w:rsidRDefault="008C27B2" w:rsidP="00126D45">
      <w:r w:rsidRPr="00126D45">
        <w:t>Various formulations of concizumab were used during the clinical development</w:t>
      </w:r>
      <w:r w:rsidR="00126D45">
        <w:t xml:space="preserve">. </w:t>
      </w:r>
      <w:r w:rsidRPr="00126D45">
        <w:t xml:space="preserve">The one proposed for marketing is </w:t>
      </w:r>
      <w:r w:rsidR="00126D45">
        <w:t>‘</w:t>
      </w:r>
      <w:r w:rsidRPr="00126D45">
        <w:t>Concizumab C</w:t>
      </w:r>
      <w:r w:rsidR="00126D45">
        <w:t>’</w:t>
      </w:r>
      <w:r w:rsidRPr="00126D45">
        <w:t>, which was used in</w:t>
      </w:r>
      <w:r w:rsidR="00A3617F">
        <w:t xml:space="preserve"> the</w:t>
      </w:r>
      <w:r w:rsidRPr="00126D45">
        <w:t xml:space="preserve"> </w:t>
      </w:r>
      <w:r w:rsidR="00A3617F">
        <w:t>explorer</w:t>
      </w:r>
      <w:r w:rsidR="00126D45">
        <w:t>7 trial</w:t>
      </w:r>
      <w:r w:rsidRPr="00126D45">
        <w:t>.</w:t>
      </w:r>
    </w:p>
    <w:p w14:paraId="48B6C397" w14:textId="32D73767" w:rsidR="008C27B2" w:rsidRPr="00126D45" w:rsidRDefault="008C27B2" w:rsidP="00126D45">
      <w:pPr>
        <w:pStyle w:val="Heading5"/>
      </w:pPr>
      <w:bookmarkStart w:id="62" w:name="_Ref128665389"/>
      <w:r w:rsidRPr="00126D45">
        <w:t>Pharmacokinetics</w:t>
      </w:r>
      <w:bookmarkEnd w:id="62"/>
      <w:r w:rsidR="0048603E">
        <w:fldChar w:fldCharType="begin"/>
      </w:r>
      <w:r w:rsidR="0048603E">
        <w:instrText xml:space="preserve"> DOCVARIABLE vault_nd_b27a95f2-a230-447b-8bc7-761bdf93da47 \* MERGEFORMAT </w:instrText>
      </w:r>
      <w:r w:rsidR="0048603E">
        <w:fldChar w:fldCharType="separate"/>
      </w:r>
      <w:r w:rsidR="001B5D20">
        <w:t xml:space="preserve"> </w:t>
      </w:r>
      <w:r w:rsidR="0048603E">
        <w:fldChar w:fldCharType="end"/>
      </w:r>
    </w:p>
    <w:p w14:paraId="267A65A1" w14:textId="19E4D287" w:rsidR="008C27B2" w:rsidRPr="00126D45" w:rsidRDefault="008C27B2" w:rsidP="00126D45">
      <w:r w:rsidRPr="00126D45">
        <w:t xml:space="preserve">The </w:t>
      </w:r>
      <w:r w:rsidR="00126D45" w:rsidRPr="00676791">
        <w:t>pharmacokinetics (</w:t>
      </w:r>
      <w:r w:rsidRPr="00676791">
        <w:t>PK</w:t>
      </w:r>
      <w:r w:rsidR="00126D45" w:rsidRPr="00676791">
        <w:t>)</w:t>
      </w:r>
      <w:r w:rsidRPr="00126D45">
        <w:t xml:space="preserve"> of concizumab have been adequately defined and were similar in healthy volunteers compared to patients with haemophilia. The dominant clearance mechanism is through binding to endothelial cell-anchored TFPI with subsequent endocytosis and degradation (</w:t>
      </w:r>
      <w:r w:rsidR="00126D45">
        <w:t>that is</w:t>
      </w:r>
      <w:r w:rsidRPr="00126D45">
        <w:t xml:space="preserve"> target-mediated drug disposition). As the amount of TFPI is saturable, the drug displays non-linear PK with increasing systemic exposure with increasing dose.</w:t>
      </w:r>
    </w:p>
    <w:p w14:paraId="409988EF" w14:textId="7C642531" w:rsidR="008C27B2" w:rsidRPr="00126D45" w:rsidRDefault="008C27B2" w:rsidP="00126D45">
      <w:pPr>
        <w:pStyle w:val="Heading6"/>
      </w:pPr>
      <w:r w:rsidRPr="00126D45">
        <w:t>Absorption</w:t>
      </w:r>
      <w:r w:rsidR="00572F9F">
        <w:fldChar w:fldCharType="begin"/>
      </w:r>
      <w:r w:rsidR="00572F9F">
        <w:instrText xml:space="preserve"> DOCVARIABLE vault_nd_f57cda1b-d698-4557-a94c-7bb487562a5c \* MERGEFORMAT </w:instrText>
      </w:r>
      <w:r w:rsidR="00572F9F">
        <w:fldChar w:fldCharType="separate"/>
      </w:r>
      <w:r w:rsidR="001B5D20">
        <w:t xml:space="preserve"> </w:t>
      </w:r>
      <w:r w:rsidR="00572F9F">
        <w:fldChar w:fldCharType="end"/>
      </w:r>
    </w:p>
    <w:p w14:paraId="5D27228C" w14:textId="31CD084F" w:rsidR="008C27B2" w:rsidRPr="00A3617F" w:rsidRDefault="008C27B2" w:rsidP="00A3617F">
      <w:r w:rsidRPr="00A3617F">
        <w:t>Absolute bioavailability could not be reliably estimated due to the non-linear PK.</w:t>
      </w:r>
    </w:p>
    <w:p w14:paraId="41653A03" w14:textId="1D4C6115" w:rsidR="008C27B2" w:rsidRPr="00126D45" w:rsidRDefault="008C27B2" w:rsidP="00A3617F">
      <w:r w:rsidRPr="00A3617F">
        <w:t>Concizumab is proposed for subcutaneous (</w:t>
      </w:r>
      <w:r w:rsidRPr="00676791">
        <w:t>SC</w:t>
      </w:r>
      <w:r w:rsidRPr="00A3617F">
        <w:t>) administration: into the thigh or abdomen. Following SC administration of 0.05</w:t>
      </w:r>
      <w:r w:rsidR="00A3617F">
        <w:t xml:space="preserve"> to </w:t>
      </w:r>
      <w:r w:rsidRPr="00A3617F">
        <w:t>3</w:t>
      </w:r>
      <w:r w:rsidR="00A3617F">
        <w:t> </w:t>
      </w:r>
      <w:r w:rsidRPr="00A3617F">
        <w:t xml:space="preserve">mg/kg concizumab in a </w:t>
      </w:r>
      <w:r w:rsidR="00A3617F">
        <w:t>P</w:t>
      </w:r>
      <w:r w:rsidRPr="00A3617F">
        <w:t xml:space="preserve">hase </w:t>
      </w:r>
      <w:r w:rsidR="00A3617F">
        <w:t>I</w:t>
      </w:r>
      <w:r w:rsidRPr="00A3617F">
        <w:t xml:space="preserve"> study (</w:t>
      </w:r>
      <w:r w:rsidR="00A3617F">
        <w:t>Study </w:t>
      </w:r>
      <w:r w:rsidRPr="00A3617F">
        <w:t xml:space="preserve">3813) in healthy and haemophilia subjects, median </w:t>
      </w:r>
      <w:r w:rsidR="00A3617F">
        <w:t>time to maximum concentration</w:t>
      </w:r>
      <w:r w:rsidRPr="00A3617F">
        <w:t xml:space="preserve"> varied with dose: as low as 12 hours at a dose of 0.05</w:t>
      </w:r>
      <w:r w:rsidR="00A3617F">
        <w:t> </w:t>
      </w:r>
      <w:r w:rsidRPr="00A3617F">
        <w:t xml:space="preserve">mg/kg, and as high as 70 hours at a dose of </w:t>
      </w:r>
      <w:r w:rsidR="00A3617F">
        <w:t>3 </w:t>
      </w:r>
      <w:r w:rsidRPr="00A3617F">
        <w:t xml:space="preserve">mg/kg. The range of individual values for </w:t>
      </w:r>
      <w:r w:rsidR="00676791">
        <w:t>time to maximum concentration</w:t>
      </w:r>
      <w:r w:rsidRPr="00A3617F">
        <w:rPr>
          <w:vertAlign w:val="subscript"/>
        </w:rPr>
        <w:t xml:space="preserve"> </w:t>
      </w:r>
      <w:r w:rsidRPr="00A3617F">
        <w:t>was 8 hours to 502 hours</w:t>
      </w:r>
      <w:r w:rsidRPr="00126D45">
        <w:t>.</w:t>
      </w:r>
    </w:p>
    <w:p w14:paraId="636F672B" w14:textId="26C48E50" w:rsidR="008C27B2" w:rsidRPr="00126D45" w:rsidRDefault="008C27B2" w:rsidP="00126D45">
      <w:r w:rsidRPr="00126D45">
        <w:t xml:space="preserve">Concizumab </w:t>
      </w:r>
      <w:proofErr w:type="spellStart"/>
      <w:r w:rsidRPr="00126D45">
        <w:t>C</w:t>
      </w:r>
      <w:r w:rsidRPr="00A3617F">
        <w:rPr>
          <w:vertAlign w:val="subscript"/>
        </w:rPr>
        <w:t>max</w:t>
      </w:r>
      <w:proofErr w:type="spellEnd"/>
      <w:r w:rsidRPr="00126D45">
        <w:t xml:space="preserve"> and </w:t>
      </w:r>
      <w:r w:rsidR="00A3617F">
        <w:t>a</w:t>
      </w:r>
      <w:r w:rsidR="00A3617F" w:rsidRPr="00A3617F">
        <w:t>rea under the concentration time curve from time zero to infinity</w:t>
      </w:r>
      <w:r w:rsidR="00A3617F">
        <w:t xml:space="preserve"> </w:t>
      </w:r>
      <w:r w:rsidRPr="00126D45">
        <w:t xml:space="preserve">increase in a greater than dose proportional manner. In explorer7 (pivotal </w:t>
      </w:r>
      <w:r w:rsidR="00A3617F">
        <w:t>P</w:t>
      </w:r>
      <w:r w:rsidRPr="00126D45">
        <w:t xml:space="preserve">hase III), concizumab was given SC to patients aged 12 years or older with </w:t>
      </w:r>
      <w:proofErr w:type="spellStart"/>
      <w:r w:rsidRPr="00126D45">
        <w:t>HAwI</w:t>
      </w:r>
      <w:proofErr w:type="spellEnd"/>
      <w:r w:rsidRPr="00126D45">
        <w:t xml:space="preserve"> or </w:t>
      </w:r>
      <w:proofErr w:type="spellStart"/>
      <w:r w:rsidRPr="00126D45">
        <w:t>HBwI</w:t>
      </w:r>
      <w:proofErr w:type="spellEnd"/>
      <w:r w:rsidRPr="00126D45">
        <w:t>, according to the regimen summarised in</w:t>
      </w:r>
      <w:r w:rsidR="00F44F4D">
        <w:t xml:space="preserve"> </w:t>
      </w:r>
      <w:r w:rsidR="005723AF">
        <w:fldChar w:fldCharType="begin"/>
      </w:r>
      <w:r w:rsidR="005723AF">
        <w:instrText xml:space="preserve"> REF _Ref149639566 \h </w:instrText>
      </w:r>
      <w:r w:rsidR="005723AF">
        <w:fldChar w:fldCharType="separate"/>
      </w:r>
      <w:r w:rsidR="001B5D20" w:rsidRPr="00061912">
        <w:t xml:space="preserve">Table </w:t>
      </w:r>
      <w:r w:rsidR="001B5D20">
        <w:rPr>
          <w:noProof/>
        </w:rPr>
        <w:t>3</w:t>
      </w:r>
      <w:r w:rsidR="005723AF">
        <w:fldChar w:fldCharType="end"/>
      </w:r>
      <w:r w:rsidR="00DC1A6D">
        <w:t>.</w:t>
      </w:r>
      <w:r w:rsidRPr="00126D45">
        <w:t xml:space="preserve"> Steady state was reached at 24 weeks, and the geometric mean (</w:t>
      </w:r>
      <w:r w:rsidR="00A3617F">
        <w:t>coefficient of variation</w:t>
      </w:r>
      <w:r w:rsidRPr="00126D45">
        <w:t xml:space="preserve">) </w:t>
      </w:r>
      <w:proofErr w:type="spellStart"/>
      <w:r w:rsidRPr="00676791">
        <w:t>C</w:t>
      </w:r>
      <w:r w:rsidRPr="00676791">
        <w:rPr>
          <w:vertAlign w:val="subscript"/>
        </w:rPr>
        <w:t>max</w:t>
      </w:r>
      <w:proofErr w:type="spellEnd"/>
      <w:r w:rsidR="00676791">
        <w:t xml:space="preserve"> </w:t>
      </w:r>
      <w:r w:rsidRPr="00676791">
        <w:t>and</w:t>
      </w:r>
      <w:r w:rsidRPr="00126D45">
        <w:t xml:space="preserve"> </w:t>
      </w:r>
      <w:r w:rsidR="00A3617F">
        <w:t>t</w:t>
      </w:r>
      <w:r w:rsidR="00A3617F" w:rsidRPr="00A3617F">
        <w:t>rough concentration</w:t>
      </w:r>
      <w:r w:rsidR="00A3617F">
        <w:t xml:space="preserve"> (</w:t>
      </w:r>
      <w:proofErr w:type="spellStart"/>
      <w:r w:rsidRPr="00126D45">
        <w:t>C</w:t>
      </w:r>
      <w:r w:rsidRPr="00126D45">
        <w:rPr>
          <w:vertAlign w:val="subscript"/>
        </w:rPr>
        <w:t>trough</w:t>
      </w:r>
      <w:proofErr w:type="spellEnd"/>
      <w:r w:rsidR="00A3617F">
        <w:t>)</w:t>
      </w:r>
      <w:r w:rsidRPr="00126D45">
        <w:t xml:space="preserve"> at </w:t>
      </w:r>
      <w:r w:rsidR="00A3617F">
        <w:t>W</w:t>
      </w:r>
      <w:r w:rsidRPr="00126D45">
        <w:t>eek 24 were 1167.1 (</w:t>
      </w:r>
      <w:r w:rsidR="008C4ECA">
        <w:t>1.3</w:t>
      </w:r>
      <w:r w:rsidRPr="00126D45">
        <w:t>)</w:t>
      </w:r>
      <w:r w:rsidR="00A3617F">
        <w:t> </w:t>
      </w:r>
      <w:r w:rsidRPr="00126D45">
        <w:t>ng/mL and 665.4</w:t>
      </w:r>
      <w:r w:rsidR="00126D45">
        <w:t> </w:t>
      </w:r>
      <w:r w:rsidRPr="00126D45">
        <w:t>(2.2) ng/mL, respectively.</w:t>
      </w:r>
    </w:p>
    <w:p w14:paraId="43D5D3E8" w14:textId="4C2B89B5" w:rsidR="008C27B2" w:rsidRPr="00126D45" w:rsidRDefault="008C27B2" w:rsidP="00126D45">
      <w:r w:rsidRPr="00126D45">
        <w:t>Due to the non-linear PK, for a typical subject, more than 95% of the steady</w:t>
      </w:r>
      <w:r w:rsidR="00A3617F">
        <w:t xml:space="preserve"> </w:t>
      </w:r>
      <w:r w:rsidRPr="00126D45">
        <w:t xml:space="preserve">state average concentration was reached already on </w:t>
      </w:r>
      <w:r w:rsidR="00A3617F">
        <w:t>D</w:t>
      </w:r>
      <w:r w:rsidRPr="00126D45">
        <w:t>ay 4 following once-daily dosing of 0.20</w:t>
      </w:r>
      <w:r w:rsidR="00A3617F">
        <w:t> </w:t>
      </w:r>
      <w:r w:rsidRPr="00126D45">
        <w:t>mg/kg with a loading dose of 1</w:t>
      </w:r>
      <w:r w:rsidR="00A3617F">
        <w:t> </w:t>
      </w:r>
      <w:r w:rsidRPr="00126D45">
        <w:t xml:space="preserve">mg/kg on </w:t>
      </w:r>
      <w:r w:rsidR="00126D45">
        <w:t>D</w:t>
      </w:r>
      <w:r w:rsidRPr="00126D45">
        <w:t>ay 1.</w:t>
      </w:r>
    </w:p>
    <w:p w14:paraId="7D2F4BB6" w14:textId="20C6E6BE" w:rsidR="008C27B2" w:rsidRPr="00126D45" w:rsidRDefault="008C27B2" w:rsidP="00126D45">
      <w:pPr>
        <w:pStyle w:val="Heading6"/>
      </w:pPr>
      <w:r w:rsidRPr="00126D45">
        <w:t>Distribution</w:t>
      </w:r>
      <w:r w:rsidR="00572F9F">
        <w:fldChar w:fldCharType="begin"/>
      </w:r>
      <w:r w:rsidR="00572F9F">
        <w:instrText xml:space="preserve"> DOCVARIABLE va</w:instrText>
      </w:r>
      <w:r w:rsidR="00572F9F">
        <w:instrText xml:space="preserve">ult_nd_c900dc27-41ea-4615-bbd5-f7d5356dec42 \* MERGEFORMAT </w:instrText>
      </w:r>
      <w:r w:rsidR="00572F9F">
        <w:fldChar w:fldCharType="separate"/>
      </w:r>
      <w:r w:rsidR="001B5D20">
        <w:t xml:space="preserve"> </w:t>
      </w:r>
      <w:r w:rsidR="00572F9F">
        <w:fldChar w:fldCharType="end"/>
      </w:r>
    </w:p>
    <w:p w14:paraId="1A787C8E" w14:textId="5278E4AC" w:rsidR="008C27B2" w:rsidRPr="00126D45" w:rsidRDefault="008C27B2" w:rsidP="00126D45">
      <w:r w:rsidRPr="00126D45">
        <w:t xml:space="preserve">In common with other monoclonal antibodies, concizumab has a low volume of distribution. Following intravenous administration in haemophilia subjects in </w:t>
      </w:r>
      <w:r w:rsidR="00126D45">
        <w:t>S</w:t>
      </w:r>
      <w:r w:rsidRPr="00126D45">
        <w:t>tudy 3813, the geometric mean volume of distribution at steady state was between 32 and 59</w:t>
      </w:r>
      <w:r w:rsidR="00A3617F">
        <w:t> </w:t>
      </w:r>
      <w:r w:rsidRPr="00126D45">
        <w:t>mL/kg (approximately 2.3 to 4.2</w:t>
      </w:r>
      <w:r w:rsidR="00A3617F">
        <w:t> </w:t>
      </w:r>
      <w:r w:rsidRPr="00126D45">
        <w:t>L for a 70</w:t>
      </w:r>
      <w:r w:rsidR="00A3617F">
        <w:t> </w:t>
      </w:r>
      <w:r w:rsidRPr="00126D45">
        <w:t>kg individual).</w:t>
      </w:r>
    </w:p>
    <w:p w14:paraId="1B4F1BBF" w14:textId="28757EFC" w:rsidR="008C27B2" w:rsidRPr="00126D45" w:rsidRDefault="008C27B2" w:rsidP="00126D45">
      <w:pPr>
        <w:pStyle w:val="Heading6"/>
      </w:pPr>
      <w:r w:rsidRPr="00126D45">
        <w:lastRenderedPageBreak/>
        <w:t>Metabolism</w:t>
      </w:r>
    </w:p>
    <w:p w14:paraId="44E81ECA" w14:textId="77777777" w:rsidR="008C27B2" w:rsidRPr="00126D45" w:rsidRDefault="008C27B2" w:rsidP="00126D45">
      <w:r w:rsidRPr="00126D45">
        <w:t>As a large protein, concizumab would be expected to undergo catabolism to peptides and amino acids in various tissues, and be recycled for de novo synthesis of proteins, or excreted by the kidney.</w:t>
      </w:r>
    </w:p>
    <w:p w14:paraId="17F21243" w14:textId="3E954C75" w:rsidR="008C27B2" w:rsidRPr="00126D45" w:rsidRDefault="008C27B2" w:rsidP="00126D45">
      <w:pPr>
        <w:pStyle w:val="Heading6"/>
      </w:pPr>
      <w:r w:rsidRPr="00126D45">
        <w:t>Excretion</w:t>
      </w:r>
    </w:p>
    <w:p w14:paraId="3CB356E0" w14:textId="600B958A" w:rsidR="008C27B2" w:rsidRPr="00126D45" w:rsidRDefault="008C27B2" w:rsidP="00126D45">
      <w:r w:rsidRPr="00126D45">
        <w:t xml:space="preserve">Non-linearity of elimination rates was seen both between doses levels, </w:t>
      </w:r>
      <w:r w:rsidR="00A3617F" w:rsidRPr="00126D45">
        <w:t>and</w:t>
      </w:r>
      <w:r w:rsidRPr="00126D45">
        <w:t xml:space="preserve"> over time for a particular dose level, consistent with </w:t>
      </w:r>
      <w:r w:rsidR="00676791" w:rsidRPr="00126D45">
        <w:t xml:space="preserve">target-mediated drug disposition </w:t>
      </w:r>
      <w:r w:rsidR="00126D45">
        <w:t>(</w:t>
      </w:r>
      <w:r w:rsidR="00126D45">
        <w:fldChar w:fldCharType="begin"/>
      </w:r>
      <w:r w:rsidR="00126D45">
        <w:instrText xml:space="preserve"> REF _Ref149566937 \h </w:instrText>
      </w:r>
      <w:r w:rsidR="00126D45">
        <w:fldChar w:fldCharType="separate"/>
      </w:r>
      <w:r w:rsidR="001B5D20" w:rsidRPr="00126D45">
        <w:t xml:space="preserve">Figure </w:t>
      </w:r>
      <w:r w:rsidR="001B5D20">
        <w:rPr>
          <w:noProof/>
        </w:rPr>
        <w:t>4</w:t>
      </w:r>
      <w:r w:rsidR="00126D45">
        <w:fldChar w:fldCharType="end"/>
      </w:r>
      <w:r w:rsidR="00126D45">
        <w:t>)</w:t>
      </w:r>
      <w:r w:rsidRPr="00126D45">
        <w:t xml:space="preserve">. Following </w:t>
      </w:r>
      <w:r w:rsidR="00126D45">
        <w:t>intravenous</w:t>
      </w:r>
      <w:r w:rsidRPr="00126D45">
        <w:t xml:space="preserve"> administration in haemophilia subjects in </w:t>
      </w:r>
      <w:r w:rsidR="00126D45">
        <w:t>S</w:t>
      </w:r>
      <w:r w:rsidRPr="00126D45">
        <w:t>tudy 3813, geometric mean total clearance decreased from 6.53</w:t>
      </w:r>
      <w:r w:rsidR="00A3617F">
        <w:t> </w:t>
      </w:r>
      <w:r w:rsidRPr="00126D45">
        <w:t>mL/hr/kg at the 250</w:t>
      </w:r>
      <w:r w:rsidR="00A3617F">
        <w:t> </w:t>
      </w:r>
      <w:r w:rsidRPr="00126D45">
        <w:sym w:font="Symbol" w:char="F06D"/>
      </w:r>
      <w:r w:rsidRPr="00126D45">
        <w:t>g/kg dose to 0.27</w:t>
      </w:r>
      <w:r w:rsidR="00A3617F">
        <w:t> </w:t>
      </w:r>
      <w:r w:rsidRPr="00126D45">
        <w:t>ml/hr/kg at the 9000</w:t>
      </w:r>
      <w:r w:rsidR="00A3617F">
        <w:t> </w:t>
      </w:r>
      <w:r w:rsidRPr="00126D45">
        <w:sym w:font="Symbol" w:char="F06D"/>
      </w:r>
      <w:r w:rsidRPr="00126D45">
        <w:t>g/kg dose.</w:t>
      </w:r>
    </w:p>
    <w:p w14:paraId="5EA11153" w14:textId="6EF777C4" w:rsidR="008C27B2" w:rsidRDefault="008C27B2" w:rsidP="00126D45">
      <w:r w:rsidRPr="00126D45">
        <w:t>The non-linear elimination process appeared to be saturated above 10,000</w:t>
      </w:r>
      <w:r w:rsidR="00A3617F">
        <w:t> </w:t>
      </w:r>
      <w:r w:rsidRPr="00126D45">
        <w:t>ng/</w:t>
      </w:r>
      <w:proofErr w:type="spellStart"/>
      <w:r w:rsidRPr="00126D45">
        <w:t>mL.</w:t>
      </w:r>
      <w:proofErr w:type="spellEnd"/>
      <w:r w:rsidRPr="00126D45">
        <w:t xml:space="preserve"> The typical terminal half-life value for the linear clearance pathway was approximately 22 days for a 75</w:t>
      </w:r>
      <w:r w:rsidR="00A3617F">
        <w:t> </w:t>
      </w:r>
      <w:r w:rsidRPr="00126D45">
        <w:t>kg patient. Considering the non-linear elimination, the effective half-life of concizumab was much shorter than the linear half-life</w:t>
      </w:r>
      <w:r w:rsidR="00A3617F">
        <w:t xml:space="preserve"> </w:t>
      </w:r>
      <w:r w:rsidRPr="00126D45">
        <w:t>and varied with plasma concentration due to the saturable elimination. Following intravenous administration in haemophilia subjects (</w:t>
      </w:r>
      <w:r w:rsidR="00126D45">
        <w:t>S</w:t>
      </w:r>
      <w:r w:rsidRPr="00126D45">
        <w:t>tudy 3813) geometric mean terminal half-life ranged from 31 hours at the</w:t>
      </w:r>
      <w:r w:rsidR="00A3617F">
        <w:t> </w:t>
      </w:r>
      <w:r w:rsidRPr="00126D45">
        <w:t xml:space="preserve">250 </w:t>
      </w:r>
      <w:r w:rsidRPr="00126D45">
        <w:sym w:font="Symbol" w:char="F06D"/>
      </w:r>
      <w:r w:rsidRPr="00126D45">
        <w:t>g/kg dose to 73 hours at the 3000</w:t>
      </w:r>
      <w:r w:rsidR="00A3617F">
        <w:t> </w:t>
      </w:r>
      <w:r w:rsidRPr="00126D45">
        <w:sym w:font="Symbol" w:char="F06D"/>
      </w:r>
      <w:r w:rsidRPr="00126D45">
        <w:t>g/kg dose.</w:t>
      </w:r>
    </w:p>
    <w:p w14:paraId="72058123" w14:textId="1263600B" w:rsidR="00126D45" w:rsidRDefault="00126D45" w:rsidP="00126D45">
      <w:pPr>
        <w:pStyle w:val="FigureTitle"/>
      </w:pPr>
      <w:bookmarkStart w:id="63" w:name="_Ref149566937"/>
      <w:r w:rsidRPr="00126D45">
        <w:t xml:space="preserve">Figure </w:t>
      </w:r>
      <w:r w:rsidR="00572F9F">
        <w:fldChar w:fldCharType="begin"/>
      </w:r>
      <w:r w:rsidR="00572F9F">
        <w:instrText xml:space="preserve"> SEQ Figure \* ARABIC </w:instrText>
      </w:r>
      <w:r w:rsidR="00572F9F">
        <w:fldChar w:fldCharType="separate"/>
      </w:r>
      <w:r w:rsidR="001B5D20">
        <w:rPr>
          <w:noProof/>
        </w:rPr>
        <w:t>4</w:t>
      </w:r>
      <w:r w:rsidR="00572F9F">
        <w:rPr>
          <w:noProof/>
        </w:rPr>
        <w:fldChar w:fldCharType="end"/>
      </w:r>
      <w:bookmarkEnd w:id="63"/>
      <w:r>
        <w:t xml:space="preserve">: </w:t>
      </w:r>
      <w:r w:rsidRPr="00126D45">
        <w:t xml:space="preserve">Simulated </w:t>
      </w:r>
      <w:r w:rsidR="00A3617F">
        <w:t xml:space="preserve">pharmacokinetic </w:t>
      </w:r>
      <w:r w:rsidRPr="00126D45">
        <w:t xml:space="preserve">profiles of single </w:t>
      </w:r>
      <w:r>
        <w:t>intravenous</w:t>
      </w:r>
      <w:r w:rsidRPr="00126D45">
        <w:t xml:space="preserve"> (A) and </w:t>
      </w:r>
      <w:r>
        <w:t xml:space="preserve">subcutaneous </w:t>
      </w:r>
      <w:r w:rsidRPr="00126D45">
        <w:t>(B) doses of concizumab for a typical subject with a body weight of 75</w:t>
      </w:r>
      <w:r w:rsidR="00A3617F">
        <w:t> </w:t>
      </w:r>
      <w:r w:rsidRPr="00126D45">
        <w:t xml:space="preserve">kg based on the final </w:t>
      </w:r>
      <w:r w:rsidR="00A3617F">
        <w:t xml:space="preserve">population pharmacokinetic </w:t>
      </w:r>
      <w:r w:rsidRPr="00126D45">
        <w:t>model</w:t>
      </w:r>
      <w:r w:rsidR="00572F9F">
        <w:fldChar w:fldCharType="begin"/>
      </w:r>
      <w:r w:rsidR="00572F9F">
        <w:instrText xml:space="preserve"> DOCVARIABLE vault_nd_53c07efd-9ce7-4d0a-a6e4-03896a25dbcb \* MERGEFORMAT </w:instrText>
      </w:r>
      <w:r w:rsidR="00572F9F">
        <w:fldChar w:fldCharType="separate"/>
      </w:r>
      <w:r w:rsidR="001B5D20">
        <w:t xml:space="preserve"> </w:t>
      </w:r>
      <w:r w:rsidR="00572F9F">
        <w:fldChar w:fldCharType="end"/>
      </w:r>
    </w:p>
    <w:p w14:paraId="60CFD9C7" w14:textId="1619A405" w:rsidR="00126D45" w:rsidRDefault="00126D45" w:rsidP="00126D45">
      <w:r>
        <w:rPr>
          <w:noProof/>
        </w:rPr>
        <w:drawing>
          <wp:inline distT="0" distB="0" distL="0" distR="0" wp14:anchorId="10DB08D1" wp14:editId="167DD421">
            <wp:extent cx="5581816" cy="1863681"/>
            <wp:effectExtent l="0" t="0" r="0" b="3810"/>
            <wp:docPr id="85" name="Picture 85" descr="Simulated pharmacokinetic profiles of single intravenous (A) and subcutaneous (B) doses of concizumab for a typical subject with a body weight of 75 kg based on the final population pharmacokinet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imulated pharmacokinetic profiles of single intravenous (A) and subcutaneous (B) doses of concizumab for a typical subject with a body weight of 75 kg based on the final population pharmacokinetic model"/>
                    <pic:cNvPicPr/>
                  </pic:nvPicPr>
                  <pic:blipFill rotWithShape="1">
                    <a:blip r:embed="rId24"/>
                    <a:srcRect l="2596" t="9728" r="2404" b="20958"/>
                    <a:stretch/>
                  </pic:blipFill>
                  <pic:spPr bwMode="auto">
                    <a:xfrm>
                      <a:off x="0" y="0"/>
                      <a:ext cx="5586966" cy="1865401"/>
                    </a:xfrm>
                    <a:prstGeom prst="rect">
                      <a:avLst/>
                    </a:prstGeom>
                    <a:ln>
                      <a:noFill/>
                    </a:ln>
                    <a:extLst>
                      <a:ext uri="{53640926-AAD7-44D8-BBD7-CCE9431645EC}">
                        <a14:shadowObscured xmlns:a14="http://schemas.microsoft.com/office/drawing/2010/main"/>
                      </a:ext>
                    </a:extLst>
                  </pic:spPr>
                </pic:pic>
              </a:graphicData>
            </a:graphic>
          </wp:inline>
        </w:drawing>
      </w:r>
    </w:p>
    <w:p w14:paraId="14DA9C0C" w14:textId="41710C10" w:rsidR="00126D45" w:rsidRDefault="00126D45" w:rsidP="00126D45">
      <w:pPr>
        <w:pStyle w:val="FigureDescription"/>
      </w:pPr>
      <w:r>
        <w:t xml:space="preserve">Source: Figure 6-4 from </w:t>
      </w:r>
      <w:proofErr w:type="spellStart"/>
      <w:r>
        <w:t>PopPK</w:t>
      </w:r>
      <w:proofErr w:type="spellEnd"/>
      <w:r>
        <w:t xml:space="preserve"> report </w:t>
      </w:r>
      <w:r w:rsidRPr="00BA78DE">
        <w:t>VV-CLIN-141447</w:t>
      </w:r>
      <w:r>
        <w:t>, dated 14 June 2022.</w:t>
      </w:r>
    </w:p>
    <w:p w14:paraId="40741BD4" w14:textId="01F28049" w:rsidR="00126D45" w:rsidRPr="00126D45" w:rsidRDefault="00126D45" w:rsidP="00126D45">
      <w:pPr>
        <w:pStyle w:val="Heading5"/>
      </w:pPr>
      <w:r w:rsidRPr="00126D45">
        <w:t>Population pharmacokinetics data</w:t>
      </w:r>
      <w:r w:rsidR="00572F9F">
        <w:fldChar w:fldCharType="begin"/>
      </w:r>
      <w:r w:rsidR="00572F9F">
        <w:instrText xml:space="preserve"> DOCVARIABLE vault_nd_a8119823-40cf-466b-8e64-d2c78086062c \* MERGEFORMAT </w:instrText>
      </w:r>
      <w:r w:rsidR="00572F9F">
        <w:fldChar w:fldCharType="separate"/>
      </w:r>
      <w:r w:rsidR="001B5D20">
        <w:t xml:space="preserve"> </w:t>
      </w:r>
      <w:r w:rsidR="00572F9F">
        <w:fldChar w:fldCharType="end"/>
      </w:r>
    </w:p>
    <w:p w14:paraId="415C628A" w14:textId="30788278" w:rsidR="00126D45" w:rsidRPr="00126D45" w:rsidRDefault="00126D45" w:rsidP="00126D45">
      <w:r w:rsidRPr="00126D45">
        <w:t>The PK of concizumab were adequately described by a 2-compartment PK model with combined linear clearance and nonlinear target-mediated drug disposition, with a transit compartment for delayed absorption.</w:t>
      </w:r>
    </w:p>
    <w:p w14:paraId="103D2FC3" w14:textId="77777777" w:rsidR="00126D45" w:rsidRPr="00126D45" w:rsidRDefault="00126D45" w:rsidP="00126D45">
      <w:r w:rsidRPr="00126D45">
        <w:t>Body weight was included as a covariate in the model, with effects on linear clearance, intercompartmental clearance and the total amount of TFPI available for concizumab binding. Age, race, and haemophilia subtype were explored as covariates and no significant effects on concizumab PK were detected. However, there were insufficient subjects with impaired hepatic or renal function to allow meaningful analysis.</w:t>
      </w:r>
    </w:p>
    <w:p w14:paraId="165E0756" w14:textId="26600923" w:rsidR="00126D45" w:rsidRPr="00126D45" w:rsidRDefault="00126D45" w:rsidP="00126D45">
      <w:r w:rsidRPr="00A3617F">
        <w:t>The pivotal study (</w:t>
      </w:r>
      <w:r w:rsidR="00A3617F" w:rsidRPr="00A3617F">
        <w:t>explorer7</w:t>
      </w:r>
      <w:r w:rsidRPr="00A3617F">
        <w:t xml:space="preserve"> trial) enrolled both adult and adolescent subjects</w:t>
      </w:r>
      <w:r w:rsidR="003646C4" w:rsidRPr="00A3617F">
        <w:t xml:space="preserve"> (</w:t>
      </w:r>
      <w:r w:rsidR="003646C4" w:rsidRPr="005715BC">
        <w:t xml:space="preserve">See </w:t>
      </w:r>
      <w:r w:rsidR="005715BC">
        <w:fldChar w:fldCharType="begin"/>
      </w:r>
      <w:r w:rsidR="005715BC">
        <w:instrText xml:space="preserve"> REF _Ref159492658 \h </w:instrText>
      </w:r>
      <w:r w:rsidR="005715BC">
        <w:fldChar w:fldCharType="separate"/>
      </w:r>
      <w:r w:rsidR="001B5D20" w:rsidRPr="00993800">
        <w:t xml:space="preserve">Study 4311 (explorer7) – pivotal </w:t>
      </w:r>
      <w:r w:rsidR="001B5D20">
        <w:t>P</w:t>
      </w:r>
      <w:r w:rsidR="001B5D20" w:rsidRPr="00993800">
        <w:t xml:space="preserve">hase </w:t>
      </w:r>
      <w:r w:rsidR="001B5D20">
        <w:t>III</w:t>
      </w:r>
      <w:r w:rsidR="001B5D20" w:rsidRPr="00993800">
        <w:t xml:space="preserve"> RCT</w:t>
      </w:r>
      <w:r w:rsidR="005715BC">
        <w:fldChar w:fldCharType="end"/>
      </w:r>
      <w:r w:rsidR="003646C4">
        <w:t>)</w:t>
      </w:r>
      <w:r>
        <w:t xml:space="preserve">. </w:t>
      </w:r>
      <w:r w:rsidRPr="00126D45">
        <w:t xml:space="preserve">Systemic exposure at 24 weeks was numerically higher in adult subjects compared to adolescents. However, there was no significant effect of age on concizumab PK in the population PK model. The differences in systemic exposure between the </w:t>
      </w:r>
      <w:r w:rsidRPr="00126D45">
        <w:lastRenderedPageBreak/>
        <w:t>two age groups are likely due to differences in body weight, as body weight was the most important covariate in the model for predicting concizumab exposure.</w:t>
      </w:r>
    </w:p>
    <w:p w14:paraId="304C2A43" w14:textId="08619600" w:rsidR="00126D45" w:rsidRPr="00126D45" w:rsidRDefault="00126D45" w:rsidP="00126D45">
      <w:r w:rsidRPr="00126D45">
        <w:t>Based on final population PK model estimates, absolute bioavailability was 77.7%, the mean central volume was 2.96</w:t>
      </w:r>
      <w:r w:rsidR="00A3617F">
        <w:t> </w:t>
      </w:r>
      <w:r w:rsidRPr="00126D45">
        <w:t xml:space="preserve">L, mean linear </w:t>
      </w:r>
      <w:r>
        <w:t>clearance</w:t>
      </w:r>
      <w:r w:rsidRPr="00126D45">
        <w:t xml:space="preserve"> was 0.00814</w:t>
      </w:r>
      <w:r w:rsidR="00A3617F">
        <w:t> </w:t>
      </w:r>
      <w:r w:rsidRPr="00126D45">
        <w:t>L/h (approximately 0.12</w:t>
      </w:r>
      <w:r w:rsidR="00A3617F">
        <w:t> </w:t>
      </w:r>
      <w:proofErr w:type="spellStart"/>
      <w:r w:rsidRPr="00126D45">
        <w:t>mLs</w:t>
      </w:r>
      <w:proofErr w:type="spellEnd"/>
      <w:r w:rsidRPr="00126D45">
        <w:t>/hr/kg), and simulated, instantaneous steady</w:t>
      </w:r>
      <w:r w:rsidR="00A3617F">
        <w:t xml:space="preserve"> </w:t>
      </w:r>
      <w:r w:rsidRPr="00126D45">
        <w:t>state half-life of concizumab at 24 hours after last dose was approximately 38 hours for a subject weighing 75</w:t>
      </w:r>
      <w:r w:rsidR="00A3617F">
        <w:t> </w:t>
      </w:r>
      <w:r w:rsidRPr="00126D45">
        <w:t xml:space="preserve">kg and with </w:t>
      </w:r>
      <w:proofErr w:type="spellStart"/>
      <w:r w:rsidRPr="00126D45">
        <w:t>C</w:t>
      </w:r>
      <w:r w:rsidRPr="00126D45">
        <w:rPr>
          <w:vertAlign w:val="subscript"/>
        </w:rPr>
        <w:t>trough</w:t>
      </w:r>
      <w:proofErr w:type="spellEnd"/>
      <w:r w:rsidRPr="00126D45">
        <w:t xml:space="preserve"> of approximately 665</w:t>
      </w:r>
      <w:r w:rsidR="00A3617F">
        <w:t> </w:t>
      </w:r>
      <w:r w:rsidRPr="00126D45">
        <w:t xml:space="preserve">ng/mL (corresponding to the geometric mean </w:t>
      </w:r>
      <w:proofErr w:type="spellStart"/>
      <w:r w:rsidRPr="00126D45">
        <w:t>C</w:t>
      </w:r>
      <w:r w:rsidRPr="00A3617F">
        <w:rPr>
          <w:vertAlign w:val="subscript"/>
        </w:rPr>
        <w:t>trough</w:t>
      </w:r>
      <w:proofErr w:type="spellEnd"/>
      <w:r w:rsidRPr="00126D45">
        <w:t xml:space="preserve"> observed at </w:t>
      </w:r>
      <w:r w:rsidR="00A3617F">
        <w:t>W</w:t>
      </w:r>
      <w:r w:rsidRPr="00126D45">
        <w:t xml:space="preserve">eek 24 in </w:t>
      </w:r>
      <w:r>
        <w:t>Study</w:t>
      </w:r>
      <w:r w:rsidRPr="00126D45">
        <w:t xml:space="preserve"> 4311).</w:t>
      </w:r>
    </w:p>
    <w:p w14:paraId="74FE12C5" w14:textId="59CAA1E3" w:rsidR="00126D45" w:rsidRPr="00126D45" w:rsidRDefault="00126D45" w:rsidP="00126D45">
      <w:pPr>
        <w:pStyle w:val="Heading5"/>
      </w:pPr>
      <w:bookmarkStart w:id="64" w:name="_Ref128659167"/>
      <w:r w:rsidRPr="00126D45">
        <w:t>Pharmacodynamics</w:t>
      </w:r>
      <w:bookmarkEnd w:id="64"/>
      <w:r w:rsidR="0048603E">
        <w:fldChar w:fldCharType="begin"/>
      </w:r>
      <w:r w:rsidR="0048603E">
        <w:instrText xml:space="preserve"> DOCVARIABLE vault_nd_c2ce4f8f-3325-45e8-86a6-41e780eef580 \* MERGEFORMAT </w:instrText>
      </w:r>
      <w:r w:rsidR="0048603E">
        <w:fldChar w:fldCharType="separate"/>
      </w:r>
      <w:r w:rsidR="001B5D20">
        <w:t xml:space="preserve"> </w:t>
      </w:r>
      <w:r w:rsidR="0048603E">
        <w:fldChar w:fldCharType="end"/>
      </w:r>
    </w:p>
    <w:p w14:paraId="522305E1" w14:textId="77777777" w:rsidR="00126D45" w:rsidRPr="00126D45" w:rsidRDefault="00126D45" w:rsidP="00126D45">
      <w:r w:rsidRPr="00126D45">
        <w:t>Concizumab treatment is associated with:</w:t>
      </w:r>
    </w:p>
    <w:p w14:paraId="24A55B63" w14:textId="02B67D1E" w:rsidR="00126D45" w:rsidRDefault="00126D45" w:rsidP="00126D45">
      <w:pPr>
        <w:pStyle w:val="ListBullet"/>
      </w:pPr>
      <w:r>
        <w:t xml:space="preserve">Dose-dependent reduced concentration of free TFPI and </w:t>
      </w:r>
      <w:r w:rsidRPr="002C205F">
        <w:t xml:space="preserve">residual functionality </w:t>
      </w:r>
      <w:r>
        <w:t xml:space="preserve">of </w:t>
      </w:r>
      <w:r w:rsidRPr="002C205F">
        <w:t>TFPI</w:t>
      </w:r>
      <w:r>
        <w:t xml:space="preserve"> in plasma, apparent from 6 to 12 hours post-dose</w:t>
      </w:r>
      <w:r w:rsidR="00A3617F">
        <w:t>.</w:t>
      </w:r>
    </w:p>
    <w:p w14:paraId="76AFA5DA" w14:textId="56E48A34" w:rsidR="00126D45" w:rsidRDefault="00126D45" w:rsidP="00126D45">
      <w:pPr>
        <w:pStyle w:val="ListBullet"/>
      </w:pPr>
      <w:bookmarkStart w:id="65" w:name="_Hlk132967696"/>
      <w:r>
        <w:t xml:space="preserve">Dose-related </w:t>
      </w:r>
      <w:r w:rsidRPr="002C205F">
        <w:t>increased capacity for thrombin generation in plasma, as measured by peak thrombin concentration</w:t>
      </w:r>
      <w:r>
        <w:t xml:space="preserve"> (</w:t>
      </w:r>
      <w:r w:rsidRPr="002C205F">
        <w:t>endogenous thrombin potential velocity index</w:t>
      </w:r>
      <w:r>
        <w:t>), apparent from 6</w:t>
      </w:r>
      <w:r w:rsidR="00676791">
        <w:t> </w:t>
      </w:r>
      <w:r>
        <w:t>hours post-dose</w:t>
      </w:r>
      <w:r w:rsidR="00A3617F">
        <w:t>.</w:t>
      </w:r>
    </w:p>
    <w:bookmarkEnd w:id="65"/>
    <w:p w14:paraId="4B7A8193" w14:textId="26D11B6C" w:rsidR="00126D45" w:rsidRPr="00126D45" w:rsidRDefault="00126D45" w:rsidP="00126D45">
      <w:r w:rsidRPr="00126D45">
        <w:t>In explorer7, the geometric mean (</w:t>
      </w:r>
      <w:r w:rsidR="00676791">
        <w:t>coefficient of variation</w:t>
      </w:r>
      <w:r w:rsidRPr="00126D45">
        <w:t>) of free TFPI decreased from 88.3 (0.2)</w:t>
      </w:r>
      <w:r w:rsidR="00A3617F">
        <w:t> </w:t>
      </w:r>
      <w:r w:rsidRPr="00126D45">
        <w:t xml:space="preserve">ng/mL at </w:t>
      </w:r>
      <w:r w:rsidR="00061912">
        <w:t>B</w:t>
      </w:r>
      <w:r w:rsidRPr="00126D45">
        <w:t>aseline to 10.7 (1.0)</w:t>
      </w:r>
      <w:r w:rsidR="00A3617F">
        <w:t> </w:t>
      </w:r>
      <w:r w:rsidRPr="00126D45">
        <w:t xml:space="preserve">ng/mL at </w:t>
      </w:r>
      <w:r w:rsidR="00061912">
        <w:t>W</w:t>
      </w:r>
      <w:r w:rsidRPr="00126D45">
        <w:t>eek 24. The mean thrombin peak increased to normal plasma range.</w:t>
      </w:r>
    </w:p>
    <w:p w14:paraId="35C9B51A" w14:textId="77777777" w:rsidR="00126D45" w:rsidRPr="00126D45" w:rsidRDefault="00126D45" w:rsidP="00126D45">
      <w:r w:rsidRPr="00126D45">
        <w:t>Plasma concizumab level also appeared to be correlated with:</w:t>
      </w:r>
    </w:p>
    <w:p w14:paraId="163571FA" w14:textId="3488B380" w:rsidR="00126D45" w:rsidRDefault="00126D45" w:rsidP="00126D45">
      <w:pPr>
        <w:pStyle w:val="ListBullet"/>
      </w:pPr>
      <w:r>
        <w:t>I</w:t>
      </w:r>
      <w:r w:rsidRPr="002C205F">
        <w:t>ncreased concentrations of prothrombin fragment 1+2</w:t>
      </w:r>
      <w:r>
        <w:t>;</w:t>
      </w:r>
      <w:r>
        <w:rPr>
          <w:rStyle w:val="FootnoteReference"/>
        </w:rPr>
        <w:footnoteReference w:id="31"/>
      </w:r>
      <w:r>
        <w:t xml:space="preserve"> </w:t>
      </w:r>
      <w:r w:rsidRPr="002C205F">
        <w:t xml:space="preserve">compared to </w:t>
      </w:r>
      <w:r w:rsidR="00676791">
        <w:t>b</w:t>
      </w:r>
      <w:r w:rsidRPr="002C205F">
        <w:t>aseline or on</w:t>
      </w:r>
      <w:r w:rsidR="00A3617F">
        <w:noBreakHyphen/>
      </w:r>
      <w:r w:rsidRPr="002C205F">
        <w:t>demand treatment</w:t>
      </w:r>
      <w:r w:rsidR="00A3617F">
        <w:t>.</w:t>
      </w:r>
    </w:p>
    <w:p w14:paraId="1B623AE5" w14:textId="5EC8F32A" w:rsidR="00126D45" w:rsidRDefault="00126D45" w:rsidP="00126D45">
      <w:pPr>
        <w:pStyle w:val="ListBullet"/>
      </w:pPr>
      <w:r>
        <w:t>Increased concentration of d-dimer compared to baseline or on-demand treatment</w:t>
      </w:r>
      <w:r w:rsidR="00A3617F">
        <w:t>.</w:t>
      </w:r>
    </w:p>
    <w:p w14:paraId="227A2A13" w14:textId="0C43EBD2" w:rsidR="00126D45" w:rsidRPr="00126D45" w:rsidRDefault="00126D45" w:rsidP="00126D45">
      <w:r w:rsidRPr="00126D45">
        <w:t>The data were inconsistent regarding the effect of concizumab on total TFPI in plasma</w:t>
      </w:r>
      <w:r w:rsidR="00061912">
        <w:t>.</w:t>
      </w:r>
    </w:p>
    <w:p w14:paraId="43ACEE4C" w14:textId="77777777" w:rsidR="00126D45" w:rsidRPr="00126D45" w:rsidRDefault="00126D45" w:rsidP="00126D45">
      <w:r w:rsidRPr="00126D45">
        <w:t>The submitted data did not demonstrate an effect of concizumab on:</w:t>
      </w:r>
    </w:p>
    <w:p w14:paraId="5C3EB9D1" w14:textId="2C514451" w:rsidR="00126D45" w:rsidRDefault="00126D45" w:rsidP="00126D45">
      <w:pPr>
        <w:pStyle w:val="ListBullet"/>
      </w:pPr>
      <w:r>
        <w:t>Mean concentration of t</w:t>
      </w:r>
      <w:r w:rsidRPr="00441785">
        <w:t>hrombin-antithrombin complexes</w:t>
      </w:r>
      <w:r>
        <w:t>;</w:t>
      </w:r>
      <w:r>
        <w:rPr>
          <w:rStyle w:val="FootnoteReference"/>
        </w:rPr>
        <w:footnoteReference w:id="32"/>
      </w:r>
      <w:r>
        <w:t xml:space="preserve"> (except at a dose of 0.80</w:t>
      </w:r>
      <w:r w:rsidR="00A3617F">
        <w:t> </w:t>
      </w:r>
      <w:r>
        <w:t>mg/kg; 4 times higher than the recommended dose)</w:t>
      </w:r>
      <w:r w:rsidR="00A3617F">
        <w:t>.</w:t>
      </w:r>
    </w:p>
    <w:p w14:paraId="6D6B6974" w14:textId="44B6A02E" w:rsidR="00126D45" w:rsidRDefault="00126D45" w:rsidP="00126D45">
      <w:pPr>
        <w:pStyle w:val="ListBullet"/>
      </w:pPr>
      <w:r w:rsidRPr="00441785">
        <w:t>Fibrinogen concentrations in plasma</w:t>
      </w:r>
      <w:r w:rsidR="00A3617F">
        <w:t>.</w:t>
      </w:r>
    </w:p>
    <w:p w14:paraId="4CB981DF" w14:textId="435063B3" w:rsidR="00126D45" w:rsidRDefault="00126D45" w:rsidP="00126D45">
      <w:pPr>
        <w:pStyle w:val="ListBullet"/>
      </w:pPr>
      <w:r>
        <w:t>S</w:t>
      </w:r>
      <w:r w:rsidRPr="00441785">
        <w:t>oluble (non-cross linked) fibrin</w:t>
      </w:r>
      <w:r>
        <w:t xml:space="preserve"> (except at a dose of 0.80</w:t>
      </w:r>
      <w:r w:rsidR="00A3617F">
        <w:t> </w:t>
      </w:r>
      <w:r>
        <w:t>mg/kg; 4 times higher than the recommended dose)</w:t>
      </w:r>
      <w:r w:rsidR="00A3617F">
        <w:t>.</w:t>
      </w:r>
    </w:p>
    <w:p w14:paraId="03B8363C" w14:textId="2940D1E7" w:rsidR="00126D45" w:rsidRDefault="00126D45" w:rsidP="00126D45">
      <w:pPr>
        <w:pStyle w:val="ListBullet"/>
      </w:pPr>
      <w:r>
        <w:t>Prothrombin time/</w:t>
      </w:r>
      <w:r w:rsidR="00A3617F">
        <w:t xml:space="preserve">international normalised ratio </w:t>
      </w:r>
      <w:r>
        <w:t xml:space="preserve">and </w:t>
      </w:r>
      <w:r w:rsidR="00A3617F" w:rsidRPr="00A3617F">
        <w:t>activated partial thromboplastin time</w:t>
      </w:r>
      <w:r w:rsidR="00A3617F">
        <w:t>.</w:t>
      </w:r>
    </w:p>
    <w:p w14:paraId="4D0556B1" w14:textId="74D1A145" w:rsidR="00126D45" w:rsidRDefault="00126D45" w:rsidP="00126D45">
      <w:pPr>
        <w:pStyle w:val="ListBullet"/>
      </w:pPr>
      <w:r>
        <w:t>Antithrombin activity</w:t>
      </w:r>
      <w:r w:rsidR="00A3617F">
        <w:t>.</w:t>
      </w:r>
    </w:p>
    <w:p w14:paraId="60DB954C" w14:textId="2924CF2D" w:rsidR="00126D45" w:rsidRDefault="00126D45" w:rsidP="00126D45">
      <w:pPr>
        <w:pStyle w:val="ListBullet"/>
      </w:pPr>
      <w:r>
        <w:t>Protein C or Protein S levels</w:t>
      </w:r>
      <w:r w:rsidR="00A3617F">
        <w:t>.</w:t>
      </w:r>
    </w:p>
    <w:p w14:paraId="62FB6C02" w14:textId="38B008FB" w:rsidR="00126D45" w:rsidRDefault="00126D45" w:rsidP="00126D45">
      <w:pPr>
        <w:pStyle w:val="ListBullet"/>
      </w:pPr>
      <w:r>
        <w:t>Fibrinolysis (</w:t>
      </w:r>
      <w:r w:rsidRPr="00FD2A50">
        <w:t>plasminogen, alfa-2 antiplasmin, plasmin-alfa 2 antiplasmin complex, plasminogen activator-1 and tissue plasminogen activator</w:t>
      </w:r>
      <w:r>
        <w:t>)</w:t>
      </w:r>
      <w:r w:rsidR="00A3617F">
        <w:t>.</w:t>
      </w:r>
    </w:p>
    <w:p w14:paraId="626B7C0A" w14:textId="042CB59C" w:rsidR="00126D45" w:rsidRDefault="00126D45" w:rsidP="00126D45">
      <w:pPr>
        <w:pStyle w:val="ListBullet"/>
      </w:pPr>
      <w:r>
        <w:t>Von Willebrand factor levels</w:t>
      </w:r>
      <w:r w:rsidR="00A3617F">
        <w:t>.</w:t>
      </w:r>
    </w:p>
    <w:p w14:paraId="50827A60" w14:textId="7C5B06ED" w:rsidR="00126D45" w:rsidRPr="00126D45" w:rsidRDefault="00126D45" w:rsidP="00126D45">
      <w:r w:rsidRPr="00126D45">
        <w:lastRenderedPageBreak/>
        <w:t>P</w:t>
      </w:r>
      <w:r>
        <w:t>harmacodynamics</w:t>
      </w:r>
      <w:r w:rsidRPr="00126D45">
        <w:t xml:space="preserve"> effects in </w:t>
      </w:r>
      <w:r w:rsidR="00A3617F">
        <w:t xml:space="preserve">explorer7 </w:t>
      </w:r>
      <w:r>
        <w:t>trial</w:t>
      </w:r>
      <w:r w:rsidRPr="00126D45">
        <w:t xml:space="preserve"> (pre-dose free TFPI concentrations and pre</w:t>
      </w:r>
      <w:r>
        <w:t>-</w:t>
      </w:r>
      <w:r w:rsidRPr="00126D45">
        <w:t>dose peak thrombin concentrations) were similar between HA and HB, and between adults and adolescents.</w:t>
      </w:r>
    </w:p>
    <w:p w14:paraId="389DA08C" w14:textId="56F4D578" w:rsidR="00126D45" w:rsidRPr="00126D45" w:rsidRDefault="00126D45" w:rsidP="00126D45">
      <w:r w:rsidRPr="00126D45">
        <w:t>Annualised bleeding rate (</w:t>
      </w:r>
      <w:r w:rsidRPr="00676791">
        <w:t>ABR)</w:t>
      </w:r>
      <w:r w:rsidRPr="00126D45">
        <w:t xml:space="preserve"> was the outcome used for the primary efficacy analysis</w:t>
      </w:r>
      <w:r w:rsidR="00061912">
        <w:t xml:space="preserve"> (</w:t>
      </w:r>
      <w:r w:rsidR="00A3617F">
        <w:t>explorere7</w:t>
      </w:r>
      <w:r w:rsidR="00061912">
        <w:t xml:space="preserve"> trial</w:t>
      </w:r>
      <w:r w:rsidR="003646C4">
        <w:t xml:space="preserve">, see </w:t>
      </w:r>
      <w:r w:rsidR="005715BC">
        <w:fldChar w:fldCharType="begin"/>
      </w:r>
      <w:r w:rsidR="005715BC">
        <w:instrText xml:space="preserve"> REF _Ref159492658 \h </w:instrText>
      </w:r>
      <w:r w:rsidR="005715BC">
        <w:fldChar w:fldCharType="separate"/>
      </w:r>
      <w:r w:rsidR="001B5D20" w:rsidRPr="00993800">
        <w:t xml:space="preserve">Study 4311 (explorer7) – pivotal </w:t>
      </w:r>
      <w:r w:rsidR="001B5D20">
        <w:t>P</w:t>
      </w:r>
      <w:r w:rsidR="001B5D20" w:rsidRPr="00993800">
        <w:t xml:space="preserve">hase </w:t>
      </w:r>
      <w:r w:rsidR="001B5D20">
        <w:t>III</w:t>
      </w:r>
      <w:r w:rsidR="001B5D20" w:rsidRPr="00993800">
        <w:t xml:space="preserve"> RCT</w:t>
      </w:r>
      <w:r w:rsidR="005715BC">
        <w:fldChar w:fldCharType="end"/>
      </w:r>
      <w:r w:rsidR="00061912" w:rsidRPr="00A3617F">
        <w:t>).</w:t>
      </w:r>
      <w:r w:rsidRPr="00126D45">
        <w:t xml:space="preserve"> An exploratory </w:t>
      </w:r>
      <w:r w:rsidR="00A3617F">
        <w:t>exposure</w:t>
      </w:r>
      <w:r w:rsidR="00A3617F">
        <w:noBreakHyphen/>
        <w:t>response</w:t>
      </w:r>
      <w:r w:rsidRPr="00126D45">
        <w:t xml:space="preserve"> analysis of ABR indicated it decreased with increasing plasma concentration, with a plateau beginning at concizumab concentrations around 200</w:t>
      </w:r>
      <w:r w:rsidR="00A3617F">
        <w:t> </w:t>
      </w:r>
      <w:r w:rsidRPr="00126D45">
        <w:t>ng/mL (</w:t>
      </w:r>
      <w:r w:rsidR="00061912">
        <w:t>see</w:t>
      </w:r>
      <w:r w:rsidR="00A3617F">
        <w:t> </w:t>
      </w:r>
      <w:r w:rsidR="00061912">
        <w:fldChar w:fldCharType="begin"/>
      </w:r>
      <w:r w:rsidR="00061912">
        <w:instrText xml:space="preserve"> REF _Ref149567520 \h </w:instrText>
      </w:r>
      <w:r w:rsidR="00061912">
        <w:fldChar w:fldCharType="separate"/>
      </w:r>
      <w:r w:rsidR="001B5D20" w:rsidRPr="00061912">
        <w:t xml:space="preserve">Figure </w:t>
      </w:r>
      <w:r w:rsidR="001B5D20">
        <w:rPr>
          <w:noProof/>
        </w:rPr>
        <w:t>5</w:t>
      </w:r>
      <w:r w:rsidR="00061912">
        <w:fldChar w:fldCharType="end"/>
      </w:r>
      <w:r w:rsidRPr="00126D45">
        <w:t>). The concentration which results in half the maximal drug effect was 45</w:t>
      </w:r>
      <w:r w:rsidR="00A3617F">
        <w:t> </w:t>
      </w:r>
      <w:r w:rsidRPr="00126D45">
        <w:t>ng/</w:t>
      </w:r>
      <w:proofErr w:type="spellStart"/>
      <w:r w:rsidRPr="00126D45">
        <w:t>mL.</w:t>
      </w:r>
      <w:proofErr w:type="spellEnd"/>
      <w:r w:rsidRPr="00126D45">
        <w:t xml:space="preserve"> No covariates were identified in the ER model.</w:t>
      </w:r>
    </w:p>
    <w:p w14:paraId="70B61899" w14:textId="7EE640E8" w:rsidR="00126D45" w:rsidRDefault="00061912" w:rsidP="00061912">
      <w:pPr>
        <w:pStyle w:val="FigureTitle"/>
      </w:pPr>
      <w:bookmarkStart w:id="66" w:name="_Ref149567520"/>
      <w:r w:rsidRPr="00061912">
        <w:t xml:space="preserve">Figure </w:t>
      </w:r>
      <w:r w:rsidR="00572F9F">
        <w:fldChar w:fldCharType="begin"/>
      </w:r>
      <w:r w:rsidR="00572F9F">
        <w:instrText xml:space="preserve"> SEQ Figure \* ARABIC </w:instrText>
      </w:r>
      <w:r w:rsidR="00572F9F">
        <w:fldChar w:fldCharType="separate"/>
      </w:r>
      <w:r w:rsidR="001B5D20">
        <w:rPr>
          <w:noProof/>
        </w:rPr>
        <w:t>5</w:t>
      </w:r>
      <w:r w:rsidR="00572F9F">
        <w:rPr>
          <w:noProof/>
        </w:rPr>
        <w:fldChar w:fldCharType="end"/>
      </w:r>
      <w:bookmarkEnd w:id="66"/>
      <w:r>
        <w:t xml:space="preserve">: </w:t>
      </w:r>
      <w:r w:rsidRPr="00061912">
        <w:t xml:space="preserve">Exposure-response model of the relationship between concizumab serum concentration and annualised bleeding rate based on data from </w:t>
      </w:r>
      <w:r w:rsidR="00A3617F">
        <w:t>explorer</w:t>
      </w:r>
      <w:r>
        <w:t>7 trial</w:t>
      </w:r>
      <w:r w:rsidR="00572F9F">
        <w:fldChar w:fldCharType="begin"/>
      </w:r>
      <w:r w:rsidR="00572F9F">
        <w:instrText xml:space="preserve"> DOCVARIABLE vault_nd_c61e3e89-7f2f</w:instrText>
      </w:r>
      <w:r w:rsidR="00572F9F">
        <w:instrText xml:space="preserve">-49ab-8b0d-34f771261115 \* MERGEFORMAT </w:instrText>
      </w:r>
      <w:r w:rsidR="00572F9F">
        <w:fldChar w:fldCharType="separate"/>
      </w:r>
      <w:r w:rsidR="001B5D20">
        <w:t xml:space="preserve"> </w:t>
      </w:r>
      <w:r w:rsidR="00572F9F">
        <w:fldChar w:fldCharType="end"/>
      </w:r>
    </w:p>
    <w:p w14:paraId="0D9966CA" w14:textId="1B7B4417" w:rsidR="00061912" w:rsidRDefault="00061912" w:rsidP="00572F9F">
      <w:r>
        <w:rPr>
          <w:noProof/>
        </w:rPr>
        <w:drawing>
          <wp:inline distT="0" distB="0" distL="0" distR="0" wp14:anchorId="645000F6" wp14:editId="0F95B461">
            <wp:extent cx="4419600" cy="2844917"/>
            <wp:effectExtent l="0" t="0" r="0" b="0"/>
            <wp:docPr id="3" name="Picture 3" descr="Exposure-response model of the relationship between concizumab serum concentration and annualised bleeding rate based on data from explorer7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posure-response model of the relationship between concizumab serum concentration and annualised bleeding rate based on data from explorer7 trial"/>
                    <pic:cNvPicPr/>
                  </pic:nvPicPr>
                  <pic:blipFill rotWithShape="1">
                    <a:blip r:embed="rId25"/>
                    <a:srcRect t="5178" b="13151"/>
                    <a:stretch/>
                  </pic:blipFill>
                  <pic:spPr bwMode="auto">
                    <a:xfrm>
                      <a:off x="0" y="0"/>
                      <a:ext cx="4461074" cy="2871614"/>
                    </a:xfrm>
                    <a:prstGeom prst="rect">
                      <a:avLst/>
                    </a:prstGeom>
                    <a:ln>
                      <a:noFill/>
                    </a:ln>
                    <a:extLst>
                      <a:ext uri="{53640926-AAD7-44D8-BBD7-CCE9431645EC}">
                        <a14:shadowObscured xmlns:a14="http://schemas.microsoft.com/office/drawing/2010/main"/>
                      </a:ext>
                    </a:extLst>
                  </pic:spPr>
                </pic:pic>
              </a:graphicData>
            </a:graphic>
          </wp:inline>
        </w:drawing>
      </w:r>
    </w:p>
    <w:p w14:paraId="15A4C99A" w14:textId="7B77C553" w:rsidR="00061912" w:rsidRDefault="00061912" w:rsidP="00061912">
      <w:pPr>
        <w:pStyle w:val="FigureDescription"/>
      </w:pPr>
      <w:r>
        <w:t xml:space="preserve">Source: Figure 7-1 from </w:t>
      </w:r>
      <w:proofErr w:type="spellStart"/>
      <w:r>
        <w:t>PopPK</w:t>
      </w:r>
      <w:proofErr w:type="spellEnd"/>
      <w:r>
        <w:t xml:space="preserve"> report VV-CLIN-141447, dated 14 June 2022.</w:t>
      </w:r>
    </w:p>
    <w:p w14:paraId="6DD6E179" w14:textId="77777777" w:rsidR="00061912" w:rsidRDefault="00061912" w:rsidP="00061912">
      <w:pPr>
        <w:pStyle w:val="FigureDescription"/>
      </w:pPr>
      <w:r>
        <w:t>Dark blue line = mean model-based prediction; light blue line = median (diamond) and range (5-95%) individual average exposure predicted across the trial duration (post-pause only).</w:t>
      </w:r>
    </w:p>
    <w:p w14:paraId="62EFE8E4" w14:textId="045D9946" w:rsidR="00061912" w:rsidRDefault="00A3617F" w:rsidP="00061912">
      <w:pPr>
        <w:pStyle w:val="FigureDescription"/>
      </w:pPr>
      <w:r>
        <w:t>Exposure-response model b</w:t>
      </w:r>
      <w:r w:rsidR="00061912">
        <w:t>ased on data from 117 subjects with 440 bleeding episodes (including data from the on-demand treatment period for 19 patients who started the study randomised to on-demand treatment, then commenced concizumab PPX in the extension period)</w:t>
      </w:r>
    </w:p>
    <w:p w14:paraId="593134CD" w14:textId="6F721F35" w:rsidR="00061912" w:rsidRPr="00061912" w:rsidRDefault="00061912" w:rsidP="00061912">
      <w:pPr>
        <w:pStyle w:val="Heading5"/>
      </w:pPr>
      <w:bookmarkStart w:id="67" w:name="_Ref128659178"/>
      <w:r w:rsidRPr="00061912">
        <w:t>Dose selection</w:t>
      </w:r>
      <w:bookmarkEnd w:id="67"/>
      <w:r w:rsidR="0048603E">
        <w:fldChar w:fldCharType="begin"/>
      </w:r>
      <w:r w:rsidR="0048603E">
        <w:instrText xml:space="preserve"> DOCVARIABLE vault_nd_7e0cb66d-486f-4e8d-8678-d3b1d09d4f03 \* MERGEFORMAT </w:instrText>
      </w:r>
      <w:r w:rsidR="0048603E">
        <w:fldChar w:fldCharType="separate"/>
      </w:r>
      <w:r w:rsidR="001B5D20">
        <w:t xml:space="preserve"> </w:t>
      </w:r>
      <w:r w:rsidR="0048603E">
        <w:fldChar w:fldCharType="end"/>
      </w:r>
    </w:p>
    <w:p w14:paraId="4FC39508" w14:textId="3D0F0304" w:rsidR="00061912" w:rsidRPr="00A3617F" w:rsidRDefault="00061912" w:rsidP="00A3617F">
      <w:r w:rsidRPr="00A3617F">
        <w:t>The proposed dose regimen for registration is summarised in</w:t>
      </w:r>
      <w:r w:rsidR="00A3617F">
        <w:t xml:space="preserve"> </w:t>
      </w:r>
      <w:r w:rsidR="00A3617F">
        <w:fldChar w:fldCharType="begin"/>
      </w:r>
      <w:r w:rsidR="00A3617F">
        <w:instrText xml:space="preserve"> REF _Ref149639566 \h </w:instrText>
      </w:r>
      <w:r w:rsidR="00A3617F">
        <w:fldChar w:fldCharType="separate"/>
      </w:r>
      <w:r w:rsidR="001B5D20" w:rsidRPr="00061912">
        <w:t xml:space="preserve">Table </w:t>
      </w:r>
      <w:r w:rsidR="001B5D20">
        <w:rPr>
          <w:noProof/>
        </w:rPr>
        <w:t>3</w:t>
      </w:r>
      <w:r w:rsidR="00A3617F">
        <w:fldChar w:fldCharType="end"/>
      </w:r>
      <w:r w:rsidRPr="00A3617F">
        <w:t xml:space="preserve">, and aligns with the dose regimen used in </w:t>
      </w:r>
      <w:r w:rsidR="00A3617F">
        <w:t>the explorer</w:t>
      </w:r>
      <w:r w:rsidRPr="00A3617F">
        <w:t>7 trial. The basis for the proposed dose regimen is described below.</w:t>
      </w:r>
    </w:p>
    <w:p w14:paraId="392D6AB2" w14:textId="2E838E26" w:rsidR="00061912" w:rsidRDefault="00061912" w:rsidP="00061912">
      <w:pPr>
        <w:pStyle w:val="TableTitle"/>
      </w:pPr>
      <w:bookmarkStart w:id="68" w:name="_Ref149639566"/>
      <w:r w:rsidRPr="00061912">
        <w:lastRenderedPageBreak/>
        <w:t xml:space="preserve">Table </w:t>
      </w:r>
      <w:r w:rsidR="00572F9F">
        <w:fldChar w:fldCharType="begin"/>
      </w:r>
      <w:r w:rsidR="00572F9F">
        <w:instrText xml:space="preserve"> SEQ Table \* ARABIC </w:instrText>
      </w:r>
      <w:r w:rsidR="00572F9F">
        <w:fldChar w:fldCharType="separate"/>
      </w:r>
      <w:r w:rsidR="001B5D20">
        <w:rPr>
          <w:noProof/>
        </w:rPr>
        <w:t>3</w:t>
      </w:r>
      <w:r w:rsidR="00572F9F">
        <w:rPr>
          <w:noProof/>
        </w:rPr>
        <w:fldChar w:fldCharType="end"/>
      </w:r>
      <w:bookmarkEnd w:id="68"/>
      <w:r>
        <w:t xml:space="preserve">: </w:t>
      </w:r>
      <w:r w:rsidRPr="00061912">
        <w:t>Proposed dose regimen for registration</w:t>
      </w:r>
      <w:r w:rsidR="00572F9F">
        <w:fldChar w:fldCharType="begin"/>
      </w:r>
      <w:r w:rsidR="00572F9F">
        <w:instrText xml:space="preserve"> DO</w:instrText>
      </w:r>
      <w:r w:rsidR="00572F9F">
        <w:instrText xml:space="preserve">CVARIABLE vault_nd_15e09a43-11b2-49ad-8e9e-170598cbada5 \* MERGEFORMAT </w:instrText>
      </w:r>
      <w:r w:rsidR="00572F9F">
        <w:fldChar w:fldCharType="separate"/>
      </w:r>
      <w:r w:rsidR="001B5D20">
        <w:t xml:space="preserve"> </w:t>
      </w:r>
      <w:r w:rsidR="00572F9F">
        <w:fldChar w:fldCharType="end"/>
      </w:r>
    </w:p>
    <w:tbl>
      <w:tblPr>
        <w:tblStyle w:val="TableTGAblue2023"/>
        <w:tblW w:w="0" w:type="auto"/>
        <w:tblInd w:w="5" w:type="dxa"/>
        <w:tblLook w:val="04A0" w:firstRow="1" w:lastRow="0" w:firstColumn="1" w:lastColumn="0" w:noHBand="0" w:noVBand="1"/>
      </w:tblPr>
      <w:tblGrid>
        <w:gridCol w:w="2351"/>
        <w:gridCol w:w="2779"/>
        <w:gridCol w:w="3696"/>
      </w:tblGrid>
      <w:tr w:rsidR="00061912" w14:paraId="57E4CBFC" w14:textId="77777777" w:rsidTr="00061912">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351" w:type="dxa"/>
          </w:tcPr>
          <w:p w14:paraId="215E25D4" w14:textId="77777777" w:rsidR="00061912" w:rsidRDefault="00061912">
            <w:pPr>
              <w:widowControl w:val="0"/>
              <w:spacing w:before="0" w:after="0" w:line="240" w:lineRule="auto"/>
              <w:ind w:left="0"/>
            </w:pPr>
            <w:r>
              <w:t>Treatment day</w:t>
            </w:r>
          </w:p>
        </w:tc>
        <w:tc>
          <w:tcPr>
            <w:tcW w:w="2779" w:type="dxa"/>
          </w:tcPr>
          <w:p w14:paraId="33DDFA80" w14:textId="77777777" w:rsidR="00061912" w:rsidRDefault="00061912">
            <w:pPr>
              <w:widowControl w:val="0"/>
              <w:spacing w:before="0" w:after="0" w:line="240" w:lineRule="auto"/>
              <w:ind w:left="0"/>
              <w:cnfStyle w:val="100000000000" w:firstRow="1" w:lastRow="0" w:firstColumn="0" w:lastColumn="0" w:oddVBand="0" w:evenVBand="0" w:oddHBand="0" w:evenHBand="0" w:firstRowFirstColumn="0" w:firstRowLastColumn="0" w:lastRowFirstColumn="0" w:lastRowLastColumn="0"/>
            </w:pPr>
            <w:r>
              <w:t>Dose phase</w:t>
            </w:r>
          </w:p>
        </w:tc>
        <w:tc>
          <w:tcPr>
            <w:tcW w:w="3696" w:type="dxa"/>
          </w:tcPr>
          <w:p w14:paraId="65DFDB16" w14:textId="77777777" w:rsidR="00061912" w:rsidRDefault="00061912">
            <w:pPr>
              <w:widowControl w:val="0"/>
              <w:spacing w:before="0" w:after="0" w:line="240" w:lineRule="auto"/>
              <w:ind w:left="0"/>
              <w:cnfStyle w:val="100000000000" w:firstRow="1" w:lastRow="0" w:firstColumn="0" w:lastColumn="0" w:oddVBand="0" w:evenVBand="0" w:oddHBand="0" w:evenHBand="0" w:firstRowFirstColumn="0" w:firstRowLastColumn="0" w:lastRowFirstColumn="0" w:lastRowLastColumn="0"/>
            </w:pPr>
            <w:r>
              <w:t>Dose</w:t>
            </w:r>
          </w:p>
        </w:tc>
      </w:tr>
      <w:tr w:rsidR="00061912" w14:paraId="6417585A" w14:textId="77777777" w:rsidTr="00061912">
        <w:trPr>
          <w:trHeight w:val="317"/>
        </w:trPr>
        <w:tc>
          <w:tcPr>
            <w:cnfStyle w:val="001000000000" w:firstRow="0" w:lastRow="0" w:firstColumn="1" w:lastColumn="0" w:oddVBand="0" w:evenVBand="0" w:oddHBand="0" w:evenHBand="0" w:firstRowFirstColumn="0" w:firstRowLastColumn="0" w:lastRowFirstColumn="0" w:lastRowLastColumn="0"/>
            <w:tcW w:w="2351" w:type="dxa"/>
          </w:tcPr>
          <w:p w14:paraId="7F725916" w14:textId="77777777" w:rsidR="00061912" w:rsidRPr="00CF57E2" w:rsidRDefault="00061912">
            <w:pPr>
              <w:keepNext/>
              <w:widowControl w:val="0"/>
              <w:spacing w:before="0" w:after="0" w:line="240" w:lineRule="auto"/>
              <w:ind w:left="0"/>
              <w:rPr>
                <w:szCs w:val="22"/>
              </w:rPr>
            </w:pPr>
            <w:r w:rsidRPr="00CF57E2">
              <w:rPr>
                <w:szCs w:val="22"/>
              </w:rPr>
              <w:t>Day 1</w:t>
            </w:r>
          </w:p>
        </w:tc>
        <w:tc>
          <w:tcPr>
            <w:tcW w:w="2779" w:type="dxa"/>
          </w:tcPr>
          <w:p w14:paraId="60D09953"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lang w:val="en-US"/>
              </w:rPr>
            </w:pPr>
            <w:r w:rsidRPr="00CF57E2">
              <w:rPr>
                <w:szCs w:val="22"/>
              </w:rPr>
              <w:t xml:space="preserve">Loading dose </w:t>
            </w:r>
          </w:p>
        </w:tc>
        <w:tc>
          <w:tcPr>
            <w:tcW w:w="3696" w:type="dxa"/>
          </w:tcPr>
          <w:p w14:paraId="3D96FA91"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rPr>
            </w:pPr>
            <w:r w:rsidRPr="00CF57E2">
              <w:rPr>
                <w:szCs w:val="22"/>
                <w:lang w:val="en-US"/>
              </w:rPr>
              <w:t>1 mg/kg SC once</w:t>
            </w:r>
          </w:p>
        </w:tc>
      </w:tr>
      <w:tr w:rsidR="00061912" w14:paraId="4F6F1BB9" w14:textId="77777777" w:rsidTr="00061912">
        <w:trPr>
          <w:trHeight w:val="302"/>
        </w:trPr>
        <w:tc>
          <w:tcPr>
            <w:cnfStyle w:val="001000000000" w:firstRow="0" w:lastRow="0" w:firstColumn="1" w:lastColumn="0" w:oddVBand="0" w:evenVBand="0" w:oddHBand="0" w:evenHBand="0" w:firstRowFirstColumn="0" w:firstRowLastColumn="0" w:lastRowFirstColumn="0" w:lastRowLastColumn="0"/>
            <w:tcW w:w="2351" w:type="dxa"/>
          </w:tcPr>
          <w:p w14:paraId="6EA56011" w14:textId="77777777" w:rsidR="00061912" w:rsidRPr="00CF57E2" w:rsidRDefault="00061912">
            <w:pPr>
              <w:keepNext/>
              <w:widowControl w:val="0"/>
              <w:spacing w:before="0" w:after="0" w:line="240" w:lineRule="auto"/>
              <w:ind w:left="0"/>
              <w:rPr>
                <w:szCs w:val="22"/>
              </w:rPr>
            </w:pPr>
            <w:r w:rsidRPr="00CF57E2">
              <w:rPr>
                <w:szCs w:val="22"/>
              </w:rPr>
              <w:t xml:space="preserve">Day 2 until ~Day 28* </w:t>
            </w:r>
          </w:p>
        </w:tc>
        <w:tc>
          <w:tcPr>
            <w:tcW w:w="2779" w:type="dxa"/>
          </w:tcPr>
          <w:p w14:paraId="5963512E"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lang w:val="en-US"/>
              </w:rPr>
            </w:pPr>
            <w:r w:rsidRPr="00CF57E2">
              <w:rPr>
                <w:szCs w:val="22"/>
              </w:rPr>
              <w:t>Initial maintenance dose</w:t>
            </w:r>
          </w:p>
        </w:tc>
        <w:tc>
          <w:tcPr>
            <w:tcW w:w="3696" w:type="dxa"/>
          </w:tcPr>
          <w:p w14:paraId="522E25DB"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rPr>
            </w:pPr>
            <w:r w:rsidRPr="00CF57E2">
              <w:rPr>
                <w:szCs w:val="22"/>
                <w:lang w:val="en-US"/>
              </w:rPr>
              <w:t>0.20 mg/kg SC daily</w:t>
            </w:r>
          </w:p>
        </w:tc>
      </w:tr>
      <w:tr w:rsidR="00061912" w14:paraId="1BFDAA2A" w14:textId="77777777" w:rsidTr="00061912">
        <w:trPr>
          <w:trHeight w:val="2244"/>
        </w:trPr>
        <w:tc>
          <w:tcPr>
            <w:cnfStyle w:val="001000000000" w:firstRow="0" w:lastRow="0" w:firstColumn="1" w:lastColumn="0" w:oddVBand="0" w:evenVBand="0" w:oddHBand="0" w:evenHBand="0" w:firstRowFirstColumn="0" w:firstRowLastColumn="0" w:lastRowFirstColumn="0" w:lastRowLastColumn="0"/>
            <w:tcW w:w="2351" w:type="dxa"/>
          </w:tcPr>
          <w:p w14:paraId="748767E3" w14:textId="77777777" w:rsidR="00061912" w:rsidRPr="00CF57E2" w:rsidRDefault="00061912">
            <w:pPr>
              <w:keepNext/>
              <w:widowControl w:val="0"/>
              <w:spacing w:before="0" w:after="0" w:line="240" w:lineRule="auto"/>
              <w:ind w:left="0"/>
              <w:rPr>
                <w:szCs w:val="22"/>
              </w:rPr>
            </w:pPr>
            <w:r w:rsidRPr="00CF57E2">
              <w:rPr>
                <w:szCs w:val="22"/>
              </w:rPr>
              <w:t>~Day 29* onwards</w:t>
            </w:r>
          </w:p>
        </w:tc>
        <w:tc>
          <w:tcPr>
            <w:tcW w:w="2779" w:type="dxa"/>
          </w:tcPr>
          <w:p w14:paraId="09A96DF3"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lang w:val="en-US"/>
              </w:rPr>
            </w:pPr>
            <w:r w:rsidRPr="00CF57E2">
              <w:rPr>
                <w:szCs w:val="22"/>
              </w:rPr>
              <w:t>Selected maintenance dose</w:t>
            </w:r>
          </w:p>
        </w:tc>
        <w:tc>
          <w:tcPr>
            <w:tcW w:w="3696" w:type="dxa"/>
          </w:tcPr>
          <w:tbl>
            <w:tblPr>
              <w:tblStyle w:val="TableGridLight"/>
              <w:tblW w:w="0" w:type="auto"/>
              <w:tblInd w:w="6" w:type="dxa"/>
              <w:tblLook w:val="04A0" w:firstRow="1" w:lastRow="0" w:firstColumn="1" w:lastColumn="0" w:noHBand="0" w:noVBand="1"/>
            </w:tblPr>
            <w:tblGrid>
              <w:gridCol w:w="1877"/>
              <w:gridCol w:w="1358"/>
            </w:tblGrid>
            <w:tr w:rsidR="00061912" w:rsidRPr="00CF57E2" w14:paraId="27CFCD47" w14:textId="77777777" w:rsidTr="00061912">
              <w:trPr>
                <w:trHeight w:val="1243"/>
              </w:trPr>
              <w:tc>
                <w:tcPr>
                  <w:tcW w:w="1877" w:type="dxa"/>
                  <w:hideMark/>
                </w:tcPr>
                <w:p w14:paraId="43EBA7C4" w14:textId="77777777" w:rsidR="00061912" w:rsidRPr="00CF57E2" w:rsidRDefault="00061912">
                  <w:pPr>
                    <w:keepNext/>
                    <w:widowControl w:val="0"/>
                    <w:rPr>
                      <w:b/>
                      <w:bCs/>
                      <w:i/>
                      <w:iCs/>
                      <w:lang w:val="de-CH"/>
                    </w:rPr>
                  </w:pPr>
                  <w:r w:rsidRPr="00CF57E2">
                    <w:rPr>
                      <w:i/>
                      <w:iCs/>
                      <w:lang w:val="en-US"/>
                    </w:rPr>
                    <w:t>Measured concizumab plasma concentration:</w:t>
                  </w:r>
                </w:p>
              </w:tc>
              <w:tc>
                <w:tcPr>
                  <w:tcW w:w="1358" w:type="dxa"/>
                  <w:hideMark/>
                </w:tcPr>
                <w:p w14:paraId="428FF5A7" w14:textId="77777777" w:rsidR="00061912" w:rsidRPr="00CF57E2" w:rsidRDefault="00061912">
                  <w:pPr>
                    <w:keepNext/>
                    <w:widowControl w:val="0"/>
                    <w:rPr>
                      <w:b/>
                      <w:bCs/>
                      <w:i/>
                      <w:iCs/>
                      <w:lang w:val="de-CH"/>
                    </w:rPr>
                  </w:pPr>
                  <w:r w:rsidRPr="00CF57E2">
                    <w:rPr>
                      <w:i/>
                      <w:iCs/>
                      <w:lang w:val="en-US"/>
                    </w:rPr>
                    <w:t>Once-daily dose of concizumab SC:</w:t>
                  </w:r>
                </w:p>
              </w:tc>
            </w:tr>
            <w:tr w:rsidR="00061912" w:rsidRPr="00CF57E2" w14:paraId="01139C65" w14:textId="77777777" w:rsidTr="00061912">
              <w:trPr>
                <w:trHeight w:val="317"/>
              </w:trPr>
              <w:tc>
                <w:tcPr>
                  <w:tcW w:w="1877" w:type="dxa"/>
                  <w:hideMark/>
                </w:tcPr>
                <w:p w14:paraId="6A02ECD0" w14:textId="77777777" w:rsidR="00061912" w:rsidRPr="00CF57E2" w:rsidRDefault="00061912">
                  <w:pPr>
                    <w:keepNext/>
                    <w:widowControl w:val="0"/>
                    <w:rPr>
                      <w:lang w:val="de-CH"/>
                    </w:rPr>
                  </w:pPr>
                  <w:r w:rsidRPr="00CF57E2">
                    <w:rPr>
                      <w:lang w:val="de-CH"/>
                    </w:rPr>
                    <w:t>&lt;200 ng/ml</w:t>
                  </w:r>
                </w:p>
              </w:tc>
              <w:tc>
                <w:tcPr>
                  <w:tcW w:w="1358" w:type="dxa"/>
                  <w:hideMark/>
                </w:tcPr>
                <w:p w14:paraId="0D43E778" w14:textId="77777777" w:rsidR="00061912" w:rsidRPr="00CF57E2" w:rsidRDefault="00061912">
                  <w:pPr>
                    <w:keepNext/>
                    <w:widowControl w:val="0"/>
                    <w:rPr>
                      <w:lang w:val="de-CH"/>
                    </w:rPr>
                  </w:pPr>
                  <w:r w:rsidRPr="00CF57E2">
                    <w:rPr>
                      <w:lang w:val="de-CH"/>
                    </w:rPr>
                    <w:t xml:space="preserve">0.25 mg/kg </w:t>
                  </w:r>
                </w:p>
              </w:tc>
            </w:tr>
            <w:tr w:rsidR="00061912" w:rsidRPr="00CF57E2" w14:paraId="67010FB3" w14:textId="77777777" w:rsidTr="00061912">
              <w:trPr>
                <w:trHeight w:val="302"/>
              </w:trPr>
              <w:tc>
                <w:tcPr>
                  <w:tcW w:w="1877" w:type="dxa"/>
                  <w:hideMark/>
                </w:tcPr>
                <w:p w14:paraId="68639233" w14:textId="77777777" w:rsidR="00061912" w:rsidRPr="00CF57E2" w:rsidRDefault="00061912">
                  <w:pPr>
                    <w:keepNext/>
                    <w:widowControl w:val="0"/>
                    <w:rPr>
                      <w:lang w:val="de-CH"/>
                    </w:rPr>
                  </w:pPr>
                  <w:r w:rsidRPr="00CF57E2">
                    <w:rPr>
                      <w:lang w:val="de-CH"/>
                    </w:rPr>
                    <w:t>200−4000 ng/ml</w:t>
                  </w:r>
                </w:p>
              </w:tc>
              <w:tc>
                <w:tcPr>
                  <w:tcW w:w="1358" w:type="dxa"/>
                  <w:hideMark/>
                </w:tcPr>
                <w:p w14:paraId="4EECA19E" w14:textId="77777777" w:rsidR="00061912" w:rsidRPr="00CF57E2" w:rsidRDefault="00061912">
                  <w:pPr>
                    <w:keepNext/>
                    <w:widowControl w:val="0"/>
                    <w:rPr>
                      <w:lang w:val="de-CH"/>
                    </w:rPr>
                  </w:pPr>
                  <w:r w:rsidRPr="00CF57E2">
                    <w:rPr>
                      <w:lang w:val="de-CH"/>
                    </w:rPr>
                    <w:t xml:space="preserve">0.20 mg/kg </w:t>
                  </w:r>
                </w:p>
              </w:tc>
            </w:tr>
            <w:tr w:rsidR="00061912" w:rsidRPr="00CF57E2" w14:paraId="7764E7D0" w14:textId="77777777" w:rsidTr="00061912">
              <w:trPr>
                <w:trHeight w:val="302"/>
              </w:trPr>
              <w:tc>
                <w:tcPr>
                  <w:tcW w:w="1877" w:type="dxa"/>
                  <w:hideMark/>
                </w:tcPr>
                <w:p w14:paraId="2EC4360C" w14:textId="77777777" w:rsidR="00061912" w:rsidRPr="00CF57E2" w:rsidRDefault="00061912">
                  <w:pPr>
                    <w:keepNext/>
                    <w:widowControl w:val="0"/>
                    <w:rPr>
                      <w:lang w:val="de-CH"/>
                    </w:rPr>
                  </w:pPr>
                  <w:r w:rsidRPr="00CF57E2">
                    <w:rPr>
                      <w:lang w:val="de-CH"/>
                    </w:rPr>
                    <w:t>&gt;4000 ng/ml</w:t>
                  </w:r>
                </w:p>
              </w:tc>
              <w:tc>
                <w:tcPr>
                  <w:tcW w:w="1358" w:type="dxa"/>
                  <w:hideMark/>
                </w:tcPr>
                <w:p w14:paraId="385A330A" w14:textId="77777777" w:rsidR="00061912" w:rsidRPr="00CF57E2" w:rsidRDefault="00061912">
                  <w:pPr>
                    <w:keepNext/>
                    <w:widowControl w:val="0"/>
                    <w:rPr>
                      <w:lang w:val="de-CH"/>
                    </w:rPr>
                  </w:pPr>
                  <w:r w:rsidRPr="00CF57E2">
                    <w:rPr>
                      <w:lang w:val="de-CH"/>
                    </w:rPr>
                    <w:t xml:space="preserve">0.15 mg/kg </w:t>
                  </w:r>
                </w:p>
              </w:tc>
            </w:tr>
          </w:tbl>
          <w:p w14:paraId="751E06F4" w14:textId="77777777" w:rsidR="00061912" w:rsidRPr="00CF57E2" w:rsidRDefault="00061912">
            <w:pPr>
              <w:keepNext/>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Cs w:val="22"/>
              </w:rPr>
            </w:pPr>
          </w:p>
        </w:tc>
      </w:tr>
    </w:tbl>
    <w:p w14:paraId="39D94D55" w14:textId="77777777" w:rsidR="00676791" w:rsidRDefault="00061912" w:rsidP="00061912">
      <w:pPr>
        <w:pStyle w:val="TableDescription"/>
      </w:pPr>
      <w:r w:rsidRPr="00061912">
        <w:t xml:space="preserve">* </w:t>
      </w:r>
      <w:bookmarkStart w:id="69" w:name="_Hlk132725654"/>
      <w:r w:rsidRPr="00061912">
        <w:t>Measure serum concizumab concentration 4 weeks after initiation of treatment using concizumab ELISA (enzyme-linked immunosorbent assay)</w:t>
      </w:r>
      <w:r w:rsidR="00A3617F">
        <w:t xml:space="preserve"> </w:t>
      </w:r>
      <w:r w:rsidRPr="00061912">
        <w:t>and use this to determine a selected maintenance dose. Determination of the selected maintenance dose should take place as soon as possible (after the concizumab plasma concentration result is available) and is recommended no later than 8 weeks after initiation of therapy. If resuming concizumab therapy after a discontinuation, a patient can resume at their previous selected maintenance dose</w:t>
      </w:r>
      <w:bookmarkEnd w:id="69"/>
      <w:r w:rsidR="00676791">
        <w:t>.</w:t>
      </w:r>
    </w:p>
    <w:p w14:paraId="13BE2D13" w14:textId="0238030A" w:rsidR="00061912" w:rsidRPr="00061912" w:rsidRDefault="00061912" w:rsidP="00061912">
      <w:r w:rsidRPr="00061912">
        <w:t>Daily administration was chosen over less frequent dosing following analysis of Phase I data, in which high PK variability was seen with longer dosing intervals and high doses in Study 4159.</w:t>
      </w:r>
    </w:p>
    <w:p w14:paraId="01D3FCFC" w14:textId="6528C226" w:rsidR="00061912" w:rsidRPr="00061912" w:rsidRDefault="00061912" w:rsidP="00061912">
      <w:r w:rsidRPr="00061912">
        <w:t>A PK/</w:t>
      </w:r>
      <w:r w:rsidR="00A3617F">
        <w:t>pharmacodynamic (</w:t>
      </w:r>
      <w:r w:rsidRPr="00676791">
        <w:t>PD</w:t>
      </w:r>
      <w:r w:rsidR="00A3617F" w:rsidRPr="00676791">
        <w:t>)</w:t>
      </w:r>
      <w:r w:rsidRPr="00676791">
        <w:t xml:space="preserve"> analysis</w:t>
      </w:r>
      <w:r w:rsidRPr="00061912">
        <w:t xml:space="preserve"> (published;</w:t>
      </w:r>
      <w:r w:rsidRPr="00061912">
        <w:rPr>
          <w:vertAlign w:val="superscript"/>
        </w:rPr>
        <w:footnoteReference w:id="33"/>
      </w:r>
      <w:r w:rsidRPr="00061912">
        <w:t xml:space="preserve"> but not submitted) of Phase I data indicated serum concizumab levels over 100</w:t>
      </w:r>
      <w:r w:rsidR="00A3617F">
        <w:t> </w:t>
      </w:r>
      <w:r w:rsidRPr="00061912">
        <w:t xml:space="preserve">ng/mL were associated with normalisation of thrombin generation and decrease of bleeding episodes. For a typical subject, </w:t>
      </w:r>
      <w:proofErr w:type="spellStart"/>
      <w:r w:rsidRPr="00061912">
        <w:t>C</w:t>
      </w:r>
      <w:r w:rsidRPr="00061912">
        <w:rPr>
          <w:vertAlign w:val="subscript"/>
        </w:rPr>
        <w:t>trough</w:t>
      </w:r>
      <w:proofErr w:type="spellEnd"/>
      <w:r w:rsidRPr="00061912">
        <w:t xml:space="preserve"> values of 140, 250 and 440</w:t>
      </w:r>
      <w:r w:rsidR="00A3617F">
        <w:t> </w:t>
      </w:r>
      <w:r w:rsidRPr="00061912">
        <w:t>ng/mL were expected with concizumab 0.15, 0.20 and 0.25</w:t>
      </w:r>
      <w:r w:rsidR="00A3617F">
        <w:t> </w:t>
      </w:r>
      <w:r w:rsidRPr="00061912">
        <w:t xml:space="preserve">mg/kg </w:t>
      </w:r>
      <w:r>
        <w:t>subcutaneous</w:t>
      </w:r>
      <w:r w:rsidRPr="00061912">
        <w:t xml:space="preserve"> daily, respectively. Therefore, 0.15</w:t>
      </w:r>
      <w:r w:rsidR="00A3617F">
        <w:t> </w:t>
      </w:r>
      <w:r w:rsidRPr="00061912">
        <w:t xml:space="preserve">mg/kg </w:t>
      </w:r>
      <w:r>
        <w:t xml:space="preserve">subcutaneous </w:t>
      </w:r>
      <w:r w:rsidRPr="00061912">
        <w:t xml:space="preserve">daily was chosen as an initial </w:t>
      </w:r>
      <w:r>
        <w:t>P</w:t>
      </w:r>
      <w:r w:rsidRPr="00061912">
        <w:t xml:space="preserve">hase </w:t>
      </w:r>
      <w:r>
        <w:t>II</w:t>
      </w:r>
      <w:r w:rsidRPr="00061912">
        <w:t xml:space="preserve"> maintenance dose, with the potential to increase to 0.25</w:t>
      </w:r>
      <w:r w:rsidR="00A3617F">
        <w:t> </w:t>
      </w:r>
      <w:r w:rsidRPr="00061912">
        <w:t xml:space="preserve">mg/kg </w:t>
      </w:r>
      <w:r>
        <w:t>subcutaneous</w:t>
      </w:r>
      <w:r w:rsidRPr="00061912">
        <w:t xml:space="preserve"> daily in the event of inefficacy.</w:t>
      </w:r>
    </w:p>
    <w:p w14:paraId="3C9D032C" w14:textId="25480316" w:rsidR="00061912" w:rsidRPr="00061912" w:rsidRDefault="00061912" w:rsidP="00061912">
      <w:r w:rsidRPr="00061912">
        <w:t>Maintenance doses of 0.15, 0.20 or 0.25</w:t>
      </w:r>
      <w:r w:rsidR="00A3617F">
        <w:t> </w:t>
      </w:r>
      <w:r w:rsidRPr="00061912">
        <w:t xml:space="preserve">mg/kg SC daily were studied in </w:t>
      </w:r>
      <w:r>
        <w:t>P</w:t>
      </w:r>
      <w:r w:rsidRPr="00061912">
        <w:t xml:space="preserve">hase </w:t>
      </w:r>
      <w:r>
        <w:t>II</w:t>
      </w:r>
      <w:r w:rsidRPr="00061912">
        <w:t>. In addition, a loading dose of 0.50</w:t>
      </w:r>
      <w:r w:rsidR="00A3617F">
        <w:t> </w:t>
      </w:r>
      <w:r w:rsidRPr="00061912">
        <w:t xml:space="preserve">mg/kg </w:t>
      </w:r>
      <w:r>
        <w:t>subcutaneous</w:t>
      </w:r>
      <w:r w:rsidRPr="00061912">
        <w:t xml:space="preserve"> on </w:t>
      </w:r>
      <w:r>
        <w:t>D</w:t>
      </w:r>
      <w:r w:rsidRPr="00061912">
        <w:t xml:space="preserve">ay 1 was included in </w:t>
      </w:r>
      <w:r>
        <w:t>S</w:t>
      </w:r>
      <w:r w:rsidRPr="00061912">
        <w:t xml:space="preserve">tudy 4310 (the </w:t>
      </w:r>
      <w:r>
        <w:t>P</w:t>
      </w:r>
      <w:r w:rsidRPr="00061912">
        <w:t xml:space="preserve">hase </w:t>
      </w:r>
      <w:r>
        <w:t>II</w:t>
      </w:r>
      <w:r w:rsidRPr="00061912">
        <w:t xml:space="preserve"> study in subjects with </w:t>
      </w:r>
      <w:proofErr w:type="spellStart"/>
      <w:r w:rsidRPr="00061912">
        <w:t>HAwI</w:t>
      </w:r>
      <w:proofErr w:type="spellEnd"/>
      <w:r w:rsidRPr="00061912">
        <w:t xml:space="preserve"> or </w:t>
      </w:r>
      <w:proofErr w:type="spellStart"/>
      <w:r w:rsidRPr="00061912">
        <w:t>HBwI</w:t>
      </w:r>
      <w:proofErr w:type="spellEnd"/>
      <w:r w:rsidRPr="00061912">
        <w:t>) to reach steady state more quickly.</w:t>
      </w:r>
    </w:p>
    <w:p w14:paraId="6E8F8E98" w14:textId="3D7D87F3" w:rsidR="00061912" w:rsidRPr="00061912" w:rsidRDefault="00061912" w:rsidP="00061912">
      <w:r w:rsidRPr="00061912">
        <w:t xml:space="preserve">A population PK and ER analysis of the </w:t>
      </w:r>
      <w:r>
        <w:t>P</w:t>
      </w:r>
      <w:r w:rsidRPr="00061912">
        <w:t xml:space="preserve">hase </w:t>
      </w:r>
      <w:r>
        <w:t>II</w:t>
      </w:r>
      <w:r w:rsidRPr="00061912">
        <w:t xml:space="preserve"> data suggested that bleeding rates would be reduced at plasma concizumab concentrations </w:t>
      </w:r>
      <w:r w:rsidR="00A3617F">
        <w:t xml:space="preserve">greater than </w:t>
      </w:r>
      <w:r w:rsidRPr="00061912">
        <w:t>200</w:t>
      </w:r>
      <w:r w:rsidR="00A3617F">
        <w:t> </w:t>
      </w:r>
      <w:r w:rsidRPr="00061912">
        <w:t>ng/mL, and that a maintenance dose of 0.25</w:t>
      </w:r>
      <w:r w:rsidR="00A3617F">
        <w:t> </w:t>
      </w:r>
      <w:r w:rsidRPr="00061912">
        <w:t xml:space="preserve">mg/kg daily would provide exposures above this concentration in </w:t>
      </w:r>
      <w:proofErr w:type="gramStart"/>
      <w:r w:rsidRPr="00061912">
        <w:t>the majority of</w:t>
      </w:r>
      <w:proofErr w:type="gramEnd"/>
      <w:r w:rsidRPr="00061912">
        <w:t xml:space="preserve"> patients.</w:t>
      </w:r>
    </w:p>
    <w:p w14:paraId="145E455F" w14:textId="78A24B11" w:rsidR="00061912" w:rsidRPr="00061912" w:rsidRDefault="00061912" w:rsidP="00061912">
      <w:r w:rsidRPr="00061912">
        <w:t xml:space="preserve">The highest </w:t>
      </w:r>
      <w:r>
        <w:t>P</w:t>
      </w:r>
      <w:r w:rsidRPr="00061912">
        <w:t xml:space="preserve">hase </w:t>
      </w:r>
      <w:r>
        <w:t>II</w:t>
      </w:r>
      <w:r w:rsidRPr="00061912">
        <w:t xml:space="preserve"> maintenance dose (0.25</w:t>
      </w:r>
      <w:r w:rsidR="00A3617F">
        <w:t> </w:t>
      </w:r>
      <w:r w:rsidRPr="00061912">
        <w:t xml:space="preserve">mg/kg </w:t>
      </w:r>
      <w:r>
        <w:t>subcutaneous</w:t>
      </w:r>
      <w:r w:rsidRPr="00061912">
        <w:t xml:space="preserve"> daily) was selected for further study in </w:t>
      </w:r>
      <w:r>
        <w:t>P</w:t>
      </w:r>
      <w:r w:rsidRPr="00061912">
        <w:t xml:space="preserve">hase </w:t>
      </w:r>
      <w:r>
        <w:t>III</w:t>
      </w:r>
      <w:r w:rsidRPr="00061912">
        <w:t>, based on the following published rationale:</w:t>
      </w:r>
      <w:bookmarkStart w:id="70" w:name="_Ref149653127"/>
      <w:r>
        <w:rPr>
          <w:rStyle w:val="FootnoteReference"/>
        </w:rPr>
        <w:footnoteReference w:id="34"/>
      </w:r>
      <w:bookmarkEnd w:id="70"/>
    </w:p>
    <w:p w14:paraId="7F981391" w14:textId="4A5232E8" w:rsidR="00061912" w:rsidRPr="00A3617F" w:rsidRDefault="00A3617F" w:rsidP="00A3617F">
      <w:pPr>
        <w:ind w:left="720"/>
        <w:rPr>
          <w:i/>
          <w:iCs/>
        </w:rPr>
      </w:pPr>
      <w:r w:rsidRPr="00A3617F">
        <w:rPr>
          <w:i/>
          <w:iCs/>
        </w:rPr>
        <w:t>‘</w:t>
      </w:r>
      <w:r w:rsidR="00061912" w:rsidRPr="00A3617F">
        <w:rPr>
          <w:i/>
          <w:iCs/>
        </w:rPr>
        <w:t>… a maintenance dose of 0.15 mg/kg is suboptimal for some patients, as few (13%) experienced zero bleeds. When the ABR for each patient in the phase 2 trials was calculated based on their final dose levels, the 0.25 mg/kg dose appeared to provide the most optimal efficacy while maintaining safety</w:t>
      </w:r>
      <w:r w:rsidRPr="00A3617F">
        <w:rPr>
          <w:i/>
          <w:iCs/>
        </w:rPr>
        <w:t>’</w:t>
      </w:r>
    </w:p>
    <w:p w14:paraId="08339B83" w14:textId="3C9B5FE9" w:rsidR="00061912" w:rsidRPr="00061912" w:rsidRDefault="00061912" w:rsidP="00572F9F">
      <w:pPr>
        <w:pageBreakBefore/>
      </w:pPr>
      <w:r w:rsidRPr="00061912">
        <w:lastRenderedPageBreak/>
        <w:t>A loading dose of 1.0</w:t>
      </w:r>
      <w:r w:rsidR="00A3617F">
        <w:t> </w:t>
      </w:r>
      <w:r w:rsidRPr="00061912">
        <w:t xml:space="preserve">mg/kg </w:t>
      </w:r>
      <w:r>
        <w:t>subcutaneous</w:t>
      </w:r>
      <w:r w:rsidRPr="00061912">
        <w:t xml:space="preserve"> on </w:t>
      </w:r>
      <w:r>
        <w:t>D</w:t>
      </w:r>
      <w:r w:rsidRPr="00061912">
        <w:t xml:space="preserve">ay 1 was included for </w:t>
      </w:r>
      <w:proofErr w:type="gramStart"/>
      <w:r w:rsidRPr="00061912">
        <w:t xml:space="preserve">both of the </w:t>
      </w:r>
      <w:r>
        <w:t>P</w:t>
      </w:r>
      <w:r w:rsidRPr="00061912">
        <w:t xml:space="preserve">hase </w:t>
      </w:r>
      <w:r>
        <w:t>III</w:t>
      </w:r>
      <w:proofErr w:type="gramEnd"/>
      <w:r w:rsidRPr="00061912">
        <w:t xml:space="preserve"> studies. The increased loading dose was based on pop</w:t>
      </w:r>
      <w:r w:rsidR="00A3617F">
        <w:t xml:space="preserve">ulation </w:t>
      </w:r>
      <w:r w:rsidRPr="00061912">
        <w:t>PK modelling which indicated that its use would reduce the time to steady</w:t>
      </w:r>
      <w:r w:rsidR="00A3617F">
        <w:t xml:space="preserve"> </w:t>
      </w:r>
      <w:r w:rsidRPr="00061912">
        <w:t>state exposure compared with a loading dose of 0.5</w:t>
      </w:r>
      <w:r w:rsidR="00A3617F">
        <w:t> </w:t>
      </w:r>
      <w:r w:rsidRPr="00061912">
        <w:t>mg/kg.</w:t>
      </w:r>
    </w:p>
    <w:p w14:paraId="3EE1B18E" w14:textId="117BA990" w:rsidR="00061912" w:rsidRPr="00061912" w:rsidRDefault="00061912" w:rsidP="00061912">
      <w:r w:rsidRPr="00061912">
        <w:t xml:space="preserve">The </w:t>
      </w:r>
      <w:proofErr w:type="gramStart"/>
      <w:r w:rsidRPr="00061912">
        <w:t xml:space="preserve">two </w:t>
      </w:r>
      <w:r>
        <w:t>P</w:t>
      </w:r>
      <w:r w:rsidRPr="00061912">
        <w:t xml:space="preserve">hase </w:t>
      </w:r>
      <w:r>
        <w:t>III</w:t>
      </w:r>
      <w:proofErr w:type="gramEnd"/>
      <w:r w:rsidRPr="00061912">
        <w:t xml:space="preserve"> studies commenced using a maintenance dose of 0.25</w:t>
      </w:r>
      <w:r w:rsidR="00A3617F">
        <w:t> </w:t>
      </w:r>
      <w:r w:rsidRPr="00061912">
        <w:t xml:space="preserve">mg/kg </w:t>
      </w:r>
      <w:r>
        <w:t>subcutaneous</w:t>
      </w:r>
      <w:r w:rsidRPr="00061912">
        <w:t xml:space="preserve"> daily. The initial protocol for </w:t>
      </w:r>
      <w:r w:rsidR="00A3617F">
        <w:t>explorer</w:t>
      </w:r>
      <w:r w:rsidRPr="00061912">
        <w:t>7</w:t>
      </w:r>
      <w:r w:rsidR="00097F1E">
        <w:t xml:space="preserve"> trial</w:t>
      </w:r>
      <w:r w:rsidRPr="00061912">
        <w:t xml:space="preserve"> also included a provision to increase the maintenance dose to 0.35</w:t>
      </w:r>
      <w:r w:rsidR="00A3617F">
        <w:t> </w:t>
      </w:r>
      <w:r w:rsidRPr="00061912">
        <w:t xml:space="preserve">mg/kg </w:t>
      </w:r>
      <w:r w:rsidR="00097F1E">
        <w:t>subcutaneous</w:t>
      </w:r>
      <w:r w:rsidRPr="00061912">
        <w:t xml:space="preserve"> daily (in the extension part of the study only) in the event of inefficacy.</w:t>
      </w:r>
    </w:p>
    <w:p w14:paraId="73655A91" w14:textId="446BB93D" w:rsidR="00061912" w:rsidRPr="00097F1E" w:rsidRDefault="00061912" w:rsidP="00097F1E">
      <w:pPr>
        <w:pStyle w:val="Heading5"/>
      </w:pPr>
      <w:bookmarkStart w:id="71" w:name="_Study_pause_and"/>
      <w:bookmarkStart w:id="72" w:name="_Ref126573513"/>
      <w:bookmarkEnd w:id="71"/>
      <w:r w:rsidRPr="00097F1E">
        <w:t xml:space="preserve">Study </w:t>
      </w:r>
      <w:proofErr w:type="gramStart"/>
      <w:r w:rsidRPr="00097F1E">
        <w:t>pause</w:t>
      </w:r>
      <w:proofErr w:type="gramEnd"/>
      <w:r w:rsidRPr="00097F1E">
        <w:t xml:space="preserve"> and changes to </w:t>
      </w:r>
      <w:r w:rsidR="00097F1E">
        <w:t>P</w:t>
      </w:r>
      <w:r w:rsidRPr="00097F1E">
        <w:t xml:space="preserve">hase </w:t>
      </w:r>
      <w:r w:rsidR="00097F1E">
        <w:t>III</w:t>
      </w:r>
      <w:r w:rsidRPr="00097F1E">
        <w:t xml:space="preserve"> dosing</w:t>
      </w:r>
      <w:bookmarkEnd w:id="72"/>
      <w:r w:rsidR="0048603E">
        <w:fldChar w:fldCharType="begin"/>
      </w:r>
      <w:r w:rsidR="0048603E">
        <w:instrText xml:space="preserve"> DOCVARIABLE vault_nd_6ef1389c-86fe-44be-afd0-06c3312a7066 \* MERGEFORMAT </w:instrText>
      </w:r>
      <w:r w:rsidR="0048603E">
        <w:fldChar w:fldCharType="separate"/>
      </w:r>
      <w:r w:rsidR="001B5D20">
        <w:t xml:space="preserve"> </w:t>
      </w:r>
      <w:r w:rsidR="0048603E">
        <w:fldChar w:fldCharType="end"/>
      </w:r>
    </w:p>
    <w:p w14:paraId="12505F8B" w14:textId="39410203" w:rsidR="00061912" w:rsidRPr="00097F1E" w:rsidRDefault="00061912" w:rsidP="00097F1E">
      <w:r w:rsidRPr="00097F1E">
        <w:t xml:space="preserve">The clinical development program, including </w:t>
      </w:r>
      <w:r w:rsidR="00A3617F">
        <w:t>explorer7</w:t>
      </w:r>
      <w:r w:rsidR="00097F1E">
        <w:t xml:space="preserve"> trial</w:t>
      </w:r>
      <w:r w:rsidRPr="00097F1E">
        <w:t>, was paused between 16</w:t>
      </w:r>
      <w:r w:rsidR="00A3617F">
        <w:t> </w:t>
      </w:r>
      <w:r w:rsidRPr="00097F1E">
        <w:t>M</w:t>
      </w:r>
      <w:r w:rsidR="00097F1E">
        <w:t>arch</w:t>
      </w:r>
      <w:r w:rsidR="00A3617F">
        <w:t> </w:t>
      </w:r>
      <w:r w:rsidRPr="00097F1E">
        <w:t xml:space="preserve">2020 and 30 </w:t>
      </w:r>
      <w:r w:rsidR="00097F1E">
        <w:t>September</w:t>
      </w:r>
      <w:r w:rsidRPr="00097F1E">
        <w:t xml:space="preserve"> 2020 (approximately 6.5 months) while a safety issue relating to thromboembolic events was investigated</w:t>
      </w:r>
      <w:r w:rsidR="003646C4">
        <w:t xml:space="preserve"> </w:t>
      </w:r>
      <w:r w:rsidR="003646C4" w:rsidRPr="003646C4">
        <w:t>(</w:t>
      </w:r>
      <w:r w:rsidR="003646C4" w:rsidRPr="002523A3">
        <w:t xml:space="preserve">see </w:t>
      </w:r>
      <w:r w:rsidR="002523A3" w:rsidRPr="002523A3">
        <w:fldChar w:fldCharType="begin"/>
      </w:r>
      <w:r w:rsidR="002523A3" w:rsidRPr="002523A3">
        <w:instrText xml:space="preserve"> REF _Ref159851602 \h  \* MERGEFORMAT </w:instrText>
      </w:r>
      <w:r w:rsidR="002523A3" w:rsidRPr="002523A3">
        <w:fldChar w:fldCharType="separate"/>
      </w:r>
      <w:r w:rsidR="001B5D20">
        <w:t>Thromboembolic events</w:t>
      </w:r>
      <w:r w:rsidR="002523A3" w:rsidRPr="002523A3">
        <w:fldChar w:fldCharType="end"/>
      </w:r>
      <w:r w:rsidR="003646C4">
        <w:t>)</w:t>
      </w:r>
      <w:r w:rsidR="00097F1E">
        <w:t>.</w:t>
      </w:r>
    </w:p>
    <w:p w14:paraId="306E1C82" w14:textId="01793EDC" w:rsidR="00061912" w:rsidRPr="00097F1E" w:rsidRDefault="00061912" w:rsidP="00097F1E">
      <w:r w:rsidRPr="003646C4">
        <w:t xml:space="preserve">As a result of the investigations, changes were made to protocol recommendations regarding use of bypassing agents </w:t>
      </w:r>
      <w:r w:rsidRPr="00A3617F">
        <w:t xml:space="preserve">to treat bleeds (see </w:t>
      </w:r>
      <w:r w:rsidR="005715BC">
        <w:fldChar w:fldCharType="begin"/>
      </w:r>
      <w:r w:rsidR="005715BC">
        <w:instrText xml:space="preserve"> REF _Ref126579607 \h </w:instrText>
      </w:r>
      <w:r w:rsidR="005715BC">
        <w:fldChar w:fldCharType="separate"/>
      </w:r>
      <w:r w:rsidR="001B5D20" w:rsidRPr="0078639B">
        <w:t>Study pause and changes to protocol</w:t>
      </w:r>
      <w:r w:rsidR="005715BC">
        <w:fldChar w:fldCharType="end"/>
      </w:r>
      <w:r w:rsidR="003646C4" w:rsidRPr="00A3617F">
        <w:t xml:space="preserve">) </w:t>
      </w:r>
      <w:r w:rsidRPr="00A3617F">
        <w:t>as</w:t>
      </w:r>
      <w:r w:rsidRPr="00097F1E">
        <w:t xml:space="preserve"> well as to the concizumab dose regimen. The maintenance dose of concizumab was reduced from 0.25</w:t>
      </w:r>
      <w:r w:rsidR="00A3617F">
        <w:t> </w:t>
      </w:r>
      <w:r w:rsidRPr="00097F1E">
        <w:t>mg/kg (pre-pause) to 0.2</w:t>
      </w:r>
      <w:r w:rsidR="00A3617F">
        <w:t> </w:t>
      </w:r>
      <w:r w:rsidRPr="00097F1E">
        <w:t>mg/kg (post-pause), based on the following:</w:t>
      </w:r>
    </w:p>
    <w:p w14:paraId="0B4865DF" w14:textId="0244C28A" w:rsidR="00061912" w:rsidRDefault="00061912" w:rsidP="00097F1E">
      <w:pPr>
        <w:pStyle w:val="ListBullet"/>
      </w:pPr>
      <w:r>
        <w:t>Two</w:t>
      </w:r>
      <w:r w:rsidRPr="00B852B9">
        <w:t xml:space="preserve"> of </w:t>
      </w:r>
      <w:r w:rsidR="00A3617F">
        <w:t>three</w:t>
      </w:r>
      <w:r w:rsidRPr="00B852B9">
        <w:t xml:space="preserve"> patients </w:t>
      </w:r>
      <w:r>
        <w:t xml:space="preserve">in whom </w:t>
      </w:r>
      <w:r w:rsidRPr="00B852B9">
        <w:t xml:space="preserve">thromboembolic events </w:t>
      </w:r>
      <w:r>
        <w:t>occurred had PK measurements indicating exposure</w:t>
      </w:r>
      <w:r w:rsidRPr="00B852B9">
        <w:t xml:space="preserve"> at the higher end of the </w:t>
      </w:r>
      <w:r>
        <w:t>r</w:t>
      </w:r>
      <w:r w:rsidRPr="00B852B9">
        <w:t xml:space="preserve">ange </w:t>
      </w:r>
      <w:r>
        <w:t xml:space="preserve">of exposures </w:t>
      </w:r>
      <w:r w:rsidRPr="00B852B9">
        <w:t xml:space="preserve">observed in </w:t>
      </w:r>
      <w:r w:rsidR="00097F1E">
        <w:t>P</w:t>
      </w:r>
      <w:r w:rsidRPr="00B852B9">
        <w:t xml:space="preserve">hase </w:t>
      </w:r>
      <w:r w:rsidR="00097F1E">
        <w:t>II</w:t>
      </w:r>
      <w:r w:rsidRPr="00B852B9">
        <w:t xml:space="preserve"> and </w:t>
      </w:r>
      <w:r w:rsidR="00097F1E">
        <w:t>III</w:t>
      </w:r>
      <w:r w:rsidR="003646C4">
        <w:t xml:space="preserve"> (see </w:t>
      </w:r>
      <w:r w:rsidR="003646C4">
        <w:fldChar w:fldCharType="begin"/>
      </w:r>
      <w:r w:rsidR="003646C4">
        <w:instrText xml:space="preserve"> REF _Ref149639499 \h </w:instrText>
      </w:r>
      <w:r w:rsidR="003646C4">
        <w:fldChar w:fldCharType="separate"/>
      </w:r>
      <w:r w:rsidR="001B5D20" w:rsidRPr="003646C4">
        <w:t xml:space="preserve">Figure </w:t>
      </w:r>
      <w:r w:rsidR="001B5D20">
        <w:rPr>
          <w:noProof/>
        </w:rPr>
        <w:t>6</w:t>
      </w:r>
      <w:r w:rsidR="003646C4">
        <w:fldChar w:fldCharType="end"/>
      </w:r>
      <w:r w:rsidR="003646C4">
        <w:t>).</w:t>
      </w:r>
    </w:p>
    <w:p w14:paraId="7378C9CA" w14:textId="3BFC08FF" w:rsidR="00061912" w:rsidRDefault="00061912" w:rsidP="00097F1E">
      <w:pPr>
        <w:pStyle w:val="ListBullet"/>
      </w:pPr>
      <w:r>
        <w:t xml:space="preserve">The early </w:t>
      </w:r>
      <w:r w:rsidR="00097F1E">
        <w:t>P</w:t>
      </w:r>
      <w:r>
        <w:t xml:space="preserve">hase </w:t>
      </w:r>
      <w:r w:rsidR="00097F1E">
        <w:t>III</w:t>
      </w:r>
      <w:r>
        <w:t xml:space="preserve"> data indicated the pre-pause </w:t>
      </w:r>
      <w:r w:rsidRPr="00B852B9">
        <w:t xml:space="preserve">concizumab </w:t>
      </w:r>
      <w:r>
        <w:t xml:space="preserve">dose regimen </w:t>
      </w:r>
      <w:r w:rsidRPr="00B852B9">
        <w:t>(0.25</w:t>
      </w:r>
      <w:r w:rsidR="00A3617F">
        <w:t> </w:t>
      </w:r>
      <w:r w:rsidRPr="00B852B9">
        <w:t xml:space="preserve">mg/kg/day) </w:t>
      </w:r>
      <w:r>
        <w:t xml:space="preserve">was resulting in </w:t>
      </w:r>
      <w:r w:rsidRPr="00B852B9">
        <w:t xml:space="preserve">exposure levels </w:t>
      </w:r>
      <w:r>
        <w:t xml:space="preserve">that </w:t>
      </w:r>
      <w:r w:rsidRPr="00B852B9">
        <w:t xml:space="preserve">were higher than </w:t>
      </w:r>
      <w:r>
        <w:t xml:space="preserve">had been </w:t>
      </w:r>
      <w:r w:rsidRPr="00B852B9">
        <w:t xml:space="preserve">expected based on </w:t>
      </w:r>
      <w:r>
        <w:t xml:space="preserve">previous PK </w:t>
      </w:r>
      <w:r w:rsidRPr="00B852B9">
        <w:t xml:space="preserve">results </w:t>
      </w:r>
      <w:r>
        <w:t>and modelling</w:t>
      </w:r>
      <w:r w:rsidRPr="00B852B9">
        <w:t xml:space="preserve">. </w:t>
      </w:r>
      <w:r>
        <w:t xml:space="preserve">When the model was amended to incorporate the </w:t>
      </w:r>
      <w:r w:rsidRPr="00B874AA">
        <w:t xml:space="preserve">early </w:t>
      </w:r>
      <w:r w:rsidR="00097F1E">
        <w:t>P</w:t>
      </w:r>
      <w:r w:rsidRPr="00B874AA">
        <w:t xml:space="preserve">hase </w:t>
      </w:r>
      <w:r w:rsidR="00097F1E">
        <w:t>III</w:t>
      </w:r>
      <w:r w:rsidRPr="00B874AA">
        <w:t xml:space="preserve"> observed data, it predicted that a reduced dose of 0.20</w:t>
      </w:r>
      <w:r w:rsidR="00A3617F">
        <w:t> </w:t>
      </w:r>
      <w:r w:rsidRPr="00B874AA">
        <w:t xml:space="preserve">mg/kg should achieve exposures within the range previously seen in </w:t>
      </w:r>
      <w:r w:rsidR="00097F1E">
        <w:t>P</w:t>
      </w:r>
      <w:r w:rsidRPr="00B874AA">
        <w:t xml:space="preserve">hase </w:t>
      </w:r>
      <w:r w:rsidR="00097F1E">
        <w:t>II</w:t>
      </w:r>
      <w:r w:rsidRPr="00B874AA">
        <w:t xml:space="preserve"> studies</w:t>
      </w:r>
      <w:r>
        <w:t xml:space="preserve"> (in which</w:t>
      </w:r>
      <w:r w:rsidRPr="00B874AA">
        <w:t xml:space="preserve"> no thromboembolic </w:t>
      </w:r>
      <w:r w:rsidR="00A3617F">
        <w:t>adverse events</w:t>
      </w:r>
      <w:r>
        <w:t xml:space="preserve"> and</w:t>
      </w:r>
      <w:r w:rsidRPr="00B874AA">
        <w:t xml:space="preserve"> </w:t>
      </w:r>
      <w:r>
        <w:t>no deaths were seen)</w:t>
      </w:r>
      <w:r w:rsidRPr="00B874AA">
        <w:t>.</w:t>
      </w:r>
    </w:p>
    <w:p w14:paraId="7BE249E8" w14:textId="11A56791" w:rsidR="00061912" w:rsidRDefault="00061912" w:rsidP="00097F1E">
      <w:pPr>
        <w:pStyle w:val="ListBullet"/>
      </w:pPr>
      <w:r w:rsidRPr="009C2DE0">
        <w:t xml:space="preserve">In </w:t>
      </w:r>
      <w:r w:rsidR="00097F1E">
        <w:t>S</w:t>
      </w:r>
      <w:r w:rsidRPr="009C2DE0">
        <w:t xml:space="preserve">tudy 4310, </w:t>
      </w:r>
      <w:r>
        <w:t>efficacy appeared to be suggested at the 0.20</w:t>
      </w:r>
      <w:r w:rsidR="00A3617F">
        <w:t> </w:t>
      </w:r>
      <w:r>
        <w:t xml:space="preserve">mg/kg dose, for </w:t>
      </w:r>
      <w:r w:rsidRPr="009C2DE0">
        <w:t xml:space="preserve">nine subjects </w:t>
      </w:r>
      <w:r>
        <w:t>who had this</w:t>
      </w:r>
      <w:r w:rsidRPr="009C2DE0">
        <w:t xml:space="preserve"> as their last dose level</w:t>
      </w:r>
      <w:r>
        <w:t xml:space="preserve">, in whom the </w:t>
      </w:r>
      <w:r w:rsidRPr="009C2DE0">
        <w:t xml:space="preserve">mean ABR </w:t>
      </w:r>
      <w:r>
        <w:t>was</w:t>
      </w:r>
      <w:r w:rsidRPr="009C2DE0">
        <w:t xml:space="preserve"> 3.2</w:t>
      </w:r>
      <w:r>
        <w:t>.</w:t>
      </w:r>
    </w:p>
    <w:p w14:paraId="3D539C0B" w14:textId="3608A884" w:rsidR="003646C4" w:rsidRDefault="003646C4" w:rsidP="003646C4">
      <w:pPr>
        <w:pStyle w:val="FigureTitle"/>
      </w:pPr>
      <w:bookmarkStart w:id="73" w:name="_Ref149639499"/>
      <w:r w:rsidRPr="003646C4">
        <w:lastRenderedPageBreak/>
        <w:t xml:space="preserve">Figure </w:t>
      </w:r>
      <w:r w:rsidR="00572F9F">
        <w:fldChar w:fldCharType="begin"/>
      </w:r>
      <w:r w:rsidR="00572F9F">
        <w:instrText xml:space="preserve"> SEQ Figure \* ARABIC </w:instrText>
      </w:r>
      <w:r w:rsidR="00572F9F">
        <w:fldChar w:fldCharType="separate"/>
      </w:r>
      <w:r w:rsidR="001B5D20">
        <w:rPr>
          <w:noProof/>
        </w:rPr>
        <w:t>6</w:t>
      </w:r>
      <w:r w:rsidR="00572F9F">
        <w:rPr>
          <w:noProof/>
        </w:rPr>
        <w:fldChar w:fldCharType="end"/>
      </w:r>
      <w:bookmarkEnd w:id="73"/>
      <w:r>
        <w:t xml:space="preserve">: Concizumab concentrations in subjects with thromboembolic </w:t>
      </w:r>
      <w:r w:rsidR="00A3617F">
        <w:t>adverse events</w:t>
      </w:r>
      <w:r w:rsidR="00572F9F">
        <w:fldChar w:fldCharType="begin"/>
      </w:r>
      <w:r w:rsidR="00572F9F">
        <w:instrText xml:space="preserve"> DOCVARIABLE vault_nd_962713d2-2b5e-4e3d-8393-29fafd37682d \* MERGEFORMAT </w:instrText>
      </w:r>
      <w:r w:rsidR="00572F9F">
        <w:fldChar w:fldCharType="separate"/>
      </w:r>
      <w:r w:rsidR="001B5D20">
        <w:t xml:space="preserve"> </w:t>
      </w:r>
      <w:r w:rsidR="00572F9F">
        <w:fldChar w:fldCharType="end"/>
      </w:r>
    </w:p>
    <w:p w14:paraId="3C7E99AE" w14:textId="60655230" w:rsidR="003646C4" w:rsidRPr="003646C4" w:rsidRDefault="005F029E" w:rsidP="003646C4">
      <w:r>
        <w:rPr>
          <w:noProof/>
        </w:rPr>
        <w:drawing>
          <wp:inline distT="0" distB="0" distL="0" distR="0" wp14:anchorId="441718EF" wp14:editId="452471A6">
            <wp:extent cx="5411973" cy="3588489"/>
            <wp:effectExtent l="0" t="0" r="0" b="0"/>
            <wp:docPr id="480979080" name="Picture 1" descr="A graph of a graph showing the number of c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79080" name="Picture 1" descr="A graph of a graph showing the number of cases&#10;&#10;Description automatically generated with medium confidence"/>
                    <pic:cNvPicPr/>
                  </pic:nvPicPr>
                  <pic:blipFill>
                    <a:blip r:embed="rId26"/>
                    <a:stretch>
                      <a:fillRect/>
                    </a:stretch>
                  </pic:blipFill>
                  <pic:spPr>
                    <a:xfrm>
                      <a:off x="0" y="0"/>
                      <a:ext cx="5460014" cy="3620344"/>
                    </a:xfrm>
                    <a:prstGeom prst="rect">
                      <a:avLst/>
                    </a:prstGeom>
                  </pic:spPr>
                </pic:pic>
              </a:graphicData>
            </a:graphic>
          </wp:inline>
        </w:drawing>
      </w:r>
    </w:p>
    <w:p w14:paraId="333A4F7B" w14:textId="08AB2201" w:rsidR="00061912" w:rsidRDefault="00061912" w:rsidP="00061912">
      <w:pPr>
        <w:rPr>
          <w:lang w:eastAsia="ja-JP"/>
        </w:rPr>
      </w:pPr>
      <w:r>
        <w:t xml:space="preserve">A dose-setting step was also incorporated into the post-pause regimen, to minimise the risk of inefficacy or toxicity for patients with exposures at the extremes of the distribution. Post-pause, patients to be treated with concizumab would all commence with a loading dose, followed by an </w:t>
      </w:r>
      <w:r w:rsidRPr="003646C4">
        <w:t>initial maintenance dose of 0.2</w:t>
      </w:r>
      <w:r w:rsidR="00A3617F">
        <w:t> </w:t>
      </w:r>
      <w:r w:rsidRPr="003646C4">
        <w:t xml:space="preserve">mg/kg SC daily, followed by a selected </w:t>
      </w:r>
      <w:r>
        <w:t>maintenance dose</w:t>
      </w:r>
      <w:r w:rsidRPr="00792E4A">
        <w:t xml:space="preserve"> </w:t>
      </w:r>
      <w:r>
        <w:t xml:space="preserve">(with the potential for it to be adjusted up or down one step from initial) </w:t>
      </w:r>
      <w:r w:rsidRPr="00792E4A">
        <w:t>based on a measurement of trough</w:t>
      </w:r>
      <w:r>
        <w:t xml:space="preserve"> serum</w:t>
      </w:r>
      <w:r w:rsidRPr="00792E4A">
        <w:t xml:space="preserve"> concizumab concentration </w:t>
      </w:r>
      <w:r>
        <w:t>(</w:t>
      </w:r>
      <w:proofErr w:type="spellStart"/>
      <w:r>
        <w:t>C</w:t>
      </w:r>
      <w:r w:rsidRPr="00BF741F">
        <w:rPr>
          <w:vertAlign w:val="subscript"/>
        </w:rPr>
        <w:t>trough</w:t>
      </w:r>
      <w:proofErr w:type="spellEnd"/>
      <w:r>
        <w:t xml:space="preserve">) </w:t>
      </w:r>
      <w:r w:rsidRPr="00792E4A">
        <w:t xml:space="preserve">at </w:t>
      </w:r>
      <w:r w:rsidR="00A3617F">
        <w:t>W</w:t>
      </w:r>
      <w:r w:rsidRPr="00792E4A">
        <w:t>eek 4</w:t>
      </w:r>
      <w:r w:rsidR="003646C4">
        <w:t xml:space="preserve"> (see </w:t>
      </w:r>
      <w:r w:rsidR="003646C4">
        <w:fldChar w:fldCharType="begin"/>
      </w:r>
      <w:r w:rsidR="003646C4">
        <w:instrText xml:space="preserve"> REF _Ref149639566 \h </w:instrText>
      </w:r>
      <w:r w:rsidR="003646C4">
        <w:fldChar w:fldCharType="separate"/>
      </w:r>
      <w:r w:rsidR="001B5D20" w:rsidRPr="00061912">
        <w:t xml:space="preserve">Table </w:t>
      </w:r>
      <w:r w:rsidR="001B5D20">
        <w:rPr>
          <w:noProof/>
        </w:rPr>
        <w:t>3</w:t>
      </w:r>
      <w:r w:rsidR="003646C4">
        <w:fldChar w:fldCharType="end"/>
      </w:r>
      <w:r w:rsidR="003646C4">
        <w:t>)</w:t>
      </w:r>
      <w:r w:rsidRPr="00792E4A">
        <w:t>.</w:t>
      </w:r>
    </w:p>
    <w:p w14:paraId="5F07E172" w14:textId="55784F5A" w:rsidR="00061912" w:rsidRDefault="00061912" w:rsidP="00061912">
      <w:r>
        <w:rPr>
          <w:lang w:val="en-GB"/>
        </w:rPr>
        <w:t xml:space="preserve">The explorer7 protocol was therefore amended to include a </w:t>
      </w:r>
      <w:r>
        <w:t>dose-setting period of at least 4</w:t>
      </w:r>
      <w:r w:rsidR="00A3617F">
        <w:t> </w:t>
      </w:r>
      <w:r>
        <w:t>weeks for concizumab</w:t>
      </w:r>
      <w:r w:rsidR="00A3617F">
        <w:t xml:space="preserve"> </w:t>
      </w:r>
      <w:r>
        <w:t>treated patient</w:t>
      </w:r>
      <w:r w:rsidR="003646C4">
        <w:t>s</w:t>
      </w:r>
      <w:r>
        <w:t xml:space="preserve">. The protocol specified a maximum of 4 weeks between measuring trough concizumab and changing to the selected maintenance dose. The primary efficacy analysis was conducted in a population that only included patients who received concizumab at the post-pause dose </w:t>
      </w:r>
      <w:r w:rsidRPr="00A3617F">
        <w:t>regimen (</w:t>
      </w:r>
      <w:r w:rsidR="003646C4" w:rsidRPr="00A3617F">
        <w:t xml:space="preserve">see </w:t>
      </w:r>
      <w:r w:rsidR="005715BC">
        <w:fldChar w:fldCharType="begin"/>
      </w:r>
      <w:r w:rsidR="005715BC">
        <w:instrText xml:space="preserve"> REF _Ref126579382 \h </w:instrText>
      </w:r>
      <w:r w:rsidR="005715BC">
        <w:fldChar w:fldCharType="separate"/>
      </w:r>
      <w:r w:rsidR="001B5D20" w:rsidRPr="0078639B">
        <w:t>Analysis populations</w:t>
      </w:r>
      <w:r w:rsidR="005715BC">
        <w:fldChar w:fldCharType="end"/>
      </w:r>
      <w:r w:rsidRPr="00A3617F">
        <w:t>).</w:t>
      </w:r>
      <w:r>
        <w:t xml:space="preserve"> Sensitivity analyses of the primary efficacy endpoint indicate this approach did not meaningfully bias study results (see als</w:t>
      </w:r>
      <w:r w:rsidR="003646C4">
        <w:t xml:space="preserve">o </w:t>
      </w:r>
      <w:r w:rsidR="005715BC">
        <w:fldChar w:fldCharType="begin"/>
      </w:r>
      <w:r w:rsidR="005715BC">
        <w:instrText xml:space="preserve"> REF _Ref126579391 \h </w:instrText>
      </w:r>
      <w:r w:rsidR="005715BC">
        <w:fldChar w:fldCharType="separate"/>
      </w:r>
      <w:r w:rsidR="001B5D20" w:rsidRPr="003624FA">
        <w:t>Primary efficacy endpoint</w:t>
      </w:r>
      <w:r w:rsidR="005715BC">
        <w:fldChar w:fldCharType="end"/>
      </w:r>
      <w:r w:rsidRPr="00A3617F">
        <w:t>).</w:t>
      </w:r>
    </w:p>
    <w:p w14:paraId="09DE492A" w14:textId="77777777" w:rsidR="00676791" w:rsidRDefault="00061912" w:rsidP="00061912">
      <w:r w:rsidRPr="00B852B9">
        <w:t>The</w:t>
      </w:r>
      <w:r>
        <w:t xml:space="preserve"> </w:t>
      </w:r>
      <w:proofErr w:type="spellStart"/>
      <w:r>
        <w:t>C</w:t>
      </w:r>
      <w:r w:rsidRPr="00BF741F">
        <w:rPr>
          <w:vertAlign w:val="subscript"/>
        </w:rPr>
        <w:t>trough</w:t>
      </w:r>
      <w:proofErr w:type="spellEnd"/>
      <w:r w:rsidRPr="00B852B9">
        <w:t xml:space="preserve"> </w:t>
      </w:r>
      <w:r>
        <w:t>cut-offs for changing the maintenance dose level were</w:t>
      </w:r>
      <w:r w:rsidRPr="00B852B9">
        <w:t xml:space="preserve"> </w:t>
      </w:r>
      <w:r>
        <w:t>chosen</w:t>
      </w:r>
      <w:r w:rsidRPr="00B852B9">
        <w:t xml:space="preserve"> based on </w:t>
      </w:r>
      <w:r>
        <w:t xml:space="preserve">population </w:t>
      </w:r>
      <w:r w:rsidRPr="00BF741F">
        <w:t xml:space="preserve">analyses of </w:t>
      </w:r>
      <w:r w:rsidR="00A3617F">
        <w:t>P</w:t>
      </w:r>
      <w:r w:rsidRPr="00BF741F">
        <w:t xml:space="preserve">hase </w:t>
      </w:r>
      <w:r w:rsidR="00A3617F">
        <w:t>II</w:t>
      </w:r>
      <w:r w:rsidRPr="00BF741F">
        <w:t xml:space="preserve"> and early </w:t>
      </w:r>
      <w:r w:rsidR="00A3617F">
        <w:t>P</w:t>
      </w:r>
      <w:r w:rsidRPr="00BF741F">
        <w:t xml:space="preserve">hase </w:t>
      </w:r>
      <w:r w:rsidR="00A3617F">
        <w:t>III</w:t>
      </w:r>
      <w:r w:rsidRPr="00BF741F">
        <w:t xml:space="preserve"> data</w:t>
      </w:r>
      <w:r w:rsidR="00676791">
        <w:t>.</w:t>
      </w:r>
    </w:p>
    <w:p w14:paraId="370D0523" w14:textId="5EA00EF6" w:rsidR="00061912" w:rsidRPr="00BF741F" w:rsidRDefault="00061912" w:rsidP="00061912">
      <w:pPr>
        <w:pStyle w:val="Numberbullet0"/>
        <w:numPr>
          <w:ilvl w:val="0"/>
          <w:numId w:val="0"/>
        </w:numPr>
        <w:rPr>
          <w:lang w:eastAsia="ja-JP"/>
        </w:rPr>
      </w:pPr>
      <w:r>
        <w:t>The lower cut-off of</w:t>
      </w:r>
      <w:r w:rsidR="00A3617F">
        <w:t> </w:t>
      </w:r>
      <w:r>
        <w:t xml:space="preserve">200 ng/mL was chosen based on exposure-response modelling showing this to be the approximate concentration at which an effect plateau began </w:t>
      </w:r>
      <w:r w:rsidR="003646C4">
        <w:t>(</w:t>
      </w:r>
      <w:r w:rsidR="00993800">
        <w:fldChar w:fldCharType="begin"/>
      </w:r>
      <w:r w:rsidR="00993800">
        <w:instrText xml:space="preserve"> REF _Ref149639832 \h </w:instrText>
      </w:r>
      <w:r w:rsidR="00993800">
        <w:fldChar w:fldCharType="separate"/>
      </w:r>
      <w:r w:rsidR="001B5D20" w:rsidRPr="003646C4">
        <w:t xml:space="preserve">Table </w:t>
      </w:r>
      <w:r w:rsidR="001B5D20">
        <w:rPr>
          <w:noProof/>
        </w:rPr>
        <w:t>4</w:t>
      </w:r>
      <w:r w:rsidR="00993800">
        <w:fldChar w:fldCharType="end"/>
      </w:r>
      <w:r w:rsidR="003646C4">
        <w:t xml:space="preserve"> a</w:t>
      </w:r>
      <w:r>
        <w:t>n</w:t>
      </w:r>
      <w:r w:rsidR="003646C4">
        <w:t xml:space="preserve">d </w:t>
      </w:r>
      <w:r w:rsidR="003646C4">
        <w:fldChar w:fldCharType="begin"/>
      </w:r>
      <w:r w:rsidR="003646C4">
        <w:instrText xml:space="preserve"> REF _Ref149567520 \h </w:instrText>
      </w:r>
      <w:r w:rsidR="003646C4">
        <w:fldChar w:fldCharType="separate"/>
      </w:r>
      <w:r w:rsidR="001B5D20" w:rsidRPr="00061912">
        <w:t xml:space="preserve">Figure </w:t>
      </w:r>
      <w:r w:rsidR="001B5D20">
        <w:rPr>
          <w:noProof/>
        </w:rPr>
        <w:t>5</w:t>
      </w:r>
      <w:r w:rsidR="003646C4">
        <w:fldChar w:fldCharType="end"/>
      </w:r>
      <w:r>
        <w:t xml:space="preserve">). </w:t>
      </w:r>
      <w:r w:rsidRPr="00BF741F">
        <w:rPr>
          <w:lang w:eastAsia="ja-JP"/>
        </w:rPr>
        <w:t xml:space="preserve">In subjects with </w:t>
      </w:r>
      <w:proofErr w:type="spellStart"/>
      <w:r>
        <w:rPr>
          <w:lang w:eastAsia="ja-JP"/>
        </w:rPr>
        <w:t>C</w:t>
      </w:r>
      <w:r w:rsidRPr="00BF741F">
        <w:rPr>
          <w:vertAlign w:val="subscript"/>
          <w:lang w:eastAsia="ja-JP"/>
        </w:rPr>
        <w:t>trough</w:t>
      </w:r>
      <w:proofErr w:type="spellEnd"/>
      <w:r w:rsidRPr="00BF741F">
        <w:rPr>
          <w:lang w:eastAsia="ja-JP"/>
        </w:rPr>
        <w:t xml:space="preserve"> </w:t>
      </w:r>
      <w:r w:rsidR="00A3617F">
        <w:rPr>
          <w:lang w:eastAsia="ja-JP"/>
        </w:rPr>
        <w:t xml:space="preserve">less than </w:t>
      </w:r>
      <w:r w:rsidRPr="00A3617F">
        <w:t>200</w:t>
      </w:r>
      <w:r w:rsidR="00A3617F">
        <w:t> </w:t>
      </w:r>
      <w:r w:rsidRPr="00A3617F">
        <w:t>ng</w:t>
      </w:r>
      <w:r w:rsidRPr="00BF741F">
        <w:rPr>
          <w:lang w:eastAsia="ja-JP"/>
        </w:rPr>
        <w:t xml:space="preserve">/mL at </w:t>
      </w:r>
      <w:r w:rsidR="00A3617F">
        <w:rPr>
          <w:lang w:eastAsia="ja-JP"/>
        </w:rPr>
        <w:t>W</w:t>
      </w:r>
      <w:r w:rsidRPr="00BF741F">
        <w:rPr>
          <w:lang w:eastAsia="ja-JP"/>
        </w:rPr>
        <w:t xml:space="preserve">eek 4 the sponsor proposes that the </w:t>
      </w:r>
      <w:r>
        <w:rPr>
          <w:lang w:eastAsia="ja-JP"/>
        </w:rPr>
        <w:t xml:space="preserve">selected </w:t>
      </w:r>
      <w:r w:rsidRPr="00BF741F">
        <w:rPr>
          <w:lang w:eastAsia="ja-JP"/>
        </w:rPr>
        <w:t>maintenance dose should be</w:t>
      </w:r>
      <w:r>
        <w:rPr>
          <w:lang w:eastAsia="ja-JP"/>
        </w:rPr>
        <w:t xml:space="preserve"> </w:t>
      </w:r>
      <w:r w:rsidRPr="00BF741F">
        <w:rPr>
          <w:lang w:eastAsia="ja-JP"/>
        </w:rPr>
        <w:t>0.25</w:t>
      </w:r>
      <w:r w:rsidR="00A3617F">
        <w:rPr>
          <w:lang w:eastAsia="ja-JP"/>
        </w:rPr>
        <w:t> </w:t>
      </w:r>
      <w:r w:rsidRPr="00BF741F">
        <w:rPr>
          <w:lang w:eastAsia="ja-JP"/>
        </w:rPr>
        <w:t>mg/kg.</w:t>
      </w:r>
    </w:p>
    <w:p w14:paraId="1CBCC4F6" w14:textId="46BC4B80" w:rsidR="00061912" w:rsidRDefault="003646C4" w:rsidP="003646C4">
      <w:pPr>
        <w:pStyle w:val="TableTitle"/>
      </w:pPr>
      <w:bookmarkStart w:id="74" w:name="_Ref149639832"/>
      <w:r w:rsidRPr="003646C4">
        <w:lastRenderedPageBreak/>
        <w:t xml:space="preserve">Table </w:t>
      </w:r>
      <w:r w:rsidR="00572F9F">
        <w:fldChar w:fldCharType="begin"/>
      </w:r>
      <w:r w:rsidR="00572F9F">
        <w:instrText xml:space="preserve"> SEQ Table \* ARABIC </w:instrText>
      </w:r>
      <w:r w:rsidR="00572F9F">
        <w:fldChar w:fldCharType="separate"/>
      </w:r>
      <w:r w:rsidR="001B5D20">
        <w:rPr>
          <w:noProof/>
        </w:rPr>
        <w:t>4</w:t>
      </w:r>
      <w:r w:rsidR="00572F9F">
        <w:rPr>
          <w:noProof/>
        </w:rPr>
        <w:fldChar w:fldCharType="end"/>
      </w:r>
      <w:bookmarkEnd w:id="74"/>
      <w:r w:rsidRPr="003646C4">
        <w:t>:</w:t>
      </w:r>
      <w:r>
        <w:t xml:space="preserve"> </w:t>
      </w:r>
      <w:r w:rsidRPr="003646C4">
        <w:t xml:space="preserve">Predicted </w:t>
      </w:r>
      <w:r w:rsidR="00A3617F">
        <w:t>a</w:t>
      </w:r>
      <w:r w:rsidR="00A3617F" w:rsidRPr="00A3617F">
        <w:t xml:space="preserve">nnualised bleeding rate </w:t>
      </w:r>
      <w:r w:rsidRPr="003646C4">
        <w:t>for different concizumab exposure intervals based on main part results from trials 4255 (explorer5) and 4310 (explorer4)</w:t>
      </w:r>
      <w:r w:rsidR="00572F9F">
        <w:fldChar w:fldCharType="begin"/>
      </w:r>
      <w:r w:rsidR="00572F9F">
        <w:instrText xml:space="preserve"> DOCVARIABLE vault_nd_e5f26759-682e-4b41-ae84-8a7c85a44f1a \* MERGEFORMAT </w:instrText>
      </w:r>
      <w:r w:rsidR="00572F9F">
        <w:fldChar w:fldCharType="separate"/>
      </w:r>
      <w:r w:rsidR="001B5D20">
        <w:t xml:space="preserve"> </w:t>
      </w:r>
      <w:r w:rsidR="00572F9F">
        <w:fldChar w:fldCharType="end"/>
      </w:r>
    </w:p>
    <w:p w14:paraId="244616E0" w14:textId="612F8BDD" w:rsidR="003646C4" w:rsidRDefault="003646C4" w:rsidP="003646C4">
      <w:r w:rsidRPr="009C2DE0">
        <w:rPr>
          <w:noProof/>
          <w:color w:val="FF0000"/>
          <w:lang w:eastAsia="ja-JP"/>
        </w:rPr>
        <w:drawing>
          <wp:inline distT="0" distB="0" distL="0" distR="0" wp14:anchorId="33FA40BE" wp14:editId="5232479B">
            <wp:extent cx="5701030" cy="1374126"/>
            <wp:effectExtent l="0" t="0" r="0" b="0"/>
            <wp:docPr id="222" name="Picture 222" descr="Predicted annualised bleeding rate for different concizumab exposure intervals based on main part results from trials 4255 (explorer5) and 4310 (explor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Predicted annualised bleeding rate for different concizumab exposure intervals based on main part results from trials 4255 (explorer5) and 4310 (explorer4)"/>
                    <pic:cNvPicPr/>
                  </pic:nvPicPr>
                  <pic:blipFill rotWithShape="1">
                    <a:blip r:embed="rId27"/>
                    <a:srcRect b="11462"/>
                    <a:stretch/>
                  </pic:blipFill>
                  <pic:spPr bwMode="auto">
                    <a:xfrm>
                      <a:off x="0" y="0"/>
                      <a:ext cx="5752545" cy="1386543"/>
                    </a:xfrm>
                    <a:prstGeom prst="rect">
                      <a:avLst/>
                    </a:prstGeom>
                    <a:ln>
                      <a:noFill/>
                    </a:ln>
                    <a:extLst>
                      <a:ext uri="{53640926-AAD7-44D8-BBD7-CCE9431645EC}">
                        <a14:shadowObscured xmlns:a14="http://schemas.microsoft.com/office/drawing/2010/main"/>
                      </a:ext>
                    </a:extLst>
                  </pic:spPr>
                </pic:pic>
              </a:graphicData>
            </a:graphic>
          </wp:inline>
        </w:drawing>
      </w:r>
    </w:p>
    <w:p w14:paraId="781589A1" w14:textId="0A5C1B8E" w:rsidR="003646C4" w:rsidRDefault="003646C4" w:rsidP="003646C4">
      <w:pPr>
        <w:pStyle w:val="TableDescription"/>
      </w:pPr>
      <w:r>
        <w:t>ABR = annualised bleeding rate</w:t>
      </w:r>
    </w:p>
    <w:p w14:paraId="34C8B6A9" w14:textId="7C4637B4" w:rsidR="00993800" w:rsidRPr="00A3617F" w:rsidRDefault="00993800" w:rsidP="00A3617F">
      <w:r w:rsidRPr="00A3617F">
        <w:t>As exposure had been at the higher end of the range of exposures for two of the three cases in which thromboembolic events occurred, the upper cut-off of 4000</w:t>
      </w:r>
      <w:r w:rsidR="00A3617F">
        <w:t> </w:t>
      </w:r>
      <w:r w:rsidRPr="00A3617F">
        <w:t>ng/mL was chosen as a precaution to avoid exposures which were consistently much higher than 4000</w:t>
      </w:r>
      <w:r w:rsidR="00A3617F">
        <w:t> </w:t>
      </w:r>
      <w:r w:rsidRPr="00A3617F">
        <w:t>ng/</w:t>
      </w:r>
      <w:proofErr w:type="spellStart"/>
      <w:r w:rsidRPr="00A3617F">
        <w:t>mL.</w:t>
      </w:r>
      <w:proofErr w:type="spellEnd"/>
      <w:r w:rsidRPr="00A3617F">
        <w:t xml:space="preserve"> The measurement is taken at 4 weeks and steady</w:t>
      </w:r>
      <w:r w:rsidR="00A3617F">
        <w:t xml:space="preserve"> </w:t>
      </w:r>
      <w:r w:rsidRPr="00A3617F">
        <w:t xml:space="preserve">state is not reached until around </w:t>
      </w:r>
      <w:r w:rsidR="00A3617F">
        <w:t>W</w:t>
      </w:r>
      <w:r w:rsidRPr="00A3617F">
        <w:t>eek 24, so the levels would be expected to continue to rise past 4000</w:t>
      </w:r>
      <w:r w:rsidR="00A3617F">
        <w:t> </w:t>
      </w:r>
      <w:r w:rsidRPr="00A3617F">
        <w:t xml:space="preserve">ng/mL if the dose wasn’t adjusted. In presenting their rationale, the </w:t>
      </w:r>
      <w:r w:rsidR="00A3617F">
        <w:t>s</w:t>
      </w:r>
      <w:r w:rsidRPr="00A3617F">
        <w:t>ponsor stated that they do not consider it necessary for an individual patient to be within the range of 200</w:t>
      </w:r>
      <w:r w:rsidR="00A3617F">
        <w:t xml:space="preserve"> to </w:t>
      </w:r>
      <w:r w:rsidRPr="00A3617F">
        <w:t>4000</w:t>
      </w:r>
      <w:r w:rsidR="00A3617F">
        <w:t> </w:t>
      </w:r>
      <w:r w:rsidRPr="00A3617F">
        <w:t xml:space="preserve">ng/mL at all time points, </w:t>
      </w:r>
      <w:r w:rsidR="00A3617F">
        <w:t>that is</w:t>
      </w:r>
      <w:r w:rsidRPr="00A3617F">
        <w:t>, the range of 200</w:t>
      </w:r>
      <w:r w:rsidR="00A3617F">
        <w:t xml:space="preserve"> to </w:t>
      </w:r>
      <w:r w:rsidRPr="00A3617F">
        <w:t>4000</w:t>
      </w:r>
      <w:r w:rsidR="00A3617F">
        <w:t> </w:t>
      </w:r>
      <w:r w:rsidRPr="00A3617F">
        <w:t xml:space="preserve">ng/mL is not considered a target range per </w:t>
      </w:r>
      <w:r w:rsidR="00A3617F" w:rsidRPr="00A3617F">
        <w:t>se,</w:t>
      </w:r>
      <w:r w:rsidRPr="00A3617F">
        <w:t xml:space="preserve"> and they do not consider concizumab exposure outside this range to be risky. In subjects with concentrations </w:t>
      </w:r>
      <w:r w:rsidR="00A3617F">
        <w:t xml:space="preserve">greater than </w:t>
      </w:r>
      <w:r w:rsidRPr="00A3617F">
        <w:t>4000</w:t>
      </w:r>
      <w:r w:rsidR="00A3617F">
        <w:t> </w:t>
      </w:r>
      <w:r w:rsidRPr="00A3617F">
        <w:t xml:space="preserve">ng/mL at </w:t>
      </w:r>
      <w:r w:rsidR="00A3617F">
        <w:t>W</w:t>
      </w:r>
      <w:r w:rsidRPr="00A3617F">
        <w:t>eek 4 the sponsor proposes that the selected maintenance dose should be 0.15</w:t>
      </w:r>
      <w:r w:rsidR="00A3617F">
        <w:t> </w:t>
      </w:r>
      <w:r w:rsidRPr="00A3617F">
        <w:t>mg/kg.</w:t>
      </w:r>
    </w:p>
    <w:p w14:paraId="13143788" w14:textId="6BDDFAE3" w:rsidR="00993800" w:rsidRPr="00993800" w:rsidRDefault="00993800" w:rsidP="00993800">
      <w:r w:rsidRPr="00993800">
        <w:t xml:space="preserve">Other parameters (free TFPI, bleeds, </w:t>
      </w:r>
      <w:r w:rsidR="00676791">
        <w:t>d</w:t>
      </w:r>
      <w:r w:rsidRPr="00993800">
        <w:t>-</w:t>
      </w:r>
      <w:proofErr w:type="gramStart"/>
      <w:r w:rsidRPr="00993800">
        <w:t>dimers</w:t>
      </w:r>
      <w:proofErr w:type="gramEnd"/>
      <w:r w:rsidRPr="00993800">
        <w:t xml:space="preserve"> and prothrombin </w:t>
      </w:r>
      <w:r w:rsidR="00676791" w:rsidRPr="00904E7F">
        <w:t>fragment</w:t>
      </w:r>
      <w:r w:rsidR="00676791">
        <w:t xml:space="preserve"> </w:t>
      </w:r>
      <w:r w:rsidRPr="00993800">
        <w:t>1+2) were also considered for biomarkers for adjustment of the concizumab maintenance dose</w:t>
      </w:r>
      <w:r w:rsidR="00A3617F">
        <w:t xml:space="preserve"> </w:t>
      </w:r>
      <w:r w:rsidRPr="00993800">
        <w:t>but were found to add complexity while not substantially contributing to increasing patient safety.</w:t>
      </w:r>
    </w:p>
    <w:p w14:paraId="09A3107C" w14:textId="739B608D" w:rsidR="00993800" w:rsidRPr="00993800" w:rsidRDefault="00993800" w:rsidP="00993800">
      <w:r w:rsidRPr="00993800">
        <w:t>Modelling of dosing using the pre-pause versus post-pause approaches to maintenance dosing illustrates the expected effect on the population PK (</w:t>
      </w:r>
      <w:r w:rsidR="00A3617F">
        <w:fldChar w:fldCharType="begin"/>
      </w:r>
      <w:r w:rsidR="00A3617F">
        <w:instrText xml:space="preserve"> REF _Ref159488042 \h </w:instrText>
      </w:r>
      <w:r w:rsidR="00A3617F">
        <w:fldChar w:fldCharType="separate"/>
      </w:r>
      <w:r w:rsidR="001B5D20" w:rsidRPr="00993800">
        <w:t xml:space="preserve">Figure </w:t>
      </w:r>
      <w:r w:rsidR="001B5D20">
        <w:rPr>
          <w:noProof/>
        </w:rPr>
        <w:t>7</w:t>
      </w:r>
      <w:r w:rsidR="00A3617F">
        <w:fldChar w:fldCharType="end"/>
      </w:r>
      <w:r w:rsidRPr="00993800">
        <w:t>).</w:t>
      </w:r>
    </w:p>
    <w:p w14:paraId="0A99D574" w14:textId="2019DD70" w:rsidR="003646C4" w:rsidRDefault="00993800" w:rsidP="00993800">
      <w:pPr>
        <w:pStyle w:val="FigureTitle"/>
      </w:pPr>
      <w:bookmarkStart w:id="75" w:name="_Ref159488042"/>
      <w:r w:rsidRPr="00993800">
        <w:t xml:space="preserve">Figure </w:t>
      </w:r>
      <w:r w:rsidR="00572F9F">
        <w:fldChar w:fldCharType="begin"/>
      </w:r>
      <w:r w:rsidR="00572F9F">
        <w:instrText xml:space="preserve"> SEQ Figure \* ARABIC </w:instrText>
      </w:r>
      <w:r w:rsidR="00572F9F">
        <w:fldChar w:fldCharType="separate"/>
      </w:r>
      <w:r w:rsidR="001B5D20">
        <w:rPr>
          <w:noProof/>
        </w:rPr>
        <w:t>7</w:t>
      </w:r>
      <w:r w:rsidR="00572F9F">
        <w:rPr>
          <w:noProof/>
        </w:rPr>
        <w:fldChar w:fldCharType="end"/>
      </w:r>
      <w:bookmarkEnd w:id="75"/>
      <w:r w:rsidRPr="00993800">
        <w:t>:</w:t>
      </w:r>
      <w:r>
        <w:t xml:space="preserve"> </w:t>
      </w:r>
      <w:r w:rsidRPr="00993800">
        <w:t>Simulated exposure with pre-pause (A) and post-pause (B) approaches to maintenance dosing</w:t>
      </w:r>
      <w:r w:rsidR="00572F9F">
        <w:fldChar w:fldCharType="begin"/>
      </w:r>
      <w:r w:rsidR="00572F9F">
        <w:instrText xml:space="preserve"> DOCVARIABLE vault_nd_435b1e97-cdae-4bcb-85e5-5188dd53e57a \* MERGEFORMAT </w:instrText>
      </w:r>
      <w:r w:rsidR="00572F9F">
        <w:fldChar w:fldCharType="separate"/>
      </w:r>
      <w:r w:rsidR="001B5D20">
        <w:t xml:space="preserve"> </w:t>
      </w:r>
      <w:r w:rsidR="00572F9F">
        <w:fldChar w:fldCharType="end"/>
      </w:r>
    </w:p>
    <w:p w14:paraId="61A2BF03" w14:textId="20D9BDEA" w:rsidR="00993800" w:rsidRDefault="00993800" w:rsidP="00993800">
      <w:pPr>
        <w:pStyle w:val="FigureDescription"/>
      </w:pPr>
      <w:r>
        <w:rPr>
          <w:noProof/>
        </w:rPr>
        <w:drawing>
          <wp:inline distT="0" distB="0" distL="0" distR="0" wp14:anchorId="154BB11D" wp14:editId="407883CF">
            <wp:extent cx="5731365" cy="2073349"/>
            <wp:effectExtent l="0" t="0" r="3175" b="3175"/>
            <wp:docPr id="83" name="Picture 83" descr="Simulated exposure with pre-pause (A) and post-pause (B) approaches to maintenance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imulated exposure with pre-pause (A) and post-pause (B) approaches to maintenance dosing"/>
                    <pic:cNvPicPr/>
                  </pic:nvPicPr>
                  <pic:blipFill rotWithShape="1">
                    <a:blip r:embed="rId28"/>
                    <a:srcRect t="6852" b="26334"/>
                    <a:stretch/>
                  </pic:blipFill>
                  <pic:spPr bwMode="auto">
                    <a:xfrm>
                      <a:off x="0" y="0"/>
                      <a:ext cx="5731510" cy="2073401"/>
                    </a:xfrm>
                    <a:prstGeom prst="rect">
                      <a:avLst/>
                    </a:prstGeom>
                    <a:ln>
                      <a:noFill/>
                    </a:ln>
                    <a:extLst>
                      <a:ext uri="{53640926-AAD7-44D8-BBD7-CCE9431645EC}">
                        <a14:shadowObscured xmlns:a14="http://schemas.microsoft.com/office/drawing/2010/main"/>
                      </a:ext>
                    </a:extLst>
                  </pic:spPr>
                </pic:pic>
              </a:graphicData>
            </a:graphic>
          </wp:inline>
        </w:drawing>
      </w:r>
      <w:r w:rsidRPr="00993800">
        <w:t xml:space="preserve"> Individual concentration-time profiles (without residual unexplained variability [RUV]) were simulated based on the final model assuming a body weight distribution </w:t>
      </w:r>
      <w:proofErr w:type="gramStart"/>
      <w:r w:rsidRPr="00993800">
        <w:t>similar to</w:t>
      </w:r>
      <w:proofErr w:type="gramEnd"/>
      <w:r w:rsidRPr="00993800">
        <w:t xml:space="preserve"> Trial 4311 (10,000 subjects simulated). Shaded area represents the 90% prediction interval, and dark line represents the geometric mean exposure levels. Maintenance dose selection was implemented as a dose increase or decrease at week 6, based on </w:t>
      </w:r>
      <w:proofErr w:type="spellStart"/>
      <w:r w:rsidRPr="00993800">
        <w:t>C</w:t>
      </w:r>
      <w:r w:rsidRPr="00993800">
        <w:rPr>
          <w:vertAlign w:val="subscript"/>
        </w:rPr>
        <w:t>trough</w:t>
      </w:r>
      <w:proofErr w:type="spellEnd"/>
      <w:r w:rsidRPr="00993800">
        <w:rPr>
          <w:vertAlign w:val="subscript"/>
        </w:rPr>
        <w:t xml:space="preserve"> </w:t>
      </w:r>
      <w:r w:rsidRPr="00993800">
        <w:t xml:space="preserve">values (including RUV) at </w:t>
      </w:r>
      <w:r w:rsidR="00A3617F">
        <w:t>W</w:t>
      </w:r>
      <w:r w:rsidRPr="00993800">
        <w:t>eek 4.</w:t>
      </w:r>
    </w:p>
    <w:p w14:paraId="1E9809EC" w14:textId="09A00406" w:rsidR="00A3617F" w:rsidRDefault="00A3617F" w:rsidP="00993800">
      <w:pPr>
        <w:pStyle w:val="FigureDescription"/>
      </w:pPr>
      <w:r>
        <w:t>S</w:t>
      </w:r>
      <w:r w:rsidRPr="00993800">
        <w:t>ource: Figure 1-2 from population PK report VV-CLIN-141447, dated 14 J</w:t>
      </w:r>
      <w:r>
        <w:t>une</w:t>
      </w:r>
      <w:r w:rsidRPr="00993800">
        <w:t xml:space="preserve"> 2022</w:t>
      </w:r>
      <w:r>
        <w:t>.</w:t>
      </w:r>
    </w:p>
    <w:p w14:paraId="4146B5EB" w14:textId="72AE6E06" w:rsidR="00993800" w:rsidRPr="00993800" w:rsidRDefault="00993800" w:rsidP="00993800">
      <w:r w:rsidRPr="00993800">
        <w:lastRenderedPageBreak/>
        <w:t xml:space="preserve">The pivotal trial did not include study of additional </w:t>
      </w:r>
      <w:r>
        <w:t>‘</w:t>
      </w:r>
      <w:r w:rsidRPr="00993800">
        <w:t>catch-up</w:t>
      </w:r>
      <w:r>
        <w:t>’</w:t>
      </w:r>
      <w:r w:rsidRPr="00993800">
        <w:t xml:space="preserve"> doses of concizumab in case of missed doses, or dose interruption (</w:t>
      </w:r>
      <w:r>
        <w:t xml:space="preserve">for example, </w:t>
      </w:r>
      <w:r w:rsidRPr="00993800">
        <w:t>for major surgery these patients were excluded from the study).</w:t>
      </w:r>
    </w:p>
    <w:p w14:paraId="6BB01AEB" w14:textId="04B70D49" w:rsidR="00993800" w:rsidRPr="00993800" w:rsidRDefault="00993800" w:rsidP="00993800">
      <w:pPr>
        <w:pStyle w:val="Heading4"/>
      </w:pPr>
      <w:bookmarkStart w:id="76" w:name="_Toc160786385"/>
      <w:r w:rsidRPr="00993800">
        <w:t>Efficacy</w:t>
      </w:r>
      <w:bookmarkEnd w:id="76"/>
      <w:r w:rsidR="0048603E">
        <w:fldChar w:fldCharType="begin"/>
      </w:r>
      <w:r w:rsidR="0048603E">
        <w:instrText xml:space="preserve"> DOCVARIABLE vault_nd_2171ff22-4e2d-457f-88bb-9b5609f6670b \* MERGEFORMAT </w:instrText>
      </w:r>
      <w:r w:rsidR="0048603E">
        <w:fldChar w:fldCharType="separate"/>
      </w:r>
      <w:r w:rsidR="001B5D20">
        <w:t xml:space="preserve"> </w:t>
      </w:r>
      <w:r w:rsidR="0048603E">
        <w:fldChar w:fldCharType="end"/>
      </w:r>
    </w:p>
    <w:p w14:paraId="5E05A00E" w14:textId="02E57670" w:rsidR="00993800" w:rsidRPr="00993800" w:rsidRDefault="00993800" w:rsidP="00993800">
      <w:pPr>
        <w:pStyle w:val="Heading5"/>
      </w:pPr>
      <w:bookmarkStart w:id="77" w:name="_Study_4311_(explorer7)"/>
      <w:bookmarkStart w:id="78" w:name="_Ref126583670"/>
      <w:bookmarkStart w:id="79" w:name="_Ref159492658"/>
      <w:bookmarkEnd w:id="77"/>
      <w:r w:rsidRPr="00993800">
        <w:t>Study 4311 (explorer7</w:t>
      </w:r>
      <w:bookmarkEnd w:id="78"/>
      <w:r w:rsidRPr="00993800">
        <w:t xml:space="preserve">) – pivotal </w:t>
      </w:r>
      <w:r>
        <w:t>P</w:t>
      </w:r>
      <w:r w:rsidRPr="00993800">
        <w:t xml:space="preserve">hase </w:t>
      </w:r>
      <w:r>
        <w:t>III</w:t>
      </w:r>
      <w:r w:rsidRPr="00993800">
        <w:t xml:space="preserve"> RCT</w:t>
      </w:r>
      <w:bookmarkEnd w:id="79"/>
      <w:r w:rsidR="0048603E">
        <w:fldChar w:fldCharType="begin"/>
      </w:r>
      <w:r w:rsidR="0048603E">
        <w:instrText xml:space="preserve"> DOCVARIABLE vault_nd_caea519a-4d14-4c6a-aba5-c5f330582dc1 \* MERGEFORMAT </w:instrText>
      </w:r>
      <w:r w:rsidR="0048603E">
        <w:fldChar w:fldCharType="separate"/>
      </w:r>
      <w:r w:rsidR="001B5D20">
        <w:t xml:space="preserve"> </w:t>
      </w:r>
      <w:r w:rsidR="0048603E">
        <w:fldChar w:fldCharType="end"/>
      </w:r>
    </w:p>
    <w:p w14:paraId="18DA2E80" w14:textId="0E7B834C" w:rsidR="00993800" w:rsidRPr="00993800" w:rsidRDefault="00993800" w:rsidP="00993800">
      <w:pPr>
        <w:pStyle w:val="Heading6"/>
      </w:pPr>
      <w:r w:rsidRPr="00993800">
        <w:t>Explorer7 study design</w:t>
      </w:r>
      <w:r w:rsidR="00572F9F">
        <w:fldChar w:fldCharType="begin"/>
      </w:r>
      <w:r w:rsidR="00572F9F">
        <w:instrText xml:space="preserve"> DOCVARIABLE vault_nd_c8</w:instrText>
      </w:r>
      <w:r w:rsidR="00572F9F">
        <w:instrText xml:space="preserve">f9664c-6f76-4bb8-aaed-0f9c68fa9e6a \* MERGEFORMAT </w:instrText>
      </w:r>
      <w:r w:rsidR="00572F9F">
        <w:fldChar w:fldCharType="separate"/>
      </w:r>
      <w:r w:rsidR="001B5D20">
        <w:t xml:space="preserve"> </w:t>
      </w:r>
      <w:r w:rsidR="00572F9F">
        <w:fldChar w:fldCharType="end"/>
      </w:r>
    </w:p>
    <w:p w14:paraId="0536B02E" w14:textId="26ACB681" w:rsidR="00993800" w:rsidRPr="00A3617F" w:rsidRDefault="00993800" w:rsidP="00A3617F">
      <w:r w:rsidRPr="00A3617F">
        <w:t>Demonstration of the efficacy of concizumab for the proposed indication relies on data from Study 4311, also known as ‘</w:t>
      </w:r>
      <w:r w:rsidR="00A3617F">
        <w:t>explorer7</w:t>
      </w:r>
      <w:r w:rsidRPr="00A3617F">
        <w:t xml:space="preserve"> trial’. Study 4311/</w:t>
      </w:r>
      <w:r w:rsidR="00A3617F">
        <w:t>explorer</w:t>
      </w:r>
      <w:r w:rsidRPr="00A3617F">
        <w:t>7 trial is an ongoing, Phase III, partly randomised, open</w:t>
      </w:r>
      <w:r w:rsidR="00A3617F">
        <w:t xml:space="preserve"> </w:t>
      </w:r>
      <w:r w:rsidRPr="00A3617F">
        <w:t xml:space="preserve">label trial that enrolled patients with </w:t>
      </w:r>
      <w:proofErr w:type="spellStart"/>
      <w:r w:rsidRPr="00A3617F">
        <w:t>HAwI</w:t>
      </w:r>
      <w:proofErr w:type="spellEnd"/>
      <w:r w:rsidRPr="00A3617F">
        <w:t xml:space="preserve"> or </w:t>
      </w:r>
      <w:proofErr w:type="spellStart"/>
      <w:r w:rsidRPr="00A3617F">
        <w:t>HBwI</w:t>
      </w:r>
      <w:proofErr w:type="spellEnd"/>
      <w:r w:rsidRPr="00A3617F">
        <w:t xml:space="preserve"> into one of four arms.</w:t>
      </w:r>
    </w:p>
    <w:p w14:paraId="1E1199B9" w14:textId="60527540" w:rsidR="00993800" w:rsidRPr="00A3617F" w:rsidRDefault="00993800" w:rsidP="00A3617F">
      <w:r w:rsidRPr="00A3617F">
        <w:t>For the purposes of the regulatory decision, the main efficacy data come from the randomised comparison (Arms 1 and 2), whilst Arms 3 and 4 mainly contributed to safety considerations. The study design is summarised in</w:t>
      </w:r>
      <w:r w:rsidR="00D267BC" w:rsidRPr="00A3617F">
        <w:t xml:space="preserve"> </w:t>
      </w:r>
      <w:r w:rsidR="00D267BC" w:rsidRPr="00A3617F">
        <w:fldChar w:fldCharType="begin"/>
      </w:r>
      <w:r w:rsidR="00D267BC" w:rsidRPr="00A3617F">
        <w:instrText xml:space="preserve"> REF _Ref149640482 \h </w:instrText>
      </w:r>
      <w:r w:rsidR="00A3617F">
        <w:instrText xml:space="preserve"> \* MERGEFORMAT </w:instrText>
      </w:r>
      <w:r w:rsidR="00D267BC" w:rsidRPr="00A3617F">
        <w:fldChar w:fldCharType="separate"/>
      </w:r>
      <w:r w:rsidR="001B5D20" w:rsidRPr="00993800">
        <w:t xml:space="preserve">Figure </w:t>
      </w:r>
      <w:r w:rsidR="001B5D20">
        <w:t>8</w:t>
      </w:r>
      <w:r w:rsidR="00D267BC" w:rsidRPr="00A3617F">
        <w:fldChar w:fldCharType="end"/>
      </w:r>
      <w:r w:rsidR="00D267BC" w:rsidRPr="00A3617F">
        <w:t xml:space="preserve"> a</w:t>
      </w:r>
      <w:r w:rsidRPr="00A3617F">
        <w:t xml:space="preserve">nd eligibility criteria are summarised in </w:t>
      </w:r>
      <w:r w:rsidR="00D267BC" w:rsidRPr="00A3617F">
        <w:fldChar w:fldCharType="begin"/>
      </w:r>
      <w:r w:rsidR="00D267BC" w:rsidRPr="00A3617F">
        <w:instrText xml:space="preserve"> REF _Ref149640493 \h </w:instrText>
      </w:r>
      <w:r w:rsidR="00A3617F">
        <w:instrText xml:space="preserve"> \* MERGEFORMAT </w:instrText>
      </w:r>
      <w:r w:rsidR="00D267BC" w:rsidRPr="00A3617F">
        <w:fldChar w:fldCharType="separate"/>
      </w:r>
      <w:r w:rsidR="001B5D20" w:rsidRPr="00D267BC">
        <w:t xml:space="preserve">Table </w:t>
      </w:r>
      <w:r w:rsidR="001B5D20">
        <w:t>5</w:t>
      </w:r>
      <w:r w:rsidR="00D267BC" w:rsidRPr="00A3617F">
        <w:fldChar w:fldCharType="end"/>
      </w:r>
      <w:r w:rsidR="00D267BC" w:rsidRPr="00A3617F">
        <w:t>.</w:t>
      </w:r>
    </w:p>
    <w:p w14:paraId="49112C33" w14:textId="77777777" w:rsidR="00D267BC" w:rsidRPr="00A3617F" w:rsidRDefault="00D267BC" w:rsidP="00676791">
      <w:pPr>
        <w:pStyle w:val="ListBullet"/>
      </w:pPr>
      <w:r w:rsidRPr="00A3617F">
        <w:t>Arms 1 and 2 included subjects who were currently receiving on-demand treatment for bleeds. Subjects were randomised (1:2) to receive either ongoing on-demand treatment (Arm 1) or prophylaxis (PPX) with concizumab (Arm 2).</w:t>
      </w:r>
    </w:p>
    <w:p w14:paraId="32D985AF" w14:textId="14EBB274" w:rsidR="00D267BC" w:rsidRPr="00A3617F" w:rsidRDefault="00D267BC" w:rsidP="00676791">
      <w:pPr>
        <w:pStyle w:val="ListBullet"/>
      </w:pPr>
      <w:r w:rsidRPr="00A3617F">
        <w:t xml:space="preserve">Arm 3 included subjects who had been treated with concizumab PPX in an earlier </w:t>
      </w:r>
      <w:r w:rsidR="00676791">
        <w:t>P</w:t>
      </w:r>
      <w:r w:rsidRPr="00A3617F">
        <w:t xml:space="preserve">hase </w:t>
      </w:r>
      <w:r w:rsidR="00676791">
        <w:t>II</w:t>
      </w:r>
      <w:r w:rsidRPr="00A3617F">
        <w:t xml:space="preserve"> trial (Study 4310/explorer4). All these subjects continued treatment with concizumab PPX</w:t>
      </w:r>
      <w:r w:rsidR="00676791">
        <w:t>.</w:t>
      </w:r>
    </w:p>
    <w:p w14:paraId="5DEA464A" w14:textId="77777777" w:rsidR="00D267BC" w:rsidRPr="00A3617F" w:rsidRDefault="00D267BC" w:rsidP="00676791">
      <w:pPr>
        <w:pStyle w:val="ListBullet"/>
      </w:pPr>
      <w:r w:rsidRPr="00A3617F">
        <w:t>Arm 4 included subjects who were either:</w:t>
      </w:r>
    </w:p>
    <w:p w14:paraId="7F977C2A" w14:textId="77777777" w:rsidR="00D267BC" w:rsidRPr="00A3617F" w:rsidRDefault="00D267BC" w:rsidP="00676791">
      <w:pPr>
        <w:pStyle w:val="ListBullet2"/>
      </w:pPr>
      <w:r w:rsidRPr="00A3617F">
        <w:t>currently receiving prophylaxis with by-passing agents; or</w:t>
      </w:r>
    </w:p>
    <w:p w14:paraId="32B0F0C3" w14:textId="227D0C91" w:rsidR="00D267BC" w:rsidRPr="00A3617F" w:rsidRDefault="00D267BC" w:rsidP="00676791">
      <w:pPr>
        <w:pStyle w:val="ListBullet2"/>
      </w:pPr>
      <w:r w:rsidRPr="00A3617F">
        <w:t xml:space="preserve">currently receiving on-demand treatment for bleeds but were screened for enrolment at a timepoint where the required number of patients in </w:t>
      </w:r>
      <w:r w:rsidR="00676791">
        <w:t>A</w:t>
      </w:r>
      <w:r w:rsidRPr="00A3617F">
        <w:t>rms 1 and 2 had already been randomised.</w:t>
      </w:r>
    </w:p>
    <w:p w14:paraId="343A2194" w14:textId="16D962F7" w:rsidR="00993800" w:rsidRDefault="00993800" w:rsidP="00993800">
      <w:pPr>
        <w:pStyle w:val="FigureTitle"/>
      </w:pPr>
      <w:bookmarkStart w:id="80" w:name="_Ref149640482"/>
      <w:r w:rsidRPr="00993800">
        <w:t xml:space="preserve">Figure </w:t>
      </w:r>
      <w:r w:rsidR="00572F9F">
        <w:fldChar w:fldCharType="begin"/>
      </w:r>
      <w:r w:rsidR="00572F9F">
        <w:instrText xml:space="preserve"> SEQ Figure \* ARABIC </w:instrText>
      </w:r>
      <w:r w:rsidR="00572F9F">
        <w:fldChar w:fldCharType="separate"/>
      </w:r>
      <w:r w:rsidR="001B5D20">
        <w:rPr>
          <w:noProof/>
        </w:rPr>
        <w:t>8</w:t>
      </w:r>
      <w:r w:rsidR="00572F9F">
        <w:rPr>
          <w:noProof/>
        </w:rPr>
        <w:fldChar w:fldCharType="end"/>
      </w:r>
      <w:bookmarkEnd w:id="80"/>
      <w:r>
        <w:t xml:space="preserve">: </w:t>
      </w:r>
      <w:r w:rsidRPr="00993800">
        <w:t>Study 4311</w:t>
      </w:r>
      <w:r w:rsidR="00676791">
        <w:t xml:space="preserve"> </w:t>
      </w:r>
      <w:r w:rsidRPr="00993800">
        <w:t>schematic of trial design</w:t>
      </w:r>
      <w:r w:rsidR="00572F9F">
        <w:fldChar w:fldCharType="begin"/>
      </w:r>
      <w:r w:rsidR="00572F9F">
        <w:instrText xml:space="preserve"> DOCVARIABLE vault_nd_b964654e-3cba-4f9d-b756-595eaff7850e \* MERGE</w:instrText>
      </w:r>
      <w:r w:rsidR="00572F9F">
        <w:instrText xml:space="preserve">FORMAT </w:instrText>
      </w:r>
      <w:r w:rsidR="00572F9F">
        <w:fldChar w:fldCharType="separate"/>
      </w:r>
      <w:r w:rsidR="001B5D20">
        <w:t xml:space="preserve"> </w:t>
      </w:r>
      <w:r w:rsidR="00572F9F">
        <w:fldChar w:fldCharType="end"/>
      </w:r>
    </w:p>
    <w:p w14:paraId="6782C63F" w14:textId="35ACFD9D" w:rsidR="00A3617F" w:rsidRDefault="00A3617F" w:rsidP="00572F9F">
      <w:r>
        <w:rPr>
          <w:noProof/>
        </w:rPr>
        <w:drawing>
          <wp:inline distT="0" distB="0" distL="0" distR="0" wp14:anchorId="488A3C3D" wp14:editId="0AF55547">
            <wp:extent cx="5648325" cy="2412365"/>
            <wp:effectExtent l="0" t="0" r="9525" b="6985"/>
            <wp:docPr id="6" name="Picture 6" descr="Study 4311 consisted of a three week screening period, a main part (weeks 24 to 32) treatment period, a extension part (weeks 128 to 136) treatment period, and a 7 week follow u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4311 consisted of a three week screening period, a main part (weeks 24 to 32) treatment period, a extension part (weeks 128 to 136) treatment period, and a 7 week follow up period."/>
                    <pic:cNvPicPr/>
                  </pic:nvPicPr>
                  <pic:blipFill rotWithShape="1">
                    <a:blip r:embed="rId29"/>
                    <a:srcRect l="1323" r="607"/>
                    <a:stretch/>
                  </pic:blipFill>
                  <pic:spPr bwMode="auto">
                    <a:xfrm>
                      <a:off x="0" y="0"/>
                      <a:ext cx="5648325" cy="2412365"/>
                    </a:xfrm>
                    <a:prstGeom prst="rect">
                      <a:avLst/>
                    </a:prstGeom>
                    <a:ln>
                      <a:noFill/>
                    </a:ln>
                    <a:extLst>
                      <a:ext uri="{53640926-AAD7-44D8-BBD7-CCE9431645EC}">
                        <a14:shadowObscured xmlns:a14="http://schemas.microsoft.com/office/drawing/2010/main"/>
                      </a:ext>
                    </a:extLst>
                  </pic:spPr>
                </pic:pic>
              </a:graphicData>
            </a:graphic>
          </wp:inline>
        </w:drawing>
      </w:r>
    </w:p>
    <w:p w14:paraId="0A8945F2" w14:textId="7012C434" w:rsidR="00A3617F" w:rsidRDefault="00A3617F" w:rsidP="00A3617F">
      <w:pPr>
        <w:pStyle w:val="FigureDescription"/>
      </w:pPr>
      <w:r>
        <w:t xml:space="preserve">Abbreviations: </w:t>
      </w:r>
      <w:proofErr w:type="spellStart"/>
      <w:r>
        <w:t>OnD</w:t>
      </w:r>
      <w:proofErr w:type="spellEnd"/>
      <w:r>
        <w:t xml:space="preserve"> = on demand, PPX = prophylaxis, V = visit.</w:t>
      </w:r>
    </w:p>
    <w:p w14:paraId="04A4FE34" w14:textId="61BDFD20" w:rsidR="00993800" w:rsidRDefault="00A3617F" w:rsidP="00A3617F">
      <w:pPr>
        <w:pStyle w:val="FigureDescription"/>
      </w:pPr>
      <w:r>
        <w:t xml:space="preserve">Note: </w:t>
      </w:r>
      <w:proofErr w:type="gramStart"/>
      <w:r w:rsidRPr="000B264B">
        <w:rPr>
          <w:vertAlign w:val="superscript"/>
        </w:rPr>
        <w:t>a</w:t>
      </w:r>
      <w:proofErr w:type="gramEnd"/>
      <w:r>
        <w:t xml:space="preserve"> The individual maintenance dose will be either 0.15, 0.20 or 0.25 mg/kg concizumab. Explorer4 = trial 4310.</w:t>
      </w:r>
    </w:p>
    <w:p w14:paraId="698A9B40" w14:textId="7AED0377" w:rsidR="00D267BC" w:rsidRDefault="00D267BC" w:rsidP="00D267BC">
      <w:pPr>
        <w:rPr>
          <w:lang w:eastAsia="ja-JP"/>
        </w:rPr>
      </w:pPr>
      <w:r w:rsidRPr="003A14AD">
        <w:rPr>
          <w:lang w:val="en-GB" w:eastAsia="ja-JP"/>
        </w:rPr>
        <w:lastRenderedPageBreak/>
        <w:t>Subjects were enrolled from a total of 70 centres in 26 countries. The study commenced on 21</w:t>
      </w:r>
      <w:r w:rsidR="00A3617F">
        <w:rPr>
          <w:lang w:val="en-GB" w:eastAsia="ja-JP"/>
        </w:rPr>
        <w:t> </w:t>
      </w:r>
      <w:r w:rsidR="0078639B">
        <w:rPr>
          <w:lang w:val="en-GB" w:eastAsia="ja-JP"/>
        </w:rPr>
        <w:t>October</w:t>
      </w:r>
      <w:r w:rsidRPr="003A14AD">
        <w:rPr>
          <w:lang w:val="en-GB" w:eastAsia="ja-JP"/>
        </w:rPr>
        <w:t xml:space="preserve"> 201</w:t>
      </w:r>
      <w:r>
        <w:rPr>
          <w:lang w:val="en-GB" w:eastAsia="ja-JP"/>
        </w:rPr>
        <w:t>9</w:t>
      </w:r>
      <w:r w:rsidRPr="003A14AD">
        <w:rPr>
          <w:lang w:val="en-GB" w:eastAsia="ja-JP"/>
        </w:rPr>
        <w:t xml:space="preserve">. The </w:t>
      </w:r>
      <w:r>
        <w:rPr>
          <w:lang w:val="en-GB" w:eastAsia="ja-JP"/>
        </w:rPr>
        <w:t>submitted CSR</w:t>
      </w:r>
      <w:r w:rsidRPr="003A14AD">
        <w:rPr>
          <w:lang w:val="en-GB" w:eastAsia="ja-JP"/>
        </w:rPr>
        <w:t xml:space="preserve"> </w:t>
      </w:r>
      <w:r>
        <w:rPr>
          <w:lang w:val="en-GB" w:eastAsia="ja-JP"/>
        </w:rPr>
        <w:t>is</w:t>
      </w:r>
      <w:r w:rsidRPr="003A14AD">
        <w:rPr>
          <w:lang w:val="en-GB" w:eastAsia="ja-JP"/>
        </w:rPr>
        <w:t xml:space="preserve"> date</w:t>
      </w:r>
      <w:r>
        <w:rPr>
          <w:lang w:val="en-GB" w:eastAsia="ja-JP"/>
        </w:rPr>
        <w:t xml:space="preserve">d 23 </w:t>
      </w:r>
      <w:r w:rsidR="0078639B">
        <w:rPr>
          <w:lang w:val="en-GB" w:eastAsia="ja-JP"/>
        </w:rPr>
        <w:t>June</w:t>
      </w:r>
      <w:r>
        <w:rPr>
          <w:lang w:val="en-GB" w:eastAsia="ja-JP"/>
        </w:rPr>
        <w:t xml:space="preserve"> 2022 and has a </w:t>
      </w:r>
      <w:r w:rsidRPr="003A14AD">
        <w:rPr>
          <w:lang w:val="en-GB" w:eastAsia="ja-JP"/>
        </w:rPr>
        <w:t xml:space="preserve">data cut-off </w:t>
      </w:r>
      <w:r>
        <w:rPr>
          <w:lang w:val="en-GB" w:eastAsia="ja-JP"/>
        </w:rPr>
        <w:t>date of</w:t>
      </w:r>
      <w:r w:rsidRPr="003A14AD">
        <w:rPr>
          <w:lang w:val="en-GB" w:eastAsia="ja-JP"/>
        </w:rPr>
        <w:t xml:space="preserve"> 27</w:t>
      </w:r>
      <w:r w:rsidR="00676791">
        <w:rPr>
          <w:lang w:val="en-GB" w:eastAsia="ja-JP"/>
        </w:rPr>
        <w:t> </w:t>
      </w:r>
      <w:r w:rsidR="0078639B">
        <w:rPr>
          <w:lang w:val="en-GB" w:eastAsia="ja-JP"/>
        </w:rPr>
        <w:t>December</w:t>
      </w:r>
      <w:r w:rsidRPr="003A14AD">
        <w:rPr>
          <w:lang w:val="en-GB" w:eastAsia="ja-JP"/>
        </w:rPr>
        <w:t xml:space="preserve"> 2021.</w:t>
      </w:r>
    </w:p>
    <w:p w14:paraId="0572C736" w14:textId="2CBC5209" w:rsidR="00D267BC" w:rsidRDefault="00D267BC" w:rsidP="00D267BC">
      <w:pPr>
        <w:rPr>
          <w:lang w:eastAsia="ja-JP"/>
        </w:rPr>
      </w:pPr>
      <w:r>
        <w:rPr>
          <w:lang w:eastAsia="ja-JP"/>
        </w:rPr>
        <w:t xml:space="preserve">Patients eligible for Arms 1 or 2 were randomised 1:2 to either </w:t>
      </w:r>
      <w:proofErr w:type="gramStart"/>
      <w:r>
        <w:rPr>
          <w:lang w:eastAsia="ja-JP"/>
        </w:rPr>
        <w:t>continue on</w:t>
      </w:r>
      <w:proofErr w:type="gramEnd"/>
      <w:r>
        <w:rPr>
          <w:lang w:eastAsia="ja-JP"/>
        </w:rPr>
        <w:t xml:space="preserve"> their existing on</w:t>
      </w:r>
      <w:r w:rsidR="00A3617F">
        <w:rPr>
          <w:lang w:eastAsia="ja-JP"/>
        </w:rPr>
        <w:noBreakHyphen/>
      </w:r>
      <w:r>
        <w:rPr>
          <w:lang w:eastAsia="ja-JP"/>
        </w:rPr>
        <w:t xml:space="preserve">demand treatment (Arm 1), or to instead received concizumab </w:t>
      </w:r>
      <w:r w:rsidRPr="00676791">
        <w:rPr>
          <w:lang w:eastAsia="ja-JP"/>
        </w:rPr>
        <w:t>PPX in</w:t>
      </w:r>
      <w:r>
        <w:rPr>
          <w:lang w:eastAsia="ja-JP"/>
        </w:rPr>
        <w:t xml:space="preserve"> Arm 2. </w:t>
      </w:r>
      <w:r w:rsidRPr="00C94C8E">
        <w:rPr>
          <w:lang w:eastAsia="ja-JP"/>
        </w:rPr>
        <w:t>Randomisation was stratified by haemophilia subtype (</w:t>
      </w:r>
      <w:proofErr w:type="spellStart"/>
      <w:r w:rsidRPr="00C94C8E">
        <w:rPr>
          <w:lang w:eastAsia="ja-JP"/>
        </w:rPr>
        <w:t>HAwI</w:t>
      </w:r>
      <w:proofErr w:type="spellEnd"/>
      <w:r w:rsidRPr="00C94C8E">
        <w:rPr>
          <w:lang w:eastAsia="ja-JP"/>
        </w:rPr>
        <w:t xml:space="preserve"> </w:t>
      </w:r>
      <w:r w:rsidR="00A3617F">
        <w:rPr>
          <w:lang w:eastAsia="ja-JP"/>
        </w:rPr>
        <w:t>versus</w:t>
      </w:r>
      <w:r w:rsidRPr="00C94C8E">
        <w:rPr>
          <w:lang w:eastAsia="ja-JP"/>
        </w:rPr>
        <w:t xml:space="preserve"> </w:t>
      </w:r>
      <w:proofErr w:type="spellStart"/>
      <w:r w:rsidRPr="00C94C8E">
        <w:rPr>
          <w:lang w:eastAsia="ja-JP"/>
        </w:rPr>
        <w:t>HBwI</w:t>
      </w:r>
      <w:proofErr w:type="spellEnd"/>
      <w:r w:rsidRPr="00C94C8E">
        <w:rPr>
          <w:lang w:eastAsia="ja-JP"/>
        </w:rPr>
        <w:t>) and</w:t>
      </w:r>
      <w:r>
        <w:rPr>
          <w:lang w:eastAsia="ja-JP"/>
        </w:rPr>
        <w:t xml:space="preserve"> by</w:t>
      </w:r>
      <w:r w:rsidRPr="00C94C8E">
        <w:rPr>
          <w:lang w:eastAsia="ja-JP"/>
        </w:rPr>
        <w:t xml:space="preserve"> bleeding frequency during the 24 weeks prior to screening (</w:t>
      </w:r>
      <w:r w:rsidR="00A3617F">
        <w:rPr>
          <w:lang w:eastAsia="ja-JP"/>
        </w:rPr>
        <w:t>less than</w:t>
      </w:r>
      <w:r w:rsidR="0078639B">
        <w:rPr>
          <w:lang w:eastAsia="ja-JP"/>
        </w:rPr>
        <w:t xml:space="preserve"> </w:t>
      </w:r>
      <w:r w:rsidRPr="00C94C8E">
        <w:rPr>
          <w:lang w:eastAsia="ja-JP"/>
        </w:rPr>
        <w:t>9 bleeding episodes v</w:t>
      </w:r>
      <w:r w:rsidR="0078639B">
        <w:rPr>
          <w:lang w:eastAsia="ja-JP"/>
        </w:rPr>
        <w:t xml:space="preserve">ersus </w:t>
      </w:r>
      <w:r w:rsidRPr="00C94C8E">
        <w:rPr>
          <w:lang w:eastAsia="ja-JP"/>
        </w:rPr>
        <w:t xml:space="preserve">9 </w:t>
      </w:r>
      <w:r w:rsidR="00A3617F">
        <w:rPr>
          <w:lang w:eastAsia="ja-JP"/>
        </w:rPr>
        <w:t xml:space="preserve">or more </w:t>
      </w:r>
      <w:r w:rsidRPr="00C94C8E">
        <w:rPr>
          <w:lang w:eastAsia="ja-JP"/>
        </w:rPr>
        <w:t>bleeding episodes).</w:t>
      </w:r>
    </w:p>
    <w:p w14:paraId="3C06BCED" w14:textId="7DF40024" w:rsidR="00D267BC" w:rsidRPr="00993800" w:rsidRDefault="00D267BC" w:rsidP="00993800">
      <w:r>
        <w:rPr>
          <w:lang w:eastAsia="ja-JP"/>
        </w:rPr>
        <w:t>The total study duration for each patient was 160 weeks</w:t>
      </w:r>
      <w:r w:rsidR="00A3617F">
        <w:rPr>
          <w:lang w:eastAsia="ja-JP"/>
        </w:rPr>
        <w:t xml:space="preserve"> </w:t>
      </w:r>
      <w:r>
        <w:rPr>
          <w:lang w:eastAsia="ja-JP"/>
        </w:rPr>
        <w:t xml:space="preserve">and consisted of two parts: the main part (24 weeks) and an extension part (the remainder, during which all patients received concizumab PPX). The submitted CSR only provided efficacy analyses for the main part of the study, but descriptive data for the control arm was included in efficacy data tables for the </w:t>
      </w:r>
      <w:r w:rsidRPr="00A3617F">
        <w:rPr>
          <w:lang w:eastAsia="ja-JP"/>
        </w:rPr>
        <w:t>extension part (see</w:t>
      </w:r>
      <w:r w:rsidR="0078639B" w:rsidRPr="00A3617F">
        <w:rPr>
          <w:lang w:eastAsia="ja-JP"/>
        </w:rPr>
        <w:t xml:space="preserve"> </w:t>
      </w:r>
      <w:r w:rsidR="005715BC">
        <w:rPr>
          <w:lang w:eastAsia="ja-JP"/>
        </w:rPr>
        <w:fldChar w:fldCharType="begin"/>
      </w:r>
      <w:r w:rsidR="005715BC">
        <w:rPr>
          <w:lang w:eastAsia="ja-JP"/>
        </w:rPr>
        <w:instrText xml:space="preserve"> REF _Ref126316132 \h </w:instrText>
      </w:r>
      <w:r w:rsidR="005715BC">
        <w:rPr>
          <w:lang w:eastAsia="ja-JP"/>
        </w:rPr>
      </w:r>
      <w:r w:rsidR="005715BC">
        <w:rPr>
          <w:lang w:eastAsia="ja-JP"/>
        </w:rPr>
        <w:fldChar w:fldCharType="separate"/>
      </w:r>
      <w:r w:rsidR="001B5D20" w:rsidRPr="003624FA">
        <w:t>Explorer7 results</w:t>
      </w:r>
      <w:r w:rsidR="005715BC">
        <w:rPr>
          <w:lang w:eastAsia="ja-JP"/>
        </w:rPr>
        <w:fldChar w:fldCharType="end"/>
      </w:r>
      <w:r w:rsidRPr="00A3617F">
        <w:rPr>
          <w:lang w:eastAsia="ja-JP"/>
        </w:rPr>
        <w:t>).</w:t>
      </w:r>
    </w:p>
    <w:p w14:paraId="3194C34B" w14:textId="3127F1A2" w:rsidR="00993800" w:rsidRDefault="00D267BC" w:rsidP="00D267BC">
      <w:pPr>
        <w:pStyle w:val="TableTitle"/>
      </w:pPr>
      <w:bookmarkStart w:id="81" w:name="_Ref149640493"/>
      <w:r w:rsidRPr="00D267BC">
        <w:t xml:space="preserve">Table </w:t>
      </w:r>
      <w:r w:rsidR="00572F9F">
        <w:fldChar w:fldCharType="begin"/>
      </w:r>
      <w:r w:rsidR="00572F9F">
        <w:instrText xml:space="preserve"> SEQ Table \* ARABIC </w:instrText>
      </w:r>
      <w:r w:rsidR="00572F9F">
        <w:fldChar w:fldCharType="separate"/>
      </w:r>
      <w:r w:rsidR="001B5D20">
        <w:rPr>
          <w:noProof/>
        </w:rPr>
        <w:t>5</w:t>
      </w:r>
      <w:r w:rsidR="00572F9F">
        <w:rPr>
          <w:noProof/>
        </w:rPr>
        <w:fldChar w:fldCharType="end"/>
      </w:r>
      <w:bookmarkEnd w:id="81"/>
      <w:r w:rsidRPr="00D267BC">
        <w:t>:</w:t>
      </w:r>
      <w:r>
        <w:t xml:space="preserve"> Summary of design of explorer7</w:t>
      </w:r>
      <w:r w:rsidR="00572F9F">
        <w:fldChar w:fldCharType="begin"/>
      </w:r>
      <w:r w:rsidR="00572F9F">
        <w:instrText xml:space="preserve"> DOCVARIABLE vault_nd_a47f52c6-ed77-484c-ae2a-acc40cf4084c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1760"/>
        <w:gridCol w:w="1354"/>
        <w:gridCol w:w="1516"/>
        <w:gridCol w:w="1637"/>
        <w:gridCol w:w="2401"/>
      </w:tblGrid>
      <w:tr w:rsidR="0078639B" w:rsidRPr="0078639B" w14:paraId="7ED0865F" w14:textId="77777777" w:rsidTr="00A3617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760" w:type="dxa"/>
          </w:tcPr>
          <w:p w14:paraId="277D69EB" w14:textId="77777777" w:rsidR="00D267BC" w:rsidRPr="0078639B" w:rsidRDefault="00D267BC">
            <w:pPr>
              <w:keepNext w:val="0"/>
              <w:widowControl w:val="0"/>
              <w:spacing w:before="0" w:after="0" w:line="240" w:lineRule="auto"/>
              <w:ind w:left="0"/>
              <w:jc w:val="center"/>
            </w:pPr>
          </w:p>
        </w:tc>
        <w:tc>
          <w:tcPr>
            <w:tcW w:w="1354" w:type="dxa"/>
          </w:tcPr>
          <w:p w14:paraId="11551C23" w14:textId="77777777" w:rsidR="00D267BC" w:rsidRPr="0078639B" w:rsidRDefault="00D267BC">
            <w:pPr>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78639B">
              <w:t>Arm 1</w:t>
            </w:r>
          </w:p>
        </w:tc>
        <w:tc>
          <w:tcPr>
            <w:tcW w:w="1516" w:type="dxa"/>
          </w:tcPr>
          <w:p w14:paraId="0925344C" w14:textId="77777777" w:rsidR="00D267BC" w:rsidRPr="0078639B" w:rsidRDefault="00D267BC">
            <w:pPr>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78639B">
              <w:t>Arm 2</w:t>
            </w:r>
          </w:p>
        </w:tc>
        <w:tc>
          <w:tcPr>
            <w:tcW w:w="1637" w:type="dxa"/>
          </w:tcPr>
          <w:p w14:paraId="73540952" w14:textId="77777777" w:rsidR="00D267BC" w:rsidRPr="0078639B" w:rsidRDefault="00D267BC">
            <w:pPr>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78639B">
              <w:t>Arm 3</w:t>
            </w:r>
          </w:p>
        </w:tc>
        <w:tc>
          <w:tcPr>
            <w:tcW w:w="2401" w:type="dxa"/>
          </w:tcPr>
          <w:p w14:paraId="79F67417" w14:textId="77777777" w:rsidR="00D267BC" w:rsidRPr="0078639B" w:rsidRDefault="00D267BC">
            <w:pPr>
              <w:keepNext w:val="0"/>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pPr>
            <w:r w:rsidRPr="0078639B">
              <w:t>Arm 4</w:t>
            </w:r>
          </w:p>
        </w:tc>
      </w:tr>
      <w:tr w:rsidR="00D267BC" w:rsidRPr="0078639B" w14:paraId="06E2B90F" w14:textId="77777777" w:rsidTr="0078639B">
        <w:trPr>
          <w:trHeight w:val="1264"/>
        </w:trPr>
        <w:tc>
          <w:tcPr>
            <w:cnfStyle w:val="001000000000" w:firstRow="0" w:lastRow="0" w:firstColumn="1" w:lastColumn="0" w:oddVBand="0" w:evenVBand="0" w:oddHBand="0" w:evenHBand="0" w:firstRowFirstColumn="0" w:firstRowLastColumn="0" w:lastRowFirstColumn="0" w:lastRowLastColumn="0"/>
            <w:tcW w:w="1760" w:type="dxa"/>
          </w:tcPr>
          <w:p w14:paraId="7B0CDDB6" w14:textId="2FC5B8D2" w:rsidR="00D267BC" w:rsidRPr="0078639B" w:rsidRDefault="00D267BC" w:rsidP="00572F9F">
            <w:pPr>
              <w:widowControl w:val="0"/>
              <w:spacing w:before="0" w:after="0" w:line="240" w:lineRule="auto"/>
              <w:ind w:left="0"/>
              <w:rPr>
                <w:b/>
                <w:bCs/>
              </w:rPr>
            </w:pPr>
            <w:r w:rsidRPr="0078639B">
              <w:rPr>
                <w:b/>
                <w:bCs/>
              </w:rPr>
              <w:t>Eligibility</w:t>
            </w:r>
          </w:p>
        </w:tc>
        <w:tc>
          <w:tcPr>
            <w:tcW w:w="2870" w:type="dxa"/>
            <w:gridSpan w:val="2"/>
          </w:tcPr>
          <w:p w14:paraId="37A2825C"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eastAsia="ja-JP"/>
              </w:rPr>
            </w:pPr>
            <w:r w:rsidRPr="0078639B">
              <w:rPr>
                <w:lang w:val="en-GB" w:eastAsia="ja-JP"/>
              </w:rPr>
              <w:t xml:space="preserve">Currently receiving on-demand treatment for bleeds </w:t>
            </w:r>
            <w:proofErr w:type="spellStart"/>
            <w:r w:rsidRPr="0078639B">
              <w:rPr>
                <w:vertAlign w:val="superscript"/>
                <w:lang w:val="en-GB" w:eastAsia="ja-JP"/>
              </w:rPr>
              <w:t>i</w:t>
            </w:r>
            <w:proofErr w:type="spellEnd"/>
          </w:p>
        </w:tc>
        <w:tc>
          <w:tcPr>
            <w:tcW w:w="1637" w:type="dxa"/>
          </w:tcPr>
          <w:p w14:paraId="706FC4FB" w14:textId="5F777716"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eastAsia="ja-JP"/>
              </w:rPr>
            </w:pPr>
            <w:r w:rsidRPr="0078639B">
              <w:rPr>
                <w:lang w:val="en-GB" w:eastAsia="ja-JP"/>
              </w:rPr>
              <w:t xml:space="preserve">Received concizumab PPX in </w:t>
            </w:r>
            <w:r w:rsidR="00676791">
              <w:rPr>
                <w:lang w:val="en-GB" w:eastAsia="ja-JP"/>
              </w:rPr>
              <w:t>P</w:t>
            </w:r>
            <w:r w:rsidRPr="0078639B">
              <w:rPr>
                <w:lang w:val="en-GB" w:eastAsia="ja-JP"/>
              </w:rPr>
              <w:t>hase II study 4310 (explorer4)</w:t>
            </w:r>
          </w:p>
        </w:tc>
        <w:tc>
          <w:tcPr>
            <w:tcW w:w="2401" w:type="dxa"/>
          </w:tcPr>
          <w:p w14:paraId="0AE4CEEB"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rPr>
            </w:pPr>
            <w:r w:rsidRPr="0078639B">
              <w:rPr>
                <w:lang w:val="en-GB"/>
              </w:rPr>
              <w:t>Either currently receiving PPX with bypassing agents; or eligible for arms 1&amp;2 but they were full.</w:t>
            </w:r>
          </w:p>
        </w:tc>
      </w:tr>
      <w:tr w:rsidR="00D267BC" w:rsidRPr="0078639B" w14:paraId="4926F953" w14:textId="77777777" w:rsidTr="0078639B">
        <w:trPr>
          <w:trHeight w:val="4013"/>
        </w:trPr>
        <w:tc>
          <w:tcPr>
            <w:cnfStyle w:val="001000000000" w:firstRow="0" w:lastRow="0" w:firstColumn="1" w:lastColumn="0" w:oddVBand="0" w:evenVBand="0" w:oddHBand="0" w:evenHBand="0" w:firstRowFirstColumn="0" w:firstRowLastColumn="0" w:lastRowFirstColumn="0" w:lastRowLastColumn="0"/>
            <w:tcW w:w="1760" w:type="dxa"/>
          </w:tcPr>
          <w:p w14:paraId="42E223F4" w14:textId="77777777" w:rsidR="00D267BC" w:rsidRPr="0078639B" w:rsidRDefault="00D267BC">
            <w:pPr>
              <w:widowControl w:val="0"/>
              <w:spacing w:before="0" w:after="0" w:line="240" w:lineRule="auto"/>
              <w:ind w:left="0"/>
              <w:rPr>
                <w:b/>
                <w:bCs/>
              </w:rPr>
            </w:pPr>
            <w:r w:rsidRPr="0078639B">
              <w:rPr>
                <w:b/>
                <w:bCs/>
              </w:rPr>
              <w:t>Key common inclusion/ exclusion criteria</w:t>
            </w:r>
          </w:p>
        </w:tc>
        <w:tc>
          <w:tcPr>
            <w:tcW w:w="6908" w:type="dxa"/>
            <w:gridSpan w:val="4"/>
          </w:tcPr>
          <w:p w14:paraId="788A279F"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u w:val="single"/>
              </w:rPr>
            </w:pPr>
            <w:r w:rsidRPr="0078639B">
              <w:rPr>
                <w:u w:val="single"/>
              </w:rPr>
              <w:t>Included:</w:t>
            </w:r>
          </w:p>
          <w:p w14:paraId="671EF2C0"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Consenting, compliant males at least 12 years old</w:t>
            </w:r>
          </w:p>
          <w:p w14:paraId="2953907C"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 xml:space="preserve">Body weight &gt;25 kg at screening </w:t>
            </w:r>
          </w:p>
          <w:p w14:paraId="05DAABA2"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Congenital haemophilia A or B of any severity, with documented history of inhibitor (≥ 0.6 BU).</w:t>
            </w:r>
          </w:p>
          <w:p w14:paraId="30F71D60"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Patient has been prescribed, or in need of, treatment with bypassing agents in the last 24 weeks prior to screening (for patients not previously enrolled in study 4310).</w:t>
            </w:r>
          </w:p>
          <w:p w14:paraId="132EB635"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u w:val="single"/>
              </w:rPr>
            </w:pPr>
            <w:r w:rsidRPr="0078639B">
              <w:rPr>
                <w:u w:val="single"/>
              </w:rPr>
              <w:t>Excluded:</w:t>
            </w:r>
          </w:p>
          <w:p w14:paraId="0210C9ED"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Renal or hepatic impairment, platelets ≤100 x10</w:t>
            </w:r>
            <w:r w:rsidRPr="0078639B">
              <w:rPr>
                <w:rFonts w:ascii="Cambria" w:hAnsi="Cambria"/>
                <w:szCs w:val="21"/>
                <w:vertAlign w:val="superscript"/>
              </w:rPr>
              <w:t>9</w:t>
            </w:r>
          </w:p>
          <w:p w14:paraId="591F4530"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 xml:space="preserve">Thromboembolic disease </w:t>
            </w:r>
            <w:r w:rsidRPr="0078639B">
              <w:rPr>
                <w:rFonts w:ascii="Cambria" w:hAnsi="Cambria"/>
                <w:szCs w:val="21"/>
                <w:vertAlign w:val="superscript"/>
              </w:rPr>
              <w:t>ii</w:t>
            </w:r>
          </w:p>
          <w:p w14:paraId="1FAE3635" w14:textId="77777777"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 xml:space="preserve">Risk of thromboembolic disease </w:t>
            </w:r>
            <w:r w:rsidRPr="0078639B">
              <w:rPr>
                <w:rFonts w:ascii="Cambria" w:hAnsi="Cambria"/>
                <w:szCs w:val="21"/>
                <w:vertAlign w:val="superscript"/>
              </w:rPr>
              <w:t>iii</w:t>
            </w:r>
          </w:p>
          <w:p w14:paraId="79624BB8" w14:textId="2ADF2725" w:rsidR="00D267BC" w:rsidRPr="0078639B" w:rsidRDefault="00D267BC" w:rsidP="00D267BC">
            <w:pPr>
              <w:pStyle w:val="ListParagraph"/>
              <w:widowControl w:val="0"/>
              <w:numPr>
                <w:ilvl w:val="0"/>
                <w:numId w:val="20"/>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Cs w:val="21"/>
              </w:rPr>
            </w:pPr>
            <w:r w:rsidRPr="0078639B">
              <w:rPr>
                <w:rFonts w:ascii="Cambria" w:hAnsi="Cambria"/>
                <w:szCs w:val="21"/>
              </w:rPr>
              <w:t xml:space="preserve">Prior </w:t>
            </w:r>
            <w:proofErr w:type="spellStart"/>
            <w:r w:rsidRPr="0078639B">
              <w:rPr>
                <w:rFonts w:ascii="Cambria" w:hAnsi="Cambria"/>
                <w:szCs w:val="21"/>
              </w:rPr>
              <w:t>emicizumab</w:t>
            </w:r>
            <w:proofErr w:type="spellEnd"/>
            <w:r w:rsidRPr="0078639B">
              <w:rPr>
                <w:rFonts w:ascii="Cambria" w:hAnsi="Cambria"/>
                <w:szCs w:val="21"/>
              </w:rPr>
              <w:t xml:space="preserve"> within </w:t>
            </w:r>
            <w:r w:rsidR="004053FB">
              <w:rPr>
                <w:rFonts w:ascii="Cambria" w:hAnsi="Cambria"/>
                <w:szCs w:val="21"/>
              </w:rPr>
              <w:t>180 days</w:t>
            </w:r>
          </w:p>
          <w:p w14:paraId="4AFFC216" w14:textId="77777777" w:rsidR="00D267BC" w:rsidRPr="0078639B" w:rsidRDefault="00D267BC" w:rsidP="00D267BC">
            <w:pPr>
              <w:pStyle w:val="Numberbullet0"/>
              <w:widowControl w:val="0"/>
              <w:numPr>
                <w:ilvl w:val="0"/>
                <w:numId w:val="20"/>
              </w:numPr>
              <w:spacing w:before="0" w:after="0" w:line="240" w:lineRule="auto"/>
              <w:ind w:right="170"/>
              <w:cnfStyle w:val="000000000000" w:firstRow="0" w:lastRow="0" w:firstColumn="0" w:lastColumn="0" w:oddVBand="0" w:evenVBand="0" w:oddHBand="0" w:evenHBand="0" w:firstRowFirstColumn="0" w:firstRowLastColumn="0" w:lastRowFirstColumn="0" w:lastRowLastColumn="0"/>
            </w:pPr>
            <w:r w:rsidRPr="0078639B">
              <w:rPr>
                <w:lang w:eastAsia="ja-JP"/>
              </w:rPr>
              <w:t>Ongoing or planned Immune Tolerance Induction treatment</w:t>
            </w:r>
          </w:p>
          <w:p w14:paraId="50C5A3BA"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rPr>
            </w:pPr>
          </w:p>
        </w:tc>
      </w:tr>
      <w:tr w:rsidR="0078639B" w:rsidRPr="0078639B" w14:paraId="3D2824E1" w14:textId="77777777" w:rsidTr="00A3617F">
        <w:trPr>
          <w:trHeight w:val="502"/>
        </w:trPr>
        <w:tc>
          <w:tcPr>
            <w:cnfStyle w:val="001000000000" w:firstRow="0" w:lastRow="0" w:firstColumn="1" w:lastColumn="0" w:oddVBand="0" w:evenVBand="0" w:oddHBand="0" w:evenHBand="0" w:firstRowFirstColumn="0" w:firstRowLastColumn="0" w:lastRowFirstColumn="0" w:lastRowLastColumn="0"/>
            <w:tcW w:w="1760" w:type="dxa"/>
          </w:tcPr>
          <w:p w14:paraId="7737CE6C" w14:textId="77777777" w:rsidR="00D267BC" w:rsidRPr="0078639B" w:rsidRDefault="00D267BC">
            <w:pPr>
              <w:widowControl w:val="0"/>
              <w:spacing w:before="0" w:after="0" w:line="240" w:lineRule="auto"/>
              <w:ind w:left="0"/>
              <w:rPr>
                <w:b/>
                <w:bCs/>
              </w:rPr>
            </w:pPr>
            <w:r w:rsidRPr="0078639B">
              <w:rPr>
                <w:b/>
                <w:bCs/>
              </w:rPr>
              <w:t>Randomisation ratio</w:t>
            </w:r>
          </w:p>
        </w:tc>
        <w:tc>
          <w:tcPr>
            <w:tcW w:w="1354" w:type="dxa"/>
          </w:tcPr>
          <w:p w14:paraId="32F70D4E"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pPr>
            <w:r w:rsidRPr="0078639B">
              <w:t>1</w:t>
            </w:r>
          </w:p>
        </w:tc>
        <w:tc>
          <w:tcPr>
            <w:tcW w:w="1516" w:type="dxa"/>
          </w:tcPr>
          <w:p w14:paraId="4AC63DC8"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eastAsia="ja-JP"/>
              </w:rPr>
            </w:pPr>
            <w:r w:rsidRPr="0078639B">
              <w:rPr>
                <w:lang w:val="en-GB" w:eastAsia="ja-JP"/>
              </w:rPr>
              <w:t>2</w:t>
            </w:r>
          </w:p>
        </w:tc>
        <w:tc>
          <w:tcPr>
            <w:tcW w:w="1637" w:type="dxa"/>
          </w:tcPr>
          <w:p w14:paraId="323CF055"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eastAsia="ja-JP"/>
              </w:rPr>
            </w:pPr>
            <w:r w:rsidRPr="0078639B">
              <w:rPr>
                <w:lang w:val="en-GB" w:eastAsia="ja-JP"/>
              </w:rPr>
              <w:t>N/A</w:t>
            </w:r>
          </w:p>
        </w:tc>
        <w:tc>
          <w:tcPr>
            <w:tcW w:w="2401" w:type="dxa"/>
          </w:tcPr>
          <w:p w14:paraId="66DCBC13"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GB" w:eastAsia="ja-JP"/>
              </w:rPr>
            </w:pPr>
            <w:r w:rsidRPr="0078639B">
              <w:rPr>
                <w:lang w:val="en-GB" w:eastAsia="ja-JP"/>
              </w:rPr>
              <w:t>N/A</w:t>
            </w:r>
          </w:p>
        </w:tc>
      </w:tr>
      <w:tr w:rsidR="0078639B" w:rsidRPr="0078639B" w14:paraId="1CAD576C" w14:textId="77777777" w:rsidTr="00A3617F">
        <w:trPr>
          <w:trHeight w:val="1264"/>
        </w:trPr>
        <w:tc>
          <w:tcPr>
            <w:cnfStyle w:val="001000000000" w:firstRow="0" w:lastRow="0" w:firstColumn="1" w:lastColumn="0" w:oddVBand="0" w:evenVBand="0" w:oddHBand="0" w:evenHBand="0" w:firstRowFirstColumn="0" w:firstRowLastColumn="0" w:lastRowFirstColumn="0" w:lastRowLastColumn="0"/>
            <w:tcW w:w="1760" w:type="dxa"/>
          </w:tcPr>
          <w:p w14:paraId="481BAEDE" w14:textId="77777777" w:rsidR="00D267BC" w:rsidRPr="0078639B" w:rsidRDefault="00D267BC">
            <w:pPr>
              <w:widowControl w:val="0"/>
              <w:spacing w:before="0" w:after="0" w:line="240" w:lineRule="auto"/>
              <w:ind w:left="0"/>
              <w:rPr>
                <w:b/>
                <w:bCs/>
              </w:rPr>
            </w:pPr>
            <w:r w:rsidRPr="0078639B">
              <w:rPr>
                <w:b/>
                <w:bCs/>
              </w:rPr>
              <w:t>Treatment</w:t>
            </w:r>
          </w:p>
        </w:tc>
        <w:tc>
          <w:tcPr>
            <w:tcW w:w="1354" w:type="dxa"/>
          </w:tcPr>
          <w:p w14:paraId="69106066"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pPr>
            <w:r w:rsidRPr="0078639B">
              <w:t xml:space="preserve">Continue on-demand treatment </w:t>
            </w:r>
            <w:r w:rsidRPr="0078639B">
              <w:rPr>
                <w:vertAlign w:val="superscript"/>
              </w:rPr>
              <w:t>iv</w:t>
            </w:r>
          </w:p>
        </w:tc>
        <w:tc>
          <w:tcPr>
            <w:tcW w:w="1516" w:type="dxa"/>
          </w:tcPr>
          <w:p w14:paraId="344F1C85"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val="en-US"/>
              </w:rPr>
            </w:pPr>
            <w:r w:rsidRPr="0078639B">
              <w:rPr>
                <w:lang w:val="en-GB" w:eastAsia="ja-JP"/>
              </w:rPr>
              <w:t xml:space="preserve">Concizumab PPX </w:t>
            </w:r>
          </w:p>
        </w:tc>
        <w:tc>
          <w:tcPr>
            <w:tcW w:w="1637" w:type="dxa"/>
          </w:tcPr>
          <w:p w14:paraId="5A05F0A2"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pPr>
            <w:r w:rsidRPr="0078639B">
              <w:rPr>
                <w:lang w:val="en-GB" w:eastAsia="ja-JP"/>
              </w:rPr>
              <w:t xml:space="preserve">Concizumab PPX </w:t>
            </w:r>
          </w:p>
        </w:tc>
        <w:tc>
          <w:tcPr>
            <w:tcW w:w="2401" w:type="dxa"/>
          </w:tcPr>
          <w:p w14:paraId="30ED5A48"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pPr>
            <w:r w:rsidRPr="0078639B">
              <w:rPr>
                <w:lang w:val="en-GB" w:eastAsia="ja-JP"/>
              </w:rPr>
              <w:t xml:space="preserve">Concizumab PPX </w:t>
            </w:r>
          </w:p>
        </w:tc>
      </w:tr>
      <w:tr w:rsidR="00D267BC" w:rsidRPr="0078639B" w14:paraId="3B6F79D8" w14:textId="77777777" w:rsidTr="0078639B">
        <w:trPr>
          <w:trHeight w:val="2491"/>
        </w:trPr>
        <w:tc>
          <w:tcPr>
            <w:cnfStyle w:val="001000000000" w:firstRow="0" w:lastRow="0" w:firstColumn="1" w:lastColumn="0" w:oddVBand="0" w:evenVBand="0" w:oddHBand="0" w:evenHBand="0" w:firstRowFirstColumn="0" w:firstRowLastColumn="0" w:lastRowFirstColumn="0" w:lastRowLastColumn="0"/>
            <w:tcW w:w="1760" w:type="dxa"/>
          </w:tcPr>
          <w:p w14:paraId="40FF86DA" w14:textId="77777777" w:rsidR="00D267BC" w:rsidRPr="0078639B" w:rsidRDefault="00D267BC">
            <w:pPr>
              <w:widowControl w:val="0"/>
              <w:spacing w:before="0" w:after="0" w:line="240" w:lineRule="auto"/>
              <w:ind w:left="0"/>
              <w:rPr>
                <w:b/>
                <w:bCs/>
              </w:rPr>
            </w:pPr>
            <w:r w:rsidRPr="0078639B">
              <w:rPr>
                <w:b/>
                <w:bCs/>
              </w:rPr>
              <w:lastRenderedPageBreak/>
              <w:t>Prohibited treatment</w:t>
            </w:r>
          </w:p>
        </w:tc>
        <w:tc>
          <w:tcPr>
            <w:tcW w:w="6908" w:type="dxa"/>
            <w:gridSpan w:val="4"/>
          </w:tcPr>
          <w:p w14:paraId="25E53103" w14:textId="77777777" w:rsidR="00D267BC" w:rsidRPr="0078639B" w:rsidRDefault="00D267BC">
            <w:pPr>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78639B">
              <w:t>The</w:t>
            </w:r>
            <w:r w:rsidRPr="0078639B">
              <w:rPr>
                <w:lang w:eastAsia="ja-JP"/>
              </w:rPr>
              <w:t xml:space="preserve"> following medicines were prohibited during the trial:</w:t>
            </w:r>
          </w:p>
          <w:p w14:paraId="6496156E" w14:textId="77777777" w:rsidR="00D267BC" w:rsidRPr="0078639B" w:rsidRDefault="00D267BC" w:rsidP="00D267BC">
            <w:pPr>
              <w:pStyle w:val="ListParagraph"/>
              <w:numPr>
                <w:ilvl w:val="0"/>
                <w:numId w:val="21"/>
              </w:numPr>
              <w:adjustRightInd w:val="0"/>
              <w:snapToGrid w:val="0"/>
              <w:spacing w:before="180" w:after="180" w:line="240" w:lineRule="atLeast"/>
              <w:ind w:right="170"/>
              <w:cnfStyle w:val="000000000000" w:firstRow="0" w:lastRow="0" w:firstColumn="0" w:lastColumn="0" w:oddVBand="0" w:evenVBand="0" w:oddHBand="0" w:evenHBand="0" w:firstRowFirstColumn="0" w:firstRowLastColumn="0" w:lastRowFirstColumn="0" w:lastRowLastColumn="0"/>
              <w:rPr>
                <w:rFonts w:ascii="Cambria" w:hAnsi="Cambria"/>
              </w:rPr>
            </w:pPr>
            <w:r w:rsidRPr="0078639B">
              <w:rPr>
                <w:rFonts w:ascii="Cambria" w:hAnsi="Cambria"/>
              </w:rPr>
              <w:t>Heparin (except for sealing of central venous access ports according to local practice)</w:t>
            </w:r>
          </w:p>
          <w:p w14:paraId="6CC118E4" w14:textId="77777777" w:rsidR="00D267BC" w:rsidRPr="0078639B" w:rsidRDefault="00D267BC" w:rsidP="00D267BC">
            <w:pPr>
              <w:pStyle w:val="ListParagraph"/>
              <w:numPr>
                <w:ilvl w:val="0"/>
                <w:numId w:val="21"/>
              </w:numPr>
              <w:adjustRightInd w:val="0"/>
              <w:snapToGrid w:val="0"/>
              <w:spacing w:before="180" w:after="180" w:line="240" w:lineRule="atLeast"/>
              <w:ind w:right="170"/>
              <w:cnfStyle w:val="000000000000" w:firstRow="0" w:lastRow="0" w:firstColumn="0" w:lastColumn="0" w:oddVBand="0" w:evenVBand="0" w:oddHBand="0" w:evenHBand="0" w:firstRowFirstColumn="0" w:firstRowLastColumn="0" w:lastRowFirstColumn="0" w:lastRowLastColumn="0"/>
              <w:rPr>
                <w:rFonts w:ascii="Cambria" w:hAnsi="Cambria"/>
              </w:rPr>
            </w:pPr>
            <w:r w:rsidRPr="0078639B">
              <w:rPr>
                <w:rFonts w:ascii="Cambria" w:hAnsi="Cambria"/>
              </w:rPr>
              <w:t>Vitamin-K antagonists</w:t>
            </w:r>
          </w:p>
          <w:p w14:paraId="46E4CD4D" w14:textId="77777777" w:rsidR="00D267BC" w:rsidRPr="0078639B" w:rsidRDefault="00D267BC" w:rsidP="00D267BC">
            <w:pPr>
              <w:pStyle w:val="ListParagraph"/>
              <w:numPr>
                <w:ilvl w:val="0"/>
                <w:numId w:val="21"/>
              </w:numPr>
              <w:adjustRightInd w:val="0"/>
              <w:snapToGrid w:val="0"/>
              <w:spacing w:before="180" w:after="180" w:line="240" w:lineRule="atLeast"/>
              <w:ind w:right="170"/>
              <w:cnfStyle w:val="000000000000" w:firstRow="0" w:lastRow="0" w:firstColumn="0" w:lastColumn="0" w:oddVBand="0" w:evenVBand="0" w:oddHBand="0" w:evenHBand="0" w:firstRowFirstColumn="0" w:firstRowLastColumn="0" w:lastRowFirstColumn="0" w:lastRowLastColumn="0"/>
              <w:rPr>
                <w:rFonts w:ascii="Cambria" w:hAnsi="Cambria"/>
              </w:rPr>
            </w:pPr>
            <w:r w:rsidRPr="0078639B">
              <w:rPr>
                <w:rFonts w:ascii="Cambria" w:hAnsi="Cambria"/>
              </w:rPr>
              <w:t>Direct oral anti-coagulants (DOACs)</w:t>
            </w:r>
          </w:p>
          <w:p w14:paraId="52A4E128" w14:textId="77777777" w:rsidR="00D267BC" w:rsidRPr="0078639B" w:rsidRDefault="00D267BC" w:rsidP="00D267BC">
            <w:pPr>
              <w:pStyle w:val="ListParagraph"/>
              <w:numPr>
                <w:ilvl w:val="0"/>
                <w:numId w:val="21"/>
              </w:numPr>
              <w:adjustRightInd w:val="0"/>
              <w:snapToGrid w:val="0"/>
              <w:spacing w:before="180" w:after="180" w:line="240" w:lineRule="atLeast"/>
              <w:ind w:right="170"/>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78639B">
              <w:rPr>
                <w:rFonts w:ascii="Cambria" w:hAnsi="Cambria"/>
              </w:rPr>
              <w:t>Emicizumab</w:t>
            </w:r>
            <w:proofErr w:type="spellEnd"/>
          </w:p>
          <w:p w14:paraId="1A5EA1BC" w14:textId="77777777" w:rsidR="00D267BC" w:rsidRPr="0078639B" w:rsidRDefault="00D267BC" w:rsidP="00D267BC">
            <w:pPr>
              <w:pStyle w:val="ListParagraph"/>
              <w:numPr>
                <w:ilvl w:val="0"/>
                <w:numId w:val="21"/>
              </w:numPr>
              <w:adjustRightInd w:val="0"/>
              <w:snapToGrid w:val="0"/>
              <w:spacing w:before="180" w:after="180" w:line="240" w:lineRule="atLeast"/>
              <w:ind w:right="170"/>
              <w:cnfStyle w:val="000000000000" w:firstRow="0" w:lastRow="0" w:firstColumn="0" w:lastColumn="0" w:oddVBand="0" w:evenVBand="0" w:oddHBand="0" w:evenHBand="0" w:firstRowFirstColumn="0" w:firstRowLastColumn="0" w:lastRowFirstColumn="0" w:lastRowLastColumn="0"/>
              <w:rPr>
                <w:rFonts w:ascii="Cambria" w:hAnsi="Cambria"/>
              </w:rPr>
            </w:pPr>
            <w:r w:rsidRPr="0078639B">
              <w:rPr>
                <w:rFonts w:ascii="Cambria" w:hAnsi="Cambria"/>
              </w:rPr>
              <w:t>Anti-fibrinolytics, except for local/topical use. Use of single systemic doses was allowed after careful benefit-risk evaluation.</w:t>
            </w:r>
          </w:p>
        </w:tc>
      </w:tr>
    </w:tbl>
    <w:p w14:paraId="6EE2BD29" w14:textId="77777777" w:rsidR="00D267BC" w:rsidRPr="00D267BC" w:rsidRDefault="00D267BC" w:rsidP="00D267BC">
      <w:pPr>
        <w:pStyle w:val="TableDescription"/>
      </w:pPr>
      <w:r w:rsidRPr="00D267BC">
        <w:t>PPX = prophylaxis.</w:t>
      </w:r>
    </w:p>
    <w:p w14:paraId="0B7FC2B6" w14:textId="5CD2E64F" w:rsidR="00D267BC" w:rsidRDefault="00D267BC" w:rsidP="00D267BC">
      <w:pPr>
        <w:pStyle w:val="TableDescription"/>
        <w:widowControl w:val="0"/>
        <w:numPr>
          <w:ilvl w:val="0"/>
          <w:numId w:val="22"/>
        </w:numPr>
        <w:spacing w:after="0"/>
        <w:rPr>
          <w:lang w:eastAsia="ja-JP"/>
        </w:rPr>
      </w:pPr>
      <w:r>
        <w:rPr>
          <w:lang w:eastAsia="ja-JP"/>
        </w:rPr>
        <w:t>Either</w:t>
      </w:r>
      <w:r w:rsidRPr="001A35EC">
        <w:rPr>
          <w:lang w:eastAsia="ja-JP"/>
        </w:rPr>
        <w:t xml:space="preserve"> transferred from study 4322 (explorer6</w:t>
      </w:r>
      <w:r>
        <w:rPr>
          <w:lang w:eastAsia="ja-JP"/>
        </w:rPr>
        <w:t xml:space="preserve"> – see page </w:t>
      </w:r>
      <w:r>
        <w:rPr>
          <w:lang w:eastAsia="ja-JP"/>
        </w:rPr>
        <w:fldChar w:fldCharType="begin"/>
      </w:r>
      <w:r>
        <w:rPr>
          <w:lang w:eastAsia="ja-JP"/>
        </w:rPr>
        <w:instrText xml:space="preserve"> PAGEREF _Ref128575394 \h </w:instrText>
      </w:r>
      <w:r>
        <w:rPr>
          <w:lang w:eastAsia="ja-JP"/>
        </w:rPr>
      </w:r>
      <w:r>
        <w:rPr>
          <w:lang w:eastAsia="ja-JP"/>
        </w:rPr>
        <w:fldChar w:fldCharType="separate"/>
      </w:r>
      <w:r w:rsidR="001B5D20">
        <w:rPr>
          <w:noProof/>
          <w:lang w:eastAsia="ja-JP"/>
        </w:rPr>
        <w:t>39</w:t>
      </w:r>
      <w:r>
        <w:rPr>
          <w:lang w:eastAsia="ja-JP"/>
        </w:rPr>
        <w:fldChar w:fldCharType="end"/>
      </w:r>
      <w:r>
        <w:rPr>
          <w:lang w:eastAsia="ja-JP"/>
        </w:rPr>
        <w:t>) or a patient</w:t>
      </w:r>
      <w:r w:rsidRPr="001A35EC">
        <w:rPr>
          <w:lang w:eastAsia="ja-JP"/>
        </w:rPr>
        <w:t xml:space="preserve"> who has ≥6 documented treated bleeds in the last 24 weeks or ≥12 treated bleeds during the 52 weeks before screening.</w:t>
      </w:r>
    </w:p>
    <w:p w14:paraId="3F5D7A7D" w14:textId="77777777" w:rsidR="00D267BC" w:rsidRPr="00A47176" w:rsidRDefault="00D267BC" w:rsidP="00D267BC">
      <w:pPr>
        <w:pStyle w:val="TableDescription"/>
        <w:widowControl w:val="0"/>
        <w:numPr>
          <w:ilvl w:val="0"/>
          <w:numId w:val="22"/>
        </w:numPr>
        <w:spacing w:after="0"/>
        <w:rPr>
          <w:lang w:eastAsia="ja-JP"/>
        </w:rPr>
      </w:pPr>
      <w:r>
        <w:t>History, or c</w:t>
      </w:r>
      <w:r w:rsidRPr="00A47176">
        <w:rPr>
          <w:lang w:eastAsia="ja-JP"/>
        </w:rPr>
        <w:t>urrent clinical signs of</w:t>
      </w:r>
      <w:r>
        <w:rPr>
          <w:lang w:eastAsia="ja-JP"/>
        </w:rPr>
        <w:t xml:space="preserve"> (</w:t>
      </w:r>
      <w:r w:rsidRPr="00A47176">
        <w:rPr>
          <w:lang w:eastAsia="ja-JP"/>
        </w:rPr>
        <w:t>or treatment for</w:t>
      </w:r>
      <w:r>
        <w:rPr>
          <w:lang w:eastAsia="ja-JP"/>
        </w:rPr>
        <w:t>)</w:t>
      </w:r>
      <w:r w:rsidRPr="00A47176">
        <w:rPr>
          <w:lang w:eastAsia="ja-JP"/>
        </w:rPr>
        <w:t xml:space="preserve"> </w:t>
      </w:r>
      <w:r w:rsidRPr="00A47176">
        <w:t xml:space="preserve">arterial </w:t>
      </w:r>
      <w:r>
        <w:t>or</w:t>
      </w:r>
      <w:r w:rsidRPr="00A47176">
        <w:t xml:space="preserve"> venous thrombosis including myocardial infarction, pulmonary embolism, cerebral infarction/thrombosis, deep vein thrombosis, other clinically significant thromboembolic </w:t>
      </w:r>
      <w:proofErr w:type="gramStart"/>
      <w:r w:rsidRPr="00A47176">
        <w:t>events</w:t>
      </w:r>
      <w:proofErr w:type="gramEnd"/>
      <w:r w:rsidRPr="00A47176">
        <w:t xml:space="preserve"> and peripheral artery occlusion</w:t>
      </w:r>
      <w:r>
        <w:t>.</w:t>
      </w:r>
    </w:p>
    <w:p w14:paraId="0030D3FF" w14:textId="77777777" w:rsidR="00D267BC" w:rsidRDefault="00D267BC" w:rsidP="00D267BC">
      <w:pPr>
        <w:pStyle w:val="TableDescription"/>
        <w:widowControl w:val="0"/>
        <w:numPr>
          <w:ilvl w:val="0"/>
          <w:numId w:val="22"/>
        </w:numPr>
        <w:spacing w:after="0"/>
        <w:rPr>
          <w:lang w:eastAsia="ja-JP"/>
        </w:rPr>
      </w:pPr>
      <w:r w:rsidRPr="00A47176">
        <w:rPr>
          <w:lang w:eastAsia="ja-JP"/>
        </w:rPr>
        <w:t>Patients who in the judgement of the investigator are considered at high risk of thromboembolic events. Thromboembolic risk factors could include, but are not limited to, hypercholesterolemia, diabetes mellitus, hypertension, obesity, smoking, family history of thromboembolic events, arteriosclerosis, other conditions associated with increased risk of thromboembolic events.</w:t>
      </w:r>
    </w:p>
    <w:p w14:paraId="6C419528" w14:textId="66C58F98" w:rsidR="00D267BC" w:rsidRDefault="00D267BC" w:rsidP="00D267BC">
      <w:pPr>
        <w:pStyle w:val="TableDescription"/>
        <w:widowControl w:val="0"/>
        <w:numPr>
          <w:ilvl w:val="0"/>
          <w:numId w:val="22"/>
        </w:numPr>
        <w:spacing w:after="0"/>
        <w:rPr>
          <w:lang w:eastAsia="ja-JP"/>
        </w:rPr>
      </w:pPr>
      <w:r>
        <w:rPr>
          <w:lang w:eastAsia="ja-JP"/>
        </w:rPr>
        <w:t xml:space="preserve">Subjects who were randomised to Arm 1 continued their existing on-demand treatment with their usual bypassing agent product – </w:t>
      </w:r>
      <w:r w:rsidR="00A3617F">
        <w:rPr>
          <w:lang w:eastAsia="ja-JP"/>
        </w:rPr>
        <w:t>that is</w:t>
      </w:r>
      <w:r>
        <w:rPr>
          <w:lang w:eastAsia="ja-JP"/>
        </w:rPr>
        <w:t xml:space="preserve">. this was not supplied by the </w:t>
      </w:r>
      <w:r w:rsidR="00A3617F">
        <w:rPr>
          <w:lang w:eastAsia="ja-JP"/>
        </w:rPr>
        <w:t>s</w:t>
      </w:r>
      <w:r>
        <w:rPr>
          <w:lang w:eastAsia="ja-JP"/>
        </w:rPr>
        <w:t>ponsor.</w:t>
      </w:r>
    </w:p>
    <w:p w14:paraId="531E40EA" w14:textId="50B7369A" w:rsidR="0078639B" w:rsidRPr="0078639B" w:rsidRDefault="0078639B" w:rsidP="0078639B">
      <w:pPr>
        <w:pStyle w:val="Heading7"/>
      </w:pPr>
      <w:bookmarkStart w:id="82" w:name="_Study_pause_and_1"/>
      <w:bookmarkStart w:id="83" w:name="_Ref126572357"/>
      <w:bookmarkStart w:id="84" w:name="_Ref126579607"/>
      <w:bookmarkEnd w:id="82"/>
      <w:r w:rsidRPr="0078639B">
        <w:t xml:space="preserve">Study </w:t>
      </w:r>
      <w:proofErr w:type="gramStart"/>
      <w:r w:rsidRPr="0078639B">
        <w:t>pause</w:t>
      </w:r>
      <w:bookmarkEnd w:id="83"/>
      <w:proofErr w:type="gramEnd"/>
      <w:r w:rsidRPr="0078639B">
        <w:t xml:space="preserve"> and changes to protocol</w:t>
      </w:r>
      <w:bookmarkEnd w:id="84"/>
      <w:r w:rsidR="0048603E">
        <w:fldChar w:fldCharType="begin"/>
      </w:r>
      <w:r w:rsidR="0048603E">
        <w:instrText xml:space="preserve"> DOCVARIABLE vault_nd_bc78f3f1-f8c3-4e8b-97c0-5e46de9e6107 \* MERGEFORMAT </w:instrText>
      </w:r>
      <w:r w:rsidR="0048603E">
        <w:fldChar w:fldCharType="separate"/>
      </w:r>
      <w:r w:rsidR="001B5D20">
        <w:t xml:space="preserve"> </w:t>
      </w:r>
      <w:r w:rsidR="0048603E">
        <w:fldChar w:fldCharType="end"/>
      </w:r>
    </w:p>
    <w:p w14:paraId="4AAD461F" w14:textId="3FEE979D" w:rsidR="0078639B" w:rsidRPr="0078639B" w:rsidRDefault="0078639B" w:rsidP="0078639B">
      <w:r w:rsidRPr="0078639B">
        <w:t>The clinical development program, including explorer7, was paused between 16 M</w:t>
      </w:r>
      <w:r>
        <w:t>arch</w:t>
      </w:r>
      <w:r w:rsidRPr="0078639B">
        <w:t xml:space="preserve"> 2020 and 30 </w:t>
      </w:r>
      <w:r>
        <w:t>September</w:t>
      </w:r>
      <w:r w:rsidRPr="0078639B">
        <w:t xml:space="preserve"> 2020 (approximately 6.5 months) while a safety issue relating to thromboembolic events was investigated (see</w:t>
      </w:r>
      <w:r>
        <w:t xml:space="preserve"> </w:t>
      </w:r>
      <w:r w:rsidR="002523A3" w:rsidRPr="002523A3">
        <w:rPr>
          <w:highlight w:val="yellow"/>
        </w:rPr>
        <w:fldChar w:fldCharType="begin"/>
      </w:r>
      <w:r w:rsidR="002523A3" w:rsidRPr="002523A3">
        <w:instrText xml:space="preserve"> REF _Ref159851602 \h </w:instrText>
      </w:r>
      <w:r w:rsidR="002523A3" w:rsidRPr="002523A3">
        <w:rPr>
          <w:highlight w:val="yellow"/>
        </w:rPr>
        <w:instrText xml:space="preserve"> \* MERGEFORMAT </w:instrText>
      </w:r>
      <w:r w:rsidR="002523A3" w:rsidRPr="002523A3">
        <w:rPr>
          <w:highlight w:val="yellow"/>
        </w:rPr>
      </w:r>
      <w:r w:rsidR="002523A3" w:rsidRPr="002523A3">
        <w:rPr>
          <w:highlight w:val="yellow"/>
        </w:rPr>
        <w:fldChar w:fldCharType="separate"/>
      </w:r>
      <w:r w:rsidR="001B5D20">
        <w:t>Thromboembolic events</w:t>
      </w:r>
      <w:r w:rsidR="002523A3" w:rsidRPr="002523A3">
        <w:rPr>
          <w:highlight w:val="yellow"/>
        </w:rPr>
        <w:fldChar w:fldCharType="end"/>
      </w:r>
      <w:r>
        <w:t>).</w:t>
      </w:r>
    </w:p>
    <w:p w14:paraId="7467E96D" w14:textId="2DEA78E9" w:rsidR="0078639B" w:rsidRPr="00A3617F" w:rsidRDefault="0078639B" w:rsidP="00A3617F">
      <w:r w:rsidRPr="00A3617F">
        <w:t>As a result of the investigations, changes were made to protocol recommendations regarding use of bypassing agents to treat bleeds, as well as to the concizumab dose regimen (see</w:t>
      </w:r>
      <w:r w:rsidR="00A3617F">
        <w:t xml:space="preserve"> </w:t>
      </w:r>
      <w:r w:rsidR="005715BC">
        <w:fldChar w:fldCharType="begin"/>
      </w:r>
      <w:r w:rsidR="005715BC">
        <w:instrText xml:space="preserve"> REF _Ref126573513 \h </w:instrText>
      </w:r>
      <w:r w:rsidR="005715BC">
        <w:fldChar w:fldCharType="separate"/>
      </w:r>
      <w:r w:rsidR="001B5D20" w:rsidRPr="00097F1E">
        <w:t xml:space="preserve">Study pause and changes to </w:t>
      </w:r>
      <w:r w:rsidR="001B5D20">
        <w:t>P</w:t>
      </w:r>
      <w:r w:rsidR="001B5D20" w:rsidRPr="00097F1E">
        <w:t xml:space="preserve">hase </w:t>
      </w:r>
      <w:r w:rsidR="001B5D20">
        <w:t>III</w:t>
      </w:r>
      <w:r w:rsidR="001B5D20" w:rsidRPr="00097F1E">
        <w:t xml:space="preserve"> dosing</w:t>
      </w:r>
      <w:r w:rsidR="005715BC">
        <w:fldChar w:fldCharType="end"/>
      </w:r>
      <w:r w:rsidRPr="00A3617F">
        <w:t>),</w:t>
      </w:r>
      <w:r w:rsidR="00A3617F" w:rsidRPr="00A3617F">
        <w:t xml:space="preserve"> </w:t>
      </w:r>
      <w:r w:rsidRPr="00A3617F">
        <w:t xml:space="preserve">as summarised in </w:t>
      </w:r>
      <w:r w:rsidRPr="00A3617F">
        <w:fldChar w:fldCharType="begin"/>
      </w:r>
      <w:r w:rsidRPr="00A3617F">
        <w:instrText xml:space="preserve"> REF _Ref149641924 \h </w:instrText>
      </w:r>
      <w:r w:rsidR="00A3617F">
        <w:instrText xml:space="preserve"> \* MERGEFORMAT </w:instrText>
      </w:r>
      <w:r w:rsidRPr="00A3617F">
        <w:fldChar w:fldCharType="separate"/>
      </w:r>
      <w:r w:rsidR="001B5D20" w:rsidRPr="0078639B">
        <w:t xml:space="preserve">Table </w:t>
      </w:r>
      <w:r w:rsidR="001B5D20">
        <w:t>6</w:t>
      </w:r>
      <w:r w:rsidRPr="00A3617F">
        <w:fldChar w:fldCharType="end"/>
      </w:r>
      <w:r w:rsidRPr="00A3617F">
        <w:t>. The sponsor also provided additional training to study site staff and developed new patient material. These included guidance on the need to involve investigators in decisions regarding prolonged treatment of bleeding episodes, to eliminate unnecessary prolonged dosing.</w:t>
      </w:r>
    </w:p>
    <w:p w14:paraId="06DCC292" w14:textId="4175BBE7" w:rsidR="00D267BC" w:rsidRDefault="0078639B" w:rsidP="0078639B">
      <w:pPr>
        <w:pStyle w:val="TableTitle"/>
      </w:pPr>
      <w:bookmarkStart w:id="85" w:name="_Ref149641924"/>
      <w:r w:rsidRPr="0078639B">
        <w:t xml:space="preserve">Table </w:t>
      </w:r>
      <w:r w:rsidR="00572F9F">
        <w:fldChar w:fldCharType="begin"/>
      </w:r>
      <w:r w:rsidR="00572F9F">
        <w:instrText xml:space="preserve"> SEQ Table \* ARABIC </w:instrText>
      </w:r>
      <w:r w:rsidR="00572F9F">
        <w:fldChar w:fldCharType="separate"/>
      </w:r>
      <w:r w:rsidR="001B5D20">
        <w:rPr>
          <w:noProof/>
        </w:rPr>
        <w:t>6</w:t>
      </w:r>
      <w:r w:rsidR="00572F9F">
        <w:rPr>
          <w:noProof/>
        </w:rPr>
        <w:fldChar w:fldCharType="end"/>
      </w:r>
      <w:bookmarkEnd w:id="85"/>
      <w:r w:rsidRPr="0078639B">
        <w:t>:</w:t>
      </w:r>
      <w:r>
        <w:t xml:space="preserve"> Changes to concizumab </w:t>
      </w:r>
      <w:r w:rsidR="00A3617F">
        <w:rPr>
          <w:lang w:eastAsia="ja-JP"/>
        </w:rPr>
        <w:t>prophylaxis</w:t>
      </w:r>
      <w:r>
        <w:t xml:space="preserve"> dose regimen, and protocol guidance on bypassing agents before and after the treatment pause</w:t>
      </w:r>
      <w:r w:rsidR="00572F9F">
        <w:fldChar w:fldCharType="begin"/>
      </w:r>
      <w:r w:rsidR="00572F9F">
        <w:instrText xml:space="preserve"> DOCVARIABLE vault_nd_ba35f46a-d8ce-4708-86b3-3409fab0991b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1370"/>
        <w:gridCol w:w="2789"/>
        <w:gridCol w:w="4669"/>
      </w:tblGrid>
      <w:tr w:rsidR="0078639B" w:rsidRPr="0078639B" w14:paraId="0A8D5BAD" w14:textId="77777777" w:rsidTr="0078639B">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370" w:type="dxa"/>
          </w:tcPr>
          <w:p w14:paraId="4BC8D7C4" w14:textId="77777777" w:rsidR="0078639B" w:rsidRPr="0078639B" w:rsidRDefault="0078639B">
            <w:pPr>
              <w:keepNext w:val="0"/>
              <w:keepLines/>
              <w:widowControl w:val="0"/>
              <w:spacing w:before="0" w:after="0" w:line="240" w:lineRule="auto"/>
              <w:ind w:left="0"/>
              <w:jc w:val="center"/>
              <w:rPr>
                <w:sz w:val="20"/>
                <w:szCs w:val="20"/>
              </w:rPr>
            </w:pPr>
          </w:p>
        </w:tc>
        <w:tc>
          <w:tcPr>
            <w:tcW w:w="2789" w:type="dxa"/>
          </w:tcPr>
          <w:p w14:paraId="730A5F94" w14:textId="77777777" w:rsidR="0078639B" w:rsidRPr="0078639B" w:rsidRDefault="0078639B">
            <w:pPr>
              <w:keepNext w:val="0"/>
              <w:keepLines/>
              <w:widowControl w:val="0"/>
              <w:spacing w:before="0" w:after="0" w:line="240" w:lineRule="auto"/>
              <w:ind w:left="0"/>
              <w:cnfStyle w:val="100000000000" w:firstRow="1" w:lastRow="0" w:firstColumn="0" w:lastColumn="0" w:oddVBand="0" w:evenVBand="0" w:oddHBand="0" w:evenHBand="0" w:firstRowFirstColumn="0" w:firstRowLastColumn="0" w:lastRowFirstColumn="0" w:lastRowLastColumn="0"/>
              <w:rPr>
                <w:sz w:val="20"/>
                <w:szCs w:val="20"/>
              </w:rPr>
            </w:pPr>
            <w:r w:rsidRPr="0078639B">
              <w:rPr>
                <w:sz w:val="20"/>
                <w:szCs w:val="20"/>
              </w:rPr>
              <w:t>Concizumab PPX dose regimen</w:t>
            </w:r>
          </w:p>
        </w:tc>
        <w:tc>
          <w:tcPr>
            <w:tcW w:w="4669" w:type="dxa"/>
          </w:tcPr>
          <w:p w14:paraId="7001A7C0" w14:textId="77777777" w:rsidR="0078639B" w:rsidRPr="0078639B" w:rsidRDefault="0078639B">
            <w:pPr>
              <w:keepNext w:val="0"/>
              <w:keepLines/>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8639B">
              <w:rPr>
                <w:sz w:val="20"/>
                <w:szCs w:val="20"/>
              </w:rPr>
              <w:t>Protocol guidance on bypassing agents</w:t>
            </w:r>
          </w:p>
        </w:tc>
      </w:tr>
      <w:tr w:rsidR="0078639B" w:rsidRPr="0078639B" w14:paraId="0077EDA0" w14:textId="77777777" w:rsidTr="0078639B">
        <w:trPr>
          <w:trHeight w:val="3674"/>
        </w:trPr>
        <w:tc>
          <w:tcPr>
            <w:cnfStyle w:val="001000000000" w:firstRow="0" w:lastRow="0" w:firstColumn="1" w:lastColumn="0" w:oddVBand="0" w:evenVBand="0" w:oddHBand="0" w:evenHBand="0" w:firstRowFirstColumn="0" w:firstRowLastColumn="0" w:lastRowFirstColumn="0" w:lastRowLastColumn="0"/>
            <w:tcW w:w="1370" w:type="dxa"/>
          </w:tcPr>
          <w:p w14:paraId="6C02B71D" w14:textId="15ADEBB9" w:rsidR="0078639B" w:rsidRPr="0078639B" w:rsidRDefault="0078639B">
            <w:pPr>
              <w:keepLines/>
              <w:widowControl w:val="0"/>
              <w:spacing w:before="0" w:after="0" w:line="240" w:lineRule="auto"/>
              <w:ind w:left="0"/>
              <w:rPr>
                <w:b/>
                <w:bCs/>
                <w:sz w:val="20"/>
                <w:szCs w:val="20"/>
              </w:rPr>
            </w:pPr>
            <w:r w:rsidRPr="0078639B">
              <w:rPr>
                <w:b/>
                <w:bCs/>
                <w:sz w:val="20"/>
                <w:szCs w:val="20"/>
                <w:lang w:eastAsia="ja-JP"/>
              </w:rPr>
              <w:t>Prior to the treatment pause</w:t>
            </w:r>
            <w:r w:rsidRPr="0078639B">
              <w:rPr>
                <w:b/>
                <w:bCs/>
                <w:sz w:val="20"/>
                <w:szCs w:val="20"/>
              </w:rPr>
              <w:t xml:space="preserve"> (</w:t>
            </w:r>
            <w:r w:rsidR="00A3617F">
              <w:rPr>
                <w:b/>
                <w:bCs/>
                <w:sz w:val="20"/>
                <w:szCs w:val="20"/>
              </w:rPr>
              <w:t>‘</w:t>
            </w:r>
            <w:r w:rsidRPr="0078639B">
              <w:rPr>
                <w:b/>
                <w:bCs/>
                <w:sz w:val="20"/>
                <w:szCs w:val="20"/>
              </w:rPr>
              <w:t>pre-pause</w:t>
            </w:r>
            <w:r w:rsidR="00A3617F">
              <w:rPr>
                <w:b/>
                <w:bCs/>
                <w:sz w:val="20"/>
                <w:szCs w:val="20"/>
              </w:rPr>
              <w:t>’</w:t>
            </w:r>
            <w:r w:rsidRPr="0078639B">
              <w:rPr>
                <w:b/>
                <w:bCs/>
                <w:sz w:val="20"/>
                <w:szCs w:val="20"/>
              </w:rPr>
              <w:t>)</w:t>
            </w:r>
          </w:p>
        </w:tc>
        <w:tc>
          <w:tcPr>
            <w:tcW w:w="2789" w:type="dxa"/>
          </w:tcPr>
          <w:p w14:paraId="3F37C760"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Loading dose (Day 1</w:t>
            </w:r>
            <w:proofErr w:type="gramStart"/>
            <w:r w:rsidRPr="0078639B">
              <w:rPr>
                <w:sz w:val="20"/>
                <w:szCs w:val="20"/>
                <w:lang w:eastAsia="ja-JP"/>
              </w:rPr>
              <w:t>):*</w:t>
            </w:r>
            <w:proofErr w:type="gramEnd"/>
          </w:p>
          <w:p w14:paraId="59E880D2"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 xml:space="preserve">1.0 mg/kg SC </w:t>
            </w:r>
          </w:p>
          <w:p w14:paraId="47A2D50D"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4CD4289E"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val="en-GB"/>
              </w:rPr>
            </w:pPr>
            <w:r w:rsidRPr="0078639B">
              <w:rPr>
                <w:sz w:val="20"/>
                <w:szCs w:val="20"/>
                <w:lang w:eastAsia="ja-JP"/>
              </w:rPr>
              <w:t xml:space="preserve">Maintenance dose (Day 2 onwards): </w:t>
            </w:r>
            <w:r w:rsidRPr="0078639B">
              <w:rPr>
                <w:b/>
                <w:bCs/>
                <w:sz w:val="20"/>
                <w:szCs w:val="20"/>
                <w:lang w:eastAsia="ja-JP"/>
              </w:rPr>
              <w:t>0.25 mg/kg</w:t>
            </w:r>
            <w:r w:rsidRPr="0078639B">
              <w:rPr>
                <w:sz w:val="20"/>
                <w:szCs w:val="20"/>
                <w:lang w:eastAsia="ja-JP"/>
              </w:rPr>
              <w:t xml:space="preserve"> SC daily </w:t>
            </w:r>
          </w:p>
        </w:tc>
        <w:tc>
          <w:tcPr>
            <w:tcW w:w="4669" w:type="dxa"/>
          </w:tcPr>
          <w:p w14:paraId="02270786"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 xml:space="preserve">Treatment of bleeding episodes was at the discretion of the investigator, in accordance with local standards, and local prescribing information for bypassing agents, with the following limits: </w:t>
            </w:r>
          </w:p>
          <w:p w14:paraId="2E585627"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14803CDC" w14:textId="77777777" w:rsidR="00676791" w:rsidRDefault="0078639B" w:rsidP="0078639B">
            <w:pPr>
              <w:pStyle w:val="ListParagraph"/>
              <w:keepLines/>
              <w:widowControl w:val="0"/>
              <w:numPr>
                <w:ilvl w:val="0"/>
                <w:numId w:val="23"/>
              </w:numPr>
              <w:adjustRightInd w:val="0"/>
              <w:snapToGrid w:val="0"/>
              <w:spacing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8639B">
              <w:rPr>
                <w:rFonts w:ascii="Cambria" w:hAnsi="Cambria"/>
                <w:sz w:val="20"/>
                <w:szCs w:val="20"/>
              </w:rPr>
              <w:t xml:space="preserve">For </w:t>
            </w:r>
            <w:proofErr w:type="spellStart"/>
            <w:r w:rsidRPr="0078639B">
              <w:rPr>
                <w:rFonts w:ascii="Cambria" w:hAnsi="Cambria"/>
                <w:sz w:val="20"/>
                <w:szCs w:val="20"/>
              </w:rPr>
              <w:t>aPCC</w:t>
            </w:r>
            <w:proofErr w:type="spellEnd"/>
            <w:r w:rsidRPr="0078639B">
              <w:rPr>
                <w:rFonts w:ascii="Cambria" w:hAnsi="Cambria"/>
                <w:sz w:val="20"/>
                <w:szCs w:val="20"/>
              </w:rPr>
              <w:t>, should not exceed 50 U/kg for a single dose, or 100 U/kg within 24 hours</w:t>
            </w:r>
            <w:r w:rsidR="00676791">
              <w:rPr>
                <w:rFonts w:ascii="Cambria" w:hAnsi="Cambria"/>
                <w:sz w:val="20"/>
                <w:szCs w:val="20"/>
              </w:rPr>
              <w:t>.</w:t>
            </w:r>
          </w:p>
          <w:p w14:paraId="7C6B01E8" w14:textId="2FA97F2A"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30351BCA" w14:textId="77777777" w:rsidR="0078639B" w:rsidRPr="0078639B" w:rsidRDefault="0078639B" w:rsidP="0078639B">
            <w:pPr>
              <w:pStyle w:val="ListParagraph"/>
              <w:keepLines/>
              <w:widowControl w:val="0"/>
              <w:numPr>
                <w:ilvl w:val="0"/>
                <w:numId w:val="23"/>
              </w:numPr>
              <w:adjustRightInd w:val="0"/>
              <w:snapToGrid w:val="0"/>
              <w:spacing w:before="0" w:after="0" w:line="240" w:lineRule="auto"/>
              <w:ind w:right="170"/>
              <w:cnfStyle w:val="000000000000" w:firstRow="0" w:lastRow="0" w:firstColumn="0" w:lastColumn="0" w:oddVBand="0" w:evenVBand="0" w:oddHBand="0" w:evenHBand="0" w:firstRowFirstColumn="0" w:firstRowLastColumn="0" w:lastRowFirstColumn="0" w:lastRowLastColumn="0"/>
              <w:rPr>
                <w:rFonts w:ascii="Cambria" w:hAnsi="Cambria"/>
                <w:sz w:val="20"/>
                <w:szCs w:val="20"/>
              </w:rPr>
            </w:pPr>
            <w:r w:rsidRPr="0078639B">
              <w:rPr>
                <w:rFonts w:ascii="Cambria" w:hAnsi="Cambria"/>
                <w:sz w:val="20"/>
                <w:szCs w:val="20"/>
              </w:rPr>
              <w:t xml:space="preserve">For </w:t>
            </w:r>
            <w:proofErr w:type="spellStart"/>
            <w:r w:rsidRPr="0078639B">
              <w:rPr>
                <w:rFonts w:ascii="Cambria" w:hAnsi="Cambria"/>
                <w:sz w:val="20"/>
                <w:szCs w:val="20"/>
              </w:rPr>
              <w:t>ByClot</w:t>
            </w:r>
            <w:proofErr w:type="spellEnd"/>
            <w:r w:rsidRPr="0078639B">
              <w:rPr>
                <w:rFonts w:ascii="Cambria" w:hAnsi="Cambria"/>
                <w:sz w:val="20"/>
                <w:szCs w:val="20"/>
                <w:vertAlign w:val="superscript"/>
              </w:rPr>
              <w:t>®</w:t>
            </w:r>
            <w:r w:rsidRPr="0078639B">
              <w:rPr>
                <w:rFonts w:ascii="Cambria" w:hAnsi="Cambria"/>
                <w:sz w:val="20"/>
                <w:szCs w:val="20"/>
              </w:rPr>
              <w:t xml:space="preserve"> (a plasma-derived bypassing agent containing </w:t>
            </w:r>
            <w:proofErr w:type="spellStart"/>
            <w:r w:rsidRPr="0078639B">
              <w:rPr>
                <w:rFonts w:ascii="Cambria" w:hAnsi="Cambria"/>
                <w:sz w:val="20"/>
                <w:szCs w:val="20"/>
              </w:rPr>
              <w:t>fVIIa</w:t>
            </w:r>
            <w:proofErr w:type="spellEnd"/>
            <w:r w:rsidRPr="0078639B">
              <w:rPr>
                <w:rFonts w:ascii="Cambria" w:hAnsi="Cambria"/>
                <w:sz w:val="20"/>
                <w:szCs w:val="20"/>
              </w:rPr>
              <w:t xml:space="preserve"> and FX), should not exceed 60 </w:t>
            </w:r>
            <w:proofErr w:type="spellStart"/>
            <w:r w:rsidRPr="0078639B">
              <w:rPr>
                <w:rFonts w:ascii="Cambria" w:hAnsi="Cambria"/>
                <w:sz w:val="20"/>
                <w:szCs w:val="20"/>
              </w:rPr>
              <w:t>μg</w:t>
            </w:r>
            <w:proofErr w:type="spellEnd"/>
            <w:r w:rsidRPr="0078639B">
              <w:rPr>
                <w:rFonts w:ascii="Cambria" w:hAnsi="Cambria"/>
                <w:sz w:val="20"/>
                <w:szCs w:val="20"/>
              </w:rPr>
              <w:t xml:space="preserve">/kg for a single dose, or 90 </w:t>
            </w:r>
            <w:proofErr w:type="spellStart"/>
            <w:r w:rsidRPr="0078639B">
              <w:rPr>
                <w:rFonts w:ascii="Cambria" w:hAnsi="Cambria"/>
                <w:sz w:val="20"/>
                <w:szCs w:val="20"/>
              </w:rPr>
              <w:t>μg</w:t>
            </w:r>
            <w:proofErr w:type="spellEnd"/>
            <w:r w:rsidRPr="0078639B">
              <w:rPr>
                <w:rFonts w:ascii="Cambria" w:hAnsi="Cambria"/>
                <w:sz w:val="20"/>
                <w:szCs w:val="20"/>
              </w:rPr>
              <w:t>/kg within 24 hours</w:t>
            </w:r>
          </w:p>
        </w:tc>
      </w:tr>
      <w:tr w:rsidR="0078639B" w:rsidRPr="0078639B" w14:paraId="00222A9C" w14:textId="77777777" w:rsidTr="0078639B">
        <w:trPr>
          <w:trHeight w:val="2729"/>
        </w:trPr>
        <w:tc>
          <w:tcPr>
            <w:cnfStyle w:val="001000000000" w:firstRow="0" w:lastRow="0" w:firstColumn="1" w:lastColumn="0" w:oddVBand="0" w:evenVBand="0" w:oddHBand="0" w:evenHBand="0" w:firstRowFirstColumn="0" w:firstRowLastColumn="0" w:lastRowFirstColumn="0" w:lastRowLastColumn="0"/>
            <w:tcW w:w="1370" w:type="dxa"/>
          </w:tcPr>
          <w:p w14:paraId="13E3D36B" w14:textId="0AF94776" w:rsidR="0078639B" w:rsidRPr="0078639B" w:rsidRDefault="0078639B">
            <w:pPr>
              <w:keepLines/>
              <w:widowControl w:val="0"/>
              <w:spacing w:before="0" w:after="0" w:line="240" w:lineRule="auto"/>
              <w:ind w:left="0"/>
              <w:rPr>
                <w:b/>
                <w:bCs/>
                <w:sz w:val="20"/>
                <w:szCs w:val="20"/>
              </w:rPr>
            </w:pPr>
            <w:r w:rsidRPr="0078639B">
              <w:rPr>
                <w:b/>
                <w:bCs/>
                <w:sz w:val="20"/>
                <w:szCs w:val="20"/>
                <w:lang w:eastAsia="ja-JP"/>
              </w:rPr>
              <w:lastRenderedPageBreak/>
              <w:t>After the treatment pause (</w:t>
            </w:r>
            <w:r w:rsidR="00A3617F">
              <w:rPr>
                <w:b/>
                <w:bCs/>
                <w:sz w:val="20"/>
                <w:szCs w:val="20"/>
                <w:lang w:eastAsia="ja-JP"/>
              </w:rPr>
              <w:t>‘</w:t>
            </w:r>
            <w:r w:rsidRPr="0078639B">
              <w:rPr>
                <w:b/>
                <w:bCs/>
                <w:sz w:val="20"/>
                <w:szCs w:val="20"/>
                <w:lang w:eastAsia="ja-JP"/>
              </w:rPr>
              <w:t>post-pause</w:t>
            </w:r>
            <w:r w:rsidR="00A3617F">
              <w:rPr>
                <w:b/>
                <w:bCs/>
                <w:sz w:val="20"/>
                <w:szCs w:val="20"/>
                <w:lang w:eastAsia="ja-JP"/>
              </w:rPr>
              <w:t>’</w:t>
            </w:r>
            <w:r w:rsidRPr="0078639B">
              <w:rPr>
                <w:b/>
                <w:bCs/>
                <w:sz w:val="20"/>
                <w:szCs w:val="20"/>
                <w:lang w:eastAsia="ja-JP"/>
              </w:rPr>
              <w:t>)</w:t>
            </w:r>
          </w:p>
        </w:tc>
        <w:tc>
          <w:tcPr>
            <w:tcW w:w="2789" w:type="dxa"/>
          </w:tcPr>
          <w:p w14:paraId="26325D81"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Loading dose (Day 1</w:t>
            </w:r>
            <w:proofErr w:type="gramStart"/>
            <w:r w:rsidRPr="0078639B">
              <w:rPr>
                <w:sz w:val="20"/>
                <w:szCs w:val="20"/>
                <w:lang w:eastAsia="ja-JP"/>
              </w:rPr>
              <w:t>):*</w:t>
            </w:r>
            <w:proofErr w:type="gramEnd"/>
          </w:p>
          <w:p w14:paraId="7539F497"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 xml:space="preserve">1.0 mg/kg SC </w:t>
            </w:r>
          </w:p>
          <w:p w14:paraId="4B693B6E"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1F19C2DB" w14:textId="77777777" w:rsidR="0078639B" w:rsidRPr="0078639B" w:rsidRDefault="0078639B" w:rsidP="0078639B">
            <w:pPr>
              <w:keepLines/>
              <w:widowControl w:val="0"/>
              <w:numPr>
                <w:ilvl w:val="0"/>
                <w:numId w:val="20"/>
              </w:numPr>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 xml:space="preserve">Maintenance dose (Day 2 - ~Day 28): </w:t>
            </w:r>
            <w:r w:rsidRPr="0078639B">
              <w:rPr>
                <w:b/>
                <w:bCs/>
                <w:sz w:val="20"/>
                <w:szCs w:val="20"/>
                <w:lang w:eastAsia="ja-JP"/>
              </w:rPr>
              <w:t>0.20 mg/kg</w:t>
            </w:r>
            <w:r w:rsidRPr="0078639B">
              <w:rPr>
                <w:sz w:val="20"/>
                <w:szCs w:val="20"/>
                <w:lang w:eastAsia="ja-JP"/>
              </w:rPr>
              <w:t xml:space="preserve"> SC daily </w:t>
            </w:r>
          </w:p>
          <w:p w14:paraId="3A550182" w14:textId="77777777" w:rsidR="0078639B" w:rsidRPr="0078639B" w:rsidRDefault="0078639B" w:rsidP="0078639B">
            <w:pPr>
              <w:keepLines/>
              <w:widowControl w:val="0"/>
              <w:numPr>
                <w:ilvl w:val="0"/>
                <w:numId w:val="20"/>
              </w:numPr>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6A27A9AC" w14:textId="77777777" w:rsidR="0078639B" w:rsidRPr="0078639B" w:rsidRDefault="0078639B" w:rsidP="0078639B">
            <w:pPr>
              <w:keepLines/>
              <w:widowControl w:val="0"/>
              <w:numPr>
                <w:ilvl w:val="0"/>
                <w:numId w:val="20"/>
              </w:numPr>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Selected maintenance dose (Day ~29 onwards):</w:t>
            </w:r>
          </w:p>
          <w:p w14:paraId="0EA51656" w14:textId="08DA120B" w:rsidR="0078639B" w:rsidRPr="0078639B" w:rsidRDefault="0078639B" w:rsidP="0078639B">
            <w:pPr>
              <w:keepLines/>
              <w:widowControl w:val="0"/>
              <w:numPr>
                <w:ilvl w:val="0"/>
                <w:numId w:val="20"/>
              </w:numPr>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See</w:t>
            </w:r>
            <w:r w:rsidR="00062F26">
              <w:rPr>
                <w:sz w:val="20"/>
                <w:szCs w:val="20"/>
                <w:lang w:eastAsia="ja-JP"/>
              </w:rPr>
              <w:t xml:space="preserve"> </w:t>
            </w:r>
            <w:r w:rsidR="000A0DA2">
              <w:rPr>
                <w:sz w:val="20"/>
                <w:lang w:eastAsia="ja-JP"/>
              </w:rPr>
              <w:fldChar w:fldCharType="begin"/>
            </w:r>
            <w:r w:rsidR="000A0DA2">
              <w:rPr>
                <w:sz w:val="20"/>
                <w:lang w:eastAsia="ja-JP"/>
              </w:rPr>
              <w:instrText xml:space="preserve"> REF _Ref149639566 \h </w:instrText>
            </w:r>
            <w:r w:rsidR="000A0DA2">
              <w:rPr>
                <w:sz w:val="20"/>
                <w:lang w:eastAsia="ja-JP"/>
              </w:rPr>
            </w:r>
            <w:r w:rsidR="000A0DA2">
              <w:rPr>
                <w:sz w:val="20"/>
                <w:lang w:eastAsia="ja-JP"/>
              </w:rPr>
              <w:fldChar w:fldCharType="separate"/>
            </w:r>
            <w:r w:rsidR="001B5D20" w:rsidRPr="00061912">
              <w:t xml:space="preserve">Table </w:t>
            </w:r>
            <w:r w:rsidR="001B5D20">
              <w:rPr>
                <w:noProof/>
              </w:rPr>
              <w:t>3</w:t>
            </w:r>
            <w:r w:rsidR="000A0DA2">
              <w:rPr>
                <w:sz w:val="20"/>
                <w:lang w:eastAsia="ja-JP"/>
              </w:rPr>
              <w:fldChar w:fldCharType="end"/>
            </w:r>
            <w:r w:rsidRPr="0078639B">
              <w:rPr>
                <w:sz w:val="20"/>
                <w:szCs w:val="20"/>
                <w:lang w:eastAsia="ja-JP"/>
              </w:rPr>
              <w:t>.**</w:t>
            </w:r>
          </w:p>
          <w:p w14:paraId="6E569577" w14:textId="77777777" w:rsidR="0078639B" w:rsidRPr="0078639B" w:rsidRDefault="0078639B" w:rsidP="0078639B">
            <w:pPr>
              <w:keepLines/>
              <w:widowControl w:val="0"/>
              <w:numPr>
                <w:ilvl w:val="0"/>
                <w:numId w:val="20"/>
              </w:numPr>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tc>
        <w:tc>
          <w:tcPr>
            <w:tcW w:w="4669" w:type="dxa"/>
          </w:tcPr>
          <w:p w14:paraId="4E2C91E7" w14:textId="71D5205D" w:rsidR="00676791" w:rsidRDefault="0078639B">
            <w:pPr>
              <w:keepLines/>
              <w:widowControl w:val="0"/>
              <w:spacing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 xml:space="preserve">Protocol contains specific guidance for the treatment of mild to moderate breakthrough bleeds. Treatment of severe and life-threatening bleeds remains at the discretion of the investigator. For patients coming from a prophylaxis regimen using a bypassing agent, a wash-out period of 48 hours was required for </w:t>
            </w:r>
            <w:proofErr w:type="spellStart"/>
            <w:r w:rsidRPr="0078639B">
              <w:rPr>
                <w:sz w:val="20"/>
                <w:szCs w:val="20"/>
                <w:lang w:eastAsia="ja-JP"/>
              </w:rPr>
              <w:t>aPCC</w:t>
            </w:r>
            <w:proofErr w:type="spellEnd"/>
            <w:r w:rsidRPr="0078639B">
              <w:rPr>
                <w:sz w:val="20"/>
                <w:szCs w:val="20"/>
                <w:lang w:eastAsia="ja-JP"/>
              </w:rPr>
              <w:t xml:space="preserve"> and </w:t>
            </w:r>
            <w:proofErr w:type="spellStart"/>
            <w:r w:rsidRPr="0078639B">
              <w:rPr>
                <w:sz w:val="20"/>
                <w:szCs w:val="20"/>
                <w:lang w:eastAsia="ja-JP"/>
              </w:rPr>
              <w:t>ByClot</w:t>
            </w:r>
            <w:proofErr w:type="spellEnd"/>
            <w:r w:rsidRPr="0078639B">
              <w:rPr>
                <w:sz w:val="20"/>
                <w:szCs w:val="20"/>
                <w:vertAlign w:val="superscript"/>
                <w:lang w:eastAsia="ja-JP"/>
              </w:rPr>
              <w:t>®</w:t>
            </w:r>
            <w:r w:rsidR="00676791">
              <w:rPr>
                <w:sz w:val="20"/>
                <w:szCs w:val="20"/>
                <w:lang w:eastAsia="ja-JP"/>
              </w:rPr>
              <w:t>.</w:t>
            </w:r>
          </w:p>
          <w:p w14:paraId="3FA34C40" w14:textId="16AB8C28"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p>
          <w:p w14:paraId="76B10538" w14:textId="77777777" w:rsidR="0078639B" w:rsidRPr="0078639B" w:rsidRDefault="0078639B">
            <w:pPr>
              <w:keepLines/>
              <w:widowControl w:val="0"/>
              <w:spacing w:before="0" w:after="0" w:line="240" w:lineRule="auto"/>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78639B">
              <w:rPr>
                <w:sz w:val="20"/>
                <w:szCs w:val="20"/>
                <w:lang w:eastAsia="ja-JP"/>
              </w:rPr>
              <w:t>For other factor-containing products, a wash-out period of 2 half-lives was required.</w:t>
            </w:r>
          </w:p>
        </w:tc>
      </w:tr>
    </w:tbl>
    <w:p w14:paraId="7F7308C1" w14:textId="77777777" w:rsidR="00676791" w:rsidRDefault="0078639B" w:rsidP="00A3617F">
      <w:pPr>
        <w:pStyle w:val="TableDescription"/>
      </w:pPr>
      <w:r w:rsidRPr="00A3617F">
        <w:t>PPX = prophylaxis</w:t>
      </w:r>
      <w:r w:rsidRPr="00A3617F">
        <w:br/>
        <w:t>* Subjects in arm 3 who were already on concizumab PPX did not receive a loading dose.</w:t>
      </w:r>
      <w:r w:rsidRPr="00A3617F">
        <w:br/>
        <w:t xml:space="preserve">**Increase to 0.25 mg/kg for patients with levels &lt;200 ng/mL was only undertaken if there were no safety concerns as judged by the Investigator, considering laboratory parameters, clinical </w:t>
      </w:r>
      <w:proofErr w:type="gramStart"/>
      <w:r w:rsidRPr="00A3617F">
        <w:t>assessment</w:t>
      </w:r>
      <w:proofErr w:type="gramEnd"/>
      <w:r w:rsidRPr="00A3617F">
        <w:t xml:space="preserve"> and medical history of the patient</w:t>
      </w:r>
      <w:r w:rsidR="00676791">
        <w:t>.</w:t>
      </w:r>
    </w:p>
    <w:p w14:paraId="3CEAD314" w14:textId="6E8C6777" w:rsidR="0078639B" w:rsidRPr="0078639B" w:rsidRDefault="0078639B" w:rsidP="0078639B">
      <w:pPr>
        <w:pStyle w:val="Heading7"/>
      </w:pPr>
      <w:r w:rsidRPr="0078639B">
        <w:t>Endpoints</w:t>
      </w:r>
      <w:r w:rsidR="00572F9F">
        <w:fldChar w:fldCharType="begin"/>
      </w:r>
      <w:r w:rsidR="00572F9F">
        <w:instrText xml:space="preserve"> DOCVARIABLE vault_nd_c9c455bf-f93f-4bc5-b873-421855550664 \* MERGEFORMAT </w:instrText>
      </w:r>
      <w:r w:rsidR="00572F9F">
        <w:fldChar w:fldCharType="separate"/>
      </w:r>
      <w:r w:rsidR="001B5D20">
        <w:t xml:space="preserve"> </w:t>
      </w:r>
      <w:r w:rsidR="00572F9F">
        <w:fldChar w:fldCharType="end"/>
      </w:r>
    </w:p>
    <w:p w14:paraId="17B069C7" w14:textId="3336E326" w:rsidR="0078639B" w:rsidRPr="0078639B" w:rsidRDefault="0078639B" w:rsidP="0078639B">
      <w:r w:rsidRPr="0078639B">
        <w:t xml:space="preserve">The primary endpoint was the number of treated bleeding episodes (whether spontaneous or traumatic) during randomised treatment. These were defined in general as any bleed where a factor-containing product was administered between start and stop of the bleed, and new episodes </w:t>
      </w:r>
      <w:r w:rsidR="003E101B">
        <w:t>in</w:t>
      </w:r>
      <w:r w:rsidR="00E57F15">
        <w:t xml:space="preserve"> the same anatomical location </w:t>
      </w:r>
      <w:r w:rsidRPr="0078639B">
        <w:t xml:space="preserve">were only counted separately if they occurred </w:t>
      </w:r>
      <w:r w:rsidR="00E57F15">
        <w:t xml:space="preserve">more than </w:t>
      </w:r>
      <w:r w:rsidRPr="0078639B">
        <w:t>72 hours after stopping treatment for the previous episode.</w:t>
      </w:r>
    </w:p>
    <w:p w14:paraId="65D6C404" w14:textId="1A293A38" w:rsidR="0078639B" w:rsidRPr="0078639B" w:rsidRDefault="0078639B" w:rsidP="0078639B">
      <w:r w:rsidRPr="0078639B">
        <w:t xml:space="preserve">Treated bleeding episodes were counted, expressed as an ABR, and analysed using the statistical methods described </w:t>
      </w:r>
      <w:r w:rsidRPr="0078639B">
        <w:fldChar w:fldCharType="begin"/>
      </w:r>
      <w:r w:rsidRPr="0078639B">
        <w:instrText xml:space="preserve"> REF _Ref126317000 \p </w:instrText>
      </w:r>
      <w:r>
        <w:instrText xml:space="preserve"> \* MERGEFORMAT </w:instrText>
      </w:r>
      <w:r w:rsidRPr="0078639B">
        <w:fldChar w:fldCharType="separate"/>
      </w:r>
      <w:r w:rsidR="001B5D20">
        <w:t>below</w:t>
      </w:r>
      <w:r w:rsidRPr="0078639B">
        <w:fldChar w:fldCharType="end"/>
      </w:r>
      <w:r w:rsidRPr="0078639B">
        <w:t xml:space="preserve"> </w:t>
      </w:r>
      <w:r w:rsidRPr="00A3617F">
        <w:t>(</w:t>
      </w:r>
      <w:r w:rsidR="00A3617F">
        <w:t xml:space="preserve">See </w:t>
      </w:r>
      <w:hyperlink w:anchor="_Statistical_methods" w:history="1">
        <w:r w:rsidR="005715BC">
          <w:rPr>
            <w:rStyle w:val="Hyperlink"/>
          </w:rPr>
          <w:fldChar w:fldCharType="begin"/>
        </w:r>
        <w:r w:rsidR="005715BC">
          <w:instrText xml:space="preserve"> REF _Ref126317000 \h </w:instrText>
        </w:r>
        <w:r w:rsidR="005715BC">
          <w:rPr>
            <w:rStyle w:val="Hyperlink"/>
          </w:rPr>
        </w:r>
        <w:r w:rsidR="005715BC">
          <w:rPr>
            <w:rStyle w:val="Hyperlink"/>
          </w:rPr>
          <w:fldChar w:fldCharType="separate"/>
        </w:r>
        <w:r w:rsidR="001B5D20" w:rsidRPr="00C60464">
          <w:t>Statistical methods</w:t>
        </w:r>
        <w:r w:rsidR="005715BC">
          <w:rPr>
            <w:rStyle w:val="Hyperlink"/>
          </w:rPr>
          <w:fldChar w:fldCharType="end"/>
        </w:r>
      </w:hyperlink>
      <w:r w:rsidRPr="0078639B">
        <w:t>).</w:t>
      </w:r>
    </w:p>
    <w:p w14:paraId="7B2ACDA7" w14:textId="3A4D727E" w:rsidR="0078639B" w:rsidRPr="0078639B" w:rsidRDefault="0078639B" w:rsidP="0078639B">
      <w:r w:rsidRPr="0078639B">
        <w:t>For Arm 1 – the randomised treatment duration was from randomisation (</w:t>
      </w:r>
      <w:r w:rsidR="00A3617F">
        <w:t>W</w:t>
      </w:r>
      <w:r w:rsidRPr="0078639B">
        <w:t>eek 0) to commencement of concizumab PPX (at least 24 weeks).</w:t>
      </w:r>
    </w:p>
    <w:p w14:paraId="342077B4" w14:textId="29AB74A5" w:rsidR="0078639B" w:rsidRPr="0078639B" w:rsidRDefault="0078639B" w:rsidP="0078639B">
      <w:r w:rsidRPr="0078639B">
        <w:t>For Arm 2 – the randomised treatment duration was from the start of the post-pause concizumab dosing regimen (</w:t>
      </w:r>
      <w:r w:rsidR="00A3617F">
        <w:t>W</w:t>
      </w:r>
      <w:r w:rsidRPr="0078639B">
        <w:t>eek 0) to the primary analysis cut-off (at least 32 weeks).</w:t>
      </w:r>
    </w:p>
    <w:p w14:paraId="5C9D0DEE" w14:textId="40ABE05E" w:rsidR="0078639B" w:rsidRPr="0078639B" w:rsidRDefault="0078639B" w:rsidP="0078639B">
      <w:r w:rsidRPr="0078639B">
        <w:t>The primary analysis cut-off was defined to be when all patients in Arm 1 had completed visit 9/9a (after which they were commenced on concizumab PPX</w:t>
      </w:r>
      <w:r w:rsidR="00A3617F">
        <w:t xml:space="preserve"> </w:t>
      </w:r>
      <w:r w:rsidRPr="0078639B">
        <w:t>or withdrawn) and all patients in Arm 2 had completed visit 10a (or withdrawn).</w:t>
      </w:r>
    </w:p>
    <w:p w14:paraId="102C3FA0" w14:textId="60790DF8" w:rsidR="0078639B" w:rsidRPr="0078639B" w:rsidRDefault="0078639B" w:rsidP="0078639B">
      <w:bookmarkStart w:id="86" w:name="_Hlk132965997"/>
      <w:r w:rsidRPr="0078639B">
        <w:t>There were two key secondary endpoints: both were patient</w:t>
      </w:r>
      <w:r w:rsidR="00676791">
        <w:t xml:space="preserve"> </w:t>
      </w:r>
      <w:r w:rsidRPr="0078639B">
        <w:t>reported outcome measures, obtained from the 36-item short form health survey version 2 (</w:t>
      </w:r>
      <w:bookmarkStart w:id="87" w:name="_Hlk132966026"/>
      <w:r w:rsidRPr="0078639B">
        <w:t>SF-36v2</w:t>
      </w:r>
      <w:bookmarkEnd w:id="87"/>
      <w:r w:rsidRPr="0078639B">
        <w:t>) questionnaire. These were Arm 1 versus Arm 2 for:</w:t>
      </w:r>
    </w:p>
    <w:p w14:paraId="0C91A0A4" w14:textId="4EC2632C" w:rsidR="0078639B" w:rsidRPr="00600000" w:rsidRDefault="0078639B" w:rsidP="0078639B">
      <w:pPr>
        <w:pStyle w:val="ListBullet"/>
        <w:rPr>
          <w:lang w:eastAsia="ja-JP"/>
        </w:rPr>
      </w:pPr>
      <w:r w:rsidRPr="00600000">
        <w:rPr>
          <w:lang w:eastAsia="ja-JP"/>
        </w:rPr>
        <w:t xml:space="preserve">Change in SF-36v2 bodily pain score from </w:t>
      </w:r>
      <w:r w:rsidR="00A3617F">
        <w:rPr>
          <w:lang w:eastAsia="ja-JP"/>
        </w:rPr>
        <w:t>W</w:t>
      </w:r>
      <w:r w:rsidRPr="00600000">
        <w:rPr>
          <w:lang w:eastAsia="ja-JP"/>
        </w:rPr>
        <w:t xml:space="preserve">eek 0 to </w:t>
      </w:r>
      <w:r w:rsidR="00A3617F">
        <w:rPr>
          <w:lang w:eastAsia="ja-JP"/>
        </w:rPr>
        <w:t>W</w:t>
      </w:r>
      <w:r w:rsidRPr="00600000">
        <w:rPr>
          <w:lang w:eastAsia="ja-JP"/>
        </w:rPr>
        <w:t xml:space="preserve">eek 24; and </w:t>
      </w:r>
    </w:p>
    <w:p w14:paraId="49CC59F1" w14:textId="0FA15EE0" w:rsidR="0078639B" w:rsidRPr="00600000" w:rsidRDefault="0078639B" w:rsidP="0078639B">
      <w:pPr>
        <w:pStyle w:val="ListBullet"/>
        <w:rPr>
          <w:lang w:eastAsia="ja-JP"/>
        </w:rPr>
      </w:pPr>
      <w:r w:rsidRPr="00600000">
        <w:rPr>
          <w:lang w:eastAsia="ja-JP"/>
        </w:rPr>
        <w:t xml:space="preserve">Change in SF-36v2 physical functioning score from </w:t>
      </w:r>
      <w:r w:rsidR="00A3617F">
        <w:rPr>
          <w:lang w:eastAsia="ja-JP"/>
        </w:rPr>
        <w:t>W</w:t>
      </w:r>
      <w:r w:rsidRPr="00600000">
        <w:rPr>
          <w:lang w:eastAsia="ja-JP"/>
        </w:rPr>
        <w:t xml:space="preserve">eek 0 to </w:t>
      </w:r>
      <w:r w:rsidR="00A3617F">
        <w:rPr>
          <w:lang w:eastAsia="ja-JP"/>
        </w:rPr>
        <w:t>W</w:t>
      </w:r>
      <w:r w:rsidRPr="00600000">
        <w:rPr>
          <w:lang w:eastAsia="ja-JP"/>
        </w:rPr>
        <w:t>eek 24.</w:t>
      </w:r>
    </w:p>
    <w:bookmarkEnd w:id="86"/>
    <w:p w14:paraId="3FA34C64" w14:textId="77777777" w:rsidR="0078639B" w:rsidRPr="0078639B" w:rsidRDefault="0078639B" w:rsidP="0078639B">
      <w:proofErr w:type="gramStart"/>
      <w:r w:rsidRPr="0078639B">
        <w:t>A number of</w:t>
      </w:r>
      <w:proofErr w:type="gramEnd"/>
      <w:r w:rsidRPr="0078639B">
        <w:t xml:space="preserve"> other supportive secondary and exploratory outcomes (efficacy, safety, PK and PD endpoints) were explored in the study but were not alpha-controlled. These included separate estimates for </w:t>
      </w:r>
      <w:proofErr w:type="spellStart"/>
      <w:r w:rsidRPr="0078639B">
        <w:t>HAwI</w:t>
      </w:r>
      <w:proofErr w:type="spellEnd"/>
      <w:r w:rsidRPr="0078639B">
        <w:t xml:space="preserve"> and </w:t>
      </w:r>
      <w:proofErr w:type="spellStart"/>
      <w:r w:rsidRPr="0078639B">
        <w:t>HBwI</w:t>
      </w:r>
      <w:proofErr w:type="spellEnd"/>
      <w:r w:rsidRPr="0078639B">
        <w:t>, incidence of thromboembolic events, hypersensitivity type reactions, injection site reactions and antibodies to concizumab.</w:t>
      </w:r>
    </w:p>
    <w:p w14:paraId="76B669FF" w14:textId="576CA10D" w:rsidR="0078639B" w:rsidRPr="0078639B" w:rsidRDefault="0078639B" w:rsidP="0078639B">
      <w:pPr>
        <w:pStyle w:val="Heading7"/>
      </w:pPr>
      <w:bookmarkStart w:id="88" w:name="_Analysis_populations"/>
      <w:bookmarkStart w:id="89" w:name="_Ref126579382"/>
      <w:bookmarkEnd w:id="88"/>
      <w:r w:rsidRPr="0078639B">
        <w:t>Analysis populations</w:t>
      </w:r>
      <w:bookmarkEnd w:id="89"/>
      <w:r w:rsidR="0048603E">
        <w:fldChar w:fldCharType="begin"/>
      </w:r>
      <w:r w:rsidR="0048603E">
        <w:instrText xml:space="preserve"> DOCVARIABLE vault_nd_903dcc33-3bfc-4f84-ad4c-6e71ee1f4290 \* MERGEFORMAT </w:instrText>
      </w:r>
      <w:r w:rsidR="0048603E">
        <w:fldChar w:fldCharType="separate"/>
      </w:r>
      <w:r w:rsidR="001B5D20">
        <w:t xml:space="preserve"> </w:t>
      </w:r>
      <w:r w:rsidR="0048603E">
        <w:fldChar w:fldCharType="end"/>
      </w:r>
    </w:p>
    <w:p w14:paraId="4F0D5B64" w14:textId="05158C14" w:rsidR="0078639B" w:rsidRPr="0078639B" w:rsidRDefault="0078639B" w:rsidP="0078639B">
      <w:r w:rsidRPr="00676791">
        <w:t xml:space="preserve">Two analysis populations were defined. The </w:t>
      </w:r>
      <w:r w:rsidR="00A3617F" w:rsidRPr="00676791">
        <w:t>f</w:t>
      </w:r>
      <w:r w:rsidRPr="00676791">
        <w:t xml:space="preserve">ull </w:t>
      </w:r>
      <w:r w:rsidR="00A3617F" w:rsidRPr="00676791">
        <w:t>a</w:t>
      </w:r>
      <w:r w:rsidRPr="00676791">
        <w:t xml:space="preserve">nalysis </w:t>
      </w:r>
      <w:r w:rsidR="00A3617F" w:rsidRPr="00676791">
        <w:t>s</w:t>
      </w:r>
      <w:r w:rsidRPr="00676791">
        <w:t>et (FAS) consisted of all patients as</w:t>
      </w:r>
      <w:r w:rsidR="00A3617F" w:rsidRPr="00676791">
        <w:t xml:space="preserve"> </w:t>
      </w:r>
      <w:r w:rsidRPr="00676791">
        <w:t xml:space="preserve">randomised (Arms 1 and 2) or allocated (Arms 3 and 4). The </w:t>
      </w:r>
      <w:r w:rsidR="00A3617F" w:rsidRPr="00676791">
        <w:t>s</w:t>
      </w:r>
      <w:r w:rsidRPr="00676791">
        <w:t xml:space="preserve">afety </w:t>
      </w:r>
      <w:r w:rsidR="00A3617F" w:rsidRPr="00676791">
        <w:t>a</w:t>
      </w:r>
      <w:r w:rsidRPr="00676791">
        <w:t xml:space="preserve">nalysis </w:t>
      </w:r>
      <w:r w:rsidR="00A3617F" w:rsidRPr="00676791">
        <w:t>s</w:t>
      </w:r>
      <w:r w:rsidRPr="00676791">
        <w:t>et (SAS) was a subset of the FAS that excluded patients who were randomised/allocated to concizumab PPX but did not receive any doses. In the end, no patients from the FAS were excluded, so the FAS and SAS were identical. A further</w:t>
      </w:r>
      <w:r w:rsidRPr="0078639B">
        <w:t xml:space="preserve"> two exploratory populations are mentioned </w:t>
      </w:r>
      <w:r w:rsidR="00A3617F">
        <w:t xml:space="preserve">below (see </w:t>
      </w:r>
      <w:r w:rsidR="002523A3">
        <w:fldChar w:fldCharType="begin"/>
      </w:r>
      <w:r w:rsidR="002523A3">
        <w:instrText xml:space="preserve"> REF _Ref127547218 \h </w:instrText>
      </w:r>
      <w:r w:rsidR="002523A3">
        <w:fldChar w:fldCharType="separate"/>
      </w:r>
      <w:r w:rsidR="001B5D20" w:rsidRPr="005715BC">
        <w:rPr>
          <w:szCs w:val="22"/>
        </w:rPr>
        <w:t>Exploratory analyses</w:t>
      </w:r>
      <w:r w:rsidR="002523A3">
        <w:fldChar w:fldCharType="end"/>
      </w:r>
      <w:r w:rsidR="00A3617F">
        <w:t>)</w:t>
      </w:r>
      <w:r w:rsidRPr="0078639B">
        <w:t>.</w:t>
      </w:r>
    </w:p>
    <w:p w14:paraId="4E77D9A1" w14:textId="0B3A1A9A" w:rsidR="0078639B" w:rsidRPr="0078639B" w:rsidRDefault="0078639B" w:rsidP="0078639B">
      <w:r w:rsidRPr="0078639B">
        <w:lastRenderedPageBreak/>
        <w:t>Five analysis data sets were defined.</w:t>
      </w:r>
      <w:r w:rsidR="00676791">
        <w:t xml:space="preserve"> </w:t>
      </w:r>
      <w:r w:rsidRPr="0078639B">
        <w:t>In short, these were:</w:t>
      </w:r>
    </w:p>
    <w:p w14:paraId="66E4C835" w14:textId="5D7A7940" w:rsidR="0078639B" w:rsidRPr="00A3617F" w:rsidRDefault="00A3617F" w:rsidP="00A3617F">
      <w:pPr>
        <w:pStyle w:val="ListBullet"/>
      </w:pPr>
      <w:r>
        <w:t>In trial excluding data on initial regimen for subjects exposed to both regimens</w:t>
      </w:r>
    </w:p>
    <w:p w14:paraId="71E18778" w14:textId="77777777" w:rsidR="0078639B" w:rsidRPr="00A3617F" w:rsidRDefault="0078639B" w:rsidP="00A3617F">
      <w:pPr>
        <w:pStyle w:val="ListBullet2"/>
      </w:pPr>
      <w:r w:rsidRPr="00A3617F">
        <w:t>post-pause data only</w:t>
      </w:r>
    </w:p>
    <w:p w14:paraId="74170E36" w14:textId="704DD1C6" w:rsidR="0078639B" w:rsidRPr="00A3617F" w:rsidRDefault="00A3617F" w:rsidP="00A3617F">
      <w:pPr>
        <w:pStyle w:val="ListBullet"/>
      </w:pPr>
      <w:r>
        <w:t>On treatment</w:t>
      </w:r>
    </w:p>
    <w:p w14:paraId="33892521" w14:textId="77777777" w:rsidR="0078639B" w:rsidRPr="00A3617F" w:rsidRDefault="0078639B" w:rsidP="00A3617F">
      <w:pPr>
        <w:pStyle w:val="ListBullet2"/>
      </w:pPr>
      <w:r w:rsidRPr="00A3617F">
        <w:t>pre-pause and post-pause data</w:t>
      </w:r>
    </w:p>
    <w:p w14:paraId="2F62320A" w14:textId="77777777" w:rsidR="0078639B" w:rsidRPr="00A3617F" w:rsidRDefault="0078639B" w:rsidP="00A3617F">
      <w:pPr>
        <w:pStyle w:val="ListBullet2"/>
      </w:pPr>
      <w:r w:rsidRPr="00A3617F">
        <w:t>excluding time after permanent discontinuation of treatment</w:t>
      </w:r>
    </w:p>
    <w:p w14:paraId="6526754F" w14:textId="25ADD579" w:rsidR="0078639B" w:rsidRPr="00A3617F" w:rsidRDefault="00A3617F" w:rsidP="00A3617F">
      <w:pPr>
        <w:pStyle w:val="ListBullet"/>
      </w:pPr>
      <w:r>
        <w:t xml:space="preserve">On treatment without data on initial </w:t>
      </w:r>
      <w:r w:rsidRPr="00676791">
        <w:t>regimen (</w:t>
      </w:r>
      <w:proofErr w:type="spellStart"/>
      <w:r w:rsidR="0078639B" w:rsidRPr="00676791">
        <w:t>OTexIR</w:t>
      </w:r>
      <w:proofErr w:type="spellEnd"/>
      <w:r w:rsidRPr="00676791">
        <w:t>)</w:t>
      </w:r>
    </w:p>
    <w:p w14:paraId="0F6F4313" w14:textId="77777777" w:rsidR="0078639B" w:rsidRPr="00A3617F" w:rsidRDefault="0078639B" w:rsidP="00A3617F">
      <w:pPr>
        <w:pStyle w:val="ListBullet2"/>
      </w:pPr>
      <w:r w:rsidRPr="00A3617F">
        <w:t>post-pause data only</w:t>
      </w:r>
    </w:p>
    <w:p w14:paraId="3A6CEE8B" w14:textId="77777777" w:rsidR="0078639B" w:rsidRPr="00A3617F" w:rsidRDefault="0078639B" w:rsidP="00A3617F">
      <w:pPr>
        <w:pStyle w:val="ListBullet2"/>
      </w:pPr>
      <w:r w:rsidRPr="00A3617F">
        <w:t>excluding time after permanent discontinuation of treatment</w:t>
      </w:r>
    </w:p>
    <w:p w14:paraId="00081EA5" w14:textId="1F28E444" w:rsidR="0078639B" w:rsidRPr="00A3617F" w:rsidRDefault="00A3617F" w:rsidP="00A3617F">
      <w:pPr>
        <w:pStyle w:val="ListBullet"/>
      </w:pPr>
      <w:r>
        <w:t>On treatment without ancillary thera</w:t>
      </w:r>
      <w:r w:rsidR="00676791">
        <w:t>py</w:t>
      </w:r>
    </w:p>
    <w:p w14:paraId="528C52BE" w14:textId="77777777" w:rsidR="0078639B" w:rsidRPr="00A3617F" w:rsidRDefault="0078639B" w:rsidP="00A3617F">
      <w:pPr>
        <w:pStyle w:val="ListBullet2"/>
      </w:pPr>
      <w:r w:rsidRPr="00A3617F">
        <w:t>pre-pause and post-pause data</w:t>
      </w:r>
    </w:p>
    <w:p w14:paraId="6C4F22B5" w14:textId="77777777" w:rsidR="0078639B" w:rsidRPr="00A3617F" w:rsidRDefault="0078639B" w:rsidP="00A3617F">
      <w:pPr>
        <w:pStyle w:val="ListBullet2"/>
      </w:pPr>
      <w:r w:rsidRPr="00A3617F">
        <w:t>excluding time after permanent discontinuation of treatment</w:t>
      </w:r>
    </w:p>
    <w:p w14:paraId="32F35F82" w14:textId="130C8531" w:rsidR="0078639B" w:rsidRPr="00A3617F" w:rsidRDefault="0078639B" w:rsidP="00A3617F">
      <w:pPr>
        <w:pStyle w:val="ListBullet2"/>
      </w:pPr>
      <w:r w:rsidRPr="00A3617F">
        <w:t>excluding time during which patients received factor-containing products not related to a bleed</w:t>
      </w:r>
    </w:p>
    <w:p w14:paraId="3DA3CB7A" w14:textId="7CC26E35" w:rsidR="0078639B" w:rsidRPr="00A3617F" w:rsidRDefault="00A3617F" w:rsidP="00A3617F">
      <w:pPr>
        <w:pStyle w:val="ListBullet"/>
      </w:pPr>
      <w:r>
        <w:t>On treatment without ancillary therapy excluding data on initial regimen for subjects exposed to both regimens (</w:t>
      </w:r>
      <w:proofErr w:type="spellStart"/>
      <w:r w:rsidR="0078639B" w:rsidRPr="00676791">
        <w:t>OTwoATexIR</w:t>
      </w:r>
      <w:proofErr w:type="spellEnd"/>
      <w:r>
        <w:t>)</w:t>
      </w:r>
    </w:p>
    <w:p w14:paraId="4FC1EB93" w14:textId="77777777" w:rsidR="0078639B" w:rsidRPr="00A3617F" w:rsidRDefault="0078639B" w:rsidP="00A3617F">
      <w:pPr>
        <w:pStyle w:val="ListBullet2"/>
      </w:pPr>
      <w:r w:rsidRPr="00A3617F">
        <w:t>post-pause data only</w:t>
      </w:r>
    </w:p>
    <w:p w14:paraId="5D774197" w14:textId="77777777" w:rsidR="0078639B" w:rsidRPr="00A3617F" w:rsidRDefault="0078639B" w:rsidP="00A3617F">
      <w:pPr>
        <w:pStyle w:val="ListBullet2"/>
      </w:pPr>
      <w:r w:rsidRPr="00A3617F">
        <w:t>excluding time after permanent discontinuation of treatment</w:t>
      </w:r>
    </w:p>
    <w:p w14:paraId="431C19DE" w14:textId="7E90867F" w:rsidR="0078639B" w:rsidRPr="00A3617F" w:rsidRDefault="0078639B" w:rsidP="00A3617F">
      <w:pPr>
        <w:pStyle w:val="ListBullet2"/>
      </w:pPr>
      <w:r w:rsidRPr="00A3617F">
        <w:t>excluding time during which patients received factor-containing products not related to a bleed</w:t>
      </w:r>
      <w:r w:rsidR="00676791">
        <w:t>.</w:t>
      </w:r>
    </w:p>
    <w:p w14:paraId="28193596" w14:textId="20EB858A" w:rsidR="0078639B" w:rsidRPr="0078639B" w:rsidRDefault="0078639B" w:rsidP="0078639B">
      <w:pPr>
        <w:pStyle w:val="Heading7"/>
      </w:pPr>
      <w:r w:rsidRPr="0078639B">
        <w:t>Sample size</w:t>
      </w:r>
      <w:r w:rsidR="00572F9F">
        <w:fldChar w:fldCharType="begin"/>
      </w:r>
      <w:r w:rsidR="00572F9F">
        <w:instrText xml:space="preserve"> DOCVARIABLE vault_nd_1304de42-6f41-4c5b-ab2a-fddd9daa401f \* MERGEFORMAT </w:instrText>
      </w:r>
      <w:r w:rsidR="00572F9F">
        <w:fldChar w:fldCharType="separate"/>
      </w:r>
      <w:r w:rsidR="001B5D20">
        <w:t xml:space="preserve"> </w:t>
      </w:r>
      <w:r w:rsidR="00572F9F">
        <w:fldChar w:fldCharType="end"/>
      </w:r>
    </w:p>
    <w:p w14:paraId="6A299075" w14:textId="4E098541" w:rsidR="0078639B" w:rsidRPr="00A3617F" w:rsidRDefault="0078639B" w:rsidP="00A3617F">
      <w:r w:rsidRPr="00A3617F">
        <w:t>Predicted ABR was 18 for Arm 1 (on-demand treatment) and 3</w:t>
      </w:r>
      <w:r w:rsidR="00A3617F">
        <w:t xml:space="preserve"> to </w:t>
      </w:r>
      <w:r w:rsidRPr="00A3617F">
        <w:t>5 for Arm 2 (concizumab prophylaxis), based on earlier studies. A high level of variability in ABR is noted between studies for patients being treated on-demand (between 8 and 30). This was also seen in the observational study explorer6 (</w:t>
      </w:r>
      <w:r w:rsidR="004D2658" w:rsidRPr="00A3617F">
        <w:t xml:space="preserve">See </w:t>
      </w:r>
      <w:hyperlink w:anchor="_Study_4322_(explorer6)" w:history="1">
        <w:r w:rsidR="005715BC">
          <w:rPr>
            <w:rStyle w:val="Hyperlink"/>
          </w:rPr>
          <w:fldChar w:fldCharType="begin"/>
        </w:r>
        <w:r w:rsidR="005715BC">
          <w:instrText xml:space="preserve"> REF _Ref128575394 \h </w:instrText>
        </w:r>
        <w:r w:rsidR="005715BC">
          <w:rPr>
            <w:rStyle w:val="Hyperlink"/>
          </w:rPr>
        </w:r>
        <w:r w:rsidR="005715BC">
          <w:rPr>
            <w:rStyle w:val="Hyperlink"/>
          </w:rPr>
          <w:fldChar w:fldCharType="separate"/>
        </w:r>
        <w:r w:rsidR="001B5D20" w:rsidRPr="009A6018">
          <w:t>Study 4322 (explorer6)</w:t>
        </w:r>
        <w:r w:rsidR="005715BC">
          <w:rPr>
            <w:rStyle w:val="Hyperlink"/>
          </w:rPr>
          <w:fldChar w:fldCharType="end"/>
        </w:r>
      </w:hyperlink>
      <w:r w:rsidRPr="00A3617F">
        <w:t xml:space="preserve">) from which 64 patients with inhibitors transferred to pivotal trial </w:t>
      </w:r>
      <w:r w:rsidR="00A3617F">
        <w:t xml:space="preserve">Study </w:t>
      </w:r>
      <w:r w:rsidRPr="00A3617F">
        <w:t>4311. A sample size of 51 was chosen, assuming withdrawal of 9, to achieve 88% power to conclude superiority with a 2-sided significance level of 5%.</w:t>
      </w:r>
    </w:p>
    <w:p w14:paraId="1F671399" w14:textId="3ACFE370" w:rsidR="004D2658" w:rsidRDefault="004D2658" w:rsidP="004D2658">
      <w:pPr>
        <w:pStyle w:val="TableTitle"/>
      </w:pPr>
      <w:bookmarkStart w:id="90" w:name="_Ref149646665"/>
      <w:r w:rsidRPr="004D2658">
        <w:lastRenderedPageBreak/>
        <w:t xml:space="preserve">Table </w:t>
      </w:r>
      <w:r w:rsidR="00572F9F">
        <w:fldChar w:fldCharType="begin"/>
      </w:r>
      <w:r w:rsidR="00572F9F">
        <w:instrText xml:space="preserve"> SEQ Table \* ARABIC </w:instrText>
      </w:r>
      <w:r w:rsidR="00572F9F">
        <w:fldChar w:fldCharType="separate"/>
      </w:r>
      <w:r w:rsidR="001B5D20">
        <w:rPr>
          <w:noProof/>
        </w:rPr>
        <w:t>7</w:t>
      </w:r>
      <w:r w:rsidR="00572F9F">
        <w:rPr>
          <w:noProof/>
        </w:rPr>
        <w:fldChar w:fldCharType="end"/>
      </w:r>
      <w:bookmarkEnd w:id="90"/>
      <w:r w:rsidRPr="004D2658">
        <w:t>:</w:t>
      </w:r>
      <w:r>
        <w:t xml:space="preserve"> </w:t>
      </w:r>
      <w:r w:rsidRPr="004D2658">
        <w:t>Annualised bleeding rate assumptions for inhibitor patients treated on</w:t>
      </w:r>
      <w:r w:rsidR="002523A3">
        <w:noBreakHyphen/>
      </w:r>
      <w:r w:rsidRPr="004D2658">
        <w:t>demand</w:t>
      </w:r>
      <w:r w:rsidR="00C60464">
        <w:t>;</w:t>
      </w:r>
      <w:r w:rsidR="00C60464">
        <w:rPr>
          <w:rStyle w:val="FootnoteReference"/>
        </w:rPr>
        <w:footnoteReference w:id="35"/>
      </w:r>
      <w:r w:rsidR="00C60464">
        <w:t>,</w:t>
      </w:r>
      <w:r w:rsidR="00C60464">
        <w:rPr>
          <w:rStyle w:val="FootnoteReference"/>
        </w:rPr>
        <w:footnoteReference w:id="36"/>
      </w:r>
      <w:r w:rsidR="00C60464">
        <w:t>,</w:t>
      </w:r>
      <w:r w:rsidR="00C60464">
        <w:rPr>
          <w:rStyle w:val="FootnoteReference"/>
        </w:rPr>
        <w:footnoteReference w:id="37"/>
      </w:r>
      <w:r w:rsidR="00572F9F">
        <w:fldChar w:fldCharType="begin"/>
      </w:r>
      <w:r w:rsidR="00572F9F">
        <w:instrText xml:space="preserve"> DOCVARIABLE vault_nd_546fc82f-2113-426d-b89d-eda7ba6bd71c \* MERGEFORMAT </w:instrText>
      </w:r>
      <w:r w:rsidR="00572F9F">
        <w:fldChar w:fldCharType="separate"/>
      </w:r>
      <w:r w:rsidR="001B5D20">
        <w:t xml:space="preserve"> </w:t>
      </w:r>
      <w:r w:rsidR="00572F9F">
        <w:fldChar w:fldCharType="end"/>
      </w:r>
    </w:p>
    <w:p w14:paraId="5BAEE257" w14:textId="0E1E9234" w:rsidR="004D2658" w:rsidRDefault="004D2658" w:rsidP="004D2658">
      <w:r>
        <w:rPr>
          <w:noProof/>
        </w:rPr>
        <w:drawing>
          <wp:inline distT="0" distB="0" distL="0" distR="0" wp14:anchorId="2AD213AD" wp14:editId="27435158">
            <wp:extent cx="5528062" cy="1658679"/>
            <wp:effectExtent l="0" t="0" r="0" b="0"/>
            <wp:docPr id="16" name="Picture 16" descr="Annualised bleeding rate assumptions for inhibitor patients treated on-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nualised bleeding rate assumptions for inhibitor patients treated on-demand"/>
                    <pic:cNvPicPr/>
                  </pic:nvPicPr>
                  <pic:blipFill rotWithShape="1">
                    <a:blip r:embed="rId30"/>
                    <a:srcRect t="28249" b="24363"/>
                    <a:stretch/>
                  </pic:blipFill>
                  <pic:spPr bwMode="auto">
                    <a:xfrm>
                      <a:off x="0" y="0"/>
                      <a:ext cx="5548760" cy="1664889"/>
                    </a:xfrm>
                    <a:prstGeom prst="rect">
                      <a:avLst/>
                    </a:prstGeom>
                    <a:ln>
                      <a:noFill/>
                    </a:ln>
                    <a:extLst>
                      <a:ext uri="{53640926-AAD7-44D8-BBD7-CCE9431645EC}">
                        <a14:shadowObscured xmlns:a14="http://schemas.microsoft.com/office/drawing/2010/main"/>
                      </a:ext>
                    </a:extLst>
                  </pic:spPr>
                </pic:pic>
              </a:graphicData>
            </a:graphic>
          </wp:inline>
        </w:drawing>
      </w:r>
    </w:p>
    <w:p w14:paraId="13530115" w14:textId="77777777" w:rsidR="004D2658" w:rsidRPr="00A3617F" w:rsidRDefault="004D2658" w:rsidP="00A3617F">
      <w:r w:rsidRPr="00A3617F">
        <w:t>The protocol states:</w:t>
      </w:r>
    </w:p>
    <w:p w14:paraId="2C458970" w14:textId="7D09FD46" w:rsidR="004D2658" w:rsidRPr="00A3617F" w:rsidRDefault="00A3617F" w:rsidP="00A3617F">
      <w:pPr>
        <w:ind w:left="720"/>
      </w:pPr>
      <w:r>
        <w:t>‘</w:t>
      </w:r>
      <w:r w:rsidR="004D2658" w:rsidRPr="00A3617F">
        <w:t>For the on-demand inhibitor patients, an average ABR of 18 is considered appropriate, based on previous trials</w:t>
      </w:r>
      <w:r w:rsidR="002523A3">
        <w:t>.</w:t>
      </w:r>
    </w:p>
    <w:p w14:paraId="7B760C8C" w14:textId="1869EF30" w:rsidR="004D2658" w:rsidRPr="00A3617F" w:rsidRDefault="004D2658" w:rsidP="00A3617F">
      <w:pPr>
        <w:ind w:left="720"/>
      </w:pPr>
      <w:r w:rsidRPr="00A3617F">
        <w:t xml:space="preserve">[See </w:t>
      </w:r>
      <w:r w:rsidRPr="00A3617F">
        <w:fldChar w:fldCharType="begin"/>
      </w:r>
      <w:r w:rsidRPr="00A3617F">
        <w:instrText xml:space="preserve"> REF _Ref149646665 \h </w:instrText>
      </w:r>
      <w:r w:rsidR="00A3617F">
        <w:instrText xml:space="preserve"> \* MERGEFORMAT </w:instrText>
      </w:r>
      <w:r w:rsidRPr="00A3617F">
        <w:fldChar w:fldCharType="separate"/>
      </w:r>
      <w:r w:rsidR="001B5D20" w:rsidRPr="004D2658">
        <w:t xml:space="preserve">Table </w:t>
      </w:r>
      <w:r w:rsidR="001B5D20">
        <w:t>7</w:t>
      </w:r>
      <w:r w:rsidRPr="00A3617F">
        <w:fldChar w:fldCharType="end"/>
      </w:r>
      <w:r w:rsidRPr="00A3617F">
        <w:t>]</w:t>
      </w:r>
    </w:p>
    <w:p w14:paraId="7ACC5DA7" w14:textId="6A4140BD" w:rsidR="004D2658" w:rsidRPr="00A3617F" w:rsidRDefault="004D2658" w:rsidP="00A3617F">
      <w:pPr>
        <w:ind w:left="720"/>
      </w:pPr>
      <w:r w:rsidRPr="00A3617F">
        <w:t>Also, considering a FEIBA median ABR 28.7 in the on-demand arm of the randomised FEIBA prophylaxis trial, an assumed ABR of 18 seems reasonable and conservative for the inhibitor on-demand population. An ABR for concizumab prophylaxis of approximately 3−5 bleeds/year is expected.</w:t>
      </w:r>
      <w:r w:rsidR="00A3617F">
        <w:t>’</w:t>
      </w:r>
    </w:p>
    <w:p w14:paraId="49B2FEC3" w14:textId="7B2D5A64" w:rsidR="004D2658" w:rsidRDefault="004D2658" w:rsidP="004D2658">
      <w:pPr>
        <w:rPr>
          <w:lang w:eastAsia="zh-TW"/>
        </w:rPr>
      </w:pPr>
      <w:r>
        <w:rPr>
          <w:lang w:eastAsia="zh-TW"/>
        </w:rPr>
        <w:t xml:space="preserve">The FEIBA prophylaxis trial </w:t>
      </w:r>
      <w:r w:rsidR="00C60464">
        <w:rPr>
          <w:lang w:eastAsia="zh-TW"/>
        </w:rPr>
        <w:t>is published</w:t>
      </w:r>
      <w:r>
        <w:rPr>
          <w:lang w:eastAsia="zh-TW"/>
        </w:rPr>
        <w:t>.</w:t>
      </w:r>
      <w:bookmarkStart w:id="91" w:name="_Ref160786340"/>
      <w:r>
        <w:rPr>
          <w:rStyle w:val="FootnoteReference"/>
          <w:lang w:eastAsia="zh-TW"/>
        </w:rPr>
        <w:footnoteReference w:id="38"/>
      </w:r>
      <w:bookmarkEnd w:id="91"/>
    </w:p>
    <w:p w14:paraId="311C67B0" w14:textId="1817CFB7" w:rsidR="00C60464" w:rsidRPr="00C60464" w:rsidRDefault="00C60464" w:rsidP="00C60464">
      <w:pPr>
        <w:pStyle w:val="Heading7"/>
      </w:pPr>
      <w:bookmarkStart w:id="92" w:name="_Statistical_methods"/>
      <w:bookmarkStart w:id="93" w:name="_Ref126317000"/>
      <w:bookmarkEnd w:id="92"/>
      <w:r w:rsidRPr="00C60464">
        <w:t>Statistical methods</w:t>
      </w:r>
      <w:bookmarkEnd w:id="93"/>
      <w:r w:rsidR="0048603E">
        <w:fldChar w:fldCharType="begin"/>
      </w:r>
      <w:r w:rsidR="0048603E">
        <w:instrText xml:space="preserve"> DOCVARIABLE vault_nd_93333630-287c-4552-8ae7-cd3a6422849c \* MERGEFORMAT </w:instrText>
      </w:r>
      <w:r w:rsidR="0048603E">
        <w:fldChar w:fldCharType="separate"/>
      </w:r>
      <w:r w:rsidR="001B5D20">
        <w:t xml:space="preserve"> </w:t>
      </w:r>
      <w:r w:rsidR="0048603E">
        <w:fldChar w:fldCharType="end"/>
      </w:r>
    </w:p>
    <w:p w14:paraId="29C29D49" w14:textId="726D98D8" w:rsidR="00C60464" w:rsidRPr="00A3617F" w:rsidRDefault="00C60464" w:rsidP="00A3617F">
      <w:r w:rsidRPr="00A3617F">
        <w:t>The primary endpoint was analysed using a negative binomial regression model, offset by the logarithm of the length of the observation period (in years), and including randomised treatment regimen, type of haemophilia (</w:t>
      </w:r>
      <w:proofErr w:type="spellStart"/>
      <w:r w:rsidRPr="00A3617F">
        <w:t>HAwI</w:t>
      </w:r>
      <w:proofErr w:type="spellEnd"/>
      <w:r w:rsidRPr="00A3617F">
        <w:t xml:space="preserve"> or </w:t>
      </w:r>
      <w:proofErr w:type="spellStart"/>
      <w:r w:rsidRPr="00A3617F">
        <w:t>HBwI</w:t>
      </w:r>
      <w:proofErr w:type="spellEnd"/>
      <w:r w:rsidRPr="00A3617F">
        <w:t>) and bleeding frequency (</w:t>
      </w:r>
      <w:r w:rsidR="00A3617F">
        <w:t xml:space="preserve">less than </w:t>
      </w:r>
      <w:r w:rsidRPr="00A3617F">
        <w:t xml:space="preserve">9 or 9 </w:t>
      </w:r>
      <w:r w:rsidR="00A3617F">
        <w:t xml:space="preserve">or more </w:t>
      </w:r>
      <w:r w:rsidRPr="00A3617F">
        <w:t>bleeding episodes during the past 24 weeks prior to screening) as factors comparing Arms 1 and 2.</w:t>
      </w:r>
    </w:p>
    <w:p w14:paraId="2A18C4E6" w14:textId="0A645327" w:rsidR="00C60464" w:rsidRPr="00A3617F" w:rsidRDefault="00C60464" w:rsidP="00A3617F">
      <w:r w:rsidRPr="00A3617F">
        <w:t>The ratio of the ABR (concizumab prophylaxis v</w:t>
      </w:r>
      <w:r w:rsidR="00A3617F">
        <w:t>ersus</w:t>
      </w:r>
      <w:r w:rsidRPr="00A3617F">
        <w:t xml:space="preserve"> on-demand treatment) was estimated, with 95% confidence interval </w:t>
      </w:r>
      <w:r w:rsidRPr="00676791">
        <w:t>(CI).</w:t>
      </w:r>
      <w:r w:rsidRPr="00A3617F">
        <w:t xml:space="preserve"> Superiority of concizumab prophylaxis over on-demand treatment would be concluded if the upper limit of the CI was below 1.</w:t>
      </w:r>
    </w:p>
    <w:p w14:paraId="13467B0F" w14:textId="42C59C75" w:rsidR="00C60464" w:rsidRPr="00A3617F" w:rsidRDefault="00C60464" w:rsidP="00A3617F">
      <w:r w:rsidRPr="00A3617F">
        <w:t xml:space="preserve">Bleeding episodes were analysed in the </w:t>
      </w:r>
      <w:r w:rsidR="00A3617F">
        <w:t>o</w:t>
      </w:r>
      <w:r w:rsidR="00A3617F" w:rsidRPr="00A3617F">
        <w:t xml:space="preserve">n treatment without ancillary therapy excluding data on initial regimen for subjects exposed to both regimens </w:t>
      </w:r>
      <w:r w:rsidR="00A3617F">
        <w:t>(</w:t>
      </w:r>
      <w:proofErr w:type="spellStart"/>
      <w:r w:rsidRPr="00A3617F">
        <w:t>OTwoATexIR</w:t>
      </w:r>
      <w:proofErr w:type="spellEnd"/>
      <w:r w:rsidR="00A3617F">
        <w:t>)</w:t>
      </w:r>
      <w:r w:rsidRPr="00A3617F">
        <w:t xml:space="preserve"> data set, </w:t>
      </w:r>
      <w:r w:rsidR="00A3617F">
        <w:t>that is,</w:t>
      </w:r>
      <w:r w:rsidRPr="00A3617F">
        <w:t xml:space="preserve"> only including results obtained with the post-pause concizumab PPX regimen (that intended for registration), and excluding data collected during periods of ancillary therapy use (to exclude any efficacy benefit associated with other haemostatic medicines).</w:t>
      </w:r>
    </w:p>
    <w:p w14:paraId="11EB9737" w14:textId="77777777" w:rsidR="00C60464" w:rsidRPr="00A3617F" w:rsidRDefault="00C60464" w:rsidP="00A3617F">
      <w:r w:rsidRPr="00A3617F">
        <w:t>Descriptive statistics on ABR were presented for Arms 3 and 4.</w:t>
      </w:r>
    </w:p>
    <w:p w14:paraId="1614C544" w14:textId="4AEB023A" w:rsidR="00C60464" w:rsidRPr="00C60464" w:rsidRDefault="00C60464" w:rsidP="00A3617F">
      <w:r w:rsidRPr="00A3617F">
        <w:t xml:space="preserve">The two key secondary efficacy </w:t>
      </w:r>
      <w:r w:rsidR="00676791">
        <w:t>patient reported outcome</w:t>
      </w:r>
      <w:r w:rsidRPr="00A3617F">
        <w:t xml:space="preserve"> endpoints were analysed as continuous variables using a mixed model for repeated measurements with treatment, type of haemophilia (</w:t>
      </w:r>
      <w:proofErr w:type="spellStart"/>
      <w:r w:rsidRPr="00A3617F">
        <w:t>HAwI</w:t>
      </w:r>
      <w:proofErr w:type="spellEnd"/>
      <w:r w:rsidRPr="00A3617F">
        <w:t xml:space="preserve"> or </w:t>
      </w:r>
      <w:proofErr w:type="spellStart"/>
      <w:r w:rsidRPr="00A3617F">
        <w:t>HBwI</w:t>
      </w:r>
      <w:proofErr w:type="spellEnd"/>
      <w:r w:rsidRPr="00A3617F">
        <w:t>) and bleeding frequency (</w:t>
      </w:r>
      <w:r w:rsidR="00A3617F">
        <w:t xml:space="preserve">less than </w:t>
      </w:r>
      <w:r w:rsidRPr="00A3617F">
        <w:t xml:space="preserve">9 or 9 </w:t>
      </w:r>
      <w:r w:rsidR="00A3617F">
        <w:t xml:space="preserve">or more </w:t>
      </w:r>
      <w:r w:rsidRPr="00A3617F">
        <w:t xml:space="preserve">bleeding episodes during the past 24 weeks prior to screening) as factors, and baseline SF-36 v2 as covariates. The treatment difference at </w:t>
      </w:r>
      <w:r w:rsidR="00A3617F">
        <w:t>W</w:t>
      </w:r>
      <w:r w:rsidRPr="00A3617F">
        <w:t>eek 24</w:t>
      </w:r>
      <w:r w:rsidRPr="00C60464">
        <w:t xml:space="preserve"> was estimated, with the 95% CI. Superiority of </w:t>
      </w:r>
      <w:r w:rsidRPr="00C60464">
        <w:lastRenderedPageBreak/>
        <w:t>concizumab prophylaxis over on</w:t>
      </w:r>
      <w:r w:rsidR="00A3617F">
        <w:noBreakHyphen/>
      </w:r>
      <w:r w:rsidRPr="00C60464">
        <w:t>demand treatment would be concluded if the upper limit of the CI was below 0.</w:t>
      </w:r>
    </w:p>
    <w:p w14:paraId="35E08298" w14:textId="12E2143B" w:rsidR="00C60464" w:rsidRPr="00C60464" w:rsidRDefault="00A3617F" w:rsidP="00C60464">
      <w:r>
        <w:t xml:space="preserve">Patient reported outcomes </w:t>
      </w:r>
      <w:r w:rsidR="00C60464" w:rsidRPr="00C60464">
        <w:t xml:space="preserve">were analysed using the </w:t>
      </w:r>
      <w:r>
        <w:t>on treatment without data on initial regimen (</w:t>
      </w:r>
      <w:proofErr w:type="spellStart"/>
      <w:r w:rsidR="00C60464" w:rsidRPr="00C60464">
        <w:t>OTexIR</w:t>
      </w:r>
      <w:proofErr w:type="spellEnd"/>
      <w:r>
        <w:t>)</w:t>
      </w:r>
      <w:r w:rsidR="00C60464" w:rsidRPr="00C60464">
        <w:t xml:space="preserve"> analysis data set. The </w:t>
      </w:r>
      <w:proofErr w:type="spellStart"/>
      <w:r w:rsidR="00C60464" w:rsidRPr="00C60464">
        <w:t>OTexIR</w:t>
      </w:r>
      <w:proofErr w:type="spellEnd"/>
      <w:r w:rsidR="00C60464" w:rsidRPr="00C60464">
        <w:t xml:space="preserve"> dataset was chosen because data collected during use of the post-pause concizumab PPX regimen were considered the most appropriate, and because no patient had a </w:t>
      </w:r>
      <w:proofErr w:type="gramStart"/>
      <w:r w:rsidR="00C60464" w:rsidRPr="00C60464">
        <w:t>24</w:t>
      </w:r>
      <w:r>
        <w:t xml:space="preserve"> </w:t>
      </w:r>
      <w:r w:rsidR="00C60464" w:rsidRPr="00C60464">
        <w:t>week</w:t>
      </w:r>
      <w:proofErr w:type="gramEnd"/>
      <w:r w:rsidR="00C60464" w:rsidRPr="00C60464">
        <w:t xml:space="preserve"> measurement under the pre-pause PPX regimen.</w:t>
      </w:r>
    </w:p>
    <w:p w14:paraId="00FEC03D" w14:textId="77777777" w:rsidR="00C60464" w:rsidRPr="00C60464" w:rsidRDefault="00C60464" w:rsidP="00C60464">
      <w:r w:rsidRPr="00C60464">
        <w:t xml:space="preserve">Hierarchical testing of endpoints (ABR </w:t>
      </w:r>
      <w:r w:rsidRPr="00C60464">
        <w:sym w:font="Wingdings" w:char="F0E0"/>
      </w:r>
      <w:r w:rsidRPr="00C60464">
        <w:t xml:space="preserve"> SF-36v2 bodily pain </w:t>
      </w:r>
      <w:r w:rsidRPr="00C60464">
        <w:sym w:font="Wingdings" w:char="F0E0"/>
      </w:r>
      <w:r w:rsidRPr="00C60464">
        <w:t xml:space="preserve"> SF-36v2 physical functioning) was used to control type I error at the 5% significance level. No adjustments for multiplicity of testing were implemented for other endpoints. No interim analyses were planned or conducted.</w:t>
      </w:r>
    </w:p>
    <w:p w14:paraId="4A6189CB" w14:textId="5F1C7911" w:rsidR="00C60464" w:rsidRPr="00C60464" w:rsidRDefault="00C60464" w:rsidP="00C60464">
      <w:pPr>
        <w:pStyle w:val="Heading6"/>
      </w:pPr>
      <w:r w:rsidRPr="00C60464">
        <w:t>Explorer7 population characteristics</w:t>
      </w:r>
      <w:r w:rsidR="00572F9F">
        <w:fldChar w:fldCharType="begin"/>
      </w:r>
      <w:r w:rsidR="00572F9F">
        <w:instrText xml:space="preserve"> DOCVARIABLE vault_nd_ba5deda0-e41f-4bc5-9ebe-0d2d5dcf15f7 \* MERGEFORMAT </w:instrText>
      </w:r>
      <w:r w:rsidR="00572F9F">
        <w:fldChar w:fldCharType="separate"/>
      </w:r>
      <w:r w:rsidR="001B5D20">
        <w:t xml:space="preserve"> </w:t>
      </w:r>
      <w:r w:rsidR="00572F9F">
        <w:fldChar w:fldCharType="end"/>
      </w:r>
    </w:p>
    <w:p w14:paraId="1AF01DC5" w14:textId="2E267E79" w:rsidR="00C60464" w:rsidRDefault="00C60464" w:rsidP="00C60464">
      <w:r w:rsidRPr="00C60464">
        <w:t xml:space="preserve">In total, there were 19 patients randomised to Arm 1 and 33 patients randomised to Arm 2. Baseline demographic data for the FAS </w:t>
      </w:r>
      <w:proofErr w:type="spellStart"/>
      <w:r w:rsidRPr="00C60464">
        <w:t>OTexIR</w:t>
      </w:r>
      <w:proofErr w:type="spellEnd"/>
      <w:r w:rsidRPr="00C60464">
        <w:t xml:space="preserve"> dataset (that is excluding subjects who only received concizumab pre-pause)</w:t>
      </w:r>
      <w:r>
        <w:t xml:space="preserve"> (see </w:t>
      </w:r>
      <w:r>
        <w:fldChar w:fldCharType="begin"/>
      </w:r>
      <w:r>
        <w:instrText xml:space="preserve"> REF _Ref149647158 \h </w:instrText>
      </w:r>
      <w:r>
        <w:fldChar w:fldCharType="separate"/>
      </w:r>
      <w:r w:rsidR="001B5D20" w:rsidRPr="00C60464">
        <w:t xml:space="preserve">Table </w:t>
      </w:r>
      <w:r w:rsidR="001B5D20">
        <w:rPr>
          <w:noProof/>
        </w:rPr>
        <w:t>8</w:t>
      </w:r>
      <w:r>
        <w:fldChar w:fldCharType="end"/>
      </w:r>
      <w:r>
        <w:t>)</w:t>
      </w:r>
      <w:r w:rsidRPr="00C60464">
        <w:t>.</w:t>
      </w:r>
    </w:p>
    <w:p w14:paraId="2DEE1DDF" w14:textId="34F3C30E" w:rsidR="00C60464" w:rsidRDefault="00C60464" w:rsidP="00C60464">
      <w:pPr>
        <w:pStyle w:val="TableTitle"/>
      </w:pPr>
      <w:bookmarkStart w:id="94" w:name="_Ref149647158"/>
      <w:r w:rsidRPr="00C60464">
        <w:t xml:space="preserve">Table </w:t>
      </w:r>
      <w:r w:rsidR="00572F9F">
        <w:fldChar w:fldCharType="begin"/>
      </w:r>
      <w:r w:rsidR="00572F9F">
        <w:instrText xml:space="preserve"> SEQ Table \* ARABIC </w:instrText>
      </w:r>
      <w:r w:rsidR="00572F9F">
        <w:fldChar w:fldCharType="separate"/>
      </w:r>
      <w:r w:rsidR="001B5D20">
        <w:rPr>
          <w:noProof/>
        </w:rPr>
        <w:t>8</w:t>
      </w:r>
      <w:r w:rsidR="00572F9F">
        <w:rPr>
          <w:noProof/>
        </w:rPr>
        <w:fldChar w:fldCharType="end"/>
      </w:r>
      <w:bookmarkEnd w:id="94"/>
      <w:r w:rsidRPr="00C60464">
        <w:t xml:space="preserve">: Study 4311 </w:t>
      </w:r>
      <w:r w:rsidR="00A3617F">
        <w:t>b</w:t>
      </w:r>
      <w:r w:rsidRPr="00C60464">
        <w:t>aseline demographics (</w:t>
      </w:r>
      <w:r w:rsidR="00A3617F">
        <w:t xml:space="preserve">full analysis set, </w:t>
      </w:r>
      <w:r w:rsidR="00A3617F" w:rsidRPr="00A3617F">
        <w:t xml:space="preserve">on treatment without data on initial regimen </w:t>
      </w:r>
      <w:r w:rsidRPr="00C60464">
        <w:t>dataset)</w:t>
      </w:r>
      <w:r w:rsidR="00572F9F">
        <w:fldChar w:fldCharType="begin"/>
      </w:r>
      <w:r w:rsidR="00572F9F">
        <w:instrText xml:space="preserve"> DOCVARIABLE vault_nd_2f23785f-da02-4875-a75c-1f5ae4d5b3d2 \* MERGEFORMAT </w:instrText>
      </w:r>
      <w:r w:rsidR="00572F9F">
        <w:fldChar w:fldCharType="separate"/>
      </w:r>
      <w:r w:rsidR="001B5D20">
        <w:t xml:space="preserve"> </w:t>
      </w:r>
      <w:r w:rsidR="00572F9F">
        <w:fldChar w:fldCharType="end"/>
      </w:r>
    </w:p>
    <w:p w14:paraId="7F1EDBEF" w14:textId="1C7BC053" w:rsidR="00C60464" w:rsidRPr="00C60464" w:rsidRDefault="00C60464" w:rsidP="00C60464">
      <w:r w:rsidRPr="00B11634">
        <w:rPr>
          <w:noProof/>
          <w:sz w:val="18"/>
        </w:rPr>
        <w:drawing>
          <wp:inline distT="0" distB="0" distL="0" distR="0" wp14:anchorId="0272B2C0" wp14:editId="101B66D3">
            <wp:extent cx="5540977" cy="2584174"/>
            <wp:effectExtent l="0" t="0" r="3175" b="6985"/>
            <wp:docPr id="17" name="Picture 17" descr="Study 4311 Baseline demographics (full analysis set, on treatment without data on initial regimen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4311 Baseline demographics (full analysis set, on treatment without data on initial regimen dataset)"/>
                    <pic:cNvPicPr>
                      <a:picLocks noChangeAspect="1" noChangeArrowheads="1"/>
                    </pic:cNvPicPr>
                  </pic:nvPicPr>
                  <pic:blipFill rotWithShape="1">
                    <a:blip r:embed="rId31">
                      <a:extLst>
                        <a:ext uri="{28A0092B-C50C-407E-A947-70E740481C1C}">
                          <a14:useLocalDpi xmlns:a14="http://schemas.microsoft.com/office/drawing/2010/main" val="0"/>
                        </a:ext>
                      </a:extLst>
                    </a:blip>
                    <a:srcRect b="12614"/>
                    <a:stretch/>
                  </pic:blipFill>
                  <pic:spPr bwMode="auto">
                    <a:xfrm>
                      <a:off x="0" y="0"/>
                      <a:ext cx="5550130" cy="2588443"/>
                    </a:xfrm>
                    <a:prstGeom prst="rect">
                      <a:avLst/>
                    </a:prstGeom>
                    <a:noFill/>
                    <a:ln>
                      <a:noFill/>
                    </a:ln>
                    <a:extLst>
                      <a:ext uri="{53640926-AAD7-44D8-BBD7-CCE9431645EC}">
                        <a14:shadowObscured xmlns:a14="http://schemas.microsoft.com/office/drawing/2010/main"/>
                      </a:ext>
                    </a:extLst>
                  </pic:spPr>
                </pic:pic>
              </a:graphicData>
            </a:graphic>
          </wp:inline>
        </w:drawing>
      </w:r>
      <w:r w:rsidRPr="00B11634">
        <w:rPr>
          <w:noProof/>
        </w:rPr>
        <w:drawing>
          <wp:inline distT="0" distB="0" distL="0" distR="0" wp14:anchorId="528DE400" wp14:editId="385FABDD">
            <wp:extent cx="5540375" cy="1736881"/>
            <wp:effectExtent l="0" t="0" r="3175"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raphical user interface&#10;&#10;Description automatically generated with medium confidence"/>
                    <pic:cNvPicPr>
                      <a:picLocks noChangeAspect="1" noChangeArrowheads="1"/>
                    </pic:cNvPicPr>
                  </pic:nvPicPr>
                  <pic:blipFill rotWithShape="1">
                    <a:blip r:embed="rId32">
                      <a:extLst>
                        <a:ext uri="{28A0092B-C50C-407E-A947-70E740481C1C}">
                          <a14:useLocalDpi xmlns:a14="http://schemas.microsoft.com/office/drawing/2010/main" val="0"/>
                        </a:ext>
                      </a:extLst>
                    </a:blip>
                    <a:srcRect t="18924"/>
                    <a:stretch/>
                  </pic:blipFill>
                  <pic:spPr bwMode="auto">
                    <a:xfrm>
                      <a:off x="0" y="0"/>
                      <a:ext cx="5547575" cy="1739138"/>
                    </a:xfrm>
                    <a:prstGeom prst="rect">
                      <a:avLst/>
                    </a:prstGeom>
                    <a:noFill/>
                    <a:ln>
                      <a:noFill/>
                    </a:ln>
                    <a:extLst>
                      <a:ext uri="{53640926-AAD7-44D8-BBD7-CCE9431645EC}">
                        <a14:shadowObscured xmlns:a14="http://schemas.microsoft.com/office/drawing/2010/main"/>
                      </a:ext>
                    </a:extLst>
                  </pic:spPr>
                </pic:pic>
              </a:graphicData>
            </a:graphic>
          </wp:inline>
        </w:drawing>
      </w:r>
    </w:p>
    <w:p w14:paraId="08B2CD0F" w14:textId="77777777" w:rsidR="00C60464" w:rsidRPr="00C60464" w:rsidRDefault="00C60464" w:rsidP="00C60464">
      <w:bookmarkStart w:id="95" w:name="_Hlk132968267"/>
      <w:r w:rsidRPr="00C60464">
        <w:t>All subjects were male. Across all four arms of the study, a third of patients were adolescents, 57% were Caucasian and 30% were Asian. In keeping with the small study size, baseline demographics were not perfectly balanced by randomisation: the proportion of adolescent patients was 23% higher and the proportion of Asian patients was 13% higher in Arm 2 than Arm 1.</w:t>
      </w:r>
    </w:p>
    <w:bookmarkEnd w:id="95"/>
    <w:p w14:paraId="4E717EA8" w14:textId="75E33B74" w:rsidR="00C60464" w:rsidRDefault="00C60464" w:rsidP="00C60464">
      <w:r w:rsidRPr="00C60464">
        <w:t>Baseline haemophilia details are shown in</w:t>
      </w:r>
      <w:r>
        <w:t xml:space="preserve"> </w:t>
      </w:r>
      <w:r>
        <w:fldChar w:fldCharType="begin"/>
      </w:r>
      <w:r>
        <w:instrText xml:space="preserve"> REF _Ref149647281 \h </w:instrText>
      </w:r>
      <w:r>
        <w:fldChar w:fldCharType="separate"/>
      </w:r>
      <w:r w:rsidR="001B5D20" w:rsidRPr="00C60464">
        <w:t xml:space="preserve">Table </w:t>
      </w:r>
      <w:r w:rsidR="001B5D20">
        <w:rPr>
          <w:noProof/>
        </w:rPr>
        <w:t>9</w:t>
      </w:r>
      <w:r>
        <w:fldChar w:fldCharType="end"/>
      </w:r>
      <w:r>
        <w:t xml:space="preserve">. </w:t>
      </w:r>
      <w:r w:rsidRPr="00C60464">
        <w:t>Approximately 60% had HA and 40% had HB. The proportion of patients with HB was 12% higher in Arm 1 than Arm 2.</w:t>
      </w:r>
    </w:p>
    <w:p w14:paraId="6A2EA5BB" w14:textId="4B945227" w:rsidR="00C60464" w:rsidRDefault="00C60464" w:rsidP="00C60464">
      <w:pPr>
        <w:pStyle w:val="TableTitle"/>
      </w:pPr>
      <w:bookmarkStart w:id="96" w:name="_Ref149647281"/>
      <w:r w:rsidRPr="00C60464">
        <w:lastRenderedPageBreak/>
        <w:t xml:space="preserve">Table </w:t>
      </w:r>
      <w:r w:rsidR="00572F9F">
        <w:fldChar w:fldCharType="begin"/>
      </w:r>
      <w:r w:rsidR="00572F9F">
        <w:instrText xml:space="preserve"> SEQ Table \* ARABIC </w:instrText>
      </w:r>
      <w:r w:rsidR="00572F9F">
        <w:fldChar w:fldCharType="separate"/>
      </w:r>
      <w:r w:rsidR="001B5D20">
        <w:rPr>
          <w:noProof/>
        </w:rPr>
        <w:t>9</w:t>
      </w:r>
      <w:r w:rsidR="00572F9F">
        <w:rPr>
          <w:noProof/>
        </w:rPr>
        <w:fldChar w:fldCharType="end"/>
      </w:r>
      <w:bookmarkEnd w:id="96"/>
      <w:r w:rsidRPr="00C60464">
        <w:t>:</w:t>
      </w:r>
      <w:r>
        <w:t xml:space="preserve"> </w:t>
      </w:r>
      <w:r w:rsidRPr="002E4723">
        <w:t>Study 4311</w:t>
      </w:r>
      <w:r w:rsidR="005715BC">
        <w:t xml:space="preserve"> b</w:t>
      </w:r>
      <w:r w:rsidRPr="002E4723">
        <w:t>aseline haemophilia details (</w:t>
      </w:r>
      <w:r w:rsidR="005715BC" w:rsidRPr="005715BC">
        <w:t xml:space="preserve">full analysis set, on treatment without data on initial regimen </w:t>
      </w:r>
      <w:r w:rsidRPr="002E4723">
        <w:t>dataset)</w:t>
      </w:r>
      <w:r w:rsidR="00572F9F">
        <w:fldChar w:fldCharType="begin"/>
      </w:r>
      <w:r w:rsidR="00572F9F">
        <w:instrText xml:space="preserve"> DOCVARIABLE vault_nd_94ec6f2d-f54e-474b-8e86-685f42b05e76 \* MERGEFORMAT </w:instrText>
      </w:r>
      <w:r w:rsidR="00572F9F">
        <w:fldChar w:fldCharType="separate"/>
      </w:r>
      <w:r w:rsidR="001B5D20">
        <w:t xml:space="preserve"> </w:t>
      </w:r>
      <w:r w:rsidR="00572F9F">
        <w:fldChar w:fldCharType="end"/>
      </w:r>
    </w:p>
    <w:p w14:paraId="5BDD9F92" w14:textId="784384EB" w:rsidR="00C60464" w:rsidRPr="00C60464" w:rsidRDefault="00C60464" w:rsidP="00C60464">
      <w:r w:rsidRPr="00C60464">
        <w:rPr>
          <w:noProof/>
        </w:rPr>
        <w:drawing>
          <wp:inline distT="0" distB="0" distL="0" distR="0" wp14:anchorId="514F3098" wp14:editId="763C4C10">
            <wp:extent cx="5759450" cy="2990850"/>
            <wp:effectExtent l="0" t="0" r="0" b="0"/>
            <wp:docPr id="5" name="Picture 5" descr="Study 4311 baseline haemophilia details (full analysis set, on treatment without data on initial regimen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4311 baseline haemophilia details (full analysis set, on treatment without data on initial regimen dataset)"/>
                    <pic:cNvPicPr/>
                  </pic:nvPicPr>
                  <pic:blipFill>
                    <a:blip r:embed="rId33"/>
                    <a:stretch>
                      <a:fillRect/>
                    </a:stretch>
                  </pic:blipFill>
                  <pic:spPr>
                    <a:xfrm>
                      <a:off x="0" y="0"/>
                      <a:ext cx="5759450" cy="2990850"/>
                    </a:xfrm>
                    <a:prstGeom prst="rect">
                      <a:avLst/>
                    </a:prstGeom>
                  </pic:spPr>
                </pic:pic>
              </a:graphicData>
            </a:graphic>
          </wp:inline>
        </w:drawing>
      </w:r>
    </w:p>
    <w:p w14:paraId="7314D46F" w14:textId="4BD39E7A" w:rsidR="00C60464" w:rsidRPr="00C60464" w:rsidRDefault="00C60464" w:rsidP="00C60464">
      <w:r w:rsidRPr="00C60464">
        <w:t xml:space="preserve">The enrolment criteria required a historical (rather than a baseline) inhibitor test with a result of at least 0.6 </w:t>
      </w:r>
      <w:r w:rsidR="005715BC">
        <w:t>Bethesda units (</w:t>
      </w:r>
      <w:r w:rsidRPr="00C60464">
        <w:t>BU</w:t>
      </w:r>
      <w:r w:rsidR="005715BC">
        <w:t>)</w:t>
      </w:r>
      <w:r w:rsidRPr="00C60464">
        <w:t>, which is appropriate because it avoids excluding patients with inhibitors that have become undetectable due to lack of antigenic challenge</w:t>
      </w:r>
      <w:r>
        <w:t xml:space="preserve"> (see </w:t>
      </w:r>
      <w:r>
        <w:fldChar w:fldCharType="begin"/>
      </w:r>
      <w:r>
        <w:instrText xml:space="preserve"> REF _Ref149647327 \h </w:instrText>
      </w:r>
      <w:r>
        <w:fldChar w:fldCharType="separate"/>
      </w:r>
      <w:r w:rsidR="001B5D20">
        <w:t>Clotting factor replacement and inhibitors</w:t>
      </w:r>
      <w:r>
        <w:fldChar w:fldCharType="end"/>
      </w:r>
      <w:r>
        <w:t>)</w:t>
      </w:r>
      <w:r w:rsidRPr="00C60464">
        <w:t>. The inclusion criteria also required a recent need for treatment with a bypassing agent. Historical inhibitor status and prescription of bypassing agents were confirmed through monitor review of individual medical records.</w:t>
      </w:r>
    </w:p>
    <w:p w14:paraId="0126ABA0" w14:textId="61E9D8BB" w:rsidR="00C60464" w:rsidRDefault="00C60464" w:rsidP="00C60464">
      <w:r w:rsidRPr="00C60464">
        <w:t xml:space="preserve">There were numerical imbalances at </w:t>
      </w:r>
      <w:r w:rsidR="005715BC">
        <w:t>B</w:t>
      </w:r>
      <w:r w:rsidRPr="00C60464">
        <w:t>aseline in inhibitor level. Inhibitor levels were to be measured at the screening visit, and results are summarised in</w:t>
      </w:r>
      <w:r>
        <w:t xml:space="preserve"> (see </w:t>
      </w:r>
      <w:r>
        <w:fldChar w:fldCharType="begin"/>
      </w:r>
      <w:r>
        <w:instrText xml:space="preserve"> REF _Ref149647416 \h </w:instrText>
      </w:r>
      <w:r>
        <w:fldChar w:fldCharType="separate"/>
      </w:r>
      <w:r w:rsidR="001B5D20" w:rsidRPr="00C60464">
        <w:t xml:space="preserve">Table </w:t>
      </w:r>
      <w:r w:rsidR="001B5D20">
        <w:rPr>
          <w:noProof/>
        </w:rPr>
        <w:t>10</w:t>
      </w:r>
      <w:r>
        <w:fldChar w:fldCharType="end"/>
      </w:r>
      <w:r>
        <w:t>).</w:t>
      </w:r>
      <w:r w:rsidRPr="00C60464">
        <w:t xml:space="preserve"> At screening, a higher proportion of subjects in Arm 1 had high-responding inhibitors (59% v</w:t>
      </w:r>
      <w:r>
        <w:t>ersus</w:t>
      </w:r>
      <w:r w:rsidRPr="00C60464">
        <w:t xml:space="preserve"> 21%). Median inhibitor concentration was 6.30 BU in Arm 1 and 1.85 BU in Arm 2.</w:t>
      </w:r>
    </w:p>
    <w:p w14:paraId="520F44B1" w14:textId="3AEA6DAA" w:rsidR="00C60464" w:rsidRDefault="00C60464" w:rsidP="00C60464">
      <w:pPr>
        <w:pStyle w:val="TableTitle"/>
      </w:pPr>
      <w:bookmarkStart w:id="97" w:name="_Ref149647416"/>
      <w:r w:rsidRPr="00C60464">
        <w:t xml:space="preserve">Table </w:t>
      </w:r>
      <w:r w:rsidR="00572F9F">
        <w:fldChar w:fldCharType="begin"/>
      </w:r>
      <w:r w:rsidR="00572F9F">
        <w:instrText xml:space="preserve"> SEQ Table \* ARABIC </w:instrText>
      </w:r>
      <w:r w:rsidR="00572F9F">
        <w:fldChar w:fldCharType="separate"/>
      </w:r>
      <w:r w:rsidR="001B5D20">
        <w:rPr>
          <w:noProof/>
        </w:rPr>
        <w:t>10</w:t>
      </w:r>
      <w:r w:rsidR="00572F9F">
        <w:rPr>
          <w:noProof/>
        </w:rPr>
        <w:fldChar w:fldCharType="end"/>
      </w:r>
      <w:bookmarkEnd w:id="97"/>
      <w:r>
        <w:t xml:space="preserve">: </w:t>
      </w:r>
      <w:r w:rsidRPr="002E4723">
        <w:t xml:space="preserve">Study 4311 </w:t>
      </w:r>
      <w:r w:rsidR="005715BC">
        <w:t>b</w:t>
      </w:r>
      <w:r w:rsidRPr="002E4723">
        <w:rPr>
          <w:rFonts w:eastAsia="Calibri"/>
        </w:rPr>
        <w:t>aseline inhibitor test results</w:t>
      </w:r>
      <w:r w:rsidR="0048603E">
        <w:rPr>
          <w:rFonts w:eastAsia="Calibri"/>
        </w:rPr>
        <w:fldChar w:fldCharType="begin"/>
      </w:r>
      <w:r w:rsidR="0048603E">
        <w:rPr>
          <w:rFonts w:eastAsia="Calibri"/>
        </w:rPr>
        <w:instrText xml:space="preserve"> DOCVARIABLE vault_nd_df69e6c1-1f57-41ce-a361-c9abebaf0e25 \* MERGEFORMAT </w:instrText>
      </w:r>
      <w:r w:rsidR="0048603E">
        <w:rPr>
          <w:rFonts w:eastAsia="Calibri"/>
        </w:rPr>
        <w:fldChar w:fldCharType="separate"/>
      </w:r>
      <w:r w:rsidR="001B5D20">
        <w:rPr>
          <w:rFonts w:eastAsia="Calibri"/>
        </w:rPr>
        <w:t xml:space="preserve"> </w:t>
      </w:r>
      <w:r w:rsidR="0048603E">
        <w:rPr>
          <w:rFonts w:eastAsia="Calibri"/>
        </w:rPr>
        <w:fldChar w:fldCharType="end"/>
      </w:r>
    </w:p>
    <w:tbl>
      <w:tblPr>
        <w:tblStyle w:val="TableTGAblue2023"/>
        <w:tblW w:w="8921" w:type="dxa"/>
        <w:tblLayout w:type="fixed"/>
        <w:tblLook w:val="04A0" w:firstRow="1" w:lastRow="0" w:firstColumn="1" w:lastColumn="0" w:noHBand="0" w:noVBand="1"/>
      </w:tblPr>
      <w:tblGrid>
        <w:gridCol w:w="3818"/>
        <w:gridCol w:w="2551"/>
        <w:gridCol w:w="2552"/>
      </w:tblGrid>
      <w:tr w:rsidR="00C60464" w:rsidRPr="00C60464" w14:paraId="3B5A7294" w14:textId="77777777" w:rsidTr="00C604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18" w:type="dxa"/>
          </w:tcPr>
          <w:p w14:paraId="41ED1CFA" w14:textId="77777777" w:rsidR="00C60464" w:rsidRPr="00C60464" w:rsidRDefault="00C60464">
            <w:pPr>
              <w:spacing w:before="0" w:after="0" w:line="240" w:lineRule="auto"/>
              <w:ind w:left="0"/>
              <w:rPr>
                <w:lang w:eastAsia="en-US"/>
              </w:rPr>
            </w:pPr>
          </w:p>
        </w:tc>
        <w:tc>
          <w:tcPr>
            <w:tcW w:w="2551" w:type="dxa"/>
          </w:tcPr>
          <w:p w14:paraId="407D788A" w14:textId="709AAB58" w:rsidR="00C60464" w:rsidRPr="00C60464" w:rsidRDefault="00C6046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lang w:eastAsia="en-US"/>
              </w:rPr>
            </w:pPr>
            <w:r w:rsidRPr="00C60464">
              <w:rPr>
                <w:bCs/>
                <w:lang w:eastAsia="en-US"/>
              </w:rPr>
              <w:t>Arm 1 (n</w:t>
            </w:r>
            <w:r w:rsidR="005715BC">
              <w:rPr>
                <w:bCs/>
                <w:lang w:eastAsia="en-US"/>
              </w:rPr>
              <w:t> </w:t>
            </w:r>
            <w:r w:rsidRPr="00C60464">
              <w:rPr>
                <w:bCs/>
                <w:lang w:eastAsia="en-US"/>
              </w:rPr>
              <w:t>=</w:t>
            </w:r>
            <w:r w:rsidR="005715BC">
              <w:rPr>
                <w:bCs/>
                <w:lang w:eastAsia="en-US"/>
              </w:rPr>
              <w:t> </w:t>
            </w:r>
            <w:r w:rsidRPr="00C60464">
              <w:rPr>
                <w:bCs/>
                <w:lang w:eastAsia="en-US"/>
              </w:rPr>
              <w:t>17)</w:t>
            </w:r>
          </w:p>
        </w:tc>
        <w:tc>
          <w:tcPr>
            <w:tcW w:w="2552" w:type="dxa"/>
          </w:tcPr>
          <w:p w14:paraId="2886182E" w14:textId="05F01687" w:rsidR="00C60464" w:rsidRPr="00C60464" w:rsidRDefault="00C6046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lang w:eastAsia="en-US"/>
              </w:rPr>
            </w:pPr>
            <w:r w:rsidRPr="00C60464">
              <w:rPr>
                <w:bCs/>
                <w:lang w:eastAsia="en-US"/>
              </w:rPr>
              <w:t>Arm 2 (n</w:t>
            </w:r>
            <w:r w:rsidR="005715BC">
              <w:rPr>
                <w:bCs/>
                <w:lang w:eastAsia="en-US"/>
              </w:rPr>
              <w:t> </w:t>
            </w:r>
            <w:r w:rsidRPr="00C60464">
              <w:rPr>
                <w:bCs/>
                <w:lang w:eastAsia="en-US"/>
              </w:rPr>
              <w:t>=</w:t>
            </w:r>
            <w:r w:rsidR="005715BC">
              <w:rPr>
                <w:bCs/>
                <w:lang w:eastAsia="en-US"/>
              </w:rPr>
              <w:t> </w:t>
            </w:r>
            <w:r w:rsidRPr="00C60464">
              <w:rPr>
                <w:bCs/>
                <w:lang w:eastAsia="en-US"/>
              </w:rPr>
              <w:t>28)</w:t>
            </w:r>
          </w:p>
        </w:tc>
      </w:tr>
      <w:tr w:rsidR="00C60464" w:rsidRPr="00C60464" w14:paraId="6BB53C41" w14:textId="77777777" w:rsidTr="00C60464">
        <w:trPr>
          <w:trHeight w:val="20"/>
        </w:trPr>
        <w:tc>
          <w:tcPr>
            <w:cnfStyle w:val="001000000000" w:firstRow="0" w:lastRow="0" w:firstColumn="1" w:lastColumn="0" w:oddVBand="0" w:evenVBand="0" w:oddHBand="0" w:evenHBand="0" w:firstRowFirstColumn="0" w:firstRowLastColumn="0" w:lastRowFirstColumn="0" w:lastRowLastColumn="0"/>
            <w:tcW w:w="3818" w:type="dxa"/>
          </w:tcPr>
          <w:p w14:paraId="17EA77C0" w14:textId="77777777" w:rsidR="00C60464" w:rsidRPr="00C60464" w:rsidRDefault="00C60464">
            <w:pPr>
              <w:spacing w:before="0" w:after="0" w:line="240" w:lineRule="auto"/>
              <w:rPr>
                <w:lang w:eastAsia="en-US"/>
              </w:rPr>
            </w:pPr>
            <w:r w:rsidRPr="00C60464">
              <w:rPr>
                <w:lang w:eastAsia="en-US"/>
              </w:rPr>
              <w:t>&lt; 0.6 BU</w:t>
            </w:r>
          </w:p>
        </w:tc>
        <w:tc>
          <w:tcPr>
            <w:tcW w:w="2551" w:type="dxa"/>
          </w:tcPr>
          <w:p w14:paraId="1900CE61"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4 (24%)</w:t>
            </w:r>
          </w:p>
        </w:tc>
        <w:tc>
          <w:tcPr>
            <w:tcW w:w="2552" w:type="dxa"/>
          </w:tcPr>
          <w:p w14:paraId="4EFA199B"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9 (32%)</w:t>
            </w:r>
          </w:p>
        </w:tc>
      </w:tr>
      <w:tr w:rsidR="00C60464" w:rsidRPr="00C60464" w14:paraId="430621B5" w14:textId="77777777" w:rsidTr="00C60464">
        <w:trPr>
          <w:trHeight w:val="20"/>
        </w:trPr>
        <w:tc>
          <w:tcPr>
            <w:cnfStyle w:val="001000000000" w:firstRow="0" w:lastRow="0" w:firstColumn="1" w:lastColumn="0" w:oddVBand="0" w:evenVBand="0" w:oddHBand="0" w:evenHBand="0" w:firstRowFirstColumn="0" w:firstRowLastColumn="0" w:lastRowFirstColumn="0" w:lastRowLastColumn="0"/>
            <w:tcW w:w="3818" w:type="dxa"/>
          </w:tcPr>
          <w:p w14:paraId="22D56780" w14:textId="77777777" w:rsidR="00C60464" w:rsidRPr="00C60464" w:rsidRDefault="00C60464">
            <w:pPr>
              <w:spacing w:before="0" w:after="0" w:line="240" w:lineRule="auto"/>
              <w:rPr>
                <w:lang w:eastAsia="en-US"/>
              </w:rPr>
            </w:pPr>
            <w:r w:rsidRPr="00C60464">
              <w:rPr>
                <w:lang w:eastAsia="en-US"/>
              </w:rPr>
              <w:t>≥ 0.6 and &lt; 5.0 BU</w:t>
            </w:r>
          </w:p>
        </w:tc>
        <w:tc>
          <w:tcPr>
            <w:tcW w:w="2551" w:type="dxa"/>
          </w:tcPr>
          <w:p w14:paraId="6FF063E7"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3 (18%)</w:t>
            </w:r>
          </w:p>
        </w:tc>
        <w:tc>
          <w:tcPr>
            <w:tcW w:w="2552" w:type="dxa"/>
          </w:tcPr>
          <w:p w14:paraId="74357CEA"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13 (46%)</w:t>
            </w:r>
          </w:p>
        </w:tc>
      </w:tr>
      <w:tr w:rsidR="00C60464" w:rsidRPr="00C60464" w14:paraId="30D1AC21" w14:textId="77777777" w:rsidTr="00C60464">
        <w:trPr>
          <w:trHeight w:val="20"/>
        </w:trPr>
        <w:tc>
          <w:tcPr>
            <w:cnfStyle w:val="001000000000" w:firstRow="0" w:lastRow="0" w:firstColumn="1" w:lastColumn="0" w:oddVBand="0" w:evenVBand="0" w:oddHBand="0" w:evenHBand="0" w:firstRowFirstColumn="0" w:firstRowLastColumn="0" w:lastRowFirstColumn="0" w:lastRowLastColumn="0"/>
            <w:tcW w:w="3818" w:type="dxa"/>
          </w:tcPr>
          <w:p w14:paraId="5D47EA9A" w14:textId="77777777" w:rsidR="00C60464" w:rsidRPr="00C60464" w:rsidRDefault="00C60464">
            <w:pPr>
              <w:spacing w:before="0" w:after="0" w:line="240" w:lineRule="auto"/>
              <w:rPr>
                <w:lang w:eastAsia="en-US"/>
              </w:rPr>
            </w:pPr>
            <w:r w:rsidRPr="00C60464">
              <w:rPr>
                <w:lang w:eastAsia="en-US"/>
              </w:rPr>
              <w:t>≥ 5.0 BU</w:t>
            </w:r>
          </w:p>
        </w:tc>
        <w:tc>
          <w:tcPr>
            <w:tcW w:w="2551" w:type="dxa"/>
          </w:tcPr>
          <w:p w14:paraId="2B000B96"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10 (59%)</w:t>
            </w:r>
          </w:p>
        </w:tc>
        <w:tc>
          <w:tcPr>
            <w:tcW w:w="2552" w:type="dxa"/>
          </w:tcPr>
          <w:p w14:paraId="3BC933B6"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C60464">
              <w:rPr>
                <w:lang w:eastAsia="en-US"/>
              </w:rPr>
              <w:t>6 (21%)</w:t>
            </w:r>
          </w:p>
        </w:tc>
      </w:tr>
    </w:tbl>
    <w:p w14:paraId="4392D1FF" w14:textId="45BBD01D" w:rsidR="00C60464" w:rsidRPr="00C60464" w:rsidRDefault="00C60464" w:rsidP="00C60464">
      <w:pPr>
        <w:spacing w:before="120"/>
      </w:pPr>
      <w:r w:rsidRPr="00C60464">
        <w:t>Information on previous inhibitor concentrations was also collected at screening. Results for the most recent inhibitor concentration prior to study entry are summarised in</w:t>
      </w:r>
      <w:r>
        <w:t xml:space="preserve"> </w:t>
      </w:r>
      <w:r>
        <w:fldChar w:fldCharType="begin"/>
      </w:r>
      <w:r>
        <w:instrText xml:space="preserve"> REF _Ref149647437 \h </w:instrText>
      </w:r>
      <w:r>
        <w:fldChar w:fldCharType="separate"/>
      </w:r>
      <w:r w:rsidR="001B5D20" w:rsidRPr="00C60464">
        <w:t xml:space="preserve">Table </w:t>
      </w:r>
      <w:r w:rsidR="001B5D20">
        <w:rPr>
          <w:noProof/>
        </w:rPr>
        <w:t>11</w:t>
      </w:r>
      <w:r>
        <w:fldChar w:fldCharType="end"/>
      </w:r>
      <w:r>
        <w:t xml:space="preserve">. </w:t>
      </w:r>
      <w:r w:rsidRPr="00C60464">
        <w:t>The discrepancy between the two randomised arms with respect to high-responding inhibitors was less marked (62.5% v</w:t>
      </w:r>
      <w:r>
        <w:t>ersus</w:t>
      </w:r>
      <w:r w:rsidRPr="00C60464">
        <w:t xml:space="preserve"> 50%). Median values were 11.30 BU in Arm 1 and 4.85 BU in Arm 2.</w:t>
      </w:r>
    </w:p>
    <w:p w14:paraId="45DB90E8" w14:textId="17A164FB" w:rsidR="004D2658" w:rsidRDefault="00C60464" w:rsidP="00C60464">
      <w:pPr>
        <w:pStyle w:val="TableTitle"/>
      </w:pPr>
      <w:bookmarkStart w:id="98" w:name="_Ref149647437"/>
      <w:r w:rsidRPr="00C60464">
        <w:t xml:space="preserve">Table </w:t>
      </w:r>
      <w:r w:rsidR="00572F9F">
        <w:fldChar w:fldCharType="begin"/>
      </w:r>
      <w:r w:rsidR="00572F9F">
        <w:instrText xml:space="preserve"> SEQ Table \* ARABIC </w:instrText>
      </w:r>
      <w:r w:rsidR="00572F9F">
        <w:fldChar w:fldCharType="separate"/>
      </w:r>
      <w:r w:rsidR="001B5D20">
        <w:rPr>
          <w:noProof/>
        </w:rPr>
        <w:t>11</w:t>
      </w:r>
      <w:r w:rsidR="00572F9F">
        <w:rPr>
          <w:noProof/>
        </w:rPr>
        <w:fldChar w:fldCharType="end"/>
      </w:r>
      <w:bookmarkEnd w:id="98"/>
      <w:r>
        <w:t xml:space="preserve">: </w:t>
      </w:r>
      <w:r w:rsidRPr="00C60464">
        <w:t>Study 4311</w:t>
      </w:r>
      <w:r w:rsidR="005715BC">
        <w:t xml:space="preserve"> m</w:t>
      </w:r>
      <w:r w:rsidRPr="00C60464">
        <w:t>ost recent inhibitor test result prior to study entry</w:t>
      </w:r>
      <w:r w:rsidR="00572F9F">
        <w:fldChar w:fldCharType="begin"/>
      </w:r>
      <w:r w:rsidR="00572F9F">
        <w:instrText xml:space="preserve"> DOCVARIABLE vault_nd_ec898cb7-2a14-46a7-8058-cb918637444d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3817"/>
        <w:gridCol w:w="2594"/>
        <w:gridCol w:w="2595"/>
      </w:tblGrid>
      <w:tr w:rsidR="00C60464" w:rsidRPr="00C60464" w14:paraId="69496C56" w14:textId="77777777" w:rsidTr="00C6046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17" w:type="dxa"/>
          </w:tcPr>
          <w:p w14:paraId="765C00EB" w14:textId="77777777" w:rsidR="00C60464" w:rsidRPr="00C60464" w:rsidRDefault="00C60464">
            <w:pPr>
              <w:spacing w:before="0" w:after="0" w:line="240" w:lineRule="auto"/>
              <w:rPr>
                <w:lang w:eastAsia="en-US"/>
              </w:rPr>
            </w:pPr>
          </w:p>
        </w:tc>
        <w:tc>
          <w:tcPr>
            <w:tcW w:w="2594" w:type="dxa"/>
          </w:tcPr>
          <w:p w14:paraId="429C22E5" w14:textId="0DB6E6A8" w:rsidR="00C60464" w:rsidRPr="00C60464" w:rsidRDefault="00C6046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C60464">
              <w:rPr>
                <w:lang w:eastAsia="en-US"/>
              </w:rPr>
              <w:t>Arm 1 (n</w:t>
            </w:r>
            <w:r w:rsidR="005715BC">
              <w:rPr>
                <w:lang w:eastAsia="en-US"/>
              </w:rPr>
              <w:t> </w:t>
            </w:r>
            <w:r w:rsidRPr="00C60464">
              <w:rPr>
                <w:lang w:eastAsia="en-US"/>
              </w:rPr>
              <w:t>=</w:t>
            </w:r>
            <w:r w:rsidR="005715BC">
              <w:rPr>
                <w:lang w:eastAsia="en-US"/>
              </w:rPr>
              <w:t> </w:t>
            </w:r>
            <w:r w:rsidRPr="00C60464">
              <w:rPr>
                <w:lang w:eastAsia="en-US"/>
              </w:rPr>
              <w:t>16)</w:t>
            </w:r>
          </w:p>
        </w:tc>
        <w:tc>
          <w:tcPr>
            <w:tcW w:w="2595" w:type="dxa"/>
          </w:tcPr>
          <w:p w14:paraId="7AF377D7" w14:textId="7DDBBF46" w:rsidR="00C60464" w:rsidRPr="00C60464" w:rsidRDefault="00C6046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lang w:eastAsia="en-US"/>
              </w:rPr>
            </w:pPr>
            <w:r w:rsidRPr="00C60464">
              <w:rPr>
                <w:lang w:eastAsia="en-US"/>
              </w:rPr>
              <w:t>Arm 2 (n</w:t>
            </w:r>
            <w:r w:rsidR="005715BC">
              <w:rPr>
                <w:lang w:eastAsia="en-US"/>
              </w:rPr>
              <w:t> </w:t>
            </w:r>
            <w:r w:rsidRPr="00C60464">
              <w:rPr>
                <w:lang w:eastAsia="en-US"/>
              </w:rPr>
              <w:t>=</w:t>
            </w:r>
            <w:r w:rsidR="005715BC">
              <w:rPr>
                <w:lang w:eastAsia="en-US"/>
              </w:rPr>
              <w:t> </w:t>
            </w:r>
            <w:r w:rsidRPr="00C60464">
              <w:rPr>
                <w:lang w:eastAsia="en-US"/>
              </w:rPr>
              <w:t>30)</w:t>
            </w:r>
          </w:p>
        </w:tc>
      </w:tr>
      <w:tr w:rsidR="00C60464" w:rsidRPr="00C60464" w14:paraId="3A3A9E49" w14:textId="77777777" w:rsidTr="00C60464">
        <w:trPr>
          <w:trHeight w:val="283"/>
        </w:trPr>
        <w:tc>
          <w:tcPr>
            <w:cnfStyle w:val="001000000000" w:firstRow="0" w:lastRow="0" w:firstColumn="1" w:lastColumn="0" w:oddVBand="0" w:evenVBand="0" w:oddHBand="0" w:evenHBand="0" w:firstRowFirstColumn="0" w:firstRowLastColumn="0" w:lastRowFirstColumn="0" w:lastRowLastColumn="0"/>
            <w:tcW w:w="3817" w:type="dxa"/>
          </w:tcPr>
          <w:p w14:paraId="40CE1B8C" w14:textId="77777777" w:rsidR="00C60464" w:rsidRPr="00C60464" w:rsidRDefault="00C60464">
            <w:pPr>
              <w:spacing w:before="0" w:after="0" w:line="240" w:lineRule="auto"/>
            </w:pPr>
            <w:r w:rsidRPr="00C60464">
              <w:t>&lt; 0.6 BU</w:t>
            </w:r>
          </w:p>
        </w:tc>
        <w:tc>
          <w:tcPr>
            <w:tcW w:w="2594" w:type="dxa"/>
          </w:tcPr>
          <w:p w14:paraId="3E03B0D0"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3 (19%)</w:t>
            </w:r>
          </w:p>
        </w:tc>
        <w:tc>
          <w:tcPr>
            <w:tcW w:w="2595" w:type="dxa"/>
          </w:tcPr>
          <w:p w14:paraId="2EA2E512"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2 (7%)</w:t>
            </w:r>
          </w:p>
        </w:tc>
      </w:tr>
      <w:tr w:rsidR="00C60464" w:rsidRPr="00C60464" w14:paraId="02638F80" w14:textId="77777777" w:rsidTr="00C60464">
        <w:trPr>
          <w:trHeight w:val="283"/>
        </w:trPr>
        <w:tc>
          <w:tcPr>
            <w:cnfStyle w:val="001000000000" w:firstRow="0" w:lastRow="0" w:firstColumn="1" w:lastColumn="0" w:oddVBand="0" w:evenVBand="0" w:oddHBand="0" w:evenHBand="0" w:firstRowFirstColumn="0" w:firstRowLastColumn="0" w:lastRowFirstColumn="0" w:lastRowLastColumn="0"/>
            <w:tcW w:w="3817" w:type="dxa"/>
          </w:tcPr>
          <w:p w14:paraId="75D71994" w14:textId="77777777" w:rsidR="00C60464" w:rsidRPr="00C60464" w:rsidRDefault="00C60464">
            <w:pPr>
              <w:spacing w:before="0" w:after="0" w:line="240" w:lineRule="auto"/>
            </w:pPr>
            <w:r w:rsidRPr="00C60464">
              <w:t>≥ 0.6 and &lt; 5.0 BU</w:t>
            </w:r>
          </w:p>
        </w:tc>
        <w:tc>
          <w:tcPr>
            <w:tcW w:w="2594" w:type="dxa"/>
          </w:tcPr>
          <w:p w14:paraId="57FD3268"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3 (19%)</w:t>
            </w:r>
          </w:p>
        </w:tc>
        <w:tc>
          <w:tcPr>
            <w:tcW w:w="2595" w:type="dxa"/>
          </w:tcPr>
          <w:p w14:paraId="2783B280"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13 (43%)</w:t>
            </w:r>
          </w:p>
        </w:tc>
      </w:tr>
      <w:tr w:rsidR="00C60464" w:rsidRPr="00C60464" w14:paraId="48252E70" w14:textId="77777777" w:rsidTr="00C60464">
        <w:trPr>
          <w:trHeight w:val="283"/>
        </w:trPr>
        <w:tc>
          <w:tcPr>
            <w:cnfStyle w:val="001000000000" w:firstRow="0" w:lastRow="0" w:firstColumn="1" w:lastColumn="0" w:oddVBand="0" w:evenVBand="0" w:oddHBand="0" w:evenHBand="0" w:firstRowFirstColumn="0" w:firstRowLastColumn="0" w:lastRowFirstColumn="0" w:lastRowLastColumn="0"/>
            <w:tcW w:w="3817" w:type="dxa"/>
          </w:tcPr>
          <w:p w14:paraId="4084E16A" w14:textId="77777777" w:rsidR="00C60464" w:rsidRPr="00C60464" w:rsidRDefault="00C60464">
            <w:pPr>
              <w:spacing w:before="0" w:after="0" w:line="240" w:lineRule="auto"/>
            </w:pPr>
            <w:r w:rsidRPr="00C60464">
              <w:t>≥ 5.0 BU</w:t>
            </w:r>
          </w:p>
        </w:tc>
        <w:tc>
          <w:tcPr>
            <w:tcW w:w="2594" w:type="dxa"/>
          </w:tcPr>
          <w:p w14:paraId="44C87707"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10 (63%)</w:t>
            </w:r>
          </w:p>
        </w:tc>
        <w:tc>
          <w:tcPr>
            <w:tcW w:w="2595" w:type="dxa"/>
          </w:tcPr>
          <w:p w14:paraId="598B1804" w14:textId="77777777" w:rsidR="00C60464" w:rsidRPr="00C60464" w:rsidRDefault="00C60464">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C60464">
              <w:t>15 (50%)</w:t>
            </w:r>
          </w:p>
        </w:tc>
      </w:tr>
    </w:tbl>
    <w:p w14:paraId="55C0DA61" w14:textId="243581F3" w:rsidR="007801E0" w:rsidRDefault="007801E0" w:rsidP="00572F9F">
      <w:pPr>
        <w:pageBreakBefore/>
        <w:spacing w:before="120"/>
      </w:pPr>
      <w:r>
        <w:lastRenderedPageBreak/>
        <w:t>The Delegate commented that the numerical baseline inhibitor level imbalances are not considered of concern, as:</w:t>
      </w:r>
    </w:p>
    <w:p w14:paraId="62868CE9" w14:textId="7B46B604" w:rsidR="007801E0" w:rsidRDefault="007801E0" w:rsidP="007801E0">
      <w:pPr>
        <w:pStyle w:val="ListBullet"/>
      </w:pPr>
      <w:r>
        <w:t>The mechanism of action of concizumab is not related to inhibitor level.</w:t>
      </w:r>
    </w:p>
    <w:p w14:paraId="5ED8A008" w14:textId="1A6A152E" w:rsidR="007801E0" w:rsidRDefault="007801E0" w:rsidP="007801E0">
      <w:pPr>
        <w:pStyle w:val="ListBullet"/>
      </w:pPr>
      <w:r>
        <w:t xml:space="preserve">Given that this is already a selected population in whom a prior inhibitor level of at least 0.6 BU is documented, the </w:t>
      </w:r>
      <w:r w:rsidR="00676791">
        <w:t>b</w:t>
      </w:r>
      <w:r>
        <w:t>aseline point-in-time inhibitor level is not a reliable predictor of severity of haemophilia or ABR, so is not a clear confounder.</w:t>
      </w:r>
    </w:p>
    <w:p w14:paraId="3780477F" w14:textId="335BBBCA" w:rsidR="007801E0" w:rsidRDefault="007801E0" w:rsidP="007801E0">
      <w:pPr>
        <w:pStyle w:val="ListBullet"/>
      </w:pPr>
      <w:r>
        <w:t>The study is small, the size of each arm is small, and the numerical imbalances are in keeping with chance distribution.</w:t>
      </w:r>
    </w:p>
    <w:p w14:paraId="2F9220D3" w14:textId="144D5579" w:rsidR="007801E0" w:rsidRDefault="007801E0" w:rsidP="007801E0">
      <w:pPr>
        <w:pStyle w:val="ListBullet"/>
      </w:pPr>
      <w:r>
        <w:t>There is less numerical imbalance in most recent inhibitor concentration.</w:t>
      </w:r>
    </w:p>
    <w:p w14:paraId="26727F71" w14:textId="7CE10CB3" w:rsidR="007801E0" w:rsidRDefault="007801E0" w:rsidP="007801E0">
      <w:r w:rsidRPr="007801E0">
        <w:t>Randomisation was stratified according to the categorical number of treated bleeding events during the 24 weeks prior to screening (</w:t>
      </w:r>
      <w:r w:rsidR="005715BC">
        <w:t xml:space="preserve">less than </w:t>
      </w:r>
      <w:r w:rsidRPr="007801E0">
        <w:t>9 v</w:t>
      </w:r>
      <w:r>
        <w:t>ersus</w:t>
      </w:r>
      <w:r w:rsidR="005715BC">
        <w:t xml:space="preserve"> 9 or more</w:t>
      </w:r>
      <w:r w:rsidRPr="007801E0">
        <w:t>). Baseline bleeding history is shown in</w:t>
      </w:r>
      <w:r w:rsidR="003624FA">
        <w:t xml:space="preserve"> </w:t>
      </w:r>
      <w:r w:rsidR="003624FA">
        <w:fldChar w:fldCharType="begin"/>
      </w:r>
      <w:r w:rsidR="003624FA">
        <w:instrText xml:space="preserve"> REF _Ref149651140 \h </w:instrText>
      </w:r>
      <w:r w:rsidR="003624FA">
        <w:fldChar w:fldCharType="separate"/>
      </w:r>
      <w:r w:rsidR="001B5D20" w:rsidRPr="003624FA">
        <w:t xml:space="preserve">Table </w:t>
      </w:r>
      <w:r w:rsidR="001B5D20">
        <w:rPr>
          <w:noProof/>
        </w:rPr>
        <w:t>12</w:t>
      </w:r>
      <w:r w:rsidR="003624FA">
        <w:fldChar w:fldCharType="end"/>
      </w:r>
      <w:r w:rsidR="003624FA">
        <w:t xml:space="preserve">. </w:t>
      </w:r>
      <w:r w:rsidRPr="007801E0">
        <w:t>The two arms were well balanced with respect to this measure of bleeding history, in keeping with stratification at this cut-off. More detailed data on bleeding history (</w:t>
      </w:r>
      <w:r w:rsidR="003624FA">
        <w:t>for example</w:t>
      </w:r>
      <w:r w:rsidRPr="007801E0">
        <w:t xml:space="preserve">, the actual number of bleeds experienced by each subject) was not collected. As a result, it is not possible to assess whether Arm 1 and Arm 2 were comparable at </w:t>
      </w:r>
      <w:r w:rsidR="005715BC">
        <w:t>B</w:t>
      </w:r>
      <w:r w:rsidRPr="007801E0">
        <w:t>aseline with respect to recent bleeding rate as a continuous variable.</w:t>
      </w:r>
    </w:p>
    <w:p w14:paraId="60BF5FA9" w14:textId="0908F533" w:rsidR="003624FA" w:rsidRDefault="003624FA" w:rsidP="003624FA">
      <w:pPr>
        <w:pStyle w:val="TableTitle"/>
      </w:pPr>
      <w:bookmarkStart w:id="99" w:name="_Ref149651140"/>
      <w:r w:rsidRPr="003624FA">
        <w:t xml:space="preserve">Table </w:t>
      </w:r>
      <w:r w:rsidR="00572F9F">
        <w:fldChar w:fldCharType="begin"/>
      </w:r>
      <w:r w:rsidR="00572F9F">
        <w:instrText xml:space="preserve"> SEQ Table \* ARABIC </w:instrText>
      </w:r>
      <w:r w:rsidR="00572F9F">
        <w:fldChar w:fldCharType="separate"/>
      </w:r>
      <w:r w:rsidR="001B5D20">
        <w:rPr>
          <w:noProof/>
        </w:rPr>
        <w:t>12</w:t>
      </w:r>
      <w:r w:rsidR="00572F9F">
        <w:rPr>
          <w:noProof/>
        </w:rPr>
        <w:fldChar w:fldCharType="end"/>
      </w:r>
      <w:bookmarkEnd w:id="99"/>
      <w:r>
        <w:t xml:space="preserve">: </w:t>
      </w:r>
      <w:r w:rsidRPr="003624FA">
        <w:t xml:space="preserve">Study 4311 </w:t>
      </w:r>
      <w:r w:rsidR="005715BC">
        <w:t>b</w:t>
      </w:r>
      <w:r w:rsidRPr="003624FA">
        <w:t>leeding history</w:t>
      </w:r>
      <w:r w:rsidR="00572F9F">
        <w:fldChar w:fldCharType="begin"/>
      </w:r>
      <w:r w:rsidR="00572F9F">
        <w:instrText xml:space="preserve"> DOCVARIABLE vault_nd_4cb3b956-6dc6-415d-a75b-93b1e2460d85 \* MERGEFORMAT </w:instrText>
      </w:r>
      <w:r w:rsidR="00572F9F">
        <w:fldChar w:fldCharType="separate"/>
      </w:r>
      <w:r w:rsidR="001B5D20">
        <w:t xml:space="preserve"> </w:t>
      </w:r>
      <w:r w:rsidR="00572F9F">
        <w:fldChar w:fldCharType="end"/>
      </w:r>
    </w:p>
    <w:tbl>
      <w:tblPr>
        <w:tblStyle w:val="TableTGAblue2023"/>
        <w:tblW w:w="0" w:type="auto"/>
        <w:tblInd w:w="5" w:type="dxa"/>
        <w:tblLook w:val="04A0" w:firstRow="1" w:lastRow="0" w:firstColumn="1" w:lastColumn="0" w:noHBand="0" w:noVBand="1"/>
      </w:tblPr>
      <w:tblGrid>
        <w:gridCol w:w="3819"/>
        <w:gridCol w:w="2593"/>
        <w:gridCol w:w="2594"/>
      </w:tblGrid>
      <w:tr w:rsidR="003624FA" w:rsidRPr="002E4723" w14:paraId="7CDF9806" w14:textId="77777777" w:rsidTr="003624F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19" w:type="dxa"/>
          </w:tcPr>
          <w:p w14:paraId="60F1620F" w14:textId="77777777" w:rsidR="003624FA" w:rsidRPr="002E4723" w:rsidRDefault="003624FA">
            <w:pPr>
              <w:spacing w:before="0" w:after="0" w:line="240" w:lineRule="auto"/>
            </w:pPr>
          </w:p>
        </w:tc>
        <w:tc>
          <w:tcPr>
            <w:tcW w:w="2593" w:type="dxa"/>
          </w:tcPr>
          <w:p w14:paraId="274BBA1C" w14:textId="1DB04439" w:rsidR="003624FA" w:rsidRPr="002E4723" w:rsidRDefault="003624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rPr>
            </w:pPr>
            <w:r w:rsidRPr="002E4723">
              <w:rPr>
                <w:bCs/>
              </w:rPr>
              <w:t>Arm 1</w:t>
            </w:r>
            <w:r>
              <w:rPr>
                <w:bCs/>
              </w:rPr>
              <w:t xml:space="preserve"> (n</w:t>
            </w:r>
            <w:r w:rsidR="005715BC">
              <w:rPr>
                <w:bCs/>
              </w:rPr>
              <w:t> </w:t>
            </w:r>
            <w:r>
              <w:rPr>
                <w:bCs/>
              </w:rPr>
              <w:t>=</w:t>
            </w:r>
            <w:r w:rsidR="005715BC">
              <w:rPr>
                <w:bCs/>
              </w:rPr>
              <w:t> </w:t>
            </w:r>
            <w:r>
              <w:rPr>
                <w:bCs/>
              </w:rPr>
              <w:t>19)</w:t>
            </w:r>
          </w:p>
        </w:tc>
        <w:tc>
          <w:tcPr>
            <w:tcW w:w="2594" w:type="dxa"/>
          </w:tcPr>
          <w:p w14:paraId="1F2F83CA" w14:textId="49F71FF3" w:rsidR="003624FA" w:rsidRPr="002E4723" w:rsidRDefault="003624F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rPr>
            </w:pPr>
            <w:r w:rsidRPr="002E4723">
              <w:rPr>
                <w:bCs/>
              </w:rPr>
              <w:t>Arm 2</w:t>
            </w:r>
            <w:r>
              <w:rPr>
                <w:bCs/>
              </w:rPr>
              <w:t xml:space="preserve"> (n</w:t>
            </w:r>
            <w:r w:rsidR="005715BC">
              <w:rPr>
                <w:bCs/>
              </w:rPr>
              <w:t> </w:t>
            </w:r>
            <w:r>
              <w:rPr>
                <w:bCs/>
              </w:rPr>
              <w:t>=</w:t>
            </w:r>
            <w:r w:rsidR="005715BC">
              <w:rPr>
                <w:bCs/>
              </w:rPr>
              <w:t> </w:t>
            </w:r>
            <w:r>
              <w:rPr>
                <w:bCs/>
              </w:rPr>
              <w:t>33)</w:t>
            </w:r>
          </w:p>
        </w:tc>
      </w:tr>
      <w:tr w:rsidR="003624FA" w:rsidRPr="002E4723" w14:paraId="4FFC626B" w14:textId="77777777" w:rsidTr="003624FA">
        <w:trPr>
          <w:trHeight w:val="340"/>
        </w:trPr>
        <w:tc>
          <w:tcPr>
            <w:cnfStyle w:val="001000000000" w:firstRow="0" w:lastRow="0" w:firstColumn="1" w:lastColumn="0" w:oddVBand="0" w:evenVBand="0" w:oddHBand="0" w:evenHBand="0" w:firstRowFirstColumn="0" w:firstRowLastColumn="0" w:lastRowFirstColumn="0" w:lastRowLastColumn="0"/>
            <w:tcW w:w="3819" w:type="dxa"/>
          </w:tcPr>
          <w:p w14:paraId="28D80E80" w14:textId="77777777" w:rsidR="003624FA" w:rsidRPr="002E4723" w:rsidRDefault="003624FA">
            <w:pPr>
              <w:spacing w:before="0" w:after="0" w:line="240" w:lineRule="auto"/>
            </w:pPr>
            <w:r w:rsidRPr="002E4723">
              <w:t>&lt; 9 bleeding episodes</w:t>
            </w:r>
            <w:r w:rsidRPr="002E4723">
              <w:rPr>
                <w:vertAlign w:val="superscript"/>
              </w:rPr>
              <w:t>*</w:t>
            </w:r>
          </w:p>
        </w:tc>
        <w:tc>
          <w:tcPr>
            <w:tcW w:w="2593" w:type="dxa"/>
          </w:tcPr>
          <w:p w14:paraId="03B102C5" w14:textId="77777777" w:rsidR="003624FA" w:rsidRPr="002E4723" w:rsidRDefault="003624FA">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E4723">
              <w:t>7 (3</w:t>
            </w:r>
            <w:r>
              <w:t>7</w:t>
            </w:r>
            <w:r w:rsidRPr="002E4723">
              <w:t>%)</w:t>
            </w:r>
          </w:p>
        </w:tc>
        <w:tc>
          <w:tcPr>
            <w:tcW w:w="2594" w:type="dxa"/>
          </w:tcPr>
          <w:p w14:paraId="38C3F0DF" w14:textId="77777777" w:rsidR="003624FA" w:rsidRPr="002E4723" w:rsidRDefault="003624FA">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E4723">
              <w:t>10 (30%)</w:t>
            </w:r>
          </w:p>
        </w:tc>
      </w:tr>
      <w:tr w:rsidR="003624FA" w:rsidRPr="002E4723" w14:paraId="1A24760E" w14:textId="77777777" w:rsidTr="003624FA">
        <w:trPr>
          <w:trHeight w:val="340"/>
        </w:trPr>
        <w:tc>
          <w:tcPr>
            <w:cnfStyle w:val="001000000000" w:firstRow="0" w:lastRow="0" w:firstColumn="1" w:lastColumn="0" w:oddVBand="0" w:evenVBand="0" w:oddHBand="0" w:evenHBand="0" w:firstRowFirstColumn="0" w:firstRowLastColumn="0" w:lastRowFirstColumn="0" w:lastRowLastColumn="0"/>
            <w:tcW w:w="3819" w:type="dxa"/>
          </w:tcPr>
          <w:p w14:paraId="205880AF" w14:textId="77777777" w:rsidR="003624FA" w:rsidRPr="002E4723" w:rsidRDefault="003624FA">
            <w:pPr>
              <w:spacing w:before="0" w:after="0" w:line="240" w:lineRule="auto"/>
            </w:pPr>
            <w:r w:rsidRPr="002E4723">
              <w:t>≥ 9 bleeding episodes</w:t>
            </w:r>
            <w:r w:rsidRPr="002E4723">
              <w:rPr>
                <w:vertAlign w:val="superscript"/>
              </w:rPr>
              <w:t>*</w:t>
            </w:r>
          </w:p>
        </w:tc>
        <w:tc>
          <w:tcPr>
            <w:tcW w:w="2593" w:type="dxa"/>
          </w:tcPr>
          <w:p w14:paraId="7E4D7CEE" w14:textId="77777777" w:rsidR="003624FA" w:rsidRPr="002E4723" w:rsidRDefault="003624FA">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E4723">
              <w:t>12 (63%)</w:t>
            </w:r>
          </w:p>
        </w:tc>
        <w:tc>
          <w:tcPr>
            <w:tcW w:w="2594" w:type="dxa"/>
          </w:tcPr>
          <w:p w14:paraId="7DBEC1F9" w14:textId="77777777" w:rsidR="003624FA" w:rsidRPr="002E4723" w:rsidRDefault="003624FA">
            <w:pPr>
              <w:spacing w:before="0" w:after="0" w:line="240" w:lineRule="auto"/>
              <w:jc w:val="center"/>
              <w:cnfStyle w:val="000000000000" w:firstRow="0" w:lastRow="0" w:firstColumn="0" w:lastColumn="0" w:oddVBand="0" w:evenVBand="0" w:oddHBand="0" w:evenHBand="0" w:firstRowFirstColumn="0" w:firstRowLastColumn="0" w:lastRowFirstColumn="0" w:lastRowLastColumn="0"/>
            </w:pPr>
            <w:r w:rsidRPr="002E4723">
              <w:t>23 (</w:t>
            </w:r>
            <w:r>
              <w:t>70</w:t>
            </w:r>
            <w:r w:rsidRPr="002E4723">
              <w:t>%)</w:t>
            </w:r>
          </w:p>
        </w:tc>
      </w:tr>
    </w:tbl>
    <w:p w14:paraId="296CBA0A" w14:textId="131D3B53" w:rsidR="003624FA" w:rsidRPr="003624FA" w:rsidRDefault="003624FA" w:rsidP="003624FA">
      <w:pPr>
        <w:pStyle w:val="TableDescription"/>
      </w:pPr>
      <w:r w:rsidRPr="003624FA">
        <w:t>* Treated bleeding episodes in the 24 weeks prior to study entry</w:t>
      </w:r>
    </w:p>
    <w:p w14:paraId="118FCC0C" w14:textId="1DDDB5F4" w:rsidR="007801E0" w:rsidRDefault="007801E0" w:rsidP="007801E0">
      <w:r w:rsidRPr="007801E0">
        <w:t>Prior PPX had only been used by 1 patient (6%) in Arm 1 and 3 patients (11%) in Arm 2, preventing meaningful comparison of ABR in those arms during prior periods of PPX. On</w:t>
      </w:r>
      <w:r w:rsidR="005715BC">
        <w:noBreakHyphen/>
      </w:r>
      <w:r w:rsidRPr="007801E0">
        <w:t xml:space="preserve">demand treatment at any time in the past had been used by all patients in Arm 1 and most (96% of) patients in Arm 2: most commonly </w:t>
      </w:r>
      <w:proofErr w:type="spellStart"/>
      <w:r w:rsidRPr="007801E0">
        <w:t>F</w:t>
      </w:r>
      <w:r w:rsidR="005715BC">
        <w:t>eiba</w:t>
      </w:r>
      <w:proofErr w:type="spellEnd"/>
      <w:r w:rsidRPr="007801E0">
        <w:t xml:space="preserve"> or recombinant </w:t>
      </w:r>
      <w:proofErr w:type="spellStart"/>
      <w:r w:rsidRPr="007801E0">
        <w:t>fVIIa</w:t>
      </w:r>
      <w:proofErr w:type="spellEnd"/>
      <w:r w:rsidRPr="007801E0">
        <w:t>. The mean (</w:t>
      </w:r>
      <w:r w:rsidR="005715BC">
        <w:t xml:space="preserve">standard </w:t>
      </w:r>
      <w:r w:rsidR="005715BC" w:rsidRPr="00676791">
        <w:t>deviation (</w:t>
      </w:r>
      <w:r w:rsidRPr="00676791">
        <w:t>SD</w:t>
      </w:r>
      <w:r w:rsidR="005715BC" w:rsidRPr="00676791">
        <w:t>)</w:t>
      </w:r>
      <w:r w:rsidRPr="00676791">
        <w:t>)</w:t>
      </w:r>
      <w:r w:rsidRPr="007801E0">
        <w:t xml:space="preserve"> [range] ABR while using on-demand treatment was 12 (14) [-10, 38]</w:t>
      </w:r>
      <w:r w:rsidR="002276B2">
        <w:rPr>
          <w:rStyle w:val="FootnoteReference"/>
        </w:rPr>
        <w:footnoteReference w:id="39"/>
      </w:r>
      <w:r w:rsidR="002276B2">
        <w:t xml:space="preserve"> </w:t>
      </w:r>
      <w:r w:rsidRPr="007801E0">
        <w:t>in Arm 1 and 24 (27) [0.3, 124] in Arm 2. This suggests that, if anything, patients in Arm 2 had more frequent bleeds during historical on-demand treatment.</w:t>
      </w:r>
    </w:p>
    <w:p w14:paraId="41324B5C" w14:textId="28C6ADED" w:rsidR="007801E0" w:rsidRPr="003624FA" w:rsidRDefault="003624FA" w:rsidP="003624FA">
      <w:r w:rsidRPr="003624FA">
        <w:t xml:space="preserve">The </w:t>
      </w:r>
      <w:r w:rsidR="007801E0" w:rsidRPr="003624FA">
        <w:t>Delegate comment</w:t>
      </w:r>
      <w:r>
        <w:t>ed that w</w:t>
      </w:r>
      <w:r w:rsidR="007801E0" w:rsidRPr="003624FA">
        <w:t>ithout being able to review the actual (rather than categorical) number of bleeds during the 24 weeks prior to screening for the randomised study, it is impossible to verify that the arms were reasonably balanced at baseline for this measure, which is clearly a potential confounder. This is a major limitation to the validity of the primary analysis. The historical data on bleeding frequency provides some reassurance that the results of the randomised comparison are unlikely to be explained by vastly different baseline disease severity/bleed frequency.</w:t>
      </w:r>
    </w:p>
    <w:p w14:paraId="2ACEAEAF" w14:textId="78899497" w:rsidR="003624FA" w:rsidRPr="003624FA" w:rsidRDefault="003624FA" w:rsidP="003624FA">
      <w:pPr>
        <w:pStyle w:val="Heading6"/>
      </w:pPr>
      <w:bookmarkStart w:id="100" w:name="_Explorer7_results"/>
      <w:bookmarkStart w:id="101" w:name="_Ref126316132"/>
      <w:bookmarkEnd w:id="100"/>
      <w:r w:rsidRPr="003624FA">
        <w:t>Explorer7 results</w:t>
      </w:r>
      <w:bookmarkEnd w:id="101"/>
      <w:r w:rsidR="0048603E">
        <w:fldChar w:fldCharType="begin"/>
      </w:r>
      <w:r w:rsidR="0048603E">
        <w:instrText xml:space="preserve"> DOCVARIABLE vault_nd_5482f65a-da4f-4b30-838d-ba2fceaa59ed \* MERGEFORMAT </w:instrText>
      </w:r>
      <w:r w:rsidR="0048603E">
        <w:fldChar w:fldCharType="separate"/>
      </w:r>
      <w:r w:rsidR="001B5D20">
        <w:t xml:space="preserve"> </w:t>
      </w:r>
      <w:r w:rsidR="0048603E">
        <w:fldChar w:fldCharType="end"/>
      </w:r>
    </w:p>
    <w:p w14:paraId="561046CA" w14:textId="6160F717" w:rsidR="003624FA" w:rsidRPr="003624FA" w:rsidRDefault="003624FA" w:rsidP="003624FA">
      <w:pPr>
        <w:pStyle w:val="Heading7"/>
      </w:pPr>
      <w:bookmarkStart w:id="102" w:name="_Primary_efficacy_endpoint"/>
      <w:bookmarkStart w:id="103" w:name="_Ref126579391"/>
      <w:bookmarkEnd w:id="102"/>
      <w:r w:rsidRPr="003624FA">
        <w:t>Primary efficacy endpoint</w:t>
      </w:r>
      <w:bookmarkEnd w:id="103"/>
      <w:r w:rsidR="0048603E">
        <w:fldChar w:fldCharType="begin"/>
      </w:r>
      <w:r w:rsidR="0048603E">
        <w:instrText xml:space="preserve"> DOCVARIABLE vault_nd_4e240869-a044-4e6d-a32f-1af94a4f2d9e \* MERGEFORMAT </w:instrText>
      </w:r>
      <w:r w:rsidR="0048603E">
        <w:fldChar w:fldCharType="separate"/>
      </w:r>
      <w:r w:rsidR="001B5D20">
        <w:t xml:space="preserve"> </w:t>
      </w:r>
      <w:r w:rsidR="0048603E">
        <w:fldChar w:fldCharType="end"/>
      </w:r>
    </w:p>
    <w:p w14:paraId="49789DB5" w14:textId="2062E974" w:rsidR="003624FA" w:rsidRPr="003624FA" w:rsidRDefault="003624FA" w:rsidP="003624FA">
      <w:r w:rsidRPr="003624FA">
        <w:t>Results for the primary endpoint in the</w:t>
      </w:r>
      <w:r>
        <w:t xml:space="preserve"> full analysis set (</w:t>
      </w:r>
      <w:r w:rsidRPr="003624FA">
        <w:t>FAS</w:t>
      </w:r>
      <w:r>
        <w:t>)</w:t>
      </w:r>
      <w:r w:rsidRPr="003624FA">
        <w:t xml:space="preserve"> and in subgroups based on type of haemophilia (based on the</w:t>
      </w:r>
      <w:r w:rsidR="00676791" w:rsidRPr="00676791">
        <w:t xml:space="preserve"> </w:t>
      </w:r>
      <w:r w:rsidR="00676791">
        <w:t>o</w:t>
      </w:r>
      <w:r w:rsidR="00676791" w:rsidRPr="00A3617F">
        <w:t>n treatment without ancillary therapy excluding data on initial regimen for subjects exposed to both regimens</w:t>
      </w:r>
      <w:r w:rsidRPr="003624FA">
        <w:t xml:space="preserve"> </w:t>
      </w:r>
      <w:r w:rsidR="00676791">
        <w:t>(</w:t>
      </w:r>
      <w:proofErr w:type="spellStart"/>
      <w:r w:rsidRPr="003624FA">
        <w:t>OTwoATexIR</w:t>
      </w:r>
      <w:proofErr w:type="spellEnd"/>
      <w:r w:rsidR="00676791">
        <w:t>)</w:t>
      </w:r>
      <w:r w:rsidRPr="003624FA">
        <w:t xml:space="preserve"> dataset) are summarised </w:t>
      </w:r>
      <w:r w:rsidR="005404BB">
        <w:t xml:space="preserve">in </w:t>
      </w:r>
      <w:r w:rsidR="005404BB">
        <w:fldChar w:fldCharType="begin"/>
      </w:r>
      <w:r w:rsidR="005404BB">
        <w:instrText xml:space="preserve"> REF _Ref149651699 \h </w:instrText>
      </w:r>
      <w:r w:rsidR="005404BB">
        <w:fldChar w:fldCharType="separate"/>
      </w:r>
      <w:r w:rsidR="001B5D20" w:rsidRPr="005404BB">
        <w:t xml:space="preserve">Table </w:t>
      </w:r>
      <w:r w:rsidR="001B5D20">
        <w:rPr>
          <w:noProof/>
        </w:rPr>
        <w:lastRenderedPageBreak/>
        <w:t>13</w:t>
      </w:r>
      <w:r w:rsidR="005404BB">
        <w:fldChar w:fldCharType="end"/>
      </w:r>
      <w:r w:rsidRPr="003624FA">
        <w:t>. Superiority of concizumab prophylaxis over on-demand treatment was concluded on this basis.</w:t>
      </w:r>
    </w:p>
    <w:p w14:paraId="3346F8EE" w14:textId="6A5DE002" w:rsidR="003624FA" w:rsidRDefault="003624FA" w:rsidP="003624FA">
      <w:r w:rsidRPr="003624FA">
        <w:t>A bleed that required treatment occurred in 89</w:t>
      </w:r>
      <w:r w:rsidR="00CB13B3">
        <w:t>.5</w:t>
      </w:r>
      <w:r w:rsidRPr="003624FA">
        <w:t>% of Arm 1 (167 bleeds across 17 patients) and 45</w:t>
      </w:r>
      <w:r w:rsidR="00160452">
        <w:t>.5</w:t>
      </w:r>
      <w:r w:rsidRPr="003624FA">
        <w:t xml:space="preserve">% of Arm 2 (59 bleeds across 15 patients). Recombinant </w:t>
      </w:r>
      <w:proofErr w:type="spellStart"/>
      <w:r w:rsidRPr="003624FA">
        <w:t>fVIIa</w:t>
      </w:r>
      <w:proofErr w:type="spellEnd"/>
      <w:r w:rsidRPr="003624FA">
        <w:t xml:space="preserve"> was the most common treatment agent, and mean </w:t>
      </w:r>
      <w:proofErr w:type="spellStart"/>
      <w:r w:rsidRPr="003624FA">
        <w:t>rfVIIa</w:t>
      </w:r>
      <w:proofErr w:type="spellEnd"/>
      <w:r w:rsidRPr="003624FA">
        <w:t xml:space="preserve"> consumption per bleed was comparable in the two arms (336.5 v</w:t>
      </w:r>
      <w:r w:rsidR="005404BB">
        <w:t>ersus</w:t>
      </w:r>
      <w:r w:rsidRPr="003624FA">
        <w:t xml:space="preserve"> 305.3</w:t>
      </w:r>
      <w:r w:rsidR="005715BC">
        <w:t> </w:t>
      </w:r>
      <w:r w:rsidRPr="003624FA">
        <w:sym w:font="Symbol" w:char="F06D"/>
      </w:r>
      <w:r w:rsidRPr="003624FA">
        <w:t>g/kg per bleed respectively).</w:t>
      </w:r>
    </w:p>
    <w:p w14:paraId="3351CF98" w14:textId="39145798" w:rsidR="005404BB" w:rsidRPr="003624FA" w:rsidRDefault="005404BB" w:rsidP="005404BB">
      <w:pPr>
        <w:pStyle w:val="TableTitle"/>
      </w:pPr>
      <w:bookmarkStart w:id="104" w:name="_Ref149651699"/>
      <w:r w:rsidRPr="005404BB">
        <w:t xml:space="preserve">Table </w:t>
      </w:r>
      <w:r w:rsidR="00572F9F">
        <w:fldChar w:fldCharType="begin"/>
      </w:r>
      <w:r w:rsidR="00572F9F">
        <w:instrText xml:space="preserve"> SEQ Table \* ARABIC </w:instrText>
      </w:r>
      <w:r w:rsidR="00572F9F">
        <w:fldChar w:fldCharType="separate"/>
      </w:r>
      <w:r w:rsidR="001B5D20">
        <w:rPr>
          <w:noProof/>
        </w:rPr>
        <w:t>13</w:t>
      </w:r>
      <w:r w:rsidR="00572F9F">
        <w:rPr>
          <w:noProof/>
        </w:rPr>
        <w:fldChar w:fldCharType="end"/>
      </w:r>
      <w:bookmarkEnd w:id="104"/>
      <w:r w:rsidRPr="005404BB">
        <w:t>:</w:t>
      </w:r>
      <w:r>
        <w:t xml:space="preserve"> Key results of </w:t>
      </w:r>
      <w:r w:rsidR="005715BC">
        <w:t>S</w:t>
      </w:r>
      <w:r>
        <w:t>tudy 4311 (explorer7)</w:t>
      </w:r>
      <w:r w:rsidR="00572F9F">
        <w:fldChar w:fldCharType="begin"/>
      </w:r>
      <w:r w:rsidR="00572F9F">
        <w:instrText xml:space="preserve"> DOCVARIABLE vault_nd_ca20f309-58d2-40d1-8be6-731879f784c4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1833"/>
        <w:gridCol w:w="1195"/>
        <w:gridCol w:w="1196"/>
        <w:gridCol w:w="1195"/>
        <w:gridCol w:w="1196"/>
        <w:gridCol w:w="1195"/>
        <w:gridCol w:w="1196"/>
      </w:tblGrid>
      <w:tr w:rsidR="005404BB" w:rsidRPr="005404BB" w14:paraId="6351BFBB" w14:textId="77777777" w:rsidTr="00572F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33" w:type="dxa"/>
          </w:tcPr>
          <w:p w14:paraId="528D0A5C" w14:textId="77777777" w:rsidR="005404BB" w:rsidRPr="005404BB" w:rsidRDefault="005404BB" w:rsidP="00572F9F">
            <w:pPr>
              <w:keepNext w:val="0"/>
              <w:widowControl w:val="0"/>
              <w:spacing w:before="0" w:after="0" w:line="240" w:lineRule="auto"/>
              <w:ind w:left="0"/>
              <w:rPr>
                <w:sz w:val="20"/>
                <w:szCs w:val="20"/>
                <w:lang w:val="en-GB" w:eastAsia="ja-JP"/>
              </w:rPr>
            </w:pPr>
          </w:p>
        </w:tc>
        <w:tc>
          <w:tcPr>
            <w:tcW w:w="2391" w:type="dxa"/>
            <w:gridSpan w:val="2"/>
          </w:tcPr>
          <w:p w14:paraId="07D345F0" w14:textId="77777777" w:rsidR="005404BB" w:rsidRPr="005404BB" w:rsidRDefault="005404BB">
            <w:pPr>
              <w:keepLines/>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FAS</w:t>
            </w:r>
          </w:p>
        </w:tc>
        <w:tc>
          <w:tcPr>
            <w:tcW w:w="2391" w:type="dxa"/>
            <w:gridSpan w:val="2"/>
          </w:tcPr>
          <w:p w14:paraId="4F2ECBD9" w14:textId="77777777" w:rsidR="005404BB" w:rsidRPr="005404BB" w:rsidRDefault="005404BB">
            <w:pPr>
              <w:keepLines/>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en-GB" w:eastAsia="ja-JP"/>
              </w:rPr>
            </w:pPr>
            <w:proofErr w:type="spellStart"/>
            <w:r w:rsidRPr="005404BB">
              <w:rPr>
                <w:sz w:val="20"/>
                <w:szCs w:val="20"/>
                <w:lang w:val="en-GB" w:eastAsia="ja-JP"/>
              </w:rPr>
              <w:t>HAwI</w:t>
            </w:r>
            <w:proofErr w:type="spellEnd"/>
          </w:p>
        </w:tc>
        <w:tc>
          <w:tcPr>
            <w:tcW w:w="2391" w:type="dxa"/>
            <w:gridSpan w:val="2"/>
          </w:tcPr>
          <w:p w14:paraId="514F1E7F" w14:textId="77777777" w:rsidR="005404BB" w:rsidRPr="005404BB" w:rsidRDefault="005404BB">
            <w:pPr>
              <w:keepLines/>
              <w:widowControl w:val="0"/>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en-GB" w:eastAsia="ja-JP"/>
              </w:rPr>
            </w:pPr>
            <w:proofErr w:type="spellStart"/>
            <w:r w:rsidRPr="005404BB">
              <w:rPr>
                <w:sz w:val="20"/>
                <w:szCs w:val="20"/>
                <w:lang w:val="en-GB" w:eastAsia="ja-JP"/>
              </w:rPr>
              <w:t>HBwI</w:t>
            </w:r>
            <w:proofErr w:type="spellEnd"/>
          </w:p>
        </w:tc>
      </w:tr>
      <w:tr w:rsidR="005404BB" w:rsidRPr="005404BB" w14:paraId="3933BAE4"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523561B8"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Arm</w:t>
            </w:r>
          </w:p>
        </w:tc>
        <w:tc>
          <w:tcPr>
            <w:tcW w:w="1195" w:type="dxa"/>
          </w:tcPr>
          <w:p w14:paraId="64F2A230"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ja-JP"/>
              </w:rPr>
            </w:pPr>
            <w:r w:rsidRPr="005404BB">
              <w:rPr>
                <w:sz w:val="20"/>
                <w:szCs w:val="20"/>
                <w:lang w:val="en-GB" w:eastAsia="ja-JP"/>
              </w:rPr>
              <w:t>1</w:t>
            </w:r>
          </w:p>
        </w:tc>
        <w:tc>
          <w:tcPr>
            <w:tcW w:w="1196" w:type="dxa"/>
          </w:tcPr>
          <w:p w14:paraId="4B44FD2E"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2</w:t>
            </w:r>
          </w:p>
        </w:tc>
        <w:tc>
          <w:tcPr>
            <w:tcW w:w="1195" w:type="dxa"/>
          </w:tcPr>
          <w:p w14:paraId="30B19D36"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w:t>
            </w:r>
          </w:p>
        </w:tc>
        <w:tc>
          <w:tcPr>
            <w:tcW w:w="1196" w:type="dxa"/>
          </w:tcPr>
          <w:p w14:paraId="28E8EFBE"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2</w:t>
            </w:r>
          </w:p>
        </w:tc>
        <w:tc>
          <w:tcPr>
            <w:tcW w:w="1195" w:type="dxa"/>
          </w:tcPr>
          <w:p w14:paraId="0B421EAC"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w:t>
            </w:r>
          </w:p>
        </w:tc>
        <w:tc>
          <w:tcPr>
            <w:tcW w:w="1196" w:type="dxa"/>
          </w:tcPr>
          <w:p w14:paraId="029F6D60"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2</w:t>
            </w:r>
          </w:p>
        </w:tc>
      </w:tr>
      <w:tr w:rsidR="005404BB" w:rsidRPr="005404BB" w14:paraId="218EA850"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10958D75"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Treatment</w:t>
            </w:r>
          </w:p>
        </w:tc>
        <w:tc>
          <w:tcPr>
            <w:tcW w:w="1195" w:type="dxa"/>
          </w:tcPr>
          <w:p w14:paraId="546076B4"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ja-JP"/>
              </w:rPr>
            </w:pPr>
            <w:r w:rsidRPr="005404BB">
              <w:rPr>
                <w:sz w:val="20"/>
                <w:szCs w:val="20"/>
                <w:lang w:val="en-GB" w:eastAsia="ja-JP"/>
              </w:rPr>
              <w:t>OND</w:t>
            </w:r>
          </w:p>
        </w:tc>
        <w:tc>
          <w:tcPr>
            <w:tcW w:w="1196" w:type="dxa"/>
          </w:tcPr>
          <w:p w14:paraId="13B6AFE2"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C-PPX</w:t>
            </w:r>
          </w:p>
        </w:tc>
        <w:tc>
          <w:tcPr>
            <w:tcW w:w="1195" w:type="dxa"/>
          </w:tcPr>
          <w:p w14:paraId="6286386E"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OND</w:t>
            </w:r>
          </w:p>
        </w:tc>
        <w:tc>
          <w:tcPr>
            <w:tcW w:w="1196" w:type="dxa"/>
          </w:tcPr>
          <w:p w14:paraId="522FD12A"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C-PPX</w:t>
            </w:r>
          </w:p>
        </w:tc>
        <w:tc>
          <w:tcPr>
            <w:tcW w:w="1195" w:type="dxa"/>
          </w:tcPr>
          <w:p w14:paraId="0F78261B"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OND</w:t>
            </w:r>
          </w:p>
        </w:tc>
        <w:tc>
          <w:tcPr>
            <w:tcW w:w="1196" w:type="dxa"/>
          </w:tcPr>
          <w:p w14:paraId="0F5A983A"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C-PPX</w:t>
            </w:r>
          </w:p>
        </w:tc>
      </w:tr>
      <w:tr w:rsidR="005404BB" w:rsidRPr="005404BB" w14:paraId="2D89366F"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78DBC439"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n</w:t>
            </w:r>
          </w:p>
        </w:tc>
        <w:tc>
          <w:tcPr>
            <w:tcW w:w="1195" w:type="dxa"/>
          </w:tcPr>
          <w:p w14:paraId="2203C3A2"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ja-JP"/>
              </w:rPr>
            </w:pPr>
            <w:r w:rsidRPr="005404BB">
              <w:rPr>
                <w:sz w:val="20"/>
                <w:szCs w:val="20"/>
                <w:lang w:val="en-GB" w:eastAsia="ja-JP"/>
              </w:rPr>
              <w:t>(n=19)</w:t>
            </w:r>
          </w:p>
        </w:tc>
        <w:tc>
          <w:tcPr>
            <w:tcW w:w="1196" w:type="dxa"/>
          </w:tcPr>
          <w:p w14:paraId="0574DA53"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(n=33)</w:t>
            </w:r>
          </w:p>
        </w:tc>
        <w:tc>
          <w:tcPr>
            <w:tcW w:w="1195" w:type="dxa"/>
          </w:tcPr>
          <w:p w14:paraId="6EE845AA"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(n=9)</w:t>
            </w:r>
          </w:p>
        </w:tc>
        <w:tc>
          <w:tcPr>
            <w:tcW w:w="1196" w:type="dxa"/>
          </w:tcPr>
          <w:p w14:paraId="5FC58EB4"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(n=18)</w:t>
            </w:r>
          </w:p>
        </w:tc>
        <w:tc>
          <w:tcPr>
            <w:tcW w:w="1195" w:type="dxa"/>
          </w:tcPr>
          <w:p w14:paraId="39008AA6"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(n=10)</w:t>
            </w:r>
          </w:p>
        </w:tc>
        <w:tc>
          <w:tcPr>
            <w:tcW w:w="1196" w:type="dxa"/>
          </w:tcPr>
          <w:p w14:paraId="64D3D46D"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(n=15)</w:t>
            </w:r>
          </w:p>
        </w:tc>
      </w:tr>
      <w:tr w:rsidR="005404BB" w:rsidRPr="005404BB" w14:paraId="153165A6"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03FA1C31" w14:textId="77777777" w:rsidR="005404BB" w:rsidRPr="005404BB" w:rsidRDefault="005404BB" w:rsidP="00572F9F">
            <w:pPr>
              <w:widowControl w:val="0"/>
              <w:spacing w:before="0" w:after="0" w:line="240" w:lineRule="auto"/>
              <w:ind w:left="0"/>
              <w:jc w:val="right"/>
              <w:rPr>
                <w:b/>
                <w:bCs/>
                <w:sz w:val="20"/>
                <w:szCs w:val="20"/>
                <w:lang w:val="en-GB" w:eastAsia="ja-JP"/>
              </w:rPr>
            </w:pPr>
            <w:bookmarkStart w:id="105" w:name="_Hlk129079916"/>
            <w:r w:rsidRPr="005404BB">
              <w:rPr>
                <w:b/>
                <w:bCs/>
                <w:sz w:val="20"/>
                <w:szCs w:val="20"/>
                <w:lang w:val="en-GB" w:eastAsia="ja-JP"/>
              </w:rPr>
              <w:t>ABR</w:t>
            </w:r>
          </w:p>
        </w:tc>
        <w:tc>
          <w:tcPr>
            <w:tcW w:w="1195" w:type="dxa"/>
          </w:tcPr>
          <w:p w14:paraId="2D182B70"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ja-JP"/>
              </w:rPr>
            </w:pPr>
            <w:r w:rsidRPr="005404BB">
              <w:rPr>
                <w:sz w:val="20"/>
                <w:szCs w:val="20"/>
                <w:lang w:val="en-GB" w:eastAsia="ja-JP"/>
              </w:rPr>
              <w:t>11.8</w:t>
            </w:r>
          </w:p>
        </w:tc>
        <w:tc>
          <w:tcPr>
            <w:tcW w:w="1196" w:type="dxa"/>
          </w:tcPr>
          <w:p w14:paraId="134744E7"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1.7</w:t>
            </w:r>
          </w:p>
        </w:tc>
        <w:tc>
          <w:tcPr>
            <w:tcW w:w="1195" w:type="dxa"/>
          </w:tcPr>
          <w:p w14:paraId="302B03E5"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18.3</w:t>
            </w:r>
          </w:p>
        </w:tc>
        <w:tc>
          <w:tcPr>
            <w:tcW w:w="1196" w:type="dxa"/>
          </w:tcPr>
          <w:p w14:paraId="7D4147F2"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1.6</w:t>
            </w:r>
          </w:p>
        </w:tc>
        <w:tc>
          <w:tcPr>
            <w:tcW w:w="1195" w:type="dxa"/>
          </w:tcPr>
          <w:p w14:paraId="4C72145C"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7.2</w:t>
            </w:r>
          </w:p>
        </w:tc>
        <w:tc>
          <w:tcPr>
            <w:tcW w:w="1196" w:type="dxa"/>
          </w:tcPr>
          <w:p w14:paraId="4F83FA97"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2.2</w:t>
            </w:r>
          </w:p>
        </w:tc>
      </w:tr>
      <w:tr w:rsidR="005404BB" w:rsidRPr="005404BB" w14:paraId="46ED9358"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23154F46"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95% CI for ABR</w:t>
            </w:r>
          </w:p>
        </w:tc>
        <w:tc>
          <w:tcPr>
            <w:tcW w:w="1195" w:type="dxa"/>
          </w:tcPr>
          <w:p w14:paraId="038EEC3A"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i/>
                <w:iCs/>
                <w:sz w:val="20"/>
                <w:szCs w:val="20"/>
                <w:lang w:val="en-GB" w:eastAsia="ja-JP"/>
              </w:rPr>
            </w:pPr>
            <w:r w:rsidRPr="005404BB">
              <w:rPr>
                <w:sz w:val="20"/>
                <w:szCs w:val="20"/>
                <w:lang w:val="en-GB" w:eastAsia="ja-JP"/>
              </w:rPr>
              <w:t>7.0, 19.9</w:t>
            </w:r>
          </w:p>
        </w:tc>
        <w:tc>
          <w:tcPr>
            <w:tcW w:w="1196" w:type="dxa"/>
          </w:tcPr>
          <w:p w14:paraId="1D091E9A"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1.0, 2.9</w:t>
            </w:r>
          </w:p>
        </w:tc>
        <w:tc>
          <w:tcPr>
            <w:tcW w:w="1195" w:type="dxa"/>
          </w:tcPr>
          <w:p w14:paraId="01E7AFE6"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10.2, 32.9</w:t>
            </w:r>
          </w:p>
        </w:tc>
        <w:tc>
          <w:tcPr>
            <w:tcW w:w="1196" w:type="dxa"/>
          </w:tcPr>
          <w:p w14:paraId="3053B5A4"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0.9, 2.8</w:t>
            </w:r>
          </w:p>
        </w:tc>
        <w:tc>
          <w:tcPr>
            <w:tcW w:w="1195" w:type="dxa"/>
          </w:tcPr>
          <w:p w14:paraId="166C1911"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2.6, 20.1</w:t>
            </w:r>
          </w:p>
        </w:tc>
        <w:tc>
          <w:tcPr>
            <w:tcW w:w="1196" w:type="dxa"/>
          </w:tcPr>
          <w:p w14:paraId="4C0A6C67"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0.8, 6.5</w:t>
            </w:r>
          </w:p>
        </w:tc>
      </w:tr>
      <w:bookmarkEnd w:id="105"/>
      <w:tr w:rsidR="005404BB" w:rsidRPr="005404BB" w14:paraId="7511ED84"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233A6E56"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ABR ratio</w:t>
            </w:r>
          </w:p>
        </w:tc>
        <w:tc>
          <w:tcPr>
            <w:tcW w:w="2391" w:type="dxa"/>
            <w:gridSpan w:val="2"/>
          </w:tcPr>
          <w:p w14:paraId="13A7AB24" w14:textId="77777777" w:rsidR="005404BB" w:rsidRPr="005404BB" w:rsidRDefault="005404BB">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0.14</w:t>
            </w:r>
          </w:p>
        </w:tc>
        <w:tc>
          <w:tcPr>
            <w:tcW w:w="2391" w:type="dxa"/>
            <w:gridSpan w:val="2"/>
          </w:tcPr>
          <w:p w14:paraId="225D4C03"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0.09</w:t>
            </w:r>
          </w:p>
        </w:tc>
        <w:tc>
          <w:tcPr>
            <w:tcW w:w="2391" w:type="dxa"/>
            <w:gridSpan w:val="2"/>
          </w:tcPr>
          <w:p w14:paraId="7039D0F3"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0.31</w:t>
            </w:r>
          </w:p>
        </w:tc>
      </w:tr>
      <w:tr w:rsidR="005404BB" w:rsidRPr="005404BB" w14:paraId="10FFF501"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4BD1C8E1"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95% CI for ratio</w:t>
            </w:r>
          </w:p>
        </w:tc>
        <w:tc>
          <w:tcPr>
            <w:tcW w:w="2391" w:type="dxa"/>
            <w:gridSpan w:val="2"/>
          </w:tcPr>
          <w:p w14:paraId="4A14372E" w14:textId="77777777" w:rsidR="005404BB" w:rsidRPr="005404BB" w:rsidRDefault="005404BB">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0.07, 0.29</w:t>
            </w:r>
          </w:p>
        </w:tc>
        <w:tc>
          <w:tcPr>
            <w:tcW w:w="2391" w:type="dxa"/>
            <w:gridSpan w:val="2"/>
          </w:tcPr>
          <w:p w14:paraId="0495B894"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0.04, 0.18</w:t>
            </w:r>
          </w:p>
        </w:tc>
        <w:tc>
          <w:tcPr>
            <w:tcW w:w="2391" w:type="dxa"/>
            <w:gridSpan w:val="2"/>
          </w:tcPr>
          <w:p w14:paraId="7ED6C992" w14:textId="77777777" w:rsidR="005404BB" w:rsidRPr="005404BB" w:rsidRDefault="005404BB">
            <w:pPr>
              <w:keepNext/>
              <w:keepLines/>
              <w:widowControl w:val="0"/>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0.07, 1.36</w:t>
            </w:r>
          </w:p>
        </w:tc>
      </w:tr>
      <w:tr w:rsidR="005404BB" w:rsidRPr="005404BB" w14:paraId="7A3200D7" w14:textId="77777777" w:rsidTr="00572F9F">
        <w:trPr>
          <w:trHeight w:val="20"/>
        </w:trPr>
        <w:tc>
          <w:tcPr>
            <w:cnfStyle w:val="001000000000" w:firstRow="0" w:lastRow="0" w:firstColumn="1" w:lastColumn="0" w:oddVBand="0" w:evenVBand="0" w:oddHBand="0" w:evenHBand="0" w:firstRowFirstColumn="0" w:firstRowLastColumn="0" w:lastRowFirstColumn="0" w:lastRowLastColumn="0"/>
            <w:tcW w:w="1833" w:type="dxa"/>
          </w:tcPr>
          <w:p w14:paraId="4666F0B8" w14:textId="77777777" w:rsidR="005404BB" w:rsidRPr="005404BB" w:rsidRDefault="005404BB" w:rsidP="00572F9F">
            <w:pPr>
              <w:widowControl w:val="0"/>
              <w:spacing w:before="0" w:after="0" w:line="240" w:lineRule="auto"/>
              <w:ind w:left="0"/>
              <w:jc w:val="right"/>
              <w:rPr>
                <w:b/>
                <w:bCs/>
                <w:sz w:val="20"/>
                <w:szCs w:val="20"/>
                <w:lang w:val="en-GB" w:eastAsia="ja-JP"/>
              </w:rPr>
            </w:pPr>
            <w:r w:rsidRPr="005404BB">
              <w:rPr>
                <w:b/>
                <w:bCs/>
                <w:sz w:val="20"/>
                <w:szCs w:val="20"/>
                <w:lang w:val="en-GB" w:eastAsia="ja-JP"/>
              </w:rPr>
              <w:t>p value*</w:t>
            </w:r>
          </w:p>
        </w:tc>
        <w:tc>
          <w:tcPr>
            <w:tcW w:w="2391" w:type="dxa"/>
            <w:gridSpan w:val="2"/>
          </w:tcPr>
          <w:p w14:paraId="762D9603" w14:textId="77777777" w:rsidR="005404BB" w:rsidRPr="005404BB" w:rsidRDefault="005404BB">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&lt;0.001</w:t>
            </w:r>
          </w:p>
        </w:tc>
        <w:tc>
          <w:tcPr>
            <w:tcW w:w="2391" w:type="dxa"/>
            <w:gridSpan w:val="2"/>
          </w:tcPr>
          <w:p w14:paraId="4DE0E2C1" w14:textId="77777777" w:rsidR="005404BB" w:rsidRPr="005404BB" w:rsidRDefault="005404BB">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&lt;0.001*</w:t>
            </w:r>
          </w:p>
        </w:tc>
        <w:tc>
          <w:tcPr>
            <w:tcW w:w="2391" w:type="dxa"/>
            <w:gridSpan w:val="2"/>
          </w:tcPr>
          <w:p w14:paraId="4767F515" w14:textId="77777777" w:rsidR="005404BB" w:rsidRPr="005404BB" w:rsidRDefault="005404BB">
            <w:pPr>
              <w:keepNext/>
              <w:keepLines/>
              <w:widowControl w:val="0"/>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GB" w:eastAsia="ja-JP"/>
              </w:rPr>
            </w:pPr>
            <w:r w:rsidRPr="005404BB">
              <w:rPr>
                <w:sz w:val="20"/>
                <w:szCs w:val="20"/>
                <w:lang w:val="en-GB" w:eastAsia="ja-JP"/>
              </w:rPr>
              <w:t>0.12*</w:t>
            </w:r>
          </w:p>
        </w:tc>
      </w:tr>
    </w:tbl>
    <w:p w14:paraId="74A99C62" w14:textId="2A243DD9" w:rsidR="005404BB" w:rsidRPr="005404BB" w:rsidRDefault="005404BB" w:rsidP="005404BB">
      <w:pPr>
        <w:pStyle w:val="TableDescription"/>
      </w:pPr>
      <w:r w:rsidRPr="005404BB">
        <w:t>ABR = annualised bleeding rate estimate based on negative binomial regression analysis (se</w:t>
      </w:r>
      <w:r>
        <w:t xml:space="preserve">e </w:t>
      </w:r>
      <w:r>
        <w:fldChar w:fldCharType="begin"/>
      </w:r>
      <w:r>
        <w:instrText xml:space="preserve"> REF _Ref126317000 \h </w:instrText>
      </w:r>
      <w:r>
        <w:fldChar w:fldCharType="separate"/>
      </w:r>
      <w:r w:rsidR="001B5D20" w:rsidRPr="00C60464">
        <w:t>Statistical methods</w:t>
      </w:r>
      <w:r>
        <w:fldChar w:fldCharType="end"/>
      </w:r>
      <w:r w:rsidRPr="005404BB">
        <w:t>); CI</w:t>
      </w:r>
      <w:r w:rsidR="005715BC">
        <w:t> </w:t>
      </w:r>
      <w:r w:rsidRPr="005404BB">
        <w:t xml:space="preserve">= confidence interval; C-PPX = concizumab prophylaxis; FAS = full analysis set; </w:t>
      </w:r>
      <w:proofErr w:type="spellStart"/>
      <w:r w:rsidRPr="005404BB">
        <w:t>HAwI</w:t>
      </w:r>
      <w:proofErr w:type="spellEnd"/>
      <w:r w:rsidRPr="005404BB">
        <w:t xml:space="preserve"> = haemophilia A with inhibitors; </w:t>
      </w:r>
      <w:proofErr w:type="spellStart"/>
      <w:r w:rsidRPr="005404BB">
        <w:t>HBwI</w:t>
      </w:r>
      <w:proofErr w:type="spellEnd"/>
      <w:r w:rsidRPr="005404BB">
        <w:t xml:space="preserve"> = haemophilia B with inhibitors; n = number of patients; OND = on-demand treatment; </w:t>
      </w:r>
      <w:proofErr w:type="spellStart"/>
      <w:r w:rsidRPr="005404BB">
        <w:t>OTwoATexIR</w:t>
      </w:r>
      <w:proofErr w:type="spellEnd"/>
      <w:r w:rsidR="005715BC">
        <w:t> </w:t>
      </w:r>
      <w:r w:rsidRPr="005404BB">
        <w:t>= on-treatment without ancillary therapy excluding data on pre-pause regimen for subjects exposed to both the pre</w:t>
      </w:r>
      <w:r w:rsidR="005715BC">
        <w:noBreakHyphen/>
      </w:r>
      <w:r w:rsidRPr="005404BB">
        <w:t>pause and the post-pause regimen.</w:t>
      </w:r>
    </w:p>
    <w:p w14:paraId="51264E4B" w14:textId="0FF05039" w:rsidR="005404BB" w:rsidRPr="005715BC" w:rsidRDefault="005404BB" w:rsidP="005404BB">
      <w:pPr>
        <w:pStyle w:val="Heading8"/>
        <w:rPr>
          <w:sz w:val="22"/>
          <w:szCs w:val="22"/>
        </w:rPr>
      </w:pPr>
      <w:r w:rsidRPr="005715BC">
        <w:rPr>
          <w:sz w:val="22"/>
          <w:szCs w:val="22"/>
        </w:rPr>
        <w:t>Sensitivity analyses</w:t>
      </w:r>
      <w:r w:rsidR="0048603E">
        <w:rPr>
          <w:sz w:val="22"/>
          <w:szCs w:val="22"/>
        </w:rPr>
        <w:fldChar w:fldCharType="begin"/>
      </w:r>
      <w:r w:rsidR="0048603E">
        <w:rPr>
          <w:sz w:val="22"/>
          <w:szCs w:val="22"/>
        </w:rPr>
        <w:instrText xml:space="preserve"> DOCVARIABLE vault_nd_92d38df4-4437-4e44-a7d3-3e3c1cdd6905 \* MERGEFORMAT </w:instrText>
      </w:r>
      <w:r w:rsidR="0048603E">
        <w:rPr>
          <w:sz w:val="22"/>
          <w:szCs w:val="22"/>
        </w:rPr>
        <w:fldChar w:fldCharType="separate"/>
      </w:r>
      <w:r w:rsidR="001B5D20">
        <w:rPr>
          <w:sz w:val="22"/>
          <w:szCs w:val="22"/>
        </w:rPr>
        <w:t xml:space="preserve"> </w:t>
      </w:r>
      <w:r w:rsidR="0048603E">
        <w:rPr>
          <w:sz w:val="22"/>
          <w:szCs w:val="22"/>
        </w:rPr>
        <w:fldChar w:fldCharType="end"/>
      </w:r>
    </w:p>
    <w:p w14:paraId="459681EA" w14:textId="77777777" w:rsidR="005404BB" w:rsidRPr="005404BB" w:rsidRDefault="005404BB" w:rsidP="005404BB">
      <w:r w:rsidRPr="005404BB">
        <w:t>Sensitivity analyses were conducted of the primary analysis as follows:</w:t>
      </w:r>
    </w:p>
    <w:p w14:paraId="3A02D2B6" w14:textId="3A54D6F4" w:rsidR="005404BB" w:rsidRDefault="005404BB" w:rsidP="005715BC">
      <w:pPr>
        <w:pStyle w:val="Numberbullet0"/>
      </w:pPr>
      <w:bookmarkStart w:id="106" w:name="sensitivity1"/>
      <w:bookmarkEnd w:id="106"/>
      <w:r>
        <w:t>Including patients who received only pre-pause treatment (using multiple imputation to predict their bleeding rate on post-pause treatment), with a resulting ABR ratio (95%</w:t>
      </w:r>
      <w:r w:rsidR="005715BC">
        <w:t xml:space="preserve"> </w:t>
      </w:r>
      <w:r>
        <w:t xml:space="preserve">CI) of </w:t>
      </w:r>
      <w:r w:rsidRPr="00AF3D27">
        <w:t>0.14</w:t>
      </w:r>
      <w:r>
        <w:t xml:space="preserve"> (</w:t>
      </w:r>
      <w:r w:rsidRPr="00AF3D27">
        <w:t>0.07</w:t>
      </w:r>
      <w:r>
        <w:t xml:space="preserve">, </w:t>
      </w:r>
      <w:r w:rsidRPr="00AF3D27">
        <w:t>0.29</w:t>
      </w:r>
      <w:r>
        <w:t>)</w:t>
      </w:r>
    </w:p>
    <w:p w14:paraId="195A6EC1" w14:textId="63C7318B" w:rsidR="005404BB" w:rsidRDefault="005404BB" w:rsidP="005715BC">
      <w:pPr>
        <w:pStyle w:val="Numberbullet0"/>
      </w:pPr>
      <w:r>
        <w:t>Including bleeding data from the pre-pause period for all patients, with a resulting ABR ratio (95%</w:t>
      </w:r>
      <w:r w:rsidR="005715BC">
        <w:t xml:space="preserve"> </w:t>
      </w:r>
      <w:r>
        <w:t xml:space="preserve">CI) of </w:t>
      </w:r>
      <w:r w:rsidRPr="00AF3D27">
        <w:t>0.14</w:t>
      </w:r>
      <w:r>
        <w:t xml:space="preserve"> (</w:t>
      </w:r>
      <w:r w:rsidRPr="00AF3D27">
        <w:t>0.07</w:t>
      </w:r>
      <w:r>
        <w:t xml:space="preserve">, </w:t>
      </w:r>
      <w:r w:rsidRPr="00AF3D27">
        <w:t>0.29</w:t>
      </w:r>
      <w:r>
        <w:t>)</w:t>
      </w:r>
    </w:p>
    <w:p w14:paraId="3D57A566" w14:textId="77777777" w:rsidR="005404BB" w:rsidRDefault="005404BB" w:rsidP="005715BC">
      <w:pPr>
        <w:pStyle w:val="Numberbullet0"/>
      </w:pPr>
      <w:r>
        <w:t>Including</w:t>
      </w:r>
      <w:r w:rsidRPr="00AF3D27">
        <w:t xml:space="preserve"> </w:t>
      </w:r>
      <w:r>
        <w:t xml:space="preserve">in the model </w:t>
      </w:r>
      <w:r w:rsidRPr="00AF3D27">
        <w:t>an interaction term between treatment and a factor differentiating between subjects randomised before and after the pause</w:t>
      </w:r>
      <w:r>
        <w:t>:</w:t>
      </w:r>
    </w:p>
    <w:p w14:paraId="6671183D" w14:textId="6BC498B4" w:rsidR="005404BB" w:rsidRPr="00EF43E4" w:rsidRDefault="005404BB" w:rsidP="005715BC">
      <w:pPr>
        <w:pStyle w:val="Numberbullet2"/>
      </w:pPr>
      <w:r w:rsidRPr="00EF43E4">
        <w:t xml:space="preserve">For subjects randomised </w:t>
      </w:r>
      <w:r w:rsidRPr="005715BC">
        <w:t>before</w:t>
      </w:r>
      <w:r w:rsidRPr="00EF43E4">
        <w:t xml:space="preserve"> the treatment pause, </w:t>
      </w:r>
      <w:r>
        <w:t>t</w:t>
      </w:r>
      <w:r w:rsidRPr="00EF43E4">
        <w:t xml:space="preserve">he estimated </w:t>
      </w:r>
      <w:r>
        <w:t>ABR ratio (95%</w:t>
      </w:r>
      <w:r w:rsidR="005715BC">
        <w:t xml:space="preserve"> </w:t>
      </w:r>
      <w:r>
        <w:t>CI) was</w:t>
      </w:r>
      <w:r w:rsidRPr="00EF43E4">
        <w:t xml:space="preserve"> 0.16 (0.08</w:t>
      </w:r>
      <w:r>
        <w:t>,</w:t>
      </w:r>
      <w:r w:rsidRPr="00EF43E4">
        <w:t xml:space="preserve"> 0.35)</w:t>
      </w:r>
    </w:p>
    <w:p w14:paraId="1BBBC25D" w14:textId="70233137" w:rsidR="005404BB" w:rsidRDefault="005404BB" w:rsidP="005715BC">
      <w:pPr>
        <w:pStyle w:val="Numberbullet2"/>
      </w:pPr>
      <w:r w:rsidRPr="00EF43E4">
        <w:t xml:space="preserve">For subjects randomised </w:t>
      </w:r>
      <w:r w:rsidRPr="005715BC">
        <w:t>after</w:t>
      </w:r>
      <w:r w:rsidRPr="00EF43E4">
        <w:t xml:space="preserve"> the pause, </w:t>
      </w:r>
      <w:r>
        <w:t>t</w:t>
      </w:r>
      <w:r w:rsidRPr="00EF43E4">
        <w:t xml:space="preserve">he estimated </w:t>
      </w:r>
      <w:r>
        <w:t>ABR ratio (95%</w:t>
      </w:r>
      <w:r w:rsidR="005715BC">
        <w:t xml:space="preserve"> </w:t>
      </w:r>
      <w:r>
        <w:t>CI) was</w:t>
      </w:r>
      <w:r w:rsidRPr="00EF43E4">
        <w:t xml:space="preserve"> 0.06 (0.01 to 0.42</w:t>
      </w:r>
      <w:r>
        <w:t>)</w:t>
      </w:r>
    </w:p>
    <w:p w14:paraId="0D1C3A56" w14:textId="5A2CE6A7" w:rsidR="005404BB" w:rsidRDefault="005404BB" w:rsidP="005715BC">
      <w:pPr>
        <w:pStyle w:val="Numberbullet0"/>
      </w:pPr>
      <w:r>
        <w:t>A tipping point analysis, modelling an increasing bleeding rate in subjects who only received the pre-pause regimen, until the loss of a conclusion of superiority. A further 25 bleeds would be required for this to have occurred.</w:t>
      </w:r>
    </w:p>
    <w:p w14:paraId="29377B0F" w14:textId="177D8475" w:rsidR="005404BB" w:rsidRPr="005404BB" w:rsidRDefault="005404BB" w:rsidP="005404BB">
      <w:r w:rsidRPr="005404BB">
        <w:t xml:space="preserve">These analyses support the robustness of the primary result, </w:t>
      </w:r>
      <w:proofErr w:type="gramStart"/>
      <w:r w:rsidRPr="005404BB">
        <w:t>in light of</w:t>
      </w:r>
      <w:proofErr w:type="gramEnd"/>
      <w:r w:rsidRPr="005404BB">
        <w:t xml:space="preserve"> the study interruption and the high discontinuation rate (25 patients withdrew or discontinued from arms 1</w:t>
      </w:r>
      <w:r w:rsidR="005715BC">
        <w:t xml:space="preserve"> to </w:t>
      </w:r>
      <w:r w:rsidRPr="005404BB">
        <w:t>4 before the analysis cut-off).</w:t>
      </w:r>
    </w:p>
    <w:p w14:paraId="5078B495" w14:textId="36CF9D7B" w:rsidR="005404BB" w:rsidRPr="005715BC" w:rsidRDefault="005404BB" w:rsidP="005404BB">
      <w:pPr>
        <w:pStyle w:val="Heading8"/>
        <w:rPr>
          <w:sz w:val="22"/>
          <w:szCs w:val="22"/>
        </w:rPr>
      </w:pPr>
      <w:bookmarkStart w:id="107" w:name="_Exploratory_analyses"/>
      <w:bookmarkStart w:id="108" w:name="_Ref127547218"/>
      <w:bookmarkEnd w:id="107"/>
      <w:r w:rsidRPr="005715BC">
        <w:rPr>
          <w:sz w:val="22"/>
          <w:szCs w:val="22"/>
        </w:rPr>
        <w:t>Exploratory analyses</w:t>
      </w:r>
      <w:bookmarkEnd w:id="108"/>
      <w:r w:rsidR="0048603E">
        <w:rPr>
          <w:sz w:val="22"/>
          <w:szCs w:val="22"/>
        </w:rPr>
        <w:fldChar w:fldCharType="begin"/>
      </w:r>
      <w:r w:rsidR="0048603E">
        <w:rPr>
          <w:sz w:val="22"/>
          <w:szCs w:val="22"/>
        </w:rPr>
        <w:instrText xml:space="preserve"> DOCVARIABLE vault_nd_d2a57b2d-ef2d-484d-983c-6137cb8b38d1 \* MERGEFORMAT </w:instrText>
      </w:r>
      <w:r w:rsidR="0048603E">
        <w:rPr>
          <w:sz w:val="22"/>
          <w:szCs w:val="22"/>
        </w:rPr>
        <w:fldChar w:fldCharType="separate"/>
      </w:r>
      <w:r w:rsidR="001B5D20">
        <w:rPr>
          <w:sz w:val="22"/>
          <w:szCs w:val="22"/>
        </w:rPr>
        <w:t xml:space="preserve"> </w:t>
      </w:r>
      <w:r w:rsidR="0048603E">
        <w:rPr>
          <w:sz w:val="22"/>
          <w:szCs w:val="22"/>
        </w:rPr>
        <w:fldChar w:fldCharType="end"/>
      </w:r>
    </w:p>
    <w:p w14:paraId="41B49291" w14:textId="0892260F" w:rsidR="005404BB" w:rsidRPr="005715BC" w:rsidRDefault="005404BB" w:rsidP="005715BC">
      <w:r w:rsidRPr="005715BC">
        <w:t>Data from the extension period for Arm 1 was included in the study report. For patients in Arm</w:t>
      </w:r>
      <w:r w:rsidR="005715BC" w:rsidRPr="005715BC">
        <w:t> </w:t>
      </w:r>
      <w:r w:rsidRPr="005715BC">
        <w:t>1, who were randomised to continue their existing on-demand treatment, the mean (SD) [range] ABR was 18.4 (24.7) [0.0, 94.7] (n = 19) during their randomised treatment (n = 19). For 13 of the 19 patients in Arm 1, who had continued into the extension part of the study and received concizumab PPX at the time of data cut-off, the mean (SD) [range] ABR was 2.1 (1.9) [0.0, 4.7].</w:t>
      </w:r>
    </w:p>
    <w:p w14:paraId="4767A7BB" w14:textId="77777777" w:rsidR="005404BB" w:rsidRPr="005404BB" w:rsidRDefault="005404BB" w:rsidP="005404BB">
      <w:r w:rsidRPr="005404BB">
        <w:lastRenderedPageBreak/>
        <w:t>Additional descriptive, non-randomised, analyses comparing intra-patient data between periods of on-demand treatment and periods during which the same patients received concizumab PPX were provided at the regulator’s request for:</w:t>
      </w:r>
    </w:p>
    <w:p w14:paraId="6E9A8FB7" w14:textId="4345081C" w:rsidR="005404BB" w:rsidRDefault="005404BB" w:rsidP="005404BB">
      <w:pPr>
        <w:pStyle w:val="ListBullet"/>
      </w:pPr>
      <w:r>
        <w:t>21 patients who were subjects in Study 4322 (and thus observed during their existing on</w:t>
      </w:r>
      <w:r w:rsidR="005715BC">
        <w:noBreakHyphen/>
      </w:r>
      <w:r>
        <w:t xml:space="preserve">demand therapy), and who were subsequently transferred into explorer7 and randomised to Arm 2 (the </w:t>
      </w:r>
      <w:r w:rsidR="005715BC">
        <w:t>intra-patient analysis set 2</w:t>
      </w:r>
      <w:r>
        <w:t xml:space="preserve"> population i</w:t>
      </w:r>
      <w:r w:rsidR="00292436">
        <w:t xml:space="preserve">n </w:t>
      </w:r>
      <w:r w:rsidR="00292436">
        <w:fldChar w:fldCharType="begin"/>
      </w:r>
      <w:r w:rsidR="00292436">
        <w:instrText xml:space="preserve"> REF _Ref149652807 \h </w:instrText>
      </w:r>
      <w:r w:rsidR="00292436">
        <w:fldChar w:fldCharType="separate"/>
      </w:r>
      <w:r w:rsidR="001B5D20" w:rsidRPr="002276B2">
        <w:t xml:space="preserve">Table </w:t>
      </w:r>
      <w:r w:rsidR="001B5D20">
        <w:rPr>
          <w:noProof/>
        </w:rPr>
        <w:t>14</w:t>
      </w:r>
      <w:r w:rsidR="00292436">
        <w:fldChar w:fldCharType="end"/>
      </w:r>
      <w:r>
        <w:t>)</w:t>
      </w:r>
    </w:p>
    <w:p w14:paraId="3A885711" w14:textId="10630A1B" w:rsidR="005404BB" w:rsidRDefault="005404BB" w:rsidP="005404BB">
      <w:pPr>
        <w:pStyle w:val="ListBullet"/>
      </w:pPr>
      <w:r>
        <w:t xml:space="preserve">24 patients who were randomised to Arm 2 in explorer7 and received the pre-pause regimen, then ceased concizumab treatment (and returned to their prior on-demand treatment) during the treatment pause and then restarted concizumab treatment after the treatment pause, at the post-pause dose (the </w:t>
      </w:r>
      <w:r w:rsidR="005715BC">
        <w:t>analysis data set</w:t>
      </w:r>
      <w:r>
        <w:t xml:space="preserve"> population i</w:t>
      </w:r>
      <w:r w:rsidR="00292436">
        <w:t xml:space="preserve">n </w:t>
      </w:r>
      <w:r w:rsidR="00292436">
        <w:fldChar w:fldCharType="begin"/>
      </w:r>
      <w:r w:rsidR="00292436">
        <w:instrText xml:space="preserve"> REF _Ref149652815 \h </w:instrText>
      </w:r>
      <w:r w:rsidR="00292436">
        <w:fldChar w:fldCharType="separate"/>
      </w:r>
      <w:r w:rsidR="001B5D20" w:rsidRPr="002276B2">
        <w:t xml:space="preserve">Table </w:t>
      </w:r>
      <w:r w:rsidR="001B5D20">
        <w:rPr>
          <w:noProof/>
        </w:rPr>
        <w:t>15</w:t>
      </w:r>
      <w:r w:rsidR="00292436">
        <w:fldChar w:fldCharType="end"/>
      </w:r>
      <w:r>
        <w:t>)</w:t>
      </w:r>
    </w:p>
    <w:p w14:paraId="1B80FD1F" w14:textId="67C488F1" w:rsidR="005404BB" w:rsidRDefault="005404BB" w:rsidP="005404BB">
      <w:r w:rsidRPr="005404BB">
        <w:t xml:space="preserve">Results of the exploratory intra-patient analyses are summarised in </w:t>
      </w:r>
      <w:r w:rsidR="00292436">
        <w:fldChar w:fldCharType="begin"/>
      </w:r>
      <w:r w:rsidR="00292436">
        <w:instrText xml:space="preserve"> REF _Ref149652807 \h </w:instrText>
      </w:r>
      <w:r w:rsidR="00292436">
        <w:fldChar w:fldCharType="separate"/>
      </w:r>
      <w:r w:rsidR="001B5D20" w:rsidRPr="002276B2">
        <w:t xml:space="preserve">Table </w:t>
      </w:r>
      <w:r w:rsidR="001B5D20">
        <w:rPr>
          <w:noProof/>
        </w:rPr>
        <w:t>14</w:t>
      </w:r>
      <w:r w:rsidR="00292436">
        <w:fldChar w:fldCharType="end"/>
      </w:r>
      <w:r w:rsidR="002276B2">
        <w:t xml:space="preserve"> </w:t>
      </w:r>
      <w:r w:rsidR="00292436">
        <w:t xml:space="preserve">and </w:t>
      </w:r>
      <w:r w:rsidR="00292436">
        <w:fldChar w:fldCharType="begin"/>
      </w:r>
      <w:r w:rsidR="00292436">
        <w:instrText xml:space="preserve"> REF _Ref149652815 \h </w:instrText>
      </w:r>
      <w:r w:rsidR="00292436">
        <w:fldChar w:fldCharType="separate"/>
      </w:r>
      <w:r w:rsidR="001B5D20" w:rsidRPr="002276B2">
        <w:t xml:space="preserve">Table </w:t>
      </w:r>
      <w:r w:rsidR="001B5D20">
        <w:rPr>
          <w:noProof/>
        </w:rPr>
        <w:t>15</w:t>
      </w:r>
      <w:r w:rsidR="00292436">
        <w:fldChar w:fldCharType="end"/>
      </w:r>
      <w:r w:rsidR="00292436">
        <w:t xml:space="preserve">. </w:t>
      </w:r>
      <w:r w:rsidRPr="005404BB">
        <w:t>Whilst exploratory, these analyses are consistent with the primary finding that a treatment effect exists.</w:t>
      </w:r>
    </w:p>
    <w:p w14:paraId="4AF07006" w14:textId="4A9C8D1F" w:rsidR="00292436" w:rsidRDefault="00292436" w:rsidP="002276B2">
      <w:pPr>
        <w:pStyle w:val="TableTitle"/>
      </w:pPr>
      <w:bookmarkStart w:id="109" w:name="_Ref149652807"/>
      <w:r w:rsidRPr="002276B2">
        <w:t xml:space="preserve">Table </w:t>
      </w:r>
      <w:r w:rsidR="00572F9F">
        <w:fldChar w:fldCharType="begin"/>
      </w:r>
      <w:r w:rsidR="00572F9F">
        <w:instrText xml:space="preserve"> SEQ Table \* ARABIC </w:instrText>
      </w:r>
      <w:r w:rsidR="00572F9F">
        <w:fldChar w:fldCharType="separate"/>
      </w:r>
      <w:r w:rsidR="001B5D20">
        <w:rPr>
          <w:noProof/>
        </w:rPr>
        <w:t>14</w:t>
      </w:r>
      <w:r w:rsidR="00572F9F">
        <w:rPr>
          <w:noProof/>
        </w:rPr>
        <w:fldChar w:fldCharType="end"/>
      </w:r>
      <w:bookmarkEnd w:id="109"/>
      <w:r w:rsidRPr="002276B2">
        <w:t xml:space="preserve">: </w:t>
      </w:r>
      <w:r>
        <w:t xml:space="preserve">Exploratory intra-patient analyses of </w:t>
      </w:r>
      <w:r w:rsidR="005715BC" w:rsidRPr="005715BC">
        <w:t>annualised bleeding rate</w:t>
      </w:r>
      <w:r>
        <w:t xml:space="preserve"> before versus after initiation of concizumab </w:t>
      </w:r>
      <w:r w:rsidR="005715BC">
        <w:t>prophylaxis</w:t>
      </w:r>
      <w:r w:rsidR="002276B2">
        <w:t xml:space="preserve"> (</w:t>
      </w:r>
      <w:r w:rsidR="005715BC">
        <w:t>intra-patient analysis set</w:t>
      </w:r>
      <w:r w:rsidR="002276B2">
        <w:t xml:space="preserve"> population)</w:t>
      </w:r>
      <w:r w:rsidR="00572F9F">
        <w:fldChar w:fldCharType="begin"/>
      </w:r>
      <w:r w:rsidR="00572F9F">
        <w:instrText xml:space="preserve"> DOCVARIABLE vault_nd_2affa7a8-ec7c-4818-9da5-7d24993e9a1c \* MERGEFORMAT </w:instrText>
      </w:r>
      <w:r w:rsidR="00572F9F">
        <w:fldChar w:fldCharType="separate"/>
      </w:r>
      <w:r w:rsidR="001B5D20">
        <w:t xml:space="preserve"> </w:t>
      </w:r>
      <w:r w:rsidR="00572F9F">
        <w:fldChar w:fldCharType="end"/>
      </w:r>
    </w:p>
    <w:p w14:paraId="3F35DF38" w14:textId="6D185776" w:rsidR="002276B2" w:rsidRPr="002276B2" w:rsidRDefault="002276B2" w:rsidP="002276B2">
      <w:r>
        <w:rPr>
          <w:noProof/>
        </w:rPr>
        <w:drawing>
          <wp:inline distT="0" distB="0" distL="0" distR="0" wp14:anchorId="59E03AA2" wp14:editId="3B6D1065">
            <wp:extent cx="5731510" cy="2990850"/>
            <wp:effectExtent l="0" t="0" r="2540" b="0"/>
            <wp:docPr id="28" name="Picture 28" descr="Exploratory intra-patient analyses of annualised bleeding rate before versus after initiation of concizumab prophylaxis (intra-patient analysis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xploratory intra-patient analyses of annualised bleeding rate before versus after initiation of concizumab prophylaxis (intra-patient analysis set population)"/>
                    <pic:cNvPicPr/>
                  </pic:nvPicPr>
                  <pic:blipFill rotWithShape="1">
                    <a:blip r:embed="rId34"/>
                    <a:srcRect b="7356"/>
                    <a:stretch/>
                  </pic:blipFill>
                  <pic:spPr bwMode="auto">
                    <a:xfrm>
                      <a:off x="0" y="0"/>
                      <a:ext cx="5731510" cy="2990850"/>
                    </a:xfrm>
                    <a:prstGeom prst="rect">
                      <a:avLst/>
                    </a:prstGeom>
                    <a:ln>
                      <a:noFill/>
                    </a:ln>
                    <a:extLst>
                      <a:ext uri="{53640926-AAD7-44D8-BBD7-CCE9431645EC}">
                        <a14:shadowObscured xmlns:a14="http://schemas.microsoft.com/office/drawing/2010/main"/>
                      </a:ext>
                    </a:extLst>
                  </pic:spPr>
                </pic:pic>
              </a:graphicData>
            </a:graphic>
          </wp:inline>
        </w:drawing>
      </w:r>
    </w:p>
    <w:p w14:paraId="7CAD20D6" w14:textId="63F09EA2" w:rsidR="00292436" w:rsidRDefault="00292436" w:rsidP="002276B2">
      <w:pPr>
        <w:pStyle w:val="TableTitle"/>
      </w:pPr>
      <w:bookmarkStart w:id="110" w:name="_Ref149652815"/>
      <w:r w:rsidRPr="002276B2">
        <w:lastRenderedPageBreak/>
        <w:t xml:space="preserve">Table </w:t>
      </w:r>
      <w:r w:rsidR="00572F9F">
        <w:fldChar w:fldCharType="begin"/>
      </w:r>
      <w:r w:rsidR="00572F9F">
        <w:instrText xml:space="preserve"> SEQ Table \* ARABIC </w:instrText>
      </w:r>
      <w:r w:rsidR="00572F9F">
        <w:fldChar w:fldCharType="separate"/>
      </w:r>
      <w:r w:rsidR="001B5D20">
        <w:rPr>
          <w:noProof/>
        </w:rPr>
        <w:t>15</w:t>
      </w:r>
      <w:r w:rsidR="00572F9F">
        <w:rPr>
          <w:noProof/>
        </w:rPr>
        <w:fldChar w:fldCharType="end"/>
      </w:r>
      <w:bookmarkEnd w:id="110"/>
      <w:r w:rsidRPr="002276B2">
        <w:t>:</w:t>
      </w:r>
      <w:r w:rsidRPr="00292436">
        <w:t xml:space="preserve"> </w:t>
      </w:r>
      <w:r>
        <w:t xml:space="preserve">Exploratory intra-patient analyses of </w:t>
      </w:r>
      <w:r w:rsidR="005715BC" w:rsidRPr="005715BC">
        <w:t>annualised bleeding rate</w:t>
      </w:r>
      <w:r>
        <w:t xml:space="preserve"> before versus after initiation of concizumab </w:t>
      </w:r>
      <w:r w:rsidR="005715BC">
        <w:t xml:space="preserve">prophylaxis </w:t>
      </w:r>
      <w:r w:rsidR="002276B2">
        <w:t>(</w:t>
      </w:r>
      <w:r w:rsidR="005715BC">
        <w:t>analysis data set</w:t>
      </w:r>
      <w:r w:rsidR="002276B2">
        <w:t xml:space="preserve"> population)</w:t>
      </w:r>
      <w:r w:rsidR="00572F9F">
        <w:fldChar w:fldCharType="begin"/>
      </w:r>
      <w:r w:rsidR="00572F9F">
        <w:instrText xml:space="preserve"> DOCVARIABLE vault_nd_6d66e13b-77a6-482c-b26a-83a58fa8b3cd \* MERGEFORMAT </w:instrText>
      </w:r>
      <w:r w:rsidR="00572F9F">
        <w:fldChar w:fldCharType="separate"/>
      </w:r>
      <w:r w:rsidR="001B5D20">
        <w:t xml:space="preserve"> </w:t>
      </w:r>
      <w:r w:rsidR="00572F9F">
        <w:fldChar w:fldCharType="end"/>
      </w:r>
    </w:p>
    <w:p w14:paraId="60789F0C" w14:textId="56BA53E4" w:rsidR="002276B2" w:rsidRDefault="002276B2" w:rsidP="002276B2">
      <w:r>
        <w:rPr>
          <w:noProof/>
        </w:rPr>
        <w:drawing>
          <wp:inline distT="0" distB="0" distL="0" distR="0" wp14:anchorId="609BBF2D" wp14:editId="4DC01DD5">
            <wp:extent cx="5553710" cy="2720525"/>
            <wp:effectExtent l="0" t="0" r="8890" b="3810"/>
            <wp:docPr id="26" name="Picture 26" descr="Exploratory intra-patient analyses of annualised bleeding rate before versus after initiation of concizumab prophylaxis (analysis data se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ploratory intra-patient analyses of annualised bleeding rate before versus after initiation of concizumab prophylaxis (analysis data set populatio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8372" cy="2727707"/>
                    </a:xfrm>
                    <a:prstGeom prst="rect">
                      <a:avLst/>
                    </a:prstGeom>
                    <a:noFill/>
                  </pic:spPr>
                </pic:pic>
              </a:graphicData>
            </a:graphic>
          </wp:inline>
        </w:drawing>
      </w:r>
    </w:p>
    <w:p w14:paraId="5A0AF358" w14:textId="7E094B84" w:rsidR="002276B2" w:rsidRPr="002276B2" w:rsidRDefault="002276B2" w:rsidP="002276B2">
      <w:pPr>
        <w:pStyle w:val="Heading7"/>
      </w:pPr>
      <w:r w:rsidRPr="002276B2">
        <w:t>Key secondary endpoints</w:t>
      </w:r>
      <w:r w:rsidR="00572F9F">
        <w:fldChar w:fldCharType="begin"/>
      </w:r>
      <w:r w:rsidR="00572F9F">
        <w:instrText xml:space="preserve"> DOCVARIABLE vault_nd_858fdf0b-e8df-4d95-9968-8ac3c1d56920 \* </w:instrText>
      </w:r>
      <w:r w:rsidR="00572F9F">
        <w:instrText xml:space="preserve">MERGEFORMAT </w:instrText>
      </w:r>
      <w:r w:rsidR="00572F9F">
        <w:fldChar w:fldCharType="separate"/>
      </w:r>
      <w:r w:rsidR="001B5D20">
        <w:t xml:space="preserve"> </w:t>
      </w:r>
      <w:r w:rsidR="00572F9F">
        <w:fldChar w:fldCharType="end"/>
      </w:r>
    </w:p>
    <w:p w14:paraId="712662A3" w14:textId="4A59AF51" w:rsidR="002276B2" w:rsidRPr="002276B2" w:rsidRDefault="005715BC" w:rsidP="002276B2">
      <w:r>
        <w:t xml:space="preserve">Patient reported outcome </w:t>
      </w:r>
      <w:r w:rsidR="002276B2" w:rsidRPr="002276B2">
        <w:t xml:space="preserve">survey completion rates were low, leading to substantial missing data, particularly in Arm 1. No statistically significant difference was demonstrated between Arm 1 and Arm 2 for either of the key secondary endpoints. There was inconsistency between the </w:t>
      </w:r>
      <w:r w:rsidR="002276B2">
        <w:t>P</w:t>
      </w:r>
      <w:r w:rsidR="002276B2" w:rsidRPr="002276B2">
        <w:t xml:space="preserve">hase </w:t>
      </w:r>
      <w:r w:rsidR="002276B2">
        <w:t>III</w:t>
      </w:r>
      <w:r w:rsidR="002276B2" w:rsidRPr="002276B2">
        <w:t xml:space="preserve"> study (</w:t>
      </w:r>
      <w:r>
        <w:t xml:space="preserve">Study </w:t>
      </w:r>
      <w:r w:rsidR="002276B2" w:rsidRPr="002276B2">
        <w:t xml:space="preserve">4311) and the </w:t>
      </w:r>
      <w:r w:rsidR="002276B2">
        <w:t>P</w:t>
      </w:r>
      <w:r w:rsidR="002276B2" w:rsidRPr="002276B2">
        <w:t xml:space="preserve">hase </w:t>
      </w:r>
      <w:r w:rsidR="002276B2">
        <w:t>II</w:t>
      </w:r>
      <w:r w:rsidR="002276B2" w:rsidRPr="002276B2">
        <w:t xml:space="preserve"> study (</w:t>
      </w:r>
      <w:r>
        <w:t xml:space="preserve">Study </w:t>
      </w:r>
      <w:r w:rsidR="002276B2" w:rsidRPr="002276B2">
        <w:t xml:space="preserve">4310) in terms of the results obtained for the </w:t>
      </w:r>
      <w:r w:rsidRPr="005715BC">
        <w:t>36-item short form health survey</w:t>
      </w:r>
      <w:r w:rsidR="002276B2" w:rsidRPr="002276B2">
        <w:t>. These endpoints are not considered to meaningfully contribute to the regulatory decision.</w:t>
      </w:r>
    </w:p>
    <w:p w14:paraId="517A4461" w14:textId="1714C0C9" w:rsidR="002276B2" w:rsidRPr="002276B2" w:rsidRDefault="002276B2" w:rsidP="002276B2">
      <w:pPr>
        <w:pStyle w:val="Heading5"/>
      </w:pPr>
      <w:r w:rsidRPr="002276B2">
        <w:t>Other efficacy studies</w:t>
      </w:r>
      <w:r w:rsidR="00572F9F">
        <w:fldChar w:fldCharType="begin"/>
      </w:r>
      <w:r w:rsidR="00572F9F">
        <w:instrText xml:space="preserve"> DOCVARIABLE vault_nd_f47420da-2060-468d-9c38-449cb27b70ca \* MERGEFORMAT </w:instrText>
      </w:r>
      <w:r w:rsidR="00572F9F">
        <w:fldChar w:fldCharType="separate"/>
      </w:r>
      <w:r w:rsidR="001B5D20">
        <w:t xml:space="preserve"> </w:t>
      </w:r>
      <w:r w:rsidR="00572F9F">
        <w:fldChar w:fldCharType="end"/>
      </w:r>
    </w:p>
    <w:p w14:paraId="5A9E17E6" w14:textId="07BF2E79" w:rsidR="002276B2" w:rsidRPr="002276B2" w:rsidRDefault="002276B2" w:rsidP="002276B2">
      <w:pPr>
        <w:pStyle w:val="Heading6"/>
      </w:pPr>
      <w:bookmarkStart w:id="111" w:name="_Ref128744048"/>
      <w:r w:rsidRPr="002276B2">
        <w:t>Study 4310 (explorer4)</w:t>
      </w:r>
      <w:bookmarkEnd w:id="111"/>
      <w:r w:rsidR="0048603E">
        <w:fldChar w:fldCharType="begin"/>
      </w:r>
      <w:r w:rsidR="0048603E">
        <w:instrText xml:space="preserve"> DOCVARIABLE vault_nd_9823151e-dd55-4f73-ba4d-adcbfcfd131d \* MERGEFORMAT </w:instrText>
      </w:r>
      <w:r w:rsidR="0048603E">
        <w:fldChar w:fldCharType="separate"/>
      </w:r>
      <w:r w:rsidR="001B5D20">
        <w:t xml:space="preserve"> </w:t>
      </w:r>
      <w:r w:rsidR="0048603E">
        <w:fldChar w:fldCharType="end"/>
      </w:r>
    </w:p>
    <w:p w14:paraId="7E07CA83" w14:textId="1684018A" w:rsidR="002276B2" w:rsidRPr="002276B2" w:rsidRDefault="002276B2" w:rsidP="002276B2">
      <w:r w:rsidRPr="002276B2">
        <w:t xml:space="preserve">This was an international, multi-centre, </w:t>
      </w:r>
      <w:r>
        <w:t>P</w:t>
      </w:r>
      <w:r w:rsidRPr="002276B2">
        <w:t xml:space="preserve">hase </w:t>
      </w:r>
      <w:r>
        <w:t>II</w:t>
      </w:r>
      <w:r w:rsidRPr="002276B2">
        <w:t>, randomised, open</w:t>
      </w:r>
      <w:r w:rsidR="005715BC">
        <w:t xml:space="preserve"> </w:t>
      </w:r>
      <w:r w:rsidRPr="002276B2">
        <w:t xml:space="preserve">label study </w:t>
      </w:r>
      <w:r w:rsidR="005715BC" w:rsidRPr="005715BC">
        <w:t xml:space="preserve">in </w:t>
      </w:r>
      <w:proofErr w:type="spellStart"/>
      <w:r w:rsidR="005715BC" w:rsidRPr="005715BC">
        <w:t>HAwI</w:t>
      </w:r>
      <w:proofErr w:type="spellEnd"/>
      <w:r w:rsidR="005715BC" w:rsidRPr="005715BC">
        <w:t xml:space="preserve"> and </w:t>
      </w:r>
      <w:proofErr w:type="spellStart"/>
      <w:r w:rsidR="005715BC" w:rsidRPr="005715BC">
        <w:t>HBwI</w:t>
      </w:r>
      <w:proofErr w:type="spellEnd"/>
      <w:r w:rsidR="005715BC" w:rsidRPr="005715BC">
        <w:t xml:space="preserve"> </w:t>
      </w:r>
      <w:r w:rsidRPr="002276B2">
        <w:t>which was completed in January 2020, and has been published</w:t>
      </w:r>
      <w:r>
        <w:t>.</w:t>
      </w:r>
      <w:r w:rsidRPr="002276B2">
        <w:rPr>
          <w:vertAlign w:val="superscript"/>
        </w:rPr>
        <w:fldChar w:fldCharType="begin"/>
      </w:r>
      <w:r w:rsidRPr="002276B2">
        <w:rPr>
          <w:vertAlign w:val="superscript"/>
        </w:rPr>
        <w:instrText xml:space="preserve"> NOTEREF _Ref149653127 \h </w:instrText>
      </w:r>
      <w:r>
        <w:rPr>
          <w:vertAlign w:val="superscript"/>
        </w:rPr>
        <w:instrText xml:space="preserve"> \* MERGEFORMAT </w:instrText>
      </w:r>
      <w:r w:rsidRPr="002276B2">
        <w:rPr>
          <w:vertAlign w:val="superscript"/>
        </w:rPr>
      </w:r>
      <w:r w:rsidRPr="002276B2">
        <w:rPr>
          <w:vertAlign w:val="superscript"/>
        </w:rPr>
        <w:fldChar w:fldCharType="separate"/>
      </w:r>
      <w:r w:rsidR="001B5D20">
        <w:rPr>
          <w:vertAlign w:val="superscript"/>
        </w:rPr>
        <w:t>33</w:t>
      </w:r>
      <w:r w:rsidRPr="002276B2">
        <w:rPr>
          <w:vertAlign w:val="superscript"/>
        </w:rPr>
        <w:fldChar w:fldCharType="end"/>
      </w:r>
      <w:r>
        <w:rPr>
          <w:vertAlign w:val="superscript"/>
        </w:rPr>
        <w:t>,</w:t>
      </w:r>
      <w:r w:rsidR="005715BC">
        <w:rPr>
          <w:vertAlign w:val="superscript"/>
        </w:rPr>
        <w:t xml:space="preserve"> </w:t>
      </w:r>
      <w:r>
        <w:rPr>
          <w:rStyle w:val="FootnoteReference"/>
        </w:rPr>
        <w:footnoteReference w:id="40"/>
      </w:r>
    </w:p>
    <w:p w14:paraId="0BF0FC61" w14:textId="57250F21" w:rsidR="002276B2" w:rsidRPr="002276B2" w:rsidRDefault="002276B2" w:rsidP="002276B2">
      <w:r w:rsidRPr="002276B2">
        <w:t>This study had similar eligibility to Arms 1</w:t>
      </w:r>
      <w:r w:rsidR="005715BC">
        <w:t xml:space="preserve"> and </w:t>
      </w:r>
      <w:r w:rsidRPr="002276B2">
        <w:t>2 of explorer7 (</w:t>
      </w:r>
      <w:r>
        <w:t xml:space="preserve">see </w:t>
      </w:r>
      <w:r>
        <w:fldChar w:fldCharType="begin"/>
      </w:r>
      <w:r>
        <w:instrText xml:space="preserve"> REF _Ref149640493 \h </w:instrText>
      </w:r>
      <w:r>
        <w:fldChar w:fldCharType="separate"/>
      </w:r>
      <w:r w:rsidR="001B5D20" w:rsidRPr="00D267BC">
        <w:t xml:space="preserve">Table </w:t>
      </w:r>
      <w:r w:rsidR="001B5D20">
        <w:rPr>
          <w:noProof/>
        </w:rPr>
        <w:t>5</w:t>
      </w:r>
      <w:r>
        <w:fldChar w:fldCharType="end"/>
      </w:r>
      <w:r w:rsidRPr="002276B2">
        <w:t>), but only included adults, and required a history of high-titre inhibitors (5</w:t>
      </w:r>
      <w:r w:rsidR="005715BC">
        <w:t xml:space="preserve"> </w:t>
      </w:r>
      <w:r w:rsidRPr="002276B2">
        <w:t>BU</w:t>
      </w:r>
      <w:r w:rsidR="005715BC">
        <w:t xml:space="preserve"> or greater</w:t>
      </w:r>
      <w:r w:rsidRPr="002276B2">
        <w:t xml:space="preserve">; whilst </w:t>
      </w:r>
      <w:r w:rsidR="005715BC" w:rsidRPr="002276B2">
        <w:t>eligibility</w:t>
      </w:r>
      <w:r w:rsidRPr="002276B2">
        <w:t xml:space="preserve"> for explorer7 accepted</w:t>
      </w:r>
      <w:r>
        <w:t xml:space="preserve"> </w:t>
      </w:r>
      <w:r w:rsidRPr="002276B2">
        <w:t>0.6 BU</w:t>
      </w:r>
      <w:r w:rsidR="005715BC">
        <w:t xml:space="preserve"> or greater</w:t>
      </w:r>
      <w:r w:rsidRPr="002276B2">
        <w:t>).</w:t>
      </w:r>
    </w:p>
    <w:p w14:paraId="370EC139" w14:textId="22A1A964" w:rsidR="002276B2" w:rsidRPr="00676791" w:rsidRDefault="002276B2" w:rsidP="002276B2">
      <w:r w:rsidRPr="002276B2">
        <w:t>A study schema is shown in</w:t>
      </w:r>
      <w:r>
        <w:t xml:space="preserve"> </w:t>
      </w:r>
      <w:r>
        <w:fldChar w:fldCharType="begin"/>
      </w:r>
      <w:r>
        <w:instrText xml:space="preserve"> REF _Ref149653401 \h </w:instrText>
      </w:r>
      <w:r>
        <w:fldChar w:fldCharType="separate"/>
      </w:r>
      <w:r w:rsidR="001B5D20" w:rsidRPr="002276B2">
        <w:t xml:space="preserve">Figure </w:t>
      </w:r>
      <w:r w:rsidR="001B5D20">
        <w:rPr>
          <w:noProof/>
        </w:rPr>
        <w:t>9</w:t>
      </w:r>
      <w:r>
        <w:fldChar w:fldCharType="end"/>
      </w:r>
      <w:r>
        <w:t xml:space="preserve">. </w:t>
      </w:r>
      <w:r w:rsidRPr="002276B2">
        <w:t xml:space="preserve">For the main part of the study, subjects were randomised 1:2 to receive either on-demand treatment with </w:t>
      </w:r>
      <w:proofErr w:type="spellStart"/>
      <w:r w:rsidRPr="002276B2">
        <w:t>rFVIIa</w:t>
      </w:r>
      <w:proofErr w:type="spellEnd"/>
      <w:r w:rsidRPr="002276B2">
        <w:t xml:space="preserve"> (supplied by the </w:t>
      </w:r>
      <w:r>
        <w:t>s</w:t>
      </w:r>
      <w:r w:rsidRPr="002276B2">
        <w:t xml:space="preserve">ponsor) </w:t>
      </w:r>
      <w:r w:rsidR="005715BC">
        <w:t>(</w:t>
      </w:r>
      <w:r w:rsidRPr="002276B2">
        <w:t>n</w:t>
      </w:r>
      <w:r>
        <w:t xml:space="preserve"> </w:t>
      </w:r>
      <w:r w:rsidRPr="002276B2">
        <w:t>=</w:t>
      </w:r>
      <w:r>
        <w:t xml:space="preserve"> </w:t>
      </w:r>
      <w:r w:rsidRPr="002276B2">
        <w:t>9</w:t>
      </w:r>
      <w:r w:rsidR="005715BC">
        <w:t>)</w:t>
      </w:r>
      <w:r w:rsidRPr="002276B2">
        <w:t xml:space="preserve">, or concizumab PPX </w:t>
      </w:r>
      <w:r w:rsidR="005715BC">
        <w:t>(</w:t>
      </w:r>
      <w:r w:rsidRPr="002276B2">
        <w:t>n</w:t>
      </w:r>
      <w:r>
        <w:t xml:space="preserve"> </w:t>
      </w:r>
      <w:r w:rsidRPr="002276B2">
        <w:t>=</w:t>
      </w:r>
      <w:r>
        <w:t xml:space="preserve"> </w:t>
      </w:r>
      <w:r w:rsidRPr="002276B2">
        <w:t>17</w:t>
      </w:r>
      <w:r w:rsidR="005715BC">
        <w:t>)</w:t>
      </w:r>
      <w:r w:rsidRPr="002276B2">
        <w:t>. In the extension part, all subjects received concizumab PPX.</w:t>
      </w:r>
    </w:p>
    <w:p w14:paraId="4C177316" w14:textId="77777777" w:rsidR="002276B2" w:rsidRPr="002276B2" w:rsidRDefault="002276B2" w:rsidP="002276B2">
      <w:r w:rsidRPr="002276B2">
        <w:t>Concizumab was given at:</w:t>
      </w:r>
    </w:p>
    <w:p w14:paraId="3AA6E27E" w14:textId="54A27330" w:rsidR="002276B2" w:rsidRPr="005715BC" w:rsidRDefault="002276B2" w:rsidP="005715BC">
      <w:pPr>
        <w:pStyle w:val="ListBullet"/>
      </w:pPr>
      <w:r w:rsidRPr="005715BC">
        <w:t>A loading dose of 0.5</w:t>
      </w:r>
      <w:r w:rsidR="005715BC">
        <w:t> </w:t>
      </w:r>
      <w:r w:rsidRPr="005715BC">
        <w:t>mg/kg SC on Day 1</w:t>
      </w:r>
      <w:r w:rsidR="005715BC">
        <w:t>.</w:t>
      </w:r>
    </w:p>
    <w:p w14:paraId="2F4BCAE6" w14:textId="67765AEB" w:rsidR="002276B2" w:rsidRPr="005715BC" w:rsidRDefault="002276B2" w:rsidP="005715BC">
      <w:pPr>
        <w:pStyle w:val="ListBullet"/>
      </w:pPr>
      <w:r w:rsidRPr="005715BC">
        <w:t>A maintenance dose of 0.15</w:t>
      </w:r>
      <w:r w:rsidR="005715BC">
        <w:t> </w:t>
      </w:r>
      <w:r w:rsidRPr="005715BC">
        <w:t xml:space="preserve">mg/kg SC daily commencing on </w:t>
      </w:r>
      <w:r w:rsidR="005715BC">
        <w:t>D</w:t>
      </w:r>
      <w:r w:rsidRPr="005715BC">
        <w:t>ay 2. This dose could be increased to 0.20</w:t>
      </w:r>
      <w:r w:rsidR="005715BC">
        <w:t> </w:t>
      </w:r>
      <w:r w:rsidRPr="005715BC">
        <w:t>mg/kg and then to 0.25</w:t>
      </w:r>
      <w:r w:rsidR="005715BC">
        <w:t> </w:t>
      </w:r>
      <w:r w:rsidRPr="005715BC">
        <w:t xml:space="preserve">mg/kg in the event of frequent bleeds (3 </w:t>
      </w:r>
      <w:r w:rsidR="005715BC">
        <w:t xml:space="preserve">or more </w:t>
      </w:r>
      <w:r w:rsidRPr="005715BC">
        <w:t xml:space="preserve">spontaneous bleeds in the preceding </w:t>
      </w:r>
      <w:r w:rsidR="00A57FBC">
        <w:t>12</w:t>
      </w:r>
      <w:r w:rsidRPr="005715BC">
        <w:t xml:space="preserve"> weeks)</w:t>
      </w:r>
      <w:r w:rsidR="005715BC">
        <w:t>.</w:t>
      </w:r>
    </w:p>
    <w:p w14:paraId="4531393B" w14:textId="3428BA84" w:rsidR="002276B2" w:rsidRDefault="002276B2" w:rsidP="002276B2">
      <w:pPr>
        <w:pStyle w:val="FigureTitle"/>
      </w:pPr>
      <w:bookmarkStart w:id="112" w:name="_Ref149653401"/>
      <w:r w:rsidRPr="002276B2">
        <w:lastRenderedPageBreak/>
        <w:t xml:space="preserve">Figure </w:t>
      </w:r>
      <w:r w:rsidR="00572F9F">
        <w:fldChar w:fldCharType="begin"/>
      </w:r>
      <w:r w:rsidR="00572F9F">
        <w:instrText xml:space="preserve"> SEQ Figure \* ARABIC </w:instrText>
      </w:r>
      <w:r w:rsidR="00572F9F">
        <w:fldChar w:fldCharType="separate"/>
      </w:r>
      <w:r w:rsidR="001B5D20">
        <w:rPr>
          <w:noProof/>
        </w:rPr>
        <w:t>9</w:t>
      </w:r>
      <w:r w:rsidR="00572F9F">
        <w:rPr>
          <w:noProof/>
        </w:rPr>
        <w:fldChar w:fldCharType="end"/>
      </w:r>
      <w:bookmarkEnd w:id="112"/>
      <w:r>
        <w:t xml:space="preserve">: </w:t>
      </w:r>
      <w:r w:rsidRPr="002276B2">
        <w:t>Study design of explorer4</w:t>
      </w:r>
      <w:r w:rsidR="00572F9F">
        <w:fldChar w:fldCharType="begin"/>
      </w:r>
      <w:r w:rsidR="00572F9F">
        <w:instrText xml:space="preserve"> DOCVARIABLE vault_nd_bb99a2d8-f98b-4c2c-9cc4-e5431b4d1609 \* MERGEFORMAT </w:instrText>
      </w:r>
      <w:r w:rsidR="00572F9F">
        <w:fldChar w:fldCharType="separate"/>
      </w:r>
      <w:r w:rsidR="001B5D20">
        <w:t xml:space="preserve"> </w:t>
      </w:r>
      <w:r w:rsidR="00572F9F">
        <w:fldChar w:fldCharType="end"/>
      </w:r>
    </w:p>
    <w:p w14:paraId="5449A0AC" w14:textId="29D2510A" w:rsidR="002276B2" w:rsidRDefault="002276B2" w:rsidP="002276B2">
      <w:r w:rsidRPr="00470430">
        <w:rPr>
          <w:noProof/>
          <w:lang w:eastAsia="ja-JP"/>
        </w:rPr>
        <w:drawing>
          <wp:inline distT="0" distB="0" distL="0" distR="0" wp14:anchorId="5C4B1E4C" wp14:editId="7B43C38D">
            <wp:extent cx="5438693" cy="2443340"/>
            <wp:effectExtent l="0" t="0" r="0" b="0"/>
            <wp:docPr id="10" name="Picture 10" descr="Study 4310 consisted of a screening period (weeks 2 to 4), a main part at least 24 weeks, an extension part (weeks 52 to 94), and an 8 week follow up period. A maintenance dose of 0.15 mg/kg commenced on Day 2. This dose could be increased to 0.20 mg/kg and then to 0.25 mg/kg in the event of frequent bleeds (3 or more spontaneous bleeds in the preceding 3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4310 consisted of a screening period (weeks 2 to 4), a main part at least 24 weeks, an extension part (weeks 52 to 94), and an 8 week follow up period. A maintenance dose of 0.15 mg/kg commenced on Day 2. This dose could be increased to 0.20 mg/kg and then to 0.25 mg/kg in the event of frequent bleeds (3 or more spontaneous bleeds in the preceding 3 week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1216" cy="2448966"/>
                    </a:xfrm>
                    <a:prstGeom prst="rect">
                      <a:avLst/>
                    </a:prstGeom>
                    <a:noFill/>
                    <a:ln>
                      <a:noFill/>
                    </a:ln>
                  </pic:spPr>
                </pic:pic>
              </a:graphicData>
            </a:graphic>
          </wp:inline>
        </w:drawing>
      </w:r>
    </w:p>
    <w:p w14:paraId="47B0EE19" w14:textId="1AE1FA8E" w:rsidR="002276B2" w:rsidRPr="002276B2" w:rsidRDefault="002276B2" w:rsidP="002276B2">
      <w:r w:rsidRPr="002276B2">
        <w:t>Dosing was not escalated beyond 0.25</w:t>
      </w:r>
      <w:r w:rsidR="005715BC">
        <w:t> </w:t>
      </w:r>
      <w:r w:rsidRPr="002276B2">
        <w:t>mg/kg. Those who continued to have frequent bleeds at this dose level were to be discontinued from the study. There was no provision for dose reduction.</w:t>
      </w:r>
    </w:p>
    <w:p w14:paraId="69AB00E8" w14:textId="4D5383AF" w:rsidR="002276B2" w:rsidRPr="002276B2" w:rsidRDefault="002276B2" w:rsidP="002276B2">
      <w:r w:rsidRPr="002276B2">
        <w:t xml:space="preserve">Breakthrough bleeding episodes occurring after </w:t>
      </w:r>
      <w:r w:rsidR="005715BC">
        <w:t>D</w:t>
      </w:r>
      <w:r w:rsidRPr="002276B2">
        <w:t xml:space="preserve">ay 1 were treated with </w:t>
      </w:r>
      <w:proofErr w:type="spellStart"/>
      <w:r w:rsidRPr="002276B2">
        <w:t>rFVIIa</w:t>
      </w:r>
      <w:proofErr w:type="spellEnd"/>
      <w:r w:rsidRPr="002276B2">
        <w:t xml:space="preserve"> in both arms. Guidance was provided in the protocol for the treatment of breakthrough bleeds.</w:t>
      </w:r>
    </w:p>
    <w:p w14:paraId="604EBD97" w14:textId="77777777" w:rsidR="002276B2" w:rsidRPr="002276B2" w:rsidRDefault="002276B2" w:rsidP="002276B2">
      <w:r w:rsidRPr="002276B2">
        <w:t>The following medicines were prohibited during the trial:</w:t>
      </w:r>
    </w:p>
    <w:p w14:paraId="47CC269E" w14:textId="77777777" w:rsidR="002276B2" w:rsidRPr="00365B30" w:rsidRDefault="002276B2" w:rsidP="002276B2">
      <w:pPr>
        <w:pStyle w:val="ListBullet"/>
      </w:pPr>
      <w:r w:rsidRPr="00365B30">
        <w:t>Heparin (except for sealing of central venous access ports according to local practice).</w:t>
      </w:r>
    </w:p>
    <w:p w14:paraId="7DF2504A" w14:textId="77777777" w:rsidR="002276B2" w:rsidRPr="00365B30" w:rsidRDefault="002276B2" w:rsidP="002276B2">
      <w:pPr>
        <w:pStyle w:val="ListBullet"/>
      </w:pPr>
      <w:r w:rsidRPr="00365B30">
        <w:t>Vitamin-K antagonists.</w:t>
      </w:r>
    </w:p>
    <w:p w14:paraId="53FF1F5E" w14:textId="6DE2A048" w:rsidR="002276B2" w:rsidRPr="00365B30" w:rsidRDefault="002276B2" w:rsidP="002276B2">
      <w:pPr>
        <w:pStyle w:val="ListBullet"/>
      </w:pPr>
      <w:r w:rsidRPr="00365B30">
        <w:t>Direct oral anti-coagulants.</w:t>
      </w:r>
    </w:p>
    <w:p w14:paraId="7D6335FB" w14:textId="77777777" w:rsidR="002276B2" w:rsidRPr="00365B30" w:rsidRDefault="002276B2" w:rsidP="002276B2">
      <w:pPr>
        <w:pStyle w:val="ListBullet"/>
      </w:pPr>
      <w:r w:rsidRPr="00365B30">
        <w:t>Anti-fibrinolytics, except for local/topical use. Use of single systemic doses was allowed after careful benefit-risk evaluation.</w:t>
      </w:r>
    </w:p>
    <w:p w14:paraId="621AE068" w14:textId="7D895798" w:rsidR="002276B2" w:rsidRPr="00365B30" w:rsidRDefault="002276B2" w:rsidP="002276B2">
      <w:pPr>
        <w:pStyle w:val="ListBullet"/>
      </w:pPr>
      <w:r w:rsidRPr="00365B30">
        <w:t xml:space="preserve">Home treatment </w:t>
      </w:r>
      <w:r w:rsidRPr="00470430">
        <w:t xml:space="preserve">with activated prothrombin complex concentrates (between </w:t>
      </w:r>
      <w:r w:rsidR="005715BC">
        <w:t>W</w:t>
      </w:r>
      <w:r w:rsidRPr="00470430">
        <w:t xml:space="preserve">eek 0 and </w:t>
      </w:r>
      <w:r w:rsidR="005715BC">
        <w:t>W</w:t>
      </w:r>
      <w:r w:rsidRPr="00470430">
        <w:t>eek 24).</w:t>
      </w:r>
    </w:p>
    <w:p w14:paraId="3C1FEA4C" w14:textId="18F8C00E" w:rsidR="002276B2" w:rsidRPr="002276B2" w:rsidRDefault="002276B2" w:rsidP="002276B2">
      <w:r w:rsidRPr="002276B2">
        <w:t>A total of 26 subjects with a mean age of 37 years were randomised</w:t>
      </w:r>
      <w:r w:rsidR="005715BC">
        <w:t>,</w:t>
      </w:r>
      <w:r w:rsidRPr="002276B2">
        <w:t xml:space="preserve"> 17 to concizumab and 9 to on-demand treatment with </w:t>
      </w:r>
      <w:proofErr w:type="spellStart"/>
      <w:r w:rsidRPr="002276B2">
        <w:t>rfVIIa</w:t>
      </w:r>
      <w:proofErr w:type="spellEnd"/>
      <w:r w:rsidRPr="002276B2">
        <w:t xml:space="preserve">. </w:t>
      </w:r>
      <w:r w:rsidR="005715BC">
        <w:t>Sixteen</w:t>
      </w:r>
      <w:r w:rsidRPr="002276B2">
        <w:t xml:space="preserve"> subjects had </w:t>
      </w:r>
      <w:proofErr w:type="spellStart"/>
      <w:r w:rsidRPr="002276B2">
        <w:t>HAwI</w:t>
      </w:r>
      <w:proofErr w:type="spellEnd"/>
      <w:r w:rsidRPr="002276B2">
        <w:t xml:space="preserve">, and 10 subjects had </w:t>
      </w:r>
      <w:proofErr w:type="spellStart"/>
      <w:r w:rsidRPr="002276B2">
        <w:t>HBwI</w:t>
      </w:r>
      <w:proofErr w:type="spellEnd"/>
      <w:r w:rsidRPr="002276B2">
        <w:t>. All had severe haemophilia. All subjects were receiving an on-demand treatment regimen at enrolment, with a mean ABR of 23. Four subjects had received prophylaxis in the preceding 12 months.</w:t>
      </w:r>
    </w:p>
    <w:p w14:paraId="2F6C2A65" w14:textId="19EC9255" w:rsidR="002276B2" w:rsidRPr="002276B2" w:rsidRDefault="002276B2" w:rsidP="002276B2">
      <w:r w:rsidRPr="002276B2">
        <w:t>One subject (in the on-demand arm) withdrew during the main part of the study.</w:t>
      </w:r>
    </w:p>
    <w:p w14:paraId="63A334CA" w14:textId="75EDCB60" w:rsidR="002276B2" w:rsidRPr="002276B2" w:rsidRDefault="002276B2" w:rsidP="002276B2">
      <w:r w:rsidRPr="002276B2">
        <w:t>In the main part, patients randomised to concizumab mostly (88%) remained on 0.15</w:t>
      </w:r>
      <w:r w:rsidR="005715BC">
        <w:t> </w:t>
      </w:r>
      <w:r w:rsidRPr="002276B2">
        <w:t xml:space="preserve">mg/kg; </w:t>
      </w:r>
      <w:r w:rsidR="005715BC">
        <w:t>two</w:t>
      </w:r>
      <w:r w:rsidRPr="002276B2">
        <w:t xml:space="preserve"> patients (12%) escalated to receive 0.20</w:t>
      </w:r>
      <w:r w:rsidR="005715BC">
        <w:t> </w:t>
      </w:r>
      <w:r w:rsidRPr="002276B2">
        <w:t>mg/kg.</w:t>
      </w:r>
    </w:p>
    <w:p w14:paraId="072D09E5" w14:textId="3EA007DA" w:rsidR="002276B2" w:rsidRPr="002276B2" w:rsidRDefault="002276B2" w:rsidP="002276B2">
      <w:r w:rsidRPr="002276B2">
        <w:t xml:space="preserve">The estimated ABR during the main part of the study (not including a </w:t>
      </w:r>
      <w:proofErr w:type="gramStart"/>
      <w:r w:rsidRPr="002276B2">
        <w:t>2 week</w:t>
      </w:r>
      <w:proofErr w:type="gramEnd"/>
      <w:r w:rsidRPr="002276B2">
        <w:t xml:space="preserve"> run-in period after starting concizumab) was 5.4 in the concizumab arm and 20.6 in the on-demand arm. The estimated ABR ratio was 0.26 (95%</w:t>
      </w:r>
      <w:r w:rsidR="005715BC">
        <w:t xml:space="preserve"> </w:t>
      </w:r>
      <w:r w:rsidRPr="002276B2">
        <w:t>CI: 0.15 to 0.44). The difference between treatment arms was statistically significant (p &lt; 0.001).</w:t>
      </w:r>
    </w:p>
    <w:p w14:paraId="1E15B5C3" w14:textId="5012722B" w:rsidR="002276B2" w:rsidRPr="00480CB6" w:rsidRDefault="00480CB6" w:rsidP="009A6018">
      <w:r w:rsidRPr="00480CB6">
        <w:t xml:space="preserve">The </w:t>
      </w:r>
      <w:r w:rsidR="002276B2" w:rsidRPr="00480CB6">
        <w:t>Delegate comment</w:t>
      </w:r>
      <w:r w:rsidRPr="00480CB6">
        <w:t>ed that</w:t>
      </w:r>
      <w:r w:rsidR="005715BC">
        <w:t xml:space="preserve"> the </w:t>
      </w:r>
      <w:r w:rsidR="002276B2" w:rsidRPr="00480CB6">
        <w:t>explorer4</w:t>
      </w:r>
      <w:r w:rsidR="009A6018">
        <w:t xml:space="preserve"> trial</w:t>
      </w:r>
      <w:r w:rsidR="002276B2" w:rsidRPr="00480CB6">
        <w:t xml:space="preserve"> provides supportive evidence for the efficacy of concizumab in </w:t>
      </w:r>
      <w:proofErr w:type="spellStart"/>
      <w:r w:rsidR="002276B2" w:rsidRPr="00480CB6">
        <w:t>HAwI</w:t>
      </w:r>
      <w:proofErr w:type="spellEnd"/>
      <w:r w:rsidR="002276B2" w:rsidRPr="00480CB6">
        <w:t xml:space="preserve"> and </w:t>
      </w:r>
      <w:proofErr w:type="spellStart"/>
      <w:r w:rsidR="002276B2" w:rsidRPr="00480CB6">
        <w:t>HBwI</w:t>
      </w:r>
      <w:proofErr w:type="spellEnd"/>
      <w:r w:rsidR="002276B2" w:rsidRPr="00480CB6">
        <w:t xml:space="preserve">. The study also provides data on longer-term efficacy, with bleeding rates after at least 76 weeks of treatment remaining </w:t>
      </w:r>
      <w:proofErr w:type="gramStart"/>
      <w:r w:rsidR="002276B2" w:rsidRPr="00480CB6">
        <w:t>similar to</w:t>
      </w:r>
      <w:proofErr w:type="gramEnd"/>
      <w:r w:rsidR="002276B2" w:rsidRPr="00480CB6">
        <w:t xml:space="preserve"> those observed after 24</w:t>
      </w:r>
      <w:r w:rsidR="005715BC">
        <w:t> </w:t>
      </w:r>
      <w:r w:rsidR="002276B2" w:rsidRPr="00480CB6">
        <w:t>weeks of treatment. Randomisation was not stratified according to haemophilia type (</w:t>
      </w:r>
      <w:proofErr w:type="spellStart"/>
      <w:r w:rsidR="002276B2" w:rsidRPr="00480CB6">
        <w:t>HAwI</w:t>
      </w:r>
      <w:proofErr w:type="spellEnd"/>
      <w:r w:rsidR="002276B2" w:rsidRPr="00480CB6">
        <w:t xml:space="preserve"> v</w:t>
      </w:r>
      <w:r>
        <w:t>ersus</w:t>
      </w:r>
      <w:r w:rsidR="002276B2" w:rsidRPr="00480CB6">
        <w:t xml:space="preserve"> </w:t>
      </w:r>
      <w:proofErr w:type="spellStart"/>
      <w:r w:rsidR="002276B2" w:rsidRPr="00480CB6">
        <w:t>HBwI</w:t>
      </w:r>
      <w:proofErr w:type="spellEnd"/>
      <w:r w:rsidR="002276B2" w:rsidRPr="00480CB6">
        <w:t>) and no analyses for haemophilia subgroups were presented.</w:t>
      </w:r>
      <w:r w:rsidR="009A6018">
        <w:t xml:space="preserve"> </w:t>
      </w:r>
      <w:r w:rsidR="002276B2" w:rsidRPr="00480CB6">
        <w:t xml:space="preserve">Bleeding rates in this study were higher than those observed in the pivotal study, both for on-demand subjects and </w:t>
      </w:r>
      <w:r w:rsidR="002276B2" w:rsidRPr="00480CB6">
        <w:lastRenderedPageBreak/>
        <w:t>subjects treated with concizumab (</w:t>
      </w:r>
      <w:r>
        <w:t xml:space="preserve">see </w:t>
      </w:r>
      <w:r>
        <w:fldChar w:fldCharType="begin"/>
      </w:r>
      <w:r>
        <w:instrText xml:space="preserve"> REF _Ref149653657 \h </w:instrText>
      </w:r>
      <w:r>
        <w:fldChar w:fldCharType="separate"/>
      </w:r>
      <w:r w:rsidR="001B5D20" w:rsidRPr="00480CB6">
        <w:t xml:space="preserve">Table </w:t>
      </w:r>
      <w:r w:rsidR="001B5D20">
        <w:rPr>
          <w:noProof/>
        </w:rPr>
        <w:t>16</w:t>
      </w:r>
      <w:r>
        <w:fldChar w:fldCharType="end"/>
      </w:r>
      <w:r>
        <w:t>)</w:t>
      </w:r>
      <w:r w:rsidR="002276B2" w:rsidRPr="00480CB6">
        <w:t>. This may reflect differences in entry criteria and dosage regimens.</w:t>
      </w:r>
    </w:p>
    <w:p w14:paraId="41EABF13" w14:textId="5C9FB6BB" w:rsidR="002276B2" w:rsidRDefault="00480CB6" w:rsidP="00480CB6">
      <w:pPr>
        <w:pStyle w:val="TableTitle"/>
      </w:pPr>
      <w:bookmarkStart w:id="113" w:name="_Ref149653657"/>
      <w:r w:rsidRPr="00480CB6">
        <w:t xml:space="preserve">Table </w:t>
      </w:r>
      <w:r w:rsidR="00572F9F">
        <w:fldChar w:fldCharType="begin"/>
      </w:r>
      <w:r w:rsidR="00572F9F">
        <w:instrText xml:space="preserve"> SEQ Table \* ARABIC </w:instrText>
      </w:r>
      <w:r w:rsidR="00572F9F">
        <w:fldChar w:fldCharType="separate"/>
      </w:r>
      <w:r w:rsidR="001B5D20">
        <w:rPr>
          <w:noProof/>
        </w:rPr>
        <w:t>16</w:t>
      </w:r>
      <w:r w:rsidR="00572F9F">
        <w:rPr>
          <w:noProof/>
        </w:rPr>
        <w:fldChar w:fldCharType="end"/>
      </w:r>
      <w:bookmarkEnd w:id="113"/>
      <w:r>
        <w:t xml:space="preserve">: </w:t>
      </w:r>
      <w:r w:rsidR="005715BC">
        <w:t>A</w:t>
      </w:r>
      <w:r w:rsidR="005715BC" w:rsidRPr="005715BC">
        <w:t>nnualised bleeding rate</w:t>
      </w:r>
      <w:r w:rsidR="005715BC">
        <w:t>s</w:t>
      </w:r>
      <w:r>
        <w:t xml:space="preserve"> across studies</w:t>
      </w:r>
      <w:r w:rsidR="005715BC">
        <w:t xml:space="preserve">, </w:t>
      </w:r>
      <w:r>
        <w:t xml:space="preserve">groups in which patients with </w:t>
      </w:r>
      <w:r w:rsidR="005715BC">
        <w:t xml:space="preserve">haemophilia A with inhibitors </w:t>
      </w:r>
      <w:r>
        <w:t xml:space="preserve">or </w:t>
      </w:r>
      <w:r w:rsidR="005715BC">
        <w:t xml:space="preserve">haemophilia B with inhibitors </w:t>
      </w:r>
      <w:r>
        <w:t xml:space="preserve">received concizumab </w:t>
      </w:r>
      <w:r w:rsidR="005715BC">
        <w:t>prophylaxis</w:t>
      </w:r>
      <w:r>
        <w:t xml:space="preserve"> are highlighted yellow, bold text indicates randomised groups</w:t>
      </w:r>
      <w:r w:rsidR="00572F9F">
        <w:fldChar w:fldCharType="begin"/>
      </w:r>
      <w:r w:rsidR="00572F9F">
        <w:instrText xml:space="preserve"> DOCVARIABLE vault_nd_c6e0eb09-37bc-499e-a56b-198dc0c3a58e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4690"/>
        <w:gridCol w:w="1686"/>
        <w:gridCol w:w="1417"/>
        <w:gridCol w:w="1267"/>
      </w:tblGrid>
      <w:tr w:rsidR="00480CB6" w14:paraId="390D42F5" w14:textId="77777777" w:rsidTr="00480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0" w:type="dxa"/>
          </w:tcPr>
          <w:p w14:paraId="2D35ACE4" w14:textId="77777777" w:rsidR="00480CB6" w:rsidRDefault="00480CB6">
            <w:pPr>
              <w:spacing w:before="0" w:after="0" w:line="240" w:lineRule="auto"/>
              <w:ind w:left="57" w:right="57"/>
            </w:pPr>
            <w:r>
              <w:t>Population</w:t>
            </w:r>
          </w:p>
        </w:tc>
        <w:tc>
          <w:tcPr>
            <w:tcW w:w="1686" w:type="dxa"/>
          </w:tcPr>
          <w:p w14:paraId="7F367F3D" w14:textId="77777777" w:rsidR="00480CB6" w:rsidRDefault="00480CB6">
            <w:pPr>
              <w:spacing w:before="0" w:after="0" w:line="240" w:lineRule="auto"/>
              <w:ind w:left="57" w:right="57"/>
              <w:cnfStyle w:val="100000000000" w:firstRow="1" w:lastRow="0" w:firstColumn="0" w:lastColumn="0" w:oddVBand="0" w:evenVBand="0" w:oddHBand="0" w:evenHBand="0" w:firstRowFirstColumn="0" w:firstRowLastColumn="0" w:lastRowFirstColumn="0" w:lastRowLastColumn="0"/>
            </w:pPr>
            <w:r>
              <w:t># patients</w:t>
            </w:r>
          </w:p>
        </w:tc>
        <w:tc>
          <w:tcPr>
            <w:tcW w:w="1417" w:type="dxa"/>
          </w:tcPr>
          <w:p w14:paraId="68BC543F" w14:textId="77777777" w:rsidR="00480CB6" w:rsidRDefault="00480CB6">
            <w:pPr>
              <w:spacing w:before="0" w:after="0" w:line="240" w:lineRule="auto"/>
              <w:ind w:left="57" w:right="57"/>
              <w:cnfStyle w:val="100000000000" w:firstRow="1" w:lastRow="0" w:firstColumn="0" w:lastColumn="0" w:oddVBand="0" w:evenVBand="0" w:oddHBand="0" w:evenHBand="0" w:firstRowFirstColumn="0" w:firstRowLastColumn="0" w:lastRowFirstColumn="0" w:lastRowLastColumn="0"/>
            </w:pPr>
            <w:r>
              <w:t>ABR</w:t>
            </w:r>
          </w:p>
        </w:tc>
        <w:tc>
          <w:tcPr>
            <w:tcW w:w="1267" w:type="dxa"/>
          </w:tcPr>
          <w:p w14:paraId="1BF8F64A" w14:textId="77777777" w:rsidR="00480CB6" w:rsidRDefault="00480CB6">
            <w:pPr>
              <w:spacing w:before="0" w:after="0" w:line="240" w:lineRule="auto"/>
              <w:ind w:left="57" w:right="57"/>
              <w:cnfStyle w:val="100000000000" w:firstRow="1" w:lastRow="0" w:firstColumn="0" w:lastColumn="0" w:oddVBand="0" w:evenVBand="0" w:oddHBand="0" w:evenHBand="0" w:firstRowFirstColumn="0" w:firstRowLastColumn="0" w:lastRowFirstColumn="0" w:lastRowLastColumn="0"/>
            </w:pPr>
            <w:r>
              <w:t>95% CI</w:t>
            </w:r>
          </w:p>
        </w:tc>
      </w:tr>
      <w:tr w:rsidR="00480CB6" w14:paraId="0884A9F7"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4CCE952F" w14:textId="77777777" w:rsidR="00480CB6" w:rsidRPr="0063544F" w:rsidRDefault="00480CB6">
            <w:pPr>
              <w:spacing w:before="0" w:after="0" w:line="240" w:lineRule="auto"/>
              <w:ind w:left="57" w:right="57"/>
              <w:rPr>
                <w:b/>
                <w:bCs/>
              </w:rPr>
            </w:pPr>
            <w:r w:rsidRPr="0063544F">
              <w:rPr>
                <w:b/>
                <w:bCs/>
              </w:rPr>
              <w:t xml:space="preserve">explorer7 Arm 1 (on-demand bypassing agents) </w:t>
            </w:r>
          </w:p>
        </w:tc>
        <w:tc>
          <w:tcPr>
            <w:tcW w:w="1686" w:type="dxa"/>
          </w:tcPr>
          <w:p w14:paraId="2C3E004C"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19 (</w:t>
            </w:r>
            <w:proofErr w:type="spellStart"/>
            <w:r w:rsidRPr="0063544F">
              <w:rPr>
                <w:b/>
                <w:bCs/>
              </w:rPr>
              <w:t>HAwI</w:t>
            </w:r>
            <w:proofErr w:type="spellEnd"/>
            <w:r w:rsidRPr="0063544F">
              <w:rPr>
                <w:b/>
                <w:bCs/>
              </w:rPr>
              <w:t xml:space="preserve"> &amp; </w:t>
            </w:r>
            <w:proofErr w:type="spellStart"/>
            <w:r w:rsidRPr="0063544F">
              <w:rPr>
                <w:b/>
                <w:bCs/>
              </w:rPr>
              <w:t>HBwI</w:t>
            </w:r>
            <w:proofErr w:type="spellEnd"/>
            <w:r w:rsidRPr="0063544F">
              <w:rPr>
                <w:b/>
                <w:bCs/>
              </w:rPr>
              <w:t>)</w:t>
            </w:r>
          </w:p>
        </w:tc>
        <w:tc>
          <w:tcPr>
            <w:tcW w:w="1417" w:type="dxa"/>
          </w:tcPr>
          <w:p w14:paraId="619E1D61"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11.8</w:t>
            </w:r>
            <w:r w:rsidRPr="0063544F">
              <w:rPr>
                <w:b/>
                <w:bCs/>
              </w:rPr>
              <w:tab/>
            </w:r>
          </w:p>
        </w:tc>
        <w:tc>
          <w:tcPr>
            <w:tcW w:w="1267" w:type="dxa"/>
          </w:tcPr>
          <w:p w14:paraId="09D9EDCE"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7.0, 19.9</w:t>
            </w:r>
          </w:p>
        </w:tc>
      </w:tr>
      <w:tr w:rsidR="00480CB6" w14:paraId="572C99C0"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6479300F" w14:textId="77777777" w:rsidR="00480CB6" w:rsidRPr="0063544F" w:rsidRDefault="00480CB6">
            <w:pPr>
              <w:spacing w:before="0" w:after="0" w:line="240" w:lineRule="auto"/>
              <w:ind w:left="57" w:right="57"/>
              <w:rPr>
                <w:b/>
                <w:bCs/>
                <w:highlight w:val="yellow"/>
              </w:rPr>
            </w:pPr>
            <w:r w:rsidRPr="0063544F">
              <w:rPr>
                <w:b/>
                <w:bCs/>
                <w:highlight w:val="yellow"/>
              </w:rPr>
              <w:t xml:space="preserve">explorer7 Arm 2 (concizumab PPX) </w:t>
            </w:r>
          </w:p>
        </w:tc>
        <w:tc>
          <w:tcPr>
            <w:tcW w:w="1686" w:type="dxa"/>
          </w:tcPr>
          <w:p w14:paraId="1835ACA8"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33 (</w:t>
            </w:r>
            <w:proofErr w:type="spellStart"/>
            <w:r w:rsidRPr="0063544F">
              <w:rPr>
                <w:b/>
                <w:bCs/>
                <w:highlight w:val="yellow"/>
              </w:rPr>
              <w:t>HAwI</w:t>
            </w:r>
            <w:proofErr w:type="spellEnd"/>
            <w:r w:rsidRPr="0063544F">
              <w:rPr>
                <w:b/>
                <w:bCs/>
                <w:highlight w:val="yellow"/>
              </w:rPr>
              <w:t xml:space="preserve"> &amp; </w:t>
            </w:r>
            <w:proofErr w:type="spellStart"/>
            <w:r w:rsidRPr="0063544F">
              <w:rPr>
                <w:b/>
                <w:bCs/>
                <w:highlight w:val="yellow"/>
              </w:rPr>
              <w:t>HBwI</w:t>
            </w:r>
            <w:proofErr w:type="spellEnd"/>
            <w:r w:rsidRPr="0063544F">
              <w:rPr>
                <w:b/>
                <w:bCs/>
                <w:highlight w:val="yellow"/>
              </w:rPr>
              <w:t>)</w:t>
            </w:r>
          </w:p>
        </w:tc>
        <w:tc>
          <w:tcPr>
            <w:tcW w:w="1417" w:type="dxa"/>
          </w:tcPr>
          <w:p w14:paraId="5E2D7083"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1.7</w:t>
            </w:r>
          </w:p>
        </w:tc>
        <w:tc>
          <w:tcPr>
            <w:tcW w:w="1267" w:type="dxa"/>
          </w:tcPr>
          <w:p w14:paraId="1042365F"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1.0, 2.9</w:t>
            </w:r>
          </w:p>
        </w:tc>
      </w:tr>
      <w:tr w:rsidR="00480CB6" w14:paraId="6F8E3C89"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65134047" w14:textId="77777777" w:rsidR="00480CB6" w:rsidRDefault="00480CB6">
            <w:pPr>
              <w:spacing w:before="0" w:after="0" w:line="240" w:lineRule="auto"/>
              <w:ind w:left="57" w:right="57"/>
            </w:pPr>
            <w:r>
              <w:t xml:space="preserve">explorer6 </w:t>
            </w:r>
            <w:proofErr w:type="spellStart"/>
            <w:r>
              <w:t>HAwI</w:t>
            </w:r>
            <w:proofErr w:type="spellEnd"/>
            <w:r>
              <w:t xml:space="preserve"> (on-</w:t>
            </w:r>
            <w:proofErr w:type="gramStart"/>
            <w:r>
              <w:t>demand)*</w:t>
            </w:r>
            <w:proofErr w:type="gramEnd"/>
          </w:p>
        </w:tc>
        <w:tc>
          <w:tcPr>
            <w:tcW w:w="1686" w:type="dxa"/>
          </w:tcPr>
          <w:p w14:paraId="2E95C25B"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35 (</w:t>
            </w:r>
            <w:proofErr w:type="spellStart"/>
            <w:r>
              <w:t>HAwI</w:t>
            </w:r>
            <w:proofErr w:type="spellEnd"/>
            <w:r>
              <w:t>)</w:t>
            </w:r>
          </w:p>
        </w:tc>
        <w:tc>
          <w:tcPr>
            <w:tcW w:w="1417" w:type="dxa"/>
          </w:tcPr>
          <w:p w14:paraId="424DD960"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14.3</w:t>
            </w:r>
          </w:p>
        </w:tc>
        <w:tc>
          <w:tcPr>
            <w:tcW w:w="1267" w:type="dxa"/>
          </w:tcPr>
          <w:p w14:paraId="3F991A2E"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10.6, 19.3</w:t>
            </w:r>
          </w:p>
        </w:tc>
      </w:tr>
      <w:tr w:rsidR="00480CB6" w14:paraId="22FEE4FA"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3EB54E34" w14:textId="77777777" w:rsidR="00480CB6" w:rsidRDefault="00480CB6">
            <w:pPr>
              <w:spacing w:before="0" w:after="0" w:line="240" w:lineRule="auto"/>
              <w:ind w:left="57" w:right="57"/>
            </w:pPr>
            <w:r>
              <w:t xml:space="preserve">explorer6 </w:t>
            </w:r>
            <w:proofErr w:type="spellStart"/>
            <w:r>
              <w:t>HBwI</w:t>
            </w:r>
            <w:proofErr w:type="spellEnd"/>
            <w:r>
              <w:t xml:space="preserve"> (on-</w:t>
            </w:r>
            <w:proofErr w:type="gramStart"/>
            <w:r>
              <w:t>demand)*</w:t>
            </w:r>
            <w:proofErr w:type="gramEnd"/>
          </w:p>
        </w:tc>
        <w:tc>
          <w:tcPr>
            <w:tcW w:w="1686" w:type="dxa"/>
          </w:tcPr>
          <w:p w14:paraId="4C85F33D"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14 (</w:t>
            </w:r>
            <w:proofErr w:type="spellStart"/>
            <w:r>
              <w:t>HBwI</w:t>
            </w:r>
            <w:proofErr w:type="spellEnd"/>
            <w:r>
              <w:t>)</w:t>
            </w:r>
          </w:p>
        </w:tc>
        <w:tc>
          <w:tcPr>
            <w:tcW w:w="1417" w:type="dxa"/>
          </w:tcPr>
          <w:p w14:paraId="49D1368A"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9.8</w:t>
            </w:r>
          </w:p>
        </w:tc>
        <w:tc>
          <w:tcPr>
            <w:tcW w:w="1267" w:type="dxa"/>
          </w:tcPr>
          <w:p w14:paraId="7A261BA1"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5.2, 18.3</w:t>
            </w:r>
          </w:p>
        </w:tc>
      </w:tr>
      <w:tr w:rsidR="00480CB6" w14:paraId="6594783F"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27A31D78" w14:textId="77777777" w:rsidR="00480CB6" w:rsidRDefault="00480CB6">
            <w:pPr>
              <w:spacing w:before="0" w:after="0" w:line="240" w:lineRule="auto"/>
              <w:ind w:left="57" w:right="57"/>
            </w:pPr>
            <w:r>
              <w:t xml:space="preserve">explorer6 </w:t>
            </w:r>
            <w:proofErr w:type="spellStart"/>
            <w:r>
              <w:t>HAwI</w:t>
            </w:r>
            <w:proofErr w:type="spellEnd"/>
            <w:r>
              <w:t xml:space="preserve"> (bypassing agent </w:t>
            </w:r>
            <w:proofErr w:type="gramStart"/>
            <w:r>
              <w:t>prophylaxis)*</w:t>
            </w:r>
            <w:proofErr w:type="gramEnd"/>
          </w:p>
        </w:tc>
        <w:tc>
          <w:tcPr>
            <w:tcW w:w="1686" w:type="dxa"/>
          </w:tcPr>
          <w:p w14:paraId="37AE457C"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18 (</w:t>
            </w:r>
            <w:proofErr w:type="spellStart"/>
            <w:r>
              <w:t>HAwI</w:t>
            </w:r>
            <w:proofErr w:type="spellEnd"/>
            <w:r>
              <w:t>)</w:t>
            </w:r>
          </w:p>
        </w:tc>
        <w:tc>
          <w:tcPr>
            <w:tcW w:w="1417" w:type="dxa"/>
          </w:tcPr>
          <w:p w14:paraId="33AC6510"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10.0</w:t>
            </w:r>
          </w:p>
        </w:tc>
        <w:tc>
          <w:tcPr>
            <w:tcW w:w="1267" w:type="dxa"/>
          </w:tcPr>
          <w:p w14:paraId="77ADE76F"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6.6, 15.1</w:t>
            </w:r>
          </w:p>
        </w:tc>
      </w:tr>
      <w:tr w:rsidR="00480CB6" w14:paraId="2DC2BCED"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0BD5EA86" w14:textId="77777777" w:rsidR="00480CB6" w:rsidRDefault="00480CB6">
            <w:pPr>
              <w:spacing w:before="0" w:after="0" w:line="240" w:lineRule="auto"/>
              <w:ind w:left="57" w:right="57"/>
            </w:pPr>
            <w:r>
              <w:t xml:space="preserve">explorer6 </w:t>
            </w:r>
            <w:proofErr w:type="spellStart"/>
            <w:r>
              <w:t>HBwI</w:t>
            </w:r>
            <w:proofErr w:type="spellEnd"/>
            <w:r>
              <w:t xml:space="preserve"> (bypassing agent </w:t>
            </w:r>
            <w:proofErr w:type="gramStart"/>
            <w:r>
              <w:t>prophylaxis)*</w:t>
            </w:r>
            <w:proofErr w:type="gramEnd"/>
          </w:p>
        </w:tc>
        <w:tc>
          <w:tcPr>
            <w:tcW w:w="1686" w:type="dxa"/>
          </w:tcPr>
          <w:p w14:paraId="2892BDCB"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17 (</w:t>
            </w:r>
            <w:proofErr w:type="spellStart"/>
            <w:r>
              <w:t>HBwI</w:t>
            </w:r>
            <w:proofErr w:type="spellEnd"/>
            <w:r>
              <w:t>)</w:t>
            </w:r>
          </w:p>
        </w:tc>
        <w:tc>
          <w:tcPr>
            <w:tcW w:w="1417" w:type="dxa"/>
          </w:tcPr>
          <w:p w14:paraId="2087E78B"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12.7</w:t>
            </w:r>
          </w:p>
        </w:tc>
        <w:tc>
          <w:tcPr>
            <w:tcW w:w="1267" w:type="dxa"/>
          </w:tcPr>
          <w:p w14:paraId="18CA8E53"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7.5, 21.8</w:t>
            </w:r>
          </w:p>
        </w:tc>
      </w:tr>
      <w:tr w:rsidR="00480CB6" w14:paraId="38F58B04"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22D6A179" w14:textId="77777777" w:rsidR="00480CB6" w:rsidRPr="0063544F" w:rsidRDefault="00480CB6">
            <w:pPr>
              <w:spacing w:before="0" w:after="0" w:line="240" w:lineRule="auto"/>
              <w:ind w:left="57" w:right="57"/>
            </w:pPr>
            <w:r w:rsidRPr="0063544F">
              <w:t>explorer5 (concizumab PPX, highest dose time only)</w:t>
            </w:r>
          </w:p>
        </w:tc>
        <w:tc>
          <w:tcPr>
            <w:tcW w:w="1686" w:type="dxa"/>
          </w:tcPr>
          <w:p w14:paraId="1EFD5C7A"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36 (HA)</w:t>
            </w:r>
          </w:p>
        </w:tc>
        <w:tc>
          <w:tcPr>
            <w:tcW w:w="1417" w:type="dxa"/>
          </w:tcPr>
          <w:p w14:paraId="78D16CAA"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7.0</w:t>
            </w:r>
          </w:p>
        </w:tc>
        <w:tc>
          <w:tcPr>
            <w:tcW w:w="1267" w:type="dxa"/>
          </w:tcPr>
          <w:p w14:paraId="1542A661"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4.6, 10.7</w:t>
            </w:r>
          </w:p>
        </w:tc>
      </w:tr>
      <w:tr w:rsidR="00480CB6" w14:paraId="4B86D00C"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3EE2DFA3" w14:textId="77777777" w:rsidR="00480CB6" w:rsidRPr="0063544F" w:rsidRDefault="00480CB6">
            <w:pPr>
              <w:spacing w:before="0" w:after="0" w:line="240" w:lineRule="auto"/>
              <w:ind w:left="57" w:right="57"/>
            </w:pPr>
            <w:r w:rsidRPr="0063544F">
              <w:t>explorer5 (concizumab PPX, all doses)</w:t>
            </w:r>
          </w:p>
        </w:tc>
        <w:tc>
          <w:tcPr>
            <w:tcW w:w="1686" w:type="dxa"/>
          </w:tcPr>
          <w:p w14:paraId="20AA391F"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36 (HA)</w:t>
            </w:r>
          </w:p>
        </w:tc>
        <w:tc>
          <w:tcPr>
            <w:tcW w:w="1417" w:type="dxa"/>
          </w:tcPr>
          <w:p w14:paraId="3D5E29FC"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13.9</w:t>
            </w:r>
          </w:p>
        </w:tc>
        <w:tc>
          <w:tcPr>
            <w:tcW w:w="1267" w:type="dxa"/>
          </w:tcPr>
          <w:p w14:paraId="607D8C93"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rsidRPr="0063544F">
              <w:t>9.5, 20.3</w:t>
            </w:r>
          </w:p>
        </w:tc>
      </w:tr>
      <w:tr w:rsidR="00480CB6" w14:paraId="167A48EC"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0DE844BD" w14:textId="77777777" w:rsidR="00480CB6" w:rsidRPr="0063544F" w:rsidRDefault="00480CB6">
            <w:pPr>
              <w:spacing w:before="0" w:after="0" w:line="240" w:lineRule="auto"/>
              <w:ind w:left="57" w:right="57"/>
              <w:rPr>
                <w:b/>
                <w:bCs/>
              </w:rPr>
            </w:pPr>
            <w:r w:rsidRPr="0063544F">
              <w:rPr>
                <w:b/>
                <w:bCs/>
              </w:rPr>
              <w:t xml:space="preserve">explorer4 (on-demand </w:t>
            </w:r>
            <w:proofErr w:type="spellStart"/>
            <w:r w:rsidRPr="0063544F">
              <w:rPr>
                <w:b/>
                <w:bCs/>
              </w:rPr>
              <w:t>rfVIIa</w:t>
            </w:r>
            <w:proofErr w:type="spellEnd"/>
            <w:r w:rsidRPr="0063544F">
              <w:rPr>
                <w:b/>
                <w:bCs/>
              </w:rPr>
              <w:t>)</w:t>
            </w:r>
          </w:p>
        </w:tc>
        <w:tc>
          <w:tcPr>
            <w:tcW w:w="1686" w:type="dxa"/>
          </w:tcPr>
          <w:p w14:paraId="22A1BB1D"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9 (</w:t>
            </w:r>
            <w:proofErr w:type="spellStart"/>
            <w:r w:rsidRPr="0063544F">
              <w:rPr>
                <w:b/>
                <w:bCs/>
              </w:rPr>
              <w:t>HAwI</w:t>
            </w:r>
            <w:proofErr w:type="spellEnd"/>
            <w:r w:rsidRPr="0063544F">
              <w:rPr>
                <w:b/>
                <w:bCs/>
              </w:rPr>
              <w:t xml:space="preserve"> &amp; </w:t>
            </w:r>
            <w:proofErr w:type="spellStart"/>
            <w:r w:rsidRPr="0063544F">
              <w:rPr>
                <w:b/>
                <w:bCs/>
              </w:rPr>
              <w:t>HBwI</w:t>
            </w:r>
            <w:proofErr w:type="spellEnd"/>
            <w:r w:rsidRPr="0063544F">
              <w:rPr>
                <w:b/>
                <w:bCs/>
              </w:rPr>
              <w:t>)</w:t>
            </w:r>
          </w:p>
        </w:tc>
        <w:tc>
          <w:tcPr>
            <w:tcW w:w="1417" w:type="dxa"/>
          </w:tcPr>
          <w:p w14:paraId="319400B5"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20.6</w:t>
            </w:r>
          </w:p>
        </w:tc>
        <w:tc>
          <w:tcPr>
            <w:tcW w:w="1267" w:type="dxa"/>
          </w:tcPr>
          <w:p w14:paraId="15EBE9F0"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rPr>
            </w:pPr>
            <w:r w:rsidRPr="0063544F">
              <w:rPr>
                <w:b/>
                <w:bCs/>
              </w:rPr>
              <w:t>13.7, 30.8</w:t>
            </w:r>
          </w:p>
        </w:tc>
      </w:tr>
      <w:tr w:rsidR="00480CB6" w14:paraId="48F771B3"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6C4C4A11" w14:textId="77777777" w:rsidR="00480CB6" w:rsidRPr="0063544F" w:rsidRDefault="00480CB6">
            <w:pPr>
              <w:spacing w:before="0" w:after="0" w:line="240" w:lineRule="auto"/>
              <w:ind w:left="57" w:right="57"/>
              <w:rPr>
                <w:b/>
                <w:bCs/>
                <w:highlight w:val="yellow"/>
              </w:rPr>
            </w:pPr>
            <w:r w:rsidRPr="0063544F">
              <w:rPr>
                <w:b/>
                <w:bCs/>
                <w:highlight w:val="yellow"/>
              </w:rPr>
              <w:t>explorer4 (concizumab PPX)</w:t>
            </w:r>
          </w:p>
        </w:tc>
        <w:tc>
          <w:tcPr>
            <w:tcW w:w="1686" w:type="dxa"/>
          </w:tcPr>
          <w:p w14:paraId="45C26131"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17 (</w:t>
            </w:r>
            <w:proofErr w:type="spellStart"/>
            <w:r w:rsidRPr="0063544F">
              <w:rPr>
                <w:b/>
                <w:bCs/>
                <w:highlight w:val="yellow"/>
              </w:rPr>
              <w:t>HAwI</w:t>
            </w:r>
            <w:proofErr w:type="spellEnd"/>
            <w:r w:rsidRPr="0063544F">
              <w:rPr>
                <w:b/>
                <w:bCs/>
                <w:highlight w:val="yellow"/>
              </w:rPr>
              <w:t xml:space="preserve"> &amp; </w:t>
            </w:r>
            <w:proofErr w:type="spellStart"/>
            <w:r w:rsidRPr="0063544F">
              <w:rPr>
                <w:b/>
                <w:bCs/>
                <w:highlight w:val="yellow"/>
              </w:rPr>
              <w:t>HBwI</w:t>
            </w:r>
            <w:proofErr w:type="spellEnd"/>
            <w:r w:rsidRPr="0063544F">
              <w:rPr>
                <w:b/>
                <w:bCs/>
                <w:highlight w:val="yellow"/>
              </w:rPr>
              <w:t>)</w:t>
            </w:r>
          </w:p>
        </w:tc>
        <w:tc>
          <w:tcPr>
            <w:tcW w:w="1417" w:type="dxa"/>
          </w:tcPr>
          <w:p w14:paraId="4D1767BF"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5.4</w:t>
            </w:r>
          </w:p>
        </w:tc>
        <w:tc>
          <w:tcPr>
            <w:tcW w:w="1267" w:type="dxa"/>
          </w:tcPr>
          <w:p w14:paraId="15F3E727" w14:textId="77777777" w:rsidR="00480CB6" w:rsidRPr="0063544F"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rPr>
                <w:b/>
                <w:bCs/>
                <w:highlight w:val="yellow"/>
              </w:rPr>
            </w:pPr>
            <w:r w:rsidRPr="0063544F">
              <w:rPr>
                <w:b/>
                <w:bCs/>
                <w:highlight w:val="yellow"/>
              </w:rPr>
              <w:t>3.8, 7.6</w:t>
            </w:r>
          </w:p>
        </w:tc>
      </w:tr>
      <w:tr w:rsidR="00480CB6" w14:paraId="045EB7F0"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57D1B226" w14:textId="77777777" w:rsidR="00480CB6" w:rsidRDefault="00480CB6">
            <w:pPr>
              <w:spacing w:before="0" w:after="0" w:line="240" w:lineRule="auto"/>
              <w:ind w:left="57" w:right="57"/>
            </w:pPr>
            <w:r>
              <w:t xml:space="preserve">Novo Nordisk internal study NN1731-3562 (on-demand </w:t>
            </w:r>
            <w:proofErr w:type="spellStart"/>
            <w:r>
              <w:t>rfVIIa</w:t>
            </w:r>
            <w:proofErr w:type="spellEnd"/>
            <w:r>
              <w:t xml:space="preserve"> or </w:t>
            </w:r>
            <w:proofErr w:type="spellStart"/>
            <w:r>
              <w:t>vatreptocog</w:t>
            </w:r>
            <w:proofErr w:type="spellEnd"/>
            <w:r>
              <w:t xml:space="preserve"> alfa)</w:t>
            </w:r>
          </w:p>
        </w:tc>
        <w:tc>
          <w:tcPr>
            <w:tcW w:w="1686" w:type="dxa"/>
          </w:tcPr>
          <w:p w14:paraId="22AC38A5"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72 (</w:t>
            </w:r>
            <w:proofErr w:type="spellStart"/>
            <w:r>
              <w:t>HAwI</w:t>
            </w:r>
            <w:proofErr w:type="spellEnd"/>
            <w:r>
              <w:t xml:space="preserve"> &amp; </w:t>
            </w:r>
            <w:proofErr w:type="spellStart"/>
            <w:r>
              <w:t>HBwI</w:t>
            </w:r>
            <w:proofErr w:type="spellEnd"/>
            <w:r>
              <w:t>)</w:t>
            </w:r>
          </w:p>
        </w:tc>
        <w:tc>
          <w:tcPr>
            <w:tcW w:w="1417" w:type="dxa"/>
          </w:tcPr>
          <w:p w14:paraId="4405C771"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17.1</w:t>
            </w:r>
          </w:p>
        </w:tc>
        <w:tc>
          <w:tcPr>
            <w:tcW w:w="1267" w:type="dxa"/>
          </w:tcPr>
          <w:p w14:paraId="2CC1080D"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p>
        </w:tc>
      </w:tr>
      <w:tr w:rsidR="00480CB6" w14:paraId="797CA11B"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40C3242A" w14:textId="77777777" w:rsidR="00480CB6" w:rsidRDefault="00480CB6">
            <w:pPr>
              <w:spacing w:before="0" w:after="0" w:line="240" w:lineRule="auto"/>
              <w:ind w:left="57" w:right="57"/>
            </w:pPr>
            <w:r>
              <w:t xml:space="preserve">Novo Nordisk internal study </w:t>
            </w:r>
            <w:r w:rsidRPr="000B0CBE">
              <w:t>NN7128-1907</w:t>
            </w:r>
            <w:r>
              <w:t xml:space="preserve"> (on-demand </w:t>
            </w:r>
            <w:proofErr w:type="spellStart"/>
            <w:r>
              <w:t>rfVIIa</w:t>
            </w:r>
            <w:proofErr w:type="spellEnd"/>
            <w:r>
              <w:t>)</w:t>
            </w:r>
          </w:p>
        </w:tc>
        <w:tc>
          <w:tcPr>
            <w:tcW w:w="1686" w:type="dxa"/>
          </w:tcPr>
          <w:p w14:paraId="194F3F05"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23 (</w:t>
            </w:r>
            <w:proofErr w:type="spellStart"/>
            <w:r>
              <w:t>HAwI</w:t>
            </w:r>
            <w:proofErr w:type="spellEnd"/>
            <w:r>
              <w:t xml:space="preserve"> &amp; </w:t>
            </w:r>
            <w:proofErr w:type="spellStart"/>
            <w:r>
              <w:t>HBwI</w:t>
            </w:r>
            <w:proofErr w:type="spellEnd"/>
            <w:r>
              <w:t>)</w:t>
            </w:r>
          </w:p>
        </w:tc>
        <w:tc>
          <w:tcPr>
            <w:tcW w:w="1417" w:type="dxa"/>
          </w:tcPr>
          <w:p w14:paraId="10315B8A"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29.8</w:t>
            </w:r>
          </w:p>
        </w:tc>
        <w:tc>
          <w:tcPr>
            <w:tcW w:w="1267" w:type="dxa"/>
          </w:tcPr>
          <w:p w14:paraId="509183DD"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p>
        </w:tc>
      </w:tr>
      <w:tr w:rsidR="00480CB6" w14:paraId="1D050F53"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3D3D7142" w14:textId="77777777" w:rsidR="00480CB6" w:rsidRDefault="00480CB6">
            <w:pPr>
              <w:spacing w:before="0" w:after="0" w:line="240" w:lineRule="auto"/>
              <w:ind w:left="57" w:right="57"/>
            </w:pPr>
            <w:r>
              <w:t xml:space="preserve">Novo Nordisk internal study </w:t>
            </w:r>
            <w:r w:rsidRPr="000B0CBE">
              <w:t>NN7025-3601</w:t>
            </w:r>
            <w:r>
              <w:t xml:space="preserve"> (on-demand </w:t>
            </w:r>
            <w:proofErr w:type="spellStart"/>
            <w:r>
              <w:t>rfVIIa</w:t>
            </w:r>
            <w:proofErr w:type="spellEnd"/>
            <w:r>
              <w:t>)</w:t>
            </w:r>
          </w:p>
        </w:tc>
        <w:tc>
          <w:tcPr>
            <w:tcW w:w="1686" w:type="dxa"/>
          </w:tcPr>
          <w:p w14:paraId="792ED2E8"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51 (</w:t>
            </w:r>
            <w:proofErr w:type="spellStart"/>
            <w:r>
              <w:t>HAwI</w:t>
            </w:r>
            <w:proofErr w:type="spellEnd"/>
            <w:r>
              <w:t xml:space="preserve"> &amp; </w:t>
            </w:r>
            <w:proofErr w:type="spellStart"/>
            <w:r>
              <w:t>HBwI</w:t>
            </w:r>
            <w:proofErr w:type="spellEnd"/>
            <w:r>
              <w:t>)</w:t>
            </w:r>
          </w:p>
        </w:tc>
        <w:tc>
          <w:tcPr>
            <w:tcW w:w="1417" w:type="dxa"/>
          </w:tcPr>
          <w:p w14:paraId="145DF7A2"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7.9</w:t>
            </w:r>
          </w:p>
        </w:tc>
        <w:tc>
          <w:tcPr>
            <w:tcW w:w="1267" w:type="dxa"/>
          </w:tcPr>
          <w:p w14:paraId="73F1C44F"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p>
        </w:tc>
      </w:tr>
      <w:tr w:rsidR="00480CB6" w14:paraId="3BDDCB14" w14:textId="77777777" w:rsidTr="00480CB6">
        <w:tc>
          <w:tcPr>
            <w:cnfStyle w:val="001000000000" w:firstRow="0" w:lastRow="0" w:firstColumn="1" w:lastColumn="0" w:oddVBand="0" w:evenVBand="0" w:oddHBand="0" w:evenHBand="0" w:firstRowFirstColumn="0" w:firstRowLastColumn="0" w:lastRowFirstColumn="0" w:lastRowLastColumn="0"/>
            <w:tcW w:w="4690" w:type="dxa"/>
          </w:tcPr>
          <w:p w14:paraId="6629AA1C" w14:textId="795F89E3" w:rsidR="00480CB6" w:rsidRPr="000B0CBE" w:rsidRDefault="00480CB6">
            <w:pPr>
              <w:spacing w:before="0" w:after="0" w:line="240" w:lineRule="auto"/>
              <w:ind w:left="57" w:right="57"/>
            </w:pPr>
            <w:r>
              <w:t>FEIBA NF prophylaxis trial (on-demand FEIBA NF)</w:t>
            </w:r>
            <w:r w:rsidR="005F0115">
              <w:fldChar w:fldCharType="begin"/>
            </w:r>
            <w:r w:rsidR="005F0115">
              <w:instrText xml:space="preserve"> NOTEREF _Ref160786340 \f \h </w:instrText>
            </w:r>
            <w:r w:rsidR="005F0115">
              <w:fldChar w:fldCharType="separate"/>
            </w:r>
            <w:r w:rsidR="001B5D20" w:rsidRPr="001B5D20">
              <w:rPr>
                <w:rStyle w:val="FootnoteReference"/>
              </w:rPr>
              <w:t>37</w:t>
            </w:r>
            <w:r w:rsidR="005F0115">
              <w:fldChar w:fldCharType="end"/>
            </w:r>
            <w:r w:rsidR="005F0115" w:rsidRPr="000B0CBE">
              <w:t xml:space="preserve"> </w:t>
            </w:r>
          </w:p>
        </w:tc>
        <w:tc>
          <w:tcPr>
            <w:tcW w:w="1686" w:type="dxa"/>
          </w:tcPr>
          <w:p w14:paraId="676FCE89"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19 (</w:t>
            </w:r>
            <w:proofErr w:type="spellStart"/>
            <w:r>
              <w:t>HAwI</w:t>
            </w:r>
            <w:proofErr w:type="spellEnd"/>
            <w:r>
              <w:t xml:space="preserve"> &amp; </w:t>
            </w:r>
            <w:proofErr w:type="spellStart"/>
            <w:r>
              <w:t>HBwI</w:t>
            </w:r>
            <w:proofErr w:type="spellEnd"/>
            <w:r>
              <w:t>)</w:t>
            </w:r>
          </w:p>
        </w:tc>
        <w:tc>
          <w:tcPr>
            <w:tcW w:w="1417" w:type="dxa"/>
          </w:tcPr>
          <w:p w14:paraId="475339DB"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 xml:space="preserve">Median </w:t>
            </w:r>
            <w:r w:rsidRPr="000B0CBE">
              <w:t>28.7</w:t>
            </w:r>
          </w:p>
        </w:tc>
        <w:tc>
          <w:tcPr>
            <w:tcW w:w="1267" w:type="dxa"/>
          </w:tcPr>
          <w:p w14:paraId="5EDF6976" w14:textId="77777777" w:rsidR="00480CB6" w:rsidRDefault="00480CB6">
            <w:pPr>
              <w:spacing w:before="0" w:after="0" w:line="240" w:lineRule="auto"/>
              <w:ind w:left="57" w:right="57"/>
              <w:cnfStyle w:val="000000000000" w:firstRow="0" w:lastRow="0" w:firstColumn="0" w:lastColumn="0" w:oddVBand="0" w:evenVBand="0" w:oddHBand="0" w:evenHBand="0" w:firstRowFirstColumn="0" w:firstRowLastColumn="0" w:lastRowFirstColumn="0" w:lastRowLastColumn="0"/>
            </w:pPr>
            <w:r>
              <w:t>IQR 32.3</w:t>
            </w:r>
          </w:p>
        </w:tc>
      </w:tr>
    </w:tbl>
    <w:p w14:paraId="65B10F72" w14:textId="10CD6F39" w:rsidR="002276B2" w:rsidRPr="00480CB6" w:rsidRDefault="00480CB6" w:rsidP="00480CB6">
      <w:pPr>
        <w:pStyle w:val="TableDescription"/>
      </w:pPr>
      <w:r w:rsidRPr="00480CB6">
        <w:t>*The explorer6 population was not mutually exclusive with that of explorer7.</w:t>
      </w:r>
    </w:p>
    <w:p w14:paraId="3D274EF6" w14:textId="01C96D8F" w:rsidR="00480CB6" w:rsidRPr="009A6018" w:rsidRDefault="00480CB6" w:rsidP="009A6018">
      <w:pPr>
        <w:pStyle w:val="Heading6"/>
      </w:pPr>
      <w:r w:rsidRPr="009A6018">
        <w:t>Study 4255 (explorer5)</w:t>
      </w:r>
      <w:r w:rsidR="00572F9F">
        <w:fldChar w:fldCharType="begin"/>
      </w:r>
      <w:r w:rsidR="00572F9F">
        <w:instrText xml:space="preserve"> DOCVARIABLE vault_nd_d7177a73-56c7-4cc0-8c43-7a2e65884260 \* MERGEFORMAT </w:instrText>
      </w:r>
      <w:r w:rsidR="00572F9F">
        <w:fldChar w:fldCharType="separate"/>
      </w:r>
      <w:r w:rsidR="001B5D20">
        <w:t xml:space="preserve"> </w:t>
      </w:r>
      <w:r w:rsidR="00572F9F">
        <w:fldChar w:fldCharType="end"/>
      </w:r>
    </w:p>
    <w:p w14:paraId="280D06FD" w14:textId="04E25FC4" w:rsidR="00480CB6" w:rsidRPr="005715BC" w:rsidRDefault="00480CB6" w:rsidP="005715BC">
      <w:r w:rsidRPr="005715BC">
        <w:t>This was an open</w:t>
      </w:r>
      <w:r w:rsidR="005715BC">
        <w:t xml:space="preserve"> </w:t>
      </w:r>
      <w:r w:rsidRPr="005715BC">
        <w:t>label, single</w:t>
      </w:r>
      <w:r w:rsidR="005715BC">
        <w:t xml:space="preserve"> </w:t>
      </w:r>
      <w:r w:rsidRPr="005715BC">
        <w:t xml:space="preserve">arm, </w:t>
      </w:r>
      <w:r w:rsidR="005715BC">
        <w:t>P</w:t>
      </w:r>
      <w:r w:rsidRPr="005715BC">
        <w:t xml:space="preserve">hase </w:t>
      </w:r>
      <w:r w:rsidR="005715BC">
        <w:t>II</w:t>
      </w:r>
      <w:r w:rsidRPr="005715BC">
        <w:t xml:space="preserve"> study of concizumab PPX in subjects with HA without inhibitors. The design of the study was essentially the same as that used for the concizumab arm in explorer4.</w:t>
      </w:r>
    </w:p>
    <w:p w14:paraId="16D1E6AA" w14:textId="77777777" w:rsidR="00480CB6" w:rsidRPr="005715BC" w:rsidRDefault="00480CB6" w:rsidP="005715BC">
      <w:r w:rsidRPr="005715BC">
        <w:t xml:space="preserve">Inclusion and exclusion criteria were </w:t>
      </w:r>
      <w:proofErr w:type="gramStart"/>
      <w:r w:rsidRPr="005715BC">
        <w:t>similar to</w:t>
      </w:r>
      <w:proofErr w:type="gramEnd"/>
      <w:r w:rsidRPr="005715BC">
        <w:t xml:space="preserve"> those employed for explorer4 with the following exceptions:</w:t>
      </w:r>
    </w:p>
    <w:p w14:paraId="0D8AB791" w14:textId="29A11367" w:rsidR="00480CB6" w:rsidRPr="005715BC" w:rsidRDefault="005715BC" w:rsidP="005715BC">
      <w:pPr>
        <w:pStyle w:val="ListBullet"/>
      </w:pPr>
      <w:r w:rsidRPr="005715BC">
        <w:t>E</w:t>
      </w:r>
      <w:r w:rsidR="00480CB6" w:rsidRPr="005715BC">
        <w:t>xplorer5 only enrolled subjects with severe haemophilia A (</w:t>
      </w:r>
      <w:proofErr w:type="spellStart"/>
      <w:r w:rsidR="00480CB6" w:rsidRPr="005715BC">
        <w:t>fVIII</w:t>
      </w:r>
      <w:proofErr w:type="spellEnd"/>
      <w:r w:rsidR="00480CB6" w:rsidRPr="005715BC">
        <w:t xml:space="preserve"> activity </w:t>
      </w:r>
      <w:r>
        <w:t xml:space="preserve">less than </w:t>
      </w:r>
      <w:r w:rsidR="00480CB6" w:rsidRPr="005715BC">
        <w:t>1%) without inhibitors. Subjects with haemophilia B were not eligible.</w:t>
      </w:r>
    </w:p>
    <w:p w14:paraId="1DB0E4CF" w14:textId="2F602D07" w:rsidR="00480CB6" w:rsidRPr="005715BC" w:rsidRDefault="00480CB6" w:rsidP="005715BC">
      <w:pPr>
        <w:pStyle w:val="ListBullet"/>
      </w:pPr>
      <w:r w:rsidRPr="005715BC">
        <w:t xml:space="preserve">Subjects could be receiving either a prophylaxis regimen or an on-demand regimen at </w:t>
      </w:r>
      <w:r w:rsidR="005715BC">
        <w:t>B</w:t>
      </w:r>
      <w:r w:rsidRPr="005715BC">
        <w:t>aseline. Patients being treated with on-demand FVIII replacement therapy were required to have a minimum of six documented and treated bleeding episodes during the 24 weeks (or twelve bleeds during the 52 weeks) prior to screening.</w:t>
      </w:r>
    </w:p>
    <w:p w14:paraId="26469658" w14:textId="514FC127" w:rsidR="00480CB6" w:rsidRPr="005715BC" w:rsidRDefault="00480CB6" w:rsidP="005715BC">
      <w:pPr>
        <w:pStyle w:val="ListBullet"/>
      </w:pPr>
      <w:r w:rsidRPr="005715BC">
        <w:t xml:space="preserve">Subjects with inhibitors to </w:t>
      </w:r>
      <w:proofErr w:type="spellStart"/>
      <w:r w:rsidRPr="005715BC">
        <w:t>fVIII</w:t>
      </w:r>
      <w:proofErr w:type="spellEnd"/>
      <w:r w:rsidRPr="005715BC">
        <w:t xml:space="preserve"> (0.6</w:t>
      </w:r>
      <w:r w:rsidR="005715BC">
        <w:t> </w:t>
      </w:r>
      <w:r w:rsidRPr="005715BC">
        <w:t>BU</w:t>
      </w:r>
      <w:r w:rsidR="005715BC">
        <w:t xml:space="preserve"> or greater</w:t>
      </w:r>
      <w:r w:rsidRPr="005715BC">
        <w:t xml:space="preserve">) at </w:t>
      </w:r>
      <w:r w:rsidR="005715BC">
        <w:t>B</w:t>
      </w:r>
      <w:r w:rsidRPr="005715BC">
        <w:t>aseline, or a history of such were excluded.</w:t>
      </w:r>
    </w:p>
    <w:p w14:paraId="7D0269D5" w14:textId="77777777" w:rsidR="00480CB6" w:rsidRPr="005715BC" w:rsidRDefault="00480CB6" w:rsidP="005715BC">
      <w:pPr>
        <w:pStyle w:val="ListBullet"/>
      </w:pPr>
      <w:r w:rsidRPr="005715BC">
        <w:t>Subjects receiving ITI therapy were eligible.</w:t>
      </w:r>
    </w:p>
    <w:p w14:paraId="60A3159A" w14:textId="6E739C00" w:rsidR="00480CB6" w:rsidRPr="005715BC" w:rsidRDefault="00480CB6" w:rsidP="005715BC">
      <w:pPr>
        <w:pStyle w:val="ListBullet"/>
      </w:pPr>
      <w:r w:rsidRPr="005715BC">
        <w:t xml:space="preserve">Decreased antithrombin activity at </w:t>
      </w:r>
      <w:r w:rsidR="005715BC">
        <w:t>B</w:t>
      </w:r>
      <w:r w:rsidRPr="005715BC">
        <w:t>aseline was not an exclusion criterion.</w:t>
      </w:r>
    </w:p>
    <w:p w14:paraId="6B808D49" w14:textId="77777777" w:rsidR="00480CB6" w:rsidRPr="005715BC" w:rsidRDefault="00480CB6" w:rsidP="005715BC">
      <w:r w:rsidRPr="005715BC">
        <w:lastRenderedPageBreak/>
        <w:t>The concizumab dosing regimen was the same as that used for explorer4 except that a loading dose was not administered. The criteria for dose escalation were the same as those used in explorer4.</w:t>
      </w:r>
    </w:p>
    <w:p w14:paraId="3DB90947" w14:textId="77777777" w:rsidR="00480CB6" w:rsidRPr="005715BC" w:rsidRDefault="00480CB6" w:rsidP="005715BC">
      <w:r w:rsidRPr="005715BC">
        <w:t xml:space="preserve">Breakthrough bleeding episodes were treated with recombinant </w:t>
      </w:r>
      <w:proofErr w:type="spellStart"/>
      <w:r w:rsidRPr="005715BC">
        <w:t>fVIII</w:t>
      </w:r>
      <w:proofErr w:type="spellEnd"/>
      <w:r w:rsidRPr="005715BC">
        <w:t xml:space="preserve"> (</w:t>
      </w:r>
      <w:proofErr w:type="spellStart"/>
      <w:r w:rsidRPr="005715BC">
        <w:t>turoctocog</w:t>
      </w:r>
      <w:proofErr w:type="spellEnd"/>
      <w:r w:rsidRPr="005715BC">
        <w:t xml:space="preserve"> alfa), with dosage at the discretion of the investigator. Prohibited medicines were essentially the same as those specified for explorer4. Modified </w:t>
      </w:r>
      <w:proofErr w:type="spellStart"/>
      <w:r w:rsidRPr="005715BC">
        <w:t>fVIII</w:t>
      </w:r>
      <w:proofErr w:type="spellEnd"/>
      <w:r w:rsidRPr="005715BC">
        <w:t xml:space="preserve"> products with an extended half-life were also prohibited.</w:t>
      </w:r>
    </w:p>
    <w:p w14:paraId="7EA5C806" w14:textId="5AEFBFCA" w:rsidR="00480CB6" w:rsidRPr="005715BC" w:rsidRDefault="00480CB6" w:rsidP="005715BC">
      <w:r w:rsidRPr="005715BC">
        <w:t>A total of 36 subjects with a mean age of 37 years were enrolled and treated. Four subjects withdrew while in the main part of the study</w:t>
      </w:r>
      <w:r w:rsidR="005715BC">
        <w:t>. Thirty-one</w:t>
      </w:r>
      <w:r w:rsidRPr="005715BC">
        <w:t xml:space="preserve"> subjects had received a prophylactic regimen in the previous 12 months and 10 had received on-demand therapy (some subjects had received both). Mean ABR while on prophylaxis had been 5.2. Mean ABR while on on-demand therapy had been 17.5.</w:t>
      </w:r>
    </w:p>
    <w:p w14:paraId="29C2CB85" w14:textId="77777777" w:rsidR="00676791" w:rsidRDefault="00480CB6" w:rsidP="005715BC">
      <w:r w:rsidRPr="005715BC">
        <w:t>Of the 36 patients treated with concizumab in the main part, 58% stayed on 0.15</w:t>
      </w:r>
      <w:r w:rsidR="005715BC">
        <w:t> </w:t>
      </w:r>
      <w:r w:rsidRPr="005715BC">
        <w:t>mg/kg, 19% escalated to receive 0.20</w:t>
      </w:r>
      <w:r w:rsidR="005715BC">
        <w:t> </w:t>
      </w:r>
      <w:r w:rsidRPr="005715BC">
        <w:t>mg/kg and 22% escalated to receive</w:t>
      </w:r>
      <w:r w:rsidR="005715BC">
        <w:t> </w:t>
      </w:r>
      <w:r w:rsidRPr="005715BC">
        <w:t>0.25 mg/kg</w:t>
      </w:r>
      <w:r w:rsidR="00676791">
        <w:t>.</w:t>
      </w:r>
    </w:p>
    <w:p w14:paraId="0B57C05A" w14:textId="7B23DC2E" w:rsidR="00480CB6" w:rsidRPr="005715BC" w:rsidRDefault="00480CB6" w:rsidP="005715BC">
      <w:r w:rsidRPr="005715BC">
        <w:t xml:space="preserve">The estimated ABR during concizumab treatment (not including a </w:t>
      </w:r>
      <w:proofErr w:type="gramStart"/>
      <w:r w:rsidRPr="005715BC">
        <w:t>2 week</w:t>
      </w:r>
      <w:proofErr w:type="gramEnd"/>
      <w:r w:rsidRPr="005715BC">
        <w:t xml:space="preserve"> run-in period after starting concizumab) was 13.9 (95% CI: 9.5, 20.3). However, the estimated ABR during the period of highest dose level of concizumab treatment (not including the </w:t>
      </w:r>
      <w:proofErr w:type="gramStart"/>
      <w:r w:rsidRPr="005715BC">
        <w:t>2 week</w:t>
      </w:r>
      <w:proofErr w:type="gramEnd"/>
      <w:r w:rsidRPr="005715BC">
        <w:t xml:space="preserve"> run-in period) was 7.0 (95% CI: 4.6, 10.7). According to the report, a value of 12 bleeds per year had been selected as the upper confidence bound for a clinically meaningful difference, based on a conservative estimate of bleeding rate during on-demand therapy, which in previous trials typically had been reported to be above 30 bleeds per year.</w:t>
      </w:r>
    </w:p>
    <w:p w14:paraId="27378EA7" w14:textId="49CABF4F" w:rsidR="00480CB6" w:rsidRPr="005715BC" w:rsidRDefault="009A6018" w:rsidP="005715BC">
      <w:r w:rsidRPr="005715BC">
        <w:t xml:space="preserve">The </w:t>
      </w:r>
      <w:r w:rsidR="00480CB6" w:rsidRPr="005715BC">
        <w:t>Delegate comment</w:t>
      </w:r>
      <w:r w:rsidRPr="005715BC">
        <w:t>ed that t</w:t>
      </w:r>
      <w:r w:rsidR="00480CB6" w:rsidRPr="005715BC">
        <w:t>he ABR on concizumab treatment in this study are the same as ABRs seen in patients using on-demand treatment in studies used for sample size calculation for the pivotal trial. This emphasises the poor utility of ABR as an endpoint for conducted any non</w:t>
      </w:r>
      <w:r w:rsidR="005715BC">
        <w:noBreakHyphen/>
      </w:r>
      <w:r w:rsidR="00480CB6" w:rsidRPr="005715BC">
        <w:t xml:space="preserve">randomised comparison. </w:t>
      </w:r>
      <w:proofErr w:type="gramStart"/>
      <w:r w:rsidR="00480CB6" w:rsidRPr="005715BC">
        <w:t>It is clear that cross-study</w:t>
      </w:r>
      <w:proofErr w:type="gramEnd"/>
      <w:r w:rsidR="00480CB6" w:rsidRPr="005715BC">
        <w:t xml:space="preserve"> comparisons are fraught. Whether intra-patient comparisons (over differing time periods) are similarly unreliable is less clear. This would presumably depend on how likely it is that a patient’s individual ABR should vary over time in general.</w:t>
      </w:r>
    </w:p>
    <w:p w14:paraId="196863ED" w14:textId="7989BC6E" w:rsidR="00480CB6" w:rsidRPr="009A6018" w:rsidRDefault="00480CB6" w:rsidP="009A6018">
      <w:pPr>
        <w:pStyle w:val="Heading6"/>
      </w:pPr>
      <w:bookmarkStart w:id="114" w:name="_Study_4322_(explorer6)"/>
      <w:bookmarkStart w:id="115" w:name="_Ref128575394"/>
      <w:bookmarkEnd w:id="114"/>
      <w:r w:rsidRPr="009A6018">
        <w:t>Study 4322 (explorer6)</w:t>
      </w:r>
      <w:bookmarkEnd w:id="115"/>
      <w:r w:rsidR="0048603E">
        <w:fldChar w:fldCharType="begin"/>
      </w:r>
      <w:r w:rsidR="0048603E">
        <w:instrText xml:space="preserve"> DOCVARIABLE vault_nd_177bd30e-4110-4251-b119-d73cc6657977 \* MERGEFORMAT </w:instrText>
      </w:r>
      <w:r w:rsidR="0048603E">
        <w:fldChar w:fldCharType="separate"/>
      </w:r>
      <w:r w:rsidR="001B5D20">
        <w:t xml:space="preserve"> </w:t>
      </w:r>
      <w:r w:rsidR="0048603E">
        <w:fldChar w:fldCharType="end"/>
      </w:r>
    </w:p>
    <w:p w14:paraId="54CE4AF8" w14:textId="15D8360D" w:rsidR="00480CB6" w:rsidRPr="007D5C2A" w:rsidRDefault="00480CB6" w:rsidP="007D5C2A">
      <w:r w:rsidRPr="007D5C2A">
        <w:t xml:space="preserve">This study was an international, </w:t>
      </w:r>
      <w:r w:rsidR="007D5C2A" w:rsidRPr="007D5C2A">
        <w:t xml:space="preserve">Phase II, </w:t>
      </w:r>
      <w:r w:rsidRPr="007D5C2A">
        <w:t xml:space="preserve">prospective observational study of the natural history of haemophilia in current routine clinical practice, conducted between </w:t>
      </w:r>
      <w:r w:rsidR="007D5C2A" w:rsidRPr="007D5C2A">
        <w:t>December </w:t>
      </w:r>
      <w:r w:rsidRPr="007D5C2A">
        <w:t xml:space="preserve">2018 and </w:t>
      </w:r>
      <w:r w:rsidR="007D5C2A" w:rsidRPr="007D5C2A">
        <w:t>October </w:t>
      </w:r>
      <w:r w:rsidRPr="007D5C2A">
        <w:t>2021 (CSR dated 1</w:t>
      </w:r>
      <w:r w:rsidR="007D5C2A" w:rsidRPr="007D5C2A">
        <w:t> March </w:t>
      </w:r>
      <w:r w:rsidRPr="007D5C2A">
        <w:t>2022). The objective was to observe the number of bleeding episodes over time (up to a maximum of 115 weeks) in patients with severe HA (</w:t>
      </w:r>
      <w:proofErr w:type="spellStart"/>
      <w:r w:rsidRPr="007D5C2A">
        <w:t>fVIII</w:t>
      </w:r>
      <w:proofErr w:type="spellEnd"/>
      <w:r w:rsidRPr="007D5C2A">
        <w:t xml:space="preserve"> activity </w:t>
      </w:r>
      <w:r w:rsidR="007D5C2A" w:rsidRPr="007D5C2A">
        <w:t xml:space="preserve">less than </w:t>
      </w:r>
      <w:r w:rsidRPr="007D5C2A">
        <w:t>1%), severe or moderate HB (</w:t>
      </w:r>
      <w:proofErr w:type="spellStart"/>
      <w:r w:rsidRPr="007D5C2A">
        <w:t>fIX</w:t>
      </w:r>
      <w:proofErr w:type="spellEnd"/>
      <w:r w:rsidRPr="007D5C2A">
        <w:t xml:space="preserve"> activity</w:t>
      </w:r>
      <w:r w:rsidR="009A6018" w:rsidRPr="007D5C2A">
        <w:t xml:space="preserve"> </w:t>
      </w:r>
      <w:r w:rsidRPr="007D5C2A">
        <w:t>2%</w:t>
      </w:r>
      <w:r w:rsidR="007D5C2A" w:rsidRPr="007D5C2A">
        <w:t xml:space="preserve"> or less</w:t>
      </w:r>
      <w:r w:rsidRPr="007D5C2A">
        <w:t xml:space="preserve">), </w:t>
      </w:r>
      <w:proofErr w:type="spellStart"/>
      <w:r w:rsidRPr="007D5C2A">
        <w:t>HAwI</w:t>
      </w:r>
      <w:proofErr w:type="spellEnd"/>
      <w:r w:rsidRPr="007D5C2A">
        <w:t xml:space="preserve"> and </w:t>
      </w:r>
      <w:proofErr w:type="spellStart"/>
      <w:r w:rsidRPr="007D5C2A">
        <w:t>HBwI</w:t>
      </w:r>
      <w:proofErr w:type="spellEnd"/>
      <w:r w:rsidRPr="007D5C2A">
        <w:t>, receiving standard treatment.</w:t>
      </w:r>
    </w:p>
    <w:p w14:paraId="091EFE10" w14:textId="19EF8648" w:rsidR="00480CB6" w:rsidRPr="007D5C2A" w:rsidRDefault="00480CB6" w:rsidP="007D5C2A">
      <w:r w:rsidRPr="007D5C2A">
        <w:t xml:space="preserve">The inclusion criteria were </w:t>
      </w:r>
      <w:proofErr w:type="gramStart"/>
      <w:r w:rsidRPr="007D5C2A">
        <w:t>similar to</w:t>
      </w:r>
      <w:proofErr w:type="gramEnd"/>
      <w:r w:rsidRPr="007D5C2A">
        <w:t xml:space="preserve"> those used for the pivotal </w:t>
      </w:r>
      <w:r w:rsidR="009A6018" w:rsidRPr="007D5C2A">
        <w:t>P</w:t>
      </w:r>
      <w:r w:rsidRPr="007D5C2A">
        <w:t xml:space="preserve">hase </w:t>
      </w:r>
      <w:r w:rsidR="009A6018" w:rsidRPr="007D5C2A">
        <w:t>III</w:t>
      </w:r>
      <w:r w:rsidRPr="007D5C2A">
        <w:t xml:space="preserve"> studies (explorer7 in subjects with inhibitors and the ongoing </w:t>
      </w:r>
      <w:r w:rsidR="007D5C2A" w:rsidRPr="007D5C2A">
        <w:t>S</w:t>
      </w:r>
      <w:r w:rsidRPr="007D5C2A">
        <w:t>tudy 4307/explorer8 in subjects without inhibitors), including allowing enrolment of paediatric patients aged 12</w:t>
      </w:r>
      <w:r w:rsidR="007D5C2A" w:rsidRPr="007D5C2A">
        <w:t xml:space="preserve"> to </w:t>
      </w:r>
      <w:r w:rsidRPr="007D5C2A">
        <w:t>18 years.</w:t>
      </w:r>
    </w:p>
    <w:p w14:paraId="050569DB" w14:textId="77777777" w:rsidR="00480CB6" w:rsidRPr="007D5C2A" w:rsidRDefault="00480CB6" w:rsidP="007D5C2A">
      <w:r w:rsidRPr="007D5C2A">
        <w:t xml:space="preserve">Inclusion criteria with specific regard to </w:t>
      </w:r>
      <w:proofErr w:type="spellStart"/>
      <w:r w:rsidRPr="007D5C2A">
        <w:t>HAwI</w:t>
      </w:r>
      <w:proofErr w:type="spellEnd"/>
      <w:r w:rsidRPr="007D5C2A">
        <w:t xml:space="preserve"> and </w:t>
      </w:r>
      <w:proofErr w:type="spellStart"/>
      <w:r w:rsidRPr="007D5C2A">
        <w:t>HBwI</w:t>
      </w:r>
      <w:proofErr w:type="spellEnd"/>
      <w:r w:rsidRPr="007D5C2A">
        <w:t xml:space="preserve"> were:</w:t>
      </w:r>
    </w:p>
    <w:p w14:paraId="3BBAB952" w14:textId="2B2CC019" w:rsidR="00480CB6" w:rsidRPr="007D5C2A" w:rsidRDefault="00480CB6" w:rsidP="007D5C2A">
      <w:pPr>
        <w:pStyle w:val="ListBullet"/>
      </w:pPr>
      <w:r w:rsidRPr="007D5C2A">
        <w:t>Congenital haemophilia A or B of any severity, with a presence or history of inhibitor (0.6</w:t>
      </w:r>
      <w:r w:rsidR="007D5C2A">
        <w:t> </w:t>
      </w:r>
      <w:r w:rsidRPr="007D5C2A">
        <w:t>BU</w:t>
      </w:r>
      <w:r w:rsidR="007D5C2A">
        <w:t xml:space="preserve"> or greater</w:t>
      </w:r>
      <w:r w:rsidRPr="007D5C2A">
        <w:t>), based on medical records.</w:t>
      </w:r>
    </w:p>
    <w:p w14:paraId="05645290" w14:textId="36F548B2" w:rsidR="00480CB6" w:rsidRPr="007D5C2A" w:rsidRDefault="00480CB6" w:rsidP="007D5C2A">
      <w:pPr>
        <w:pStyle w:val="ListBullet"/>
      </w:pPr>
      <w:r w:rsidRPr="007D5C2A">
        <w:t xml:space="preserve">For patients being treated with </w:t>
      </w:r>
      <w:proofErr w:type="spellStart"/>
      <w:r w:rsidRPr="007D5C2A">
        <w:t>F</w:t>
      </w:r>
      <w:r w:rsidR="007D5C2A">
        <w:t>eiba</w:t>
      </w:r>
      <w:proofErr w:type="spellEnd"/>
      <w:r w:rsidRPr="007D5C2A">
        <w:t xml:space="preserve"> prophylaxis: </w:t>
      </w:r>
    </w:p>
    <w:p w14:paraId="74C014A2" w14:textId="1D3F8815" w:rsidR="00480CB6" w:rsidRPr="007D5C2A" w:rsidRDefault="007D5C2A" w:rsidP="007D5C2A">
      <w:pPr>
        <w:pStyle w:val="ListBullet2"/>
      </w:pPr>
      <w:r>
        <w:t xml:space="preserve">Two or more </w:t>
      </w:r>
      <w:r w:rsidR="00480CB6" w:rsidRPr="007D5C2A">
        <w:t>treated bleeding episodes within 24 weeks before screening (</w:t>
      </w:r>
      <w:r>
        <w:t>V</w:t>
      </w:r>
      <w:r w:rsidR="00480CB6" w:rsidRPr="007D5C2A">
        <w:t xml:space="preserve">isit 1). For subjects on a </w:t>
      </w:r>
      <w:proofErr w:type="gramStart"/>
      <w:r w:rsidR="00480CB6" w:rsidRPr="007D5C2A">
        <w:t>prophylaxis regimens</w:t>
      </w:r>
      <w:proofErr w:type="gramEnd"/>
      <w:r w:rsidR="00480CB6" w:rsidRPr="007D5C2A">
        <w:t xml:space="preserve"> with agents other than </w:t>
      </w:r>
      <w:proofErr w:type="spellStart"/>
      <w:r w:rsidR="00480CB6" w:rsidRPr="007D5C2A">
        <w:t>F</w:t>
      </w:r>
      <w:r>
        <w:t>eiba</w:t>
      </w:r>
      <w:proofErr w:type="spellEnd"/>
      <w:r w:rsidR="00480CB6" w:rsidRPr="007D5C2A">
        <w:t xml:space="preserve"> there was no requirement for a specific number of bleeding episodes prior to screening.</w:t>
      </w:r>
    </w:p>
    <w:p w14:paraId="07E47F25" w14:textId="77777777" w:rsidR="00480CB6" w:rsidRPr="007D5C2A" w:rsidRDefault="00480CB6" w:rsidP="007D5C2A">
      <w:pPr>
        <w:pStyle w:val="ListBullet"/>
      </w:pPr>
      <w:r w:rsidRPr="007D5C2A">
        <w:lastRenderedPageBreak/>
        <w:t xml:space="preserve">For patients being treated on-demand: </w:t>
      </w:r>
    </w:p>
    <w:p w14:paraId="63EE5E52" w14:textId="7A088EB1" w:rsidR="00480CB6" w:rsidRPr="007D5C2A" w:rsidRDefault="007D5C2A" w:rsidP="007D5C2A">
      <w:pPr>
        <w:pStyle w:val="ListBullet2"/>
      </w:pPr>
      <w:r>
        <w:t>Six or more t</w:t>
      </w:r>
      <w:r w:rsidR="00480CB6" w:rsidRPr="007D5C2A">
        <w:t xml:space="preserve">reated (with bypassing agent) bleeding episodes within 24 weeks (or 12 </w:t>
      </w:r>
      <w:r>
        <w:t xml:space="preserve">or more </w:t>
      </w:r>
      <w:r w:rsidR="00480CB6" w:rsidRPr="007D5C2A">
        <w:t>during the 52 weeks) before screening (</w:t>
      </w:r>
      <w:r>
        <w:t>V</w:t>
      </w:r>
      <w:r w:rsidR="00480CB6" w:rsidRPr="007D5C2A">
        <w:t>isit 1)</w:t>
      </w:r>
      <w:r>
        <w:t>.</w:t>
      </w:r>
    </w:p>
    <w:p w14:paraId="60D26E57" w14:textId="77777777" w:rsidR="00676791" w:rsidRDefault="00480CB6" w:rsidP="009A6018">
      <w:r w:rsidRPr="009A6018">
        <w:t>Patients received commercially available products according to local routine clinical practice at the discretion of the treating physician. Bleeding episodes, details of coagulation factor treatment and analgesia usage were recorded. The primary endpoint was ABR</w:t>
      </w:r>
      <w:r w:rsidR="00676791">
        <w:t>.</w:t>
      </w:r>
    </w:p>
    <w:p w14:paraId="426B12A2" w14:textId="31067C11" w:rsidR="00480CB6" w:rsidRPr="009A6018" w:rsidRDefault="00480CB6" w:rsidP="009A6018">
      <w:r w:rsidRPr="009A6018">
        <w:t xml:space="preserve">Sample size calculations described in the report used an assumption that was considered conservative that the expected ABR for subjects with </w:t>
      </w:r>
      <w:proofErr w:type="spellStart"/>
      <w:r w:rsidRPr="009A6018">
        <w:t>HAwI</w:t>
      </w:r>
      <w:proofErr w:type="spellEnd"/>
      <w:r w:rsidRPr="009A6018">
        <w:t xml:space="preserve"> and </w:t>
      </w:r>
      <w:proofErr w:type="spellStart"/>
      <w:r w:rsidRPr="009A6018">
        <w:t>HBwI</w:t>
      </w:r>
      <w:proofErr w:type="spellEnd"/>
      <w:r w:rsidRPr="009A6018">
        <w:t xml:space="preserve"> receiving on-demand treatment would be 24 and 18, respectively. These estimates were based on previous studies of </w:t>
      </w:r>
      <w:proofErr w:type="spellStart"/>
      <w:r w:rsidRPr="009A6018">
        <w:t>rfVIIa</w:t>
      </w:r>
      <w:proofErr w:type="spellEnd"/>
      <w:r w:rsidRPr="009A6018">
        <w:t xml:space="preserve"> conducted by the sponsor, and a published study of </w:t>
      </w:r>
      <w:proofErr w:type="spellStart"/>
      <w:r w:rsidRPr="009A6018">
        <w:t>F</w:t>
      </w:r>
      <w:r w:rsidR="007D5C2A">
        <w:t>eiba</w:t>
      </w:r>
      <w:proofErr w:type="spellEnd"/>
      <w:r w:rsidRPr="009A6018">
        <w:t xml:space="preserve"> therapy.</w:t>
      </w:r>
      <w:r w:rsidR="007D5C2A">
        <w:rPr>
          <w:rStyle w:val="FootnoteReference"/>
        </w:rPr>
        <w:footnoteReference w:id="41"/>
      </w:r>
    </w:p>
    <w:p w14:paraId="20B6B376" w14:textId="7760B830" w:rsidR="00480CB6" w:rsidRPr="007D5C2A" w:rsidRDefault="00480CB6" w:rsidP="007D5C2A">
      <w:r w:rsidRPr="009A6018">
        <w:t xml:space="preserve">Most (94%) of the 231 patients who enrolled completed the study. Of 84 patients with inhibitors enrolled (53 with </w:t>
      </w:r>
      <w:proofErr w:type="spellStart"/>
      <w:r w:rsidRPr="009A6018">
        <w:t>HAwI</w:t>
      </w:r>
      <w:proofErr w:type="spellEnd"/>
      <w:r w:rsidRPr="009A6018">
        <w:t xml:space="preserve"> and 31 with </w:t>
      </w:r>
      <w:proofErr w:type="spellStart"/>
      <w:r w:rsidRPr="009A6018">
        <w:t>HBwI</w:t>
      </w:r>
      <w:proofErr w:type="spellEnd"/>
      <w:r w:rsidRPr="009A6018">
        <w:t>), 64 patients transferred to pivotal trial</w:t>
      </w:r>
      <w:r w:rsidR="007D5C2A">
        <w:t xml:space="preserve"> Study</w:t>
      </w:r>
      <w:r w:rsidRPr="009A6018">
        <w:t xml:space="preserve"> 4311. The mean age was around 28 years (range 12 </w:t>
      </w:r>
      <w:r w:rsidR="007D5C2A">
        <w:t>to</w:t>
      </w:r>
      <w:r w:rsidRPr="009A6018">
        <w:t xml:space="preserve"> 78), 54% were Caucasian and 24% were Asian. </w:t>
      </w:r>
      <w:r w:rsidRPr="007D5C2A">
        <w:t xml:space="preserve">Of 53 patients with </w:t>
      </w:r>
      <w:proofErr w:type="spellStart"/>
      <w:r w:rsidRPr="007D5C2A">
        <w:t>HAwI</w:t>
      </w:r>
      <w:proofErr w:type="spellEnd"/>
      <w:r w:rsidRPr="007D5C2A">
        <w:t xml:space="preserve">, 18 were receiving PPX. Of 31 patients with </w:t>
      </w:r>
      <w:proofErr w:type="spellStart"/>
      <w:r w:rsidRPr="007D5C2A">
        <w:t>HBwI</w:t>
      </w:r>
      <w:proofErr w:type="spellEnd"/>
      <w:r w:rsidRPr="007D5C2A">
        <w:t xml:space="preserve">, 17 were receiving </w:t>
      </w:r>
      <w:r w:rsidR="007D5C2A" w:rsidRPr="007D5C2A">
        <w:t>PPX.</w:t>
      </w:r>
    </w:p>
    <w:p w14:paraId="1C0F6AD8" w14:textId="5B639C4F" w:rsidR="00480CB6" w:rsidRPr="007D5C2A" w:rsidRDefault="007D5C2A" w:rsidP="007D5C2A">
      <w:r w:rsidRPr="007D5C2A">
        <w:t>Annualised bleeding rate</w:t>
      </w:r>
      <w:r w:rsidR="00480CB6" w:rsidRPr="007D5C2A">
        <w:t xml:space="preserve"> </w:t>
      </w:r>
      <w:r w:rsidRPr="007D5C2A">
        <w:t xml:space="preserve">(ABR) </w:t>
      </w:r>
      <w:r w:rsidR="00480CB6" w:rsidRPr="007D5C2A">
        <w:t>estimates were:</w:t>
      </w:r>
    </w:p>
    <w:p w14:paraId="1682A40F" w14:textId="2CCBDCB2" w:rsidR="00480CB6" w:rsidRPr="007D5C2A" w:rsidRDefault="00480CB6" w:rsidP="007D5C2A">
      <w:pPr>
        <w:pStyle w:val="ListBullet"/>
      </w:pPr>
      <w:r w:rsidRPr="007D5C2A">
        <w:t xml:space="preserve">14.3 for </w:t>
      </w:r>
      <w:proofErr w:type="spellStart"/>
      <w:r w:rsidRPr="007D5C2A">
        <w:t>HAwI</w:t>
      </w:r>
      <w:proofErr w:type="spellEnd"/>
      <w:r w:rsidRPr="007D5C2A">
        <w:t xml:space="preserve"> receiving on-demand treatment (n</w:t>
      </w:r>
      <w:r w:rsidR="007D5C2A">
        <w:t> </w:t>
      </w:r>
      <w:r w:rsidRPr="007D5C2A">
        <w:t>=</w:t>
      </w:r>
      <w:r w:rsidR="007D5C2A">
        <w:t> </w:t>
      </w:r>
      <w:r w:rsidRPr="007D5C2A">
        <w:t>35)</w:t>
      </w:r>
    </w:p>
    <w:p w14:paraId="2CDC80C8" w14:textId="283A6C45" w:rsidR="00480CB6" w:rsidRPr="007D5C2A" w:rsidRDefault="00480CB6" w:rsidP="007D5C2A">
      <w:pPr>
        <w:pStyle w:val="ListBullet"/>
      </w:pPr>
      <w:r w:rsidRPr="007D5C2A">
        <w:t xml:space="preserve">9.8 for </w:t>
      </w:r>
      <w:proofErr w:type="spellStart"/>
      <w:r w:rsidRPr="007D5C2A">
        <w:t>HBwI</w:t>
      </w:r>
      <w:proofErr w:type="spellEnd"/>
      <w:r w:rsidRPr="007D5C2A">
        <w:t xml:space="preserve"> receiving on-demand treatment (n</w:t>
      </w:r>
      <w:r w:rsidR="007D5C2A">
        <w:t> </w:t>
      </w:r>
      <w:r w:rsidRPr="007D5C2A">
        <w:t>=</w:t>
      </w:r>
      <w:r w:rsidR="007D5C2A">
        <w:t> </w:t>
      </w:r>
      <w:r w:rsidRPr="007D5C2A">
        <w:t>14)</w:t>
      </w:r>
    </w:p>
    <w:p w14:paraId="22454E60" w14:textId="2C2396D0" w:rsidR="00480CB6" w:rsidRPr="007D5C2A" w:rsidRDefault="00480CB6" w:rsidP="007D5C2A">
      <w:pPr>
        <w:pStyle w:val="ListBullet"/>
      </w:pPr>
      <w:r w:rsidRPr="007D5C2A">
        <w:t xml:space="preserve">10.0 for </w:t>
      </w:r>
      <w:proofErr w:type="spellStart"/>
      <w:r w:rsidRPr="007D5C2A">
        <w:t>HAwI</w:t>
      </w:r>
      <w:proofErr w:type="spellEnd"/>
      <w:r w:rsidRPr="007D5C2A">
        <w:t xml:space="preserve"> receiving prophylaxis (n</w:t>
      </w:r>
      <w:r w:rsidR="007D5C2A">
        <w:t> </w:t>
      </w:r>
      <w:r w:rsidRPr="007D5C2A">
        <w:t>=</w:t>
      </w:r>
      <w:r w:rsidR="007D5C2A">
        <w:t> </w:t>
      </w:r>
      <w:r w:rsidRPr="007D5C2A">
        <w:t>18)</w:t>
      </w:r>
    </w:p>
    <w:p w14:paraId="57DC8AEC" w14:textId="583F5258" w:rsidR="00480CB6" w:rsidRPr="007D5C2A" w:rsidRDefault="00480CB6" w:rsidP="007D5C2A">
      <w:pPr>
        <w:pStyle w:val="ListBullet"/>
      </w:pPr>
      <w:r w:rsidRPr="007D5C2A">
        <w:t xml:space="preserve">12.7 for </w:t>
      </w:r>
      <w:proofErr w:type="spellStart"/>
      <w:r w:rsidRPr="007D5C2A">
        <w:t>HBwI</w:t>
      </w:r>
      <w:proofErr w:type="spellEnd"/>
      <w:r w:rsidRPr="007D5C2A">
        <w:t xml:space="preserve"> receiving prophylaxis (n</w:t>
      </w:r>
      <w:r w:rsidR="007D5C2A">
        <w:t> </w:t>
      </w:r>
      <w:r w:rsidRPr="007D5C2A">
        <w:t>=</w:t>
      </w:r>
      <w:r w:rsidR="007D5C2A">
        <w:t> </w:t>
      </w:r>
      <w:r w:rsidRPr="007D5C2A">
        <w:t>17)</w:t>
      </w:r>
    </w:p>
    <w:p w14:paraId="42CA559A" w14:textId="1046CC05" w:rsidR="00480CB6" w:rsidRPr="007D5C2A" w:rsidRDefault="00480CB6" w:rsidP="007D5C2A">
      <w:r w:rsidRPr="007D5C2A">
        <w:t xml:space="preserve">For </w:t>
      </w:r>
      <w:proofErr w:type="spellStart"/>
      <w:r w:rsidRPr="007D5C2A">
        <w:t>HAwI</w:t>
      </w:r>
      <w:proofErr w:type="spellEnd"/>
      <w:r w:rsidRPr="007D5C2A">
        <w:t xml:space="preserve"> and </w:t>
      </w:r>
      <w:proofErr w:type="spellStart"/>
      <w:r w:rsidRPr="007D5C2A">
        <w:t>HBwI</w:t>
      </w:r>
      <w:proofErr w:type="spellEnd"/>
      <w:r w:rsidRPr="007D5C2A">
        <w:t xml:space="preserve"> combined, the estimated ABR was 13.2 in patients treated on-demand.</w:t>
      </w:r>
    </w:p>
    <w:p w14:paraId="09EF7C17" w14:textId="3E38E6FA" w:rsidR="00480CB6" w:rsidRPr="007D5C2A" w:rsidRDefault="009A6018" w:rsidP="007D5C2A">
      <w:r w:rsidRPr="007D5C2A">
        <w:t xml:space="preserve">The </w:t>
      </w:r>
      <w:r w:rsidR="00480CB6" w:rsidRPr="007D5C2A">
        <w:t>Delegate comment</w:t>
      </w:r>
      <w:r w:rsidRPr="007D5C2A">
        <w:t>ed that a</w:t>
      </w:r>
      <w:r w:rsidR="00480CB6" w:rsidRPr="007D5C2A">
        <w:t>s 64 of the patients in this group transferred to the pivotal study and could be eligible for randomisation, this does not represent a discrete comparator population.</w:t>
      </w:r>
    </w:p>
    <w:p w14:paraId="437838BA" w14:textId="2801D452" w:rsidR="00480CB6" w:rsidRPr="007D5C2A" w:rsidRDefault="00480CB6" w:rsidP="007D5C2A">
      <w:r w:rsidRPr="007D5C2A">
        <w:t xml:space="preserve">The study report noted that the observed ABR for </w:t>
      </w:r>
      <w:proofErr w:type="spellStart"/>
      <w:r w:rsidRPr="007D5C2A">
        <w:t>HBwI</w:t>
      </w:r>
      <w:proofErr w:type="spellEnd"/>
      <w:r w:rsidRPr="007D5C2A">
        <w:t xml:space="preserve"> subjects receiving on-demand treatment was lower than expected. Based on disease history for these patients, their mean (SD) ABR during prior on-demand treatment (not during the period of the observational study) was 18 (8) in the </w:t>
      </w:r>
      <w:proofErr w:type="spellStart"/>
      <w:r w:rsidRPr="007D5C2A">
        <w:t>HBwI</w:t>
      </w:r>
      <w:proofErr w:type="spellEnd"/>
      <w:r w:rsidRPr="007D5C2A">
        <w:t xml:space="preserve"> on-demand group, 24 (32) in the </w:t>
      </w:r>
      <w:proofErr w:type="spellStart"/>
      <w:r w:rsidRPr="007D5C2A">
        <w:t>HAwI</w:t>
      </w:r>
      <w:proofErr w:type="spellEnd"/>
      <w:r w:rsidRPr="007D5C2A">
        <w:t xml:space="preserve"> on-demand group, 79 (91) in the </w:t>
      </w:r>
      <w:proofErr w:type="spellStart"/>
      <w:r w:rsidRPr="007D5C2A">
        <w:t>HAwI</w:t>
      </w:r>
      <w:proofErr w:type="spellEnd"/>
      <w:r w:rsidRPr="007D5C2A">
        <w:t xml:space="preserve"> PPX group, and 30 (25) in the </w:t>
      </w:r>
      <w:proofErr w:type="spellStart"/>
      <w:r w:rsidRPr="007D5C2A">
        <w:t>HBwI</w:t>
      </w:r>
      <w:proofErr w:type="spellEnd"/>
      <w:r w:rsidRPr="007D5C2A">
        <w:t xml:space="preserve"> PPX group.</w:t>
      </w:r>
    </w:p>
    <w:p w14:paraId="0436FC0F" w14:textId="1C62442D" w:rsidR="00480CB6" w:rsidRPr="007D5C2A" w:rsidRDefault="009A6018" w:rsidP="007D5C2A">
      <w:r w:rsidRPr="007D5C2A">
        <w:t xml:space="preserve">The </w:t>
      </w:r>
      <w:r w:rsidR="00480CB6" w:rsidRPr="007D5C2A">
        <w:t>Delegate comment</w:t>
      </w:r>
      <w:r w:rsidRPr="007D5C2A">
        <w:t>ed that t</w:t>
      </w:r>
      <w:r w:rsidR="00480CB6" w:rsidRPr="007D5C2A">
        <w:t>he rate of bleeding was paradoxically much higher for one group of 18 patients on prophylaxis (ABR 79) than when they were treated on-demand (ABR 10). This raises questions about the reliability of the data, or possibly emphasises the variability that can be seen between time periods for a single group of patients and how easily such data might be confounded.</w:t>
      </w:r>
    </w:p>
    <w:p w14:paraId="4C706F7D" w14:textId="34055D52" w:rsidR="00480CB6" w:rsidRPr="009A6018" w:rsidRDefault="00480CB6" w:rsidP="009A6018">
      <w:pPr>
        <w:pStyle w:val="Heading6"/>
      </w:pPr>
      <w:r w:rsidRPr="009A6018">
        <w:t>Compassionate use programs</w:t>
      </w:r>
      <w:r w:rsidR="00572F9F">
        <w:fldChar w:fldCharType="begin"/>
      </w:r>
      <w:r w:rsidR="00572F9F">
        <w:instrText xml:space="preserve"> DOCVARIABLE vault_nd_b35c63fa-363a-4115-82b4-81dab388c197 \* MERGEFORMAT </w:instrText>
      </w:r>
      <w:r w:rsidR="00572F9F">
        <w:fldChar w:fldCharType="separate"/>
      </w:r>
      <w:r w:rsidR="001B5D20">
        <w:t xml:space="preserve"> </w:t>
      </w:r>
      <w:r w:rsidR="00572F9F">
        <w:fldChar w:fldCharType="end"/>
      </w:r>
    </w:p>
    <w:p w14:paraId="1071F66A" w14:textId="77777777" w:rsidR="00480CB6" w:rsidRPr="009A6018" w:rsidRDefault="00480CB6" w:rsidP="009A6018">
      <w:r w:rsidRPr="009A6018">
        <w:t>The submission included a report on subjects who received concizumab on a compassionate use basis. Efficacy data from this report does not contribute significantly to the regulatory decision.</w:t>
      </w:r>
    </w:p>
    <w:p w14:paraId="79B0F0F9" w14:textId="5BB17831" w:rsidR="009A6018" w:rsidRDefault="009A6018" w:rsidP="009A6018">
      <w:pPr>
        <w:pStyle w:val="Heading4"/>
      </w:pPr>
      <w:bookmarkStart w:id="116" w:name="_Toc160786386"/>
      <w:r w:rsidRPr="00AA53F4">
        <w:lastRenderedPageBreak/>
        <w:t>Safety</w:t>
      </w:r>
      <w:bookmarkEnd w:id="116"/>
      <w:r w:rsidR="0048603E">
        <w:fldChar w:fldCharType="begin"/>
      </w:r>
      <w:r w:rsidR="0048603E">
        <w:instrText xml:space="preserve"> DOCVARIABLE vault_nd_44fa7aaf-548d-4e4c-abbc-7cba7b79658a \* MERGEFORMAT </w:instrText>
      </w:r>
      <w:r w:rsidR="0048603E">
        <w:fldChar w:fldCharType="separate"/>
      </w:r>
      <w:r w:rsidR="001B5D20">
        <w:t xml:space="preserve"> </w:t>
      </w:r>
      <w:r w:rsidR="0048603E">
        <w:fldChar w:fldCharType="end"/>
      </w:r>
    </w:p>
    <w:p w14:paraId="14198276" w14:textId="7C1DD0D8" w:rsidR="009A6018" w:rsidRDefault="009A6018" w:rsidP="009A6018">
      <w:pPr>
        <w:pStyle w:val="Heading5"/>
      </w:pPr>
      <w:r>
        <w:t>Exposure</w:t>
      </w:r>
      <w:r w:rsidR="00572F9F">
        <w:fldChar w:fldCharType="begin"/>
      </w:r>
      <w:r w:rsidR="00572F9F">
        <w:instrText xml:space="preserve"> DOCVARIABLE vault_nd_de160c3c-4507-49d0-96f6-83c1d72ffa86 \* MERGEFORMAT </w:instrText>
      </w:r>
      <w:r w:rsidR="00572F9F">
        <w:fldChar w:fldCharType="separate"/>
      </w:r>
      <w:r w:rsidR="001B5D20">
        <w:t xml:space="preserve"> </w:t>
      </w:r>
      <w:r w:rsidR="00572F9F">
        <w:fldChar w:fldCharType="end"/>
      </w:r>
    </w:p>
    <w:p w14:paraId="31AEA20A" w14:textId="40A57EE0" w:rsidR="009A6018" w:rsidRPr="007D5C2A" w:rsidRDefault="009A6018" w:rsidP="007D5C2A">
      <w:r w:rsidRPr="007D5C2A">
        <w:t>All seven submitted clinical trials (</w:t>
      </w:r>
      <w:r w:rsidR="007D5C2A">
        <w:t>four P</w:t>
      </w:r>
      <w:r w:rsidRPr="007D5C2A">
        <w:t xml:space="preserve">hase I, two </w:t>
      </w:r>
      <w:r w:rsidR="007D5C2A">
        <w:t>P</w:t>
      </w:r>
      <w:r w:rsidRPr="007D5C2A">
        <w:t xml:space="preserve">hase II and </w:t>
      </w:r>
      <w:r w:rsidR="007D5C2A">
        <w:t>one</w:t>
      </w:r>
      <w:r w:rsidRPr="007D5C2A">
        <w:t xml:space="preserve"> </w:t>
      </w:r>
      <w:r w:rsidR="007D5C2A">
        <w:t>P</w:t>
      </w:r>
      <w:r w:rsidRPr="007D5C2A">
        <w:t>hase III) provided evaluable safety data. A total of 243 subjects received concizumab across the seven studies.</w:t>
      </w:r>
    </w:p>
    <w:p w14:paraId="138B23D1" w14:textId="51F09CB5" w:rsidR="009A6018" w:rsidRPr="007D5C2A" w:rsidRDefault="009A6018" w:rsidP="007D5C2A">
      <w:r w:rsidRPr="007D5C2A">
        <w:t xml:space="preserve">Across the </w:t>
      </w:r>
      <w:r w:rsidR="007D5C2A">
        <w:t>P</w:t>
      </w:r>
      <w:r w:rsidRPr="007D5C2A">
        <w:t xml:space="preserve">hase </w:t>
      </w:r>
      <w:r w:rsidR="007D5C2A">
        <w:t>II</w:t>
      </w:r>
      <w:r w:rsidRPr="007D5C2A">
        <w:t xml:space="preserve"> (explorer4 and explorer5) and</w:t>
      </w:r>
      <w:r w:rsidR="007D5C2A">
        <w:t xml:space="preserve"> Phase</w:t>
      </w:r>
      <w:r w:rsidRPr="007D5C2A">
        <w:t xml:space="preserve"> </w:t>
      </w:r>
      <w:r w:rsidR="007D5C2A">
        <w:t>III</w:t>
      </w:r>
      <w:r w:rsidRPr="007D5C2A">
        <w:t xml:space="preserve"> (explorer7) studies, a total of 167 unique patients with haemophilia received approximately 225 patient</w:t>
      </w:r>
      <w:r w:rsidR="007D5C2A">
        <w:t xml:space="preserve"> </w:t>
      </w:r>
      <w:r w:rsidRPr="007D5C2A">
        <w:t>years of exposure: 148 subjects were exposed to concizumab for at least 6 months, 90 subjects were exposed for more than 12 months, and 45 subjects were exposed for more than 24 months.</w:t>
      </w:r>
    </w:p>
    <w:p w14:paraId="5BE9B5A8" w14:textId="3267B8FC" w:rsidR="009A6018" w:rsidRPr="007D5C2A" w:rsidRDefault="009A6018" w:rsidP="007D5C2A">
      <w:r w:rsidRPr="007D5C2A">
        <w:t xml:space="preserve">In the pivotal </w:t>
      </w:r>
      <w:r w:rsidR="007D5C2A">
        <w:t>P</w:t>
      </w:r>
      <w:r w:rsidRPr="007D5C2A">
        <w:t xml:space="preserve">hase </w:t>
      </w:r>
      <w:r w:rsidR="007D5C2A">
        <w:t>III</w:t>
      </w:r>
      <w:r w:rsidRPr="007D5C2A">
        <w:t xml:space="preserve"> study, 127 subjects (76 with </w:t>
      </w:r>
      <w:proofErr w:type="spellStart"/>
      <w:r w:rsidRPr="007D5C2A">
        <w:t>HAwI</w:t>
      </w:r>
      <w:proofErr w:type="spellEnd"/>
      <w:r w:rsidRPr="007D5C2A">
        <w:t xml:space="preserve"> and 51 with </w:t>
      </w:r>
      <w:proofErr w:type="spellStart"/>
      <w:r w:rsidRPr="007D5C2A">
        <w:t>HBwI</w:t>
      </w:r>
      <w:proofErr w:type="spellEnd"/>
      <w:r w:rsidRPr="007D5C2A">
        <w:t xml:space="preserve">) were exposed to concizumab for a total of 111.8 patient years of exposure. </w:t>
      </w:r>
      <w:r w:rsidR="007D5C2A">
        <w:t>One</w:t>
      </w:r>
      <w:r w:rsidRPr="007D5C2A">
        <w:t xml:space="preserve"> patient received the 0.15</w:t>
      </w:r>
      <w:r w:rsidR="007D5C2A">
        <w:t> </w:t>
      </w:r>
      <w:r w:rsidRPr="007D5C2A">
        <w:t>mg/kg maintenance dose, 72 patients received the 0.20</w:t>
      </w:r>
      <w:r w:rsidR="007D5C2A">
        <w:t> </w:t>
      </w:r>
      <w:r w:rsidRPr="007D5C2A">
        <w:t>mg/kg maintenance dose, and 24 patients received the 0.25</w:t>
      </w:r>
      <w:r w:rsidR="007D5C2A">
        <w:t> </w:t>
      </w:r>
      <w:r w:rsidRPr="007D5C2A">
        <w:t>mg/kg maintenance dose.</w:t>
      </w:r>
    </w:p>
    <w:p w14:paraId="2FEAD8BB" w14:textId="4EBF4BEB" w:rsidR="009A6018" w:rsidRPr="007D5C2A" w:rsidRDefault="009A6018" w:rsidP="007D5C2A">
      <w:r w:rsidRPr="007D5C2A">
        <w:t>In the main part of explorer7, exposure was around ten times longer in patients receiving concizumab (Arms 2</w:t>
      </w:r>
      <w:r w:rsidR="007D5C2A">
        <w:t xml:space="preserve"> to </w:t>
      </w:r>
      <w:r w:rsidRPr="007D5C2A">
        <w:t>4 combined: 102</w:t>
      </w:r>
      <w:r w:rsidR="003650C4">
        <w:t>.5</w:t>
      </w:r>
      <w:r w:rsidRPr="007D5C2A">
        <w:t xml:space="preserve"> patient</w:t>
      </w:r>
      <w:r w:rsidR="007D5C2A">
        <w:t xml:space="preserve"> </w:t>
      </w:r>
      <w:r w:rsidRPr="007D5C2A">
        <w:t>years) compared to those who did not (Arm 1: 12 patient</w:t>
      </w:r>
      <w:r w:rsidR="007D5C2A">
        <w:t xml:space="preserve"> </w:t>
      </w:r>
      <w:r w:rsidRPr="007D5C2A">
        <w:t>years). As a result, direct comparison of adverse event incidences between arms may be confounded by observation time bias. The tables presented by the sponsor therefore provided both raw incidences and event rates (number of events per patient</w:t>
      </w:r>
      <w:r w:rsidR="007D5C2A">
        <w:t xml:space="preserve"> </w:t>
      </w:r>
      <w:r w:rsidRPr="007D5C2A">
        <w:t>year of exposure).</w:t>
      </w:r>
    </w:p>
    <w:p w14:paraId="5F894A95" w14:textId="6CDC07EB" w:rsidR="009A6018" w:rsidRPr="007D5C2A" w:rsidRDefault="009A6018" w:rsidP="007D5C2A">
      <w:bookmarkStart w:id="117" w:name="_Hlk127797006"/>
      <w:r w:rsidRPr="007D5C2A">
        <w:t xml:space="preserve">Safety evaluations were conducted using the </w:t>
      </w:r>
      <w:r w:rsidR="00676791">
        <w:t>on treatment</w:t>
      </w:r>
      <w:r w:rsidRPr="007D5C2A">
        <w:t xml:space="preserve"> and </w:t>
      </w:r>
      <w:proofErr w:type="spellStart"/>
      <w:r w:rsidRPr="00676791">
        <w:t>OTexIR</w:t>
      </w:r>
      <w:proofErr w:type="spellEnd"/>
      <w:r w:rsidRPr="007D5C2A">
        <w:t xml:space="preserve"> datasets, as this was considered by the </w:t>
      </w:r>
      <w:r w:rsidR="007D5C2A">
        <w:t>s</w:t>
      </w:r>
      <w:r w:rsidRPr="007D5C2A">
        <w:t xml:space="preserve">ponsor to be the </w:t>
      </w:r>
      <w:r w:rsidR="007D5C2A">
        <w:t>‘</w:t>
      </w:r>
      <w:r w:rsidRPr="007D5C2A">
        <w:t>on-treatment</w:t>
      </w:r>
      <w:r w:rsidR="007D5C2A">
        <w:t>’</w:t>
      </w:r>
      <w:r w:rsidRPr="007D5C2A">
        <w:t xml:space="preserve"> </w:t>
      </w:r>
      <w:proofErr w:type="gramStart"/>
      <w:r w:rsidRPr="007D5C2A">
        <w:t>time period</w:t>
      </w:r>
      <w:proofErr w:type="gramEnd"/>
      <w:r w:rsidRPr="007D5C2A">
        <w:t xml:space="preserve"> during which patients were considered to be exposed to concizumab. This included safety data for the first 7 weeks after the treatment pause</w:t>
      </w:r>
      <w:r w:rsidR="007D5C2A">
        <w:t xml:space="preserve"> </w:t>
      </w:r>
      <w:r w:rsidRPr="007D5C2A">
        <w:t xml:space="preserve">but did not include data from the date of cessation of treatment if a patient discontinued treatment during the study. </w:t>
      </w:r>
      <w:r w:rsidR="007D5C2A">
        <w:t xml:space="preserve">Adverse events </w:t>
      </w:r>
      <w:r w:rsidRPr="007D5C2A">
        <w:t>occurring outside the on-treatment period were reviewed and not found to add meaningfully to the safety data for concizumab.</w:t>
      </w:r>
    </w:p>
    <w:bookmarkEnd w:id="117"/>
    <w:p w14:paraId="30FF2F5D" w14:textId="2F5F7827" w:rsidR="009A6018" w:rsidRPr="007D5C2A" w:rsidRDefault="009A6018" w:rsidP="007D5C2A">
      <w:r w:rsidRPr="007D5C2A">
        <w:t>The OT dataset is considered the most comprehensive dataset, as it includes data from both the pre-pause and post-pause period, and analyses from explorer7 discussed below are related to this dataset unless otherwise stated.</w:t>
      </w:r>
    </w:p>
    <w:p w14:paraId="48C8D894" w14:textId="597D519C" w:rsidR="009A6018" w:rsidRDefault="009A6018" w:rsidP="009A6018">
      <w:pPr>
        <w:pStyle w:val="Heading5"/>
        <w:rPr>
          <w:lang w:eastAsia="ja-JP"/>
        </w:rPr>
      </w:pPr>
      <w:r>
        <w:rPr>
          <w:lang w:eastAsia="ja-JP"/>
        </w:rPr>
        <w:t>Adverse events</w:t>
      </w:r>
      <w:r w:rsidR="0048603E">
        <w:rPr>
          <w:lang w:eastAsia="ja-JP"/>
        </w:rPr>
        <w:fldChar w:fldCharType="begin"/>
      </w:r>
      <w:r w:rsidR="0048603E">
        <w:rPr>
          <w:lang w:eastAsia="ja-JP"/>
        </w:rPr>
        <w:instrText xml:space="preserve"> DOCVARIABLE vault_nd_9451b53e-0caf-4e6b-9ed2-0123bdc13546 \* MERGEFORMAT </w:instrText>
      </w:r>
      <w:r w:rsidR="0048603E">
        <w:rPr>
          <w:lang w:eastAsia="ja-JP"/>
        </w:rPr>
        <w:fldChar w:fldCharType="separate"/>
      </w:r>
      <w:r w:rsidR="001B5D20">
        <w:rPr>
          <w:lang w:eastAsia="ja-JP"/>
        </w:rPr>
        <w:t xml:space="preserve"> </w:t>
      </w:r>
      <w:r w:rsidR="0048603E">
        <w:rPr>
          <w:lang w:eastAsia="ja-JP"/>
        </w:rPr>
        <w:fldChar w:fldCharType="end"/>
      </w:r>
    </w:p>
    <w:p w14:paraId="5C297EC7" w14:textId="728290A2" w:rsidR="009A6018" w:rsidRDefault="009A6018" w:rsidP="009A6018">
      <w:pPr>
        <w:rPr>
          <w:lang w:eastAsia="ja-JP"/>
        </w:rPr>
      </w:pPr>
      <w:r w:rsidRPr="00A47B64">
        <w:rPr>
          <w:lang w:eastAsia="ja-JP"/>
        </w:rPr>
        <w:t>In</w:t>
      </w:r>
      <w:r>
        <w:rPr>
          <w:lang w:eastAsia="ja-JP"/>
        </w:rPr>
        <w:t xml:space="preserve"> explorer7, an </w:t>
      </w:r>
      <w:r w:rsidR="00FD59D4">
        <w:rPr>
          <w:lang w:eastAsia="ja-JP"/>
        </w:rPr>
        <w:t>adverse event</w:t>
      </w:r>
      <w:r>
        <w:rPr>
          <w:lang w:eastAsia="ja-JP"/>
        </w:rPr>
        <w:t xml:space="preserve"> of any grade was reported in 66% of 114 </w:t>
      </w:r>
      <w:r w:rsidRPr="00A47B64">
        <w:rPr>
          <w:lang w:eastAsia="ja-JP"/>
        </w:rPr>
        <w:t>subjects treated with concizumab (Arms 2</w:t>
      </w:r>
      <w:r w:rsidR="00FD59D4">
        <w:rPr>
          <w:lang w:eastAsia="ja-JP"/>
        </w:rPr>
        <w:t xml:space="preserve"> to </w:t>
      </w:r>
      <w:r w:rsidRPr="00A47B64">
        <w:rPr>
          <w:lang w:eastAsia="ja-JP"/>
        </w:rPr>
        <w:t>4 combined</w:t>
      </w:r>
      <w:r>
        <w:rPr>
          <w:lang w:eastAsia="ja-JP"/>
        </w:rPr>
        <w:t xml:space="preserve">) and </w:t>
      </w:r>
      <w:r w:rsidRPr="00A47B64">
        <w:rPr>
          <w:lang w:eastAsia="ja-JP"/>
        </w:rPr>
        <w:t xml:space="preserve">42% of </w:t>
      </w:r>
      <w:r>
        <w:rPr>
          <w:lang w:eastAsia="ja-JP"/>
        </w:rPr>
        <w:t xml:space="preserve">19 </w:t>
      </w:r>
      <w:r w:rsidRPr="00A47B64">
        <w:rPr>
          <w:lang w:eastAsia="ja-JP"/>
        </w:rPr>
        <w:t>subjects in Arm 1</w:t>
      </w:r>
      <w:r>
        <w:rPr>
          <w:lang w:eastAsia="ja-JP"/>
        </w:rPr>
        <w:t xml:space="preserve"> (n</w:t>
      </w:r>
      <w:r w:rsidR="00FD59D4">
        <w:rPr>
          <w:lang w:eastAsia="ja-JP"/>
        </w:rPr>
        <w:t> </w:t>
      </w:r>
      <w:r>
        <w:rPr>
          <w:lang w:eastAsia="ja-JP"/>
        </w:rPr>
        <w:t>=</w:t>
      </w:r>
      <w:r w:rsidR="00FD59D4">
        <w:rPr>
          <w:lang w:eastAsia="ja-JP"/>
        </w:rPr>
        <w:t> </w:t>
      </w:r>
      <w:r>
        <w:rPr>
          <w:lang w:eastAsia="ja-JP"/>
        </w:rPr>
        <w:t>19)</w:t>
      </w:r>
      <w:r w:rsidRPr="00A47B64">
        <w:rPr>
          <w:lang w:eastAsia="ja-JP"/>
        </w:rPr>
        <w:t xml:space="preserve">. The event rate for </w:t>
      </w:r>
      <w:r w:rsidR="00FD59D4">
        <w:rPr>
          <w:lang w:eastAsia="ja-JP"/>
        </w:rPr>
        <w:t>adverse events</w:t>
      </w:r>
      <w:r w:rsidRPr="00A47B64">
        <w:rPr>
          <w:lang w:eastAsia="ja-JP"/>
        </w:rPr>
        <w:t xml:space="preserve"> was </w:t>
      </w:r>
      <w:r>
        <w:rPr>
          <w:lang w:eastAsia="ja-JP"/>
        </w:rPr>
        <w:t>3.3</w:t>
      </w:r>
      <w:r w:rsidRPr="00A47B64">
        <w:rPr>
          <w:lang w:eastAsia="ja-JP"/>
        </w:rPr>
        <w:t xml:space="preserve"> </w:t>
      </w:r>
      <w:r w:rsidR="00FD59D4">
        <w:rPr>
          <w:lang w:eastAsia="ja-JP"/>
        </w:rPr>
        <w:t>adverse events</w:t>
      </w:r>
      <w:r w:rsidRPr="00A47B64">
        <w:rPr>
          <w:lang w:eastAsia="ja-JP"/>
        </w:rPr>
        <w:t xml:space="preserve"> per </w:t>
      </w:r>
      <w:r w:rsidR="00FD59D4">
        <w:rPr>
          <w:lang w:eastAsia="ja-JP"/>
        </w:rPr>
        <w:t xml:space="preserve">patient years of exposure </w:t>
      </w:r>
      <w:r w:rsidRPr="00A47B64">
        <w:rPr>
          <w:lang w:eastAsia="ja-JP"/>
        </w:rPr>
        <w:t xml:space="preserve">with concizumab </w:t>
      </w:r>
      <w:r>
        <w:rPr>
          <w:lang w:eastAsia="ja-JP"/>
        </w:rPr>
        <w:t xml:space="preserve">and 2.1 </w:t>
      </w:r>
      <w:r w:rsidR="00FD59D4" w:rsidRPr="00FD59D4">
        <w:rPr>
          <w:lang w:eastAsia="ja-JP"/>
        </w:rPr>
        <w:t>adverse events per patient years of exposure</w:t>
      </w:r>
      <w:r>
        <w:rPr>
          <w:lang w:eastAsia="ja-JP"/>
        </w:rPr>
        <w:t xml:space="preserve"> with on-demand treatment.</w:t>
      </w:r>
    </w:p>
    <w:p w14:paraId="3EF19067" w14:textId="173B3A20" w:rsidR="009A6018" w:rsidRDefault="009A6018" w:rsidP="009A6018">
      <w:pPr>
        <w:rPr>
          <w:lang w:eastAsia="ja-JP"/>
        </w:rPr>
      </w:pPr>
      <w:r w:rsidRPr="00904E7F">
        <w:t xml:space="preserve">The most common </w:t>
      </w:r>
      <w:r w:rsidR="00FD59D4" w:rsidRPr="00904E7F">
        <w:t>adverse events</w:t>
      </w:r>
      <w:r w:rsidRPr="00904E7F">
        <w:t xml:space="preserve"> reported with concizumab </w:t>
      </w:r>
      <w:r w:rsidRPr="00904E7F">
        <w:rPr>
          <w:lang w:eastAsia="ja-JP"/>
        </w:rPr>
        <w:t>(Arms 2</w:t>
      </w:r>
      <w:r w:rsidR="00FD59D4" w:rsidRPr="00904E7F">
        <w:rPr>
          <w:lang w:eastAsia="ja-JP"/>
        </w:rPr>
        <w:t xml:space="preserve"> to </w:t>
      </w:r>
      <w:r w:rsidRPr="00904E7F">
        <w:rPr>
          <w:lang w:eastAsia="ja-JP"/>
        </w:rPr>
        <w:t>4 combined), and which occurred with a higher event rate than Arm 1, were:</w:t>
      </w:r>
    </w:p>
    <w:p w14:paraId="543D9FC6" w14:textId="77777777" w:rsidR="009A6018" w:rsidRPr="00904E7F" w:rsidRDefault="009A6018" w:rsidP="00904E7F">
      <w:pPr>
        <w:pStyle w:val="ListBullet"/>
      </w:pPr>
      <w:r w:rsidRPr="00904E7F">
        <w:t>Arthralgia</w:t>
      </w:r>
    </w:p>
    <w:p w14:paraId="5B275F65" w14:textId="77777777" w:rsidR="009A6018" w:rsidRPr="00904E7F" w:rsidRDefault="009A6018" w:rsidP="00904E7F">
      <w:pPr>
        <w:pStyle w:val="ListBullet"/>
      </w:pPr>
      <w:r w:rsidRPr="00904E7F">
        <w:t xml:space="preserve">Injection site erythema </w:t>
      </w:r>
    </w:p>
    <w:p w14:paraId="1083982F" w14:textId="05D1B001" w:rsidR="009A6018" w:rsidRPr="00904E7F" w:rsidRDefault="009A6018" w:rsidP="00904E7F">
      <w:pPr>
        <w:pStyle w:val="ListBullet2"/>
      </w:pPr>
      <w:r w:rsidRPr="00904E7F">
        <w:t xml:space="preserve">There were 41 various injection site </w:t>
      </w:r>
      <w:r w:rsidR="00904E7F">
        <w:t>adverse events</w:t>
      </w:r>
      <w:r w:rsidRPr="00904E7F">
        <w:t xml:space="preserve"> in 21 separate subjects</w:t>
      </w:r>
      <w:r w:rsidR="00904E7F">
        <w:t>.</w:t>
      </w:r>
    </w:p>
    <w:p w14:paraId="23720B88" w14:textId="6CD9D37F" w:rsidR="009A6018" w:rsidRPr="00904E7F" w:rsidRDefault="009A6018" w:rsidP="00904E7F">
      <w:pPr>
        <w:pStyle w:val="ListBullet"/>
      </w:pPr>
      <w:r w:rsidRPr="00904E7F">
        <w:t xml:space="preserve">Prothrombin </w:t>
      </w:r>
      <w:r w:rsidR="00676791" w:rsidRPr="00904E7F">
        <w:t xml:space="preserve">fragment </w:t>
      </w:r>
      <w:r w:rsidRPr="00904E7F">
        <w:t>1+2 increased (also in explorer5)</w:t>
      </w:r>
    </w:p>
    <w:p w14:paraId="69312CAE" w14:textId="77777777" w:rsidR="009A6018" w:rsidRPr="00904E7F" w:rsidRDefault="009A6018" w:rsidP="00904E7F">
      <w:pPr>
        <w:pStyle w:val="ListBullet"/>
      </w:pPr>
      <w:r w:rsidRPr="00904E7F">
        <w:t>D-dimer increased (also in explorer5)</w:t>
      </w:r>
    </w:p>
    <w:p w14:paraId="1E8C0BF8" w14:textId="77777777" w:rsidR="009A6018" w:rsidRPr="00904E7F" w:rsidRDefault="009A6018" w:rsidP="00904E7F">
      <w:pPr>
        <w:pStyle w:val="ListBullet"/>
      </w:pPr>
      <w:r w:rsidRPr="00904E7F">
        <w:t>Headache (also in explorer5)</w:t>
      </w:r>
    </w:p>
    <w:p w14:paraId="7DB3ED20" w14:textId="5859B8C1" w:rsidR="009A6018" w:rsidRPr="00904E7F" w:rsidRDefault="00904E7F" w:rsidP="00904E7F">
      <w:pPr>
        <w:pStyle w:val="ListBullet2"/>
      </w:pPr>
      <w:r>
        <w:t xml:space="preserve">The </w:t>
      </w:r>
      <w:r w:rsidR="009A6018" w:rsidRPr="00904E7F">
        <w:t>12 events of migraine were all reported by the same subject</w:t>
      </w:r>
      <w:r>
        <w:t>.</w:t>
      </w:r>
    </w:p>
    <w:p w14:paraId="6F9BEF6A" w14:textId="3F3DC154" w:rsidR="009A6018" w:rsidRPr="00904E7F" w:rsidRDefault="00904E7F" w:rsidP="00904E7F">
      <w:r w:rsidRPr="00904E7F">
        <w:lastRenderedPageBreak/>
        <w:t>Adverse events</w:t>
      </w:r>
      <w:r w:rsidR="009A6018" w:rsidRPr="00904E7F">
        <w:t xml:space="preserve"> that occurred with an incidence of at least 5% in other studies, and with a higher event rate that a comparator arm, if present, were:</w:t>
      </w:r>
    </w:p>
    <w:p w14:paraId="4C3CB735" w14:textId="77777777" w:rsidR="009A6018" w:rsidRPr="00904E7F" w:rsidRDefault="009A6018" w:rsidP="00904E7F">
      <w:pPr>
        <w:pStyle w:val="ListBullet"/>
      </w:pPr>
      <w:r w:rsidRPr="00904E7F">
        <w:t>Injection site haematoma (explorer4)</w:t>
      </w:r>
    </w:p>
    <w:p w14:paraId="504D5647" w14:textId="77777777" w:rsidR="009A6018" w:rsidRPr="00904E7F" w:rsidRDefault="009A6018" w:rsidP="00904E7F">
      <w:pPr>
        <w:pStyle w:val="ListBullet"/>
      </w:pPr>
      <w:r w:rsidRPr="00904E7F">
        <w:t>Injection site haemorrhage (explorer4)</w:t>
      </w:r>
    </w:p>
    <w:p w14:paraId="41F3BC75" w14:textId="77777777" w:rsidR="009A6018" w:rsidRPr="00904E7F" w:rsidRDefault="009A6018" w:rsidP="00904E7F">
      <w:pPr>
        <w:pStyle w:val="ListBullet"/>
      </w:pPr>
      <w:r w:rsidRPr="00904E7F">
        <w:t xml:space="preserve">Injection site bruising (explorer5) </w:t>
      </w:r>
    </w:p>
    <w:p w14:paraId="3E91A61A" w14:textId="29A42404" w:rsidR="009A6018" w:rsidRPr="00904E7F" w:rsidRDefault="009A6018" w:rsidP="00904E7F">
      <w:pPr>
        <w:pStyle w:val="ListBullet"/>
      </w:pPr>
      <w:r w:rsidRPr="00904E7F">
        <w:t>Nasopharyngitis (explorer4</w:t>
      </w:r>
      <w:r w:rsidR="00904E7F">
        <w:t xml:space="preserve"> and explorer</w:t>
      </w:r>
      <w:r w:rsidRPr="00904E7F">
        <w:t>5)</w:t>
      </w:r>
    </w:p>
    <w:p w14:paraId="6D53E7FE" w14:textId="12FC9164" w:rsidR="009A6018" w:rsidRDefault="009A6018" w:rsidP="009A6018">
      <w:pPr>
        <w:pStyle w:val="Heading6"/>
      </w:pPr>
      <w:r>
        <w:t>Laboratory abnormalities</w:t>
      </w:r>
      <w:r w:rsidR="00572F9F">
        <w:fldChar w:fldCharType="begin"/>
      </w:r>
      <w:r w:rsidR="00572F9F">
        <w:instrText xml:space="preserve"> DOCVARIABLE vault_nd_e1a72798-c1d6-44c1-a848-046b387a94fc \* MERGEFORMAT </w:instrText>
      </w:r>
      <w:r w:rsidR="00572F9F">
        <w:fldChar w:fldCharType="separate"/>
      </w:r>
      <w:r w:rsidR="001B5D20">
        <w:t xml:space="preserve"> </w:t>
      </w:r>
      <w:r w:rsidR="00572F9F">
        <w:fldChar w:fldCharType="end"/>
      </w:r>
    </w:p>
    <w:p w14:paraId="46F7ED17" w14:textId="651197E7" w:rsidR="009A6018" w:rsidRPr="00904E7F" w:rsidRDefault="009A6018" w:rsidP="00904E7F">
      <w:r w:rsidRPr="00904E7F">
        <w:t xml:space="preserve">There was no convincing evidence of hepatotoxicity or renal toxicity. Decreases in platelet count below the lower limit of normal were reported commonly across explorer4, explorer5 and explorer7. However, these were generally assessed as not clinically significant (one case of thrombocytopaenia in explorer5 was assessed as being clinically significant and was reported as an </w:t>
      </w:r>
      <w:r w:rsidR="00904E7F">
        <w:t>adverse event</w:t>
      </w:r>
      <w:r w:rsidRPr="00904E7F">
        <w:t>).</w:t>
      </w:r>
      <w:r w:rsidR="00676791">
        <w:t xml:space="preserve"> </w:t>
      </w:r>
      <w:r w:rsidRPr="00904E7F">
        <w:t>Consistent with the pharmacodynamic parameter findings, increased d</w:t>
      </w:r>
      <w:r w:rsidR="00904E7F">
        <w:noBreakHyphen/>
      </w:r>
      <w:r w:rsidRPr="00904E7F">
        <w:t>dimer, increased prothrombin fragment 1+2 and decreased fibrinogen were more common in the concizumab treatment arms of explorer7. Increased d-dimer was also seen in explorer5, and increased prothrombin fragment 1+2 was seen in all three studies.</w:t>
      </w:r>
    </w:p>
    <w:p w14:paraId="706B8686" w14:textId="1CE88F85" w:rsidR="009A6018" w:rsidRDefault="009A6018" w:rsidP="009A6018">
      <w:pPr>
        <w:pStyle w:val="Heading5"/>
      </w:pPr>
      <w:r>
        <w:t xml:space="preserve">Deaths, serious </w:t>
      </w:r>
      <w:r w:rsidR="00904E7F">
        <w:t xml:space="preserve">adverse </w:t>
      </w:r>
      <w:proofErr w:type="gramStart"/>
      <w:r w:rsidR="00904E7F">
        <w:t>events</w:t>
      </w:r>
      <w:proofErr w:type="gramEnd"/>
      <w:r>
        <w:t xml:space="preserve"> and discontinuation-related </w:t>
      </w:r>
      <w:r w:rsidR="00904E7F">
        <w:t>adverse events</w:t>
      </w:r>
      <w:r w:rsidR="00572F9F">
        <w:fldChar w:fldCharType="begin"/>
      </w:r>
      <w:r w:rsidR="00572F9F">
        <w:instrText xml:space="preserve"> DOCVARIABLE vault_nd_75915a35-8e05-4021-8762-a611ec05</w:instrText>
      </w:r>
      <w:r w:rsidR="00572F9F">
        <w:instrText xml:space="preserve">e4b1 \* MERGEFORMAT </w:instrText>
      </w:r>
      <w:r w:rsidR="00572F9F">
        <w:fldChar w:fldCharType="separate"/>
      </w:r>
      <w:r w:rsidR="001B5D20">
        <w:t xml:space="preserve"> </w:t>
      </w:r>
      <w:r w:rsidR="00572F9F">
        <w:fldChar w:fldCharType="end"/>
      </w:r>
    </w:p>
    <w:p w14:paraId="6814B7F1" w14:textId="6794CDAF" w:rsidR="009A6018" w:rsidRDefault="009A6018" w:rsidP="009A6018">
      <w:pPr>
        <w:pStyle w:val="Heading6"/>
        <w:rPr>
          <w:lang w:eastAsia="ja-JP"/>
        </w:rPr>
      </w:pPr>
      <w:bookmarkStart w:id="118" w:name="_Ref127865735"/>
      <w:r>
        <w:rPr>
          <w:lang w:eastAsia="ja-JP"/>
        </w:rPr>
        <w:t>Deaths</w:t>
      </w:r>
      <w:bookmarkEnd w:id="118"/>
      <w:r w:rsidR="0048603E">
        <w:rPr>
          <w:lang w:eastAsia="ja-JP"/>
        </w:rPr>
        <w:fldChar w:fldCharType="begin"/>
      </w:r>
      <w:r w:rsidR="0048603E">
        <w:rPr>
          <w:lang w:eastAsia="ja-JP"/>
        </w:rPr>
        <w:instrText xml:space="preserve"> DOCVARIABLE vault_nd_85273f07-9379-458d-a84e-d6b8a02a82bf \* MERGEFORMAT </w:instrText>
      </w:r>
      <w:r w:rsidR="0048603E">
        <w:rPr>
          <w:lang w:eastAsia="ja-JP"/>
        </w:rPr>
        <w:fldChar w:fldCharType="separate"/>
      </w:r>
      <w:r w:rsidR="001B5D20">
        <w:rPr>
          <w:lang w:eastAsia="ja-JP"/>
        </w:rPr>
        <w:t xml:space="preserve"> </w:t>
      </w:r>
      <w:r w:rsidR="0048603E">
        <w:rPr>
          <w:lang w:eastAsia="ja-JP"/>
        </w:rPr>
        <w:fldChar w:fldCharType="end"/>
      </w:r>
    </w:p>
    <w:p w14:paraId="7DE17CBA" w14:textId="7610A035" w:rsidR="009A6018" w:rsidRPr="00904E7F" w:rsidRDefault="009A6018" w:rsidP="00904E7F">
      <w:r w:rsidRPr="00904E7F">
        <w:t xml:space="preserve">A total of </w:t>
      </w:r>
      <w:r w:rsidR="00904E7F">
        <w:t>four</w:t>
      </w:r>
      <w:r w:rsidRPr="00904E7F">
        <w:t xml:space="preserve"> deaths were reported in patients receiving concizumab in explorer7, </w:t>
      </w:r>
      <w:r w:rsidR="00904E7F">
        <w:t xml:space="preserve">three </w:t>
      </w:r>
      <w:r w:rsidRPr="00904E7F">
        <w:t xml:space="preserve">of which occurred while </w:t>
      </w:r>
      <w:r w:rsidR="00904E7F">
        <w:t>‘</w:t>
      </w:r>
      <w:r w:rsidRPr="00904E7F">
        <w:t>on treatment</w:t>
      </w:r>
      <w:r w:rsidR="00904E7F">
        <w:t xml:space="preserve">’. </w:t>
      </w:r>
      <w:r w:rsidRPr="00904E7F">
        <w:t>Briefly, these were:</w:t>
      </w:r>
    </w:p>
    <w:p w14:paraId="4E7AE627" w14:textId="19523138" w:rsidR="009A6018" w:rsidRPr="00904E7F" w:rsidRDefault="009A6018" w:rsidP="00904E7F">
      <w:pPr>
        <w:pStyle w:val="ListBullet"/>
      </w:pPr>
      <w:r w:rsidRPr="00904E7F">
        <w:t xml:space="preserve">A </w:t>
      </w:r>
      <w:r w:rsidR="00904E7F">
        <w:t>patient</w:t>
      </w:r>
      <w:r w:rsidRPr="00904E7F">
        <w:t xml:space="preserve"> with </w:t>
      </w:r>
      <w:proofErr w:type="spellStart"/>
      <w:r w:rsidRPr="00904E7F">
        <w:t>HBwI</w:t>
      </w:r>
      <w:proofErr w:type="spellEnd"/>
      <w:r w:rsidRPr="00904E7F">
        <w:t xml:space="preserve"> in Arm 2 presented with a cough after approximately 18 months on concizumab. </w:t>
      </w:r>
      <w:r w:rsidR="00904E7F">
        <w:t>They</w:t>
      </w:r>
      <w:r w:rsidRPr="00904E7F">
        <w:t xml:space="preserve"> tested positive to COVID-19 and died approximately 3 weeks later due to respiratory complications of COVID-19 infection.</w:t>
      </w:r>
    </w:p>
    <w:p w14:paraId="5BDC464D" w14:textId="1610DAA8" w:rsidR="009A6018" w:rsidRPr="00904E7F" w:rsidRDefault="009A6018" w:rsidP="00904E7F">
      <w:pPr>
        <w:pStyle w:val="ListBullet"/>
      </w:pPr>
      <w:r w:rsidRPr="00904E7F">
        <w:t xml:space="preserve">A </w:t>
      </w:r>
      <w:r w:rsidR="00904E7F">
        <w:t>patient</w:t>
      </w:r>
      <w:r w:rsidRPr="00904E7F">
        <w:t xml:space="preserve"> with </w:t>
      </w:r>
      <w:proofErr w:type="spellStart"/>
      <w:r w:rsidRPr="00904E7F">
        <w:t>HBwI</w:t>
      </w:r>
      <w:proofErr w:type="spellEnd"/>
      <w:r w:rsidRPr="00904E7F">
        <w:t xml:space="preserve"> in Arm 2 was involved in a road traffic accident and sustained a fractured femur and humerus. </w:t>
      </w:r>
      <w:r w:rsidR="00904E7F">
        <w:t>They</w:t>
      </w:r>
      <w:r w:rsidRPr="00904E7F">
        <w:t xml:space="preserve"> </w:t>
      </w:r>
      <w:r w:rsidR="00904E7F">
        <w:t xml:space="preserve">were </w:t>
      </w:r>
      <w:r w:rsidRPr="00904E7F">
        <w:t xml:space="preserve">treated with </w:t>
      </w:r>
      <w:r w:rsidR="00904E7F">
        <w:t>four ‘</w:t>
      </w:r>
      <w:r w:rsidRPr="00904E7F">
        <w:t>injections</w:t>
      </w:r>
      <w:r w:rsidR="00904E7F">
        <w:t>’</w:t>
      </w:r>
      <w:r w:rsidRPr="00904E7F">
        <w:t xml:space="preserve"> of </w:t>
      </w:r>
      <w:proofErr w:type="spellStart"/>
      <w:r w:rsidRPr="00904E7F">
        <w:t>rFVIIa</w:t>
      </w:r>
      <w:proofErr w:type="spellEnd"/>
      <w:r w:rsidRPr="00904E7F">
        <w:t xml:space="preserve"> (</w:t>
      </w:r>
      <w:proofErr w:type="spellStart"/>
      <w:r w:rsidRPr="00904E7F">
        <w:t>NovoSeven</w:t>
      </w:r>
      <w:proofErr w:type="spellEnd"/>
      <w:r w:rsidRPr="00904E7F">
        <w:t xml:space="preserve">). The subject’s condition was described as stable on the following day. </w:t>
      </w:r>
      <w:r w:rsidR="00904E7F">
        <w:t xml:space="preserve">Nineteen </w:t>
      </w:r>
      <w:r w:rsidRPr="00904E7F">
        <w:t xml:space="preserve">days after the accident the subject suddenly deteriorated. </w:t>
      </w:r>
      <w:r w:rsidR="00904E7F">
        <w:t xml:space="preserve">They </w:t>
      </w:r>
      <w:r w:rsidRPr="00904E7F">
        <w:t>w</w:t>
      </w:r>
      <w:r w:rsidR="00904E7F">
        <w:t>ere</w:t>
      </w:r>
      <w:r w:rsidRPr="00904E7F">
        <w:t xml:space="preserve"> ventilated in </w:t>
      </w:r>
      <w:r w:rsidR="00904E7F">
        <w:t>the intensive care unit</w:t>
      </w:r>
      <w:r w:rsidR="00676791">
        <w:t xml:space="preserve"> </w:t>
      </w:r>
      <w:r w:rsidRPr="00904E7F">
        <w:t>and w</w:t>
      </w:r>
      <w:r w:rsidR="00904E7F">
        <w:t>ere</w:t>
      </w:r>
      <w:r w:rsidRPr="00904E7F">
        <w:t xml:space="preserve"> noted to have low blood pressure. </w:t>
      </w:r>
      <w:r w:rsidR="00904E7F">
        <w:t>They</w:t>
      </w:r>
      <w:r w:rsidRPr="00904E7F">
        <w:t xml:space="preserve"> died the same day. An autopsy was performed but the results were not available.</w:t>
      </w:r>
    </w:p>
    <w:p w14:paraId="0B9D0743" w14:textId="1028DB6B" w:rsidR="009A6018" w:rsidRPr="00904E7F" w:rsidRDefault="00904E7F" w:rsidP="00904E7F">
      <w:r w:rsidRPr="00904E7F">
        <w:t xml:space="preserve">The </w:t>
      </w:r>
      <w:r w:rsidR="00CF6BF1">
        <w:t>D</w:t>
      </w:r>
      <w:r w:rsidRPr="00904E7F">
        <w:t>elegate commented that v</w:t>
      </w:r>
      <w:r w:rsidR="009A6018" w:rsidRPr="00904E7F">
        <w:t>ery few clinical details were provided in the case narrative for this death. The road traffic accident occurred at a long distance from the study site, and the patient was therefore not admitted to the study site hospital but to a hospital closer to where the accident had occurred. The trial investigator had not been able to retrieve more details on the cause of death (including the autopsy report) from the other hospital. The sponsor had attempted on multiple occasions to retrieve further information on the course of the event.</w:t>
      </w:r>
    </w:p>
    <w:p w14:paraId="222C5CAC" w14:textId="21C6492C" w:rsidR="009A6018" w:rsidRPr="00904E7F" w:rsidRDefault="009A6018" w:rsidP="00904E7F">
      <w:r w:rsidRPr="00904E7F">
        <w:t xml:space="preserve">The subject had been treated with concizumab prior to the study pause (approximately 2 months). Treatment was recommenced after the study pause. The subject narrative supplied stated that treatment was </w:t>
      </w:r>
      <w:r w:rsidR="00770615">
        <w:t>‘</w:t>
      </w:r>
      <w:r w:rsidRPr="00904E7F">
        <w:t>ongoing</w:t>
      </w:r>
      <w:r w:rsidR="00770615">
        <w:t>’</w:t>
      </w:r>
      <w:r w:rsidRPr="00904E7F">
        <w:t>, which implies that the subject had been on treatment for approximately 6 weeks at the time of death. The sponsor subsequently stated that it was unknown whether treatment with concizumab was continued until the patient died.</w:t>
      </w:r>
    </w:p>
    <w:p w14:paraId="1AEC0954" w14:textId="46E74B53" w:rsidR="009A6018" w:rsidRPr="00904E7F" w:rsidRDefault="009A6018" w:rsidP="00904E7F">
      <w:r w:rsidRPr="00904E7F">
        <w:t>The subject was hospitalised for a fractured femur and was therefore at risk of deep venous thrombosis/pulmonary embolus. The sudden deterioration and death, at approximately 2</w:t>
      </w:r>
      <w:r w:rsidR="00904E7F">
        <w:t xml:space="preserve"> to </w:t>
      </w:r>
      <w:r w:rsidRPr="00904E7F">
        <w:t>3 weeks after the event, suggest that the event may have been related to a thromboembolic event (</w:t>
      </w:r>
      <w:r w:rsidR="00904E7F">
        <w:t>for example</w:t>
      </w:r>
      <w:r w:rsidRPr="00904E7F">
        <w:t>, pulmonary embolus).</w:t>
      </w:r>
    </w:p>
    <w:p w14:paraId="6C2EA2FF" w14:textId="1BA2C530" w:rsidR="009A6018" w:rsidRPr="00904E7F" w:rsidRDefault="009A6018" w:rsidP="00904E7F">
      <w:r w:rsidRPr="00904E7F">
        <w:lastRenderedPageBreak/>
        <w:t xml:space="preserve">The sponsor considered that the event was unlikely to be related to concizumab. However, based on the limited details available, and the other serious thromboembolic </w:t>
      </w:r>
      <w:r w:rsidR="00904E7F">
        <w:t>adverse event</w:t>
      </w:r>
      <w:r w:rsidRPr="00904E7F">
        <w:t>s reported with concizumab the Delegate acknowledges the road trauma is a likely contributing factor, but considers that this death was possibly related to concizumab.</w:t>
      </w:r>
    </w:p>
    <w:p w14:paraId="542FF56A" w14:textId="77777777" w:rsidR="009A6018" w:rsidRDefault="009A6018" w:rsidP="009A6018">
      <w:pPr>
        <w:rPr>
          <w:lang w:eastAsia="ja-JP"/>
        </w:rPr>
      </w:pPr>
      <w:r>
        <w:rPr>
          <w:lang w:eastAsia="ja-JP"/>
        </w:rPr>
        <w:t>The two other deaths occurred during the treatment pause in subjects who had previously been treated with concizumab.</w:t>
      </w:r>
    </w:p>
    <w:p w14:paraId="4EE6C92F" w14:textId="0F8A7B6F" w:rsidR="009A6018" w:rsidRPr="00904E7F" w:rsidRDefault="009A6018" w:rsidP="00904E7F">
      <w:pPr>
        <w:pStyle w:val="ListBullet"/>
      </w:pPr>
      <w:r w:rsidRPr="00904E7F">
        <w:t>A</w:t>
      </w:r>
      <w:r w:rsidR="00904E7F">
        <w:t xml:space="preserve"> patient</w:t>
      </w:r>
      <w:r w:rsidR="002523A3">
        <w:t xml:space="preserve"> </w:t>
      </w:r>
      <w:r w:rsidRPr="00904E7F">
        <w:t xml:space="preserve">with </w:t>
      </w:r>
      <w:proofErr w:type="spellStart"/>
      <w:r w:rsidRPr="00904E7F">
        <w:t>HBwI</w:t>
      </w:r>
      <w:proofErr w:type="spellEnd"/>
      <w:r w:rsidRPr="00904E7F">
        <w:t xml:space="preserve"> developed a series of </w:t>
      </w:r>
      <w:r w:rsidR="00904E7F">
        <w:t>adverse events</w:t>
      </w:r>
      <w:r w:rsidRPr="00904E7F">
        <w:t xml:space="preserve"> commencing approximately 3.5 months after ceasing concizumab. These were: haematuria with clots resulting in obstructive renal dysfunction, a haematoma involving the neck and floor of the mouth requiring tracheostomy due to respiratory compromise (at which point </w:t>
      </w:r>
      <w:proofErr w:type="spellStart"/>
      <w:r w:rsidRPr="00904E7F">
        <w:t>eptacog</w:t>
      </w:r>
      <w:proofErr w:type="spellEnd"/>
      <w:r w:rsidRPr="00904E7F">
        <w:t xml:space="preserve"> alfa was given), retinal vascular occlusion, an iatrogenic thrombosis of the inferior vena cava and a retroperitoneal haematoma and </w:t>
      </w:r>
      <w:proofErr w:type="spellStart"/>
      <w:r w:rsidRPr="00904E7F">
        <w:t>haemoperitoneum</w:t>
      </w:r>
      <w:proofErr w:type="spellEnd"/>
      <w:r w:rsidRPr="00904E7F">
        <w:t xml:space="preserve">. These events all occurred within a </w:t>
      </w:r>
      <w:proofErr w:type="gramStart"/>
      <w:r w:rsidR="00904E7F">
        <w:t xml:space="preserve">one </w:t>
      </w:r>
      <w:r w:rsidRPr="00904E7F">
        <w:t>month</w:t>
      </w:r>
      <w:proofErr w:type="gramEnd"/>
      <w:r w:rsidRPr="00904E7F">
        <w:t xml:space="preserve"> period. The subject died on the day of the retroperitoneal haematoma/</w:t>
      </w:r>
      <w:proofErr w:type="spellStart"/>
      <w:r w:rsidRPr="00904E7F">
        <w:t>haemoperitoneum</w:t>
      </w:r>
      <w:proofErr w:type="spellEnd"/>
      <w:r w:rsidRPr="00904E7F">
        <w:t>.</w:t>
      </w:r>
    </w:p>
    <w:p w14:paraId="06C0FC93" w14:textId="49A86526" w:rsidR="009A6018" w:rsidRPr="00904E7F" w:rsidRDefault="009A6018" w:rsidP="00904E7F">
      <w:pPr>
        <w:pStyle w:val="ListBullet"/>
      </w:pPr>
      <w:r w:rsidRPr="00904E7F">
        <w:t xml:space="preserve">A </w:t>
      </w:r>
      <w:r w:rsidR="00904E7F">
        <w:t xml:space="preserve">patient with </w:t>
      </w:r>
      <w:proofErr w:type="spellStart"/>
      <w:r w:rsidRPr="00904E7F">
        <w:t>HBwI</w:t>
      </w:r>
      <w:proofErr w:type="spellEnd"/>
      <w:r w:rsidRPr="00904E7F">
        <w:t xml:space="preserve"> died from gastrointestinal bleeding approximately 6 months after ceasing concizumab. The subject had a previous history of </w:t>
      </w:r>
      <w:r w:rsidR="00904E7F">
        <w:t>gastrointestinal</w:t>
      </w:r>
      <w:r w:rsidRPr="00904E7F">
        <w:t xml:space="preserve"> bleeding prior to entry into the study.</w:t>
      </w:r>
    </w:p>
    <w:p w14:paraId="42BEC15F" w14:textId="77777777" w:rsidR="00676791" w:rsidRDefault="00904E7F" w:rsidP="00904E7F">
      <w:r w:rsidRPr="00904E7F">
        <w:t xml:space="preserve">The </w:t>
      </w:r>
      <w:r w:rsidR="009A6018" w:rsidRPr="00904E7F">
        <w:t>Delegate comment</w:t>
      </w:r>
      <w:r w:rsidRPr="00904E7F">
        <w:t>ed that the</w:t>
      </w:r>
      <w:r w:rsidR="009A6018" w:rsidRPr="00904E7F">
        <w:t xml:space="preserve"> duration between cessation of concizumab and these deaths make a causal relationship less likely</w:t>
      </w:r>
      <w:r w:rsidR="00676791">
        <w:t>.</w:t>
      </w:r>
    </w:p>
    <w:p w14:paraId="27C89FA9" w14:textId="03DFFB77" w:rsidR="009A6018" w:rsidRPr="00904E7F" w:rsidRDefault="009A6018" w:rsidP="00904E7F">
      <w:r w:rsidRPr="00904E7F">
        <w:t>There were no reported deaths in explorer4 or explorer5.</w:t>
      </w:r>
    </w:p>
    <w:p w14:paraId="56A1E79E" w14:textId="6D2B0CAB" w:rsidR="009A6018" w:rsidRPr="00026825" w:rsidRDefault="009A6018" w:rsidP="009A6018">
      <w:pPr>
        <w:pStyle w:val="Heading6"/>
        <w:rPr>
          <w:lang w:eastAsia="ja-JP"/>
        </w:rPr>
      </w:pPr>
      <w:r w:rsidRPr="00026825">
        <w:rPr>
          <w:lang w:eastAsia="ja-JP"/>
        </w:rPr>
        <w:t xml:space="preserve">Serious </w:t>
      </w:r>
      <w:r w:rsidR="00904E7F">
        <w:rPr>
          <w:lang w:eastAsia="ja-JP"/>
        </w:rPr>
        <w:t>adverse events</w:t>
      </w:r>
      <w:r w:rsidR="0048603E">
        <w:rPr>
          <w:lang w:eastAsia="ja-JP"/>
        </w:rPr>
        <w:fldChar w:fldCharType="begin"/>
      </w:r>
      <w:r w:rsidR="0048603E">
        <w:rPr>
          <w:lang w:eastAsia="ja-JP"/>
        </w:rPr>
        <w:instrText xml:space="preserve"> DOCVARIABLE vault_nd_cca7c0aa-03cd-4bef-ae36-34f718a7edeb \* MERGEFORMAT </w:instrText>
      </w:r>
      <w:r w:rsidR="0048603E">
        <w:rPr>
          <w:lang w:eastAsia="ja-JP"/>
        </w:rPr>
        <w:fldChar w:fldCharType="separate"/>
      </w:r>
      <w:r w:rsidR="001B5D20">
        <w:rPr>
          <w:lang w:eastAsia="ja-JP"/>
        </w:rPr>
        <w:t xml:space="preserve"> </w:t>
      </w:r>
      <w:r w:rsidR="0048603E">
        <w:rPr>
          <w:lang w:eastAsia="ja-JP"/>
        </w:rPr>
        <w:fldChar w:fldCharType="end"/>
      </w:r>
    </w:p>
    <w:p w14:paraId="1C3F6E58" w14:textId="7987DFF1" w:rsidR="009A6018" w:rsidRPr="00904E7F" w:rsidRDefault="009A6018" w:rsidP="00904E7F">
      <w:r w:rsidRPr="00904E7F">
        <w:t>In explorer7, in subjects treated with concizumab (Arms 2</w:t>
      </w:r>
      <w:r w:rsidR="00904E7F" w:rsidRPr="00904E7F">
        <w:t xml:space="preserve"> to </w:t>
      </w:r>
      <w:r w:rsidRPr="00904E7F">
        <w:t xml:space="preserve">4 combined) serious </w:t>
      </w:r>
      <w:r w:rsidR="00904E7F" w:rsidRPr="00904E7F">
        <w:t>adverse events</w:t>
      </w:r>
      <w:r w:rsidRPr="00904E7F">
        <w:t xml:space="preserve"> were reported in 12.3% of subjects compared with 15.</w:t>
      </w:r>
      <w:r w:rsidR="005E15AE">
        <w:t>8</w:t>
      </w:r>
      <w:r w:rsidRPr="00904E7F">
        <w:t xml:space="preserve">% of subjects in Arm 1. The event rate for </w:t>
      </w:r>
      <w:r w:rsidR="00904E7F" w:rsidRPr="00904E7F">
        <w:t>adverse events</w:t>
      </w:r>
      <w:r w:rsidRPr="00904E7F">
        <w:t xml:space="preserve"> was lower with concizumab (0.2 </w:t>
      </w:r>
      <w:r w:rsidR="00904E7F" w:rsidRPr="00904E7F">
        <w:t>versus</w:t>
      </w:r>
      <w:r w:rsidRPr="00904E7F">
        <w:t xml:space="preserve"> 0.4 </w:t>
      </w:r>
      <w:r w:rsidR="00904E7F" w:rsidRPr="00904E7F">
        <w:t>serious adverse events</w:t>
      </w:r>
      <w:r w:rsidRPr="00904E7F">
        <w:t xml:space="preserve"> per </w:t>
      </w:r>
      <w:r w:rsidR="00904E7F" w:rsidRPr="00904E7F">
        <w:t>patient years of exposure</w:t>
      </w:r>
      <w:r w:rsidRPr="00904E7F">
        <w:t>).</w:t>
      </w:r>
    </w:p>
    <w:p w14:paraId="4878E68F" w14:textId="738BAC10" w:rsidR="009A6018" w:rsidRPr="00904E7F" w:rsidRDefault="009A6018" w:rsidP="00904E7F">
      <w:r w:rsidRPr="00904E7F">
        <w:t xml:space="preserve">There were </w:t>
      </w:r>
      <w:r w:rsidR="00904E7F" w:rsidRPr="00904E7F">
        <w:t xml:space="preserve">two </w:t>
      </w:r>
      <w:r w:rsidRPr="00904E7F">
        <w:t>cases of C</w:t>
      </w:r>
      <w:r w:rsidR="00904E7F" w:rsidRPr="00904E7F">
        <w:t>OVID</w:t>
      </w:r>
      <w:r w:rsidRPr="00904E7F">
        <w:t>-19 infection among concizumab</w:t>
      </w:r>
      <w:r w:rsidR="00904E7F" w:rsidRPr="00904E7F">
        <w:t xml:space="preserve"> </w:t>
      </w:r>
      <w:r w:rsidRPr="00904E7F">
        <w:t xml:space="preserve">treated subjects. All other </w:t>
      </w:r>
      <w:r w:rsidR="00904E7F" w:rsidRPr="00904E7F">
        <w:t>serious adverse events</w:t>
      </w:r>
      <w:r w:rsidRPr="00904E7F">
        <w:t xml:space="preserve"> occurred in single subjects onl</w:t>
      </w:r>
      <w:r w:rsidR="00904E7F">
        <w:t>y</w:t>
      </w:r>
      <w:r w:rsidRPr="00904E7F">
        <w:t xml:space="preserve"> and included a case of renal infarction in a patient with Prader-Willi syndrome (one of three cases of thrombosis that led to study pause</w:t>
      </w:r>
      <w:r w:rsidR="00904E7F" w:rsidRPr="00904E7F">
        <w:t xml:space="preserve">) </w:t>
      </w:r>
      <w:r w:rsidRPr="00904E7F">
        <w:t>and a case of hypersensitivity, both of which led to treatment discontinuation.</w:t>
      </w:r>
    </w:p>
    <w:p w14:paraId="6131C574" w14:textId="02609F49" w:rsidR="009A6018" w:rsidRPr="00904E7F" w:rsidRDefault="009A6018" w:rsidP="00904E7F">
      <w:r w:rsidRPr="00904E7F">
        <w:t xml:space="preserve">There were no notable </w:t>
      </w:r>
      <w:r w:rsidR="00904E7F">
        <w:t>serious adverse events</w:t>
      </w:r>
      <w:r w:rsidRPr="00904E7F">
        <w:t xml:space="preserve"> in explorer4 or explorer5.</w:t>
      </w:r>
    </w:p>
    <w:p w14:paraId="4D70D43F" w14:textId="260B5397" w:rsidR="009A6018" w:rsidRDefault="009A6018" w:rsidP="009A6018">
      <w:pPr>
        <w:pStyle w:val="Heading6"/>
        <w:rPr>
          <w:lang w:eastAsia="ja-JP"/>
        </w:rPr>
      </w:pPr>
      <w:r>
        <w:rPr>
          <w:lang w:eastAsia="ja-JP"/>
        </w:rPr>
        <w:t>Permanent discontinuations</w:t>
      </w:r>
      <w:r w:rsidR="0048603E">
        <w:rPr>
          <w:lang w:eastAsia="ja-JP"/>
        </w:rPr>
        <w:fldChar w:fldCharType="begin"/>
      </w:r>
      <w:r w:rsidR="0048603E">
        <w:rPr>
          <w:lang w:eastAsia="ja-JP"/>
        </w:rPr>
        <w:instrText xml:space="preserve"> DOCVARIABLE vault_nd_2f6001e1-1e9f-4b69-b185-b70178577f6f \* MERGEFORMAT </w:instrText>
      </w:r>
      <w:r w:rsidR="0048603E">
        <w:rPr>
          <w:lang w:eastAsia="ja-JP"/>
        </w:rPr>
        <w:fldChar w:fldCharType="separate"/>
      </w:r>
      <w:r w:rsidR="001B5D20">
        <w:rPr>
          <w:lang w:eastAsia="ja-JP"/>
        </w:rPr>
        <w:t xml:space="preserve"> </w:t>
      </w:r>
      <w:r w:rsidR="0048603E">
        <w:rPr>
          <w:lang w:eastAsia="ja-JP"/>
        </w:rPr>
        <w:fldChar w:fldCharType="end"/>
      </w:r>
    </w:p>
    <w:p w14:paraId="7C8B5E4F" w14:textId="4EC25EA8" w:rsidR="009A6018" w:rsidRPr="00904E7F" w:rsidRDefault="009A6018" w:rsidP="00904E7F">
      <w:r w:rsidRPr="00904E7F">
        <w:t xml:space="preserve">In explorer7, the following cases occurred in which concizumab was permanently discontinued due to an </w:t>
      </w:r>
      <w:r w:rsidR="00904E7F">
        <w:t>adverse event:</w:t>
      </w:r>
    </w:p>
    <w:p w14:paraId="09ADEC59" w14:textId="0504DE82" w:rsidR="009A6018" w:rsidRPr="00904E7F" w:rsidRDefault="009A6018" w:rsidP="00904E7F">
      <w:pPr>
        <w:pStyle w:val="ListBullet"/>
      </w:pPr>
      <w:r w:rsidRPr="00904E7F">
        <w:t xml:space="preserve">COVID-19 (fatal) in a </w:t>
      </w:r>
      <w:r w:rsidR="00904E7F">
        <w:t xml:space="preserve">patient </w:t>
      </w:r>
      <w:r w:rsidRPr="00904E7F">
        <w:t xml:space="preserve">with </w:t>
      </w:r>
      <w:proofErr w:type="spellStart"/>
      <w:r w:rsidRPr="00904E7F">
        <w:t>HBwI</w:t>
      </w:r>
      <w:proofErr w:type="spellEnd"/>
      <w:r w:rsidRPr="00904E7F">
        <w:t xml:space="preserve"> on study </w:t>
      </w:r>
      <w:r w:rsidR="00904E7F">
        <w:t>D</w:t>
      </w:r>
      <w:r w:rsidRPr="00904E7F">
        <w:t>ay 553 during the extension period (Arm 2)</w:t>
      </w:r>
      <w:r w:rsidR="00904E7F">
        <w:t>.</w:t>
      </w:r>
    </w:p>
    <w:p w14:paraId="7050B851" w14:textId="5AC02D37" w:rsidR="009A6018" w:rsidRPr="00904E7F" w:rsidRDefault="009A6018" w:rsidP="00904E7F">
      <w:pPr>
        <w:pStyle w:val="ListBullet"/>
      </w:pPr>
      <w:r w:rsidRPr="00904E7F">
        <w:t xml:space="preserve">Renal infarct in a </w:t>
      </w:r>
      <w:r w:rsidR="00904E7F">
        <w:t xml:space="preserve">patient </w:t>
      </w:r>
      <w:r w:rsidRPr="00904E7F">
        <w:t xml:space="preserve">with </w:t>
      </w:r>
      <w:proofErr w:type="spellStart"/>
      <w:r w:rsidRPr="00904E7F">
        <w:t>HBwI</w:t>
      </w:r>
      <w:proofErr w:type="spellEnd"/>
      <w:r w:rsidRPr="00904E7F">
        <w:t xml:space="preserve"> on study </w:t>
      </w:r>
      <w:r w:rsidR="00904E7F">
        <w:t>D</w:t>
      </w:r>
      <w:r w:rsidRPr="00904E7F">
        <w:t>ay 21, prior to treatment pause (Arm 2)</w:t>
      </w:r>
      <w:r w:rsidR="00904E7F">
        <w:t>.</w:t>
      </w:r>
    </w:p>
    <w:p w14:paraId="63BBFF26" w14:textId="4B80D5C0" w:rsidR="009A6018" w:rsidRPr="00904E7F" w:rsidRDefault="009A6018" w:rsidP="00904E7F">
      <w:pPr>
        <w:pStyle w:val="ListBullet"/>
      </w:pPr>
      <w:r w:rsidRPr="00904E7F">
        <w:t xml:space="preserve">Hypersensitivity in a </w:t>
      </w:r>
      <w:r w:rsidR="00904E7F">
        <w:t xml:space="preserve">patient </w:t>
      </w:r>
      <w:r w:rsidRPr="00904E7F">
        <w:t xml:space="preserve">with </w:t>
      </w:r>
      <w:proofErr w:type="spellStart"/>
      <w:r w:rsidRPr="00904E7F">
        <w:t>HBwI</w:t>
      </w:r>
      <w:proofErr w:type="spellEnd"/>
      <w:r w:rsidRPr="00904E7F">
        <w:t xml:space="preserve"> on </w:t>
      </w:r>
      <w:r w:rsidR="00904E7F">
        <w:t>D</w:t>
      </w:r>
      <w:r w:rsidRPr="00904E7F">
        <w:t>ay 18 during the post-pause treatment period (Arm 4)</w:t>
      </w:r>
      <w:r w:rsidR="00904E7F">
        <w:t>.</w:t>
      </w:r>
    </w:p>
    <w:p w14:paraId="3E383B3B" w14:textId="76C03879" w:rsidR="009A6018" w:rsidRPr="00904E7F" w:rsidRDefault="009A6018" w:rsidP="00904E7F">
      <w:pPr>
        <w:pStyle w:val="ListBullet"/>
      </w:pPr>
      <w:r w:rsidRPr="00904E7F">
        <w:t xml:space="preserve">Congestive cardiomyopathy in a </w:t>
      </w:r>
      <w:r w:rsidR="00904E7F">
        <w:t>patient</w:t>
      </w:r>
      <w:r w:rsidRPr="00904E7F">
        <w:t xml:space="preserve"> with </w:t>
      </w:r>
      <w:proofErr w:type="spellStart"/>
      <w:r w:rsidRPr="00904E7F">
        <w:t>HAwI</w:t>
      </w:r>
      <w:proofErr w:type="spellEnd"/>
      <w:r w:rsidRPr="00904E7F">
        <w:t xml:space="preserve"> on study </w:t>
      </w:r>
      <w:r w:rsidR="00904E7F">
        <w:t>D</w:t>
      </w:r>
      <w:r w:rsidRPr="00904E7F">
        <w:t>ay 4, prior to treatment pause (Arm 3)</w:t>
      </w:r>
      <w:r w:rsidR="00904E7F">
        <w:t>.</w:t>
      </w:r>
    </w:p>
    <w:p w14:paraId="0E452BE4" w14:textId="654119FB" w:rsidR="009A6018" w:rsidRDefault="009A6018" w:rsidP="009A6018">
      <w:r w:rsidRPr="00904E7F">
        <w:t xml:space="preserve">The case of congestive cardiomyopathy leading to discontinuation occurred in a </w:t>
      </w:r>
      <w:r w:rsidR="00904E7F">
        <w:t xml:space="preserve">patient </w:t>
      </w:r>
      <w:r w:rsidRPr="00904E7F">
        <w:t xml:space="preserve">with </w:t>
      </w:r>
      <w:proofErr w:type="spellStart"/>
      <w:r w:rsidRPr="00904E7F">
        <w:t>HAwI</w:t>
      </w:r>
      <w:proofErr w:type="spellEnd"/>
      <w:r w:rsidRPr="00904E7F">
        <w:t xml:space="preserve"> and complex medical history, including diffuse large B-cell lymphoma, hepatitis B and C, splenectomy and congestive cardiomyopathy requiring furosemide, carvedilol, ramipril and eplerenone. Decompensation of his cardiomyopathy first occurred on-study whilst enrolled in </w:t>
      </w:r>
      <w:r w:rsidRPr="00904E7F">
        <w:lastRenderedPageBreak/>
        <w:t>explorer4 (</w:t>
      </w:r>
      <w:r w:rsidR="00904E7F">
        <w:t>S</w:t>
      </w:r>
      <w:r w:rsidRPr="00904E7F">
        <w:t>tudy 4310), receiving on-demand treatment (</w:t>
      </w:r>
      <w:r w:rsidR="00904E7F">
        <w:t>that is,</w:t>
      </w:r>
      <w:r w:rsidRPr="00904E7F">
        <w:t xml:space="preserve"> not receiving concizumab). </w:t>
      </w:r>
      <w:r w:rsidR="00904E7F">
        <w:t>They</w:t>
      </w:r>
      <w:r w:rsidRPr="00904E7F">
        <w:t xml:space="preserve"> w</w:t>
      </w:r>
      <w:r w:rsidR="00904E7F">
        <w:t>ere</w:t>
      </w:r>
      <w:r w:rsidRPr="00904E7F">
        <w:t xml:space="preserve"> first exposed to concizumab 5 months later with a loading dose of 0.5</w:t>
      </w:r>
      <w:r w:rsidR="00904E7F">
        <w:t> </w:t>
      </w:r>
      <w:r w:rsidRPr="00904E7F">
        <w:t>mg/kg followed by 0.15</w:t>
      </w:r>
      <w:r w:rsidR="00904E7F">
        <w:t> </w:t>
      </w:r>
      <w:r w:rsidRPr="00904E7F">
        <w:t>mg/kg daily, which was then escalated to 0.20</w:t>
      </w:r>
      <w:r w:rsidR="00904E7F">
        <w:t> </w:t>
      </w:r>
      <w:r w:rsidRPr="00904E7F">
        <w:t xml:space="preserve">mg/kg daily around 10 months later. Another </w:t>
      </w:r>
      <w:r w:rsidR="00904E7F">
        <w:t>adverse event</w:t>
      </w:r>
      <w:r w:rsidRPr="00904E7F">
        <w:t xml:space="preserve"> of decompensated dilated cardiomyopathy occurred after 477 days of concizumab PPX and 191 days after the daily dose was increased to 0.20</w:t>
      </w:r>
      <w:r w:rsidR="00904E7F">
        <w:t> </w:t>
      </w:r>
      <w:r w:rsidRPr="00904E7F">
        <w:t xml:space="preserve">mg/kg. This event was non-serious, managed with higher doses of furosemide, and recovered without changes in concizumab treatment. Later that month, the patient was screened for participation in trial </w:t>
      </w:r>
      <w:r w:rsidR="00904E7F">
        <w:t>Study </w:t>
      </w:r>
      <w:r w:rsidRPr="00904E7F">
        <w:t>4311 and the dose of concizumab was increased to 0.25</w:t>
      </w:r>
      <w:r w:rsidR="00904E7F">
        <w:t> </w:t>
      </w:r>
      <w:r w:rsidRPr="00904E7F">
        <w:t xml:space="preserve">mg/kg daily as per the protocol. Four days later, another non-serious moderate </w:t>
      </w:r>
      <w:r w:rsidR="00904E7F">
        <w:t>adverse event</w:t>
      </w:r>
      <w:r w:rsidRPr="00904E7F">
        <w:t xml:space="preserve"> of suspected worsening of decompensated dilated cardiomyopathy occurred. The patient continued concizumab PPX for a further 20 days until the drug was permanently discontinued due to the </w:t>
      </w:r>
      <w:r w:rsidR="00904E7F">
        <w:t>adverse event</w:t>
      </w:r>
      <w:r w:rsidRPr="00904E7F">
        <w:t>.</w:t>
      </w:r>
      <w:r w:rsidR="00904E7F">
        <w:t xml:space="preserve"> They</w:t>
      </w:r>
      <w:r w:rsidRPr="00904E7F">
        <w:t xml:space="preserve"> didn’t receive new treatment for the cardiomyopathy until a couple of weeks later, when </w:t>
      </w:r>
      <w:r w:rsidR="00904E7F">
        <w:t>they were</w:t>
      </w:r>
      <w:r w:rsidRPr="00904E7F">
        <w:t xml:space="preserve"> commenced on sacubitril, valsartan, bisoprolol and higher doses of furosemide. The </w:t>
      </w:r>
      <w:r w:rsidR="00904E7F">
        <w:t xml:space="preserve">adverse event </w:t>
      </w:r>
      <w:r w:rsidRPr="00904E7F">
        <w:t xml:space="preserve">was reported as ‘recovering’/’resolving’ and </w:t>
      </w:r>
      <w:r>
        <w:t>the patient continued participating in</w:t>
      </w:r>
      <w:r w:rsidRPr="00912A59">
        <w:t xml:space="preserve"> trial </w:t>
      </w:r>
      <w:r>
        <w:t>follow-up for about another year</w:t>
      </w:r>
      <w:r w:rsidRPr="00912A59">
        <w:t>. The reason for trial withdrawal is stated in the ‘</w:t>
      </w:r>
      <w:r w:rsidR="00904E7F">
        <w:t>e</w:t>
      </w:r>
      <w:r w:rsidRPr="00912A59">
        <w:t xml:space="preserve">nd of trial’ form as </w:t>
      </w:r>
      <w:r>
        <w:t>‘</w:t>
      </w:r>
      <w:r w:rsidRPr="00912A59">
        <w:t>patient not willing to</w:t>
      </w:r>
      <w:r>
        <w:t xml:space="preserve"> </w:t>
      </w:r>
      <w:r w:rsidRPr="00912A59">
        <w:t>participate in trial</w:t>
      </w:r>
      <w:r>
        <w:t>.’</w:t>
      </w:r>
    </w:p>
    <w:p w14:paraId="047BBA90" w14:textId="375923C7" w:rsidR="002276B2" w:rsidRDefault="009A6018" w:rsidP="002276B2">
      <w:pPr>
        <w:rPr>
          <w:lang w:eastAsia="ja-JP"/>
        </w:rPr>
      </w:pPr>
      <w:r>
        <w:rPr>
          <w:lang w:eastAsia="ja-JP"/>
        </w:rPr>
        <w:t xml:space="preserve">There were no discontinuations due to </w:t>
      </w:r>
      <w:r w:rsidR="00904E7F">
        <w:rPr>
          <w:lang w:eastAsia="ja-JP"/>
        </w:rPr>
        <w:t>adverse events</w:t>
      </w:r>
      <w:r>
        <w:rPr>
          <w:lang w:eastAsia="ja-JP"/>
        </w:rPr>
        <w:t xml:space="preserve"> in explorer4 or explorer5.</w:t>
      </w:r>
    </w:p>
    <w:p w14:paraId="4E8735D1" w14:textId="62B9A230" w:rsidR="00904E7F" w:rsidRDefault="00904E7F" w:rsidP="00904E7F">
      <w:pPr>
        <w:pStyle w:val="Heading5"/>
      </w:pPr>
      <w:r>
        <w:t>Adverse events of special interest</w:t>
      </w:r>
      <w:r w:rsidR="00572F9F">
        <w:fldChar w:fldCharType="begin"/>
      </w:r>
      <w:r w:rsidR="00572F9F">
        <w:instrText xml:space="preserve"> DOCVARIABLE vault_nd_aa7db692-89de-41ac-8fe2-c3387b569d83 \* MERGEFORMAT </w:instrText>
      </w:r>
      <w:r w:rsidR="00572F9F">
        <w:fldChar w:fldCharType="separate"/>
      </w:r>
      <w:r w:rsidR="001B5D20">
        <w:t xml:space="preserve"> </w:t>
      </w:r>
      <w:r w:rsidR="00572F9F">
        <w:fldChar w:fldCharType="end"/>
      </w:r>
    </w:p>
    <w:p w14:paraId="3428772E" w14:textId="5D46D954" w:rsidR="00904E7F" w:rsidRDefault="00904E7F" w:rsidP="00904E7F">
      <w:pPr>
        <w:pStyle w:val="Heading6"/>
      </w:pPr>
      <w:bookmarkStart w:id="119" w:name="_Ref159851602"/>
      <w:r>
        <w:t>Thromboembolic events</w:t>
      </w:r>
      <w:bookmarkEnd w:id="119"/>
      <w:r w:rsidR="0048603E">
        <w:fldChar w:fldCharType="begin"/>
      </w:r>
      <w:r w:rsidR="0048603E">
        <w:instrText xml:space="preserve"> DOCVARIABLE vault_nd_83c9dad5-e2eb-4192-a17a-076984f6f4fd \* MERGEFORMAT </w:instrText>
      </w:r>
      <w:r w:rsidR="0048603E">
        <w:fldChar w:fldCharType="separate"/>
      </w:r>
      <w:r w:rsidR="001B5D20">
        <w:t xml:space="preserve"> </w:t>
      </w:r>
      <w:r w:rsidR="0048603E">
        <w:fldChar w:fldCharType="end"/>
      </w:r>
    </w:p>
    <w:p w14:paraId="7C562590" w14:textId="46EFF63D" w:rsidR="00904E7F" w:rsidRPr="00904E7F" w:rsidRDefault="00904E7F" w:rsidP="00904E7F">
      <w:r w:rsidRPr="00904E7F">
        <w:t>The clinical trials program for concizumab was paused between 16 M</w:t>
      </w:r>
      <w:r>
        <w:t xml:space="preserve">arch </w:t>
      </w:r>
      <w:r w:rsidRPr="00904E7F">
        <w:t>2020 and 30</w:t>
      </w:r>
      <w:r>
        <w:t> September </w:t>
      </w:r>
      <w:r w:rsidRPr="00904E7F">
        <w:t>2020 (approximately 6.5 months) following reports of thromboembolic events (5</w:t>
      </w:r>
      <w:r>
        <w:t> </w:t>
      </w:r>
      <w:r w:rsidRPr="00904E7F">
        <w:t xml:space="preserve">events) in three subjects in </w:t>
      </w:r>
      <w:r>
        <w:t>P</w:t>
      </w:r>
      <w:r w:rsidRPr="00904E7F">
        <w:t xml:space="preserve">hase </w:t>
      </w:r>
      <w:r>
        <w:t>III</w:t>
      </w:r>
      <w:r w:rsidRPr="00904E7F">
        <w:t xml:space="preserve"> trials.</w:t>
      </w:r>
    </w:p>
    <w:p w14:paraId="35B9C6E2" w14:textId="77777777" w:rsidR="00676791" w:rsidRDefault="00904E7F" w:rsidP="00904E7F">
      <w:r w:rsidRPr="00904E7F">
        <w:t xml:space="preserve">At the time of the pause, 130 patients had received concizumab in the </w:t>
      </w:r>
      <w:r>
        <w:t>P</w:t>
      </w:r>
      <w:r w:rsidRPr="00904E7F">
        <w:t xml:space="preserve">hase </w:t>
      </w:r>
      <w:r>
        <w:t>III</w:t>
      </w:r>
      <w:r w:rsidRPr="00904E7F">
        <w:t xml:space="preserve"> studies, in which the 0.25</w:t>
      </w:r>
      <w:r>
        <w:t> </w:t>
      </w:r>
      <w:r w:rsidRPr="00904E7F">
        <w:t xml:space="preserve">mg/kg maintenance dose was being given to all patients randomised to concizumab. There were no thromboembolic </w:t>
      </w:r>
      <w:r>
        <w:t>adverse events</w:t>
      </w:r>
      <w:r w:rsidRPr="00904E7F">
        <w:t xml:space="preserve"> in the </w:t>
      </w:r>
      <w:proofErr w:type="gramStart"/>
      <w:r w:rsidRPr="00904E7F">
        <w:t xml:space="preserve">two </w:t>
      </w:r>
      <w:r>
        <w:t>P</w:t>
      </w:r>
      <w:r w:rsidRPr="00904E7F">
        <w:t xml:space="preserve">hase </w:t>
      </w:r>
      <w:r>
        <w:t>II</w:t>
      </w:r>
      <w:proofErr w:type="gramEnd"/>
      <w:r w:rsidRPr="00904E7F">
        <w:t xml:space="preserve"> studies in which all subjects commenced on a maintenance dose of 0.15</w:t>
      </w:r>
      <w:r>
        <w:t xml:space="preserve"> </w:t>
      </w:r>
      <w:r w:rsidRPr="00904E7F">
        <w:t>mg/kg SC</w:t>
      </w:r>
      <w:r>
        <w:t xml:space="preserve"> </w:t>
      </w:r>
      <w:r w:rsidRPr="00904E7F">
        <w:t>daily, and increases in dose up to 0.25</w:t>
      </w:r>
      <w:r>
        <w:t> </w:t>
      </w:r>
      <w:r w:rsidRPr="00904E7F">
        <w:t>mg/kg daily were only undertaken in subjects demonstrating lack of efficacy</w:t>
      </w:r>
      <w:r w:rsidR="00676791">
        <w:t>.</w:t>
      </w:r>
    </w:p>
    <w:p w14:paraId="6CECE714" w14:textId="2EAA84C1" w:rsidR="00904E7F" w:rsidRPr="00904E7F" w:rsidRDefault="00904E7F" w:rsidP="00904E7F">
      <w:pPr>
        <w:pStyle w:val="Heading7"/>
      </w:pPr>
      <w:r>
        <w:t>Three cases leading to treatment pause</w:t>
      </w:r>
      <w:r w:rsidR="00572F9F">
        <w:fldChar w:fldCharType="begin"/>
      </w:r>
      <w:r w:rsidR="00572F9F">
        <w:instrText xml:space="preserve"> DOCVARIABLE vault_nd_068a43f3-c574-4bf6-bd36-5a08bb3f19c2 \* MERGEFORMAT </w:instrText>
      </w:r>
      <w:r w:rsidR="00572F9F">
        <w:fldChar w:fldCharType="separate"/>
      </w:r>
      <w:r w:rsidR="001B5D20">
        <w:t xml:space="preserve"> </w:t>
      </w:r>
      <w:r w:rsidR="00572F9F">
        <w:fldChar w:fldCharType="end"/>
      </w:r>
    </w:p>
    <w:p w14:paraId="5769CA53" w14:textId="1F5EA5F7" w:rsidR="00904E7F" w:rsidRPr="00904E7F" w:rsidRDefault="00904E7F" w:rsidP="00904E7F">
      <w:pPr>
        <w:pStyle w:val="ListBullet"/>
      </w:pPr>
      <w:r w:rsidRPr="00904E7F">
        <w:t>Case 1</w:t>
      </w:r>
      <w:r>
        <w:t xml:space="preserve">: </w:t>
      </w:r>
      <w:r w:rsidRPr="00904E7F">
        <w:t xml:space="preserve">Concizumab treatment for 58 days. Approximately 30 minutes before the symptoms of </w:t>
      </w:r>
      <w:r>
        <w:t>myocardial infarction</w:t>
      </w:r>
      <w:r w:rsidRPr="00904E7F">
        <w:t>, the patient treated a knee joint bleed with 67</w:t>
      </w:r>
      <w:r>
        <w:t> </w:t>
      </w:r>
      <w:r w:rsidRPr="00904E7F">
        <w:t>IU/kg FVIII (</w:t>
      </w:r>
      <w:proofErr w:type="spellStart"/>
      <w:r w:rsidRPr="00904E7F">
        <w:t>Advate</w:t>
      </w:r>
      <w:proofErr w:type="spellEnd"/>
      <w:r w:rsidRPr="00904E7F">
        <w:t xml:space="preserve">). Assuming an incremental recovery of close to 2%, as for most regular </w:t>
      </w:r>
      <w:proofErr w:type="spellStart"/>
      <w:r w:rsidRPr="00904E7F">
        <w:t>rFVIII</w:t>
      </w:r>
      <w:proofErr w:type="spellEnd"/>
      <w:r w:rsidRPr="00904E7F">
        <w:t xml:space="preserve"> products, a dose of 67</w:t>
      </w:r>
      <w:r>
        <w:t> </w:t>
      </w:r>
      <w:r w:rsidRPr="00904E7F">
        <w:t>IU/kg would expectedly increase FVIII plasma activity to approximately 134%, which is just below normal upper range (50</w:t>
      </w:r>
      <w:r>
        <w:t xml:space="preserve"> to </w:t>
      </w:r>
      <w:r w:rsidRPr="00904E7F">
        <w:t>150%).</w:t>
      </w:r>
    </w:p>
    <w:p w14:paraId="1083A6E6" w14:textId="11D2BA2F" w:rsidR="00904E7F" w:rsidRPr="00904E7F" w:rsidRDefault="00904E7F" w:rsidP="00904E7F">
      <w:pPr>
        <w:pStyle w:val="ListBullet"/>
      </w:pPr>
      <w:r w:rsidRPr="00904E7F">
        <w:t>Case 2</w:t>
      </w:r>
      <w:r>
        <w:t xml:space="preserve">: </w:t>
      </w:r>
      <w:r w:rsidRPr="00904E7F">
        <w:t xml:space="preserve">Concizumab treatment for 21 days. The patient experienced a renal infarction and had treated a wrist bleed with </w:t>
      </w:r>
      <w:proofErr w:type="spellStart"/>
      <w:r w:rsidRPr="00904E7F">
        <w:t>NovoSeven</w:t>
      </w:r>
      <w:proofErr w:type="spellEnd"/>
      <w:r w:rsidRPr="00904E7F">
        <w:t xml:space="preserve"> using one dose of 89</w:t>
      </w:r>
      <w:r>
        <w:t> </w:t>
      </w:r>
      <w:r>
        <w:sym w:font="Symbol" w:char="F06D"/>
      </w:r>
      <w:r w:rsidRPr="00904E7F">
        <w:t>g/</w:t>
      </w:r>
      <w:proofErr w:type="gramStart"/>
      <w:r w:rsidRPr="00904E7F">
        <w:t xml:space="preserve">kg </w:t>
      </w:r>
      <w:r>
        <w:t>,</w:t>
      </w:r>
      <w:proofErr w:type="gramEnd"/>
      <w:r w:rsidRPr="00904E7F">
        <w:t xml:space="preserve"> </w:t>
      </w:r>
      <w:r>
        <w:t>three</w:t>
      </w:r>
      <w:r w:rsidRPr="00904E7F">
        <w:t xml:space="preserve"> doses of 89</w:t>
      </w:r>
      <w:r>
        <w:t> </w:t>
      </w:r>
      <w:r>
        <w:sym w:font="Symbol" w:char="F06D"/>
      </w:r>
      <w:r w:rsidRPr="00904E7F">
        <w:t>g/kg (every 8</w:t>
      </w:r>
      <w:r>
        <w:t xml:space="preserve"> hours</w:t>
      </w:r>
      <w:r w:rsidRPr="00904E7F">
        <w:t xml:space="preserve">) and </w:t>
      </w:r>
      <w:r>
        <w:t>three</w:t>
      </w:r>
      <w:r w:rsidRPr="00904E7F">
        <w:t xml:space="preserve"> doses of 130</w:t>
      </w:r>
      <w:r>
        <w:t> </w:t>
      </w:r>
      <w:r>
        <w:sym w:font="Symbol" w:char="F06D"/>
      </w:r>
      <w:r w:rsidRPr="00904E7F">
        <w:t>g/kg (every 8</w:t>
      </w:r>
      <w:r>
        <w:t xml:space="preserve"> hours</w:t>
      </w:r>
      <w:r w:rsidRPr="00904E7F">
        <w:t>).</w:t>
      </w:r>
    </w:p>
    <w:p w14:paraId="3379153D" w14:textId="04352417" w:rsidR="00904E7F" w:rsidRPr="00904E7F" w:rsidRDefault="00904E7F" w:rsidP="00904E7F">
      <w:pPr>
        <w:pStyle w:val="ListBullet"/>
      </w:pPr>
      <w:r w:rsidRPr="00904E7F">
        <w:t>Case 3</w:t>
      </w:r>
      <w:r>
        <w:t xml:space="preserve">: </w:t>
      </w:r>
      <w:r w:rsidRPr="00904E7F">
        <w:t xml:space="preserve">Concizumab treatment for 86 days. The patient received the first concizumab dose and used </w:t>
      </w:r>
      <w:proofErr w:type="spellStart"/>
      <w:r w:rsidRPr="00904E7F">
        <w:t>Advate</w:t>
      </w:r>
      <w:proofErr w:type="spellEnd"/>
      <w:r w:rsidRPr="00904E7F">
        <w:t xml:space="preserve"> almost every day during the trial (except</w:t>
      </w:r>
      <w:r w:rsidR="00184237">
        <w:t xml:space="preserve"> </w:t>
      </w:r>
      <w:r w:rsidR="001C60F7">
        <w:t>on three days</w:t>
      </w:r>
      <w:r w:rsidRPr="00904E7F">
        <w:t xml:space="preserve">), since </w:t>
      </w:r>
      <w:r>
        <w:t>they</w:t>
      </w:r>
      <w:r w:rsidRPr="00904E7F">
        <w:t xml:space="preserve"> felt joint bleeds. The first thrombotic event </w:t>
      </w:r>
      <w:r w:rsidR="001C60F7">
        <w:t xml:space="preserve">was </w:t>
      </w:r>
      <w:r w:rsidRPr="00904E7F">
        <w:t xml:space="preserve">deep vein </w:t>
      </w:r>
      <w:r w:rsidR="00184237" w:rsidRPr="00904E7F">
        <w:t>thrombosis,</w:t>
      </w:r>
      <w:r w:rsidR="00184237">
        <w:t xml:space="preserve"> </w:t>
      </w:r>
      <w:r w:rsidRPr="00904E7F">
        <w:t xml:space="preserve">and the subsequent </w:t>
      </w:r>
      <w:r>
        <w:t>two</w:t>
      </w:r>
      <w:r w:rsidRPr="00904E7F">
        <w:t xml:space="preserve"> events </w:t>
      </w:r>
      <w:r w:rsidR="001C60F7">
        <w:t>were</w:t>
      </w:r>
      <w:r w:rsidR="00184237">
        <w:t xml:space="preserve"> </w:t>
      </w:r>
      <w:r w:rsidR="001C60F7">
        <w:t>p</w:t>
      </w:r>
      <w:r w:rsidRPr="00904E7F">
        <w:t>ulmonary embolism and median vein thrombosis</w:t>
      </w:r>
      <w:r w:rsidR="002B22AA">
        <w:t>.</w:t>
      </w:r>
    </w:p>
    <w:p w14:paraId="473090EA" w14:textId="602E9859" w:rsidR="00904E7F" w:rsidRPr="00904E7F" w:rsidRDefault="00904E7F" w:rsidP="00904E7F">
      <w:r w:rsidRPr="00904E7F">
        <w:t xml:space="preserve">All </w:t>
      </w:r>
      <w:r>
        <w:t>three</w:t>
      </w:r>
      <w:r w:rsidRPr="00904E7F">
        <w:t xml:space="preserve"> subjects had some risk factors for thromboembolic disease at </w:t>
      </w:r>
      <w:r>
        <w:t>B</w:t>
      </w:r>
      <w:r w:rsidRPr="00904E7F">
        <w:t xml:space="preserve">aseline and had been treated for breakthrough bleeds just before onset of the thromboembolic </w:t>
      </w:r>
      <w:r>
        <w:t>adverse event</w:t>
      </w:r>
      <w:r w:rsidRPr="00904E7F">
        <w:t xml:space="preserve">. In </w:t>
      </w:r>
      <w:r>
        <w:t>C</w:t>
      </w:r>
      <w:r w:rsidRPr="00904E7F">
        <w:t>ase</w:t>
      </w:r>
      <w:r>
        <w:t> </w:t>
      </w:r>
      <w:r w:rsidRPr="00904E7F">
        <w:t xml:space="preserve">2 and </w:t>
      </w:r>
      <w:r>
        <w:t>C</w:t>
      </w:r>
      <w:r w:rsidRPr="00904E7F">
        <w:t>ase 3, high doses or prolonged treatment had been administered.</w:t>
      </w:r>
    </w:p>
    <w:p w14:paraId="2D342CFD" w14:textId="5784B9F2" w:rsidR="00904E7F" w:rsidRPr="00904E7F" w:rsidRDefault="00904E7F" w:rsidP="00904E7F">
      <w:r w:rsidRPr="00904E7F">
        <w:t>Concizumab plasma concentrations were high in two subjects (</w:t>
      </w:r>
      <w:r>
        <w:t>C</w:t>
      </w:r>
      <w:r w:rsidRPr="00904E7F">
        <w:t xml:space="preserve">ase 1 and </w:t>
      </w:r>
      <w:r>
        <w:t xml:space="preserve">Case </w:t>
      </w:r>
      <w:r w:rsidRPr="00904E7F">
        <w:t xml:space="preserve">3) around the time of the </w:t>
      </w:r>
      <w:r>
        <w:t xml:space="preserve">adverse event. </w:t>
      </w:r>
      <w:r w:rsidRPr="00904E7F">
        <w:t>In these two subjects, free TFPI concentrations were below the limit of quantification.</w:t>
      </w:r>
    </w:p>
    <w:p w14:paraId="45AEA06E" w14:textId="71BF6B4F" w:rsidR="00904E7F" w:rsidRPr="00904E7F" w:rsidRDefault="00904E7F" w:rsidP="00904E7F">
      <w:r w:rsidRPr="00904E7F">
        <w:lastRenderedPageBreak/>
        <w:t>D-dimer levels were elevated in all three cases, and concentrations of prothrombin fragment</w:t>
      </w:r>
      <w:r>
        <w:t> </w:t>
      </w:r>
      <w:r w:rsidRPr="00904E7F">
        <w:t>1+2 were similarly so. There were no abnormalities in fibrinogen concentrations or antithrombin activity.</w:t>
      </w:r>
    </w:p>
    <w:p w14:paraId="574D707B" w14:textId="1BA595F4" w:rsidR="00904E7F" w:rsidRPr="00904E7F" w:rsidRDefault="00904E7F" w:rsidP="00904E7F">
      <w:r w:rsidRPr="00904E7F">
        <w:t>The following additional investigations were performed</w:t>
      </w:r>
      <w:r>
        <w:t>:</w:t>
      </w:r>
    </w:p>
    <w:p w14:paraId="7A1EA311" w14:textId="2A0ADEBF" w:rsidR="00676791" w:rsidRDefault="00904E7F" w:rsidP="00904E7F">
      <w:pPr>
        <w:pStyle w:val="Numberbullet0"/>
        <w:numPr>
          <w:ilvl w:val="0"/>
          <w:numId w:val="32"/>
        </w:numPr>
      </w:pPr>
      <w:r w:rsidRPr="00904E7F">
        <w:t xml:space="preserve">As no thromboembolic </w:t>
      </w:r>
      <w:r>
        <w:t>adverse event</w:t>
      </w:r>
      <w:r w:rsidRPr="00904E7F">
        <w:t xml:space="preserve">s were observed in the </w:t>
      </w:r>
      <w:r>
        <w:t>P</w:t>
      </w:r>
      <w:r w:rsidRPr="00904E7F">
        <w:t xml:space="preserve">hase </w:t>
      </w:r>
      <w:r>
        <w:t>II</w:t>
      </w:r>
      <w:r w:rsidRPr="00904E7F">
        <w:t xml:space="preserve"> studies, an analysis was conducted on the prevalence of risk factors at </w:t>
      </w:r>
      <w:r>
        <w:t>B</w:t>
      </w:r>
      <w:r w:rsidRPr="00904E7F">
        <w:t xml:space="preserve">aseline across the </w:t>
      </w:r>
      <w:r>
        <w:t>P</w:t>
      </w:r>
      <w:r w:rsidRPr="00904E7F">
        <w:t xml:space="preserve">hase </w:t>
      </w:r>
      <w:r>
        <w:t>II</w:t>
      </w:r>
      <w:r w:rsidRPr="00904E7F">
        <w:t xml:space="preserve"> and </w:t>
      </w:r>
      <w:r>
        <w:t>Phase III</w:t>
      </w:r>
      <w:r w:rsidRPr="00904E7F">
        <w:t xml:space="preserve"> studies. Two categories of risk factors were analysed</w:t>
      </w:r>
      <w:r>
        <w:t>,</w:t>
      </w:r>
      <w:r w:rsidRPr="00904E7F">
        <w:t xml:space="preserve"> cardiovascular risk factors and inflammatory risk factors. According to the analysis, risk factors at </w:t>
      </w:r>
      <w:r>
        <w:t>B</w:t>
      </w:r>
      <w:r w:rsidRPr="00904E7F">
        <w:t xml:space="preserve">aseline were not notably more common in the </w:t>
      </w:r>
      <w:r>
        <w:t>P</w:t>
      </w:r>
      <w:r w:rsidRPr="00904E7F">
        <w:t>hase</w:t>
      </w:r>
      <w:r>
        <w:t xml:space="preserve"> III</w:t>
      </w:r>
      <w:r w:rsidRPr="00904E7F">
        <w:t xml:space="preserve"> studies (</w:t>
      </w:r>
      <w:r>
        <w:fldChar w:fldCharType="begin"/>
      </w:r>
      <w:r>
        <w:instrText xml:space="preserve"> REF _Ref159833155 \h </w:instrText>
      </w:r>
      <w:r>
        <w:fldChar w:fldCharType="separate"/>
      </w:r>
      <w:r w:rsidR="001B5D20">
        <w:t xml:space="preserve">Table </w:t>
      </w:r>
      <w:r w:rsidR="001B5D20">
        <w:rPr>
          <w:noProof/>
        </w:rPr>
        <w:t>17</w:t>
      </w:r>
      <w:r>
        <w:fldChar w:fldCharType="end"/>
      </w:r>
      <w:r w:rsidRPr="00904E7F">
        <w:t>)</w:t>
      </w:r>
      <w:r w:rsidR="00676791">
        <w:t>.</w:t>
      </w:r>
    </w:p>
    <w:p w14:paraId="58857235" w14:textId="4A825D24" w:rsidR="00904E7F" w:rsidRDefault="00904E7F" w:rsidP="00904E7F">
      <w:pPr>
        <w:pStyle w:val="TableTitle"/>
      </w:pPr>
      <w:bookmarkStart w:id="120" w:name="_Ref159833155"/>
      <w:r>
        <w:t xml:space="preserve">Table </w:t>
      </w:r>
      <w:r w:rsidR="00572F9F">
        <w:fldChar w:fldCharType="begin"/>
      </w:r>
      <w:r w:rsidR="00572F9F">
        <w:instrText xml:space="preserve"> SEQ Table \* ARABIC </w:instrText>
      </w:r>
      <w:r w:rsidR="00572F9F">
        <w:fldChar w:fldCharType="separate"/>
      </w:r>
      <w:r w:rsidR="001B5D20">
        <w:rPr>
          <w:noProof/>
        </w:rPr>
        <w:t>17</w:t>
      </w:r>
      <w:r w:rsidR="00572F9F">
        <w:rPr>
          <w:noProof/>
        </w:rPr>
        <w:fldChar w:fldCharType="end"/>
      </w:r>
      <w:bookmarkEnd w:id="120"/>
      <w:r>
        <w:t>:</w:t>
      </w:r>
      <w:r w:rsidRPr="00904E7F">
        <w:t xml:space="preserve"> </w:t>
      </w:r>
      <w:r>
        <w:t>Cardiovascular and inflammatory risk factors at Baseline amongst patients who had been randomised to concizumab at time of treatment pause in the Phase II studies versus the Phase III studies</w:t>
      </w:r>
      <w:r w:rsidR="00572F9F">
        <w:fldChar w:fldCharType="begin"/>
      </w:r>
      <w:r w:rsidR="00572F9F">
        <w:instrText xml:space="preserve"> DOCVARIABLE vault_nd_91a6897d-0671-4ef3-ba7b-7984bae3e000 \* MERGEFORMA</w:instrText>
      </w:r>
      <w:r w:rsidR="00572F9F">
        <w:instrText xml:space="preserve">T </w:instrText>
      </w:r>
      <w:r w:rsidR="00572F9F">
        <w:fldChar w:fldCharType="separate"/>
      </w:r>
      <w:r w:rsidR="001B5D20">
        <w:t xml:space="preserve"> </w:t>
      </w:r>
      <w:r w:rsidR="00572F9F">
        <w:fldChar w:fldCharType="end"/>
      </w:r>
    </w:p>
    <w:p w14:paraId="6D7D492C" w14:textId="2A642233" w:rsidR="00904E7F" w:rsidRPr="00904E7F" w:rsidRDefault="00904E7F" w:rsidP="00572F9F">
      <w:r w:rsidRPr="00904E7F">
        <w:rPr>
          <w:noProof/>
        </w:rPr>
        <w:drawing>
          <wp:inline distT="0" distB="0" distL="0" distR="0" wp14:anchorId="25394C2A" wp14:editId="423D31E0">
            <wp:extent cx="5702300" cy="1851897"/>
            <wp:effectExtent l="0" t="0" r="0" b="0"/>
            <wp:docPr id="7" name="Picture 7" descr="Cardiovascular and inflammatory risk factors at Baseline amongst patients who had been randomised to concizumab at time of treatment pause in the Phase II studies versus the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rdiovascular and inflammatory risk factors at Baseline amongst patients who had been randomised to concizumab at time of treatment pause in the Phase II studies versus the Phase III stud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9244" cy="1857400"/>
                    </a:xfrm>
                    <a:prstGeom prst="rect">
                      <a:avLst/>
                    </a:prstGeom>
                    <a:noFill/>
                    <a:ln>
                      <a:noFill/>
                    </a:ln>
                  </pic:spPr>
                </pic:pic>
              </a:graphicData>
            </a:graphic>
          </wp:inline>
        </w:drawing>
      </w:r>
    </w:p>
    <w:p w14:paraId="127B3ADE" w14:textId="29C5087A" w:rsidR="00904E7F" w:rsidRDefault="00904E7F" w:rsidP="00904E7F">
      <w:pPr>
        <w:pStyle w:val="Numberbullet0"/>
      </w:pPr>
      <w:r>
        <w:t>Using pooled safety data from all four trials, the presence of risk factors at Baseline was not associated with an increased prevalence of adverse events, or increased severity of adverse events, compared to subjects without such risk factors.</w:t>
      </w:r>
    </w:p>
    <w:p w14:paraId="1C8E016F" w14:textId="43416ADC" w:rsidR="00904E7F" w:rsidRDefault="00904E7F" w:rsidP="00904E7F">
      <w:pPr>
        <w:pStyle w:val="Numberbullet0"/>
      </w:pPr>
      <w:r>
        <w:t xml:space="preserve">A series of preclinical studies were conducted examining the effects on thrombin generation of coadministration of concizumab with FVIII, FIX, </w:t>
      </w:r>
      <w:proofErr w:type="spellStart"/>
      <w:r>
        <w:t>rFVIIa</w:t>
      </w:r>
      <w:proofErr w:type="spellEnd"/>
      <w:r>
        <w:t xml:space="preserve"> or </w:t>
      </w:r>
      <w:proofErr w:type="spellStart"/>
      <w:r>
        <w:t>aPCC</w:t>
      </w:r>
      <w:proofErr w:type="spellEnd"/>
      <w:r>
        <w:t xml:space="preserve">. These studies demonstrated that the presence in plasma of concizumab together with any of these coagulation factors resulted in additive effects on thrombin generation. The investigators concluded that in a subject receiving concizumab, a 2-fold reduction in dose of FIX, FVIII or </w:t>
      </w:r>
      <w:proofErr w:type="spellStart"/>
      <w:r>
        <w:t>aPCC</w:t>
      </w:r>
      <w:proofErr w:type="spellEnd"/>
      <w:r>
        <w:t xml:space="preserve"> could be implemented to treat bleeding episodes without reducing efficacy.</w:t>
      </w:r>
    </w:p>
    <w:p w14:paraId="5833DCEC" w14:textId="77777777" w:rsidR="00676791" w:rsidRDefault="00904E7F" w:rsidP="00904E7F">
      <w:r w:rsidRPr="00904E7F">
        <w:t>The Delegate commented that dose reductions of this magnitude have not been tested clinically and are not being proposed by the sponsor</w:t>
      </w:r>
      <w:r w:rsidR="00676791">
        <w:t>.</w:t>
      </w:r>
    </w:p>
    <w:p w14:paraId="755E346C" w14:textId="0462AA82" w:rsidR="00904E7F" w:rsidRDefault="00904E7F">
      <w:pPr>
        <w:pStyle w:val="Numberbullet0"/>
      </w:pPr>
      <w:r>
        <w:t xml:space="preserve">Data from the </w:t>
      </w:r>
      <w:proofErr w:type="gramStart"/>
      <w:r>
        <w:t>two Phase II</w:t>
      </w:r>
      <w:proofErr w:type="gramEnd"/>
      <w:r>
        <w:t xml:space="preserve"> studies also indicated an additive effect on thrombin generation when concizumab was administered concurrently with </w:t>
      </w:r>
      <w:proofErr w:type="spellStart"/>
      <w:r>
        <w:t>rFVIIa</w:t>
      </w:r>
      <w:proofErr w:type="spellEnd"/>
      <w:r>
        <w:t xml:space="preserve"> (Study 4310) or FVIII (Study 4255).</w:t>
      </w:r>
    </w:p>
    <w:p w14:paraId="21AFA47E" w14:textId="497E433B" w:rsidR="00904E7F" w:rsidRDefault="00904E7F" w:rsidP="00904E7F">
      <w:pPr>
        <w:pStyle w:val="Heading7"/>
      </w:pPr>
      <w:r>
        <w:t>Coadministration of a bypassing agent in explorer4</w:t>
      </w:r>
      <w:r w:rsidR="00572F9F">
        <w:fldChar w:fldCharType="begin"/>
      </w:r>
      <w:r w:rsidR="00572F9F">
        <w:instrText xml:space="preserve"> DOCVARIABLE vault_nd_710a816a-a050-499c-88cc-0e76a996e8e2 \* MERGEFORMAT </w:instrText>
      </w:r>
      <w:r w:rsidR="00572F9F">
        <w:fldChar w:fldCharType="separate"/>
      </w:r>
      <w:r w:rsidR="001B5D20">
        <w:t xml:space="preserve"> </w:t>
      </w:r>
      <w:r w:rsidR="00572F9F">
        <w:fldChar w:fldCharType="end"/>
      </w:r>
    </w:p>
    <w:p w14:paraId="6A46390F" w14:textId="13994D29" w:rsidR="00904E7F" w:rsidRPr="00904E7F" w:rsidRDefault="00904E7F" w:rsidP="00904E7F">
      <w:r w:rsidRPr="00904E7F">
        <w:t>In explorer4, a sub</w:t>
      </w:r>
      <w:r>
        <w:t>-</w:t>
      </w:r>
      <w:r w:rsidRPr="00904E7F">
        <w:t xml:space="preserve">study was incorporated of the safety of treatment with </w:t>
      </w:r>
      <w:proofErr w:type="spellStart"/>
      <w:r w:rsidRPr="00904E7F">
        <w:t>rFVIIa</w:t>
      </w:r>
      <w:proofErr w:type="spellEnd"/>
      <w:r w:rsidRPr="00904E7F">
        <w:t xml:space="preserve"> in patients exposed to concizumab treatment. One week after commencing concizumab, all subjects were administered a single 90</w:t>
      </w:r>
      <w:r>
        <w:t> </w:t>
      </w:r>
      <w:r>
        <w:sym w:font="Symbol" w:char="F06D"/>
      </w:r>
      <w:r w:rsidRPr="00904E7F">
        <w:t xml:space="preserve">g/kg dose of </w:t>
      </w:r>
      <w:proofErr w:type="spellStart"/>
      <w:r w:rsidRPr="00904E7F">
        <w:t>rFVIIa</w:t>
      </w:r>
      <w:proofErr w:type="spellEnd"/>
      <w:r w:rsidRPr="00904E7F">
        <w:t>. The dose was administered in a non-bleeding state, at the trial site and under medical supervision.</w:t>
      </w:r>
    </w:p>
    <w:p w14:paraId="2307D2A3" w14:textId="1707E038" w:rsidR="00904E7F" w:rsidRPr="00904E7F" w:rsidRDefault="00904E7F" w:rsidP="00904E7F">
      <w:r w:rsidRPr="00904E7F">
        <w:t xml:space="preserve">The report stated that no </w:t>
      </w:r>
      <w:r>
        <w:t>adverse events</w:t>
      </w:r>
      <w:r w:rsidRPr="00904E7F">
        <w:t xml:space="preserve"> were reported within 24 hours of administering </w:t>
      </w:r>
      <w:proofErr w:type="spellStart"/>
      <w:r w:rsidRPr="00904E7F">
        <w:t>eptacog</w:t>
      </w:r>
      <w:proofErr w:type="spellEnd"/>
      <w:r w:rsidRPr="00904E7F">
        <w:t xml:space="preserve"> alfa (</w:t>
      </w:r>
      <w:proofErr w:type="spellStart"/>
      <w:r w:rsidRPr="00904E7F">
        <w:t>rFVIIa</w:t>
      </w:r>
      <w:proofErr w:type="spellEnd"/>
      <w:r w:rsidRPr="00904E7F">
        <w:t>) to concizumab</w:t>
      </w:r>
      <w:r>
        <w:t xml:space="preserve"> </w:t>
      </w:r>
      <w:r w:rsidRPr="00904E7F">
        <w:t xml:space="preserve">treated patients at the </w:t>
      </w:r>
      <w:proofErr w:type="gramStart"/>
      <w:r w:rsidRPr="00904E7F">
        <w:t>one week</w:t>
      </w:r>
      <w:proofErr w:type="gramEnd"/>
      <w:r w:rsidRPr="00904E7F">
        <w:t xml:space="preserve"> visit.</w:t>
      </w:r>
    </w:p>
    <w:p w14:paraId="7E28770D" w14:textId="42AD8D05" w:rsidR="00904E7F" w:rsidRPr="00904E7F" w:rsidRDefault="00904E7F" w:rsidP="00904E7F">
      <w:r w:rsidRPr="00904E7F">
        <w:t>The clinical relevance of this is unclear, given that testing of concizumab levels for the purpose of dose adjustment isn’t performed until 4 weeks after commencing dosing, and steady state is not reached for at least 16 weeks.</w:t>
      </w:r>
    </w:p>
    <w:p w14:paraId="716C24A2" w14:textId="12FAB58D" w:rsidR="00904E7F" w:rsidRDefault="00904E7F" w:rsidP="00904E7F">
      <w:pPr>
        <w:pStyle w:val="Heading7"/>
      </w:pPr>
      <w:r>
        <w:lastRenderedPageBreak/>
        <w:t>Other cardiac and vascular adverse events</w:t>
      </w:r>
      <w:r w:rsidR="00572F9F">
        <w:fldChar w:fldCharType="begin"/>
      </w:r>
      <w:r w:rsidR="00572F9F">
        <w:instrText xml:space="preserve"> DOCVARIABLE vault_nd_36bee3c3-5335-43a8-a451-</w:instrText>
      </w:r>
      <w:r w:rsidR="00572F9F">
        <w:instrText xml:space="preserve">630c0f1e5b2f \* MERGEFORMAT </w:instrText>
      </w:r>
      <w:r w:rsidR="00572F9F">
        <w:fldChar w:fldCharType="separate"/>
      </w:r>
      <w:r w:rsidR="001B5D20">
        <w:t xml:space="preserve"> </w:t>
      </w:r>
      <w:r w:rsidR="00572F9F">
        <w:fldChar w:fldCharType="end"/>
      </w:r>
    </w:p>
    <w:p w14:paraId="5CC63EE1" w14:textId="6FED2738" w:rsidR="00904E7F" w:rsidRPr="00904E7F" w:rsidRDefault="00904E7F" w:rsidP="00904E7F">
      <w:r w:rsidRPr="00904E7F">
        <w:t>In explorer7:</w:t>
      </w:r>
    </w:p>
    <w:p w14:paraId="3C672A76" w14:textId="75D23172" w:rsidR="00904E7F" w:rsidRPr="00904E7F" w:rsidRDefault="00904E7F" w:rsidP="00904E7F">
      <w:pPr>
        <w:pStyle w:val="ListBullet"/>
      </w:pPr>
      <w:r w:rsidRPr="00904E7F">
        <w:t xml:space="preserve">A fatal </w:t>
      </w:r>
      <w:r>
        <w:t xml:space="preserve">adverse event </w:t>
      </w:r>
      <w:r w:rsidRPr="00904E7F">
        <w:t>occurred in a patient who was treated with anti-coagulant therapy after suffering a major road trauma</w:t>
      </w:r>
      <w:r>
        <w:t>.</w:t>
      </w:r>
      <w:r w:rsidRPr="00904E7F">
        <w:t xml:space="preserve"> This death was possibly the result of a thromboembolic event.</w:t>
      </w:r>
    </w:p>
    <w:p w14:paraId="5CD4B9D9" w14:textId="358347B5" w:rsidR="00904E7F" w:rsidRPr="00904E7F" w:rsidRDefault="00904E7F" w:rsidP="00904E7F">
      <w:pPr>
        <w:pStyle w:val="ListBullet"/>
      </w:pPr>
      <w:r w:rsidRPr="00904E7F">
        <w:t>A partial thrombosis of an arteriovenous</w:t>
      </w:r>
      <w:r>
        <w:t xml:space="preserve"> </w:t>
      </w:r>
      <w:r w:rsidRPr="00904E7F">
        <w:t xml:space="preserve">shunt (forearm) occurred 15 days after discontinuing concizumab (due to the treatment pause). The subject had commenced treatment with </w:t>
      </w:r>
      <w:proofErr w:type="spellStart"/>
      <w:r w:rsidRPr="00904E7F">
        <w:t>rFVIIa</w:t>
      </w:r>
      <w:proofErr w:type="spellEnd"/>
      <w:r w:rsidRPr="00904E7F">
        <w:t xml:space="preserve"> two days before the event and had started </w:t>
      </w:r>
      <w:proofErr w:type="spellStart"/>
      <w:r w:rsidRPr="00904E7F">
        <w:t>emicizumab</w:t>
      </w:r>
      <w:proofErr w:type="spellEnd"/>
      <w:r w:rsidRPr="00904E7F">
        <w:t xml:space="preserve"> on the day of the event. Six days later the shunt became completely thrombosed. The event was assessed as non-serious and unlikely to be related to concizumab.</w:t>
      </w:r>
    </w:p>
    <w:p w14:paraId="2CB74497" w14:textId="0DFE2843" w:rsidR="00904E7F" w:rsidRPr="00904E7F" w:rsidRDefault="00904E7F">
      <w:pPr>
        <w:pStyle w:val="ListBullet"/>
        <w:rPr>
          <w:szCs w:val="22"/>
        </w:rPr>
      </w:pPr>
      <w:r>
        <w:t>In Study 3813 (pharmacology study), a healthy volunteer who received a single dose of concizumab (1000 </w:t>
      </w:r>
      <w:r>
        <w:sym w:font="Symbol" w:char="F06D"/>
      </w:r>
      <w:r>
        <w:t xml:space="preserve">g/kg SC) developed a moderate superficial thrombophlebitis in a vein on the medial aspect of </w:t>
      </w:r>
      <w:r w:rsidR="002B22AA">
        <w:t>the knee</w:t>
      </w:r>
      <w:r>
        <w:t>, 5 days after dosing. The diagnosis was confirmed on ultrasound scan.</w:t>
      </w:r>
    </w:p>
    <w:p w14:paraId="0DCF1B84" w14:textId="181A513A" w:rsidR="00904E7F" w:rsidRPr="00904E7F" w:rsidRDefault="00904E7F" w:rsidP="00904E7F">
      <w:r w:rsidRPr="00904E7F">
        <w:t xml:space="preserve">Other events reported across explorer7, explorer5 and explorer4 were unremarkable, with hypertension the most common, occurring in </w:t>
      </w:r>
      <w:r>
        <w:t>four</w:t>
      </w:r>
      <w:r w:rsidRPr="00904E7F">
        <w:t xml:space="preserve"> patients in explorer7 (3%).</w:t>
      </w:r>
    </w:p>
    <w:p w14:paraId="5D5F5571" w14:textId="0967D767" w:rsidR="00904E7F" w:rsidRDefault="00904E7F" w:rsidP="00904E7F">
      <w:pPr>
        <w:pStyle w:val="Heading6"/>
      </w:pPr>
      <w:r>
        <w:t>Hypersensitivity</w:t>
      </w:r>
      <w:r w:rsidR="00572F9F">
        <w:fldChar w:fldCharType="begin"/>
      </w:r>
      <w:r w:rsidR="00572F9F">
        <w:instrText xml:space="preserve"> DOCVARIABLE vault_nd_04137fce-5560-4bc1-b382-95b40347fd1f \* MERGEFORMAT </w:instrText>
      </w:r>
      <w:r w:rsidR="00572F9F">
        <w:fldChar w:fldCharType="separate"/>
      </w:r>
      <w:r w:rsidR="001B5D20">
        <w:t xml:space="preserve"> </w:t>
      </w:r>
      <w:r w:rsidR="00572F9F">
        <w:fldChar w:fldCharType="end"/>
      </w:r>
    </w:p>
    <w:p w14:paraId="2D5DBCA0" w14:textId="5F5E1669" w:rsidR="00904E7F" w:rsidRPr="00904E7F" w:rsidRDefault="00904E7F" w:rsidP="00904E7F">
      <w:r w:rsidRPr="00904E7F">
        <w:t xml:space="preserve">In explorer7, hypersensitivity was reported as an </w:t>
      </w:r>
      <w:r>
        <w:t xml:space="preserve">adverse event </w:t>
      </w:r>
      <w:r w:rsidRPr="00904E7F">
        <w:t xml:space="preserve">in </w:t>
      </w:r>
      <w:r>
        <w:t>three</w:t>
      </w:r>
      <w:r w:rsidRPr="00904E7F">
        <w:t xml:space="preserve"> concizumab</w:t>
      </w:r>
      <w:r>
        <w:t xml:space="preserve"> </w:t>
      </w:r>
      <w:r w:rsidRPr="00904E7F">
        <w:t xml:space="preserve">treated subjects (with a total of </w:t>
      </w:r>
      <w:r>
        <w:t>five</w:t>
      </w:r>
      <w:r w:rsidRPr="00904E7F">
        <w:t xml:space="preserve"> events), compared with 0 subjects in Arm 1. In two subjects (</w:t>
      </w:r>
      <w:r>
        <w:t xml:space="preserve">two </w:t>
      </w:r>
      <w:r w:rsidRPr="00904E7F">
        <w:t xml:space="preserve">events) the hypersensitivity </w:t>
      </w:r>
      <w:r>
        <w:t>adverse events</w:t>
      </w:r>
      <w:r w:rsidRPr="00904E7F">
        <w:t xml:space="preserve"> w</w:t>
      </w:r>
      <w:r>
        <w:t>ere</w:t>
      </w:r>
      <w:r w:rsidRPr="00904E7F">
        <w:t xml:space="preserve"> assessed as being related to concizumab.</w:t>
      </w:r>
    </w:p>
    <w:p w14:paraId="001A012C" w14:textId="2FE3B8F2" w:rsidR="00904E7F" w:rsidRPr="00904E7F" w:rsidRDefault="00904E7F" w:rsidP="00904E7F">
      <w:pPr>
        <w:pStyle w:val="ListBullet"/>
      </w:pPr>
      <w:r w:rsidRPr="00904E7F">
        <w:t xml:space="preserve">A subject developed an injection site rash with burning and itching on </w:t>
      </w:r>
      <w:r>
        <w:t>D</w:t>
      </w:r>
      <w:r w:rsidRPr="00904E7F">
        <w:t xml:space="preserve">ay 14 of treatment, which resolved after interruption of concizumab treatment. After recommencement of concizumab on </w:t>
      </w:r>
      <w:r>
        <w:t>D</w:t>
      </w:r>
      <w:r w:rsidRPr="00904E7F">
        <w:t xml:space="preserve">ay 17 the subject complained of feeling unwell, fatigue and headache and was diagnosed with hypersensitivity. Concizumab was permanently discontinued. The </w:t>
      </w:r>
      <w:r>
        <w:t xml:space="preserve">adverse event </w:t>
      </w:r>
      <w:r w:rsidRPr="00904E7F">
        <w:t xml:space="preserve">was assessed as moderate in severity, but not serious. The subject tested negative for </w:t>
      </w:r>
      <w:r>
        <w:t>anti-drug antibodies</w:t>
      </w:r>
      <w:r w:rsidRPr="00904E7F">
        <w:t>.</w:t>
      </w:r>
    </w:p>
    <w:p w14:paraId="51003B11" w14:textId="77777777" w:rsidR="00676791" w:rsidRDefault="00904E7F" w:rsidP="00904E7F">
      <w:pPr>
        <w:pStyle w:val="ListBullet"/>
      </w:pPr>
      <w:r w:rsidRPr="00904E7F">
        <w:t>A</w:t>
      </w:r>
      <w:r>
        <w:t xml:space="preserve"> </w:t>
      </w:r>
      <w:r w:rsidRPr="00904E7F">
        <w:t>subject experienced several injection site reactions in days leading up to the</w:t>
      </w:r>
      <w:r>
        <w:t xml:space="preserve"> </w:t>
      </w:r>
      <w:r w:rsidRPr="00904E7F">
        <w:t>hypersensitivity</w:t>
      </w:r>
      <w:r>
        <w:t xml:space="preserve"> </w:t>
      </w:r>
      <w:r w:rsidRPr="00904E7F">
        <w:t xml:space="preserve">event. Two days prior to the hypersensitivity event the subject experienced generalised itching (without a rash) 12 hours after concizumab. On the day of the </w:t>
      </w:r>
      <w:r>
        <w:t>adverse event</w:t>
      </w:r>
      <w:r w:rsidRPr="00904E7F">
        <w:t xml:space="preserve"> the subject experienced a skin rash with generalised erythema and pruritus, a dry cough and abdominal pain. The subject was hospitalised and treated with antihistamines, </w:t>
      </w:r>
      <w:r>
        <w:t xml:space="preserve">intravenous </w:t>
      </w:r>
      <w:proofErr w:type="gramStart"/>
      <w:r w:rsidRPr="00904E7F">
        <w:t>steroids</w:t>
      </w:r>
      <w:proofErr w:type="gramEnd"/>
      <w:r w:rsidRPr="00904E7F">
        <w:t xml:space="preserve"> and </w:t>
      </w:r>
      <w:r>
        <w:t>intravenous</w:t>
      </w:r>
      <w:r w:rsidRPr="00904E7F">
        <w:t xml:space="preserve"> fluids. The event was assessed as a serious </w:t>
      </w:r>
      <w:r>
        <w:t>adverse event</w:t>
      </w:r>
      <w:r w:rsidRPr="00904E7F">
        <w:t xml:space="preserve"> and concizumab was temporarily discontinued. It was unclear from the </w:t>
      </w:r>
      <w:r>
        <w:t>adverse event</w:t>
      </w:r>
      <w:r w:rsidRPr="00904E7F">
        <w:t xml:space="preserve"> report whether concizumab treatment was ever resumed. The subject tested negative for </w:t>
      </w:r>
      <w:r>
        <w:t>anti-drug antibodies</w:t>
      </w:r>
      <w:r w:rsidR="00676791">
        <w:t>.</w:t>
      </w:r>
    </w:p>
    <w:p w14:paraId="0CB354AF" w14:textId="58AF1D34" w:rsidR="00904E7F" w:rsidRPr="00904E7F" w:rsidRDefault="00904E7F">
      <w:pPr>
        <w:pStyle w:val="ListBullet"/>
      </w:pPr>
      <w:r w:rsidRPr="00904E7F">
        <w:t>One further patient reported hypersensitivity (</w:t>
      </w:r>
      <w:r>
        <w:t>three</w:t>
      </w:r>
      <w:r w:rsidRPr="00904E7F">
        <w:t xml:space="preserve"> events) to concizumab in explorer5</w:t>
      </w:r>
      <w:r>
        <w:t xml:space="preserve">. </w:t>
      </w:r>
      <w:r w:rsidRPr="00904E7F">
        <w:t xml:space="preserve">The patient reported a generalised prickling sensation, upper airway swelling and tingling of the cheeks on </w:t>
      </w:r>
      <w:r>
        <w:t>D</w:t>
      </w:r>
      <w:r w:rsidRPr="00904E7F">
        <w:t>ays 2, 3 and 4 of concizumab treatment. The events were assessed as non</w:t>
      </w:r>
      <w:r>
        <w:noBreakHyphen/>
      </w:r>
      <w:r w:rsidRPr="00904E7F">
        <w:t>serious and mild, and they resolved without treatment. Although the events were assessed as being related to concizumab, treatment was continued.</w:t>
      </w:r>
    </w:p>
    <w:p w14:paraId="4BE3B25B" w14:textId="0CB884B6" w:rsidR="00904E7F" w:rsidRPr="00904E7F" w:rsidRDefault="00904E7F" w:rsidP="00904E7F">
      <w:r w:rsidRPr="00904E7F">
        <w:t>There were no reports of photosensitivity, erythema multiforme, Stevens Johnson syndrome, drug reaction with eosinophilia and systemic symptoms or toxic epidermal necrolysis.</w:t>
      </w:r>
    </w:p>
    <w:p w14:paraId="793E2ED6" w14:textId="19C428B0" w:rsidR="00904E7F" w:rsidRDefault="00904E7F" w:rsidP="00904E7F">
      <w:pPr>
        <w:pStyle w:val="Heading6"/>
      </w:pPr>
      <w:r>
        <w:t>Injection site reactions</w:t>
      </w:r>
      <w:r w:rsidR="00572F9F">
        <w:fldChar w:fldCharType="begin"/>
      </w:r>
      <w:r w:rsidR="00572F9F">
        <w:instrText xml:space="preserve"> DOCVARIABLE vault_nd_32c91fe7-8142</w:instrText>
      </w:r>
      <w:r w:rsidR="00572F9F">
        <w:instrText xml:space="preserve">-4f50-be8e-1f82ccbeb235 \* MERGEFORMAT </w:instrText>
      </w:r>
      <w:r w:rsidR="00572F9F">
        <w:fldChar w:fldCharType="separate"/>
      </w:r>
      <w:r w:rsidR="001B5D20">
        <w:t xml:space="preserve"> </w:t>
      </w:r>
      <w:r w:rsidR="00572F9F">
        <w:fldChar w:fldCharType="end"/>
      </w:r>
    </w:p>
    <w:p w14:paraId="6197C984" w14:textId="709B6710" w:rsidR="00904E7F" w:rsidRPr="00904E7F" w:rsidRDefault="00904E7F" w:rsidP="00904E7F">
      <w:r w:rsidRPr="00904E7F">
        <w:t xml:space="preserve">Injection site reactions occurred in around 20% of patients in explorer7, most commonly erythema, bruising, urticaria, haematoma or haemorrhage. There were 45 mild events, </w:t>
      </w:r>
      <w:r>
        <w:t xml:space="preserve">three </w:t>
      </w:r>
      <w:r w:rsidRPr="00904E7F">
        <w:t>moderate events and no events that were severe or serious.</w:t>
      </w:r>
    </w:p>
    <w:p w14:paraId="171ABDDF" w14:textId="14CDB658" w:rsidR="00904E7F" w:rsidRPr="00904E7F" w:rsidRDefault="00904E7F" w:rsidP="00904E7F">
      <w:r w:rsidRPr="00904E7F">
        <w:lastRenderedPageBreak/>
        <w:t>Similarly, 24% of patients who received concizumab in explorer4 and 44% of patients who received concizumab in explorer5 reported a mild injection site reaction.</w:t>
      </w:r>
    </w:p>
    <w:p w14:paraId="77F2E395" w14:textId="2E1E4FF8" w:rsidR="00904E7F" w:rsidRDefault="00904E7F" w:rsidP="00904E7F">
      <w:pPr>
        <w:pStyle w:val="Heading5"/>
      </w:pPr>
      <w:r>
        <w:t>Immunogenicity</w:t>
      </w:r>
      <w:r w:rsidR="00572F9F">
        <w:fldChar w:fldCharType="begin"/>
      </w:r>
      <w:r w:rsidR="00572F9F">
        <w:instrText xml:space="preserve"> DOCVARIABLE vault_nd_201fb71d-bba4-470a-a91b-d34dea942970 \* MERGEFORMAT </w:instrText>
      </w:r>
      <w:r w:rsidR="00572F9F">
        <w:fldChar w:fldCharType="separate"/>
      </w:r>
      <w:r w:rsidR="001B5D20">
        <w:t xml:space="preserve"> </w:t>
      </w:r>
      <w:r w:rsidR="00572F9F">
        <w:fldChar w:fldCharType="end"/>
      </w:r>
    </w:p>
    <w:p w14:paraId="3C11C796" w14:textId="73FCDA77" w:rsidR="00904E7F" w:rsidRPr="002523A3" w:rsidRDefault="00904E7F" w:rsidP="002523A3">
      <w:r w:rsidRPr="002523A3">
        <w:t xml:space="preserve">No anti-drug antibodies were detected in healthy volunteers in the first three </w:t>
      </w:r>
      <w:r w:rsidR="002523A3">
        <w:t>P</w:t>
      </w:r>
      <w:r w:rsidRPr="002523A3">
        <w:t xml:space="preserve">hase </w:t>
      </w:r>
      <w:r w:rsidR="002523A3">
        <w:t xml:space="preserve">I </w:t>
      </w:r>
      <w:r w:rsidRPr="002523A3">
        <w:t>clinical pharmacology studies (</w:t>
      </w:r>
      <w:r w:rsidR="002523A3">
        <w:t xml:space="preserve">Studies </w:t>
      </w:r>
      <w:r w:rsidRPr="002523A3">
        <w:t>3813, 3981 and 3986).</w:t>
      </w:r>
    </w:p>
    <w:p w14:paraId="11229418" w14:textId="612E28B9" w:rsidR="00904E7F" w:rsidRPr="002523A3" w:rsidRDefault="00904E7F" w:rsidP="002523A3">
      <w:r w:rsidRPr="002523A3">
        <w:t xml:space="preserve">Immunogenicity was analysed across the four submitted interventional clinical studies in patients with haemophilia: </w:t>
      </w:r>
      <w:r w:rsidR="002523A3">
        <w:t>S</w:t>
      </w:r>
      <w:r w:rsidRPr="002523A3">
        <w:t>tud</w:t>
      </w:r>
      <w:r w:rsidR="002523A3">
        <w:t>y</w:t>
      </w:r>
      <w:r w:rsidRPr="002523A3">
        <w:t xml:space="preserve"> 4159 (</w:t>
      </w:r>
      <w:r w:rsidR="002523A3">
        <w:t>P</w:t>
      </w:r>
      <w:r w:rsidRPr="002523A3">
        <w:t xml:space="preserve">hase </w:t>
      </w:r>
      <w:r w:rsidR="002523A3">
        <w:t>I</w:t>
      </w:r>
      <w:r w:rsidRPr="002523A3">
        <w:t>; explorer3),</w:t>
      </w:r>
      <w:r w:rsidR="002523A3">
        <w:t xml:space="preserve"> Study</w:t>
      </w:r>
      <w:r w:rsidRPr="002523A3">
        <w:t xml:space="preserve"> 4310 (</w:t>
      </w:r>
      <w:r w:rsidR="002523A3">
        <w:t>P</w:t>
      </w:r>
      <w:r w:rsidRPr="002523A3">
        <w:t xml:space="preserve">hase </w:t>
      </w:r>
      <w:r w:rsidR="002523A3">
        <w:t>II</w:t>
      </w:r>
      <w:r w:rsidRPr="002523A3">
        <w:t xml:space="preserve">; explorer4), </w:t>
      </w:r>
      <w:r w:rsidR="002523A3">
        <w:t xml:space="preserve">Study </w:t>
      </w:r>
      <w:r w:rsidRPr="002523A3">
        <w:t>4255 (</w:t>
      </w:r>
      <w:r w:rsidR="002523A3">
        <w:t>P</w:t>
      </w:r>
      <w:r w:rsidRPr="002523A3">
        <w:t xml:space="preserve">hase </w:t>
      </w:r>
      <w:r w:rsidR="002523A3">
        <w:t>II</w:t>
      </w:r>
      <w:r w:rsidRPr="002523A3">
        <w:t xml:space="preserve">; explorer5) and </w:t>
      </w:r>
      <w:r w:rsidR="002523A3">
        <w:t xml:space="preserve">Study </w:t>
      </w:r>
      <w:r w:rsidRPr="002523A3">
        <w:t>4311 (</w:t>
      </w:r>
      <w:r w:rsidR="002523A3">
        <w:t>P</w:t>
      </w:r>
      <w:r w:rsidRPr="002523A3">
        <w:t xml:space="preserve">hase </w:t>
      </w:r>
      <w:r w:rsidR="002523A3">
        <w:t>III</w:t>
      </w:r>
      <w:r w:rsidRPr="002523A3">
        <w:t>; explorer7).</w:t>
      </w:r>
    </w:p>
    <w:p w14:paraId="0336243D" w14:textId="77777777" w:rsidR="00676791" w:rsidRDefault="00904E7F" w:rsidP="002523A3">
      <w:r w:rsidRPr="002523A3">
        <w:t xml:space="preserve">Blood samples were tested for </w:t>
      </w:r>
      <w:r w:rsidR="002523A3">
        <w:t>anti-drug antibodies</w:t>
      </w:r>
      <w:r w:rsidRPr="002523A3">
        <w:t xml:space="preserve"> and neutralising antibodies, as well as for whether antibodies had specificity against the </w:t>
      </w:r>
      <w:r w:rsidR="002523A3">
        <w:t>c</w:t>
      </w:r>
      <w:r w:rsidR="002523A3" w:rsidRPr="002523A3">
        <w:t>omplementarity</w:t>
      </w:r>
      <w:r w:rsidR="002523A3">
        <w:t xml:space="preserve"> </w:t>
      </w:r>
      <w:r w:rsidR="002523A3" w:rsidRPr="002523A3">
        <w:t xml:space="preserve">determining </w:t>
      </w:r>
      <w:r w:rsidRPr="002523A3">
        <w:t>region</w:t>
      </w:r>
      <w:r w:rsidR="002523A3">
        <w:t xml:space="preserve"> </w:t>
      </w:r>
      <w:r w:rsidRPr="002523A3">
        <w:t>of concizumab or the S241P mutation</w:t>
      </w:r>
      <w:r w:rsidR="00676791">
        <w:t>.</w:t>
      </w:r>
    </w:p>
    <w:p w14:paraId="45CE5C03" w14:textId="10E6D997" w:rsidR="00904E7F" w:rsidRPr="002523A3" w:rsidRDefault="00904E7F" w:rsidP="002523A3">
      <w:r w:rsidRPr="002523A3">
        <w:t xml:space="preserve">The kinetics of </w:t>
      </w:r>
      <w:r w:rsidR="00676791">
        <w:t>anti-drug antibodies</w:t>
      </w:r>
      <w:r w:rsidRPr="002523A3">
        <w:t xml:space="preserve"> were categorised as follows:</w:t>
      </w:r>
    </w:p>
    <w:p w14:paraId="18ACC1EC" w14:textId="7A3E56B0" w:rsidR="00904E7F" w:rsidRPr="002523A3" w:rsidRDefault="00904E7F" w:rsidP="002523A3">
      <w:pPr>
        <w:pStyle w:val="ListBullet"/>
      </w:pPr>
      <w:r w:rsidRPr="002523A3">
        <w:t xml:space="preserve">Transient </w:t>
      </w:r>
      <w:r w:rsidR="002523A3">
        <w:t>anti-drug antibodies</w:t>
      </w:r>
      <w:r w:rsidRPr="002523A3">
        <w:t xml:space="preserve"> for 24 weeks</w:t>
      </w:r>
      <w:r w:rsidR="002523A3">
        <w:t xml:space="preserve"> or less</w:t>
      </w:r>
      <w:r w:rsidRPr="002523A3">
        <w:t xml:space="preserve">: last sample was </w:t>
      </w:r>
      <w:r w:rsidR="002523A3">
        <w:t>anti-drug antibody n</w:t>
      </w:r>
      <w:r w:rsidRPr="002523A3">
        <w:t xml:space="preserve">egative, and first and last </w:t>
      </w:r>
      <w:r w:rsidR="002523A3">
        <w:t xml:space="preserve">anti-drug antibody </w:t>
      </w:r>
      <w:r w:rsidRPr="002523A3">
        <w:t>positive samples (irrespective of any negative samples in between) were 24 weeks</w:t>
      </w:r>
      <w:r w:rsidR="002523A3">
        <w:t xml:space="preserve"> or less</w:t>
      </w:r>
      <w:r w:rsidRPr="002523A3">
        <w:t xml:space="preserve"> apart.</w:t>
      </w:r>
    </w:p>
    <w:p w14:paraId="3698449D" w14:textId="15C4562B" w:rsidR="00904E7F" w:rsidRPr="002523A3" w:rsidRDefault="00904E7F" w:rsidP="002523A3">
      <w:pPr>
        <w:pStyle w:val="ListBullet"/>
      </w:pPr>
      <w:r w:rsidRPr="002523A3">
        <w:t xml:space="preserve">Transient </w:t>
      </w:r>
      <w:r w:rsidR="002523A3">
        <w:t>anti-drug antibodies</w:t>
      </w:r>
      <w:r w:rsidRPr="002523A3">
        <w:t xml:space="preserve"> for </w:t>
      </w:r>
      <w:r w:rsidR="002523A3">
        <w:t xml:space="preserve">greater than </w:t>
      </w:r>
      <w:r w:rsidRPr="002523A3">
        <w:t xml:space="preserve">24 weeks: last sample was </w:t>
      </w:r>
      <w:r w:rsidR="002523A3">
        <w:t xml:space="preserve">anti-drug antibody </w:t>
      </w:r>
      <w:r w:rsidRPr="002523A3">
        <w:t xml:space="preserve">negative, and first and last </w:t>
      </w:r>
      <w:r w:rsidR="002523A3">
        <w:t xml:space="preserve">anti-drug antibody </w:t>
      </w:r>
      <w:r w:rsidRPr="002523A3">
        <w:t xml:space="preserve">positive samples (irrespective of any negative samples in between) were </w:t>
      </w:r>
      <w:r w:rsidR="002523A3">
        <w:t xml:space="preserve">greater than </w:t>
      </w:r>
      <w:r w:rsidRPr="002523A3">
        <w:t>24 weeks apart.</w:t>
      </w:r>
    </w:p>
    <w:p w14:paraId="0A8D18A0" w14:textId="004640B3" w:rsidR="00904E7F" w:rsidRPr="002523A3" w:rsidRDefault="00904E7F" w:rsidP="002523A3">
      <w:pPr>
        <w:pStyle w:val="ListBullet"/>
      </w:pPr>
      <w:r w:rsidRPr="002523A3">
        <w:t xml:space="preserve">Persistent </w:t>
      </w:r>
      <w:r w:rsidR="002523A3">
        <w:t>anti-drug antibodies</w:t>
      </w:r>
      <w:r w:rsidR="002523A3" w:rsidRPr="002523A3">
        <w:t xml:space="preserve"> </w:t>
      </w:r>
      <w:r w:rsidRPr="002523A3">
        <w:t xml:space="preserve">for </w:t>
      </w:r>
      <w:r w:rsidR="002523A3">
        <w:t xml:space="preserve">greater than </w:t>
      </w:r>
      <w:r w:rsidRPr="002523A3">
        <w:t>24 weeks: last sample was</w:t>
      </w:r>
      <w:r w:rsidR="002523A3">
        <w:t xml:space="preserve"> anti-drug antibody </w:t>
      </w:r>
      <w:r w:rsidRPr="002523A3">
        <w:t xml:space="preserve">positive, and first and last </w:t>
      </w:r>
      <w:r w:rsidR="002523A3">
        <w:t xml:space="preserve">anti-drug antibody </w:t>
      </w:r>
      <w:r w:rsidRPr="002523A3">
        <w:t xml:space="preserve">positive samples (irrespective of any negative samples in between) were </w:t>
      </w:r>
      <w:r w:rsidR="002523A3">
        <w:t>greater than 2</w:t>
      </w:r>
      <w:r w:rsidRPr="002523A3">
        <w:t>4 weeks apart.</w:t>
      </w:r>
    </w:p>
    <w:p w14:paraId="61F66094" w14:textId="452C7596" w:rsidR="00904E7F" w:rsidRPr="002523A3" w:rsidRDefault="00904E7F" w:rsidP="002523A3">
      <w:pPr>
        <w:pStyle w:val="ListBullet"/>
      </w:pPr>
      <w:r w:rsidRPr="002523A3">
        <w:t xml:space="preserve">Kinetics unknown category: last sample was </w:t>
      </w:r>
      <w:r w:rsidR="002523A3">
        <w:t xml:space="preserve">anti-drug antibody </w:t>
      </w:r>
      <w:r w:rsidRPr="002523A3">
        <w:t xml:space="preserve">positive, and first and last </w:t>
      </w:r>
      <w:r w:rsidR="002523A3">
        <w:t xml:space="preserve">anti-drug antibody </w:t>
      </w:r>
      <w:r w:rsidRPr="002523A3">
        <w:t xml:space="preserve">positive samples (irrespective of any negative samples in between) were </w:t>
      </w:r>
      <w:r w:rsidR="002523A3">
        <w:t xml:space="preserve">less than </w:t>
      </w:r>
      <w:r w:rsidRPr="002523A3">
        <w:t xml:space="preserve">24 weeks apart (seroconversion too proximal to data cut to conclude whether </w:t>
      </w:r>
      <w:r w:rsidR="002523A3">
        <w:t xml:space="preserve">anti-drug antibody </w:t>
      </w:r>
      <w:r w:rsidRPr="002523A3">
        <w:t>response was persistent and whether it was more or less than 24 weeks</w:t>
      </w:r>
      <w:r w:rsidR="002523A3">
        <w:t xml:space="preserve"> </w:t>
      </w:r>
      <w:r w:rsidRPr="002523A3">
        <w:t>duration)</w:t>
      </w:r>
      <w:r w:rsidR="002523A3">
        <w:t>.</w:t>
      </w:r>
    </w:p>
    <w:p w14:paraId="1CC54E1E" w14:textId="451CD4C8" w:rsidR="00904E7F" w:rsidRPr="002523A3" w:rsidRDefault="00904E7F" w:rsidP="002523A3">
      <w:r w:rsidRPr="002523A3">
        <w:t xml:space="preserve">Out of the 185 patients in this integrated analysis, 47 (25%) were </w:t>
      </w:r>
      <w:r w:rsidR="002523A3">
        <w:t xml:space="preserve">anti-drug antibody </w:t>
      </w:r>
      <w:r w:rsidRPr="002523A3">
        <w:t xml:space="preserve">positive and 12 (7%) had </w:t>
      </w:r>
      <w:r w:rsidR="002523A3">
        <w:t>neutralising antibodies</w:t>
      </w:r>
      <w:r w:rsidRPr="002523A3">
        <w:t xml:space="preserve">. All </w:t>
      </w:r>
      <w:r w:rsidR="002523A3">
        <w:t xml:space="preserve">anti-drug antibodies </w:t>
      </w:r>
      <w:r w:rsidRPr="002523A3">
        <w:t>were treatment</w:t>
      </w:r>
      <w:r w:rsidR="002523A3">
        <w:t xml:space="preserve"> </w:t>
      </w:r>
      <w:r w:rsidRPr="002523A3">
        <w:t>induced, with seroconversion occurring from around 12 weeks after first dose.</w:t>
      </w:r>
    </w:p>
    <w:p w14:paraId="0C95A10E" w14:textId="77777777" w:rsidR="00676791" w:rsidRDefault="00904E7F" w:rsidP="002523A3">
      <w:r w:rsidRPr="002523A3">
        <w:t>Most were low level titres (96%</w:t>
      </w:r>
      <w:proofErr w:type="gramStart"/>
      <w:r w:rsidRPr="002523A3">
        <w:t>)</w:t>
      </w:r>
      <w:proofErr w:type="gramEnd"/>
      <w:r w:rsidRPr="002523A3">
        <w:t xml:space="preserve"> but one patient had a medium and one had a high level titre</w:t>
      </w:r>
      <w:r w:rsidR="00676791">
        <w:t>.</w:t>
      </w:r>
    </w:p>
    <w:p w14:paraId="7185D9B3" w14:textId="4F18FC58" w:rsidR="00904E7F" w:rsidRPr="002523A3" w:rsidRDefault="00904E7F" w:rsidP="002523A3">
      <w:r w:rsidRPr="002523A3">
        <w:t xml:space="preserve">Half of </w:t>
      </w:r>
      <w:r w:rsidR="002523A3">
        <w:t>the anti-drug antibodies</w:t>
      </w:r>
      <w:r w:rsidRPr="002523A3">
        <w:t xml:space="preserve"> were transient (36% lasting </w:t>
      </w:r>
      <w:r w:rsidR="002523A3">
        <w:t xml:space="preserve">less than </w:t>
      </w:r>
      <w:r w:rsidRPr="002523A3">
        <w:t xml:space="preserve">24 weeks and 17% lasting longer) whilst 11% of </w:t>
      </w:r>
      <w:r w:rsidR="002523A3">
        <w:t xml:space="preserve">anti-drug antibody </w:t>
      </w:r>
      <w:r w:rsidRPr="002523A3">
        <w:t xml:space="preserve">cases were persistent. The remaining </w:t>
      </w:r>
      <w:r w:rsidR="002523A3">
        <w:t xml:space="preserve">approximate </w:t>
      </w:r>
      <w:r w:rsidRPr="002523A3">
        <w:t>third (36%) were persistent at final cut-off but hadn’t been observed for longer than 24 weeks so were considered ‘unknown</w:t>
      </w:r>
      <w:r w:rsidR="002523A3">
        <w:t>’.</w:t>
      </w:r>
    </w:p>
    <w:p w14:paraId="0018A3A4" w14:textId="5C759C41" w:rsidR="00904E7F" w:rsidRPr="002523A3" w:rsidRDefault="00904E7F" w:rsidP="002523A3">
      <w:r w:rsidRPr="002523A3">
        <w:t xml:space="preserve">Most subjects with </w:t>
      </w:r>
      <w:r w:rsidR="002523A3">
        <w:t xml:space="preserve">anti-drug antibodies </w:t>
      </w:r>
      <w:r w:rsidRPr="002523A3">
        <w:t xml:space="preserve">tested positive for antibodies against the </w:t>
      </w:r>
      <w:r w:rsidR="002523A3">
        <w:t xml:space="preserve">complementarity determining </w:t>
      </w:r>
      <w:r w:rsidRPr="002523A3">
        <w:t>region of concizumab. No subjects tested positive for antibodies against the S241P mutation</w:t>
      </w:r>
      <w:r w:rsidR="002523A3">
        <w:t>.</w:t>
      </w:r>
    </w:p>
    <w:p w14:paraId="6BCC4CC3" w14:textId="019404C2" w:rsidR="00904E7F" w:rsidRPr="002523A3" w:rsidRDefault="00904E7F" w:rsidP="002523A3">
      <w:r w:rsidRPr="002523A3">
        <w:t xml:space="preserve">Rates were similar between </w:t>
      </w:r>
      <w:proofErr w:type="spellStart"/>
      <w:r w:rsidRPr="002523A3">
        <w:t>HAwI</w:t>
      </w:r>
      <w:proofErr w:type="spellEnd"/>
      <w:r w:rsidRPr="002523A3">
        <w:t xml:space="preserve"> and </w:t>
      </w:r>
      <w:proofErr w:type="spellStart"/>
      <w:r w:rsidRPr="002523A3">
        <w:t>HBwI</w:t>
      </w:r>
      <w:proofErr w:type="spellEnd"/>
      <w:r w:rsidRPr="002523A3">
        <w:t>, and between adolescent and adult subjects (</w:t>
      </w:r>
      <w:r w:rsidR="002523A3">
        <w:t>anti</w:t>
      </w:r>
      <w:r w:rsidR="002523A3">
        <w:noBreakHyphen/>
        <w:t xml:space="preserve">drug antibodies </w:t>
      </w:r>
      <w:r w:rsidRPr="002523A3">
        <w:t xml:space="preserve">36% </w:t>
      </w:r>
      <w:r w:rsidR="002523A3">
        <w:t>versus</w:t>
      </w:r>
      <w:r w:rsidRPr="002523A3">
        <w:t xml:space="preserve"> 22%, and </w:t>
      </w:r>
      <w:r w:rsidR="002523A3">
        <w:t xml:space="preserve">neutralising antibodies </w:t>
      </w:r>
      <w:r w:rsidRPr="002523A3">
        <w:t xml:space="preserve">12% </w:t>
      </w:r>
      <w:r w:rsidR="002523A3">
        <w:t>versus</w:t>
      </w:r>
      <w:r w:rsidRPr="002523A3">
        <w:t xml:space="preserve"> 5%, respectively).</w:t>
      </w:r>
    </w:p>
    <w:p w14:paraId="17A9D3D9" w14:textId="0540CD88" w:rsidR="00904E7F" w:rsidRPr="002523A3" w:rsidRDefault="00904E7F" w:rsidP="002523A3">
      <w:r w:rsidRPr="002523A3">
        <w:t xml:space="preserve">In general, the presence of </w:t>
      </w:r>
      <w:r w:rsidR="002523A3">
        <w:t xml:space="preserve">anti-drug antibodies </w:t>
      </w:r>
      <w:r w:rsidRPr="002523A3">
        <w:t xml:space="preserve">did not appear to affect concizumab PK, free TFPI, or the occurrence of bleeding events. However, one patient with </w:t>
      </w:r>
      <w:proofErr w:type="spellStart"/>
      <w:r w:rsidRPr="002523A3">
        <w:t>HBwI</w:t>
      </w:r>
      <w:proofErr w:type="spellEnd"/>
      <w:r w:rsidRPr="002523A3">
        <w:t xml:space="preserve"> in explorer4 (</w:t>
      </w:r>
      <w:r w:rsidR="002523A3">
        <w:t>S</w:t>
      </w:r>
      <w:r w:rsidRPr="002523A3">
        <w:t>tudy</w:t>
      </w:r>
      <w:r w:rsidR="002523A3">
        <w:t> </w:t>
      </w:r>
      <w:r w:rsidRPr="002523A3">
        <w:t xml:space="preserve">4310) developed high titre binding antibodies and neutralising antibodies. In this patient, inhibition of free TFPI appeared to be lost, as levels normalised. This was not accompanied by a </w:t>
      </w:r>
      <w:r w:rsidRPr="002523A3">
        <w:lastRenderedPageBreak/>
        <w:t>notable spike of bleeding episodes requiring treatment or immunogenicit</w:t>
      </w:r>
      <w:r w:rsidR="002523A3">
        <w:t xml:space="preserve">y </w:t>
      </w:r>
      <w:r w:rsidRPr="002523A3">
        <w:t xml:space="preserve">related </w:t>
      </w:r>
      <w:r w:rsidR="002523A3">
        <w:t>adverse events</w:t>
      </w:r>
      <w:r w:rsidRPr="002523A3">
        <w:t xml:space="preserve">, but the patient discontinued permanently in </w:t>
      </w:r>
      <w:r w:rsidR="002523A3">
        <w:t>W</w:t>
      </w:r>
      <w:r w:rsidRPr="002523A3">
        <w:t xml:space="preserve">eek 72 as no therapeutic effect was suspected due to restoration of free TFPI back to </w:t>
      </w:r>
      <w:r w:rsidR="002523A3">
        <w:t>B</w:t>
      </w:r>
      <w:r w:rsidRPr="002523A3">
        <w:t xml:space="preserve">aseline. </w:t>
      </w:r>
      <w:r w:rsidR="002523A3">
        <w:t xml:space="preserve">Pharmacokinetic </w:t>
      </w:r>
      <w:r w:rsidRPr="002523A3">
        <w:t xml:space="preserve">data in this subject were not available due to </w:t>
      </w:r>
      <w:r w:rsidR="002523A3">
        <w:t xml:space="preserve">anti-drug antibody </w:t>
      </w:r>
      <w:r w:rsidRPr="002523A3">
        <w:t>interference with the PK assay.</w:t>
      </w:r>
    </w:p>
    <w:p w14:paraId="6930DACF" w14:textId="6896AFF4" w:rsidR="00904E7F" w:rsidRPr="002523A3" w:rsidRDefault="00904E7F" w:rsidP="002523A3">
      <w:r w:rsidRPr="002523A3">
        <w:t xml:space="preserve">The incidence of injection site </w:t>
      </w:r>
      <w:r w:rsidR="002523A3">
        <w:t>adverse events</w:t>
      </w:r>
      <w:r w:rsidRPr="002523A3">
        <w:t xml:space="preserve"> was higher among </w:t>
      </w:r>
      <w:r w:rsidR="002523A3">
        <w:t xml:space="preserve">anti-drug antibody </w:t>
      </w:r>
      <w:r w:rsidRPr="002523A3">
        <w:t xml:space="preserve">positive patients with exposure time-adjusted rates of 0.6 per </w:t>
      </w:r>
      <w:r w:rsidR="002523A3">
        <w:t xml:space="preserve">patient years of exposure </w:t>
      </w:r>
      <w:r w:rsidRPr="002523A3">
        <w:t>compared to 0.4</w:t>
      </w:r>
      <w:r w:rsidR="002523A3">
        <w:t> </w:t>
      </w:r>
      <w:r w:rsidRPr="002523A3">
        <w:t xml:space="preserve">per </w:t>
      </w:r>
      <w:r w:rsidR="002523A3">
        <w:t>patient years of exposure</w:t>
      </w:r>
      <w:r w:rsidRPr="002523A3">
        <w:t xml:space="preserve"> for patients without </w:t>
      </w:r>
      <w:r w:rsidR="002523A3">
        <w:t>anti-drug antibodies</w:t>
      </w:r>
      <w:r w:rsidRPr="002523A3">
        <w:t xml:space="preserve">, however there was not a clear temporal association between increased rates of injection site </w:t>
      </w:r>
      <w:r w:rsidR="002523A3">
        <w:t>adverse events</w:t>
      </w:r>
      <w:r w:rsidRPr="002523A3">
        <w:t xml:space="preserve"> and periods of </w:t>
      </w:r>
      <w:r w:rsidR="002523A3">
        <w:t xml:space="preserve">anti-drug antibody </w:t>
      </w:r>
      <w:r w:rsidRPr="002523A3">
        <w:t>positivity. There was no clear increase in other hypersensitivity events.</w:t>
      </w:r>
    </w:p>
    <w:p w14:paraId="1806834D" w14:textId="77777777" w:rsidR="00676791" w:rsidRDefault="00904E7F" w:rsidP="002523A3">
      <w:r w:rsidRPr="002523A3">
        <w:t xml:space="preserve">In accordance with the explorer7 study protocol, </w:t>
      </w:r>
      <w:r w:rsidR="002523A3">
        <w:t>three</w:t>
      </w:r>
      <w:r w:rsidRPr="002523A3">
        <w:t xml:space="preserve"> patients were tested for </w:t>
      </w:r>
      <w:r w:rsidR="002523A3">
        <w:t xml:space="preserve">anti-drug antibodies </w:t>
      </w:r>
      <w:r w:rsidRPr="002523A3">
        <w:t xml:space="preserve">following a hypersensitivity </w:t>
      </w:r>
      <w:r w:rsidR="002523A3">
        <w:t>adverse event</w:t>
      </w:r>
      <w:r w:rsidRPr="002523A3">
        <w:t xml:space="preserve">. All </w:t>
      </w:r>
      <w:r w:rsidR="002523A3">
        <w:t>three</w:t>
      </w:r>
      <w:r w:rsidRPr="002523A3">
        <w:t xml:space="preserve"> were negative</w:t>
      </w:r>
      <w:r w:rsidR="00676791">
        <w:t>.</w:t>
      </w:r>
    </w:p>
    <w:p w14:paraId="50816376" w14:textId="63503B79" w:rsidR="00904E7F" w:rsidRPr="002523A3" w:rsidRDefault="00904E7F" w:rsidP="002523A3">
      <w:r w:rsidRPr="002523A3">
        <w:t>Amongst 10 patients who received concizumab under the individual patient use (physician</w:t>
      </w:r>
      <w:r w:rsidR="002523A3">
        <w:t xml:space="preserve"> </w:t>
      </w:r>
      <w:r w:rsidRPr="002523A3">
        <w:t xml:space="preserve">managed compassionate access) program, there was a second patient who developed </w:t>
      </w:r>
      <w:r w:rsidR="002523A3">
        <w:t xml:space="preserve">anti-drug antibodies </w:t>
      </w:r>
      <w:r w:rsidRPr="002523A3">
        <w:t xml:space="preserve">with </w:t>
      </w:r>
      <w:r w:rsidR="002523A3">
        <w:t xml:space="preserve">neutralising antibodies </w:t>
      </w:r>
      <w:r w:rsidRPr="002523A3">
        <w:t xml:space="preserve">in whom loss of effectiveness was reported. The development of </w:t>
      </w:r>
      <w:r w:rsidR="002523A3">
        <w:t xml:space="preserve">anti-drug antibodies </w:t>
      </w:r>
      <w:r w:rsidRPr="002523A3">
        <w:t>in this patient coincided with increased bleeding episodes.</w:t>
      </w:r>
    </w:p>
    <w:p w14:paraId="0ED183FB" w14:textId="7A0248BC" w:rsidR="00904E7F" w:rsidRPr="002523A3" w:rsidRDefault="00904E7F" w:rsidP="002523A3">
      <w:r w:rsidRPr="002523A3">
        <w:t xml:space="preserve">The two cases that appear to indicate loss of efficacy with the development of </w:t>
      </w:r>
      <w:r w:rsidR="002523A3">
        <w:t xml:space="preserve">anti-drug antibodies </w:t>
      </w:r>
      <w:r w:rsidRPr="002523A3">
        <w:t xml:space="preserve">must be reflected in the </w:t>
      </w:r>
      <w:r w:rsidR="002523A3">
        <w:t>P</w:t>
      </w:r>
      <w:r w:rsidRPr="002523A3">
        <w:t xml:space="preserve">roduct </w:t>
      </w:r>
      <w:r w:rsidR="002523A3">
        <w:t>I</w:t>
      </w:r>
      <w:r w:rsidRPr="002523A3">
        <w:t xml:space="preserve">nformation. The approximate rate </w:t>
      </w:r>
      <w:proofErr w:type="gramStart"/>
      <w:r w:rsidRPr="002523A3">
        <w:t>is considered to be</w:t>
      </w:r>
      <w:proofErr w:type="gramEnd"/>
      <w:r w:rsidRPr="002523A3">
        <w:t xml:space="preserve"> 1% based on the total number of patients with haemophilia treated with concizumab across explorer4, explorer5, explorer7 and under compassionate access (n</w:t>
      </w:r>
      <w:r w:rsidR="002523A3">
        <w:t> </w:t>
      </w:r>
      <w:r w:rsidRPr="002523A3">
        <w:t>=</w:t>
      </w:r>
      <w:r w:rsidR="002523A3">
        <w:t> </w:t>
      </w:r>
      <w:r w:rsidRPr="002523A3">
        <w:t>177).</w:t>
      </w:r>
    </w:p>
    <w:p w14:paraId="16C0ED0F" w14:textId="6CC224F7" w:rsidR="00904E7F" w:rsidRDefault="00904E7F" w:rsidP="002523A3">
      <w:pPr>
        <w:pStyle w:val="Heading5"/>
      </w:pPr>
      <w:r>
        <w:t>Surgery</w:t>
      </w:r>
      <w:r w:rsidR="00572F9F">
        <w:fldChar w:fldCharType="begin"/>
      </w:r>
      <w:r w:rsidR="00572F9F">
        <w:instrText xml:space="preserve"> DOCVARIABLE vault_nd_b531bc11-7c73-4e47-a194-dc73a2eb7edf \* MERGEFORMAT </w:instrText>
      </w:r>
      <w:r w:rsidR="00572F9F">
        <w:fldChar w:fldCharType="separate"/>
      </w:r>
      <w:r w:rsidR="001B5D20">
        <w:t xml:space="preserve"> </w:t>
      </w:r>
      <w:r w:rsidR="00572F9F">
        <w:fldChar w:fldCharType="end"/>
      </w:r>
    </w:p>
    <w:p w14:paraId="025306C2" w14:textId="22FA0EFC" w:rsidR="00904E7F" w:rsidRPr="002523A3" w:rsidRDefault="00904E7F" w:rsidP="002523A3">
      <w:r w:rsidRPr="002523A3">
        <w:t>Under the revised protocol following the treatment pause, major elective surgery was not permitted during the trial. If the need for non-elective major surgery arose, it was recommended that concizumab therapy should be interrupted.</w:t>
      </w:r>
    </w:p>
    <w:p w14:paraId="75DC454A" w14:textId="77777777" w:rsidR="00676791" w:rsidRDefault="00904E7F" w:rsidP="002523A3">
      <w:r w:rsidRPr="002523A3">
        <w:t>Minor surgical procedures were permitted. Concizumab therapy was to be continued during minor surgery</w:t>
      </w:r>
      <w:r w:rsidR="00676791">
        <w:t>.</w:t>
      </w:r>
    </w:p>
    <w:p w14:paraId="46AF5881" w14:textId="4CE7DB7E" w:rsidR="00904E7F" w:rsidRDefault="00904E7F" w:rsidP="002523A3">
      <w:pPr>
        <w:pStyle w:val="ListBullet"/>
      </w:pPr>
      <w:r>
        <w:t xml:space="preserve">In Arm 1, there were two minor surgeries performed in </w:t>
      </w:r>
      <w:r w:rsidR="002523A3">
        <w:t>one</w:t>
      </w:r>
      <w:r>
        <w:t xml:space="preserve"> subject.</w:t>
      </w:r>
    </w:p>
    <w:p w14:paraId="4FE3183E" w14:textId="28085533" w:rsidR="00904E7F" w:rsidRDefault="00904E7F" w:rsidP="002523A3">
      <w:pPr>
        <w:pStyle w:val="ListBullet"/>
      </w:pPr>
      <w:r>
        <w:t>In Arms 2</w:t>
      </w:r>
      <w:r w:rsidR="002523A3">
        <w:t xml:space="preserve"> to </w:t>
      </w:r>
      <w:r>
        <w:t xml:space="preserve">4, there were there were </w:t>
      </w:r>
      <w:r w:rsidR="002523A3">
        <w:t>eight</w:t>
      </w:r>
      <w:r>
        <w:t xml:space="preserve"> minor surgeries performed in </w:t>
      </w:r>
      <w:r w:rsidR="002523A3">
        <w:t xml:space="preserve">seven </w:t>
      </w:r>
      <w:r>
        <w:t>subjects.</w:t>
      </w:r>
    </w:p>
    <w:p w14:paraId="03F6FF4F" w14:textId="7AC2E3CB" w:rsidR="00904E7F" w:rsidRPr="002523A3" w:rsidRDefault="00904E7F" w:rsidP="002523A3">
      <w:r w:rsidRPr="002523A3">
        <w:t>According to the study report the number of surger</w:t>
      </w:r>
      <w:r w:rsidR="002523A3">
        <w:t xml:space="preserve">y </w:t>
      </w:r>
      <w:r w:rsidRPr="002523A3">
        <w:t>related bleeding episodes was low and all were classified as mild or moderate.</w:t>
      </w:r>
    </w:p>
    <w:p w14:paraId="3AE47FB5" w14:textId="0B40EF60" w:rsidR="00904E7F" w:rsidRPr="002523A3" w:rsidRDefault="00904E7F" w:rsidP="002523A3">
      <w:r w:rsidRPr="002523A3">
        <w:t xml:space="preserve">In the draft PI, the </w:t>
      </w:r>
      <w:r w:rsidR="002523A3">
        <w:t>s</w:t>
      </w:r>
      <w:r w:rsidRPr="002523A3">
        <w:t>ponsor recommends that concizumab treatment should be paused prior to major surgery and that no dosage adjustment is required in the event of minor surgery.</w:t>
      </w:r>
    </w:p>
    <w:p w14:paraId="41E8C612" w14:textId="79AE2D29" w:rsidR="00904E7F" w:rsidRPr="00904E7F" w:rsidRDefault="00904E7F" w:rsidP="002523A3">
      <w:pPr>
        <w:pStyle w:val="Heading4"/>
      </w:pPr>
      <w:bookmarkStart w:id="121" w:name="_Toc160786387"/>
      <w:r w:rsidRPr="00904E7F">
        <w:t>Paediatric patients</w:t>
      </w:r>
      <w:bookmarkEnd w:id="121"/>
      <w:r w:rsidR="0048603E">
        <w:fldChar w:fldCharType="begin"/>
      </w:r>
      <w:r w:rsidR="0048603E">
        <w:instrText xml:space="preserve"> DOCVARIABLE vault_nd_3c4f85f4-1c31-458b-9083-48763e0a425f \* MERGEFORMAT </w:instrText>
      </w:r>
      <w:r w:rsidR="0048603E">
        <w:fldChar w:fldCharType="separate"/>
      </w:r>
      <w:r w:rsidR="001B5D20">
        <w:t xml:space="preserve"> </w:t>
      </w:r>
      <w:r w:rsidR="0048603E">
        <w:fldChar w:fldCharType="end"/>
      </w:r>
    </w:p>
    <w:p w14:paraId="1A038133" w14:textId="6AFB7B5C" w:rsidR="00904E7F" w:rsidRPr="00904E7F" w:rsidRDefault="00904E7F" w:rsidP="002523A3">
      <w:r w:rsidRPr="00904E7F">
        <w:t>The pivotal efficacy and safety study (explorer7) included adolescent subjects (age</w:t>
      </w:r>
      <w:r w:rsidR="002523A3">
        <w:t xml:space="preserve"> </w:t>
      </w:r>
      <w:r w:rsidRPr="00904E7F">
        <w:t>12 years</w:t>
      </w:r>
      <w:r w:rsidR="002523A3">
        <w:t xml:space="preserve"> or older</w:t>
      </w:r>
      <w:r w:rsidRPr="00904E7F">
        <w:t xml:space="preserve">). There were no data submitted from paediatric subjects aged </w:t>
      </w:r>
      <w:r w:rsidR="002523A3">
        <w:t xml:space="preserve">less than </w:t>
      </w:r>
      <w:r w:rsidRPr="00904E7F">
        <w:t>12 years.</w:t>
      </w:r>
    </w:p>
    <w:p w14:paraId="31C7BACE" w14:textId="58B97EAC" w:rsidR="00904E7F" w:rsidRPr="002523A3" w:rsidRDefault="00904E7F" w:rsidP="002523A3">
      <w:r w:rsidRPr="002523A3">
        <w:t>The sponsor is conducting an ongoing open</w:t>
      </w:r>
      <w:r w:rsidR="002523A3">
        <w:t xml:space="preserve"> l</w:t>
      </w:r>
      <w:r w:rsidRPr="002523A3">
        <w:t xml:space="preserve">abel study investigating efficacy, </w:t>
      </w:r>
      <w:proofErr w:type="gramStart"/>
      <w:r w:rsidRPr="002523A3">
        <w:t>safety</w:t>
      </w:r>
      <w:proofErr w:type="gramEnd"/>
      <w:r w:rsidRPr="002523A3">
        <w:t xml:space="preserve"> and pharmacokinetics of concizumab prophylaxis in children aged below 12 years with haemophilia A or B with or without inhibitors (</w:t>
      </w:r>
      <w:r w:rsidR="002523A3">
        <w:t xml:space="preserve">Study </w:t>
      </w:r>
      <w:r w:rsidRPr="002523A3">
        <w:t xml:space="preserve">NN7415-4616 </w:t>
      </w:r>
      <w:r w:rsidR="002523A3">
        <w:t>(</w:t>
      </w:r>
      <w:r w:rsidRPr="002523A3">
        <w:t>explorer10</w:t>
      </w:r>
      <w:r w:rsidR="002523A3">
        <w:t>)</w:t>
      </w:r>
      <w:r w:rsidRPr="002523A3">
        <w:t>). The estimated primary completion date is December 2024.</w:t>
      </w:r>
      <w:r w:rsidR="002523A3">
        <w:rPr>
          <w:rStyle w:val="FootnoteReference"/>
        </w:rPr>
        <w:footnoteReference w:id="42"/>
      </w:r>
    </w:p>
    <w:p w14:paraId="4C87EE99" w14:textId="1BE6C519" w:rsidR="00904E7F" w:rsidRPr="00904E7F" w:rsidRDefault="00904E7F" w:rsidP="002523A3">
      <w:pPr>
        <w:pStyle w:val="Heading4"/>
      </w:pPr>
      <w:bookmarkStart w:id="122" w:name="_Toc160786388"/>
      <w:r w:rsidRPr="00904E7F">
        <w:lastRenderedPageBreak/>
        <w:t>Drug delivery device</w:t>
      </w:r>
      <w:bookmarkEnd w:id="122"/>
    </w:p>
    <w:p w14:paraId="4D88A234" w14:textId="31144734" w:rsidR="00904E7F" w:rsidRPr="00904E7F" w:rsidRDefault="00904E7F" w:rsidP="002523A3">
      <w:r w:rsidRPr="00904E7F">
        <w:t>In the pivotal study</w:t>
      </w:r>
      <w:r w:rsidR="002523A3">
        <w:t xml:space="preserve">, </w:t>
      </w:r>
      <w:r w:rsidRPr="00904E7F">
        <w:t>explorer7</w:t>
      </w:r>
      <w:r w:rsidR="002523A3">
        <w:t>,</w:t>
      </w:r>
      <w:r w:rsidRPr="00904E7F">
        <w:t xml:space="preserve"> a prefilled pen injector (PDS290) was used. The same </w:t>
      </w:r>
      <w:r w:rsidR="00CC0F0F">
        <w:t xml:space="preserve">type of </w:t>
      </w:r>
      <w:r w:rsidRPr="00904E7F">
        <w:t>device is proposed for the products to be registered. Concizumab was to be administered into the abdomen or the thigh. Subjects were trained how to use the device. For the PK/PD visits</w:t>
      </w:r>
      <w:r w:rsidR="002523A3">
        <w:t>,</w:t>
      </w:r>
      <w:r w:rsidRPr="00904E7F">
        <w:t xml:space="preserve"> visits</w:t>
      </w:r>
      <w:r w:rsidR="002523A3">
        <w:t> </w:t>
      </w:r>
      <w:r w:rsidRPr="00904E7F">
        <w:t>2a and 9a</w:t>
      </w:r>
      <w:r w:rsidR="002523A3">
        <w:t xml:space="preserve">, </w:t>
      </w:r>
      <w:r w:rsidRPr="00904E7F">
        <w:t>doses were administered in the clinic. All other doses were administered at home by the patient or the caregiver.</w:t>
      </w:r>
    </w:p>
    <w:p w14:paraId="0DC37F1C" w14:textId="09D596F4" w:rsidR="00904E7F" w:rsidRPr="00904E7F" w:rsidRDefault="00904E7F" w:rsidP="002523A3">
      <w:pPr>
        <w:pStyle w:val="Heading4"/>
      </w:pPr>
      <w:bookmarkStart w:id="123" w:name="_Toc160786389"/>
      <w:r w:rsidRPr="00904E7F">
        <w:t>Companion diagnostic considerations</w:t>
      </w:r>
      <w:bookmarkEnd w:id="123"/>
    </w:p>
    <w:p w14:paraId="1FEFFCF6" w14:textId="66EC34B1" w:rsidR="00904E7F" w:rsidRPr="002523A3" w:rsidRDefault="00904E7F" w:rsidP="002523A3">
      <w:r w:rsidRPr="002523A3">
        <w:t>The current TGA guidance on companion diagnostics indicates that</w:t>
      </w:r>
      <w:r w:rsidR="002523A3">
        <w:t xml:space="preserve"> </w:t>
      </w:r>
      <w:r w:rsidR="002523A3" w:rsidRPr="002523A3">
        <w:rPr>
          <w:i/>
          <w:iCs/>
        </w:rPr>
        <w:t>in vitro</w:t>
      </w:r>
      <w:r w:rsidR="002523A3" w:rsidRPr="002523A3">
        <w:t xml:space="preserve"> diagnostic</w:t>
      </w:r>
      <w:r w:rsidR="002523A3">
        <w:t>s</w:t>
      </w:r>
      <w:r w:rsidRPr="002523A3">
        <w:t xml:space="preserve"> that are intended to be used to monitor treatment with a therapeutic drug are generally not considered companion diagnostics. However, the legislated definition of companion diagnostic rests on whether the PI of the medicine indicates that the test is essential for the safe and effective use of that medicine. Guidance on the application of the legislation remains under development.</w:t>
      </w:r>
    </w:p>
    <w:p w14:paraId="54C82E27" w14:textId="10898328" w:rsidR="00904E7F" w:rsidRPr="002523A3" w:rsidRDefault="00904E7F" w:rsidP="002523A3">
      <w:r w:rsidRPr="002523A3">
        <w:t xml:space="preserve">The use of a concizumab serum level test is essential for its safe and effective use, to identify the most appropriate ongoing maintenance dose, as done in the pivotal trial. Many serum level tests (such as gentamicin levels) may be considered likely to be </w:t>
      </w:r>
      <w:r w:rsidR="002523A3">
        <w:t>‘</w:t>
      </w:r>
      <w:r w:rsidRPr="002523A3">
        <w:t>low risk</w:t>
      </w:r>
      <w:r w:rsidR="002523A3">
        <w:t>’</w:t>
      </w:r>
      <w:r w:rsidRPr="002523A3">
        <w:t xml:space="preserve"> and not needing regulation by TGA within the </w:t>
      </w:r>
      <w:r w:rsidR="002523A3">
        <w:t>companion diagnostic</w:t>
      </w:r>
      <w:r w:rsidRPr="002523A3">
        <w:t xml:space="preserve"> framework due to the existing extent of usage and standardisation across Australia (being a ‘mainstream’ or ‘core’ laboratory test with standardised reference panels and extensive experience of usage demonstrating clinically acceptable interchangeability).</w:t>
      </w:r>
    </w:p>
    <w:p w14:paraId="1E9F5E45" w14:textId="5AC2BA3C" w:rsidR="00904E7F" w:rsidRPr="002523A3" w:rsidRDefault="00904E7F" w:rsidP="002523A3">
      <w:r w:rsidRPr="002523A3">
        <w:t xml:space="preserve">In this instance, however, the test proposed for usage in testing related to the proposed medicine indication is novel and not established. It is therefore considered of adequate risk level to be considered within the TGA’s </w:t>
      </w:r>
      <w:r w:rsidR="002523A3">
        <w:t>companion diagnostic</w:t>
      </w:r>
      <w:r w:rsidRPr="002523A3">
        <w:t xml:space="preserve"> framework.</w:t>
      </w:r>
    </w:p>
    <w:p w14:paraId="62F03735" w14:textId="77777777" w:rsidR="00904E7F" w:rsidRPr="002523A3" w:rsidRDefault="00904E7F" w:rsidP="002523A3">
      <w:r w:rsidRPr="002523A3">
        <w:t xml:space="preserve">Review of companion testing will be conducted as a component evaluation and will consist of </w:t>
      </w:r>
    </w:p>
    <w:p w14:paraId="297CACFC" w14:textId="77777777" w:rsidR="00676791" w:rsidRDefault="00904E7F" w:rsidP="002523A3">
      <w:pPr>
        <w:pStyle w:val="Numberbullet0"/>
        <w:numPr>
          <w:ilvl w:val="0"/>
          <w:numId w:val="33"/>
        </w:numPr>
      </w:pPr>
      <w:r w:rsidRPr="002523A3">
        <w:t>an assessment of the analytical validity of the clinical trial assay</w:t>
      </w:r>
      <w:r w:rsidR="00676791">
        <w:t>.</w:t>
      </w:r>
    </w:p>
    <w:p w14:paraId="1D711948" w14:textId="1E5B23E4" w:rsidR="00904E7F" w:rsidRPr="002523A3" w:rsidRDefault="00904E7F" w:rsidP="002523A3">
      <w:pPr>
        <w:pStyle w:val="Numberbullet0"/>
      </w:pPr>
      <w:r w:rsidRPr="002523A3">
        <w:t xml:space="preserve">an assessment of the analytical validity of a </w:t>
      </w:r>
      <w:proofErr w:type="spellStart"/>
      <w:r w:rsidRPr="002523A3">
        <w:t>Randox</w:t>
      </w:r>
      <w:proofErr w:type="spellEnd"/>
      <w:r w:rsidRPr="002523A3">
        <w:t xml:space="preserve"> brand CE-marked assay that the </w:t>
      </w:r>
      <w:r w:rsidR="002523A3">
        <w:t>s</w:t>
      </w:r>
      <w:r w:rsidRPr="002523A3">
        <w:t>ponsor intends will allow Australian patients to use concizumab at the appropriate dose.</w:t>
      </w:r>
    </w:p>
    <w:p w14:paraId="16E3A85D" w14:textId="159AEFA7" w:rsidR="00904E7F" w:rsidRPr="002523A3" w:rsidRDefault="00904E7F" w:rsidP="002523A3">
      <w:pPr>
        <w:pStyle w:val="Numberbullet0"/>
      </w:pPr>
      <w:r w:rsidRPr="002523A3">
        <w:t xml:space="preserve">an assessment of the comparability of the </w:t>
      </w:r>
      <w:proofErr w:type="spellStart"/>
      <w:r w:rsidRPr="002523A3">
        <w:t>Randox</w:t>
      </w:r>
      <w:proofErr w:type="spellEnd"/>
      <w:r w:rsidRPr="002523A3">
        <w:t xml:space="preserve"> CE-marked assay with the </w:t>
      </w:r>
      <w:r w:rsidR="002523A3" w:rsidRPr="002523A3">
        <w:t>clinical trial assay</w:t>
      </w:r>
      <w:r w:rsidRPr="002523A3">
        <w:t>.</w:t>
      </w:r>
    </w:p>
    <w:p w14:paraId="36BEBD05" w14:textId="20576F44" w:rsidR="00904E7F" w:rsidRPr="00904E7F" w:rsidRDefault="00904E7F" w:rsidP="002523A3">
      <w:pPr>
        <w:pStyle w:val="Heading4"/>
      </w:pPr>
      <w:bookmarkStart w:id="124" w:name="_Toc160786390"/>
      <w:r w:rsidRPr="00904E7F">
        <w:t>Real world evidence</w:t>
      </w:r>
      <w:bookmarkEnd w:id="124"/>
    </w:p>
    <w:p w14:paraId="2951BF44" w14:textId="4E663C5C" w:rsidR="00904E7F" w:rsidRPr="002523A3" w:rsidRDefault="00904E7F" w:rsidP="002523A3">
      <w:r w:rsidRPr="002523A3">
        <w:t>Real world evidence was not included.</w:t>
      </w:r>
    </w:p>
    <w:p w14:paraId="2858B006" w14:textId="55543E4C" w:rsidR="00C22214" w:rsidRDefault="00C22214" w:rsidP="00C22214">
      <w:pPr>
        <w:pStyle w:val="Heading3"/>
        <w:rPr>
          <w:lang w:eastAsia="en-AU"/>
        </w:rPr>
      </w:pPr>
      <w:bookmarkStart w:id="125" w:name="_Toc103679298"/>
      <w:bookmarkStart w:id="126" w:name="_Toc160786391"/>
      <w:r>
        <w:rPr>
          <w:lang w:eastAsia="en-AU"/>
        </w:rPr>
        <w:t>Risk management plan</w:t>
      </w:r>
      <w:bookmarkEnd w:id="59"/>
      <w:bookmarkEnd w:id="125"/>
      <w:bookmarkEnd w:id="126"/>
    </w:p>
    <w:p w14:paraId="42609085" w14:textId="4A9F8521" w:rsidR="002523A3" w:rsidRPr="002523A3" w:rsidRDefault="002523A3" w:rsidP="002523A3">
      <w:bookmarkStart w:id="127" w:name="_Toc247691531"/>
      <w:bookmarkStart w:id="128" w:name="_Toc314842515"/>
      <w:r w:rsidRPr="00676791">
        <w:t>In support of this application, Novo Nordisk Pharmaceuticals Pty Ltd has submitted global risk management plan (RMP) version 1.0 (date 14 June 2022; data lock point (DLP) 10 Mar 2022) and Australia-specific annex (ASA) version 0.1 (9 August 2022). In response to the rolling</w:t>
      </w:r>
      <w:r w:rsidRPr="002523A3">
        <w:t xml:space="preserve"> questions sent to the sponsor on 19 January 2023, the sponsor provided the </w:t>
      </w:r>
      <w:r>
        <w:t>European Union (</w:t>
      </w:r>
      <w:r w:rsidRPr="002523A3">
        <w:t>EU</w:t>
      </w:r>
      <w:r>
        <w:t>)</w:t>
      </w:r>
      <w:r w:rsidRPr="002523A3">
        <w:t xml:space="preserve"> RMP version 0.1 (date 8 December 2022; DLP 30 August 2022). In response to the rolling questions sent to the sponsor on 1 March 2023, the sponsor has provided the ASA version 0.2 (date 23 March 2023).</w:t>
      </w:r>
    </w:p>
    <w:p w14:paraId="0D950474" w14:textId="77777777" w:rsidR="002523A3" w:rsidRPr="002523A3" w:rsidRDefault="002523A3" w:rsidP="002523A3">
      <w:r w:rsidRPr="002523A3">
        <w:t xml:space="preserve">The sponsor has submitted another Type A application through the standard pathway for concizumab (PM-2022-03459-1-6) for the indication of haemophilia A with FVIII inhibitors </w:t>
      </w:r>
      <w:r w:rsidRPr="002523A3">
        <w:lastRenderedPageBreak/>
        <w:t>(</w:t>
      </w:r>
      <w:proofErr w:type="spellStart"/>
      <w:r w:rsidRPr="002523A3">
        <w:t>HAwI</w:t>
      </w:r>
      <w:proofErr w:type="spellEnd"/>
      <w:r w:rsidRPr="002523A3">
        <w:t>), which is currently under evaluation. The sponsor has provided identical data to support both indications.</w:t>
      </w:r>
    </w:p>
    <w:p w14:paraId="39F3CD1D" w14:textId="20A355C4" w:rsidR="0072003B" w:rsidRPr="00BD5DBD"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1B5D20" w:rsidRPr="001B5D20">
        <w:rPr>
          <w:szCs w:val="22"/>
        </w:rPr>
        <w:t xml:space="preserve">Table </w:t>
      </w:r>
      <w:r w:rsidR="001B5D20" w:rsidRPr="001B5D20">
        <w:rPr>
          <w:noProof/>
          <w:szCs w:val="22"/>
        </w:rPr>
        <w:t>18</w:t>
      </w:r>
      <w:r w:rsidR="003B149C" w:rsidRPr="003B149C">
        <w:rPr>
          <w:szCs w:val="22"/>
        </w:rPr>
        <w:fldChar w:fldCharType="end"/>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life</w:t>
      </w:r>
      <w:r w:rsidR="002523A3">
        <w:rPr>
          <w:szCs w:val="22"/>
        </w:rPr>
        <w:t xml:space="preserve"> </w:t>
      </w:r>
      <w:r w:rsidR="0072003B" w:rsidRPr="00BD5DBD">
        <w:rPr>
          <w:szCs w:val="22"/>
        </w:rPr>
        <w:t>cycle, during both the pre-approval and post-approval phases.</w:t>
      </w:r>
    </w:p>
    <w:p w14:paraId="56B51A93" w14:textId="5BBACD9F" w:rsidR="006A277A" w:rsidRDefault="00C22214" w:rsidP="00C22214">
      <w:pPr>
        <w:pStyle w:val="TableTitle"/>
      </w:pPr>
      <w:bookmarkStart w:id="129" w:name="_Ref97629131"/>
      <w:r>
        <w:t xml:space="preserve">Table </w:t>
      </w:r>
      <w:r w:rsidR="00572F9F">
        <w:fldChar w:fldCharType="begin"/>
      </w:r>
      <w:r w:rsidR="00572F9F">
        <w:instrText xml:space="preserve"> SEQ Table \* ARABIC </w:instrText>
      </w:r>
      <w:r w:rsidR="00572F9F">
        <w:fldChar w:fldCharType="separate"/>
      </w:r>
      <w:r w:rsidR="001B5D20">
        <w:rPr>
          <w:noProof/>
        </w:rPr>
        <w:t>18</w:t>
      </w:r>
      <w:r w:rsidR="00572F9F">
        <w:rPr>
          <w:noProof/>
        </w:rPr>
        <w:fldChar w:fldCharType="end"/>
      </w:r>
      <w:bookmarkEnd w:id="129"/>
      <w:r>
        <w:t>: Summary of safety concerns</w:t>
      </w:r>
      <w:r w:rsidR="00572F9F">
        <w:fldChar w:fldCharType="begin"/>
      </w:r>
      <w:r w:rsidR="00572F9F">
        <w:instrText xml:space="preserve"> DOCVARIABLE vault_nd_45b7ecf1-b4f7-4796-9583-cfb58e8f60b3 \* MERGEFORMAT </w:instrText>
      </w:r>
      <w:r w:rsidR="00572F9F">
        <w:fldChar w:fldCharType="separate"/>
      </w:r>
      <w:r w:rsidR="001B5D20">
        <w:t xml:space="preserve"> </w:t>
      </w:r>
      <w:r w:rsidR="00572F9F">
        <w:fldChar w:fldCharType="end"/>
      </w:r>
    </w:p>
    <w:tbl>
      <w:tblPr>
        <w:tblStyle w:val="TableTGAblue2023"/>
        <w:tblW w:w="0" w:type="auto"/>
        <w:tblLook w:val="04A0" w:firstRow="1" w:lastRow="0" w:firstColumn="1" w:lastColumn="0" w:noHBand="0" w:noVBand="1"/>
      </w:tblPr>
      <w:tblGrid>
        <w:gridCol w:w="1329"/>
        <w:gridCol w:w="3581"/>
        <w:gridCol w:w="945"/>
        <w:gridCol w:w="1135"/>
        <w:gridCol w:w="935"/>
        <w:gridCol w:w="1135"/>
      </w:tblGrid>
      <w:tr w:rsidR="002523A3" w:rsidRPr="001C7F59" w14:paraId="5712AB0B" w14:textId="77777777" w:rsidTr="002523A3">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387" w:type="dxa"/>
            <w:gridSpan w:val="2"/>
            <w:vMerge w:val="restart"/>
          </w:tcPr>
          <w:p w14:paraId="25538F75" w14:textId="77777777" w:rsidR="002523A3" w:rsidRPr="001C7F59" w:rsidRDefault="002523A3" w:rsidP="002523A3">
            <w:pPr>
              <w:pStyle w:val="Tabletext0"/>
              <w:rPr>
                <w:rFonts w:cstheme="minorHAnsi"/>
                <w:b w:val="0"/>
                <w:kern w:val="0"/>
                <w:sz w:val="18"/>
                <w:szCs w:val="18"/>
              </w:rPr>
            </w:pPr>
            <w:r w:rsidRPr="001C7F59">
              <w:rPr>
                <w:rFonts w:cstheme="minorHAnsi"/>
                <w:kern w:val="0"/>
                <w:sz w:val="18"/>
                <w:szCs w:val="18"/>
              </w:rPr>
              <w:t>Summary of safety concerns</w:t>
            </w:r>
          </w:p>
        </w:tc>
        <w:tc>
          <w:tcPr>
            <w:tcW w:w="1921" w:type="dxa"/>
            <w:gridSpan w:val="2"/>
          </w:tcPr>
          <w:p w14:paraId="11B353EC" w14:textId="77777777" w:rsidR="002523A3" w:rsidRPr="001C7F59" w:rsidRDefault="002523A3" w:rsidP="002523A3">
            <w:pPr>
              <w:pStyle w:val="Tabletext0"/>
              <w:cnfStyle w:val="100000000000" w:firstRow="1" w:lastRow="0" w:firstColumn="0" w:lastColumn="0" w:oddVBand="0" w:evenVBand="0" w:oddHBand="0" w:evenHBand="0" w:firstRowFirstColumn="0" w:firstRowLastColumn="0" w:lastRowFirstColumn="0" w:lastRowLastColumn="0"/>
              <w:rPr>
                <w:rFonts w:cstheme="minorHAnsi"/>
                <w:b w:val="0"/>
                <w:kern w:val="0"/>
                <w:sz w:val="18"/>
                <w:szCs w:val="18"/>
              </w:rPr>
            </w:pPr>
            <w:r w:rsidRPr="001C7F59">
              <w:rPr>
                <w:rFonts w:cstheme="minorHAnsi"/>
                <w:kern w:val="0"/>
                <w:sz w:val="18"/>
                <w:szCs w:val="18"/>
              </w:rPr>
              <w:t>Pharmacovigilance</w:t>
            </w:r>
          </w:p>
        </w:tc>
        <w:tc>
          <w:tcPr>
            <w:tcW w:w="0" w:type="auto"/>
            <w:gridSpan w:val="2"/>
          </w:tcPr>
          <w:p w14:paraId="27A74519" w14:textId="77777777" w:rsidR="002523A3" w:rsidRPr="001C7F59" w:rsidRDefault="002523A3" w:rsidP="002523A3">
            <w:pPr>
              <w:pStyle w:val="Tabletext0"/>
              <w:keepNext w:val="0"/>
              <w:cnfStyle w:val="100000000000" w:firstRow="1" w:lastRow="0" w:firstColumn="0" w:lastColumn="0" w:oddVBand="0" w:evenVBand="0" w:oddHBand="0" w:evenHBand="0" w:firstRowFirstColumn="0" w:firstRowLastColumn="0" w:lastRowFirstColumn="0" w:lastRowLastColumn="0"/>
              <w:rPr>
                <w:rFonts w:cstheme="minorHAnsi"/>
                <w:b w:val="0"/>
                <w:kern w:val="0"/>
                <w:sz w:val="18"/>
                <w:szCs w:val="18"/>
              </w:rPr>
            </w:pPr>
            <w:r w:rsidRPr="001C7F59">
              <w:rPr>
                <w:rFonts w:cstheme="minorHAnsi"/>
                <w:kern w:val="0"/>
                <w:sz w:val="18"/>
                <w:szCs w:val="18"/>
              </w:rPr>
              <w:t xml:space="preserve">Risk </w:t>
            </w:r>
            <w:r w:rsidRPr="002523A3">
              <w:rPr>
                <w:rFonts w:cstheme="minorHAnsi"/>
                <w:kern w:val="0"/>
                <w:sz w:val="18"/>
                <w:szCs w:val="18"/>
              </w:rPr>
              <w:t>Minimisation</w:t>
            </w:r>
          </w:p>
        </w:tc>
      </w:tr>
      <w:tr w:rsidR="002523A3" w:rsidRPr="001C7F59" w14:paraId="22FC7EFE" w14:textId="77777777" w:rsidTr="002523A3">
        <w:trPr>
          <w:trHeight w:val="150"/>
        </w:trPr>
        <w:tc>
          <w:tcPr>
            <w:cnfStyle w:val="001000000000" w:firstRow="0" w:lastRow="0" w:firstColumn="1" w:lastColumn="0" w:oddVBand="0" w:evenVBand="0" w:oddHBand="0" w:evenHBand="0" w:firstRowFirstColumn="0" w:firstRowLastColumn="0" w:lastRowFirstColumn="0" w:lastRowLastColumn="0"/>
            <w:tcW w:w="5387" w:type="dxa"/>
            <w:gridSpan w:val="2"/>
            <w:vMerge/>
          </w:tcPr>
          <w:p w14:paraId="0238B278" w14:textId="77777777" w:rsidR="002523A3" w:rsidRPr="001C7F59" w:rsidRDefault="002523A3" w:rsidP="002523A3">
            <w:pPr>
              <w:pStyle w:val="Tabletext0"/>
              <w:rPr>
                <w:rFonts w:cstheme="minorHAnsi"/>
                <w:b/>
                <w:kern w:val="0"/>
                <w:sz w:val="18"/>
                <w:szCs w:val="18"/>
              </w:rPr>
            </w:pPr>
          </w:p>
        </w:tc>
        <w:tc>
          <w:tcPr>
            <w:tcW w:w="945" w:type="dxa"/>
            <w:shd w:val="clear" w:color="auto" w:fill="DEEAF6" w:themeFill="accent5" w:themeFillTint="33"/>
          </w:tcPr>
          <w:p w14:paraId="54236788" w14:textId="77777777" w:rsidR="002523A3" w:rsidRPr="002523A3"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color w:val="263287"/>
                <w:kern w:val="0"/>
                <w:sz w:val="18"/>
                <w:szCs w:val="18"/>
              </w:rPr>
            </w:pPr>
            <w:r w:rsidRPr="002523A3">
              <w:rPr>
                <w:rFonts w:cstheme="minorHAnsi"/>
                <w:color w:val="263287"/>
                <w:kern w:val="0"/>
                <w:sz w:val="18"/>
                <w:szCs w:val="18"/>
              </w:rPr>
              <w:t>Routine</w:t>
            </w:r>
          </w:p>
        </w:tc>
        <w:tc>
          <w:tcPr>
            <w:tcW w:w="0" w:type="auto"/>
            <w:shd w:val="clear" w:color="auto" w:fill="DEEAF6" w:themeFill="accent5" w:themeFillTint="33"/>
          </w:tcPr>
          <w:p w14:paraId="6D47A040" w14:textId="77777777" w:rsidR="002523A3" w:rsidRPr="002523A3"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color w:val="263287"/>
                <w:kern w:val="0"/>
                <w:sz w:val="18"/>
                <w:szCs w:val="18"/>
              </w:rPr>
            </w:pPr>
            <w:r w:rsidRPr="002523A3">
              <w:rPr>
                <w:rFonts w:cstheme="minorHAnsi"/>
                <w:color w:val="263287"/>
                <w:kern w:val="0"/>
                <w:sz w:val="18"/>
                <w:szCs w:val="18"/>
              </w:rPr>
              <w:t>Additional</w:t>
            </w:r>
          </w:p>
        </w:tc>
        <w:tc>
          <w:tcPr>
            <w:tcW w:w="0" w:type="auto"/>
            <w:shd w:val="clear" w:color="auto" w:fill="DEEAF6" w:themeFill="accent5" w:themeFillTint="33"/>
          </w:tcPr>
          <w:p w14:paraId="6FDBB1E8" w14:textId="77777777" w:rsidR="002523A3" w:rsidRPr="002523A3"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color w:val="263287"/>
                <w:kern w:val="0"/>
                <w:sz w:val="18"/>
                <w:szCs w:val="18"/>
              </w:rPr>
            </w:pPr>
            <w:r w:rsidRPr="002523A3">
              <w:rPr>
                <w:rFonts w:cstheme="minorHAnsi"/>
                <w:color w:val="263287"/>
                <w:kern w:val="0"/>
                <w:sz w:val="18"/>
                <w:szCs w:val="18"/>
              </w:rPr>
              <w:t>Routine</w:t>
            </w:r>
          </w:p>
        </w:tc>
        <w:tc>
          <w:tcPr>
            <w:tcW w:w="0" w:type="auto"/>
            <w:shd w:val="clear" w:color="auto" w:fill="DEEAF6" w:themeFill="accent5" w:themeFillTint="33"/>
          </w:tcPr>
          <w:p w14:paraId="5A44F875" w14:textId="77777777" w:rsidR="002523A3" w:rsidRPr="002523A3"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color w:val="263287"/>
                <w:kern w:val="0"/>
                <w:sz w:val="18"/>
                <w:szCs w:val="18"/>
              </w:rPr>
            </w:pPr>
            <w:r w:rsidRPr="002523A3">
              <w:rPr>
                <w:rFonts w:cstheme="minorHAnsi"/>
                <w:color w:val="263287"/>
                <w:kern w:val="0"/>
                <w:sz w:val="18"/>
                <w:szCs w:val="18"/>
              </w:rPr>
              <w:t>Additional</w:t>
            </w:r>
          </w:p>
        </w:tc>
      </w:tr>
      <w:tr w:rsidR="002523A3" w:rsidRPr="001C7F59" w14:paraId="14333FDC" w14:textId="77777777" w:rsidTr="002523A3">
        <w:trPr>
          <w:trHeight w:val="534"/>
        </w:trPr>
        <w:tc>
          <w:tcPr>
            <w:cnfStyle w:val="001000000000" w:firstRow="0" w:lastRow="0" w:firstColumn="1" w:lastColumn="0" w:oddVBand="0" w:evenVBand="0" w:oddHBand="0" w:evenHBand="0" w:firstRowFirstColumn="0" w:firstRowLastColumn="0" w:lastRowFirstColumn="0" w:lastRowLastColumn="0"/>
            <w:tcW w:w="0" w:type="auto"/>
          </w:tcPr>
          <w:p w14:paraId="4BA08B9F" w14:textId="77777777" w:rsidR="002523A3" w:rsidRPr="001C7F59" w:rsidRDefault="002523A3" w:rsidP="002523A3">
            <w:pPr>
              <w:pStyle w:val="Tabletext0"/>
              <w:rPr>
                <w:rFonts w:cstheme="minorHAnsi"/>
                <w:b/>
                <w:kern w:val="0"/>
                <w:sz w:val="18"/>
                <w:szCs w:val="18"/>
              </w:rPr>
            </w:pPr>
            <w:r w:rsidRPr="001C7F59">
              <w:rPr>
                <w:rFonts w:cstheme="minorHAnsi"/>
                <w:b/>
                <w:kern w:val="0"/>
                <w:sz w:val="18"/>
                <w:szCs w:val="18"/>
              </w:rPr>
              <w:t>Important identified risks</w:t>
            </w:r>
          </w:p>
        </w:tc>
        <w:tc>
          <w:tcPr>
            <w:tcW w:w="3609" w:type="dxa"/>
          </w:tcPr>
          <w:p w14:paraId="69193930"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sz w:val="18"/>
                <w:szCs w:val="18"/>
              </w:rPr>
              <w:t>Hypersensitivity reactions</w:t>
            </w:r>
          </w:p>
        </w:tc>
        <w:tc>
          <w:tcPr>
            <w:tcW w:w="945" w:type="dxa"/>
          </w:tcPr>
          <w:p w14:paraId="07B3CBE5"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17A1C16C"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r w:rsidRPr="001C7F59">
              <w:rPr>
                <w:rFonts w:cstheme="minorHAnsi"/>
                <w:kern w:val="0"/>
                <w:sz w:val="18"/>
                <w:szCs w:val="18"/>
              </w:rPr>
              <w:t>*</w:t>
            </w:r>
          </w:p>
        </w:tc>
        <w:tc>
          <w:tcPr>
            <w:tcW w:w="0" w:type="auto"/>
          </w:tcPr>
          <w:p w14:paraId="33860CAC"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38A1046B"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vertAlign w:val="superscript"/>
              </w:rPr>
            </w:pPr>
            <w:r w:rsidRPr="001C7F59">
              <w:rPr>
                <w:rFonts w:eastAsia="Cambria" w:cstheme="minorHAnsi"/>
                <w:kern w:val="0"/>
                <w:sz w:val="18"/>
                <w:szCs w:val="18"/>
              </w:rPr>
              <w:sym w:font="Wingdings" w:char="F0FC"/>
            </w:r>
            <w:r w:rsidRPr="001C7F59">
              <w:rPr>
                <w:rFonts w:asciiTheme="majorHAnsi" w:hAnsiTheme="majorHAnsi"/>
                <w:kern w:val="0"/>
                <w:szCs w:val="20"/>
                <w:vertAlign w:val="superscript"/>
              </w:rPr>
              <w:t>‡</w:t>
            </w:r>
          </w:p>
        </w:tc>
      </w:tr>
      <w:tr w:rsidR="002523A3" w:rsidRPr="001C7F59" w14:paraId="7087BEFD" w14:textId="77777777" w:rsidTr="002523A3">
        <w:trPr>
          <w:trHeight w:val="534"/>
        </w:trPr>
        <w:tc>
          <w:tcPr>
            <w:cnfStyle w:val="001000000000" w:firstRow="0" w:lastRow="0" w:firstColumn="1" w:lastColumn="0" w:oddVBand="0" w:evenVBand="0" w:oddHBand="0" w:evenHBand="0" w:firstRowFirstColumn="0" w:firstRowLastColumn="0" w:lastRowFirstColumn="0" w:lastRowLastColumn="0"/>
            <w:tcW w:w="0" w:type="auto"/>
          </w:tcPr>
          <w:p w14:paraId="0D259D3D" w14:textId="77777777" w:rsidR="002523A3" w:rsidRPr="001C7F59" w:rsidRDefault="002523A3" w:rsidP="002523A3">
            <w:pPr>
              <w:pStyle w:val="Tabletext0"/>
              <w:rPr>
                <w:rFonts w:cstheme="minorHAnsi"/>
                <w:b/>
                <w:kern w:val="0"/>
                <w:sz w:val="18"/>
                <w:szCs w:val="18"/>
              </w:rPr>
            </w:pPr>
          </w:p>
        </w:tc>
        <w:tc>
          <w:tcPr>
            <w:tcW w:w="3609" w:type="dxa"/>
            <w:shd w:val="clear" w:color="auto" w:fill="FFC000"/>
          </w:tcPr>
          <w:p w14:paraId="770DD71E"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1C7F59">
              <w:rPr>
                <w:rFonts w:cstheme="minorHAnsi"/>
                <w:sz w:val="18"/>
                <w:szCs w:val="18"/>
              </w:rPr>
              <w:t>Thromboembolic events</w:t>
            </w:r>
            <w:r w:rsidRPr="001C7F59">
              <w:rPr>
                <w:rFonts w:cstheme="minorHAnsi"/>
                <w:sz w:val="18"/>
                <w:szCs w:val="18"/>
                <w:vertAlign w:val="superscript"/>
              </w:rPr>
              <w:t>†</w:t>
            </w:r>
          </w:p>
        </w:tc>
        <w:tc>
          <w:tcPr>
            <w:tcW w:w="945" w:type="dxa"/>
            <w:shd w:val="clear" w:color="auto" w:fill="FFC000"/>
          </w:tcPr>
          <w:p w14:paraId="69028F4F"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sym w:font="Wingdings" w:char="F0FC"/>
            </w:r>
          </w:p>
        </w:tc>
        <w:tc>
          <w:tcPr>
            <w:tcW w:w="0" w:type="auto"/>
            <w:shd w:val="clear" w:color="auto" w:fill="FFC000"/>
          </w:tcPr>
          <w:p w14:paraId="2240BBD1"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sym w:font="Wingdings" w:char="F0FC"/>
            </w:r>
            <w:r w:rsidRPr="001C7F59">
              <w:rPr>
                <w:rFonts w:cstheme="minorHAnsi"/>
                <w:kern w:val="0"/>
                <w:sz w:val="18"/>
                <w:szCs w:val="18"/>
              </w:rPr>
              <w:t>*</w:t>
            </w:r>
          </w:p>
        </w:tc>
        <w:tc>
          <w:tcPr>
            <w:tcW w:w="0" w:type="auto"/>
            <w:shd w:val="clear" w:color="auto" w:fill="FFC000"/>
          </w:tcPr>
          <w:p w14:paraId="28720CE8"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sym w:font="Wingdings" w:char="F0FC"/>
            </w:r>
          </w:p>
        </w:tc>
        <w:tc>
          <w:tcPr>
            <w:tcW w:w="0" w:type="auto"/>
            <w:shd w:val="clear" w:color="auto" w:fill="FFC000"/>
          </w:tcPr>
          <w:p w14:paraId="3A65DACD"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sym w:font="Wingdings" w:char="F0FC"/>
            </w:r>
            <w:r w:rsidRPr="001C7F59">
              <w:rPr>
                <w:rFonts w:asciiTheme="majorHAnsi" w:hAnsiTheme="majorHAnsi"/>
                <w:kern w:val="0"/>
                <w:szCs w:val="20"/>
                <w:vertAlign w:val="superscript"/>
              </w:rPr>
              <w:t>‡§</w:t>
            </w:r>
          </w:p>
        </w:tc>
      </w:tr>
      <w:tr w:rsidR="002523A3" w:rsidRPr="001C7F59" w14:paraId="69B54568" w14:textId="77777777" w:rsidTr="002523A3">
        <w:trPr>
          <w:trHeight w:val="451"/>
        </w:trPr>
        <w:tc>
          <w:tcPr>
            <w:cnfStyle w:val="001000000000" w:firstRow="0" w:lastRow="0" w:firstColumn="1" w:lastColumn="0" w:oddVBand="0" w:evenVBand="0" w:oddHBand="0" w:evenHBand="0" w:firstRowFirstColumn="0" w:firstRowLastColumn="0" w:lastRowFirstColumn="0" w:lastRowLastColumn="0"/>
            <w:tcW w:w="0" w:type="auto"/>
          </w:tcPr>
          <w:p w14:paraId="22B6EBEB" w14:textId="77777777" w:rsidR="002523A3" w:rsidRPr="001C7F59" w:rsidRDefault="002523A3" w:rsidP="002523A3">
            <w:pPr>
              <w:pStyle w:val="Tabletext0"/>
              <w:rPr>
                <w:rFonts w:cstheme="minorHAnsi"/>
                <w:b/>
                <w:kern w:val="0"/>
                <w:sz w:val="18"/>
                <w:szCs w:val="18"/>
              </w:rPr>
            </w:pPr>
            <w:r w:rsidRPr="001C7F59">
              <w:rPr>
                <w:rFonts w:cstheme="minorHAnsi"/>
                <w:b/>
                <w:kern w:val="0"/>
                <w:sz w:val="18"/>
                <w:szCs w:val="18"/>
              </w:rPr>
              <w:t>Important potential risks</w:t>
            </w:r>
          </w:p>
        </w:tc>
        <w:tc>
          <w:tcPr>
            <w:tcW w:w="3609" w:type="dxa"/>
          </w:tcPr>
          <w:p w14:paraId="5E856186"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sz w:val="18"/>
                <w:szCs w:val="18"/>
              </w:rPr>
              <w:t>None</w:t>
            </w:r>
          </w:p>
        </w:tc>
        <w:tc>
          <w:tcPr>
            <w:tcW w:w="945" w:type="dxa"/>
          </w:tcPr>
          <w:p w14:paraId="3DFB32A3"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strike/>
                <w:kern w:val="0"/>
                <w:sz w:val="18"/>
                <w:szCs w:val="18"/>
              </w:rPr>
            </w:pPr>
            <w:r w:rsidRPr="001C7F59">
              <w:rPr>
                <w:rFonts w:eastAsia="Cambria" w:cstheme="minorHAnsi"/>
                <w:strike/>
                <w:kern w:val="0"/>
                <w:sz w:val="18"/>
                <w:szCs w:val="18"/>
              </w:rPr>
              <w:t>-</w:t>
            </w:r>
          </w:p>
        </w:tc>
        <w:tc>
          <w:tcPr>
            <w:tcW w:w="0" w:type="auto"/>
          </w:tcPr>
          <w:p w14:paraId="68D272B3"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strike/>
                <w:kern w:val="0"/>
                <w:sz w:val="18"/>
                <w:szCs w:val="18"/>
              </w:rPr>
            </w:pPr>
            <w:r w:rsidRPr="001C7F59">
              <w:rPr>
                <w:rFonts w:eastAsia="Cambria" w:cstheme="minorHAnsi"/>
                <w:strike/>
                <w:kern w:val="0"/>
                <w:sz w:val="18"/>
                <w:szCs w:val="18"/>
              </w:rPr>
              <w:t>-</w:t>
            </w:r>
          </w:p>
        </w:tc>
        <w:tc>
          <w:tcPr>
            <w:tcW w:w="0" w:type="auto"/>
          </w:tcPr>
          <w:p w14:paraId="6C8734E9"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strike/>
                <w:kern w:val="0"/>
                <w:sz w:val="18"/>
                <w:szCs w:val="18"/>
              </w:rPr>
            </w:pPr>
            <w:r w:rsidRPr="001C7F59">
              <w:rPr>
                <w:rFonts w:eastAsia="Cambria" w:cstheme="minorHAnsi"/>
                <w:strike/>
                <w:kern w:val="0"/>
                <w:sz w:val="18"/>
                <w:szCs w:val="18"/>
              </w:rPr>
              <w:t>-</w:t>
            </w:r>
          </w:p>
        </w:tc>
        <w:tc>
          <w:tcPr>
            <w:tcW w:w="0" w:type="auto"/>
          </w:tcPr>
          <w:p w14:paraId="1A05C077"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r>
      <w:tr w:rsidR="002523A3" w:rsidRPr="001C7F59" w14:paraId="680D46A3" w14:textId="77777777" w:rsidTr="002523A3">
        <w:trPr>
          <w:trHeight w:val="17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A349F1D" w14:textId="77777777" w:rsidR="002523A3" w:rsidRPr="001C7F59" w:rsidRDefault="002523A3" w:rsidP="002523A3">
            <w:pPr>
              <w:pStyle w:val="Tabletext0"/>
              <w:rPr>
                <w:rFonts w:cstheme="minorHAnsi"/>
                <w:b/>
                <w:kern w:val="0"/>
                <w:sz w:val="18"/>
                <w:szCs w:val="18"/>
              </w:rPr>
            </w:pPr>
            <w:r w:rsidRPr="001C7F59">
              <w:rPr>
                <w:rFonts w:cstheme="minorHAnsi"/>
                <w:b/>
                <w:kern w:val="0"/>
                <w:sz w:val="18"/>
                <w:szCs w:val="18"/>
              </w:rPr>
              <w:t>Missing information</w:t>
            </w:r>
          </w:p>
        </w:tc>
        <w:tc>
          <w:tcPr>
            <w:tcW w:w="3609" w:type="dxa"/>
          </w:tcPr>
          <w:p w14:paraId="7FC910CB"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 xml:space="preserve">Use in female patients, </w:t>
            </w:r>
            <w:proofErr w:type="gramStart"/>
            <w:r w:rsidRPr="001C7F59">
              <w:rPr>
                <w:rFonts w:cstheme="minorHAnsi"/>
                <w:kern w:val="0"/>
                <w:sz w:val="18"/>
                <w:szCs w:val="18"/>
              </w:rPr>
              <w:t>pregnancy</w:t>
            </w:r>
            <w:proofErr w:type="gramEnd"/>
            <w:r w:rsidRPr="001C7F59">
              <w:rPr>
                <w:rFonts w:cstheme="minorHAnsi"/>
                <w:kern w:val="0"/>
                <w:sz w:val="18"/>
                <w:szCs w:val="18"/>
              </w:rPr>
              <w:t xml:space="preserve"> and lactation</w:t>
            </w:r>
          </w:p>
        </w:tc>
        <w:tc>
          <w:tcPr>
            <w:tcW w:w="945" w:type="dxa"/>
          </w:tcPr>
          <w:p w14:paraId="5F964636"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2310793C"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c>
          <w:tcPr>
            <w:tcW w:w="0" w:type="auto"/>
          </w:tcPr>
          <w:p w14:paraId="4A07B0B0"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24122B21"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r>
      <w:tr w:rsidR="002523A3" w:rsidRPr="001C7F59" w14:paraId="466E1AF0" w14:textId="77777777" w:rsidTr="002523A3">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605BB726" w14:textId="77777777" w:rsidR="002523A3" w:rsidRPr="001C7F59" w:rsidRDefault="002523A3" w:rsidP="002523A3">
            <w:pPr>
              <w:pStyle w:val="Tabletext0"/>
              <w:rPr>
                <w:rFonts w:cstheme="minorHAnsi"/>
                <w:kern w:val="0"/>
                <w:sz w:val="18"/>
                <w:szCs w:val="18"/>
              </w:rPr>
            </w:pPr>
          </w:p>
        </w:tc>
        <w:tc>
          <w:tcPr>
            <w:tcW w:w="3609" w:type="dxa"/>
          </w:tcPr>
          <w:p w14:paraId="398E2823"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Management of patients on concizumab in connection with major surgery</w:t>
            </w:r>
          </w:p>
        </w:tc>
        <w:tc>
          <w:tcPr>
            <w:tcW w:w="945" w:type="dxa"/>
          </w:tcPr>
          <w:p w14:paraId="1DA69FCF"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1C4D7A8E"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c>
          <w:tcPr>
            <w:tcW w:w="0" w:type="auto"/>
          </w:tcPr>
          <w:p w14:paraId="63634F75"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tcPr>
          <w:p w14:paraId="73EC2C58"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r>
      <w:tr w:rsidR="002523A3" w:rsidRPr="001C7F59" w14:paraId="4D9AC4DB" w14:textId="77777777" w:rsidTr="002523A3">
        <w:trPr>
          <w:trHeight w:val="103"/>
        </w:trPr>
        <w:tc>
          <w:tcPr>
            <w:cnfStyle w:val="001000000000" w:firstRow="0" w:lastRow="0" w:firstColumn="1" w:lastColumn="0" w:oddVBand="0" w:evenVBand="0" w:oddHBand="0" w:evenHBand="0" w:firstRowFirstColumn="0" w:firstRowLastColumn="0" w:lastRowFirstColumn="0" w:lastRowLastColumn="0"/>
            <w:tcW w:w="0" w:type="auto"/>
            <w:vMerge/>
          </w:tcPr>
          <w:p w14:paraId="090C437B" w14:textId="77777777" w:rsidR="002523A3" w:rsidRPr="001C7F59" w:rsidRDefault="002523A3" w:rsidP="002523A3">
            <w:pPr>
              <w:pStyle w:val="Tabletext0"/>
              <w:rPr>
                <w:rFonts w:cstheme="minorHAnsi"/>
                <w:kern w:val="0"/>
                <w:sz w:val="18"/>
                <w:szCs w:val="18"/>
              </w:rPr>
            </w:pPr>
          </w:p>
        </w:tc>
        <w:tc>
          <w:tcPr>
            <w:tcW w:w="3609" w:type="dxa"/>
          </w:tcPr>
          <w:p w14:paraId="36857471"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sz w:val="18"/>
                <w:szCs w:val="18"/>
              </w:rPr>
              <w:t>The safety of concizumab in patients receiving ITI</w:t>
            </w:r>
          </w:p>
        </w:tc>
        <w:tc>
          <w:tcPr>
            <w:tcW w:w="945" w:type="dxa"/>
          </w:tcPr>
          <w:p w14:paraId="38D0D3B7"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sym w:font="Wingdings" w:char="F0FC"/>
            </w:r>
          </w:p>
        </w:tc>
        <w:tc>
          <w:tcPr>
            <w:tcW w:w="0" w:type="auto"/>
          </w:tcPr>
          <w:p w14:paraId="3E56E3F4"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c>
          <w:tcPr>
            <w:tcW w:w="0" w:type="auto"/>
          </w:tcPr>
          <w:p w14:paraId="2673E4A1"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eastAsia="Cambria" w:cstheme="minorHAnsi"/>
                <w:kern w:val="0"/>
                <w:sz w:val="18"/>
                <w:szCs w:val="18"/>
              </w:rPr>
            </w:pPr>
            <w:r w:rsidRPr="001C7F59">
              <w:rPr>
                <w:rFonts w:eastAsia="Cambria" w:cstheme="minorHAnsi"/>
                <w:kern w:val="0"/>
                <w:sz w:val="18"/>
                <w:szCs w:val="18"/>
              </w:rPr>
              <w:t>-</w:t>
            </w:r>
          </w:p>
        </w:tc>
        <w:tc>
          <w:tcPr>
            <w:tcW w:w="0" w:type="auto"/>
          </w:tcPr>
          <w:p w14:paraId="4716B7EC"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r>
      <w:tr w:rsidR="002523A3" w:rsidRPr="001C7F59" w14:paraId="42764B77" w14:textId="77777777" w:rsidTr="002523A3">
        <w:trPr>
          <w:trHeight w:val="140"/>
        </w:trPr>
        <w:tc>
          <w:tcPr>
            <w:cnfStyle w:val="001000000000" w:firstRow="0" w:lastRow="0" w:firstColumn="1" w:lastColumn="0" w:oddVBand="0" w:evenVBand="0" w:oddHBand="0" w:evenHBand="0" w:firstRowFirstColumn="0" w:firstRowLastColumn="0" w:lastRowFirstColumn="0" w:lastRowLastColumn="0"/>
            <w:tcW w:w="0" w:type="auto"/>
            <w:vMerge/>
          </w:tcPr>
          <w:p w14:paraId="457EE385" w14:textId="77777777" w:rsidR="002523A3" w:rsidRPr="001C7F59" w:rsidRDefault="002523A3" w:rsidP="002523A3">
            <w:pPr>
              <w:pStyle w:val="Tabletext0"/>
              <w:rPr>
                <w:rFonts w:cstheme="minorHAnsi"/>
                <w:kern w:val="0"/>
                <w:sz w:val="18"/>
                <w:szCs w:val="18"/>
              </w:rPr>
            </w:pPr>
          </w:p>
        </w:tc>
        <w:tc>
          <w:tcPr>
            <w:tcW w:w="3609" w:type="dxa"/>
            <w:shd w:val="clear" w:color="auto" w:fill="FFC000"/>
          </w:tcPr>
          <w:p w14:paraId="2FEB369D" w14:textId="77777777" w:rsidR="002523A3" w:rsidRPr="001C7F59" w:rsidRDefault="002523A3" w:rsidP="002523A3">
            <w:pPr>
              <w:pStyle w:val="Tabletext0"/>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 xml:space="preserve">Use in elderly </w:t>
            </w:r>
            <w:proofErr w:type="spellStart"/>
            <w:r w:rsidRPr="001C7F59">
              <w:rPr>
                <w:rFonts w:cstheme="minorHAnsi"/>
                <w:kern w:val="0"/>
                <w:sz w:val="18"/>
                <w:szCs w:val="18"/>
              </w:rPr>
              <w:t>patients</w:t>
            </w:r>
            <w:r w:rsidRPr="001C7F59">
              <w:rPr>
                <w:rFonts w:asciiTheme="majorHAnsi" w:hAnsiTheme="majorHAnsi"/>
                <w:kern w:val="0"/>
                <w:szCs w:val="20"/>
                <w:vertAlign w:val="superscript"/>
              </w:rPr>
              <w:t>ǁ</w:t>
            </w:r>
            <w:proofErr w:type="spellEnd"/>
          </w:p>
        </w:tc>
        <w:tc>
          <w:tcPr>
            <w:tcW w:w="945" w:type="dxa"/>
            <w:shd w:val="clear" w:color="auto" w:fill="FFC000"/>
          </w:tcPr>
          <w:p w14:paraId="6D9B01F2"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shd w:val="clear" w:color="auto" w:fill="FFC000"/>
          </w:tcPr>
          <w:p w14:paraId="6EA683BE"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c>
          <w:tcPr>
            <w:tcW w:w="0" w:type="auto"/>
            <w:shd w:val="clear" w:color="auto" w:fill="FFC000"/>
          </w:tcPr>
          <w:p w14:paraId="05190058"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eastAsia="Cambria" w:cstheme="minorHAnsi"/>
                <w:kern w:val="0"/>
                <w:sz w:val="18"/>
                <w:szCs w:val="18"/>
              </w:rPr>
              <w:sym w:font="Wingdings" w:char="F0FC"/>
            </w:r>
          </w:p>
        </w:tc>
        <w:tc>
          <w:tcPr>
            <w:tcW w:w="0" w:type="auto"/>
            <w:shd w:val="clear" w:color="auto" w:fill="FFC000"/>
          </w:tcPr>
          <w:p w14:paraId="2B2EEE3C" w14:textId="77777777" w:rsidR="002523A3" w:rsidRPr="001C7F59" w:rsidRDefault="002523A3" w:rsidP="002523A3">
            <w:pPr>
              <w:pStyle w:val="Tabletext0"/>
              <w:jc w:val="center"/>
              <w:cnfStyle w:val="000000000000" w:firstRow="0" w:lastRow="0" w:firstColumn="0" w:lastColumn="0" w:oddVBand="0" w:evenVBand="0" w:oddHBand="0" w:evenHBand="0" w:firstRowFirstColumn="0" w:firstRowLastColumn="0" w:lastRowFirstColumn="0" w:lastRowLastColumn="0"/>
              <w:rPr>
                <w:rFonts w:cstheme="minorHAnsi"/>
                <w:kern w:val="0"/>
                <w:sz w:val="18"/>
                <w:szCs w:val="18"/>
              </w:rPr>
            </w:pPr>
            <w:r w:rsidRPr="001C7F59">
              <w:rPr>
                <w:rFonts w:cstheme="minorHAnsi"/>
                <w:kern w:val="0"/>
                <w:sz w:val="18"/>
                <w:szCs w:val="18"/>
              </w:rPr>
              <w:t>-</w:t>
            </w:r>
          </w:p>
        </w:tc>
      </w:tr>
    </w:tbl>
    <w:p w14:paraId="4F39DBA3" w14:textId="77777777" w:rsidR="002523A3" w:rsidRPr="002523A3" w:rsidRDefault="002523A3" w:rsidP="002523A3">
      <w:pPr>
        <w:pStyle w:val="TableDescription"/>
      </w:pPr>
      <w:r w:rsidRPr="002523A3">
        <w:t>(ITI - immune tolerance induction)</w:t>
      </w:r>
      <w:r w:rsidRPr="002523A3">
        <w:br/>
        <w:t>*Registry-based cohort study</w:t>
      </w:r>
    </w:p>
    <w:p w14:paraId="79ABDA06" w14:textId="77777777" w:rsidR="002523A3" w:rsidRPr="002523A3" w:rsidRDefault="002523A3" w:rsidP="002523A3">
      <w:pPr>
        <w:pStyle w:val="TableDescription"/>
      </w:pPr>
      <w:r w:rsidRPr="002523A3">
        <w:t>† The sponsor has agreed to reclassify ‘thromboembolic events’ as an important identified risk.</w:t>
      </w:r>
    </w:p>
    <w:p w14:paraId="6CFD1290" w14:textId="77777777" w:rsidR="00676791" w:rsidRDefault="002523A3" w:rsidP="002523A3">
      <w:pPr>
        <w:pStyle w:val="TableDescription"/>
      </w:pPr>
      <w:r w:rsidRPr="002523A3">
        <w:t xml:space="preserve">ǁ </w:t>
      </w:r>
      <w:proofErr w:type="gramStart"/>
      <w:r w:rsidRPr="002523A3">
        <w:t>The</w:t>
      </w:r>
      <w:proofErr w:type="gramEnd"/>
      <w:r w:rsidRPr="002523A3">
        <w:t xml:space="preserve"> sponsor has agreed to include ‘Use in elderly patients’ as a missing information</w:t>
      </w:r>
      <w:r w:rsidR="00676791">
        <w:t>.</w:t>
      </w:r>
    </w:p>
    <w:p w14:paraId="09CDE026" w14:textId="2F04FA24" w:rsidR="002523A3" w:rsidRPr="002523A3" w:rsidRDefault="002523A3" w:rsidP="002523A3">
      <w:pPr>
        <w:pStyle w:val="TableDescription"/>
      </w:pPr>
      <w:r w:rsidRPr="002523A3">
        <w:t>‡ Patient/Carer guide and Patient Alert Card</w:t>
      </w:r>
    </w:p>
    <w:p w14:paraId="3A1CD47E" w14:textId="77777777" w:rsidR="002523A3" w:rsidRPr="002523A3" w:rsidRDefault="002523A3" w:rsidP="002523A3">
      <w:pPr>
        <w:pStyle w:val="TableDescription"/>
      </w:pPr>
      <w:r w:rsidRPr="002523A3">
        <w:t>§Health Care Professional (HCP) guide</w:t>
      </w:r>
    </w:p>
    <w:p w14:paraId="7F10B292" w14:textId="77777777" w:rsidR="002523A3" w:rsidRPr="002523A3" w:rsidRDefault="002523A3" w:rsidP="002523A3">
      <w:pPr>
        <w:pStyle w:val="TableDescription"/>
      </w:pPr>
      <w:r w:rsidRPr="002523A3">
        <w:t>Please note - Yellow highlighted safety concerns are Australia specific safety concerns.</w:t>
      </w:r>
    </w:p>
    <w:p w14:paraId="0AFC8901" w14:textId="75C3946D" w:rsidR="002523A3" w:rsidRPr="002523A3" w:rsidRDefault="002523A3" w:rsidP="002523A3">
      <w:r w:rsidRPr="002523A3">
        <w:t xml:space="preserve">The summary of safety concerns in the ASA aligns with the </w:t>
      </w:r>
      <w:r>
        <w:t>g</w:t>
      </w:r>
      <w:r w:rsidRPr="002523A3">
        <w:t>lobal</w:t>
      </w:r>
      <w:r>
        <w:t>-</w:t>
      </w:r>
      <w:r w:rsidRPr="002523A3">
        <w:t>RMP and EU</w:t>
      </w:r>
      <w:r>
        <w:t>-</w:t>
      </w:r>
      <w:r w:rsidRPr="002523A3">
        <w:t>RMP. The requested amendments to the summary of safety concern (</w:t>
      </w:r>
      <w:r>
        <w:t>that is,</w:t>
      </w:r>
      <w:r w:rsidRPr="002523A3">
        <w:t xml:space="preserve"> to reclassify </w:t>
      </w:r>
      <w:r>
        <w:t>‘t</w:t>
      </w:r>
      <w:r w:rsidRPr="002523A3">
        <w:t>hromboembolic events’ as an important identified risk and include ‘</w:t>
      </w:r>
      <w:r>
        <w:t>u</w:t>
      </w:r>
      <w:r w:rsidRPr="002523A3">
        <w:t>se in elderly patients’ under missing information) have been addressed by the sponsor. The summary of safety concern is satisfactory.</w:t>
      </w:r>
    </w:p>
    <w:p w14:paraId="1520A908" w14:textId="2CE61166" w:rsidR="002523A3" w:rsidRPr="002523A3" w:rsidRDefault="002523A3" w:rsidP="002523A3">
      <w:r w:rsidRPr="002523A3">
        <w:t xml:space="preserve">The sponsor has proposed routine pharmacovigilance for all safety concerns. The sponsor has also proposed the additional </w:t>
      </w:r>
      <w:r>
        <w:t>pharmacovigilance</w:t>
      </w:r>
      <w:r w:rsidRPr="002523A3">
        <w:t xml:space="preserve"> in the form of a post-authorisation safety study for hypersensitivity reactions and thromboembolic events. The sponsor has confirmed no Australian patients are planned to be included in the study. The sponsor has provided the milestones of the studies. This is appropriate.</w:t>
      </w:r>
    </w:p>
    <w:p w14:paraId="21015E31" w14:textId="476714AF" w:rsidR="002523A3" w:rsidRPr="002523A3" w:rsidRDefault="002523A3" w:rsidP="002523A3">
      <w:r w:rsidRPr="002523A3">
        <w:t>Only routine risk minimisation activities have been proposed for all safety concerns.</w:t>
      </w:r>
      <w:bookmarkStart w:id="130" w:name="_Hlk127098300"/>
      <w:r w:rsidRPr="002523A3">
        <w:t xml:space="preserve"> </w:t>
      </w:r>
      <w:bookmarkStart w:id="131" w:name="_Hlk128997246"/>
      <w:r w:rsidRPr="002523A3">
        <w:t xml:space="preserve">The sponsor has implemented a Patient/Carer guide and a Patient Alert Card to address the risks ‘hypersensitivity reactions’ and ‘thromboembolic events’; and a </w:t>
      </w:r>
      <w:r>
        <w:t xml:space="preserve">Health Care Professional </w:t>
      </w:r>
      <w:r w:rsidRPr="002523A3">
        <w:t>guide to address the risk ‘thromboembolic events’ as additional risk minimisation activities, as recommended by the RMP evaluat</w:t>
      </w:r>
      <w:r>
        <w:t>ion</w:t>
      </w:r>
      <w:r w:rsidRPr="002523A3">
        <w:t xml:space="preserve">. The sponsor has also revised the </w:t>
      </w:r>
      <w:r>
        <w:t>Consumer Medicines Information (</w:t>
      </w:r>
      <w:r w:rsidRPr="002523A3">
        <w:t>CMI</w:t>
      </w:r>
      <w:r>
        <w:t>)</w:t>
      </w:r>
      <w:r w:rsidRPr="002523A3">
        <w:t xml:space="preserve"> as recommended by the RMP evaluat</w:t>
      </w:r>
      <w:r>
        <w:t>ion</w:t>
      </w:r>
      <w:r w:rsidRPr="002523A3">
        <w:t>. The sponsor has stated that the additional risk minimisation materials will be provided to the TGA for review prior to product launch. The risk minimi</w:t>
      </w:r>
      <w:r>
        <w:t>s</w:t>
      </w:r>
      <w:r w:rsidRPr="002523A3">
        <w:t>ation plan is satisfactory. However, the sponsor should note that any additional risk minimisation activities should be provided 6 weeks prior to launch.</w:t>
      </w:r>
    </w:p>
    <w:bookmarkEnd w:id="130"/>
    <w:bookmarkEnd w:id="131"/>
    <w:p w14:paraId="1B9AC829" w14:textId="080A295C" w:rsidR="002523A3" w:rsidRDefault="002523A3" w:rsidP="002523A3">
      <w:r>
        <w:lastRenderedPageBreak/>
        <w:t>The RMP evaluation recommended conditions of registration relating to the versions of the risk management plan, requirement for periodic safety update reports, and inclusion of the medicine in the Black Triangle Scheme.</w:t>
      </w:r>
    </w:p>
    <w:p w14:paraId="74A4F87F" w14:textId="4A4E3D72" w:rsidR="00C22214" w:rsidRDefault="00C22214" w:rsidP="00C22214">
      <w:pPr>
        <w:pStyle w:val="Heading3"/>
      </w:pPr>
      <w:bookmarkStart w:id="132" w:name="_Toc103679299"/>
      <w:bookmarkStart w:id="133" w:name="_Toc160786392"/>
      <w:r>
        <w:t>Risk-benefit analysis</w:t>
      </w:r>
      <w:bookmarkEnd w:id="127"/>
      <w:bookmarkEnd w:id="128"/>
      <w:bookmarkEnd w:id="132"/>
      <w:bookmarkEnd w:id="133"/>
      <w:r w:rsidR="0048603E">
        <w:fldChar w:fldCharType="begin"/>
      </w:r>
      <w:r w:rsidR="0048603E">
        <w:instrText xml:space="preserve"> DOCVARIABLE vault_nd_9eb3397c-261f-4bc9-af64-cf2627a635e4 \* MERGEFORMAT </w:instrText>
      </w:r>
      <w:r w:rsidR="0048603E">
        <w:fldChar w:fldCharType="separate"/>
      </w:r>
      <w:r w:rsidR="001B5D20">
        <w:t xml:space="preserve"> </w:t>
      </w:r>
      <w:r w:rsidR="0048603E">
        <w:fldChar w:fldCharType="end"/>
      </w:r>
    </w:p>
    <w:p w14:paraId="20717102" w14:textId="04C77D34" w:rsidR="00C22214" w:rsidRDefault="00C22214" w:rsidP="007D4ED3">
      <w:pPr>
        <w:pStyle w:val="Heading4"/>
      </w:pPr>
      <w:bookmarkStart w:id="134" w:name="_Toc98931932"/>
      <w:bookmarkStart w:id="135" w:name="_Toc160786393"/>
      <w:r>
        <w:t>Delegate’s considerations</w:t>
      </w:r>
      <w:bookmarkEnd w:id="134"/>
      <w:bookmarkEnd w:id="135"/>
      <w:r w:rsidR="0048603E">
        <w:fldChar w:fldCharType="begin"/>
      </w:r>
      <w:r w:rsidR="0048603E">
        <w:instrText xml:space="preserve"> DOCVARIABLE vault_nd_f44be093-14c9-420b-b118-608252271f8c \* MERGEFORMAT </w:instrText>
      </w:r>
      <w:r w:rsidR="0048603E">
        <w:fldChar w:fldCharType="separate"/>
      </w:r>
      <w:r w:rsidR="001B5D20">
        <w:t xml:space="preserve"> </w:t>
      </w:r>
      <w:r w:rsidR="0048603E">
        <w:fldChar w:fldCharType="end"/>
      </w:r>
    </w:p>
    <w:p w14:paraId="715A40C6" w14:textId="44EBECAF" w:rsidR="00596383" w:rsidRPr="007D4ED3" w:rsidRDefault="007D4ED3" w:rsidP="007D4ED3">
      <w:pPr>
        <w:pStyle w:val="Heading5"/>
      </w:pPr>
      <w:r>
        <w:t>E</w:t>
      </w:r>
      <w:r w:rsidR="00596383">
        <w:t>fficacy data</w:t>
      </w:r>
      <w:r w:rsidR="00572F9F">
        <w:fldChar w:fldCharType="begin"/>
      </w:r>
      <w:r w:rsidR="00572F9F">
        <w:instrText xml:space="preserve"> DOCVARIABLE vault_nd_0ee0d32e-d48c-4bc6-859a-20baa5893d06 \* MERGEFORMAT </w:instrText>
      </w:r>
      <w:r w:rsidR="00572F9F">
        <w:fldChar w:fldCharType="separate"/>
      </w:r>
      <w:r w:rsidR="001B5D20">
        <w:t xml:space="preserve"> </w:t>
      </w:r>
      <w:r w:rsidR="00572F9F">
        <w:fldChar w:fldCharType="end"/>
      </w:r>
    </w:p>
    <w:p w14:paraId="2E73D129" w14:textId="265647A0" w:rsidR="00596383" w:rsidRDefault="00596383" w:rsidP="007D4ED3">
      <w:pPr>
        <w:pStyle w:val="Heading6"/>
      </w:pPr>
      <w:r>
        <w:t>Appropriateness of the pivotal study design (explorer7)</w:t>
      </w:r>
      <w:r w:rsidR="00572F9F">
        <w:fldChar w:fldCharType="begin"/>
      </w:r>
      <w:r w:rsidR="00572F9F">
        <w:instrText xml:space="preserve"> DOCVARIABLE vault_nd_3743dc07-728a-4cc8-b734-5cc856493065 \* MERGEFORMAT </w:instrText>
      </w:r>
      <w:r w:rsidR="00572F9F">
        <w:fldChar w:fldCharType="separate"/>
      </w:r>
      <w:r w:rsidR="001B5D20">
        <w:t xml:space="preserve"> </w:t>
      </w:r>
      <w:r w:rsidR="00572F9F">
        <w:fldChar w:fldCharType="end"/>
      </w:r>
    </w:p>
    <w:p w14:paraId="2C2BD4A8" w14:textId="74854870" w:rsidR="00596383" w:rsidRPr="007D4ED3" w:rsidRDefault="00596383" w:rsidP="007D4ED3">
      <w:r w:rsidRPr="007D4ED3">
        <w:t>There are currently no specific regulatory guidelines on clinical trial design for non-clotting factor products intended for the prophylaxis of bleeding in subjects with haemophilia (with or without inhibitors).</w:t>
      </w:r>
    </w:p>
    <w:p w14:paraId="288A04CE" w14:textId="3838D9E3" w:rsidR="00596383" w:rsidRPr="007D4ED3" w:rsidRDefault="00596383" w:rsidP="007D4ED3">
      <w:r w:rsidRPr="007D4ED3">
        <w:t>Study 4311 is the only pivotal study and the only study of the proposed dose regimen. In addition to the treatment pause and change in dose regimen, interpretation of the efficacy data is complicated by other factors discussed below.</w:t>
      </w:r>
    </w:p>
    <w:p w14:paraId="51E70928" w14:textId="1E8C698B" w:rsidR="00596383" w:rsidRPr="007D4ED3" w:rsidRDefault="00596383" w:rsidP="007D4ED3">
      <w:r w:rsidRPr="007D4ED3">
        <w:t xml:space="preserve">Justification for a pooled study in patients with HA and HB, with the primary endpoint analysed in this merged population, was justified </w:t>
      </w:r>
      <w:proofErr w:type="gramStart"/>
      <w:r w:rsidRPr="007D4ED3">
        <w:t>on the basis of</w:t>
      </w:r>
      <w:proofErr w:type="gramEnd"/>
      <w:r w:rsidRPr="007D4ED3">
        <w:t xml:space="preserve"> rarity (in particular of </w:t>
      </w:r>
      <w:proofErr w:type="spellStart"/>
      <w:r w:rsidRPr="007D4ED3">
        <w:t>HBwI</w:t>
      </w:r>
      <w:proofErr w:type="spellEnd"/>
      <w:r w:rsidRPr="007D4ED3">
        <w:t xml:space="preserve">), the concizumab mechanism of action (in context of the commonalities between these two types of haemophilia), and the comparability of </w:t>
      </w:r>
      <w:r w:rsidR="007D4ED3">
        <w:t>P</w:t>
      </w:r>
      <w:r w:rsidRPr="007D4ED3">
        <w:t xml:space="preserve">hase </w:t>
      </w:r>
      <w:r w:rsidR="007D4ED3">
        <w:t>II</w:t>
      </w:r>
      <w:r w:rsidRPr="007D4ED3">
        <w:t xml:space="preserve"> findings in HA versus HB (including PK/PD).</w:t>
      </w:r>
    </w:p>
    <w:p w14:paraId="275737D2" w14:textId="0418C0D9" w:rsidR="00596383" w:rsidRPr="007D4ED3" w:rsidRDefault="00596383" w:rsidP="007D4ED3">
      <w:r w:rsidRPr="007D4ED3">
        <w:t xml:space="preserve">Evidence for efficacy comes principally from the randomised comparison of concizumab prophylaxis (Arm 2) against on-demand treatment with bypassing agents (Arm 1). The sponsor justified this approach on the grounds that </w:t>
      </w:r>
      <w:r w:rsidR="007D4ED3">
        <w:t>‘</w:t>
      </w:r>
      <w:r w:rsidRPr="007D4ED3">
        <w:t xml:space="preserve">regulatory authorities have traditionally required a comparison of prophylaxis versus no prophylaxis for registration of haemophilia products for </w:t>
      </w:r>
      <w:proofErr w:type="gramStart"/>
      <w:r w:rsidRPr="007D4ED3">
        <w:t>prophylaxis</w:t>
      </w:r>
      <w:r w:rsidR="007D4ED3">
        <w:t>’</w:t>
      </w:r>
      <w:proofErr w:type="gramEnd"/>
      <w:r w:rsidRPr="007D4ED3">
        <w:t>. Comparison with another prophylaxis regimen (</w:t>
      </w:r>
      <w:r w:rsidR="007D4ED3">
        <w:t>for example</w:t>
      </w:r>
      <w:r w:rsidRPr="007D4ED3">
        <w:t xml:space="preserve">, using </w:t>
      </w:r>
      <w:proofErr w:type="spellStart"/>
      <w:r w:rsidRPr="007D4ED3">
        <w:t>rfVIIa</w:t>
      </w:r>
      <w:proofErr w:type="spellEnd"/>
      <w:r w:rsidRPr="007D4ED3">
        <w:t>) would be impractical as all prophylactic regimens result in low bleeding rates and an adequately powered randomised comparison would require a large sample size.</w:t>
      </w:r>
      <w:bookmarkStart w:id="136" w:name="_Ref159924486"/>
      <w:r w:rsidR="007D4ED3">
        <w:rPr>
          <w:rStyle w:val="FootnoteReference"/>
        </w:rPr>
        <w:footnoteReference w:id="43"/>
      </w:r>
      <w:bookmarkEnd w:id="136"/>
    </w:p>
    <w:p w14:paraId="58054988" w14:textId="25D49CBD" w:rsidR="00596383" w:rsidRPr="007D4ED3" w:rsidRDefault="00596383" w:rsidP="007D4ED3">
      <w:r w:rsidRPr="007D4ED3">
        <w:t xml:space="preserve">The entry criteria for the study are considered appropriate and focussed on a history of inhibitors (historical result of at least 0.6 BU) and a history of use of bypassing agents, thus identifying a population in keeping with the proposed population for registration </w:t>
      </w:r>
      <w:r w:rsidR="007D4ED3">
        <w:t xml:space="preserve">that is, </w:t>
      </w:r>
      <w:r w:rsidRPr="007D4ED3">
        <w:t xml:space="preserve">haemophilia patients with inhibitors (noting that this application is specific to registration for </w:t>
      </w:r>
      <w:proofErr w:type="spellStart"/>
      <w:r w:rsidRPr="007D4ED3">
        <w:t>HBwI</w:t>
      </w:r>
      <w:proofErr w:type="spellEnd"/>
      <w:r w:rsidRPr="007D4ED3">
        <w:t>).</w:t>
      </w:r>
    </w:p>
    <w:p w14:paraId="5DE2C2DE" w14:textId="4A281195" w:rsidR="00596383" w:rsidRPr="007D4ED3" w:rsidRDefault="00596383" w:rsidP="007D4ED3">
      <w:r w:rsidRPr="007D4ED3">
        <w:t>Overall, the randomised portion of the study claims to have demonstrated a statistically significant and clinically meaningful reduction in annualised bleeding rate (ABR [95% CI]) with concizumab prophylaxis (1.7 [1.0, 2.9]), compared to on-demand treatment with bypassing agents (11.8 [7.0, 19.9]). The ABR ratio (95% CI) was 0.14 (0.07, 0.29; p &lt; 0.001).</w:t>
      </w:r>
    </w:p>
    <w:p w14:paraId="5F5A9E08" w14:textId="6E528381" w:rsidR="00596383" w:rsidRPr="007D4ED3" w:rsidRDefault="00596383" w:rsidP="007D4ED3">
      <w:r w:rsidRPr="007D4ED3">
        <w:t>The study was not powered to demonstrate a statistically significant reduction in ABR in the two haemophilia subgroups (</w:t>
      </w:r>
      <w:proofErr w:type="spellStart"/>
      <w:r w:rsidRPr="007D4ED3">
        <w:t>HAwI</w:t>
      </w:r>
      <w:proofErr w:type="spellEnd"/>
      <w:r w:rsidRPr="007D4ED3">
        <w:t xml:space="preserve"> and </w:t>
      </w:r>
      <w:proofErr w:type="spellStart"/>
      <w:r w:rsidRPr="007D4ED3">
        <w:t>HBwI</w:t>
      </w:r>
      <w:proofErr w:type="spellEnd"/>
      <w:r w:rsidRPr="007D4ED3">
        <w:t xml:space="preserve">). The ABR ratio (95% CI) for </w:t>
      </w:r>
      <w:proofErr w:type="spellStart"/>
      <w:r w:rsidRPr="007D4ED3">
        <w:t>HAwI</w:t>
      </w:r>
      <w:proofErr w:type="spellEnd"/>
      <w:r w:rsidRPr="007D4ED3">
        <w:t xml:space="preserve"> was 0.09 (0.04 to 0.18; nominal p</w:t>
      </w:r>
      <w:r w:rsidR="007D4ED3">
        <w:t> </w:t>
      </w:r>
      <w:r w:rsidRPr="007D4ED3">
        <w:t>&lt;</w:t>
      </w:r>
      <w:r w:rsidR="007D4ED3">
        <w:t> </w:t>
      </w:r>
      <w:r w:rsidRPr="007D4ED3">
        <w:t xml:space="preserve">0.001]) and for </w:t>
      </w:r>
      <w:proofErr w:type="spellStart"/>
      <w:r w:rsidRPr="007D4ED3">
        <w:t>HBwI</w:t>
      </w:r>
      <w:proofErr w:type="spellEnd"/>
      <w:r w:rsidRPr="007D4ED3">
        <w:t xml:space="preserve"> subjects was 0.31 (0.07, 1.36; nominal p</w:t>
      </w:r>
      <w:r w:rsidR="007D4ED3">
        <w:t> </w:t>
      </w:r>
      <w:r w:rsidRPr="007D4ED3">
        <w:t>=</w:t>
      </w:r>
      <w:r w:rsidR="007D4ED3">
        <w:t> </w:t>
      </w:r>
      <w:r w:rsidRPr="007D4ED3">
        <w:t>0.12).</w:t>
      </w:r>
    </w:p>
    <w:p w14:paraId="2F086F46" w14:textId="3162BC76" w:rsidR="00596383" w:rsidRPr="007D4ED3" w:rsidRDefault="00596383" w:rsidP="007D4ED3">
      <w:r w:rsidRPr="007D4ED3">
        <w:t xml:space="preserve">The sponsor had anticipated an ABR of approximately 18 for the total population of subjects in Arm 1. The results in </w:t>
      </w:r>
      <w:proofErr w:type="spellStart"/>
      <w:r w:rsidRPr="007D4ED3">
        <w:t>HAwI</w:t>
      </w:r>
      <w:proofErr w:type="spellEnd"/>
      <w:r w:rsidRPr="007D4ED3">
        <w:t xml:space="preserve"> subgroup were consistent with this estimate. However, the result in the </w:t>
      </w:r>
      <w:proofErr w:type="spellStart"/>
      <w:r w:rsidRPr="007D4ED3">
        <w:t>HBwI</w:t>
      </w:r>
      <w:proofErr w:type="spellEnd"/>
      <w:r w:rsidRPr="007D4ED3">
        <w:t xml:space="preserve"> subgroup was notably lower than anticipated. The reason for this finding is unclear. Of </w:t>
      </w:r>
      <w:r w:rsidRPr="007D4ED3">
        <w:lastRenderedPageBreak/>
        <w:t xml:space="preserve">the 10 </w:t>
      </w:r>
      <w:proofErr w:type="spellStart"/>
      <w:r w:rsidRPr="007D4ED3">
        <w:t>HBwI</w:t>
      </w:r>
      <w:proofErr w:type="spellEnd"/>
      <w:r w:rsidRPr="007D4ED3">
        <w:t xml:space="preserve"> subjects in Arm 1 of the </w:t>
      </w:r>
      <w:proofErr w:type="spellStart"/>
      <w:r w:rsidRPr="007D4ED3">
        <w:t>OTexIR</w:t>
      </w:r>
      <w:proofErr w:type="spellEnd"/>
      <w:r w:rsidRPr="007D4ED3">
        <w:t xml:space="preserve"> dataset, </w:t>
      </w:r>
      <w:r w:rsidR="007D4ED3">
        <w:t>six</w:t>
      </w:r>
      <w:r w:rsidRPr="007D4ED3">
        <w:t xml:space="preserve"> subjects (60%) had 9</w:t>
      </w:r>
      <w:r w:rsidR="007D4ED3">
        <w:t xml:space="preserve"> or more</w:t>
      </w:r>
      <w:r w:rsidRPr="007D4ED3">
        <w:t xml:space="preserve"> bleeds during the 24 weeks prior to screening (</w:t>
      </w:r>
      <w:r w:rsidR="007D4ED3">
        <w:t>that is</w:t>
      </w:r>
      <w:r w:rsidRPr="007D4ED3">
        <w:t>, an approximate ABR of 18</w:t>
      </w:r>
      <w:r w:rsidR="007D4ED3">
        <w:t xml:space="preserve"> or greater</w:t>
      </w:r>
      <w:r w:rsidRPr="007D4ED3">
        <w:t>).</w:t>
      </w:r>
    </w:p>
    <w:p w14:paraId="71A18FD1" w14:textId="492283AE" w:rsidR="00596383" w:rsidRPr="007D4ED3" w:rsidRDefault="00596383" w:rsidP="007D4ED3">
      <w:r w:rsidRPr="007D4ED3">
        <w:t xml:space="preserve">The two key secondary efficacy endpoints did not demonstrate a </w:t>
      </w:r>
      <w:proofErr w:type="gramStart"/>
      <w:r w:rsidRPr="007D4ED3">
        <w:t>quality</w:t>
      </w:r>
      <w:r w:rsidR="007D4ED3">
        <w:t xml:space="preserve"> </w:t>
      </w:r>
      <w:r w:rsidRPr="007D4ED3">
        <w:t>of</w:t>
      </w:r>
      <w:r w:rsidR="007D4ED3">
        <w:t xml:space="preserve"> </w:t>
      </w:r>
      <w:r w:rsidRPr="007D4ED3">
        <w:t>life</w:t>
      </w:r>
      <w:proofErr w:type="gramEnd"/>
      <w:r w:rsidRPr="007D4ED3">
        <w:t xml:space="preserve"> benefit for concizumab prophylaxis over on-demand treatment.</w:t>
      </w:r>
    </w:p>
    <w:p w14:paraId="5E173864" w14:textId="3DE55521" w:rsidR="00596383" w:rsidRPr="007D4ED3" w:rsidRDefault="00596383" w:rsidP="007D4ED3">
      <w:r w:rsidRPr="007D4ED3">
        <w:t>Study 4307 (explorer8) is a study in patients with HA or HB without inhibitors. This study includes within</w:t>
      </w:r>
      <w:r w:rsidR="007D4ED3">
        <w:t xml:space="preserve"> </w:t>
      </w:r>
      <w:r w:rsidRPr="007D4ED3">
        <w:t>patient comparison of ABR (</w:t>
      </w:r>
      <w:r w:rsidR="007D4ED3">
        <w:t>S</w:t>
      </w:r>
      <w:r w:rsidRPr="007D4ED3">
        <w:t>tudy 4322 v</w:t>
      </w:r>
      <w:r w:rsidR="007D4ED3">
        <w:t>ersus</w:t>
      </w:r>
      <w:r w:rsidRPr="007D4ED3">
        <w:t xml:space="preserve"> </w:t>
      </w:r>
      <w:r w:rsidR="007D4ED3">
        <w:t>S</w:t>
      </w:r>
      <w:r w:rsidRPr="007D4ED3">
        <w:t>tudy 4307) as a secondary endpoint. Provision of this data to TGA when available should be made a condition of registration.</w:t>
      </w:r>
    </w:p>
    <w:p w14:paraId="3BDB2AB9" w14:textId="7F24219A" w:rsidR="00596383" w:rsidRDefault="00596383" w:rsidP="007D4ED3">
      <w:pPr>
        <w:pStyle w:val="Heading6"/>
      </w:pPr>
      <w:r>
        <w:t>A</w:t>
      </w:r>
      <w:r w:rsidR="007D4ED3">
        <w:t>nnualised bleeding rate</w:t>
      </w:r>
      <w:r>
        <w:t xml:space="preserve"> as a reliable measure of efficacy</w:t>
      </w:r>
    </w:p>
    <w:p w14:paraId="6202BF3D" w14:textId="5718974F" w:rsidR="00596383" w:rsidRPr="007D4ED3" w:rsidRDefault="00596383" w:rsidP="007D4ED3">
      <w:r w:rsidRPr="007D4ED3">
        <w:t xml:space="preserve">The primary endpoint for the study was ABR. </w:t>
      </w:r>
      <w:r w:rsidR="007D4ED3">
        <w:t>Annualised bleeding rate (</w:t>
      </w:r>
      <w:r w:rsidRPr="007D4ED3">
        <w:t>ABR</w:t>
      </w:r>
      <w:r w:rsidR="007D4ED3">
        <w:t>)</w:t>
      </w:r>
      <w:r w:rsidRPr="007D4ED3">
        <w:t xml:space="preserve"> has some limitations as an endpoint, as the decision by a patient to treat a possible bleeding episode is usually somewhat subjective.</w:t>
      </w:r>
      <w:r w:rsidR="007D4ED3" w:rsidRPr="007D4ED3">
        <w:rPr>
          <w:vertAlign w:val="superscript"/>
        </w:rPr>
        <w:fldChar w:fldCharType="begin"/>
      </w:r>
      <w:r w:rsidR="007D4ED3" w:rsidRPr="007D4ED3">
        <w:rPr>
          <w:vertAlign w:val="superscript"/>
        </w:rPr>
        <w:instrText xml:space="preserve"> NOTEREF _Ref159924486 \f \h </w:instrText>
      </w:r>
      <w:r w:rsidR="007D4ED3" w:rsidRPr="007D4ED3">
        <w:rPr>
          <w:vertAlign w:val="superscript"/>
        </w:rPr>
      </w:r>
      <w:r w:rsidR="007D4ED3" w:rsidRPr="007D4ED3">
        <w:rPr>
          <w:vertAlign w:val="superscript"/>
        </w:rPr>
        <w:fldChar w:fldCharType="separate"/>
      </w:r>
      <w:r w:rsidR="001B5D20" w:rsidRPr="001B5D20">
        <w:rPr>
          <w:rStyle w:val="FootnoteReference"/>
        </w:rPr>
        <w:t>42</w:t>
      </w:r>
      <w:r w:rsidR="007D4ED3" w:rsidRPr="007D4ED3">
        <w:rPr>
          <w:vertAlign w:val="superscript"/>
        </w:rPr>
        <w:fldChar w:fldCharType="end"/>
      </w:r>
      <w:r w:rsidR="007D4ED3">
        <w:rPr>
          <w:vertAlign w:val="superscript"/>
        </w:rPr>
        <w:t xml:space="preserve">, </w:t>
      </w:r>
      <w:r w:rsidR="007D4ED3">
        <w:rPr>
          <w:rStyle w:val="FootnoteReference"/>
        </w:rPr>
        <w:footnoteReference w:id="44"/>
      </w:r>
      <w:r w:rsidRPr="007D4ED3">
        <w:t xml:space="preserve"> Nevertheless, the ABR has commonly been used as the primary endpoint in haemophilia studies and was accepted as such by the TGA in the approval of </w:t>
      </w:r>
      <w:proofErr w:type="spellStart"/>
      <w:r w:rsidRPr="007D4ED3">
        <w:t>emicizumab</w:t>
      </w:r>
      <w:proofErr w:type="spellEnd"/>
      <w:r w:rsidRPr="007D4ED3">
        <w:t>.</w:t>
      </w:r>
      <w:r w:rsidR="007D4ED3">
        <w:rPr>
          <w:rStyle w:val="FootnoteReference"/>
        </w:rPr>
        <w:footnoteReference w:id="45"/>
      </w:r>
    </w:p>
    <w:p w14:paraId="1E6F84AB" w14:textId="2FB88D16" w:rsidR="00596383" w:rsidRPr="007D4ED3" w:rsidRDefault="00596383" w:rsidP="007D4ED3">
      <w:r w:rsidRPr="007D4ED3">
        <w:t xml:space="preserve">The ABR was lower than estimated in the control arm (Arm 1) both overall (ABR 11.8) and particularly in </w:t>
      </w:r>
      <w:proofErr w:type="spellStart"/>
      <w:r w:rsidRPr="007D4ED3">
        <w:t>HBwI</w:t>
      </w:r>
      <w:proofErr w:type="spellEnd"/>
      <w:r w:rsidRPr="007D4ED3">
        <w:t xml:space="preserve"> (ABR 7.2). The expected on-demand ABR, on which sample size calculation was based, was 18. In response to regulator questions, the </w:t>
      </w:r>
      <w:r w:rsidR="007D4ED3">
        <w:t>s</w:t>
      </w:r>
      <w:r w:rsidRPr="007D4ED3">
        <w:t xml:space="preserve">ponsor noted that the observed ABR of 11.8 was within the range of those seen in the studies used for sample size calculations (7.9 to 29.8). They also noted that the ABR in the </w:t>
      </w:r>
      <w:proofErr w:type="spellStart"/>
      <w:r w:rsidRPr="007D4ED3">
        <w:t>HBwI</w:t>
      </w:r>
      <w:proofErr w:type="spellEnd"/>
      <w:r w:rsidRPr="007D4ED3">
        <w:t xml:space="preserve"> subgroup (7.2) was </w:t>
      </w:r>
      <w:proofErr w:type="gramStart"/>
      <w:r w:rsidRPr="007D4ED3">
        <w:t>similar to</w:t>
      </w:r>
      <w:proofErr w:type="gramEnd"/>
      <w:r w:rsidRPr="007D4ED3">
        <w:t xml:space="preserve"> that seen in a mixed </w:t>
      </w:r>
      <w:proofErr w:type="spellStart"/>
      <w:r w:rsidRPr="007D4ED3">
        <w:t>HAwI</w:t>
      </w:r>
      <w:proofErr w:type="spellEnd"/>
      <w:r w:rsidRPr="007D4ED3">
        <w:t xml:space="preserve"> and </w:t>
      </w:r>
      <w:proofErr w:type="spellStart"/>
      <w:r w:rsidRPr="007D4ED3">
        <w:t>HBwI</w:t>
      </w:r>
      <w:proofErr w:type="spellEnd"/>
      <w:r w:rsidRPr="007D4ED3">
        <w:t xml:space="preserve"> group (n</w:t>
      </w:r>
      <w:r w:rsidR="007D4ED3">
        <w:t> </w:t>
      </w:r>
      <w:r w:rsidRPr="007D4ED3">
        <w:t>=</w:t>
      </w:r>
      <w:r w:rsidR="007D4ED3">
        <w:t> </w:t>
      </w:r>
      <w:r w:rsidRPr="007D4ED3">
        <w:t xml:space="preserve">51, ABR 7.9) in one of the internal </w:t>
      </w:r>
      <w:r w:rsidR="007D4ED3">
        <w:t>sponsor</w:t>
      </w:r>
      <w:r w:rsidRPr="007D4ED3">
        <w:t xml:space="preserve"> studies used for sample size calculation. There does not appear to be a peer reviewed publication of this study, and it is the only study used in sample size calculations in which the ABR was so low (the remainder were 18</w:t>
      </w:r>
      <w:r w:rsidR="007D4ED3">
        <w:t xml:space="preserve"> to </w:t>
      </w:r>
      <w:r w:rsidRPr="007D4ED3">
        <w:t xml:space="preserve">30). The </w:t>
      </w:r>
      <w:r w:rsidR="007D4ED3">
        <w:t>s</w:t>
      </w:r>
      <w:r w:rsidRPr="007D4ED3">
        <w:t>ponsor made further statements about similarity of ABRs in explorer6. These are not considered relevant, as there was a large group of patients with inhibitors from explorer6 (n</w:t>
      </w:r>
      <w:r w:rsidR="007D4ED3">
        <w:t> </w:t>
      </w:r>
      <w:r w:rsidRPr="007D4ED3">
        <w:t>=</w:t>
      </w:r>
      <w:r w:rsidR="007D4ED3">
        <w:t> </w:t>
      </w:r>
      <w:r w:rsidRPr="007D4ED3">
        <w:t xml:space="preserve">64), who made up around </w:t>
      </w:r>
      <w:r w:rsidR="007D4ED3">
        <w:t>two</w:t>
      </w:r>
      <w:r w:rsidRPr="007D4ED3">
        <w:t xml:space="preserve"> thirds of Arm 2, based on </w:t>
      </w:r>
      <w:r w:rsidR="007D4ED3">
        <w:fldChar w:fldCharType="begin"/>
      </w:r>
      <w:r w:rsidR="007D4ED3">
        <w:instrText xml:space="preserve"> REF _Ref149652807 \h </w:instrText>
      </w:r>
      <w:r w:rsidR="007D4ED3">
        <w:fldChar w:fldCharType="separate"/>
      </w:r>
      <w:r w:rsidR="001B5D20" w:rsidRPr="002276B2">
        <w:t xml:space="preserve">Table </w:t>
      </w:r>
      <w:r w:rsidR="001B5D20">
        <w:rPr>
          <w:noProof/>
        </w:rPr>
        <w:t>14</w:t>
      </w:r>
      <w:r w:rsidR="007D4ED3">
        <w:fldChar w:fldCharType="end"/>
      </w:r>
      <w:r w:rsidRPr="007D4ED3">
        <w:t>. The ABRs in explorer6 therefore do not provide an independent point of external control</w:t>
      </w:r>
      <w:r w:rsidR="007D4ED3">
        <w:t>,</w:t>
      </w:r>
      <w:r w:rsidRPr="007D4ED3">
        <w:t xml:space="preserve"> they are not mutually exclusive populations.</w:t>
      </w:r>
    </w:p>
    <w:p w14:paraId="5FD199D4" w14:textId="31D16F78" w:rsidR="00596383" w:rsidRPr="007D4ED3" w:rsidRDefault="007D4ED3" w:rsidP="007D4ED3">
      <w:r>
        <w:t xml:space="preserve">The Delegate </w:t>
      </w:r>
      <w:r w:rsidR="00596383" w:rsidRPr="007D4ED3">
        <w:t>conclu</w:t>
      </w:r>
      <w:r>
        <w:t>ded</w:t>
      </w:r>
      <w:r w:rsidR="00596383" w:rsidRPr="007D4ED3">
        <w:t xml:space="preserve"> that ABR is a measure of spurious utility outside the setting of randomisation. Its value for intra-patient comparisons during juxtaposed time periods is unclear and adds uncertainty to the exploratory intra-patient analyses of explorer7.</w:t>
      </w:r>
    </w:p>
    <w:p w14:paraId="0707411F" w14:textId="3E5FFBE2" w:rsidR="00596383" w:rsidRDefault="00596383" w:rsidP="007D4ED3">
      <w:pPr>
        <w:pStyle w:val="Heading6"/>
      </w:pPr>
      <w:r>
        <w:t>Baseline disease severity</w:t>
      </w:r>
      <w:r w:rsidR="00572F9F">
        <w:fldChar w:fldCharType="begin"/>
      </w:r>
      <w:r w:rsidR="00572F9F">
        <w:instrText xml:space="preserve"> DOCVARIABLE vault_nd_df8cc14f-2131-47fb-be0a-9674bb79d21e \* MERGEFORMAT </w:instrText>
      </w:r>
      <w:r w:rsidR="00572F9F">
        <w:fldChar w:fldCharType="separate"/>
      </w:r>
      <w:r w:rsidR="001B5D20">
        <w:t xml:space="preserve"> </w:t>
      </w:r>
      <w:r w:rsidR="00572F9F">
        <w:fldChar w:fldCharType="end"/>
      </w:r>
    </w:p>
    <w:p w14:paraId="61D92978" w14:textId="51E100DE" w:rsidR="00596383" w:rsidRPr="007D4ED3" w:rsidRDefault="00596383" w:rsidP="007D4ED3">
      <w:r w:rsidRPr="007D4ED3">
        <w:t xml:space="preserve">In explorer7, randomisation of patients to Arm 1 or Arm 2 was stratified by a baseline severity criterion: less than 9, versus 9 or more bleeding episodes during the 24 weeks prior to trial start. This was in line with the approach used in stratifying randomisation for the pivotal study that supported </w:t>
      </w:r>
      <w:proofErr w:type="spellStart"/>
      <w:r w:rsidRPr="007D4ED3">
        <w:t>emicizumab</w:t>
      </w:r>
      <w:proofErr w:type="spellEnd"/>
      <w:r w:rsidRPr="007D4ED3">
        <w:t xml:space="preserve"> registration. For each patient, whether they were in the </w:t>
      </w:r>
      <w:r w:rsidR="007D4ED3">
        <w:t xml:space="preserve">less than </w:t>
      </w:r>
      <w:r w:rsidRPr="007D4ED3">
        <w:t>9 or 9</w:t>
      </w:r>
      <w:r w:rsidR="007D4ED3">
        <w:t xml:space="preserve"> or more </w:t>
      </w:r>
      <w:r w:rsidRPr="007D4ED3">
        <w:t xml:space="preserve">category was stated to have been verified by the monitor based on review of patient medical records. However, the actual number of bleeds in the past 24 weeks was not provided to the </w:t>
      </w:r>
      <w:r w:rsidR="007D4ED3">
        <w:t>s</w:t>
      </w:r>
      <w:r w:rsidRPr="007D4ED3">
        <w:t xml:space="preserve">ponsor. Additionally, in the full analysis set, among patients with </w:t>
      </w:r>
      <w:proofErr w:type="spellStart"/>
      <w:r w:rsidRPr="007D4ED3">
        <w:t>HAwI</w:t>
      </w:r>
      <w:proofErr w:type="spellEnd"/>
      <w:r w:rsidRPr="007D4ED3">
        <w:t xml:space="preserve"> and </w:t>
      </w:r>
      <w:proofErr w:type="spellStart"/>
      <w:r w:rsidRPr="007D4ED3">
        <w:t>HBwI</w:t>
      </w:r>
      <w:proofErr w:type="spellEnd"/>
      <w:r w:rsidRPr="007D4ED3">
        <w:t xml:space="preserve"> there was </w:t>
      </w:r>
      <w:r w:rsidR="007D4ED3">
        <w:t xml:space="preserve">one </w:t>
      </w:r>
      <w:r w:rsidRPr="007D4ED3">
        <w:t xml:space="preserve">patient in </w:t>
      </w:r>
      <w:r w:rsidR="007D4ED3">
        <w:t>A</w:t>
      </w:r>
      <w:r w:rsidRPr="007D4ED3">
        <w:t xml:space="preserve">rm 1 and </w:t>
      </w:r>
      <w:r w:rsidR="007D4ED3">
        <w:t>one</w:t>
      </w:r>
      <w:r w:rsidRPr="007D4ED3">
        <w:t xml:space="preserve"> patient in </w:t>
      </w:r>
      <w:r w:rsidR="007D4ED3">
        <w:t>A</w:t>
      </w:r>
      <w:r w:rsidRPr="007D4ED3">
        <w:t xml:space="preserve">rm 2 with no prior bleeding event information reported for the prior 24 weeks. Nominally, the number of patients with missing prior bleeding </w:t>
      </w:r>
      <w:r w:rsidRPr="007D4ED3">
        <w:lastRenderedPageBreak/>
        <w:t>event information is balanced between the treatment arms. However, the impact of the missing prior bleeding event information is unclear.</w:t>
      </w:r>
    </w:p>
    <w:p w14:paraId="6C408EDF" w14:textId="15E3CBA5" w:rsidR="00596383" w:rsidRPr="007D4ED3" w:rsidRDefault="007D4ED3" w:rsidP="007D4ED3">
      <w:r w:rsidRPr="007D4ED3">
        <w:t xml:space="preserve">The </w:t>
      </w:r>
      <w:r w:rsidR="001B5D20">
        <w:t>D</w:t>
      </w:r>
      <w:r w:rsidRPr="007D4ED3">
        <w:t>elegate commented that t</w:t>
      </w:r>
      <w:r w:rsidR="00596383" w:rsidRPr="007D4ED3">
        <w:t>he study should have recorded the number of bleeds in the 24</w:t>
      </w:r>
      <w:r>
        <w:t> </w:t>
      </w:r>
      <w:r w:rsidR="00596383" w:rsidRPr="007D4ED3">
        <w:t xml:space="preserve">weeks prior to study entry as baseline information on disease severity, noting that bleed frequency is the primary endpoint. Despite this, exploratory intra-patient analyses are reassuring that differences in disease severity are unlikely to explain the difference between bleeding rates seen in Arm 1 compared to Arm 2 of the study (see </w:t>
      </w:r>
      <w:r>
        <w:fldChar w:fldCharType="begin"/>
      </w:r>
      <w:r>
        <w:instrText xml:space="preserve"> REF _Ref127547218 \h </w:instrText>
      </w:r>
      <w:r>
        <w:fldChar w:fldCharType="separate"/>
      </w:r>
      <w:r w:rsidR="001B5D20" w:rsidRPr="005715BC">
        <w:rPr>
          <w:szCs w:val="22"/>
        </w:rPr>
        <w:t>Exploratory analyses</w:t>
      </w:r>
      <w:r>
        <w:fldChar w:fldCharType="end"/>
      </w:r>
      <w:r w:rsidR="00596383" w:rsidRPr="007D4ED3">
        <w:t>)</w:t>
      </w:r>
      <w:r>
        <w:t>.</w:t>
      </w:r>
    </w:p>
    <w:p w14:paraId="03B5E17C" w14:textId="02983BF2" w:rsidR="00596383" w:rsidRPr="007D4ED3" w:rsidRDefault="00596383" w:rsidP="007D4ED3">
      <w:r w:rsidRPr="007D4ED3">
        <w:t xml:space="preserve">Based on multiple reassuring exploratory analyses, </w:t>
      </w:r>
      <w:r w:rsidR="007D4ED3">
        <w:t>the Delegate was of the view</w:t>
      </w:r>
      <w:r w:rsidRPr="007D4ED3">
        <w:t xml:space="preserve"> it is unlikely that the effect of concizumab in reducing the frequency of bleeding episodes can be explained by a chance baseline difference in propensity to bleed between the arms. </w:t>
      </w:r>
      <w:r w:rsidR="007D4ED3">
        <w:t xml:space="preserve">Advisory Committee on </w:t>
      </w:r>
      <w:r w:rsidR="007D4ED3" w:rsidRPr="00676791">
        <w:t>Medicines (</w:t>
      </w:r>
      <w:r w:rsidRPr="00676791">
        <w:t>ACM</w:t>
      </w:r>
      <w:r w:rsidR="007D4ED3" w:rsidRPr="00676791">
        <w:t>)</w:t>
      </w:r>
      <w:r w:rsidRPr="007D4ED3">
        <w:t xml:space="preserve"> advice was received indicating that whilst ABR may not be as ideally objective, data quality may be higher (due to better adherence) than for a more objective measure such as clinically or radiologically confirmed bleeds. The ACM was of the view that the submitted efficacy data is adequate to support the use of concizumab for prophylaxis against bleeding for patients with </w:t>
      </w:r>
      <w:proofErr w:type="spellStart"/>
      <w:r w:rsidRPr="007D4ED3">
        <w:t>HBwI</w:t>
      </w:r>
      <w:proofErr w:type="spellEnd"/>
      <w:r w:rsidRPr="007D4ED3">
        <w:t>. The ACM noted that patient randomisation was stratified by number of bleeds in the previous 6 months and agreed that the lack of granularity in the baseline data on bleeding frequency is not ideal, however does not pose an absolute barrier to accepting the study as supportive of a treatment effect. The ACM also agreed that the consistency of effect across subgroups is reassuring that the difference between arms was not attributable to outliers.</w:t>
      </w:r>
    </w:p>
    <w:p w14:paraId="73981375" w14:textId="40430A7C" w:rsidR="00596383" w:rsidRPr="00596383" w:rsidRDefault="00596383" w:rsidP="007D4ED3">
      <w:pPr>
        <w:pStyle w:val="Heading6"/>
      </w:pPr>
      <w:r w:rsidRPr="00596383">
        <w:t>Severity of haemophilia based on factor levels</w:t>
      </w:r>
      <w:r w:rsidR="00572F9F">
        <w:fldChar w:fldCharType="begin"/>
      </w:r>
      <w:r w:rsidR="00572F9F">
        <w:instrText xml:space="preserve"> DOCVARIABLE vault_nd_c5d7f50c-ca01</w:instrText>
      </w:r>
      <w:r w:rsidR="00572F9F">
        <w:instrText xml:space="preserve">-420a-94b3-95e5ed329a99 \* MERGEFORMAT </w:instrText>
      </w:r>
      <w:r w:rsidR="00572F9F">
        <w:fldChar w:fldCharType="separate"/>
      </w:r>
      <w:r w:rsidR="001B5D20">
        <w:t xml:space="preserve"> </w:t>
      </w:r>
      <w:r w:rsidR="00572F9F">
        <w:fldChar w:fldCharType="end"/>
      </w:r>
    </w:p>
    <w:p w14:paraId="2C2F5F4C" w14:textId="1A3B74B5" w:rsidR="00596383" w:rsidRPr="007D4ED3" w:rsidRDefault="00596383" w:rsidP="007D4ED3">
      <w:r w:rsidRPr="007D4ED3">
        <w:t xml:space="preserve">There appear to be very few patients with non-severe haemophilia who </w:t>
      </w:r>
      <w:proofErr w:type="gramStart"/>
      <w:r w:rsidRPr="007D4ED3">
        <w:t>actually enrolled</w:t>
      </w:r>
      <w:proofErr w:type="gramEnd"/>
      <w:r w:rsidRPr="007D4ED3">
        <w:t xml:space="preserve"> in Arms 1 and 2, based on factor levels at </w:t>
      </w:r>
      <w:r w:rsidR="007D4ED3">
        <w:t>B</w:t>
      </w:r>
      <w:r w:rsidRPr="007D4ED3">
        <w:t>aseline.</w:t>
      </w:r>
    </w:p>
    <w:p w14:paraId="3067C0C0" w14:textId="3CE74D7C" w:rsidR="00596383" w:rsidRPr="007D4ED3" w:rsidRDefault="00596383" w:rsidP="007D4ED3">
      <w:r w:rsidRPr="007D4ED3">
        <w:t xml:space="preserve">Subjects were eligible for inclusion regardless of their initial severity of haemophilia (mild, moderate, or severe), and disease severity was assessed based on patient medical records by the study monitors, rather than baseline </w:t>
      </w:r>
      <w:proofErr w:type="spellStart"/>
      <w:r w:rsidRPr="007D4ED3">
        <w:t>fIX</w:t>
      </w:r>
      <w:proofErr w:type="spellEnd"/>
      <w:r w:rsidRPr="007D4ED3">
        <w:t xml:space="preserve"> or </w:t>
      </w:r>
      <w:proofErr w:type="spellStart"/>
      <w:r w:rsidRPr="007D4ED3">
        <w:t>fVIII</w:t>
      </w:r>
      <w:proofErr w:type="spellEnd"/>
      <w:r w:rsidRPr="007D4ED3">
        <w:t xml:space="preserve"> activity levels. A factor activity test was planned at the screening visit to ensure that a baseline value was available in case information was not available in medical records. For all but </w:t>
      </w:r>
      <w:r w:rsidR="007D4ED3">
        <w:t>five</w:t>
      </w:r>
      <w:r w:rsidRPr="007D4ED3">
        <w:t xml:space="preserve"> patients, this result showed a factor level of </w:t>
      </w:r>
      <w:r w:rsidR="007D4ED3">
        <w:t xml:space="preserve">less than </w:t>
      </w:r>
      <w:r w:rsidRPr="007D4ED3">
        <w:t>0.005</w:t>
      </w:r>
      <w:r w:rsidR="007D4ED3">
        <w:t xml:space="preserve"> </w:t>
      </w:r>
      <w:r w:rsidRPr="007D4ED3">
        <w:t xml:space="preserve">IU/mL consistent with severe haemophilia. One (Australian) patient with </w:t>
      </w:r>
      <w:proofErr w:type="spellStart"/>
      <w:r w:rsidRPr="007D4ED3">
        <w:t>HAwI</w:t>
      </w:r>
      <w:proofErr w:type="spellEnd"/>
      <w:r w:rsidRPr="007D4ED3">
        <w:t xml:space="preserve"> had a level of 0.043</w:t>
      </w:r>
      <w:r w:rsidR="007D4ED3">
        <w:t> </w:t>
      </w:r>
      <w:r w:rsidRPr="007D4ED3">
        <w:t xml:space="preserve">IU/mL, consistent with mild disease, and was randomised to Arm 2 (in the </w:t>
      </w:r>
      <w:r w:rsidR="007D4ED3">
        <w:t xml:space="preserve">less than 9 </w:t>
      </w:r>
      <w:r w:rsidRPr="007D4ED3">
        <w:t xml:space="preserve">episodes stratum). One Ukrainian patient with </w:t>
      </w:r>
      <w:proofErr w:type="spellStart"/>
      <w:r w:rsidRPr="007D4ED3">
        <w:t>HAwI</w:t>
      </w:r>
      <w:proofErr w:type="spellEnd"/>
      <w:r w:rsidRPr="007D4ED3">
        <w:t xml:space="preserve"> had a </w:t>
      </w:r>
      <w:proofErr w:type="spellStart"/>
      <w:r w:rsidRPr="007D4ED3">
        <w:t>fVIII</w:t>
      </w:r>
      <w:proofErr w:type="spellEnd"/>
      <w:r w:rsidRPr="007D4ED3">
        <w:t xml:space="preserve"> level of 0.287</w:t>
      </w:r>
      <w:r w:rsidR="007D4ED3">
        <w:t> </w:t>
      </w:r>
      <w:r w:rsidRPr="007D4ED3">
        <w:t xml:space="preserve">IU/mL, not consistent with a diagnosis of haemophilia, and was randomised to Arm 1. </w:t>
      </w:r>
      <w:r w:rsidR="007D4ED3">
        <w:t xml:space="preserve">They </w:t>
      </w:r>
      <w:r w:rsidRPr="007D4ED3">
        <w:t xml:space="preserve">had 9 or more bleeds in the 24 weeks prior to randomisation and severity recorded as </w:t>
      </w:r>
      <w:r w:rsidR="007D4ED3">
        <w:t>‘</w:t>
      </w:r>
      <w:r w:rsidRPr="007D4ED3">
        <w:t>severe</w:t>
      </w:r>
      <w:r w:rsidR="007D4ED3">
        <w:t>’</w:t>
      </w:r>
      <w:r w:rsidRPr="007D4ED3">
        <w:t>, so likely this represents a test error of some kind. Three further patients (</w:t>
      </w:r>
      <w:proofErr w:type="spellStart"/>
      <w:r w:rsidRPr="007D4ED3">
        <w:t>HBwI</w:t>
      </w:r>
      <w:proofErr w:type="spellEnd"/>
      <w:r w:rsidRPr="007D4ED3">
        <w:t>/9</w:t>
      </w:r>
      <w:r w:rsidR="007D4ED3">
        <w:t xml:space="preserve"> or more</w:t>
      </w:r>
      <w:r w:rsidRPr="007D4ED3">
        <w:t xml:space="preserve">/Arm 1, </w:t>
      </w:r>
      <w:proofErr w:type="spellStart"/>
      <w:r w:rsidRPr="007D4ED3">
        <w:t>HBwI</w:t>
      </w:r>
      <w:proofErr w:type="spellEnd"/>
      <w:r w:rsidRPr="007D4ED3">
        <w:t>/</w:t>
      </w:r>
      <w:r w:rsidR="007D4ED3">
        <w:t xml:space="preserve">less than </w:t>
      </w:r>
      <w:r w:rsidRPr="007D4ED3">
        <w:t xml:space="preserve">9/Arm 1, and </w:t>
      </w:r>
      <w:proofErr w:type="spellStart"/>
      <w:r w:rsidRPr="007D4ED3">
        <w:t>HBwI</w:t>
      </w:r>
      <w:proofErr w:type="spellEnd"/>
      <w:r w:rsidRPr="007D4ED3">
        <w:t>/9</w:t>
      </w:r>
      <w:r w:rsidR="007D4ED3">
        <w:t xml:space="preserve"> or more</w:t>
      </w:r>
      <w:r w:rsidRPr="007D4ED3">
        <w:t xml:space="preserve">/Arm1) were missing a baseline test for </w:t>
      </w:r>
      <w:proofErr w:type="spellStart"/>
      <w:r w:rsidRPr="007D4ED3">
        <w:t>fIX</w:t>
      </w:r>
      <w:proofErr w:type="spellEnd"/>
      <w:r w:rsidRPr="007D4ED3">
        <w:t xml:space="preserve"> level.</w:t>
      </w:r>
    </w:p>
    <w:p w14:paraId="175A4CEF" w14:textId="31303B62" w:rsidR="00596383" w:rsidRPr="007D4ED3" w:rsidRDefault="00596383" w:rsidP="007D4ED3">
      <w:r w:rsidRPr="007D4ED3">
        <w:t>In terms of severity</w:t>
      </w:r>
      <w:r w:rsidR="007D4ED3">
        <w:t xml:space="preserve"> </w:t>
      </w:r>
      <w:r w:rsidRPr="007D4ED3">
        <w:t>related inclusion criteria, all subjects were required to have needed treatment with bypassing agents in the 24 weeks prior to study entry. The study therefore excluded subjects with low</w:t>
      </w:r>
      <w:r w:rsidR="007D4ED3">
        <w:t xml:space="preserve"> </w:t>
      </w:r>
      <w:r w:rsidRPr="007D4ED3">
        <w:t xml:space="preserve">responding inhibitors being managed with increased doses of </w:t>
      </w:r>
      <w:proofErr w:type="spellStart"/>
      <w:r w:rsidRPr="007D4ED3">
        <w:t>fVIII</w:t>
      </w:r>
      <w:proofErr w:type="spellEnd"/>
      <w:r w:rsidRPr="007D4ED3">
        <w:t xml:space="preserve"> or </w:t>
      </w:r>
      <w:proofErr w:type="spellStart"/>
      <w:r w:rsidRPr="007D4ED3">
        <w:t>fIX</w:t>
      </w:r>
      <w:proofErr w:type="spellEnd"/>
      <w:r w:rsidRPr="007D4ED3">
        <w:t>, who would have no need for bypassing agents. In addition, subjects randomised to Arm</w:t>
      </w:r>
      <w:r w:rsidR="007D4ED3">
        <w:t xml:space="preserve"> </w:t>
      </w:r>
      <w:proofErr w:type="gramStart"/>
      <w:r w:rsidRPr="007D4ED3">
        <w:t>1</w:t>
      </w:r>
      <w:proofErr w:type="gramEnd"/>
      <w:r w:rsidRPr="007D4ED3">
        <w:t xml:space="preserve"> and</w:t>
      </w:r>
      <w:r w:rsidR="007D4ED3">
        <w:t xml:space="preserve"> Arm</w:t>
      </w:r>
      <w:r w:rsidRPr="007D4ED3">
        <w:t xml:space="preserve"> 2 were required to have had at least 6 bleeds in the 24 weeks prior to study entry (or at least 12 bleeds in the 52 weeks prior).</w:t>
      </w:r>
    </w:p>
    <w:p w14:paraId="7E4635BA" w14:textId="4A6BD284" w:rsidR="00596383" w:rsidRPr="007D4ED3" w:rsidRDefault="00596383" w:rsidP="007D4ED3">
      <w:r w:rsidRPr="007D4ED3">
        <w:t xml:space="preserve">Amongst responses to the regulators, the </w:t>
      </w:r>
      <w:r w:rsidR="007D4ED3">
        <w:t>s</w:t>
      </w:r>
      <w:r w:rsidRPr="007D4ED3">
        <w:t xml:space="preserve">ponsor stated the following: </w:t>
      </w:r>
    </w:p>
    <w:p w14:paraId="6E666DFA" w14:textId="77777777" w:rsidR="00676791" w:rsidRDefault="00596383" w:rsidP="007D4ED3">
      <w:pPr>
        <w:ind w:left="720"/>
        <w:rPr>
          <w:i/>
          <w:iCs/>
        </w:rPr>
      </w:pPr>
      <w:r w:rsidRPr="007D4ED3">
        <w:rPr>
          <w:i/>
          <w:iCs/>
        </w:rPr>
        <w:t>Disease severity was not collected in Trial 4311</w:t>
      </w:r>
      <w:r w:rsidR="00676791">
        <w:rPr>
          <w:i/>
          <w:iCs/>
        </w:rPr>
        <w:t>.</w:t>
      </w:r>
    </w:p>
    <w:p w14:paraId="19702DD3" w14:textId="77777777" w:rsidR="00676791" w:rsidRDefault="00596383" w:rsidP="007D4ED3">
      <w:pPr>
        <w:ind w:left="720"/>
        <w:rPr>
          <w:i/>
          <w:iCs/>
        </w:rPr>
      </w:pPr>
      <w:r w:rsidRPr="007D4ED3">
        <w:rPr>
          <w:i/>
          <w:iCs/>
        </w:rPr>
        <w:t xml:space="preserve">Trial 4311 includes patients with congenital haemophilia A or B with inhibitors of any severity. It was therefore not considered relevant to measure </w:t>
      </w:r>
      <w:proofErr w:type="spellStart"/>
      <w:r w:rsidRPr="007D4ED3">
        <w:rPr>
          <w:i/>
          <w:iCs/>
        </w:rPr>
        <w:t>fVIII</w:t>
      </w:r>
      <w:proofErr w:type="spellEnd"/>
      <w:r w:rsidRPr="007D4ED3">
        <w:rPr>
          <w:i/>
          <w:iCs/>
        </w:rPr>
        <w:t xml:space="preserve"> or </w:t>
      </w:r>
      <w:proofErr w:type="spellStart"/>
      <w:r w:rsidRPr="007D4ED3">
        <w:rPr>
          <w:i/>
          <w:iCs/>
        </w:rPr>
        <w:t>fIX</w:t>
      </w:r>
      <w:proofErr w:type="spellEnd"/>
      <w:r w:rsidRPr="007D4ED3">
        <w:rPr>
          <w:i/>
          <w:iCs/>
        </w:rPr>
        <w:t xml:space="preserve"> activity on an ongoing basis during the trial, hence only values from the screening visit measurements are available</w:t>
      </w:r>
      <w:r w:rsidR="00676791">
        <w:rPr>
          <w:i/>
          <w:iCs/>
        </w:rPr>
        <w:t>.</w:t>
      </w:r>
    </w:p>
    <w:p w14:paraId="7796E83F" w14:textId="6A960CA6" w:rsidR="00596383" w:rsidRDefault="00596383" w:rsidP="00596383">
      <w:pPr>
        <w:rPr>
          <w:rFonts w:cs="Cambria"/>
          <w:color w:val="000000"/>
          <w:szCs w:val="22"/>
        </w:rPr>
      </w:pPr>
      <w:r w:rsidRPr="00596383">
        <w:rPr>
          <w:rFonts w:cs="Cambria"/>
          <w:color w:val="000000"/>
          <w:szCs w:val="22"/>
        </w:rPr>
        <w:lastRenderedPageBreak/>
        <w:t>The explorer7 study report further states:</w:t>
      </w:r>
    </w:p>
    <w:p w14:paraId="7CA7EFED" w14:textId="0F65FA12" w:rsidR="00596383" w:rsidRPr="007D4ED3" w:rsidRDefault="00596383" w:rsidP="007D4ED3">
      <w:pPr>
        <w:ind w:left="720"/>
        <w:rPr>
          <w:i/>
          <w:iCs/>
        </w:rPr>
      </w:pPr>
      <w:r w:rsidRPr="007D4ED3">
        <w:rPr>
          <w:i/>
          <w:iCs/>
        </w:rPr>
        <w:t xml:space="preserve">The eligibility criteria were defined to ensure that the resulting population would be homogeneous in terms of unmet medical needs. Patients with </w:t>
      </w:r>
      <w:proofErr w:type="spellStart"/>
      <w:r w:rsidRPr="007D4ED3">
        <w:rPr>
          <w:i/>
          <w:iCs/>
        </w:rPr>
        <w:t>HAwI</w:t>
      </w:r>
      <w:proofErr w:type="spellEnd"/>
      <w:r w:rsidRPr="007D4ED3">
        <w:rPr>
          <w:i/>
          <w:iCs/>
        </w:rPr>
        <w:t xml:space="preserve"> and </w:t>
      </w:r>
      <w:proofErr w:type="spellStart"/>
      <w:r w:rsidRPr="007D4ED3">
        <w:rPr>
          <w:i/>
          <w:iCs/>
        </w:rPr>
        <w:t>HBwI</w:t>
      </w:r>
      <w:proofErr w:type="spellEnd"/>
      <w:r w:rsidRPr="007D4ED3">
        <w:rPr>
          <w:i/>
          <w:iCs/>
        </w:rPr>
        <w:t xml:space="preserve"> who were treated with bypassing agents comprised the population for this phase 3 study. Although the initial severity of a patient’s haemophilia may be directly related to endogenous FVIII or FIX activity, the treatment of patients of any severity (mild, moderate, or severe) with clinically relevant inhibitors is similar (i.e., with bypassing agents). In such cases, the initial severity of haemophilia is no longer prognostic for the risk of bleeding. Therefore, this was not to be used to determine eligibility. Instead, the eligibility was defined based on the need for bypassing treatment.</w:t>
      </w:r>
    </w:p>
    <w:p w14:paraId="58D516CB" w14:textId="490ECFBB" w:rsidR="00596383" w:rsidRPr="007D4ED3" w:rsidRDefault="00596383" w:rsidP="007D4ED3">
      <w:r w:rsidRPr="007D4ED3">
        <w:t xml:space="preserve">The </w:t>
      </w:r>
      <w:proofErr w:type="spellStart"/>
      <w:r w:rsidRPr="007D4ED3">
        <w:t>ACMʼs</w:t>
      </w:r>
      <w:proofErr w:type="spellEnd"/>
      <w:r w:rsidRPr="007D4ED3">
        <w:t xml:space="preserve"> advice was sought as to: </w:t>
      </w:r>
    </w:p>
    <w:p w14:paraId="6CB4F65F" w14:textId="77777777" w:rsidR="00676791" w:rsidRDefault="00596383" w:rsidP="007D4ED3">
      <w:pPr>
        <w:pStyle w:val="ListBullet"/>
      </w:pPr>
      <w:r w:rsidRPr="007D4ED3">
        <w:t>Whether the above statement is in line with their clinical experience</w:t>
      </w:r>
      <w:r w:rsidR="00676791">
        <w:t>.</w:t>
      </w:r>
    </w:p>
    <w:p w14:paraId="7B6BFE73" w14:textId="77777777" w:rsidR="00676791" w:rsidRDefault="00596383">
      <w:pPr>
        <w:pStyle w:val="ListBullet"/>
      </w:pPr>
      <w:r w:rsidRPr="007D4ED3">
        <w:t>Whether there is a need for the indication to be limited to patients with a particular disease severity (either based on endogenous factor level or on frequency of requirement for bypassing agents)</w:t>
      </w:r>
      <w:r w:rsidR="00676791">
        <w:t>.</w:t>
      </w:r>
    </w:p>
    <w:p w14:paraId="50EB70DD" w14:textId="755C9278" w:rsidR="00596383" w:rsidRPr="007D4ED3" w:rsidRDefault="00596383" w:rsidP="007D4ED3">
      <w:pPr>
        <w:pStyle w:val="ListBullet"/>
        <w:numPr>
          <w:ilvl w:val="0"/>
          <w:numId w:val="0"/>
        </w:numPr>
      </w:pPr>
      <w:r w:rsidRPr="007D4ED3">
        <w:t xml:space="preserve">The ACM recommended an indication stating </w:t>
      </w:r>
      <w:r w:rsidR="007D4ED3">
        <w:t>‘</w:t>
      </w:r>
      <w:r w:rsidRPr="007D4ED3">
        <w:t>where prophylaxis is required</w:t>
      </w:r>
      <w:r w:rsidR="007D4ED3">
        <w:t>’</w:t>
      </w:r>
      <w:r w:rsidRPr="007D4ED3">
        <w:t xml:space="preserve"> would be ideal. They advised that limitation of the indication based on endogenous factor level or inhibitor level was not warranted, as endogenous factor levels are irrelevant once inhibitor is present (it neutralises them) and inhibitor titre may change over time, particularly in the absence of challenge with exogenous factor.</w:t>
      </w:r>
    </w:p>
    <w:p w14:paraId="7355B3A9" w14:textId="05E7A930" w:rsidR="00596383" w:rsidRDefault="00BC34CE" w:rsidP="007D4ED3">
      <w:pPr>
        <w:pStyle w:val="Heading5"/>
      </w:pPr>
      <w:r>
        <w:t>S</w:t>
      </w:r>
      <w:r w:rsidR="00596383">
        <w:t>afety issues</w:t>
      </w:r>
      <w:r w:rsidR="00572F9F">
        <w:fldChar w:fldCharType="begin"/>
      </w:r>
      <w:r w:rsidR="00572F9F">
        <w:instrText xml:space="preserve"> DOCVARIABLE vault_nd_57eba915-b8c6-4818-8429-ac0d7da97711 \* MERGEFORMAT </w:instrText>
      </w:r>
      <w:r w:rsidR="00572F9F">
        <w:fldChar w:fldCharType="separate"/>
      </w:r>
      <w:r w:rsidR="001B5D20">
        <w:t xml:space="preserve"> </w:t>
      </w:r>
      <w:r w:rsidR="00572F9F">
        <w:fldChar w:fldCharType="end"/>
      </w:r>
    </w:p>
    <w:p w14:paraId="39DA5162" w14:textId="277D0116" w:rsidR="00596383" w:rsidRDefault="00596383" w:rsidP="007D4ED3">
      <w:pPr>
        <w:pStyle w:val="Heading6"/>
      </w:pPr>
      <w:r>
        <w:t>Thromboembolism</w:t>
      </w:r>
      <w:r w:rsidR="00572F9F">
        <w:fldChar w:fldCharType="begin"/>
      </w:r>
      <w:r w:rsidR="00572F9F">
        <w:instrText xml:space="preserve"> DOCVARIABLE vaul</w:instrText>
      </w:r>
      <w:r w:rsidR="00572F9F">
        <w:instrText xml:space="preserve">t_nd_d619c009-1256-42a2-8100-d949dfa70f6d \* MERGEFORMAT </w:instrText>
      </w:r>
      <w:r w:rsidR="00572F9F">
        <w:fldChar w:fldCharType="separate"/>
      </w:r>
      <w:r w:rsidR="001B5D20">
        <w:t xml:space="preserve"> </w:t>
      </w:r>
      <w:r w:rsidR="00572F9F">
        <w:fldChar w:fldCharType="end"/>
      </w:r>
    </w:p>
    <w:p w14:paraId="2A5E79B6" w14:textId="123D9A55" w:rsidR="00BC34CE" w:rsidRPr="00BC34CE" w:rsidRDefault="00BC34CE" w:rsidP="00BC34CE">
      <w:r>
        <w:rPr>
          <w:szCs w:val="22"/>
        </w:rPr>
        <w:t>Based on its mechanism of action, concizumab is pro-thrombotic. Elevated d-dimer levels were associated with concizumab treatment in a dose-dependent manner and are known to be associated with an increased risk of venous thromboembolism.</w:t>
      </w:r>
      <w:r>
        <w:rPr>
          <w:rStyle w:val="FootnoteReference"/>
          <w:szCs w:val="22"/>
        </w:rPr>
        <w:footnoteReference w:id="46"/>
      </w:r>
      <w:r>
        <w:rPr>
          <w:szCs w:val="22"/>
          <w:vertAlign w:val="superscript"/>
        </w:rPr>
        <w:t xml:space="preserve">, </w:t>
      </w:r>
      <w:r>
        <w:rPr>
          <w:rStyle w:val="FootnoteReference"/>
          <w:szCs w:val="22"/>
        </w:rPr>
        <w:footnoteReference w:id="47"/>
      </w:r>
      <w:r>
        <w:rPr>
          <w:szCs w:val="22"/>
        </w:rPr>
        <w:t xml:space="preserve"> Concizumab treatment is also associated with dose-dependent increases in </w:t>
      </w:r>
      <w:r w:rsidRPr="00BC34CE">
        <w:rPr>
          <w:szCs w:val="22"/>
        </w:rPr>
        <w:t xml:space="preserve">endogenous thrombin potential </w:t>
      </w:r>
      <w:r>
        <w:rPr>
          <w:szCs w:val="22"/>
        </w:rPr>
        <w:t>velocity index (a measure of capacity for thrombin generation in plasma) and increased concentrations of prothrombin fragment 1</w:t>
      </w:r>
      <w:r w:rsidR="00676791">
        <w:rPr>
          <w:szCs w:val="22"/>
        </w:rPr>
        <w:t>+</w:t>
      </w:r>
      <w:r>
        <w:rPr>
          <w:szCs w:val="22"/>
        </w:rPr>
        <w:t xml:space="preserve">2 (see </w:t>
      </w:r>
      <w:r>
        <w:rPr>
          <w:szCs w:val="22"/>
        </w:rPr>
        <w:fldChar w:fldCharType="begin"/>
      </w:r>
      <w:r>
        <w:rPr>
          <w:szCs w:val="22"/>
        </w:rPr>
        <w:instrText xml:space="preserve"> REF _Ref128659167 \h </w:instrText>
      </w:r>
      <w:r>
        <w:rPr>
          <w:szCs w:val="22"/>
        </w:rPr>
      </w:r>
      <w:r>
        <w:rPr>
          <w:szCs w:val="22"/>
        </w:rPr>
        <w:fldChar w:fldCharType="separate"/>
      </w:r>
      <w:r w:rsidR="001B5D20" w:rsidRPr="00126D45">
        <w:t>Pharmacodynamics</w:t>
      </w:r>
      <w:r>
        <w:rPr>
          <w:szCs w:val="22"/>
        </w:rPr>
        <w:fldChar w:fldCharType="end"/>
      </w:r>
      <w:r>
        <w:rPr>
          <w:szCs w:val="22"/>
        </w:rPr>
        <w:t>).</w:t>
      </w:r>
    </w:p>
    <w:p w14:paraId="0D1F8F7B" w14:textId="77777777" w:rsidR="00572F9F" w:rsidRDefault="00596383" w:rsidP="00BC34CE">
      <w:r w:rsidRPr="00BC34CE">
        <w:t xml:space="preserve">As with any such medicine, thromboembolism is a safety concern. High drug exposure and concurrent presence of other pro-thrombotic substances such as bypassing agents might be expected to increase the risk. It is noted that a </w:t>
      </w:r>
      <w:r w:rsidR="00BC34CE">
        <w:t>P</w:t>
      </w:r>
      <w:r w:rsidRPr="00BC34CE">
        <w:t xml:space="preserve">hase </w:t>
      </w:r>
      <w:r w:rsidR="00BC34CE">
        <w:t>II</w:t>
      </w:r>
      <w:r w:rsidRPr="00BC34CE">
        <w:t xml:space="preserve"> study of another anti-TFPI antibody, </w:t>
      </w:r>
      <w:proofErr w:type="spellStart"/>
      <w:r w:rsidRPr="00BC34CE">
        <w:t>befovacimab</w:t>
      </w:r>
      <w:proofErr w:type="spellEnd"/>
      <w:r w:rsidRPr="00BC34CE">
        <w:t>, was terminated due to the occurrence of three thromboses.</w:t>
      </w:r>
      <w:r w:rsidR="00BC34CE">
        <w:rPr>
          <w:rStyle w:val="FootnoteReference"/>
        </w:rPr>
        <w:footnoteReference w:id="48"/>
      </w:r>
      <w:r w:rsidRPr="00BC34CE">
        <w:t xml:space="preserve"> These occurred in the absence of bleeding episodes or concomitant use of bypass treatment and did not appear to be correlated with levels of circulating </w:t>
      </w:r>
      <w:proofErr w:type="spellStart"/>
      <w:r w:rsidRPr="00BC34CE">
        <w:t>befovacimab</w:t>
      </w:r>
      <w:proofErr w:type="spellEnd"/>
      <w:r w:rsidRPr="00BC34CE">
        <w:t xml:space="preserve"> or free TFPI. However, </w:t>
      </w:r>
      <w:proofErr w:type="spellStart"/>
      <w:r w:rsidRPr="00BC34CE">
        <w:t>befovacimab</w:t>
      </w:r>
      <w:proofErr w:type="spellEnd"/>
      <w:r w:rsidRPr="00BC34CE">
        <w:t xml:space="preserve"> targets both the K1 and K2 domains of TFPI. A third anti-TFPI antibody, with binding specificity against only K2, like concizumab, is called </w:t>
      </w:r>
      <w:proofErr w:type="spellStart"/>
      <w:r w:rsidRPr="00BC34CE">
        <w:t>marstacimab</w:t>
      </w:r>
      <w:proofErr w:type="spellEnd"/>
      <w:r w:rsidRPr="00BC34CE">
        <w:t xml:space="preserve">, and began </w:t>
      </w:r>
      <w:r w:rsidR="00BC34CE">
        <w:t>P</w:t>
      </w:r>
      <w:r w:rsidRPr="00BC34CE">
        <w:t>hase</w:t>
      </w:r>
      <w:r w:rsidR="00BC34CE">
        <w:t xml:space="preserve"> III</w:t>
      </w:r>
      <w:r w:rsidRPr="00BC34CE">
        <w:t xml:space="preserve"> studies in November 2020. </w:t>
      </w:r>
    </w:p>
    <w:p w14:paraId="107AC374" w14:textId="74201055" w:rsidR="00596383" w:rsidRPr="00BC34CE" w:rsidRDefault="00596383" w:rsidP="00BC34CE">
      <w:r w:rsidRPr="00BC34CE">
        <w:lastRenderedPageBreak/>
        <w:t xml:space="preserve">Phase </w:t>
      </w:r>
      <w:r w:rsidR="00BC34CE">
        <w:t>II</w:t>
      </w:r>
      <w:r w:rsidRPr="00BC34CE">
        <w:t xml:space="preserve"> data amongst 20 patients treated for up to a year has reported no thrombotic events as </w:t>
      </w:r>
      <w:proofErr w:type="gramStart"/>
      <w:r w:rsidRPr="00BC34CE">
        <w:t>at</w:t>
      </w:r>
      <w:proofErr w:type="gramEnd"/>
      <w:r w:rsidRPr="00BC34CE">
        <w:t xml:space="preserve"> October 2022.</w:t>
      </w:r>
      <w:r w:rsidR="00BC34CE">
        <w:rPr>
          <w:rStyle w:val="FootnoteReference"/>
        </w:rPr>
        <w:footnoteReference w:id="49"/>
      </w:r>
      <w:r w:rsidRPr="00BC34CE">
        <w:t xml:space="preserve"> The differences in binding specificity between concizumab (K2 only), </w:t>
      </w:r>
      <w:proofErr w:type="spellStart"/>
      <w:r w:rsidRPr="00BC34CE">
        <w:t>marstacimab</w:t>
      </w:r>
      <w:proofErr w:type="spellEnd"/>
      <w:r w:rsidRPr="00BC34CE">
        <w:t xml:space="preserve"> (K2 only) and </w:t>
      </w:r>
      <w:proofErr w:type="spellStart"/>
      <w:r w:rsidRPr="00BC34CE">
        <w:t>befovacimab</w:t>
      </w:r>
      <w:proofErr w:type="spellEnd"/>
      <w:r w:rsidRPr="00BC34CE">
        <w:t xml:space="preserve"> (K1 and K2) provide a potential rationale for differing propensity for causing thromboembolic events, however this remains hypothetical.</w:t>
      </w:r>
    </w:p>
    <w:p w14:paraId="50A8FFA6" w14:textId="6E1914AB" w:rsidR="00596383" w:rsidRPr="00BC34CE" w:rsidRDefault="00596383" w:rsidP="00BC34CE">
      <w:r w:rsidRPr="00BC34CE">
        <w:t xml:space="preserve">The thromboembolic </w:t>
      </w:r>
      <w:r w:rsidR="00BC34CE">
        <w:t>adverse events</w:t>
      </w:r>
      <w:r w:rsidRPr="00BC34CE">
        <w:t xml:space="preserve"> observed in the concizumab clinical trial program were serious, life</w:t>
      </w:r>
      <w:r w:rsidR="00BC34CE">
        <w:t>-</w:t>
      </w:r>
      <w:r w:rsidRPr="00BC34CE">
        <w:t>threatening events (</w:t>
      </w:r>
      <w:r w:rsidR="00BC34CE">
        <w:t>for example</w:t>
      </w:r>
      <w:r w:rsidRPr="00BC34CE">
        <w:t>, myocardial infarction, pulmonary embolus). As such, they would appear to meet the criteria set out in the TGA’s Boxed Warning Guidance.</w:t>
      </w:r>
      <w:r w:rsidR="00BC34CE">
        <w:rPr>
          <w:rStyle w:val="FootnoteReference"/>
        </w:rPr>
        <w:footnoteReference w:id="50"/>
      </w:r>
    </w:p>
    <w:p w14:paraId="1CACB687" w14:textId="533AD556" w:rsidR="00596383" w:rsidRPr="00BC34CE" w:rsidRDefault="00596383" w:rsidP="00BC34CE">
      <w:r w:rsidRPr="00BC34CE">
        <w:t xml:space="preserve">It is noted that a boxed warning is in place for </w:t>
      </w:r>
      <w:proofErr w:type="spellStart"/>
      <w:r w:rsidRPr="00BC34CE">
        <w:t>emicizumab</w:t>
      </w:r>
      <w:proofErr w:type="spellEnd"/>
      <w:r w:rsidRPr="00BC34CE">
        <w:t>, with which thromboembolic events were seen in the setting of concurrent administration of bypassing agents, analogous to the events seen in explorer7 pre-pause. Whilst there were no events post-pause, the dosing was not the only thing adjusted: advice on administration of bypassing agents in the protocol was also changed.</w:t>
      </w:r>
    </w:p>
    <w:p w14:paraId="76748C71" w14:textId="77AC5241" w:rsidR="00596383" w:rsidRPr="00BC34CE" w:rsidRDefault="00596383" w:rsidP="00BC34CE">
      <w:r w:rsidRPr="00BC34CE">
        <w:t>A similar black box warning was proposed for concizumab, noting that this treatment is proposed for a non-fatal disease, to be administered on an ongoing, life</w:t>
      </w:r>
      <w:r w:rsidR="00BC34CE">
        <w:t>-</w:t>
      </w:r>
      <w:r w:rsidRPr="00BC34CE">
        <w:t>long basis, including to paediatric patients. However, the ACM advised that a black box warning was not warranted.</w:t>
      </w:r>
    </w:p>
    <w:p w14:paraId="703CCF99" w14:textId="6FB42FF3" w:rsidR="00596383" w:rsidRDefault="00596383" w:rsidP="00BC34CE">
      <w:pPr>
        <w:pStyle w:val="Heading6"/>
      </w:pPr>
      <w:r>
        <w:t>Hypersensitivity</w:t>
      </w:r>
      <w:r w:rsidR="00572F9F">
        <w:fldChar w:fldCharType="begin"/>
      </w:r>
      <w:r w:rsidR="00572F9F">
        <w:instrText xml:space="preserve"> DOCVARIABLE vault_nd_c1d8c380-1b64-42f4-93aa-7182a0274bc7 \* MERGEFORMAT </w:instrText>
      </w:r>
      <w:r w:rsidR="00572F9F">
        <w:fldChar w:fldCharType="separate"/>
      </w:r>
      <w:r w:rsidR="001B5D20">
        <w:t xml:space="preserve"> </w:t>
      </w:r>
      <w:r w:rsidR="00572F9F">
        <w:fldChar w:fldCharType="end"/>
      </w:r>
    </w:p>
    <w:p w14:paraId="162F0CB6" w14:textId="77777777" w:rsidR="00676791" w:rsidRDefault="00596383" w:rsidP="00BC34CE">
      <w:r w:rsidRPr="00BC34CE">
        <w:t>Hypersensitivity occurred in three concizumab</w:t>
      </w:r>
      <w:r w:rsidR="00BC34CE">
        <w:t xml:space="preserve"> </w:t>
      </w:r>
      <w:r w:rsidRPr="00BC34CE">
        <w:t>treated patients, and although no severe events were seen, the potential severity of hypersensitivity events warrants inclusion of warning text in the PI. None of the observed hypersensitivity events were associated with development of</w:t>
      </w:r>
      <w:r w:rsidR="00BC34CE">
        <w:t xml:space="preserve"> anti</w:t>
      </w:r>
      <w:r w:rsidR="00BC34CE">
        <w:noBreakHyphen/>
        <w:t>drug antibodies</w:t>
      </w:r>
      <w:r w:rsidR="00676791">
        <w:t>.</w:t>
      </w:r>
    </w:p>
    <w:p w14:paraId="3E14FD83" w14:textId="1AA7CFB7" w:rsidR="00596383" w:rsidRDefault="00596383" w:rsidP="00BC34CE">
      <w:pPr>
        <w:pStyle w:val="Heading6"/>
      </w:pPr>
      <w:r>
        <w:t>Immunogenicity</w:t>
      </w:r>
      <w:r w:rsidR="00572F9F">
        <w:fldChar w:fldCharType="begin"/>
      </w:r>
      <w:r w:rsidR="00572F9F">
        <w:instrText xml:space="preserve"> DOCVARIABLE vault_nd_313b0925-469d-4ade-bda6-ff31bfe580a7 \* MERGEFORMAT </w:instrText>
      </w:r>
      <w:r w:rsidR="00572F9F">
        <w:fldChar w:fldCharType="separate"/>
      </w:r>
      <w:r w:rsidR="001B5D20">
        <w:t xml:space="preserve"> </w:t>
      </w:r>
      <w:r w:rsidR="00572F9F">
        <w:fldChar w:fldCharType="end"/>
      </w:r>
    </w:p>
    <w:p w14:paraId="464E7164" w14:textId="6985D1AF" w:rsidR="00596383" w:rsidRPr="00BC34CE" w:rsidRDefault="00596383" w:rsidP="00BC34CE">
      <w:r w:rsidRPr="00BC34CE">
        <w:t>Reduced efficacy appears to have occurred in two patients after development of anti-drug antibodies.</w:t>
      </w:r>
    </w:p>
    <w:p w14:paraId="4A60EB42" w14:textId="2FC554BF" w:rsidR="00596383" w:rsidRDefault="00596383" w:rsidP="00BC34CE">
      <w:pPr>
        <w:pStyle w:val="Heading6"/>
      </w:pPr>
      <w:r>
        <w:t>Injection site reactions</w:t>
      </w:r>
      <w:r w:rsidR="00572F9F">
        <w:fldChar w:fldCharType="begin"/>
      </w:r>
      <w:r w:rsidR="00572F9F">
        <w:instrText xml:space="preserve"> DOCVARIABLE vault_nd_7493c02b-891a-4352-9674-fd70ea7a8df2 \* MERGEFORMAT </w:instrText>
      </w:r>
      <w:r w:rsidR="00572F9F">
        <w:fldChar w:fldCharType="separate"/>
      </w:r>
      <w:r w:rsidR="001B5D20">
        <w:t xml:space="preserve"> </w:t>
      </w:r>
      <w:r w:rsidR="00572F9F">
        <w:fldChar w:fldCharType="end"/>
      </w:r>
    </w:p>
    <w:p w14:paraId="032E2C54" w14:textId="2F7C5B4C" w:rsidR="00596383" w:rsidRPr="00BC34CE" w:rsidRDefault="00596383" w:rsidP="00BC34CE">
      <w:r w:rsidRPr="00BC34CE">
        <w:t xml:space="preserve">Mild injection site reactions were very common with concizumab. The remaining common adverse events seen with concizumab appear to be </w:t>
      </w:r>
      <w:proofErr w:type="gramStart"/>
      <w:r w:rsidRPr="00BC34CE">
        <w:t>similar to</w:t>
      </w:r>
      <w:proofErr w:type="gramEnd"/>
      <w:r w:rsidRPr="00BC34CE">
        <w:t xml:space="preserve"> those reported in the no prophylaxis group.</w:t>
      </w:r>
    </w:p>
    <w:p w14:paraId="1D6754D4" w14:textId="7C603F23" w:rsidR="00596383" w:rsidRDefault="00596383" w:rsidP="00BC34CE">
      <w:pPr>
        <w:pStyle w:val="Heading5"/>
      </w:pPr>
      <w:r>
        <w:t>Dosing issues</w:t>
      </w:r>
      <w:r w:rsidR="00572F9F">
        <w:fldChar w:fldCharType="begin"/>
      </w:r>
      <w:r w:rsidR="00572F9F">
        <w:instrText xml:space="preserve"> DOCVARIABLE vault_nd_92fb8ff0-ab9a-4027-8968-9285bfd366f5 \* MERGEFORMAT </w:instrText>
      </w:r>
      <w:r w:rsidR="00572F9F">
        <w:fldChar w:fldCharType="separate"/>
      </w:r>
      <w:r w:rsidR="001B5D20">
        <w:t xml:space="preserve"> </w:t>
      </w:r>
      <w:r w:rsidR="00572F9F">
        <w:fldChar w:fldCharType="end"/>
      </w:r>
    </w:p>
    <w:p w14:paraId="202E1958" w14:textId="5DAE7F64" w:rsidR="00596383" w:rsidRDefault="00596383" w:rsidP="00BC34CE">
      <w:pPr>
        <w:pStyle w:val="Heading6"/>
      </w:pPr>
      <w:r>
        <w:t>Minimum body weight in study</w:t>
      </w:r>
      <w:r w:rsidR="00572F9F">
        <w:fldChar w:fldCharType="begin"/>
      </w:r>
      <w:r w:rsidR="00572F9F">
        <w:instrText xml:space="preserve"> DOCVARIABLE vaul</w:instrText>
      </w:r>
      <w:r w:rsidR="00572F9F">
        <w:instrText xml:space="preserve">t_nd_6406122b-51e7-4b49-adac-c44df9c0da4d \* MERGEFORMAT </w:instrText>
      </w:r>
      <w:r w:rsidR="00572F9F">
        <w:fldChar w:fldCharType="separate"/>
      </w:r>
      <w:r w:rsidR="001B5D20">
        <w:t xml:space="preserve"> </w:t>
      </w:r>
      <w:r w:rsidR="00572F9F">
        <w:fldChar w:fldCharType="end"/>
      </w:r>
    </w:p>
    <w:p w14:paraId="238F04A9" w14:textId="0F749BF4" w:rsidR="00596383" w:rsidRPr="002F0BBC" w:rsidRDefault="00596383" w:rsidP="002F0BBC">
      <w:r w:rsidRPr="002F0BBC">
        <w:t>The protocol for explorer7 restricted enrolment to patients with body weight of at least 25</w:t>
      </w:r>
      <w:r w:rsidR="002F0BBC">
        <w:t> </w:t>
      </w:r>
      <w:r w:rsidRPr="002F0BBC">
        <w:t>kg at screening, for reasons related to assurance of protocol compliance. As the maximum blood volume that can be safely sampled from a patient is dependent on body weight, for an adolescent patient weighing 25</w:t>
      </w:r>
      <w:r w:rsidR="002F0BBC">
        <w:t> </w:t>
      </w:r>
      <w:r w:rsidRPr="002F0BBC">
        <w:t>kg, the blood sampling volume at any time (each visit) should not exceed 20</w:t>
      </w:r>
      <w:r w:rsidR="002F0BBC">
        <w:t> </w:t>
      </w:r>
      <w:r w:rsidRPr="002F0BBC">
        <w:t>mL, and the blood volume sampled over 4 weeks should not exceed 60</w:t>
      </w:r>
      <w:r w:rsidR="002F0BBC">
        <w:t> </w:t>
      </w:r>
      <w:proofErr w:type="spellStart"/>
      <w:r w:rsidRPr="002F0BBC">
        <w:t>mL.</w:t>
      </w:r>
      <w:proofErr w:type="spellEnd"/>
      <w:r w:rsidRPr="002F0BBC">
        <w:t xml:space="preserve"> Even with prioritising of only the most important blood samples at each visit, it would not be possible to safely sample enough blood from a patient weighing below 25</w:t>
      </w:r>
      <w:r w:rsidR="002F0BBC">
        <w:t> </w:t>
      </w:r>
      <w:r w:rsidRPr="002F0BBC">
        <w:t>kg to satisfy the testing requirements of the study.</w:t>
      </w:r>
    </w:p>
    <w:p w14:paraId="4F33B75A" w14:textId="112B5E12" w:rsidR="00BC34CE" w:rsidRPr="002F0BBC" w:rsidRDefault="002F0BBC" w:rsidP="002F0BBC">
      <w:r w:rsidRPr="002F0BBC">
        <w:lastRenderedPageBreak/>
        <w:t>The Delegate commented that b</w:t>
      </w:r>
      <w:r w:rsidR="00596383" w:rsidRPr="002F0BBC">
        <w:t>ody weight was the most important covariate influencing concizumab PK in the pop</w:t>
      </w:r>
      <w:r>
        <w:t xml:space="preserve">ulation </w:t>
      </w:r>
      <w:r w:rsidR="00596383" w:rsidRPr="002F0BBC">
        <w:t>PK model. However, the proposed dosing is body weight</w:t>
      </w:r>
      <w:r>
        <w:t xml:space="preserve"> </w:t>
      </w:r>
      <w:r w:rsidR="00596383" w:rsidRPr="002F0BBC">
        <w:t>based. Further, exposure decreases with decreasing body weight</w:t>
      </w:r>
      <w:r>
        <w:t xml:space="preserve"> (see </w:t>
      </w:r>
      <w:r>
        <w:fldChar w:fldCharType="begin"/>
      </w:r>
      <w:r>
        <w:instrText xml:space="preserve"> REF _Ref128665389 \h </w:instrText>
      </w:r>
      <w:r>
        <w:fldChar w:fldCharType="separate"/>
      </w:r>
      <w:r w:rsidR="001B5D20" w:rsidRPr="00126D45">
        <w:t>Pharmacokinetics</w:t>
      </w:r>
      <w:r>
        <w:fldChar w:fldCharType="end"/>
      </w:r>
      <w:r>
        <w:t>)</w:t>
      </w:r>
      <w:r w:rsidR="00596383" w:rsidRPr="002F0BBC">
        <w:t>. Additionally, there is at least one dose adjustment step incorporated into the proposed dosing, such that even for very small patients if there were concerns about over or under</w:t>
      </w:r>
      <w:r>
        <w:t xml:space="preserve"> </w:t>
      </w:r>
      <w:r w:rsidR="00596383" w:rsidRPr="002F0BBC">
        <w:t xml:space="preserve">exposure, these would be expected to be identified and corrected. The submitted data do not support dose </w:t>
      </w:r>
      <w:r w:rsidR="00BC34CE" w:rsidRPr="002F0BBC">
        <w:t xml:space="preserve">selection for children aged less than 12 years, and the proposed indication is limited to 12 years and older. </w:t>
      </w:r>
      <w:proofErr w:type="gramStart"/>
      <w:r w:rsidR="00BC34CE" w:rsidRPr="002F0BBC">
        <w:t>The majority of</w:t>
      </w:r>
      <w:proofErr w:type="gramEnd"/>
      <w:r w:rsidR="00BC34CE" w:rsidRPr="002F0BBC">
        <w:t xml:space="preserve"> patients over the age of 12 years would weigh more than 25</w:t>
      </w:r>
      <w:r>
        <w:t> </w:t>
      </w:r>
      <w:r w:rsidR="00BC34CE" w:rsidRPr="002F0BBC">
        <w:t>kg.</w:t>
      </w:r>
    </w:p>
    <w:p w14:paraId="0E0DD236" w14:textId="241088FD" w:rsidR="00BC34CE" w:rsidRPr="00BC34CE" w:rsidRDefault="00BC34CE" w:rsidP="002F0BBC">
      <w:r w:rsidRPr="00BC34CE">
        <w:t>Based on the above, it is not necessary to restrict the use of concizumab based on body weight, despite this exclusion criterion in the pivotal trial.</w:t>
      </w:r>
    </w:p>
    <w:p w14:paraId="43462547" w14:textId="5B503AB5" w:rsidR="00BC34CE" w:rsidRPr="00BC34CE" w:rsidRDefault="00BC34CE" w:rsidP="002F0BBC">
      <w:pPr>
        <w:pStyle w:val="Heading6"/>
      </w:pPr>
      <w:r w:rsidRPr="00BC34CE">
        <w:t>Adequacy of dose adjustment approach</w:t>
      </w:r>
      <w:r w:rsidR="00572F9F">
        <w:fldChar w:fldCharType="begin"/>
      </w:r>
      <w:r w:rsidR="00572F9F">
        <w:instrText xml:space="preserve"> DOCVARIABLE vault_nd_ff7bb3be-70ff-4662-82e1-61</w:instrText>
      </w:r>
      <w:r w:rsidR="00572F9F">
        <w:instrText xml:space="preserve">b924b847da \* MERGEFORMAT </w:instrText>
      </w:r>
      <w:r w:rsidR="00572F9F">
        <w:fldChar w:fldCharType="separate"/>
      </w:r>
      <w:r w:rsidR="001B5D20">
        <w:t xml:space="preserve"> </w:t>
      </w:r>
      <w:r w:rsidR="00572F9F">
        <w:fldChar w:fldCharType="end"/>
      </w:r>
    </w:p>
    <w:p w14:paraId="7510EF74" w14:textId="31A9FCB3" w:rsidR="00BC34CE" w:rsidRPr="00BC34CE" w:rsidRDefault="00BC34CE" w:rsidP="002F0BBC">
      <w:r w:rsidRPr="00BC34CE">
        <w:t>Due to the target-mediated drug disposition of concizumab, the exposure in each individual patient will fluctuate around an average value.</w:t>
      </w:r>
    </w:p>
    <w:p w14:paraId="25BF2D1A" w14:textId="381B0A08" w:rsidR="00BC34CE" w:rsidRPr="00BC34CE" w:rsidRDefault="00BC34CE" w:rsidP="002F0BBC">
      <w:r w:rsidRPr="00BC34CE">
        <w:t>The proposed dose regimen involves an adjustment step, based on serum drug level at 4 weeks. This was introduced as a precautionary measure to avoid under or over</w:t>
      </w:r>
      <w:r w:rsidR="002F0BBC">
        <w:t xml:space="preserve"> </w:t>
      </w:r>
      <w:r w:rsidRPr="00BC34CE">
        <w:t xml:space="preserve">exposure, </w:t>
      </w:r>
      <w:proofErr w:type="gramStart"/>
      <w:r w:rsidRPr="00BC34CE">
        <w:t>in light of</w:t>
      </w:r>
      <w:proofErr w:type="gramEnd"/>
      <w:r w:rsidRPr="00BC34CE">
        <w:t xml:space="preserve"> high exposures in </w:t>
      </w:r>
      <w:r w:rsidR="002F0BBC">
        <w:t>two</w:t>
      </w:r>
      <w:r w:rsidRPr="00BC34CE">
        <w:t xml:space="preserve"> of </w:t>
      </w:r>
      <w:r w:rsidR="002F0BBC">
        <w:t>three</w:t>
      </w:r>
      <w:r w:rsidRPr="00BC34CE">
        <w:t xml:space="preserve"> patients with thrombotic adverse events that led to a to study pause and a decrease to the default maintenance dose. Testing for underexposure at the same time is reasonable, as the clinical data indicate dose-dependent effects and inadequacy of the 0.15</w:t>
      </w:r>
      <w:r w:rsidR="002F0BBC">
        <w:t> </w:t>
      </w:r>
      <w:r w:rsidRPr="00BC34CE">
        <w:t xml:space="preserve">mg/kg dose for a portion of patients (see </w:t>
      </w:r>
      <w:r w:rsidR="002F0BBC">
        <w:fldChar w:fldCharType="begin"/>
      </w:r>
      <w:r w:rsidR="002F0BBC">
        <w:instrText xml:space="preserve"> REF _Ref128659167 \h </w:instrText>
      </w:r>
      <w:r w:rsidR="002F0BBC">
        <w:fldChar w:fldCharType="separate"/>
      </w:r>
      <w:r w:rsidR="001B5D20" w:rsidRPr="00126D45">
        <w:t>Pharmacodynamics</w:t>
      </w:r>
      <w:r w:rsidR="002F0BBC">
        <w:fldChar w:fldCharType="end"/>
      </w:r>
      <w:r w:rsidR="002F0BBC">
        <w:t>,</w:t>
      </w:r>
      <w:r w:rsidRPr="00BC34CE">
        <w:t xml:space="preserve"> and </w:t>
      </w:r>
      <w:r w:rsidR="002F0BBC">
        <w:fldChar w:fldCharType="begin"/>
      </w:r>
      <w:r w:rsidR="002F0BBC">
        <w:instrText xml:space="preserve"> REF _Ref128659178 \h </w:instrText>
      </w:r>
      <w:r w:rsidR="002F0BBC">
        <w:fldChar w:fldCharType="separate"/>
      </w:r>
      <w:r w:rsidR="001B5D20" w:rsidRPr="00061912">
        <w:t>Dose selection</w:t>
      </w:r>
      <w:r w:rsidR="002F0BBC">
        <w:fldChar w:fldCharType="end"/>
      </w:r>
      <w:r w:rsidR="002F0BBC">
        <w:t>).</w:t>
      </w:r>
    </w:p>
    <w:p w14:paraId="323210F1" w14:textId="584F7830" w:rsidR="00BC34CE" w:rsidRPr="00BC34CE" w:rsidRDefault="00BC34CE" w:rsidP="002F0BBC">
      <w:r w:rsidRPr="00BC34CE">
        <w:t>The lower limit of exposure beyond which it is proposed to adjust the dose upwards was selected based on exposure-response analyses and is reasonable (see</w:t>
      </w:r>
      <w:r w:rsidR="002F0BBC">
        <w:t xml:space="preserve"> </w:t>
      </w:r>
      <w:r w:rsidR="002F0BBC">
        <w:fldChar w:fldCharType="begin"/>
      </w:r>
      <w:r w:rsidR="002F0BBC">
        <w:instrText xml:space="preserve"> REF _Ref149567520 \h </w:instrText>
      </w:r>
      <w:r w:rsidR="002F0BBC">
        <w:fldChar w:fldCharType="separate"/>
      </w:r>
      <w:r w:rsidR="001B5D20" w:rsidRPr="00061912">
        <w:t xml:space="preserve">Figure </w:t>
      </w:r>
      <w:r w:rsidR="001B5D20">
        <w:rPr>
          <w:noProof/>
        </w:rPr>
        <w:t>5</w:t>
      </w:r>
      <w:r w:rsidR="002F0BBC">
        <w:fldChar w:fldCharType="end"/>
      </w:r>
      <w:r w:rsidRPr="00BC34CE">
        <w:t>).</w:t>
      </w:r>
    </w:p>
    <w:p w14:paraId="45C0C6DE" w14:textId="17E2FD11" w:rsidR="00BC34CE" w:rsidRPr="00BC34CE" w:rsidRDefault="00BC34CE" w:rsidP="002F0BBC">
      <w:r w:rsidRPr="00BC34CE">
        <w:t>The upper limit of exposure beyond which it is proposed to adjust the dose downwards is less evidence</w:t>
      </w:r>
      <w:r w:rsidR="002F0BBC">
        <w:t xml:space="preserve"> </w:t>
      </w:r>
      <w:r w:rsidRPr="00BC34CE">
        <w:t>based, as there is inadequate data to develop a robust exposure-safety curve for thrombosis in humans. The available data points are as follows:</w:t>
      </w:r>
    </w:p>
    <w:p w14:paraId="015D460D" w14:textId="77777777" w:rsidR="00676791" w:rsidRDefault="00BC34CE" w:rsidP="002F0BBC">
      <w:pPr>
        <w:pStyle w:val="ListBullet"/>
      </w:pPr>
      <w:r w:rsidRPr="00BC34CE">
        <w:t>The exposure levels in patients who experienced thromboses pre-pause were approximately 4800</w:t>
      </w:r>
      <w:r w:rsidR="002F0BBC">
        <w:t> </w:t>
      </w:r>
      <w:r w:rsidRPr="00BC34CE">
        <w:t>ng/mL, 100</w:t>
      </w:r>
      <w:r w:rsidR="002F0BBC">
        <w:t> </w:t>
      </w:r>
      <w:r w:rsidRPr="00BC34CE">
        <w:t>ng/</w:t>
      </w:r>
      <w:proofErr w:type="gramStart"/>
      <w:r w:rsidRPr="00BC34CE">
        <w:t>mL</w:t>
      </w:r>
      <w:proofErr w:type="gramEnd"/>
      <w:r w:rsidRPr="00BC34CE">
        <w:t xml:space="preserve"> and 4500</w:t>
      </w:r>
      <w:r w:rsidR="002F0BBC">
        <w:t> </w:t>
      </w:r>
      <w:r w:rsidRPr="00BC34CE">
        <w:t>ng/</w:t>
      </w:r>
      <w:proofErr w:type="spellStart"/>
      <w:r w:rsidRPr="00BC34CE">
        <w:t>mL</w:t>
      </w:r>
      <w:r w:rsidR="00676791">
        <w:t>.</w:t>
      </w:r>
      <w:proofErr w:type="spellEnd"/>
    </w:p>
    <w:p w14:paraId="21150928" w14:textId="26074E8D" w:rsidR="00BC34CE" w:rsidRPr="00BC34CE" w:rsidRDefault="00BC34CE" w:rsidP="002F0BBC">
      <w:pPr>
        <w:pStyle w:val="ListBullet"/>
      </w:pPr>
      <w:r w:rsidRPr="00BC34CE">
        <w:t xml:space="preserve">The </w:t>
      </w:r>
      <w:r w:rsidR="00676791">
        <w:t xml:space="preserve">no observed adverse effect limit </w:t>
      </w:r>
      <w:r w:rsidRPr="00BC34CE">
        <w:t>in animals corresponds to an exposure around 82,600</w:t>
      </w:r>
      <w:r w:rsidR="002F0BBC">
        <w:t> </w:t>
      </w:r>
      <w:r w:rsidRPr="00BC34CE">
        <w:t>ng/mL in humans.</w:t>
      </w:r>
    </w:p>
    <w:p w14:paraId="45733483" w14:textId="77777777" w:rsidR="00676791" w:rsidRDefault="00BC34CE" w:rsidP="002F0BBC">
      <w:pPr>
        <w:pStyle w:val="ListBullet"/>
      </w:pPr>
      <w:r w:rsidRPr="00BC34CE">
        <w:t>The geometric mean human exposure (</w:t>
      </w:r>
      <w:proofErr w:type="spellStart"/>
      <w:r w:rsidRPr="00BC34CE">
        <w:t>C</w:t>
      </w:r>
      <w:r w:rsidRPr="002F0BBC">
        <w:rPr>
          <w:vertAlign w:val="subscript"/>
        </w:rPr>
        <w:t>max</w:t>
      </w:r>
      <w:proofErr w:type="spellEnd"/>
      <w:r w:rsidRPr="00BC34CE">
        <w:t>) with the post-pause dosing regimen in humans was 1167</w:t>
      </w:r>
      <w:r w:rsidR="002F0BBC">
        <w:t> </w:t>
      </w:r>
      <w:r w:rsidRPr="00BC34CE">
        <w:t>ng/</w:t>
      </w:r>
      <w:proofErr w:type="spellStart"/>
      <w:r w:rsidRPr="00BC34CE">
        <w:t>mL</w:t>
      </w:r>
      <w:r w:rsidR="00676791">
        <w:t>.</w:t>
      </w:r>
      <w:proofErr w:type="spellEnd"/>
    </w:p>
    <w:p w14:paraId="730A6FC1" w14:textId="7255177E" w:rsidR="00BC34CE" w:rsidRPr="00BC34CE" w:rsidRDefault="00BC34CE" w:rsidP="002F0BBC">
      <w:pPr>
        <w:pStyle w:val="ListBullet"/>
      </w:pPr>
      <w:r w:rsidRPr="00BC34CE">
        <w:t xml:space="preserve">In the </w:t>
      </w:r>
      <w:r w:rsidR="002F0BBC">
        <w:t>P</w:t>
      </w:r>
      <w:r w:rsidRPr="00BC34CE">
        <w:t xml:space="preserve">hase </w:t>
      </w:r>
      <w:r w:rsidR="002F0BBC">
        <w:t>I</w:t>
      </w:r>
      <w:r w:rsidRPr="00BC34CE">
        <w:t xml:space="preserve"> studies:</w:t>
      </w:r>
    </w:p>
    <w:p w14:paraId="726E283C" w14:textId="0F7E7E08" w:rsidR="00BC34CE" w:rsidRPr="002F0BBC" w:rsidRDefault="002F0BBC" w:rsidP="002F0BBC">
      <w:pPr>
        <w:pStyle w:val="ListBullet2"/>
      </w:pPr>
      <w:r w:rsidRPr="002F0BBC">
        <w:t>Three</w:t>
      </w:r>
      <w:r w:rsidR="00BC34CE" w:rsidRPr="002F0BBC">
        <w:t xml:space="preserve"> patients with severe haemophilia received 9</w:t>
      </w:r>
      <w:r w:rsidRPr="002F0BBC">
        <w:t> </w:t>
      </w:r>
      <w:r w:rsidR="00BC34CE" w:rsidRPr="002F0BBC">
        <w:t>mg/kg (</w:t>
      </w:r>
      <w:r w:rsidRPr="002F0BBC">
        <w:t>intravenous</w:t>
      </w:r>
      <w:r w:rsidR="00BC34CE" w:rsidRPr="002F0BBC">
        <w:t>) and had concizumab exposure above 100,000</w:t>
      </w:r>
      <w:r w:rsidRPr="002F0BBC">
        <w:t> </w:t>
      </w:r>
      <w:r w:rsidR="00BC34CE" w:rsidRPr="002F0BBC">
        <w:t xml:space="preserve">ng/mL for approximately 48 hours, with a mean </w:t>
      </w:r>
      <w:proofErr w:type="spellStart"/>
      <w:r w:rsidR="00BC34CE" w:rsidRPr="002F0BBC">
        <w:t>C</w:t>
      </w:r>
      <w:r w:rsidR="00BC34CE" w:rsidRPr="002F0BBC">
        <w:rPr>
          <w:vertAlign w:val="subscript"/>
        </w:rPr>
        <w:t>max</w:t>
      </w:r>
      <w:proofErr w:type="spellEnd"/>
      <w:r w:rsidR="00BC34CE" w:rsidRPr="002F0BBC">
        <w:t xml:space="preserve"> of 239,053</w:t>
      </w:r>
      <w:r w:rsidRPr="002F0BBC">
        <w:t> </w:t>
      </w:r>
      <w:r w:rsidR="00BC34CE" w:rsidRPr="002F0BBC">
        <w:t>ng/</w:t>
      </w:r>
      <w:proofErr w:type="spellStart"/>
      <w:r w:rsidR="00BC34CE" w:rsidRPr="002F0BBC">
        <w:t>mL</w:t>
      </w:r>
      <w:r w:rsidRPr="002F0BBC">
        <w:t>.</w:t>
      </w:r>
      <w:proofErr w:type="spellEnd"/>
    </w:p>
    <w:p w14:paraId="070A8002" w14:textId="002F2B63" w:rsidR="00BC34CE" w:rsidRPr="002F0BBC" w:rsidRDefault="002F0BBC" w:rsidP="002F0BBC">
      <w:pPr>
        <w:pStyle w:val="ListBullet2"/>
      </w:pPr>
      <w:r>
        <w:t xml:space="preserve">Three </w:t>
      </w:r>
      <w:r w:rsidR="00BC34CE" w:rsidRPr="002F0BBC">
        <w:t>patients with severe haemophilia received 3</w:t>
      </w:r>
      <w:r>
        <w:t> </w:t>
      </w:r>
      <w:r w:rsidR="00BC34CE" w:rsidRPr="002F0BBC">
        <w:t>mg/kg SC and had concizumab exposure above 10,000</w:t>
      </w:r>
      <w:r>
        <w:t> </w:t>
      </w:r>
      <w:r w:rsidR="00BC34CE" w:rsidRPr="002F0BBC">
        <w:t xml:space="preserve">ng/mL for approximately 48 hours with a mean </w:t>
      </w:r>
      <w:proofErr w:type="spellStart"/>
      <w:r w:rsidR="00BC34CE" w:rsidRPr="002F0BBC">
        <w:t>C</w:t>
      </w:r>
      <w:r w:rsidR="00BC34CE" w:rsidRPr="002F0BBC">
        <w:rPr>
          <w:vertAlign w:val="subscript"/>
        </w:rPr>
        <w:t>max</w:t>
      </w:r>
      <w:proofErr w:type="spellEnd"/>
      <w:r w:rsidR="00BC34CE" w:rsidRPr="002F0BBC">
        <w:t xml:space="preserve"> of 15,437</w:t>
      </w:r>
      <w:r>
        <w:t> </w:t>
      </w:r>
      <w:r w:rsidR="00BC34CE" w:rsidRPr="002F0BBC">
        <w:t>ng/</w:t>
      </w:r>
      <w:proofErr w:type="spellStart"/>
      <w:r w:rsidR="00BC34CE" w:rsidRPr="002F0BBC">
        <w:t>mL.</w:t>
      </w:r>
      <w:proofErr w:type="spellEnd"/>
    </w:p>
    <w:p w14:paraId="38DD8A18" w14:textId="4E4F03C4" w:rsidR="00BC34CE" w:rsidRPr="002F0BBC" w:rsidRDefault="00BC34CE" w:rsidP="002F0BBC">
      <w:pPr>
        <w:pStyle w:val="ListBullet2"/>
      </w:pPr>
      <w:r w:rsidRPr="002F0BBC">
        <w:t xml:space="preserve">No </w:t>
      </w:r>
      <w:r w:rsidR="002F0BBC">
        <w:t>serious adverse events</w:t>
      </w:r>
      <w:r w:rsidRPr="002F0BBC">
        <w:t xml:space="preserve"> were reported, and the safety profile was considered acceptable to continue clinical development of concizumab.</w:t>
      </w:r>
    </w:p>
    <w:p w14:paraId="26078B7E" w14:textId="303FB338" w:rsidR="00BC34CE" w:rsidRPr="00BC34CE" w:rsidRDefault="00BC34CE" w:rsidP="002F0BBC">
      <w:pPr>
        <w:pStyle w:val="ListBullet"/>
      </w:pPr>
      <w:r w:rsidRPr="00BC34CE">
        <w:t xml:space="preserve">In explorer7, in which the proposed dosing regimen was used, one patient (who had </w:t>
      </w:r>
      <w:proofErr w:type="spellStart"/>
      <w:r w:rsidRPr="00BC34CE">
        <w:t>HBwI</w:t>
      </w:r>
      <w:proofErr w:type="spellEnd"/>
      <w:r w:rsidRPr="00BC34CE">
        <w:t xml:space="preserve">) had a concizumab plasma concentration </w:t>
      </w:r>
      <w:r w:rsidR="002F0BBC">
        <w:t xml:space="preserve">greater than </w:t>
      </w:r>
      <w:r w:rsidRPr="00BC34CE">
        <w:t>4000</w:t>
      </w:r>
      <w:r w:rsidR="002F0BBC">
        <w:t> </w:t>
      </w:r>
      <w:r w:rsidRPr="00BC34CE">
        <w:t xml:space="preserve">ng/mL at the </w:t>
      </w:r>
      <w:proofErr w:type="gramStart"/>
      <w:r w:rsidRPr="00BC34CE">
        <w:t>4 week</w:t>
      </w:r>
      <w:proofErr w:type="gramEnd"/>
      <w:r w:rsidRPr="00BC34CE">
        <w:t xml:space="preserve"> timepoint, and had </w:t>
      </w:r>
      <w:r w:rsidR="002F0BBC">
        <w:t>their</w:t>
      </w:r>
      <w:r w:rsidRPr="00BC34CE">
        <w:t xml:space="preserve"> dose decreased to a maintenance dose of 0.15</w:t>
      </w:r>
      <w:r w:rsidR="002F0BBC">
        <w:t> </w:t>
      </w:r>
      <w:r w:rsidRPr="00BC34CE">
        <w:t>mg/kg.</w:t>
      </w:r>
    </w:p>
    <w:p w14:paraId="0A7F3346" w14:textId="4F7986B6" w:rsidR="00BC34CE" w:rsidRPr="00BC34CE" w:rsidRDefault="00BC34CE" w:rsidP="002F0BBC">
      <w:pPr>
        <w:pStyle w:val="ListBullet"/>
      </w:pPr>
      <w:r w:rsidRPr="00BC34CE">
        <w:t>There were few patients with exposures above 4000</w:t>
      </w:r>
      <w:r w:rsidR="002F0BBC">
        <w:t> </w:t>
      </w:r>
      <w:r w:rsidRPr="00BC34CE">
        <w:t>ng/</w:t>
      </w:r>
      <w:proofErr w:type="gramStart"/>
      <w:r w:rsidRPr="00BC34CE">
        <w:t>mL</w:t>
      </w:r>
      <w:proofErr w:type="gramEnd"/>
      <w:r w:rsidRPr="00BC34CE">
        <w:t xml:space="preserve"> but this did occur and for one patient reached around 10</w:t>
      </w:r>
      <w:r w:rsidR="002F0BBC">
        <w:t>,</w:t>
      </w:r>
      <w:r w:rsidRPr="00BC34CE">
        <w:t>000</w:t>
      </w:r>
      <w:r w:rsidR="002F0BBC">
        <w:t> </w:t>
      </w:r>
      <w:r w:rsidRPr="00BC34CE">
        <w:t>ng/</w:t>
      </w:r>
      <w:proofErr w:type="spellStart"/>
      <w:r w:rsidRPr="00BC34CE">
        <w:t>mL.</w:t>
      </w:r>
      <w:proofErr w:type="spellEnd"/>
    </w:p>
    <w:p w14:paraId="172DF1DC" w14:textId="59F3A73A" w:rsidR="00BC34CE" w:rsidRPr="002F0BBC" w:rsidRDefault="00BC34CE" w:rsidP="002F0BBC">
      <w:pPr>
        <w:pStyle w:val="ListBullet"/>
        <w:autoSpaceDE w:val="0"/>
        <w:autoSpaceDN w:val="0"/>
        <w:adjustRightInd w:val="0"/>
        <w:spacing w:after="120" w:line="240" w:lineRule="auto"/>
        <w:ind w:left="357" w:hanging="357"/>
        <w:rPr>
          <w:rFonts w:cs="Cambria"/>
          <w:color w:val="000000"/>
          <w:szCs w:val="22"/>
        </w:rPr>
      </w:pPr>
      <w:r w:rsidRPr="00BC34CE">
        <w:lastRenderedPageBreak/>
        <w:t>No further thrombotic events occurred in the clinical studies after the post-pause dosing was commenced.</w:t>
      </w:r>
    </w:p>
    <w:p w14:paraId="267FED9B" w14:textId="77777777" w:rsidR="00676791" w:rsidRDefault="00BC34CE" w:rsidP="002F0BBC">
      <w:r w:rsidRPr="002F0BBC">
        <w:t xml:space="preserve">The </w:t>
      </w:r>
      <w:proofErr w:type="gramStart"/>
      <w:r w:rsidRPr="002F0BBC">
        <w:t>4 week</w:t>
      </w:r>
      <w:proofErr w:type="gramEnd"/>
      <w:r w:rsidRPr="002F0BBC">
        <w:t xml:space="preserve"> timepoint for initial testing appears to be reasonable, as a balance must be struck between reducing potential risk early and testing late enough for levels to be reasonably predictive of future exposure. During evaluation, it was suggested to the </w:t>
      </w:r>
      <w:r w:rsidR="002F0BBC">
        <w:t>s</w:t>
      </w:r>
      <w:r w:rsidRPr="002F0BBC">
        <w:t xml:space="preserve">ponsor that a second test could be performed at a time by which most patients would be expected to have reached steady state exposure, </w:t>
      </w:r>
      <w:proofErr w:type="gramStart"/>
      <w:r w:rsidRPr="002F0BBC">
        <w:t>in order to</w:t>
      </w:r>
      <w:proofErr w:type="gramEnd"/>
      <w:r w:rsidRPr="002F0BBC">
        <w:t xml:space="preserve"> further reduce risk</w:t>
      </w:r>
      <w:r w:rsidR="00676791">
        <w:t>.</w:t>
      </w:r>
    </w:p>
    <w:p w14:paraId="7F6A2487" w14:textId="6FB24EA4" w:rsidR="00BC34CE" w:rsidRPr="002F0BBC" w:rsidRDefault="00BC34CE" w:rsidP="002F0BBC">
      <w:r w:rsidRPr="002F0BBC">
        <w:t xml:space="preserve">The </w:t>
      </w:r>
      <w:r w:rsidR="002F0BBC">
        <w:t>s</w:t>
      </w:r>
      <w:r w:rsidRPr="002F0BBC">
        <w:t>ponsor response included the following:</w:t>
      </w:r>
    </w:p>
    <w:p w14:paraId="4C209B12" w14:textId="77777777" w:rsidR="00676791" w:rsidRDefault="00BC34CE" w:rsidP="002F0BBC">
      <w:pPr>
        <w:ind w:left="720"/>
        <w:rPr>
          <w:i/>
          <w:iCs/>
        </w:rPr>
      </w:pPr>
      <w:r w:rsidRPr="002F0BBC">
        <w:rPr>
          <w:i/>
          <w:iCs/>
        </w:rPr>
        <w:t xml:space="preserve">The upper cut-off of 4000 ng/mL is as an extremely cautious approach to avoid patients reaching constant very high concizumab exposure levels (i.e., nearing NOAEL, corresponding to 82,600 ng/mL). Novo Nordisk does not consider it to be a safety concern that individual patients are above 4000 ng/mL for </w:t>
      </w:r>
      <w:proofErr w:type="gramStart"/>
      <w:r w:rsidRPr="002F0BBC">
        <w:rPr>
          <w:i/>
          <w:iCs/>
        </w:rPr>
        <w:t>a period of time</w:t>
      </w:r>
      <w:proofErr w:type="gramEnd"/>
      <w:r w:rsidRPr="002F0BBC">
        <w:rPr>
          <w:i/>
          <w:iCs/>
        </w:rPr>
        <w:t>. Due to the intra</w:t>
      </w:r>
      <w:r w:rsidR="002F0BBC">
        <w:rPr>
          <w:i/>
          <w:iCs/>
        </w:rPr>
        <w:noBreakHyphen/>
      </w:r>
      <w:r w:rsidRPr="002F0BBC">
        <w:rPr>
          <w:i/>
          <w:iCs/>
        </w:rPr>
        <w:t xml:space="preserve">individual variability in concizumab exposure, Novo Nordisk expects that </w:t>
      </w:r>
      <w:proofErr w:type="gramStart"/>
      <w:r w:rsidRPr="002F0BBC">
        <w:rPr>
          <w:i/>
          <w:iCs/>
        </w:rPr>
        <w:t>a number of</w:t>
      </w:r>
      <w:proofErr w:type="gramEnd"/>
      <w:r w:rsidRPr="002F0BBC">
        <w:rPr>
          <w:i/>
          <w:iCs/>
        </w:rPr>
        <w:t xml:space="preserve"> patients will occasionally have concizumab exposure above 4000 ng/mL, also after maintenance dose setting</w:t>
      </w:r>
      <w:r w:rsidR="00676791">
        <w:rPr>
          <w:i/>
          <w:iCs/>
        </w:rPr>
        <w:t>.</w:t>
      </w:r>
    </w:p>
    <w:p w14:paraId="27A137F7" w14:textId="14CB08E3" w:rsidR="00BC34CE" w:rsidRPr="002F0BBC" w:rsidRDefault="00BC34CE" w:rsidP="002F0BBC">
      <w:pPr>
        <w:ind w:left="720"/>
        <w:rPr>
          <w:i/>
          <w:iCs/>
        </w:rPr>
      </w:pPr>
      <w:r w:rsidRPr="002F0BBC">
        <w:rPr>
          <w:i/>
          <w:iCs/>
        </w:rPr>
        <w:t>…</w:t>
      </w:r>
    </w:p>
    <w:p w14:paraId="6EECB62D" w14:textId="11BBE5F8" w:rsidR="00BC34CE" w:rsidRPr="002F0BBC" w:rsidRDefault="00BC34CE" w:rsidP="002F0BBC">
      <w:pPr>
        <w:ind w:left="720"/>
        <w:rPr>
          <w:i/>
          <w:iCs/>
        </w:rPr>
      </w:pPr>
      <w:r w:rsidRPr="002F0BBC">
        <w:rPr>
          <w:i/>
          <w:iCs/>
        </w:rPr>
        <w:t xml:space="preserve">There are no data to support or justify additional concizumab exposure measurements. However, Novo Nordisk acknowledges the need to further reassure physicians and patients after the maintenance dose setting and proposes the introduction of an additional, optional concizumab exposure measurement after maintenance dose setting at the physician’s discretion, </w:t>
      </w:r>
      <w:proofErr w:type="gramStart"/>
      <w:r w:rsidRPr="002F0BBC">
        <w:rPr>
          <w:i/>
          <w:iCs/>
        </w:rPr>
        <w:t>despite the fact that</w:t>
      </w:r>
      <w:proofErr w:type="gramEnd"/>
      <w:r w:rsidRPr="002F0BBC">
        <w:rPr>
          <w:i/>
          <w:iCs/>
        </w:rPr>
        <w:t xml:space="preserve"> this has not been studied in any concizumab clinical trials. This optional measurement may be conducted after 16 weeks following maintenance dose setting. The proposed timing is to ensure that majority of the patients who decrease their dose to a maintenance dose of 0.15 mg/kg will have reached steady state. Although the exposure decreases following the decrease in dose, modelling predictions show that 95% of patients have reached steady state after 16 weeks</w:t>
      </w:r>
      <w:r w:rsidR="002F0BBC">
        <w:rPr>
          <w:i/>
          <w:iCs/>
        </w:rPr>
        <w:t>.</w:t>
      </w:r>
    </w:p>
    <w:p w14:paraId="0A15C613" w14:textId="5C5F2426" w:rsidR="00BC34CE" w:rsidRPr="002F0BBC" w:rsidRDefault="00BC34CE" w:rsidP="002F0BBC">
      <w:r w:rsidRPr="002F0BBC">
        <w:t>The proposed timing of a second test appears reasonable. It is unclear whether</w:t>
      </w:r>
      <w:r w:rsidR="002F0BBC">
        <w:t>,</w:t>
      </w:r>
      <w:r w:rsidRPr="002F0BBC">
        <w:t xml:space="preserve"> if the testing was to be made optional</w:t>
      </w:r>
      <w:r w:rsidR="002F0BBC">
        <w:t xml:space="preserve">, </w:t>
      </w:r>
      <w:r w:rsidRPr="002F0BBC">
        <w:t>what criteria the physician would use to determine the need for the second test. It is also noted that a number of patients in explorer7 had trough exposures above 4000</w:t>
      </w:r>
      <w:r w:rsidR="002F0BBC">
        <w:t> </w:t>
      </w:r>
      <w:r w:rsidRPr="002F0BBC">
        <w:t>ng/mL despite the dose adjustment protocol, and only one patient had their dose adjusted down, so the proposed second test in just the patients whose dose had been adjusted down would not be expected to change this, unless the retest was performed for all patients, not just those who had an initial dose adjustment.</w:t>
      </w:r>
    </w:p>
    <w:p w14:paraId="005C85C5" w14:textId="5241294F" w:rsidR="00BC34CE" w:rsidRPr="002F0BBC" w:rsidRDefault="00BC34CE" w:rsidP="002F0BBC">
      <w:r w:rsidRPr="002F0BBC">
        <w:t>The ACM’s advice was that as a second serum level for potential dose readjustment had not been studied it was difficult to support, but that if further data became available to support such an approach it should be reconsidered. They also noted that freely available testing for serum levels for patients taking concizumab would support data collection on this topic and on the assessment of possible association between thromboembolism and serum levels.</w:t>
      </w:r>
    </w:p>
    <w:p w14:paraId="78849940" w14:textId="74803227" w:rsidR="00BC34CE" w:rsidRDefault="00BC34CE" w:rsidP="002F0BBC">
      <w:pPr>
        <w:pStyle w:val="Heading6"/>
      </w:pPr>
      <w:r>
        <w:t>Time limit within which dose adjustment should occur</w:t>
      </w:r>
      <w:r w:rsidR="00572F9F">
        <w:fldChar w:fldCharType="begin"/>
      </w:r>
      <w:r w:rsidR="00572F9F">
        <w:instrText xml:space="preserve"> DOCVARIABLE vault_nd_7acbc580-f653-4fda-899d-4ec886afccde \* MERGEFORMAT </w:instrText>
      </w:r>
      <w:r w:rsidR="00572F9F">
        <w:fldChar w:fldCharType="separate"/>
      </w:r>
      <w:r w:rsidR="001B5D20">
        <w:t xml:space="preserve"> </w:t>
      </w:r>
      <w:r w:rsidR="00572F9F">
        <w:fldChar w:fldCharType="end"/>
      </w:r>
    </w:p>
    <w:p w14:paraId="244C6B1E" w14:textId="7F23093A" w:rsidR="00596383" w:rsidRPr="002F0BBC" w:rsidRDefault="00BC34CE" w:rsidP="002F0BBC">
      <w:r w:rsidRPr="002F0BBC">
        <w:t xml:space="preserve">In the draft PI, the </w:t>
      </w:r>
      <w:r w:rsidR="002F0BBC">
        <w:t>s</w:t>
      </w:r>
      <w:r w:rsidRPr="002F0BBC">
        <w:t xml:space="preserve">ponsor has proposed an arbitrary </w:t>
      </w:r>
      <w:proofErr w:type="gramStart"/>
      <w:r w:rsidRPr="002F0BBC">
        <w:t>8 week</w:t>
      </w:r>
      <w:proofErr w:type="gramEnd"/>
      <w:r w:rsidRPr="002F0BBC">
        <w:t xml:space="preserve"> limit between sampling for trough concizumab level at 4 weeks and implementing a dose change based on the result, to allow for time required for sending samples overseas for testing and receiving the result. In real terms, the sample should be sent </w:t>
      </w:r>
      <w:r w:rsidR="002F0BBC">
        <w:t>as soon as possible</w:t>
      </w:r>
      <w:r w:rsidRPr="002F0BBC">
        <w:t xml:space="preserve">, and the dose adjusted </w:t>
      </w:r>
      <w:r w:rsidR="002F0BBC">
        <w:t>as soon as possible</w:t>
      </w:r>
      <w:r w:rsidRPr="002F0BBC">
        <w:t xml:space="preserve">, but the specification of a time limit may be helpful for ensuring that access to testing and results are optimised. The timeframe proposed by the </w:t>
      </w:r>
      <w:r w:rsidR="002F0BBC">
        <w:t>s</w:t>
      </w:r>
      <w:r w:rsidRPr="002F0BBC">
        <w:t>ponsor is based on what was undertaken in the study and is considered acceptable</w:t>
      </w:r>
      <w:r w:rsidR="002F0BBC">
        <w:t>.</w:t>
      </w:r>
    </w:p>
    <w:p w14:paraId="406541C7" w14:textId="26F6DAE2" w:rsidR="00C22214" w:rsidRDefault="00C22214" w:rsidP="002F0BBC">
      <w:pPr>
        <w:pStyle w:val="Heading4"/>
      </w:pPr>
      <w:bookmarkStart w:id="137" w:name="_Toc98931933"/>
      <w:bookmarkStart w:id="138" w:name="_Toc160786394"/>
      <w:r w:rsidRPr="00D23139">
        <w:lastRenderedPageBreak/>
        <w:t>Proposed action</w:t>
      </w:r>
      <w:bookmarkEnd w:id="137"/>
      <w:bookmarkEnd w:id="138"/>
      <w:r w:rsidR="0048603E">
        <w:fldChar w:fldCharType="begin"/>
      </w:r>
      <w:r w:rsidR="0048603E">
        <w:instrText xml:space="preserve"> DOCVARIABLE vault_nd_ba3d52f8-a050-4c8d-a805-e9605d18c842 \* MERGEFORMAT </w:instrText>
      </w:r>
      <w:r w:rsidR="0048603E">
        <w:fldChar w:fldCharType="separate"/>
      </w:r>
      <w:r w:rsidR="001B5D20">
        <w:t xml:space="preserve"> </w:t>
      </w:r>
      <w:r w:rsidR="0048603E">
        <w:fldChar w:fldCharType="end"/>
      </w:r>
    </w:p>
    <w:p w14:paraId="122084B3" w14:textId="0F66F805" w:rsidR="002F0BBC" w:rsidRPr="002F0BBC" w:rsidRDefault="002F0BBC" w:rsidP="002F0BBC">
      <w:r w:rsidRPr="002F0BBC">
        <w:t>Haemophilia is a rare condition.</w:t>
      </w:r>
    </w:p>
    <w:p w14:paraId="19981255" w14:textId="6505AC04" w:rsidR="002F0BBC" w:rsidRPr="002F0BBC" w:rsidRDefault="002F0BBC" w:rsidP="002F0BBC">
      <w:r w:rsidRPr="002F0BBC">
        <w:t>For haemophilia without inhibitors, the treatment of choice is clotting factor replacement both on-demand (for acute bleeds) and as prophylaxis, as this is very safe and effective.</w:t>
      </w:r>
      <w:r>
        <w:fldChar w:fldCharType="begin"/>
      </w:r>
      <w:r>
        <w:instrText xml:space="preserve"> NOTEREF _Ref149560235 \f \h </w:instrText>
      </w:r>
      <w:r>
        <w:fldChar w:fldCharType="separate"/>
      </w:r>
      <w:r w:rsidR="001B5D20" w:rsidRPr="001B5D20">
        <w:rPr>
          <w:rStyle w:val="FootnoteReference"/>
        </w:rPr>
        <w:t>2</w:t>
      </w:r>
      <w:r>
        <w:fldChar w:fldCharType="end"/>
      </w:r>
      <w:r w:rsidRPr="002F0BBC">
        <w:t xml:space="preserve"> Some patients with haemophilia develop inhibitors against exogenous clotting factors, and for these patients, treatment options are limited. Bypassing agents can be used but are administered </w:t>
      </w:r>
      <w:r>
        <w:t xml:space="preserve">intravenously </w:t>
      </w:r>
      <w:r w:rsidRPr="002F0BBC">
        <w:t xml:space="preserve">and can be associated with risk of thrombosis. For patients with </w:t>
      </w:r>
      <w:proofErr w:type="spellStart"/>
      <w:r w:rsidRPr="002F0BBC">
        <w:t>HAwI</w:t>
      </w:r>
      <w:proofErr w:type="spellEnd"/>
      <w:r w:rsidRPr="002F0BBC">
        <w:t xml:space="preserve">, </w:t>
      </w:r>
      <w:proofErr w:type="spellStart"/>
      <w:r w:rsidRPr="002F0BBC">
        <w:t>emicizumab</w:t>
      </w:r>
      <w:proofErr w:type="spellEnd"/>
      <w:r w:rsidRPr="002F0BBC">
        <w:t xml:space="preserve"> can be used for prophylaxis, and is given subcutaneously. For </w:t>
      </w:r>
      <w:proofErr w:type="spellStart"/>
      <w:r w:rsidRPr="002F0BBC">
        <w:t>HBwI</w:t>
      </w:r>
      <w:proofErr w:type="spellEnd"/>
      <w:r w:rsidRPr="002F0BBC">
        <w:t xml:space="preserve">, the only options are bypassing agents </w:t>
      </w:r>
      <w:proofErr w:type="spellStart"/>
      <w:r w:rsidRPr="002F0BBC">
        <w:t>rfVIIa</w:t>
      </w:r>
      <w:proofErr w:type="spellEnd"/>
      <w:r w:rsidRPr="002F0BBC">
        <w:t xml:space="preserve"> or </w:t>
      </w:r>
      <w:proofErr w:type="spellStart"/>
      <w:r w:rsidRPr="002F0BBC">
        <w:t>aPCC</w:t>
      </w:r>
      <w:proofErr w:type="spellEnd"/>
      <w:r w:rsidRPr="002F0BBC">
        <w:t xml:space="preserve">: </w:t>
      </w:r>
      <w:proofErr w:type="spellStart"/>
      <w:r w:rsidRPr="002F0BBC">
        <w:t>rfVIIa</w:t>
      </w:r>
      <w:proofErr w:type="spellEnd"/>
      <w:r w:rsidRPr="002F0BBC">
        <w:t xml:space="preserve"> is preferred </w:t>
      </w:r>
      <w:proofErr w:type="gramStart"/>
      <w:r w:rsidRPr="002F0BBC">
        <w:t>due to the fact that</w:t>
      </w:r>
      <w:proofErr w:type="gramEnd"/>
      <w:r w:rsidRPr="002F0BBC">
        <w:t xml:space="preserve"> </w:t>
      </w:r>
      <w:proofErr w:type="spellStart"/>
      <w:r w:rsidRPr="002F0BBC">
        <w:t>aPCC</w:t>
      </w:r>
      <w:proofErr w:type="spellEnd"/>
      <w:r w:rsidRPr="002F0BBC">
        <w:t xml:space="preserve"> contains </w:t>
      </w:r>
      <w:proofErr w:type="spellStart"/>
      <w:r w:rsidRPr="002F0BBC">
        <w:t>fIX</w:t>
      </w:r>
      <w:proofErr w:type="spellEnd"/>
      <w:r w:rsidRPr="002F0BBC">
        <w:t xml:space="preserve"> which may precipitate anaphylaxis.</w:t>
      </w:r>
    </w:p>
    <w:p w14:paraId="7A03F807" w14:textId="793C014E" w:rsidR="002F0BBC" w:rsidRPr="002F0BBC" w:rsidRDefault="002F0BBC" w:rsidP="002F0BBC">
      <w:r w:rsidRPr="002F0BBC">
        <w:t xml:space="preserve">For patients with </w:t>
      </w:r>
      <w:proofErr w:type="spellStart"/>
      <w:r w:rsidRPr="002F0BBC">
        <w:t>HBwI</w:t>
      </w:r>
      <w:proofErr w:type="spellEnd"/>
      <w:r w:rsidRPr="002F0BBC">
        <w:t>, for whom treatment options are very limited, the data from explorer7 are adequately robust and represent a clinically meaningful reduction in frequency of bleeding episodes requiring treatment with haemostatic agents. Care must be taken to communicate the potential for life-threatening thrombosis as described in the proposed Product Information.</w:t>
      </w:r>
    </w:p>
    <w:p w14:paraId="054F2ABE" w14:textId="0E0B0167" w:rsidR="002F0BBC" w:rsidRPr="002F0BBC" w:rsidRDefault="002F0BBC" w:rsidP="002F0BBC">
      <w:r w:rsidRPr="002F0BBC">
        <w:t>Follow up data from the post-market registry study is important, given the rarity of the condition. Issues that should be considered are whether thromboembolism is a risk of treatment in the absence of other drugs that cause it, whether serum levels are associated if so, and whether serum levels are stable with longer term use (including the possible value of further serum monitoring). These data are required as a condition of registration.</w:t>
      </w:r>
    </w:p>
    <w:p w14:paraId="78EBE040" w14:textId="08EAEDD0" w:rsidR="002F0BBC" w:rsidRPr="002F0BBC" w:rsidRDefault="002F0BBC" w:rsidP="002F0BBC">
      <w:r w:rsidRPr="002F0BBC">
        <w:t xml:space="preserve">The </w:t>
      </w:r>
      <w:r>
        <w:t>s</w:t>
      </w:r>
      <w:r w:rsidRPr="002F0BBC">
        <w:t>ponsor’s plan for companion testing will need to be evaluated prior to concizumab supply in Australia.</w:t>
      </w:r>
    </w:p>
    <w:p w14:paraId="318CFABC" w14:textId="47D26FFF" w:rsidR="00C22214" w:rsidRPr="00F73346" w:rsidRDefault="00C22214" w:rsidP="00C22214">
      <w:pPr>
        <w:pStyle w:val="Heading4"/>
      </w:pPr>
      <w:bookmarkStart w:id="139" w:name="_Toc98931936"/>
      <w:bookmarkStart w:id="140" w:name="_Toc160786395"/>
      <w:bookmarkStart w:id="141" w:name="_Toc247691532"/>
      <w:bookmarkStart w:id="142" w:name="_Toc314842516"/>
      <w:r w:rsidRPr="00F73346">
        <w:t>Advisory Committee considerations</w:t>
      </w:r>
      <w:bookmarkEnd w:id="139"/>
      <w:bookmarkEnd w:id="140"/>
      <w:r w:rsidR="0048603E">
        <w:fldChar w:fldCharType="begin"/>
      </w:r>
      <w:r w:rsidR="0048603E">
        <w:instrText xml:space="preserve"> DOCVARIABLE vault_nd_a5b7d959-5375-42fc-b75c-a5a896fce7a1 \* MERGEFORMAT </w:instrText>
      </w:r>
      <w:r w:rsidR="0048603E">
        <w:fldChar w:fldCharType="separate"/>
      </w:r>
      <w:r w:rsidR="001B5D20">
        <w:t xml:space="preserve"> </w:t>
      </w:r>
      <w:r w:rsidR="0048603E">
        <w:fldChar w:fldCharType="end"/>
      </w:r>
    </w:p>
    <w:p w14:paraId="087BB9CB" w14:textId="02770731" w:rsidR="00C22214" w:rsidRPr="00BD5DBD" w:rsidRDefault="00C22214" w:rsidP="00C22214">
      <w:pPr>
        <w:rPr>
          <w:bCs/>
          <w:szCs w:val="22"/>
        </w:rPr>
      </w:pPr>
      <w:r w:rsidRPr="00BD5DBD">
        <w:rPr>
          <w:bCs/>
          <w:szCs w:val="22"/>
        </w:rPr>
        <w:t xml:space="preserve">The </w:t>
      </w:r>
      <w:hyperlink r:id="rId38"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253A6E56" w:rsidR="00C22214" w:rsidRDefault="00C22214" w:rsidP="00C22214">
      <w:pPr>
        <w:pStyle w:val="Heading5"/>
      </w:pPr>
      <w:r w:rsidRPr="00F73346">
        <w:t>Specific advice to the Delegate</w:t>
      </w:r>
      <w:r w:rsidR="00572F9F">
        <w:fldChar w:fldCharType="begin"/>
      </w:r>
      <w:r w:rsidR="00572F9F">
        <w:instrText xml:space="preserve"> DOCVARIABLE vault_nd_c9b0ba2b-9882-445f-9771-626db066d370 \* MERGEFORMAT </w:instrText>
      </w:r>
      <w:r w:rsidR="00572F9F">
        <w:fldChar w:fldCharType="separate"/>
      </w:r>
      <w:r w:rsidR="001B5D20">
        <w:t xml:space="preserve"> </w:t>
      </w:r>
      <w:r w:rsidR="00572F9F">
        <w:fldChar w:fldCharType="end"/>
      </w:r>
    </w:p>
    <w:p w14:paraId="1D944C15" w14:textId="77777777" w:rsidR="002F0BBC" w:rsidRPr="002F0BBC" w:rsidRDefault="002F0BBC" w:rsidP="002F0BBC">
      <w:pPr>
        <w:pStyle w:val="Numberbullet0"/>
        <w:numPr>
          <w:ilvl w:val="0"/>
          <w:numId w:val="36"/>
        </w:numPr>
        <w:rPr>
          <w:b/>
          <w:bCs/>
          <w:i/>
          <w:iCs/>
        </w:rPr>
      </w:pPr>
      <w:r w:rsidRPr="002F0BBC">
        <w:rPr>
          <w:b/>
          <w:bCs/>
          <w:i/>
          <w:iCs/>
        </w:rPr>
        <w:t xml:space="preserve">Does the committee believe the presented efficacy data is adequate to support the use of concizumab for prophylaxis against bleeding for patients with </w:t>
      </w:r>
      <w:proofErr w:type="spellStart"/>
      <w:r w:rsidRPr="002F0BBC">
        <w:rPr>
          <w:b/>
          <w:bCs/>
          <w:i/>
          <w:iCs/>
        </w:rPr>
        <w:t>HBwI</w:t>
      </w:r>
      <w:proofErr w:type="spellEnd"/>
      <w:r w:rsidRPr="002F0BBC">
        <w:rPr>
          <w:b/>
          <w:bCs/>
          <w:i/>
          <w:iCs/>
        </w:rPr>
        <w:t>, despite the lack of granularity in baseline data on bleeding frequency during the 24 weeks prior to study entry?</w:t>
      </w:r>
    </w:p>
    <w:p w14:paraId="5D378FA1" w14:textId="77777777" w:rsidR="002F0BBC" w:rsidRPr="002F0BBC" w:rsidRDefault="002F0BBC" w:rsidP="002F0BBC">
      <w:r w:rsidRPr="002F0BBC">
        <w:t xml:space="preserve">The ACM was of the view that the efficacy data is adequate to support the use of concizumab for prophylaxis against bleeding for patients with </w:t>
      </w:r>
      <w:proofErr w:type="spellStart"/>
      <w:r w:rsidRPr="002F0BBC">
        <w:t>HBwI</w:t>
      </w:r>
      <w:proofErr w:type="spellEnd"/>
      <w:r w:rsidRPr="002F0BBC">
        <w:t>.</w:t>
      </w:r>
    </w:p>
    <w:p w14:paraId="378DF0B3" w14:textId="77777777" w:rsidR="002F0BBC" w:rsidRPr="002F0BBC" w:rsidRDefault="002F0BBC" w:rsidP="002F0BBC">
      <w:r w:rsidRPr="002F0BBC">
        <w:t>The ACM noted while there can be difficulties with annualised bleed rate (ABR) as an end point due to the subjective perception of bleeds by patients, it is a common measure. The ACM also noted that a more objective measure such as clinically or radiologically confirmed bleeds would be difficult to manage and maintain compliance.</w:t>
      </w:r>
    </w:p>
    <w:p w14:paraId="5B57DB5E" w14:textId="2933C001" w:rsidR="002F0BBC" w:rsidRPr="002F0BBC" w:rsidRDefault="002F0BBC" w:rsidP="002F0BBC">
      <w:r w:rsidRPr="002F0BBC">
        <w:t>The ACM noted that patient randomisation was stratified by number of bleeds in the previous 6</w:t>
      </w:r>
      <w:r>
        <w:t> </w:t>
      </w:r>
      <w:r w:rsidRPr="002F0BBC">
        <w:t>months and agreed that the lack of granularity in the baseline data on bleeding frequency is not ideal, however does not pose an absolute barrier to accepting the study as supportive of a treatment effect.</w:t>
      </w:r>
    </w:p>
    <w:p w14:paraId="548784E8" w14:textId="77777777" w:rsidR="002F0BBC" w:rsidRPr="002F0BBC" w:rsidRDefault="002F0BBC" w:rsidP="002F0BBC">
      <w:r w:rsidRPr="002F0BBC">
        <w:t>The ACM found the consistency of effect across subgroups reassuring that the difference between arms was not entirely attributable to outliers.</w:t>
      </w:r>
    </w:p>
    <w:p w14:paraId="6E02975D" w14:textId="77777777" w:rsidR="002F0BBC" w:rsidRPr="00EC65CD" w:rsidRDefault="002F0BBC" w:rsidP="002F0BBC">
      <w:pPr>
        <w:pStyle w:val="Numberbullet0"/>
        <w:numPr>
          <w:ilvl w:val="0"/>
          <w:numId w:val="35"/>
        </w:numPr>
        <w:rPr>
          <w:b/>
          <w:bCs/>
          <w:i/>
          <w:iCs/>
          <w:color w:val="auto"/>
        </w:rPr>
      </w:pPr>
      <w:r w:rsidRPr="00EC65CD">
        <w:rPr>
          <w:b/>
          <w:bCs/>
          <w:i/>
          <w:iCs/>
          <w:color w:val="auto"/>
        </w:rPr>
        <w:t>Does the committee agree that a black box warning regarding thromboembolism is warranted? If so, what key pieces of information should the warning contain?</w:t>
      </w:r>
    </w:p>
    <w:p w14:paraId="7475B7E1" w14:textId="27020CAC" w:rsidR="002F0BBC" w:rsidRPr="002F0BBC" w:rsidRDefault="002F0BBC" w:rsidP="002F0BBC">
      <w:r w:rsidRPr="002F0BBC">
        <w:lastRenderedPageBreak/>
        <w:t>The ACM did not consider it necessary to have a black box warning for thromboembolism, however agreed that continued monitoring for thromboembolic events is important.</w:t>
      </w:r>
    </w:p>
    <w:p w14:paraId="631C1E8F" w14:textId="4159A454" w:rsidR="002F0BBC" w:rsidRPr="002F0BBC" w:rsidRDefault="002F0BBC" w:rsidP="002F0BBC">
      <w:r w:rsidRPr="002F0BBC">
        <w:t xml:space="preserve">The ACM noted that three patients on treatment were impacted by thromboembolism however in all three instances bypassing agent therapy </w:t>
      </w:r>
      <w:proofErr w:type="gramStart"/>
      <w:r w:rsidRPr="002F0BBC">
        <w:t>in excess of</w:t>
      </w:r>
      <w:proofErr w:type="gramEnd"/>
      <w:r w:rsidRPr="002F0BBC">
        <w:t xml:space="preserve"> the standard treatment dosage was administered.</w:t>
      </w:r>
    </w:p>
    <w:p w14:paraId="48CD3C79" w14:textId="77777777" w:rsidR="002F0BBC" w:rsidRPr="00EC65CD" w:rsidRDefault="002F0BBC" w:rsidP="002F0BBC">
      <w:pPr>
        <w:pStyle w:val="Numberbullet0"/>
        <w:numPr>
          <w:ilvl w:val="0"/>
          <w:numId w:val="35"/>
        </w:numPr>
        <w:rPr>
          <w:b/>
          <w:bCs/>
          <w:i/>
          <w:iCs/>
          <w:color w:val="auto"/>
        </w:rPr>
      </w:pPr>
      <w:r w:rsidRPr="00EC65CD">
        <w:rPr>
          <w:b/>
          <w:bCs/>
          <w:i/>
          <w:iCs/>
          <w:color w:val="auto"/>
        </w:rPr>
        <w:t>Does the committee believe a second dose adjustment step based on a repeat serum trough level should be recommended? If so:</w:t>
      </w:r>
    </w:p>
    <w:p w14:paraId="0495D6B6" w14:textId="77777777" w:rsidR="002F0BBC" w:rsidRPr="00EC65CD" w:rsidRDefault="002F0BBC" w:rsidP="002F0BBC">
      <w:pPr>
        <w:pStyle w:val="Numberbullet2"/>
        <w:numPr>
          <w:ilvl w:val="1"/>
          <w:numId w:val="35"/>
        </w:numPr>
        <w:ind w:left="850" w:hanging="425"/>
        <w:rPr>
          <w:b/>
          <w:bCs/>
          <w:i/>
          <w:iCs/>
          <w:color w:val="auto"/>
        </w:rPr>
      </w:pPr>
      <w:r w:rsidRPr="00EC65CD">
        <w:rPr>
          <w:b/>
          <w:bCs/>
          <w:i/>
          <w:iCs/>
          <w:color w:val="auto"/>
        </w:rPr>
        <w:t>Should it be recommended for all patients, or only those whose dose was changed at the first adjustment step, or only the subset of those whose dose was adjusted downwards?</w:t>
      </w:r>
    </w:p>
    <w:p w14:paraId="035AB50D" w14:textId="77777777" w:rsidR="002F0BBC" w:rsidRPr="00EC65CD" w:rsidRDefault="002F0BBC" w:rsidP="002F0BBC">
      <w:pPr>
        <w:pStyle w:val="Numberbullet2"/>
        <w:numPr>
          <w:ilvl w:val="1"/>
          <w:numId w:val="35"/>
        </w:numPr>
        <w:ind w:left="850" w:hanging="425"/>
        <w:rPr>
          <w:b/>
          <w:bCs/>
          <w:i/>
          <w:iCs/>
          <w:color w:val="auto"/>
        </w:rPr>
      </w:pPr>
      <w:r w:rsidRPr="00EC65CD">
        <w:rPr>
          <w:b/>
          <w:bCs/>
          <w:i/>
          <w:iCs/>
          <w:color w:val="auto"/>
        </w:rPr>
        <w:t xml:space="preserve">Should it be mandatory or optional? If the latter, how should a physician decide </w:t>
      </w:r>
      <w:proofErr w:type="gramStart"/>
      <w:r w:rsidRPr="00EC65CD">
        <w:rPr>
          <w:b/>
          <w:bCs/>
          <w:i/>
          <w:iCs/>
          <w:color w:val="auto"/>
        </w:rPr>
        <w:t>whether or not</w:t>
      </w:r>
      <w:proofErr w:type="gramEnd"/>
      <w:r w:rsidRPr="00EC65CD">
        <w:rPr>
          <w:b/>
          <w:bCs/>
          <w:i/>
          <w:iCs/>
          <w:color w:val="auto"/>
        </w:rPr>
        <w:t xml:space="preserve"> to test?</w:t>
      </w:r>
    </w:p>
    <w:p w14:paraId="49E0584A" w14:textId="77777777" w:rsidR="002F0BBC" w:rsidRPr="002F0BBC" w:rsidRDefault="002F0BBC" w:rsidP="002F0BBC">
      <w:r w:rsidRPr="002F0BBC">
        <w:t>The ACM noted that a second dose adjustment step was not part of the clinical trials and hesitated to recommend this noting it is a novel and untested monitoring approach. The ACM advised that data to support the use of this approach would be useful in the PI should it become available.</w:t>
      </w:r>
    </w:p>
    <w:p w14:paraId="3EA7DAEF" w14:textId="77777777" w:rsidR="002F0BBC" w:rsidRPr="002F0BBC" w:rsidRDefault="002F0BBC" w:rsidP="002F0BBC">
      <w:r w:rsidRPr="002F0BBC">
        <w:t>The ACM noted that free availability of post-market testing of concizumab levels would be valuable, to allow data collection in case post-market cases of thromboembolism occurred.</w:t>
      </w:r>
    </w:p>
    <w:p w14:paraId="4886EAAD" w14:textId="77777777" w:rsidR="002F0BBC" w:rsidRPr="00CE150C" w:rsidRDefault="002F0BBC" w:rsidP="002F0BBC">
      <w:pPr>
        <w:pStyle w:val="Numberbullet0"/>
        <w:numPr>
          <w:ilvl w:val="0"/>
          <w:numId w:val="35"/>
        </w:numPr>
        <w:rPr>
          <w:b/>
          <w:bCs/>
          <w:i/>
          <w:iCs/>
          <w:color w:val="auto"/>
        </w:rPr>
      </w:pPr>
      <w:r w:rsidRPr="00CE150C">
        <w:rPr>
          <w:b/>
          <w:bCs/>
          <w:i/>
          <w:iCs/>
          <w:color w:val="auto"/>
        </w:rPr>
        <w:t>Regarding endogenous factor levels and severity of disease:</w:t>
      </w:r>
    </w:p>
    <w:p w14:paraId="7AE5BF3E" w14:textId="77777777" w:rsidR="002F0BBC" w:rsidRPr="00CE150C" w:rsidRDefault="002F0BBC" w:rsidP="002F0BBC">
      <w:pPr>
        <w:pStyle w:val="Numberbullet2"/>
        <w:numPr>
          <w:ilvl w:val="1"/>
          <w:numId w:val="35"/>
        </w:numPr>
        <w:ind w:left="850" w:hanging="425"/>
        <w:rPr>
          <w:b/>
          <w:bCs/>
          <w:i/>
          <w:iCs/>
          <w:color w:val="auto"/>
        </w:rPr>
      </w:pPr>
      <w:r w:rsidRPr="00CE150C">
        <w:rPr>
          <w:b/>
          <w:bCs/>
          <w:i/>
          <w:iCs/>
          <w:color w:val="auto"/>
        </w:rPr>
        <w:t>Does the committee agree with the statement in the pivotal study report to the effect that for patients requiring treatment with bypassing agents, disease severity according to endogenous factor levels is not prognostic for the risk of bleeding?</w:t>
      </w:r>
    </w:p>
    <w:p w14:paraId="5AE6A9E7" w14:textId="14ACFA61" w:rsidR="002F0BBC" w:rsidRPr="002F0BBC" w:rsidRDefault="002F0BBC" w:rsidP="002F0BBC">
      <w:r w:rsidRPr="002F0BBC">
        <w:t xml:space="preserve">The ACM agreed with the statement and noted that this is because once the inhibitor is formed it may mop up any existing endogenous </w:t>
      </w:r>
      <w:proofErr w:type="spellStart"/>
      <w:r w:rsidRPr="002F0BBC">
        <w:t>fIX</w:t>
      </w:r>
      <w:proofErr w:type="spellEnd"/>
      <w:r w:rsidRPr="002F0BBC">
        <w:t>. They further noted that for determining eligibility for treatment, the titre of the inhibitor is also not important.</w:t>
      </w:r>
    </w:p>
    <w:p w14:paraId="5E10F0D6" w14:textId="77777777" w:rsidR="002F0BBC" w:rsidRPr="00CE150C" w:rsidRDefault="002F0BBC" w:rsidP="002F0BBC">
      <w:pPr>
        <w:pStyle w:val="Numberbullet2"/>
        <w:numPr>
          <w:ilvl w:val="1"/>
          <w:numId w:val="35"/>
        </w:numPr>
        <w:ind w:left="850" w:hanging="425"/>
        <w:rPr>
          <w:color w:val="auto"/>
        </w:rPr>
      </w:pPr>
      <w:r w:rsidRPr="00CE150C">
        <w:rPr>
          <w:b/>
          <w:bCs/>
          <w:i/>
          <w:iCs/>
          <w:color w:val="auto"/>
        </w:rPr>
        <w:t>Does the committee believe that the indication wording should specify a particular severity of disease, or a requirement for a particular frequency of bypassing treatment?</w:t>
      </w:r>
    </w:p>
    <w:p w14:paraId="4AF42D7D" w14:textId="77777777" w:rsidR="002F0BBC" w:rsidRPr="002F0BBC" w:rsidRDefault="002F0BBC" w:rsidP="002F0BBC">
      <w:r w:rsidRPr="002F0BBC">
        <w:t>The ACM was of the view that the indication wording should include ‘where prophylaxis is required’ as this appropriately identifies the study population whilst allowing clinical determination of requirement.</w:t>
      </w:r>
    </w:p>
    <w:p w14:paraId="1481F5E5" w14:textId="77777777" w:rsidR="002F0BBC" w:rsidRPr="002F0BBC" w:rsidRDefault="002F0BBC" w:rsidP="002F0BBC">
      <w:r w:rsidRPr="002F0BBC">
        <w:t>The ACM noted that concizumab will be prescribed and monitored by designated haemophilia centres within Australia and as such advised that additional information on disease severity or frequency of bypassing treatment was not required within the indication.</w:t>
      </w:r>
    </w:p>
    <w:p w14:paraId="58C311BB" w14:textId="77777777" w:rsidR="002F0BBC" w:rsidRPr="00376908" w:rsidRDefault="002F0BBC" w:rsidP="002F0BBC">
      <w:pPr>
        <w:pStyle w:val="Numberbullet0"/>
        <w:numPr>
          <w:ilvl w:val="0"/>
          <w:numId w:val="35"/>
        </w:numPr>
        <w:rPr>
          <w:b/>
          <w:bCs/>
          <w:i/>
          <w:iCs/>
          <w:color w:val="auto"/>
        </w:rPr>
      </w:pPr>
      <w:r w:rsidRPr="00376908">
        <w:rPr>
          <w:b/>
          <w:bCs/>
          <w:i/>
          <w:iCs/>
          <w:color w:val="auto"/>
        </w:rPr>
        <w:t>Other advice:</w:t>
      </w:r>
    </w:p>
    <w:p w14:paraId="4E8C0DF9" w14:textId="77777777" w:rsidR="002F0BBC" w:rsidRPr="002F0BBC" w:rsidRDefault="002F0BBC" w:rsidP="002F0BBC">
      <w:r w:rsidRPr="002F0BBC">
        <w:t>The ACM noted that the wording in the PI for use in patients with low responding inhibitors could be further clarified within the inclusion:</w:t>
      </w:r>
    </w:p>
    <w:p w14:paraId="695A91A2" w14:textId="61847AE8" w:rsidR="00C22214" w:rsidRPr="002F0BBC" w:rsidRDefault="002F0BBC" w:rsidP="002F0BBC">
      <w:pPr>
        <w:ind w:left="720"/>
        <w:rPr>
          <w:i/>
          <w:iCs/>
        </w:rPr>
      </w:pPr>
      <w:r w:rsidRPr="002F0BBC">
        <w:rPr>
          <w:i/>
          <w:iCs/>
        </w:rPr>
        <w:t>The safety of high doses of factor IX, such as those used in immune tolerance induction or for treatment of bleeds in patients with low-responding inhibitors receiving concizumab has not been established.</w:t>
      </w:r>
    </w:p>
    <w:p w14:paraId="5291EA2A" w14:textId="30F93311" w:rsidR="00C22214" w:rsidRPr="00F73346" w:rsidRDefault="00C22214" w:rsidP="00C22214">
      <w:pPr>
        <w:pStyle w:val="Heading5"/>
      </w:pPr>
      <w:r w:rsidRPr="00F73346">
        <w:t>Conclusion</w:t>
      </w:r>
      <w:r w:rsidR="00572F9F">
        <w:fldChar w:fldCharType="begin"/>
      </w:r>
      <w:r w:rsidR="00572F9F">
        <w:instrText xml:space="preserve"> DOCVARIABLE vault_nd_ef2c8bec-e338</w:instrText>
      </w:r>
      <w:r w:rsidR="00572F9F">
        <w:instrText xml:space="preserve">-4629-81d4-0e4deada9579 \* MERGEFORMAT </w:instrText>
      </w:r>
      <w:r w:rsidR="00572F9F">
        <w:fldChar w:fldCharType="separate"/>
      </w:r>
      <w:r w:rsidR="001B5D20">
        <w:t xml:space="preserve"> </w:t>
      </w:r>
      <w:r w:rsidR="00572F9F">
        <w:fldChar w:fldCharType="end"/>
      </w:r>
    </w:p>
    <w:p w14:paraId="3A79D683" w14:textId="77777777" w:rsidR="002F0BBC" w:rsidRPr="002F0BBC" w:rsidRDefault="002F0BBC" w:rsidP="002F0BBC">
      <w:bookmarkStart w:id="143" w:name="_Toc103679300"/>
      <w:r w:rsidRPr="002F0BBC">
        <w:t>The ACM considered this product to have an overall positive benefit-risk profile for the indication:</w:t>
      </w:r>
    </w:p>
    <w:p w14:paraId="6F274018" w14:textId="77777777" w:rsidR="002F0BBC" w:rsidRPr="002F0BBC" w:rsidRDefault="002F0BBC" w:rsidP="002F0BBC">
      <w:pPr>
        <w:ind w:left="720"/>
      </w:pPr>
      <w:r w:rsidRPr="002F0BBC">
        <w:rPr>
          <w:i/>
          <w:iCs/>
        </w:rPr>
        <w:lastRenderedPageBreak/>
        <w:t>Indicated where prophylaxis is required to prevent or reduce the frequency of bleeding in patients at least ≥ 12 years of age with who have haemophilia B (congenital factor IX [</w:t>
      </w:r>
      <w:proofErr w:type="spellStart"/>
      <w:r w:rsidRPr="002F0BBC">
        <w:rPr>
          <w:i/>
          <w:iCs/>
        </w:rPr>
        <w:t>fIX</w:t>
      </w:r>
      <w:proofErr w:type="spellEnd"/>
      <w:r w:rsidRPr="002F0BBC">
        <w:rPr>
          <w:i/>
          <w:iCs/>
        </w:rPr>
        <w:t xml:space="preserve">] deficiency) with </w:t>
      </w:r>
      <w:proofErr w:type="spellStart"/>
      <w:r w:rsidRPr="002F0BBC">
        <w:rPr>
          <w:i/>
          <w:iCs/>
        </w:rPr>
        <w:t>fIX</w:t>
      </w:r>
      <w:proofErr w:type="spellEnd"/>
      <w:r w:rsidRPr="002F0BBC">
        <w:rPr>
          <w:i/>
          <w:iCs/>
        </w:rPr>
        <w:t xml:space="preserve"> inhibitors</w:t>
      </w:r>
      <w:r w:rsidRPr="002F0BBC">
        <w:t>.</w:t>
      </w:r>
    </w:p>
    <w:p w14:paraId="307F236C" w14:textId="330B5048" w:rsidR="00C22214" w:rsidRPr="002E238E" w:rsidRDefault="00C22214" w:rsidP="00C22214">
      <w:pPr>
        <w:pStyle w:val="Heading2"/>
      </w:pPr>
      <w:bookmarkStart w:id="144" w:name="_Toc160786396"/>
      <w:r>
        <w:t>Outcome</w:t>
      </w:r>
      <w:bookmarkEnd w:id="141"/>
      <w:bookmarkEnd w:id="142"/>
      <w:bookmarkEnd w:id="143"/>
      <w:bookmarkEnd w:id="144"/>
      <w:r w:rsidR="0048603E">
        <w:fldChar w:fldCharType="begin"/>
      </w:r>
      <w:r w:rsidR="0048603E">
        <w:instrText xml:space="preserve"> DOCVARIABLE vault_nd_c1488471-6a44-4be6-984e-d20001037dcd \* MERGEFORMAT </w:instrText>
      </w:r>
      <w:r w:rsidR="0048603E">
        <w:fldChar w:fldCharType="separate"/>
      </w:r>
      <w:r w:rsidR="001B5D20">
        <w:t xml:space="preserve"> </w:t>
      </w:r>
      <w:r w:rsidR="0048603E">
        <w:fldChar w:fldCharType="end"/>
      </w:r>
    </w:p>
    <w:p w14:paraId="7045B3BC" w14:textId="77777777" w:rsidR="002F0BBC" w:rsidRDefault="00C22214" w:rsidP="002F0BBC">
      <w:pPr>
        <w:rPr>
          <w:szCs w:val="22"/>
        </w:rPr>
      </w:pPr>
      <w:r w:rsidRPr="00BD5DBD">
        <w:rPr>
          <w:szCs w:val="22"/>
        </w:rPr>
        <w:t xml:space="preserve">Based on a review of quality, safety, and efficacy, the TGA approved the registration of </w:t>
      </w:r>
      <w:r w:rsidR="002F0BBC">
        <w:t>Alhemo (concizumab</w:t>
      </w:r>
      <w:r w:rsidR="002F0BBC" w:rsidRPr="00BD5DBD">
        <w:rPr>
          <w:szCs w:val="22"/>
        </w:rPr>
        <w:t xml:space="preserve">) </w:t>
      </w:r>
      <w:r w:rsidR="002F0BBC">
        <w:rPr>
          <w:szCs w:val="22"/>
        </w:rPr>
        <w:t>60 mg/1.5 mL</w:t>
      </w:r>
      <w:r w:rsidR="002F0BBC" w:rsidRPr="00BD5DBD">
        <w:rPr>
          <w:szCs w:val="22"/>
        </w:rPr>
        <w:t>,</w:t>
      </w:r>
      <w:r w:rsidR="002F0BBC">
        <w:rPr>
          <w:szCs w:val="22"/>
        </w:rPr>
        <w:t xml:space="preserve"> 300 mg/ 3 mL, 150 mg/1.5 mL, 15 mg/1.5 mL, solution for injection, prefilled pen</w:t>
      </w:r>
      <w:r w:rsidR="002F0BBC" w:rsidRPr="00BD5DBD">
        <w:rPr>
          <w:szCs w:val="22"/>
        </w:rPr>
        <w:t xml:space="preserve"> for the following proposed indication</w:t>
      </w:r>
      <w:r w:rsidRPr="00BD5DBD">
        <w:rPr>
          <w:szCs w:val="22"/>
        </w:rPr>
        <w:t>:</w:t>
      </w:r>
    </w:p>
    <w:p w14:paraId="7C3170AD" w14:textId="3D0D195A" w:rsidR="002F0BBC" w:rsidRPr="002F0BBC" w:rsidRDefault="002F0BBC" w:rsidP="002F0BBC">
      <w:pPr>
        <w:ind w:left="720"/>
        <w:rPr>
          <w:i/>
          <w:iCs/>
          <w:szCs w:val="22"/>
        </w:rPr>
      </w:pPr>
      <w:r w:rsidRPr="002F0BBC">
        <w:rPr>
          <w:i/>
          <w:iCs/>
        </w:rPr>
        <w:t>Alhemo is indicated where prophylaxis is required to prevent or reduce the frequency of bleeding in patients at least 12 years of age who have haemophilia B (congenital factor IX [FIX] deficiency) with FIX inhibitors.</w:t>
      </w:r>
    </w:p>
    <w:p w14:paraId="0D732DA4" w14:textId="136B899F" w:rsidR="00854D98" w:rsidRPr="00D23139" w:rsidRDefault="00854D98" w:rsidP="00854D98">
      <w:pPr>
        <w:pStyle w:val="Heading3"/>
      </w:pPr>
      <w:bookmarkStart w:id="145" w:name="_Toc103679301"/>
      <w:bookmarkStart w:id="146" w:name="_Toc160786397"/>
      <w:r w:rsidRPr="00D23139">
        <w:t>Specific conditions of registration applying to these goods</w:t>
      </w:r>
      <w:bookmarkEnd w:id="145"/>
      <w:bookmarkEnd w:id="146"/>
      <w:r w:rsidR="0048603E">
        <w:fldChar w:fldCharType="begin"/>
      </w:r>
      <w:r w:rsidR="0048603E">
        <w:instrText xml:space="preserve"> DOCVARIABLE vault_nd_4775d619-437d-4298-b6d4-0f799e018cd1 \* MERGEFORMAT </w:instrText>
      </w:r>
      <w:r w:rsidR="0048603E">
        <w:fldChar w:fldCharType="separate"/>
      </w:r>
      <w:r w:rsidR="001B5D20">
        <w:t xml:space="preserve"> </w:t>
      </w:r>
      <w:r w:rsidR="0048603E">
        <w:fldChar w:fldCharType="end"/>
      </w:r>
    </w:p>
    <w:p w14:paraId="01AB8859" w14:textId="08E53734" w:rsidR="00B11549" w:rsidRPr="002F0BBC" w:rsidRDefault="00B11549" w:rsidP="002F0BBC">
      <w:pPr>
        <w:pStyle w:val="ListBullet"/>
      </w:pPr>
      <w:bookmarkStart w:id="147" w:name="_Toc103679303"/>
      <w:r w:rsidRPr="002F0BBC">
        <w:t>Alhemo</w:t>
      </w:r>
      <w:r w:rsidR="002F0BBC">
        <w:t xml:space="preserve"> </w:t>
      </w:r>
      <w:r w:rsidRPr="002F0BBC">
        <w:t>(concizumab) is to be included in the Black Triangle Scheme. The PI [Product Information] and CMI [Consumer Medicines Information] for Alhemo must include the black triangle symbol and mandatory accompanying text for five years, which starts from the date that the sponsor notifies the TGA of supply of the product.</w:t>
      </w:r>
    </w:p>
    <w:p w14:paraId="2C9A5F01" w14:textId="6F3F1AE4" w:rsidR="00B11549" w:rsidRPr="002F0BBC" w:rsidRDefault="00B11549" w:rsidP="002F0BBC">
      <w:pPr>
        <w:pStyle w:val="ListBullet"/>
      </w:pPr>
      <w:r w:rsidRPr="002F0BBC">
        <w:t>The Alhemo EU [European Union]-risk management plan (RMP) (version 0.1, dated 8 December 2022, data lock point 30 August 2022), with Australia</w:t>
      </w:r>
      <w:r w:rsidR="002F0BBC" w:rsidRPr="002F0BBC">
        <w:t>-</w:t>
      </w:r>
      <w:r w:rsidRPr="002F0BBC">
        <w:t xml:space="preserve">specific annex (version 0.2, dated 23 March 2023), included with </w:t>
      </w:r>
      <w:r w:rsidR="002F0BBC" w:rsidRPr="002F0BBC">
        <w:t>S</w:t>
      </w:r>
      <w:r w:rsidRPr="002F0BBC">
        <w:t>ubmission PM-2022-03458-1-6, and any subsequent revisions, as agreed with the TGA will be implemented in Australia.</w:t>
      </w:r>
    </w:p>
    <w:p w14:paraId="393B6456" w14:textId="77777777" w:rsidR="00B11549" w:rsidRPr="002F0BBC" w:rsidRDefault="00B11549" w:rsidP="002F0BBC">
      <w:pPr>
        <w:pStyle w:val="ListBullet"/>
      </w:pPr>
      <w:r w:rsidRPr="002F0BBC">
        <w:t>An obligatory component of risk management plans is routine pharmacovigilance. Routine pharmacovigilance includes the submission of periodic safety update reports (PSURs).</w:t>
      </w:r>
    </w:p>
    <w:p w14:paraId="3684FFD9" w14:textId="77777777" w:rsidR="00B11549" w:rsidRPr="002F0BBC" w:rsidRDefault="00B11549" w:rsidP="002F0BBC">
      <w:pPr>
        <w:pStyle w:val="ListBullet"/>
        <w:numPr>
          <w:ilvl w:val="0"/>
          <w:numId w:val="0"/>
        </w:numPr>
        <w:ind w:left="360"/>
      </w:pPr>
      <w:r w:rsidRPr="002F0BBC">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w:t>
      </w:r>
      <w:proofErr w:type="gramStart"/>
      <w:r w:rsidRPr="002F0BBC">
        <w:t>six monthly</w:t>
      </w:r>
      <w:proofErr w:type="gramEnd"/>
      <w:r w:rsidRPr="002F0BBC">
        <w:t xml:space="preserve"> reports may be submitted separately as they become available.</w:t>
      </w:r>
    </w:p>
    <w:p w14:paraId="2758020C" w14:textId="77777777" w:rsidR="00B11549" w:rsidRPr="002F0BBC" w:rsidRDefault="00B11549" w:rsidP="002F0BBC">
      <w:pPr>
        <w:pStyle w:val="ListBullet"/>
        <w:numPr>
          <w:ilvl w:val="0"/>
          <w:numId w:val="0"/>
        </w:numPr>
        <w:ind w:left="360"/>
      </w:pPr>
      <w:r w:rsidRPr="002F0BBC">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76535482" w14:textId="77777777" w:rsidR="00B11549" w:rsidRPr="002F0BBC" w:rsidRDefault="00B11549" w:rsidP="002F0BBC">
      <w:pPr>
        <w:pStyle w:val="ListBullet"/>
        <w:numPr>
          <w:ilvl w:val="0"/>
          <w:numId w:val="0"/>
        </w:numPr>
        <w:ind w:left="360"/>
      </w:pPr>
      <w:r w:rsidRPr="002F0BB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5DDEA5F" w14:textId="77777777" w:rsidR="00B11549" w:rsidRPr="002F0BBC" w:rsidRDefault="00B11549" w:rsidP="002F0BBC">
      <w:pPr>
        <w:pStyle w:val="ListBullet"/>
      </w:pPr>
      <w:r w:rsidRPr="002F0BBC">
        <w:t>The results from Study 4307 (explorer8) should be submitted for evaluation when available, including any endpoints that involve within-patient comparison of annualised bleeding rates with versus without concizumab prophylaxis. Expected date of availability: fourth quarter of 2023.</w:t>
      </w:r>
    </w:p>
    <w:p w14:paraId="5D75351F" w14:textId="77777777" w:rsidR="00B11549" w:rsidRPr="008D03F3" w:rsidRDefault="00B11549" w:rsidP="002F0BBC">
      <w:pPr>
        <w:pStyle w:val="ListBullet"/>
      </w:pPr>
      <w:r w:rsidRPr="008D03F3">
        <w:t xml:space="preserve">The results of the planned registry-based cohort study should be submitted when available, including an analysis of any thrombosis events and relationship to serum concizumab levels, </w:t>
      </w:r>
      <w:r w:rsidRPr="008D03F3">
        <w:lastRenderedPageBreak/>
        <w:t xml:space="preserve">an analysis of the stability of serum levels with longer term usage, and an analysis of clinical data (if available) regarding catch-up or re-loading doses where treatment is missed or interrupted. Expected date of availability: Interim reports </w:t>
      </w:r>
      <w:r>
        <w:t xml:space="preserve">third quarter of </w:t>
      </w:r>
      <w:r w:rsidRPr="008D03F3">
        <w:t xml:space="preserve">2025, </w:t>
      </w:r>
      <w:r>
        <w:t xml:space="preserve">third quarter of </w:t>
      </w:r>
      <w:r w:rsidRPr="008D03F3">
        <w:t xml:space="preserve">2026, </w:t>
      </w:r>
      <w:r>
        <w:t xml:space="preserve">third quarter of </w:t>
      </w:r>
      <w:r w:rsidRPr="008D03F3">
        <w:t>2027, Final report</w:t>
      </w:r>
      <w:r>
        <w:t xml:space="preserve"> third quarter of </w:t>
      </w:r>
      <w:r w:rsidRPr="008D03F3">
        <w:t>2028.</w:t>
      </w:r>
    </w:p>
    <w:p w14:paraId="7483D4C7" w14:textId="77777777" w:rsidR="00B11549" w:rsidRPr="008D03F3" w:rsidRDefault="00B11549" w:rsidP="002F0BBC">
      <w:pPr>
        <w:pStyle w:val="ListBullet"/>
      </w:pPr>
      <w:r w:rsidRPr="008D03F3">
        <w:t>Laboratory testing &amp; compliance with Certified Product Details (CPD)</w:t>
      </w:r>
    </w:p>
    <w:p w14:paraId="3B752B34" w14:textId="77777777" w:rsidR="00676791" w:rsidRDefault="00B11549" w:rsidP="00B11549">
      <w:pPr>
        <w:pStyle w:val="ListParagraph"/>
        <w:numPr>
          <w:ilvl w:val="0"/>
          <w:numId w:val="9"/>
        </w:numPr>
        <w:tabs>
          <w:tab w:val="left" w:pos="5160"/>
        </w:tabs>
        <w:rPr>
          <w:rFonts w:ascii="Cambria" w:hAnsi="Cambria"/>
        </w:rPr>
      </w:pPr>
      <w:r w:rsidRPr="008D03F3">
        <w:rPr>
          <w:rFonts w:ascii="Cambria" w:hAnsi="Cambria"/>
        </w:rPr>
        <w:t>All batches of Alhemo supplied in Australia must comply with the product details and specifications approved during evaluation and detailed in the Certified Product Details (CPD)</w:t>
      </w:r>
      <w:r w:rsidR="00676791">
        <w:rPr>
          <w:rFonts w:ascii="Cambria" w:hAnsi="Cambria"/>
        </w:rPr>
        <w:t>.</w:t>
      </w:r>
    </w:p>
    <w:p w14:paraId="4F69BD43" w14:textId="1FAE2943" w:rsidR="00B11549" w:rsidRPr="008D03F3" w:rsidRDefault="00B11549" w:rsidP="00B11549">
      <w:pPr>
        <w:pStyle w:val="ListParagraph"/>
        <w:numPr>
          <w:ilvl w:val="0"/>
          <w:numId w:val="9"/>
        </w:numPr>
        <w:tabs>
          <w:tab w:val="left" w:pos="5160"/>
        </w:tabs>
        <w:ind w:left="1077"/>
        <w:contextualSpacing w:val="0"/>
        <w:rPr>
          <w:rFonts w:ascii="Cambria" w:hAnsi="Cambria"/>
        </w:rPr>
      </w:pPr>
      <w:r w:rsidRPr="008D03F3">
        <w:rPr>
          <w:rFonts w:ascii="Cambria" w:hAnsi="Cambria"/>
        </w:rPr>
        <w:t xml:space="preserve">When requested by the TGA, the </w:t>
      </w:r>
      <w:r>
        <w:rPr>
          <w:rFonts w:ascii="Cambria" w:hAnsi="Cambria"/>
        </w:rPr>
        <w:t>s</w:t>
      </w:r>
      <w:r w:rsidRPr="008D03F3">
        <w:rPr>
          <w:rFonts w:ascii="Cambria" w:hAnsi="Cambria"/>
        </w:rPr>
        <w:t xml:space="preserve">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39" w:history="1">
        <w:r w:rsidR="002F0BBC" w:rsidRPr="006F7D46">
          <w:rPr>
            <w:rStyle w:val="Hyperlink"/>
          </w:rPr>
          <w:t>http://www.tga.gov.au/ws-labs-index</w:t>
        </w:r>
      </w:hyperlink>
      <w:r w:rsidR="002F0BBC">
        <w:rPr>
          <w:rFonts w:ascii="Cambria" w:hAnsi="Cambria"/>
        </w:rPr>
        <w:t xml:space="preserve"> </w:t>
      </w:r>
      <w:r w:rsidRPr="008D03F3">
        <w:rPr>
          <w:rFonts w:ascii="Cambria" w:hAnsi="Cambria"/>
        </w:rPr>
        <w:t>and periodically in testing reports on the TGA website.</w:t>
      </w:r>
    </w:p>
    <w:p w14:paraId="268E83D1" w14:textId="77777777" w:rsidR="00B11549" w:rsidRPr="002F0BBC" w:rsidRDefault="00B11549" w:rsidP="002F0BBC">
      <w:pPr>
        <w:pStyle w:val="ListBullet"/>
      </w:pPr>
      <w:r w:rsidRPr="002F0BBC">
        <w:t>Certified Product Details</w:t>
      </w:r>
    </w:p>
    <w:p w14:paraId="4463AB03" w14:textId="625CA599" w:rsidR="00B11549" w:rsidRPr="002F0BBC" w:rsidRDefault="00B11549" w:rsidP="002F0BBC">
      <w:pPr>
        <w:pStyle w:val="ListBullet"/>
        <w:numPr>
          <w:ilvl w:val="0"/>
          <w:numId w:val="0"/>
        </w:numPr>
        <w:ind w:left="360"/>
      </w:pPr>
      <w:r w:rsidRPr="002F0BBC">
        <w:t xml:space="preserve">The Certified Product Details (CPD), as described in Guidance 7: Certified Product Details of the Australian Regulatory Guidelines for Prescription Medicines (ARGPM) </w:t>
      </w:r>
      <w:hyperlink r:id="rId40" w:history="1">
        <w:r w:rsidR="002F0BBC" w:rsidRPr="006F7D46">
          <w:rPr>
            <w:rStyle w:val="Hyperlink"/>
          </w:rPr>
          <w:t>http://www.tga.gov.au/industry/pm-argpm-guidance-7.htm</w:t>
        </w:r>
      </w:hyperlink>
      <w:r w:rsidRPr="002F0BBC">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EA473DF" w14:textId="77777777" w:rsidR="00B11549" w:rsidRPr="002F0BBC" w:rsidRDefault="00B11549" w:rsidP="002F0BBC">
      <w:pPr>
        <w:pStyle w:val="ListBullet"/>
      </w:pPr>
      <w:r w:rsidRPr="002F0BBC">
        <w:t>For all injectable products the Product Information must be included with the product as a package insert.</w:t>
      </w:r>
    </w:p>
    <w:p w14:paraId="451DC3FC" w14:textId="3F79C081" w:rsidR="00C22214" w:rsidRDefault="00C22214" w:rsidP="00C22214">
      <w:pPr>
        <w:pStyle w:val="Heading2"/>
      </w:pPr>
      <w:bookmarkStart w:id="148" w:name="_Toc160786398"/>
      <w:r>
        <w:t>Attachment 1. Product Information</w:t>
      </w:r>
      <w:bookmarkEnd w:id="147"/>
      <w:bookmarkEnd w:id="148"/>
      <w:r w:rsidR="0048603E">
        <w:fldChar w:fldCharType="begin"/>
      </w:r>
      <w:r w:rsidR="0048603E">
        <w:instrText xml:space="preserve"> DOCVARIABLE vault_nd_f8b38e9c-d177-4db5-b264-e628a2c1c683 \* MERGEFORMAT </w:instrText>
      </w:r>
      <w:r w:rsidR="0048603E">
        <w:fldChar w:fldCharType="separate"/>
      </w:r>
      <w:r w:rsidR="001B5D20">
        <w:t xml:space="preserve"> </w:t>
      </w:r>
      <w:r w:rsidR="0048603E">
        <w:fldChar w:fldCharType="end"/>
      </w:r>
    </w:p>
    <w:p w14:paraId="6019532F" w14:textId="31D5AEAF" w:rsidR="002F0BBC" w:rsidRPr="00BD5DBD" w:rsidRDefault="002F0BBC" w:rsidP="002F0BBC">
      <w:pPr>
        <w:rPr>
          <w:szCs w:val="22"/>
        </w:rPr>
      </w:pPr>
      <w:r w:rsidRPr="00BD5DBD">
        <w:rPr>
          <w:szCs w:val="22"/>
        </w:rPr>
        <w:t xml:space="preserve">The </w:t>
      </w:r>
      <w:hyperlink r:id="rId41" w:history="1">
        <w:r w:rsidRPr="00BD5DBD">
          <w:rPr>
            <w:rStyle w:val="Hyperlink"/>
            <w:szCs w:val="22"/>
          </w:rPr>
          <w:t>Product Information</w:t>
        </w:r>
      </w:hyperlink>
      <w:r w:rsidRPr="00BD5DBD">
        <w:rPr>
          <w:szCs w:val="22"/>
        </w:rPr>
        <w:t xml:space="preserve"> (</w:t>
      </w:r>
      <w:hyperlink r:id="rId42" w:history="1">
        <w:r w:rsidRPr="00BD5DBD">
          <w:rPr>
            <w:rStyle w:val="Hyperlink"/>
            <w:szCs w:val="22"/>
          </w:rPr>
          <w:t>PI</w:t>
        </w:r>
      </w:hyperlink>
      <w:r w:rsidRPr="00BD5DBD">
        <w:rPr>
          <w:szCs w:val="22"/>
        </w:rPr>
        <w:t>) approved with the submission</w:t>
      </w:r>
      <w:r w:rsidRPr="0017005C">
        <w:rPr>
          <w:szCs w:val="22"/>
        </w:rPr>
        <w:t xml:space="preserve"> </w:t>
      </w:r>
      <w:r w:rsidRPr="00BD5DBD">
        <w:rPr>
          <w:szCs w:val="22"/>
        </w:rPr>
        <w:t xml:space="preserve">for </w:t>
      </w:r>
      <w:r>
        <w:t xml:space="preserve">Alhemo </w:t>
      </w:r>
      <w:r w:rsidRPr="00BD5DBD">
        <w:rPr>
          <w:szCs w:val="22"/>
        </w:rPr>
        <w:t xml:space="preserve">which is described in this AusPAR can be found as Attachment 1. </w:t>
      </w:r>
      <w:r>
        <w:t xml:space="preserve">It may have been superseded. </w:t>
      </w:r>
      <w:r w:rsidRPr="00BD5DBD">
        <w:rPr>
          <w:szCs w:val="22"/>
        </w:rPr>
        <w:t xml:space="preserve">For the most recent PI and </w:t>
      </w:r>
      <w:hyperlink r:id="rId43" w:history="1">
        <w:r w:rsidRPr="00BD5DBD">
          <w:rPr>
            <w:rStyle w:val="Hyperlink"/>
            <w:szCs w:val="22"/>
          </w:rPr>
          <w:t>Consumer Medicines Information</w:t>
        </w:r>
      </w:hyperlink>
      <w:r w:rsidRPr="00BD5DBD">
        <w:rPr>
          <w:szCs w:val="22"/>
        </w:rPr>
        <w:t xml:space="preserve"> (CMI), please refer to the TGA </w:t>
      </w:r>
      <w:hyperlink r:id="rId44" w:history="1">
        <w:r w:rsidRPr="00BD5DBD">
          <w:rPr>
            <w:rStyle w:val="Hyperlink"/>
            <w:szCs w:val="22"/>
          </w:rPr>
          <w:t>PI/CMI search facility.</w:t>
        </w:r>
      </w:hyperlink>
    </w:p>
    <w:p w14:paraId="40740B65" w14:textId="77777777" w:rsidR="00C22214" w:rsidRPr="008B4DA3" w:rsidRDefault="00C22214" w:rsidP="00C22214">
      <w:pPr>
        <w:autoSpaceDE w:val="0"/>
        <w:autoSpaceDN w:val="0"/>
        <w:adjustRightInd w:val="0"/>
        <w:spacing w:after="0"/>
      </w:pPr>
      <w:r w:rsidRPr="00C80137">
        <w:rPr>
          <w:b/>
        </w:rPr>
        <w:br w:type="page"/>
      </w:r>
    </w:p>
    <w:p w14:paraId="53357BF3" w14:textId="276457B5" w:rsidR="00C22214" w:rsidRDefault="00C22214" w:rsidP="00C22214">
      <w:pPr>
        <w:rPr>
          <w:lang w:eastAsia="ja-JP"/>
        </w:rPr>
        <w:sectPr w:rsidR="00C22214" w:rsidSect="005355DA">
          <w:headerReference w:type="default" r:id="rId45"/>
          <w:footerReference w:type="default" r:id="rId4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6"/>
          <w:bookmarkEnd w:id="7"/>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67DA526F" w:rsidR="00F02AEC" w:rsidRDefault="00F02AEC">
            <w:pPr>
              <w:pStyle w:val="Address"/>
              <w:jc w:val="center"/>
              <w:rPr>
                <w:sz w:val="22"/>
                <w:szCs w:val="22"/>
              </w:rPr>
            </w:pPr>
            <w:r w:rsidRPr="00215D48">
              <w:t xml:space="preserve">Email: </w:t>
            </w:r>
            <w:hyperlink r:id="rId47" w:history="1">
              <w:r w:rsidRPr="00215D48">
                <w:rPr>
                  <w:rStyle w:val="Hyperlink"/>
                </w:rPr>
                <w:t>info@tga.gov.au</w:t>
              </w:r>
            </w:hyperlink>
            <w:r w:rsidR="00676791">
              <w:t xml:space="preserve"> </w:t>
            </w:r>
            <w:r w:rsidRPr="00215D48">
              <w:t>Phone:1800 020 653</w:t>
            </w:r>
            <w:r w:rsidR="002F0BBC">
              <w:t xml:space="preserve"> </w:t>
            </w:r>
            <w:r w:rsidRPr="00215D48">
              <w:t xml:space="preserve">Fax: </w:t>
            </w:r>
            <w:r w:rsidRPr="00BA0DFC">
              <w:t>02 6203 1605</w:t>
            </w:r>
          </w:p>
          <w:p w14:paraId="4533D80F" w14:textId="3E9B0E9C" w:rsidR="00F02AEC" w:rsidRPr="00215D48" w:rsidRDefault="00572F9F">
            <w:pPr>
              <w:pStyle w:val="Address"/>
              <w:jc w:val="center"/>
              <w:rPr>
                <w:rStyle w:val="Hyperlink"/>
                <w:b/>
                <w:color w:val="auto"/>
                <w:sz w:val="22"/>
              </w:rPr>
            </w:pPr>
            <w:hyperlink r:id="rId48"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5355DA">
      <w:headerReference w:type="first" r:id="rId49"/>
      <w:footerReference w:type="first" r:id="rId5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F22B3" w14:textId="77777777" w:rsidR="006B7324" w:rsidRDefault="006B7324" w:rsidP="00F02AEC">
      <w:pPr>
        <w:spacing w:after="0" w:line="240" w:lineRule="auto"/>
      </w:pPr>
      <w:r>
        <w:separator/>
      </w:r>
    </w:p>
  </w:endnote>
  <w:endnote w:type="continuationSeparator" w:id="0">
    <w:p w14:paraId="5B8EC5ED" w14:textId="77777777" w:rsidR="006B7324" w:rsidRDefault="006B7324" w:rsidP="00F02AEC">
      <w:pPr>
        <w:spacing w:after="0" w:line="240" w:lineRule="auto"/>
      </w:pPr>
      <w:r>
        <w:continuationSeparator/>
      </w:r>
    </w:p>
  </w:endnote>
  <w:endnote w:type="continuationNotice" w:id="1">
    <w:p w14:paraId="73616D95" w14:textId="77777777" w:rsidR="006B7324" w:rsidRDefault="006B73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Nirmala UI Semilight">
    <w:panose1 w:val="020B0402040204020203"/>
    <w:charset w:val="00"/>
    <w:family w:val="swiss"/>
    <w:pitch w:val="variable"/>
    <w:sig w:usb0="80FF8023" w:usb1="0200004A" w:usb2="000002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72F9F">
                <w:fldChar w:fldCharType="begin"/>
              </w:r>
              <w:r w:rsidR="00572F9F">
                <w:instrText xml:space="preserve"> NUMPAGES  </w:instrText>
              </w:r>
              <w:r w:rsidR="00572F9F">
                <w:fldChar w:fldCharType="separate"/>
              </w:r>
              <w:r>
                <w:rPr>
                  <w:noProof/>
                </w:rPr>
                <w:t>2</w:t>
              </w:r>
              <w:r w:rsidR="00572F9F">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1C86B3DA" w:rsidR="007452E8" w:rsidRPr="004A3084" w:rsidRDefault="007452E8" w:rsidP="007452E8">
          <w:pPr>
            <w:pStyle w:val="Footer"/>
          </w:pPr>
          <w:r w:rsidRPr="00487162">
            <w:t>AusPA</w:t>
          </w:r>
          <w:r>
            <w:t xml:space="preserve">R - </w:t>
          </w:r>
          <w:r w:rsidR="00D07148">
            <w:t>Alhemo</w:t>
          </w:r>
          <w:r>
            <w:t xml:space="preserve"> -</w:t>
          </w:r>
          <w:r w:rsidRPr="00460036">
            <w:t xml:space="preserve"> </w:t>
          </w:r>
          <w:r w:rsidR="00D07148">
            <w:t>concizumab</w:t>
          </w:r>
          <w:r w:rsidRPr="00460036">
            <w:t xml:space="preserve"> </w:t>
          </w:r>
          <w:r w:rsidR="008C754C">
            <w:t>-</w:t>
          </w:r>
          <w:r>
            <w:t xml:space="preserve"> </w:t>
          </w:r>
          <w:r w:rsidR="00D07148" w:rsidRPr="00D07148">
            <w:t>Novo Nordisk Pharmaceuticals Pty Ltd</w:t>
          </w:r>
          <w:r>
            <w:t xml:space="preserve"> - PM-202</w:t>
          </w:r>
          <w:r w:rsidR="00D07148">
            <w:t>2-03458</w:t>
          </w:r>
          <w:r w:rsidRPr="00487162">
            <w:t>-</w:t>
          </w:r>
          <w:r w:rsidR="00D07148">
            <w:t>1</w:t>
          </w:r>
          <w:r w:rsidRPr="00487162">
            <w:t>-</w:t>
          </w:r>
          <w:r w:rsidR="00D07148">
            <w:t>6</w:t>
          </w:r>
          <w:r>
            <w:br/>
          </w:r>
          <w:r w:rsidR="00554F37">
            <w:t>FINAL</w:t>
          </w:r>
          <w:r w:rsidR="00071B0E">
            <w:t xml:space="preserve"> 8</w:t>
          </w:r>
          <w:r w:rsidR="007E080D">
            <w:t xml:space="preserve"> March</w:t>
          </w:r>
          <w:r w:rsidR="00676791">
            <w:t xml:space="preserve">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572F9F">
                <w:fldChar w:fldCharType="begin"/>
              </w:r>
              <w:r w:rsidR="00572F9F">
                <w:instrText xml:space="preserve"> NUMPAGES  </w:instrText>
              </w:r>
              <w:r w:rsidR="00572F9F">
                <w:fldChar w:fldCharType="separate"/>
              </w:r>
              <w:r w:rsidR="006D6B44">
                <w:rPr>
                  <w:noProof/>
                </w:rPr>
                <w:t>17</w:t>
              </w:r>
              <w:r w:rsidR="00572F9F">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0D369" w14:textId="77777777" w:rsidR="006B7324" w:rsidRDefault="006B7324" w:rsidP="00F02AEC">
      <w:pPr>
        <w:spacing w:after="0" w:line="240" w:lineRule="auto"/>
      </w:pPr>
      <w:r>
        <w:separator/>
      </w:r>
    </w:p>
  </w:footnote>
  <w:footnote w:type="continuationSeparator" w:id="0">
    <w:p w14:paraId="25FB4C9A" w14:textId="77777777" w:rsidR="006B7324" w:rsidRDefault="006B7324" w:rsidP="00F02AEC">
      <w:pPr>
        <w:spacing w:after="0" w:line="240" w:lineRule="auto"/>
      </w:pPr>
      <w:r>
        <w:continuationSeparator/>
      </w:r>
    </w:p>
  </w:footnote>
  <w:footnote w:type="continuationNotice" w:id="1">
    <w:p w14:paraId="59B6D6DB" w14:textId="77777777" w:rsidR="006B7324" w:rsidRDefault="006B7324">
      <w:pPr>
        <w:spacing w:after="0" w:line="240" w:lineRule="auto"/>
      </w:pP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76266F4A" w14:textId="5F665573" w:rsidR="00B11549" w:rsidRDefault="00B11549">
      <w:pPr>
        <w:pStyle w:val="FootnoteText"/>
      </w:pPr>
      <w:r>
        <w:rPr>
          <w:rStyle w:val="FootnoteReference"/>
        </w:rPr>
        <w:footnoteRef/>
      </w:r>
      <w:r>
        <w:t xml:space="preserve"> </w:t>
      </w:r>
      <w:r w:rsidRPr="00B11549">
        <w:t xml:space="preserve">Srivastava A, </w:t>
      </w:r>
      <w:proofErr w:type="spellStart"/>
      <w:r w:rsidRPr="00B11549">
        <w:t>Santagostino</w:t>
      </w:r>
      <w:proofErr w:type="spellEnd"/>
      <w:r w:rsidRPr="00B11549">
        <w:t xml:space="preserve"> E, </w:t>
      </w:r>
      <w:proofErr w:type="spellStart"/>
      <w:r w:rsidRPr="00B11549">
        <w:t>Dougall</w:t>
      </w:r>
      <w:proofErr w:type="spellEnd"/>
      <w:r w:rsidRPr="00B11549">
        <w:t xml:space="preserve"> A, et al. World Federation of </w:t>
      </w:r>
      <w:proofErr w:type="spellStart"/>
      <w:r w:rsidRPr="00B11549">
        <w:t>Hemophilia</w:t>
      </w:r>
      <w:proofErr w:type="spellEnd"/>
      <w:r w:rsidRPr="00B11549">
        <w:t xml:space="preserve"> (WFH). WFH Guidelines for the Management of </w:t>
      </w:r>
      <w:proofErr w:type="spellStart"/>
      <w:r w:rsidRPr="00B11549">
        <w:t>Hemophilia</w:t>
      </w:r>
      <w:proofErr w:type="spellEnd"/>
      <w:r w:rsidRPr="00B11549">
        <w:t>, 3rd edition. Haemophilia. 2020: 26 (Suppl 6): 1-158.</w:t>
      </w:r>
    </w:p>
  </w:footnote>
  <w:footnote w:id="4">
    <w:p w14:paraId="4AFEE408" w14:textId="3EC945A8" w:rsidR="00B61BD6" w:rsidRDefault="00B61BD6">
      <w:pPr>
        <w:pStyle w:val="FootnoteText"/>
      </w:pPr>
      <w:r>
        <w:rPr>
          <w:rStyle w:val="FootnoteReference"/>
        </w:rPr>
        <w:footnoteRef/>
      </w:r>
      <w:r>
        <w:t xml:space="preserve"> </w:t>
      </w:r>
      <w:r w:rsidRPr="00B61BD6">
        <w:t xml:space="preserve">Smith SA, Travers RJ, Morrissey JH. How it all starts: Initiation of the clotting cascade. Crit Rev </w:t>
      </w:r>
      <w:proofErr w:type="spellStart"/>
      <w:r w:rsidRPr="00B61BD6">
        <w:t>Biochem</w:t>
      </w:r>
      <w:proofErr w:type="spellEnd"/>
      <w:r w:rsidRPr="00B61BD6">
        <w:t xml:space="preserve"> Mol Biol. 2015;50(4):326-36.</w:t>
      </w:r>
    </w:p>
  </w:footnote>
  <w:footnote w:id="5">
    <w:p w14:paraId="58A1470F" w14:textId="34155757" w:rsidR="00B61BD6" w:rsidRDefault="00B61BD6">
      <w:pPr>
        <w:pStyle w:val="FootnoteText"/>
      </w:pPr>
      <w:r>
        <w:rPr>
          <w:rStyle w:val="FootnoteReference"/>
        </w:rPr>
        <w:footnoteRef/>
      </w:r>
      <w:r>
        <w:t xml:space="preserve"> </w:t>
      </w:r>
      <w:r w:rsidRPr="00B61BD6">
        <w:t xml:space="preserve">George, J. N. (2006). </w:t>
      </w:r>
      <w:proofErr w:type="spellStart"/>
      <w:r w:rsidRPr="00B61BD6">
        <w:t>Hemostasis</w:t>
      </w:r>
      <w:proofErr w:type="spellEnd"/>
      <w:r w:rsidRPr="00B61BD6">
        <w:t xml:space="preserve"> and Thrombosis: Basic Principles and Clinical Practice. United Kingdom: Lippincott Williams &amp; Wilkins.</w:t>
      </w:r>
    </w:p>
  </w:footnote>
  <w:footnote w:id="6">
    <w:p w14:paraId="15FF5B8F" w14:textId="24F8E1BB" w:rsidR="00B61BD6" w:rsidRDefault="00B61BD6">
      <w:pPr>
        <w:pStyle w:val="FootnoteText"/>
      </w:pPr>
      <w:r>
        <w:rPr>
          <w:rStyle w:val="FootnoteReference"/>
        </w:rPr>
        <w:footnoteRef/>
      </w:r>
      <w:r>
        <w:t xml:space="preserve"> </w:t>
      </w:r>
      <w:proofErr w:type="spellStart"/>
      <w:r w:rsidRPr="00B61BD6">
        <w:t>Renné</w:t>
      </w:r>
      <w:proofErr w:type="spellEnd"/>
      <w:r w:rsidRPr="00B61BD6">
        <w:t xml:space="preserve"> T. The factor XII-driven plasma contact system. In: Marder VJ, </w:t>
      </w:r>
      <w:proofErr w:type="spellStart"/>
      <w:r w:rsidRPr="00B61BD6">
        <w:t>Aird</w:t>
      </w:r>
      <w:proofErr w:type="spellEnd"/>
      <w:r w:rsidRPr="00B61BD6">
        <w:t xml:space="preserve"> WC, Bennett JS, Schulman S, White GC 2nd, editors. </w:t>
      </w:r>
      <w:proofErr w:type="spellStart"/>
      <w:r w:rsidRPr="00B61BD6">
        <w:t>Hemostasis</w:t>
      </w:r>
      <w:proofErr w:type="spellEnd"/>
      <w:r w:rsidRPr="00B61BD6">
        <w:t xml:space="preserve"> and Thrombosis: Basic Principles and Clinical Practice. 6th. Philadelphia: Lippincott Williams &amp; Wilkins; 2013</w:t>
      </w:r>
    </w:p>
  </w:footnote>
  <w:footnote w:id="7">
    <w:p w14:paraId="1D5D0B9D" w14:textId="332D89CF" w:rsidR="00B61BD6" w:rsidRDefault="00B61BD6">
      <w:pPr>
        <w:pStyle w:val="FootnoteText"/>
      </w:pPr>
      <w:r>
        <w:rPr>
          <w:rStyle w:val="FootnoteReference"/>
        </w:rPr>
        <w:footnoteRef/>
      </w:r>
      <w:r>
        <w:t xml:space="preserve"> </w:t>
      </w:r>
      <w:proofErr w:type="spellStart"/>
      <w:r w:rsidRPr="00B61BD6">
        <w:t>Fijnvandraat</w:t>
      </w:r>
      <w:proofErr w:type="spellEnd"/>
      <w:r w:rsidRPr="00B61BD6">
        <w:t xml:space="preserve"> K, </w:t>
      </w:r>
      <w:proofErr w:type="spellStart"/>
      <w:r w:rsidRPr="00B61BD6">
        <w:t>Cnossen</w:t>
      </w:r>
      <w:proofErr w:type="spellEnd"/>
      <w:r w:rsidRPr="00B61BD6">
        <w:t xml:space="preserve"> MH, </w:t>
      </w:r>
      <w:proofErr w:type="spellStart"/>
      <w:r w:rsidRPr="00B61BD6">
        <w:t>Leebeek</w:t>
      </w:r>
      <w:proofErr w:type="spellEnd"/>
      <w:r w:rsidRPr="00B61BD6">
        <w:t xml:space="preserve"> FW, Peters M. Diagnosis and management of haemophilia. BMJ. 2012 May 2;</w:t>
      </w:r>
      <w:proofErr w:type="gramStart"/>
      <w:r w:rsidRPr="00B61BD6">
        <w:t>344:e</w:t>
      </w:r>
      <w:proofErr w:type="gramEnd"/>
      <w:r w:rsidRPr="00B61BD6">
        <w:t>2707.</w:t>
      </w:r>
    </w:p>
  </w:footnote>
  <w:footnote w:id="8">
    <w:p w14:paraId="4850B524" w14:textId="1285AC9B" w:rsidR="00B61BD6" w:rsidRDefault="00B61BD6">
      <w:pPr>
        <w:pStyle w:val="FootnoteText"/>
      </w:pPr>
      <w:r>
        <w:rPr>
          <w:rStyle w:val="FootnoteReference"/>
        </w:rPr>
        <w:footnoteRef/>
      </w:r>
      <w:r>
        <w:t xml:space="preserve"> </w:t>
      </w:r>
      <w:r w:rsidRPr="00B61BD6">
        <w:t xml:space="preserve">Pavlova A, Oldenburg J. Defining severity of </w:t>
      </w:r>
      <w:proofErr w:type="spellStart"/>
      <w:r w:rsidRPr="00B61BD6">
        <w:t>hemophilia</w:t>
      </w:r>
      <w:proofErr w:type="spellEnd"/>
      <w:r w:rsidRPr="00B61BD6">
        <w:t xml:space="preserve">: more than factor levels. Semin </w:t>
      </w:r>
      <w:proofErr w:type="spellStart"/>
      <w:r w:rsidRPr="00B61BD6">
        <w:t>Thromb</w:t>
      </w:r>
      <w:proofErr w:type="spellEnd"/>
      <w:r w:rsidRPr="00B61BD6">
        <w:t xml:space="preserve"> </w:t>
      </w:r>
      <w:proofErr w:type="spellStart"/>
      <w:r w:rsidRPr="00B61BD6">
        <w:t>Hemost</w:t>
      </w:r>
      <w:proofErr w:type="spellEnd"/>
      <w:r w:rsidRPr="00B61BD6">
        <w:t>. 2013 Oct;39(7):702-10</w:t>
      </w:r>
    </w:p>
  </w:footnote>
  <w:footnote w:id="9">
    <w:p w14:paraId="572304B0" w14:textId="65F84A45" w:rsidR="00B61BD6" w:rsidRDefault="00B61BD6">
      <w:pPr>
        <w:pStyle w:val="FootnoteText"/>
      </w:pPr>
      <w:r>
        <w:rPr>
          <w:rStyle w:val="FootnoteReference"/>
        </w:rPr>
        <w:footnoteRef/>
      </w:r>
      <w:r>
        <w:t xml:space="preserve"> </w:t>
      </w:r>
      <w:r w:rsidRPr="00B61BD6">
        <w:t>National Blood Authority (NBA). Australian Bleeding Disorders Registry (ABDR) Annual Report 2019-20. Available from: https://www.blood.gov.au/sites/default/files/ABDR-Annual-Report-2019-20-FINAL.pdf</w:t>
      </w:r>
    </w:p>
  </w:footnote>
  <w:footnote w:id="10">
    <w:p w14:paraId="60598936" w14:textId="2E4D0944" w:rsidR="00B61BD6" w:rsidRDefault="00B61BD6">
      <w:pPr>
        <w:pStyle w:val="FootnoteText"/>
      </w:pPr>
      <w:r>
        <w:rPr>
          <w:rStyle w:val="FootnoteReference"/>
        </w:rPr>
        <w:footnoteRef/>
      </w:r>
      <w:r>
        <w:t xml:space="preserve"> </w:t>
      </w:r>
      <w:r w:rsidRPr="00B61BD6">
        <w:t xml:space="preserve">Quizlet image accessed 17 FEB 2023 at: </w:t>
      </w:r>
      <w:proofErr w:type="gramStart"/>
      <w:r w:rsidRPr="00B61BD6">
        <w:t>https://o.quizlet.com/932YPpik4DkiG4yoDKDJog.png</w:t>
      </w:r>
      <w:r>
        <w:t>;</w:t>
      </w:r>
      <w:proofErr w:type="gramEnd"/>
    </w:p>
  </w:footnote>
  <w:footnote w:id="11">
    <w:p w14:paraId="0FD9CE4E" w14:textId="3E939D80" w:rsidR="00B61BD6" w:rsidRDefault="00B61BD6">
      <w:pPr>
        <w:pStyle w:val="FootnoteText"/>
      </w:pPr>
      <w:r>
        <w:rPr>
          <w:rStyle w:val="FootnoteReference"/>
        </w:rPr>
        <w:footnoteRef/>
      </w:r>
      <w:r>
        <w:t xml:space="preserve"> </w:t>
      </w:r>
      <w:r w:rsidRPr="00B61BD6">
        <w:t xml:space="preserve">Fay PJ. Factor VIII structure and function. Int J </w:t>
      </w:r>
      <w:proofErr w:type="spellStart"/>
      <w:r w:rsidRPr="00B61BD6">
        <w:t>Hematol</w:t>
      </w:r>
      <w:proofErr w:type="spellEnd"/>
      <w:r w:rsidRPr="00B61BD6">
        <w:t xml:space="preserve">. 2006 Feb;83(2):103-8. </w:t>
      </w:r>
      <w:proofErr w:type="spellStart"/>
      <w:r w:rsidRPr="00B61BD6">
        <w:t>doi</w:t>
      </w:r>
      <w:proofErr w:type="spellEnd"/>
      <w:r w:rsidRPr="00B61BD6">
        <w:t>: 10.1532/IJH97.05113. PMID: 16513527.</w:t>
      </w:r>
    </w:p>
  </w:footnote>
  <w:footnote w:id="12">
    <w:p w14:paraId="762D4C1C" w14:textId="57A7F941" w:rsidR="00661D0D" w:rsidRDefault="00661D0D">
      <w:pPr>
        <w:pStyle w:val="FootnoteText"/>
      </w:pPr>
      <w:r>
        <w:rPr>
          <w:rStyle w:val="FootnoteReference"/>
        </w:rPr>
        <w:footnoteRef/>
      </w:r>
      <w:r>
        <w:t xml:space="preserve"> </w:t>
      </w:r>
      <w:proofErr w:type="spellStart"/>
      <w:r w:rsidRPr="00661D0D">
        <w:t>Caracao</w:t>
      </w:r>
      <w:proofErr w:type="spellEnd"/>
      <w:r w:rsidRPr="00661D0D">
        <w:t xml:space="preserve"> M and </w:t>
      </w:r>
      <w:proofErr w:type="spellStart"/>
      <w:r w:rsidRPr="00661D0D">
        <w:t>Goudemand</w:t>
      </w:r>
      <w:proofErr w:type="spellEnd"/>
      <w:r w:rsidRPr="00661D0D">
        <w:t xml:space="preserve"> J. World Federation of </w:t>
      </w:r>
      <w:proofErr w:type="spellStart"/>
      <w:r w:rsidRPr="00661D0D">
        <w:t>Hemophilia</w:t>
      </w:r>
      <w:proofErr w:type="spellEnd"/>
      <w:r w:rsidRPr="00661D0D">
        <w:t xml:space="preserve"> – Inhibitors in </w:t>
      </w:r>
      <w:proofErr w:type="spellStart"/>
      <w:r w:rsidRPr="00661D0D">
        <w:t>Hemophilia</w:t>
      </w:r>
      <w:proofErr w:type="spellEnd"/>
      <w:r w:rsidRPr="00661D0D">
        <w:t>: A Primer (5th edition). 2018</w:t>
      </w:r>
      <w:r>
        <w:t>.</w:t>
      </w:r>
    </w:p>
  </w:footnote>
  <w:footnote w:id="13">
    <w:p w14:paraId="5327C87D" w14:textId="2CFB1B16" w:rsidR="00661D0D" w:rsidRDefault="00661D0D">
      <w:pPr>
        <w:pStyle w:val="FootnoteText"/>
      </w:pPr>
      <w:r>
        <w:rPr>
          <w:rStyle w:val="FootnoteReference"/>
        </w:rPr>
        <w:footnoteRef/>
      </w:r>
      <w:r>
        <w:t xml:space="preserve"> </w:t>
      </w:r>
      <w:proofErr w:type="spellStart"/>
      <w:r w:rsidRPr="00661D0D">
        <w:t>Awad</w:t>
      </w:r>
      <w:proofErr w:type="spellEnd"/>
      <w:r w:rsidRPr="00661D0D">
        <w:t xml:space="preserve"> NI, </w:t>
      </w:r>
      <w:proofErr w:type="spellStart"/>
      <w:r w:rsidRPr="00661D0D">
        <w:t>Cocchio</w:t>
      </w:r>
      <w:proofErr w:type="spellEnd"/>
      <w:r w:rsidRPr="00661D0D">
        <w:t xml:space="preserve"> C. Activated prothrombin complex concentrates for the reversal of anticoagulant-associated coagulopathy. P T. 2013 Nov;38(11):696-701</w:t>
      </w:r>
    </w:p>
  </w:footnote>
  <w:footnote w:id="14">
    <w:p w14:paraId="727ACB6D" w14:textId="38B7A673" w:rsidR="00661D0D" w:rsidRDefault="00661D0D">
      <w:pPr>
        <w:pStyle w:val="FootnoteText"/>
      </w:pPr>
      <w:r>
        <w:rPr>
          <w:rStyle w:val="FootnoteReference"/>
        </w:rPr>
        <w:footnoteRef/>
      </w:r>
      <w:r>
        <w:t xml:space="preserve"> </w:t>
      </w:r>
      <w:r w:rsidRPr="00661D0D">
        <w:t xml:space="preserve">Australian Product Information for </w:t>
      </w:r>
      <w:proofErr w:type="spellStart"/>
      <w:r w:rsidRPr="00661D0D">
        <w:t>emicizumab</w:t>
      </w:r>
      <w:proofErr w:type="spellEnd"/>
      <w:r w:rsidRPr="00661D0D">
        <w:t xml:space="preserve"> (HEMLIBRA). Dated 31 OCT 2022. Accessed 15 FEB 2023 at: https://www.ebs.tga.gov.au/ebs/picmi/picmirepository.nsf/pdf?OpenAgent&amp;id=CP-2018-PI-01414-1&amp;d=20230215172310101</w:t>
      </w:r>
    </w:p>
  </w:footnote>
  <w:footnote w:id="15">
    <w:p w14:paraId="000F2515" w14:textId="05BEFAAC" w:rsidR="00661D0D" w:rsidRDefault="00661D0D">
      <w:pPr>
        <w:pStyle w:val="FootnoteText"/>
      </w:pPr>
      <w:r>
        <w:rPr>
          <w:rStyle w:val="FootnoteReference"/>
        </w:rPr>
        <w:footnoteRef/>
      </w:r>
      <w:r>
        <w:t xml:space="preserve"> </w:t>
      </w:r>
      <w:r w:rsidRPr="00661D0D">
        <w:t>Australian Product Information for factor VIII inhibitor bypassing fraction (FEIBA NF). Dated 11 DEC 2020. Accessed 15 FEB 2023 at: https://www.ebs.tga.gov.au/ebs/picmi/picmirepository.nsf/pdf?OpenAgent&amp;id=CP-2019-PI-01510-1</w:t>
      </w:r>
    </w:p>
  </w:footnote>
  <w:footnote w:id="16">
    <w:p w14:paraId="6A6D37B0" w14:textId="1491D9C2" w:rsidR="00661D0D" w:rsidRDefault="00661D0D">
      <w:pPr>
        <w:pStyle w:val="FootnoteText"/>
      </w:pPr>
      <w:r>
        <w:rPr>
          <w:rStyle w:val="FootnoteReference"/>
        </w:rPr>
        <w:footnoteRef/>
      </w:r>
      <w:r w:rsidRPr="00661D0D">
        <w:t xml:space="preserve"> Australian Product Information for </w:t>
      </w:r>
      <w:proofErr w:type="spellStart"/>
      <w:r w:rsidRPr="00661D0D">
        <w:t>eptacog</w:t>
      </w:r>
      <w:proofErr w:type="spellEnd"/>
      <w:r w:rsidRPr="00661D0D">
        <w:t xml:space="preserve"> alfa (activated) (</w:t>
      </w:r>
      <w:proofErr w:type="spellStart"/>
      <w:r w:rsidRPr="00661D0D">
        <w:t>bhk</w:t>
      </w:r>
      <w:proofErr w:type="spellEnd"/>
      <w:r w:rsidRPr="00661D0D">
        <w:t xml:space="preserve">) (NOVOSEVEN RT). Dated 24 SEP 2018. Accessed 15 FEB 2023 at: </w:t>
      </w:r>
      <w:hyperlink r:id="rId1" w:history="1">
        <w:r w:rsidRPr="00661D0D">
          <w:t>https://www.ebs.tga.gov.au/ebs/picmi/picmirepository.nsf/pdf?OpenAgent&amp;id=CP-2013-PI-01744-1</w:t>
        </w:r>
      </w:hyperlink>
    </w:p>
  </w:footnote>
  <w:footnote w:id="17">
    <w:p w14:paraId="725856A3" w14:textId="777176F5" w:rsidR="00661D0D" w:rsidRDefault="00661D0D">
      <w:pPr>
        <w:pStyle w:val="FootnoteText"/>
      </w:pPr>
      <w:r>
        <w:rPr>
          <w:rStyle w:val="FootnoteReference"/>
        </w:rPr>
        <w:footnoteRef/>
      </w:r>
      <w:r w:rsidRPr="00D22ED3">
        <w:rPr>
          <w:lang w:val="da-DK"/>
        </w:rPr>
        <w:t xml:space="preserve"> </w:t>
      </w:r>
      <w:r w:rsidRPr="00D22ED3">
        <w:rPr>
          <w:lang w:val="da-DK"/>
        </w:rPr>
        <w:t xml:space="preserve">Hart DP, Matino D, Astermark J et al. </w:t>
      </w:r>
      <w:r w:rsidRPr="00661D0D">
        <w:t xml:space="preserve">International consensus recommendations on the management of people with haemophilia B. </w:t>
      </w:r>
      <w:proofErr w:type="spellStart"/>
      <w:r w:rsidRPr="00661D0D">
        <w:t>Ther</w:t>
      </w:r>
      <w:proofErr w:type="spellEnd"/>
      <w:r w:rsidRPr="00661D0D">
        <w:t xml:space="preserve"> Adv </w:t>
      </w:r>
      <w:proofErr w:type="spellStart"/>
      <w:r w:rsidRPr="00661D0D">
        <w:t>Hematol</w:t>
      </w:r>
      <w:proofErr w:type="spellEnd"/>
      <w:r w:rsidRPr="00661D0D">
        <w:t>. 2022; 13: 1–22</w:t>
      </w:r>
    </w:p>
  </w:footnote>
  <w:footnote w:id="18">
    <w:p w14:paraId="1770BDEE" w14:textId="7F34E5AD" w:rsidR="00661D0D" w:rsidRDefault="00661D0D">
      <w:pPr>
        <w:pStyle w:val="FootnoteText"/>
      </w:pPr>
      <w:r>
        <w:rPr>
          <w:rStyle w:val="FootnoteReference"/>
        </w:rPr>
        <w:footnoteRef/>
      </w:r>
      <w:r>
        <w:t xml:space="preserve"> </w:t>
      </w:r>
      <w:r w:rsidRPr="00661D0D">
        <w:t xml:space="preserve">Mast AE, </w:t>
      </w:r>
      <w:proofErr w:type="spellStart"/>
      <w:r w:rsidRPr="00661D0D">
        <w:t>Ruf</w:t>
      </w:r>
      <w:proofErr w:type="spellEnd"/>
      <w:r w:rsidRPr="00661D0D">
        <w:t xml:space="preserve"> W. Regulation of coagulation by tissue factor pathway inhibitor: Implications for </w:t>
      </w:r>
      <w:proofErr w:type="spellStart"/>
      <w:r w:rsidRPr="00661D0D">
        <w:t>hemophilia</w:t>
      </w:r>
      <w:proofErr w:type="spellEnd"/>
      <w:r w:rsidRPr="00661D0D">
        <w:t xml:space="preserve"> therapy. J </w:t>
      </w:r>
      <w:proofErr w:type="spellStart"/>
      <w:r w:rsidRPr="00661D0D">
        <w:t>Thromb</w:t>
      </w:r>
      <w:proofErr w:type="spellEnd"/>
      <w:r w:rsidRPr="00661D0D">
        <w:t xml:space="preserve"> </w:t>
      </w:r>
      <w:proofErr w:type="spellStart"/>
      <w:r w:rsidRPr="00661D0D">
        <w:t>Haemost</w:t>
      </w:r>
      <w:proofErr w:type="spellEnd"/>
      <w:r w:rsidRPr="00661D0D">
        <w:t>. 2022 Jun;20(6):1290-1300</w:t>
      </w:r>
    </w:p>
  </w:footnote>
  <w:footnote w:id="19">
    <w:p w14:paraId="70C6F482" w14:textId="75CA782B" w:rsidR="00661D0D" w:rsidRDefault="00661D0D">
      <w:pPr>
        <w:pStyle w:val="FootnoteText"/>
      </w:pPr>
      <w:r>
        <w:rPr>
          <w:rStyle w:val="FootnoteReference"/>
        </w:rPr>
        <w:footnoteRef/>
      </w:r>
      <w:r>
        <w:t xml:space="preserve"> </w:t>
      </w:r>
      <w:r w:rsidRPr="00661D0D">
        <w:t>Wood JP, Ellery PE, Maroney SA, Mast AE. Biology of tissue factor pathway inhibitor. Blood. 2014; 123 (19): 2934-43.</w:t>
      </w:r>
    </w:p>
  </w:footnote>
  <w:footnote w:id="20">
    <w:p w14:paraId="2DB090D1" w14:textId="79264845" w:rsidR="00661D0D" w:rsidRDefault="00661D0D">
      <w:pPr>
        <w:pStyle w:val="FootnoteText"/>
      </w:pPr>
      <w:r>
        <w:rPr>
          <w:rStyle w:val="FootnoteReference"/>
        </w:rPr>
        <w:footnoteRef/>
      </w:r>
      <w:r>
        <w:t xml:space="preserve"> </w:t>
      </w:r>
      <w:r w:rsidRPr="00661D0D">
        <w:t xml:space="preserve">Girard TJ, Warren LA, Novotny WF, et al. Functional significance of the Kunitz‐type inhibitory domains of lipoprotein‐associated coagulation inhibitor. Nature. </w:t>
      </w:r>
      <w:proofErr w:type="gramStart"/>
      <w:r w:rsidRPr="00661D0D">
        <w:t>1989;338:518</w:t>
      </w:r>
      <w:proofErr w:type="gramEnd"/>
      <w:r w:rsidRPr="00661D0D">
        <w:t>‐520.</w:t>
      </w:r>
    </w:p>
  </w:footnote>
  <w:footnote w:id="21">
    <w:p w14:paraId="35E51411" w14:textId="20FB67B0" w:rsidR="00661D0D" w:rsidRDefault="00661D0D">
      <w:pPr>
        <w:pStyle w:val="FootnoteText"/>
      </w:pPr>
      <w:r>
        <w:rPr>
          <w:rStyle w:val="FootnoteReference"/>
        </w:rPr>
        <w:footnoteRef/>
      </w:r>
      <w:r>
        <w:t xml:space="preserve"> </w:t>
      </w:r>
      <w:proofErr w:type="spellStart"/>
      <w:r w:rsidRPr="00661D0D">
        <w:t>Dahlbäck</w:t>
      </w:r>
      <w:proofErr w:type="spellEnd"/>
      <w:r w:rsidRPr="00661D0D">
        <w:t xml:space="preserve"> B, Tran S. A hydrophobic patch (PLVIVG; 1481-1486) in the B-domain of factor V-short is crucial for its synergistic TFPIα-cofactor activity with protein S and for the formation of the </w:t>
      </w:r>
      <w:proofErr w:type="spellStart"/>
      <w:r w:rsidRPr="00661D0D">
        <w:t>FXa</w:t>
      </w:r>
      <w:proofErr w:type="spellEnd"/>
      <w:r w:rsidRPr="00661D0D">
        <w:t xml:space="preserve">-inhibitory complex comprising FV-short, TFPIα, and protein S. J </w:t>
      </w:r>
      <w:proofErr w:type="spellStart"/>
      <w:r w:rsidRPr="00661D0D">
        <w:t>Thromb</w:t>
      </w:r>
      <w:proofErr w:type="spellEnd"/>
      <w:r w:rsidRPr="00661D0D">
        <w:t xml:space="preserve"> </w:t>
      </w:r>
      <w:proofErr w:type="spellStart"/>
      <w:r w:rsidRPr="00661D0D">
        <w:t>Haemost</w:t>
      </w:r>
      <w:proofErr w:type="spellEnd"/>
      <w:r w:rsidRPr="00661D0D">
        <w:t>. 2022 May;20(5):1146-1157.</w:t>
      </w:r>
    </w:p>
  </w:footnote>
  <w:footnote w:id="22">
    <w:p w14:paraId="6FA1C18C" w14:textId="69D1FBC0" w:rsidR="00661D0D" w:rsidRDefault="00661D0D">
      <w:pPr>
        <w:pStyle w:val="FootnoteText"/>
      </w:pPr>
      <w:r>
        <w:rPr>
          <w:rStyle w:val="FootnoteReference"/>
        </w:rPr>
        <w:footnoteRef/>
      </w:r>
      <w:r>
        <w:t xml:space="preserve"> </w:t>
      </w:r>
      <w:r w:rsidRPr="00661D0D">
        <w:t xml:space="preserve">Maroney SA, Ellery PE, Wood JP, Ferrel JP, Martinez ND, Mast AE. Comparison of the inhibitory activities of human tissue factor pathway inhibitor (TFPI)alpha and </w:t>
      </w:r>
      <w:proofErr w:type="spellStart"/>
      <w:r w:rsidRPr="00661D0D">
        <w:t>TFPIbeta</w:t>
      </w:r>
      <w:proofErr w:type="spellEnd"/>
      <w:r w:rsidRPr="00661D0D">
        <w:t xml:space="preserve">. J </w:t>
      </w:r>
      <w:proofErr w:type="spellStart"/>
      <w:r w:rsidRPr="00661D0D">
        <w:t>Thromb</w:t>
      </w:r>
      <w:proofErr w:type="spellEnd"/>
      <w:r w:rsidRPr="00661D0D">
        <w:t xml:space="preserve"> </w:t>
      </w:r>
      <w:proofErr w:type="spellStart"/>
      <w:r w:rsidRPr="00661D0D">
        <w:t>Haemost</w:t>
      </w:r>
      <w:proofErr w:type="spellEnd"/>
      <w:r w:rsidRPr="00661D0D">
        <w:t xml:space="preserve">. </w:t>
      </w:r>
      <w:proofErr w:type="gramStart"/>
      <w:r w:rsidRPr="00661D0D">
        <w:t>2013;11:911</w:t>
      </w:r>
      <w:proofErr w:type="gramEnd"/>
      <w:r w:rsidRPr="00661D0D">
        <w:t>‐918.</w:t>
      </w:r>
    </w:p>
  </w:footnote>
  <w:footnote w:id="23">
    <w:p w14:paraId="5DB21204" w14:textId="6A44C8B6" w:rsidR="00A526A8" w:rsidRDefault="00A526A8">
      <w:pPr>
        <w:pStyle w:val="FootnoteText"/>
      </w:pPr>
      <w:r>
        <w:rPr>
          <w:rStyle w:val="FootnoteReference"/>
        </w:rPr>
        <w:footnoteRef/>
      </w:r>
      <w:r>
        <w:t xml:space="preserve"> </w:t>
      </w:r>
      <w:r w:rsidRPr="00A526A8">
        <w:t xml:space="preserve">Mast AE. Tissue Factor Pathway Inhibitor: Multiple Anticoagulant Activities for a Single Protein. </w:t>
      </w:r>
      <w:proofErr w:type="spellStart"/>
      <w:r w:rsidRPr="00A526A8">
        <w:t>Arterioscler</w:t>
      </w:r>
      <w:proofErr w:type="spellEnd"/>
      <w:r w:rsidRPr="00A526A8">
        <w:t xml:space="preserve"> </w:t>
      </w:r>
      <w:proofErr w:type="spellStart"/>
      <w:r w:rsidRPr="00A526A8">
        <w:t>Thromb</w:t>
      </w:r>
      <w:proofErr w:type="spellEnd"/>
      <w:r w:rsidRPr="00A526A8">
        <w:t xml:space="preserve"> </w:t>
      </w:r>
      <w:proofErr w:type="spellStart"/>
      <w:r w:rsidRPr="00A526A8">
        <w:t>Vasc</w:t>
      </w:r>
      <w:proofErr w:type="spellEnd"/>
      <w:r w:rsidRPr="00A526A8">
        <w:t xml:space="preserve"> Biol. 2016; 36 (1): 9-14</w:t>
      </w:r>
    </w:p>
  </w:footnote>
  <w:footnote w:id="24">
    <w:p w14:paraId="037BB517" w14:textId="5FAEE1F6" w:rsidR="00A526A8" w:rsidRDefault="00A526A8">
      <w:pPr>
        <w:pStyle w:val="FootnoteText"/>
      </w:pPr>
      <w:r>
        <w:rPr>
          <w:rStyle w:val="FootnoteReference"/>
        </w:rPr>
        <w:footnoteRef/>
      </w:r>
      <w:r>
        <w:t xml:space="preserve"> </w:t>
      </w:r>
      <w:r w:rsidRPr="00A526A8">
        <w:t xml:space="preserve">Yuan D, Rode F, Cao Y. A systems pharmacokinetic/pharmacodynamic model for concizumab to explore the potential of anti-TFPI recycling antibodies. </w:t>
      </w:r>
      <w:proofErr w:type="spellStart"/>
      <w:r w:rsidRPr="00A526A8">
        <w:t>Eur</w:t>
      </w:r>
      <w:proofErr w:type="spellEnd"/>
      <w:r w:rsidRPr="00A526A8">
        <w:t xml:space="preserve"> J Pharm Sci. 2019; 138: 105032.</w:t>
      </w:r>
    </w:p>
  </w:footnote>
  <w:footnote w:id="25">
    <w:p w14:paraId="73997AEA" w14:textId="7FFE5909" w:rsidR="00A526A8" w:rsidRDefault="00A526A8">
      <w:pPr>
        <w:pStyle w:val="FootnoteText"/>
      </w:pPr>
      <w:r>
        <w:rPr>
          <w:rStyle w:val="FootnoteReference"/>
        </w:rPr>
        <w:footnoteRef/>
      </w:r>
      <w:r>
        <w:t xml:space="preserve"> </w:t>
      </w:r>
      <w:r w:rsidRPr="00A526A8">
        <w:t xml:space="preserve">TGA </w:t>
      </w:r>
      <w:proofErr w:type="spellStart"/>
      <w:r w:rsidRPr="00A526A8">
        <w:t>worksharing</w:t>
      </w:r>
      <w:proofErr w:type="spellEnd"/>
      <w:r w:rsidRPr="00A526A8">
        <w:t xml:space="preserve"> information page. Accessed 15 FEB 2023 at: https://www.tga.gov.au/access-consortium-new-active-substance-nas-work-sharing-initiative</w:t>
      </w:r>
    </w:p>
  </w:footnote>
  <w:footnote w:id="26">
    <w:p w14:paraId="7B7DA553" w14:textId="6011F0FA" w:rsidR="00A3617F" w:rsidRDefault="00A3617F" w:rsidP="00A3617F">
      <w:pPr>
        <w:pStyle w:val="FootnoteText"/>
      </w:pPr>
      <w:r>
        <w:rPr>
          <w:rStyle w:val="FootnoteReference"/>
        </w:rPr>
        <w:footnoteRef/>
      </w:r>
      <w:r>
        <w:t xml:space="preserve"> EMA: ICH guideline S6 (R1) - Preclinical safety evaluation of biotechnology-derived pharmaceuticals (EMA/CHMP/ICH/731268/1998) TGA adopted, effective date: 1 June 2014</w:t>
      </w:r>
    </w:p>
  </w:footnote>
  <w:footnote w:id="27">
    <w:p w14:paraId="7B2A02DA" w14:textId="5763FD50" w:rsidR="008C27B2" w:rsidRDefault="008C27B2">
      <w:pPr>
        <w:pStyle w:val="FootnoteText"/>
      </w:pPr>
      <w:r>
        <w:rPr>
          <w:rStyle w:val="FootnoteReference"/>
        </w:rPr>
        <w:footnoteRef/>
      </w:r>
      <w:r w:rsidRPr="00D22ED3">
        <w:rPr>
          <w:lang w:val="fr-FR"/>
        </w:rPr>
        <w:t xml:space="preserve"> </w:t>
      </w:r>
      <w:proofErr w:type="spellStart"/>
      <w:r w:rsidRPr="00D22ED3">
        <w:rPr>
          <w:lang w:val="fr-FR"/>
        </w:rPr>
        <w:t>Ellery</w:t>
      </w:r>
      <w:proofErr w:type="spellEnd"/>
      <w:r w:rsidRPr="00D22ED3">
        <w:rPr>
          <w:lang w:val="fr-FR"/>
        </w:rPr>
        <w:t xml:space="preserve"> PE, </w:t>
      </w:r>
      <w:proofErr w:type="spellStart"/>
      <w:r w:rsidRPr="00D22ED3">
        <w:rPr>
          <w:lang w:val="fr-FR"/>
        </w:rPr>
        <w:t>Maroney</w:t>
      </w:r>
      <w:proofErr w:type="spellEnd"/>
      <w:r w:rsidRPr="00D22ED3">
        <w:rPr>
          <w:lang w:val="fr-FR"/>
        </w:rPr>
        <w:t xml:space="preserve"> SA, Cooley BC, et al. </w:t>
      </w:r>
      <w:r w:rsidRPr="008C27B2">
        <w:t>(2015). A balance between TFPI and thrombin-mediated platelet activation is required for murine embryonic development. Blood 125(26):4078-84.</w:t>
      </w:r>
    </w:p>
  </w:footnote>
  <w:footnote w:id="28">
    <w:p w14:paraId="2F8150D4" w14:textId="1E3C1B9C" w:rsidR="008C27B2" w:rsidRDefault="008C27B2">
      <w:pPr>
        <w:pStyle w:val="FootnoteText"/>
      </w:pPr>
      <w:r>
        <w:rPr>
          <w:rStyle w:val="FootnoteReference"/>
        </w:rPr>
        <w:footnoteRef/>
      </w:r>
      <w:r>
        <w:t xml:space="preserve"> </w:t>
      </w:r>
      <w:r w:rsidRPr="008C27B2">
        <w:t>Huang ZF, Higuchi D, Lasky N, Broze GJ. (1997). Tissue factor pathway inhibitor gene disruption produces intrauterine lethality in mice. Blood 90(3):944-51.</w:t>
      </w:r>
    </w:p>
  </w:footnote>
  <w:footnote w:id="29">
    <w:p w14:paraId="505B4A2F" w14:textId="4853CD42" w:rsidR="008C27B2" w:rsidRDefault="008C27B2" w:rsidP="008C27B2">
      <w:pPr>
        <w:pStyle w:val="FootnoteText"/>
      </w:pPr>
      <w:r>
        <w:rPr>
          <w:rStyle w:val="FootnoteReference"/>
        </w:rPr>
        <w:footnoteRef/>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 Studies in animals have shown evidence of an increased occurrence of fetal damage, the significance of which is considered uncertain in humans.</w:t>
      </w:r>
    </w:p>
  </w:footnote>
  <w:footnote w:id="30">
    <w:p w14:paraId="57046C4E" w14:textId="5771EB11" w:rsidR="008C27B2" w:rsidRDefault="008C27B2">
      <w:pPr>
        <w:pStyle w:val="FootnoteText"/>
      </w:pPr>
      <w:r>
        <w:rPr>
          <w:rStyle w:val="FootnoteReference"/>
        </w:rPr>
        <w:footnoteRef/>
      </w:r>
      <w:r>
        <w:t xml:space="preserve"> </w:t>
      </w:r>
      <w:r w:rsidRPr="008C27B2">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1">
    <w:p w14:paraId="288D447C" w14:textId="07BE69C1" w:rsidR="00126D45" w:rsidRDefault="00126D45">
      <w:pPr>
        <w:pStyle w:val="FootnoteText"/>
      </w:pPr>
      <w:r>
        <w:rPr>
          <w:rStyle w:val="FootnoteReference"/>
        </w:rPr>
        <w:footnoteRef/>
      </w:r>
      <w:r>
        <w:t xml:space="preserve"> </w:t>
      </w:r>
      <w:r w:rsidRPr="002C205F">
        <w:t>Prothrombin fragment 1+2 is a polypeptide fragment of prothrombin (FII) produced by the cleavage of prothrombin into thrombin (</w:t>
      </w:r>
      <w:proofErr w:type="spellStart"/>
      <w:r w:rsidRPr="002C205F">
        <w:t>FIIa</w:t>
      </w:r>
      <w:proofErr w:type="spellEnd"/>
      <w:r w:rsidRPr="002C205F">
        <w:t>) by the prothrombinase complex.</w:t>
      </w:r>
      <w:r w:rsidR="00676791">
        <w:t xml:space="preserve"> </w:t>
      </w:r>
      <w:r w:rsidRPr="002C205F">
        <w:t>It is a marker of thrombin generation and therefore of coagulation activation.</w:t>
      </w:r>
    </w:p>
  </w:footnote>
  <w:footnote w:id="32">
    <w:p w14:paraId="1C066114" w14:textId="5E92BE94" w:rsidR="00126D45" w:rsidRDefault="00126D45">
      <w:pPr>
        <w:pStyle w:val="FootnoteText"/>
      </w:pPr>
      <w:r>
        <w:rPr>
          <w:rStyle w:val="FootnoteReference"/>
        </w:rPr>
        <w:footnoteRef/>
      </w:r>
      <w:r>
        <w:t xml:space="preserve"> </w:t>
      </w:r>
      <w:r w:rsidRPr="00126D45">
        <w:t xml:space="preserve">Thrombin-antithrombin complexes form following thrombin </w:t>
      </w:r>
      <w:proofErr w:type="gramStart"/>
      <w:r w:rsidRPr="00126D45">
        <w:t>generation, and</w:t>
      </w:r>
      <w:proofErr w:type="gramEnd"/>
      <w:r w:rsidRPr="00126D45">
        <w:t xml:space="preserve"> indicate ongoing thrombin formation and the consumption of antithrombin.</w:t>
      </w:r>
    </w:p>
  </w:footnote>
  <w:footnote w:id="33">
    <w:p w14:paraId="25211E18" w14:textId="12A2B845" w:rsidR="00061912" w:rsidRDefault="00061912">
      <w:pPr>
        <w:pStyle w:val="FootnoteText"/>
      </w:pPr>
      <w:r>
        <w:rPr>
          <w:rStyle w:val="FootnoteReference"/>
        </w:rPr>
        <w:footnoteRef/>
      </w:r>
      <w:r>
        <w:t xml:space="preserve"> </w:t>
      </w:r>
      <w:r w:rsidRPr="00061912">
        <w:t xml:space="preserve">Eichler H, </w:t>
      </w:r>
      <w:proofErr w:type="spellStart"/>
      <w:r w:rsidRPr="00061912">
        <w:t>Angchaisuksiri</w:t>
      </w:r>
      <w:proofErr w:type="spellEnd"/>
      <w:r w:rsidRPr="00061912">
        <w:t xml:space="preserve"> P, </w:t>
      </w:r>
      <w:proofErr w:type="spellStart"/>
      <w:r w:rsidRPr="00061912">
        <w:t>Kavakli</w:t>
      </w:r>
      <w:proofErr w:type="spellEnd"/>
      <w:r w:rsidRPr="00061912">
        <w:t xml:space="preserve"> K et al. Concizumab restores thrombin generation potential in patients with haemophilia: Pharmacokinetic/pharmacodynamic modelling results of concizumab phase 1/1b data. Haemophilia. 2019; 25 (1): 60-66.</w:t>
      </w:r>
    </w:p>
  </w:footnote>
  <w:footnote w:id="34">
    <w:p w14:paraId="1517A2D9" w14:textId="0FFF4714" w:rsidR="00061912" w:rsidRDefault="00061912">
      <w:pPr>
        <w:pStyle w:val="FootnoteText"/>
      </w:pPr>
      <w:r>
        <w:rPr>
          <w:rStyle w:val="FootnoteReference"/>
        </w:rPr>
        <w:footnoteRef/>
      </w:r>
      <w:r>
        <w:t xml:space="preserve"> </w:t>
      </w:r>
      <w:r w:rsidRPr="00061912">
        <w:t xml:space="preserve">Shapiro AD, </w:t>
      </w:r>
      <w:proofErr w:type="spellStart"/>
      <w:r w:rsidRPr="00061912">
        <w:t>Angchaisuksiri</w:t>
      </w:r>
      <w:proofErr w:type="spellEnd"/>
      <w:r w:rsidRPr="00061912">
        <w:t xml:space="preserve"> P, </w:t>
      </w:r>
      <w:proofErr w:type="spellStart"/>
      <w:r w:rsidRPr="00061912">
        <w:t>Astermark</w:t>
      </w:r>
      <w:proofErr w:type="spellEnd"/>
      <w:r w:rsidRPr="00061912">
        <w:t xml:space="preserve"> J et al. Subcutaneous concizumab prophylaxis in </w:t>
      </w:r>
      <w:proofErr w:type="spellStart"/>
      <w:r w:rsidRPr="00061912">
        <w:t>hemophilia</w:t>
      </w:r>
      <w:proofErr w:type="spellEnd"/>
      <w:r w:rsidRPr="00061912">
        <w:t xml:space="preserve"> A and </w:t>
      </w:r>
      <w:proofErr w:type="spellStart"/>
      <w:r w:rsidRPr="00061912">
        <w:t>hemophilia</w:t>
      </w:r>
      <w:proofErr w:type="spellEnd"/>
      <w:r w:rsidRPr="00061912">
        <w:t xml:space="preserve"> A/B with inhibitors: phase 2 trial results. Blood. 2019; 134 (22): 1973-1982</w:t>
      </w:r>
    </w:p>
  </w:footnote>
  <w:footnote w:id="35">
    <w:p w14:paraId="6993701F" w14:textId="096E4109" w:rsidR="00C60464" w:rsidRDefault="00C60464">
      <w:pPr>
        <w:pStyle w:val="FootnoteText"/>
      </w:pPr>
      <w:r>
        <w:rPr>
          <w:rStyle w:val="FootnoteReference"/>
        </w:rPr>
        <w:footnoteRef/>
      </w:r>
      <w:r>
        <w:t xml:space="preserve"> NN1731-3562- </w:t>
      </w:r>
      <w:r w:rsidRPr="00BE74D6">
        <w:t>https://clinicaltrials.gov/ct2/show/NCT01392547</w:t>
      </w:r>
    </w:p>
  </w:footnote>
  <w:footnote w:id="36">
    <w:p w14:paraId="79F84E1A" w14:textId="024EEA1F" w:rsidR="00C60464" w:rsidRDefault="00C60464">
      <w:pPr>
        <w:pStyle w:val="FootnoteText"/>
      </w:pPr>
      <w:r>
        <w:rPr>
          <w:rStyle w:val="FootnoteReference"/>
        </w:rPr>
        <w:footnoteRef/>
      </w:r>
      <w:r>
        <w:t xml:space="preserve"> NN7128-1907 - </w:t>
      </w:r>
      <w:r w:rsidRPr="00BE74D6">
        <w:t>https://clinicaltrials.gov/ct2/show/NCT00951405</w:t>
      </w:r>
    </w:p>
  </w:footnote>
  <w:footnote w:id="37">
    <w:p w14:paraId="094C8CB4" w14:textId="6D64022C" w:rsidR="00C60464" w:rsidRDefault="00C60464">
      <w:pPr>
        <w:pStyle w:val="FootnoteText"/>
      </w:pPr>
      <w:r>
        <w:rPr>
          <w:rStyle w:val="FootnoteReference"/>
        </w:rPr>
        <w:footnoteRef/>
      </w:r>
      <w:r>
        <w:t xml:space="preserve"> NN-7415-4310 - </w:t>
      </w:r>
      <w:r w:rsidRPr="00BE74D6">
        <w:t>https://clinicaltrials.gov/ct2/show/NCT01220141</w:t>
      </w:r>
    </w:p>
  </w:footnote>
  <w:footnote w:id="38">
    <w:p w14:paraId="276C562B" w14:textId="6ED8EE7B" w:rsidR="004D2658" w:rsidRDefault="004D2658">
      <w:pPr>
        <w:pStyle w:val="FootnoteText"/>
      </w:pPr>
      <w:r>
        <w:rPr>
          <w:rStyle w:val="FootnoteReference"/>
        </w:rPr>
        <w:footnoteRef/>
      </w:r>
      <w:r>
        <w:t xml:space="preserve"> </w:t>
      </w:r>
      <w:r w:rsidRPr="004D2658">
        <w:t xml:space="preserve">Antunes SV, </w:t>
      </w:r>
      <w:proofErr w:type="spellStart"/>
      <w:r w:rsidRPr="004D2658">
        <w:t>Tangada</w:t>
      </w:r>
      <w:proofErr w:type="spellEnd"/>
      <w:r w:rsidRPr="004D2658">
        <w:t xml:space="preserve"> S, </w:t>
      </w:r>
      <w:proofErr w:type="spellStart"/>
      <w:r w:rsidRPr="004D2658">
        <w:t>Stasyshyn</w:t>
      </w:r>
      <w:proofErr w:type="spellEnd"/>
      <w:r w:rsidRPr="004D2658">
        <w:t xml:space="preserve"> O, </w:t>
      </w:r>
      <w:proofErr w:type="spellStart"/>
      <w:r w:rsidRPr="004D2658">
        <w:t>Mamonov</w:t>
      </w:r>
      <w:proofErr w:type="spellEnd"/>
      <w:r w:rsidRPr="004D2658">
        <w:t xml:space="preserve"> V, Phillips J, Guzman-Becerra N, et al. Randomized comparison of prophylaxis and on-demand regimens with FEIBA NF in the treatment of haemophilia A and B with inhibitors. Haemophilia. 2014;20(1):65-72.</w:t>
      </w:r>
    </w:p>
  </w:footnote>
  <w:footnote w:id="39">
    <w:p w14:paraId="043A7BEE" w14:textId="6BA5B54C" w:rsidR="002276B2" w:rsidRDefault="002276B2">
      <w:pPr>
        <w:pStyle w:val="FootnoteText"/>
      </w:pPr>
      <w:r>
        <w:rPr>
          <w:rStyle w:val="FootnoteReference"/>
        </w:rPr>
        <w:footnoteRef/>
      </w:r>
      <w:r>
        <w:t xml:space="preserve"> </w:t>
      </w:r>
      <w:r w:rsidRPr="002276B2">
        <w:t xml:space="preserve">The negative duration of on-demand treatment was caused by a reported end date that was prior to a start date for a regimen for a patient in arm 1. As the treatment duration is used in the calculation of the annualised bleeding rate (ABR) in the table, the respective lower range of the ABR is also negative. The </w:t>
      </w:r>
      <w:r w:rsidR="00395088">
        <w:t>s</w:t>
      </w:r>
      <w:r w:rsidRPr="002276B2">
        <w:t>ponsor did not raise a query to the site regarding this data entry error, as they made an assessment that there was no impact on overall results.</w:t>
      </w:r>
    </w:p>
  </w:footnote>
  <w:footnote w:id="40">
    <w:p w14:paraId="579EE3F7" w14:textId="2CC1C1EA" w:rsidR="002276B2" w:rsidRDefault="002276B2">
      <w:pPr>
        <w:pStyle w:val="FootnoteText"/>
      </w:pPr>
      <w:r>
        <w:rPr>
          <w:rStyle w:val="FootnoteReference"/>
        </w:rPr>
        <w:footnoteRef/>
      </w:r>
      <w:r>
        <w:t xml:space="preserve"> </w:t>
      </w:r>
      <w:r w:rsidRPr="002276B2">
        <w:t xml:space="preserve">Shapiro AD, </w:t>
      </w:r>
      <w:proofErr w:type="spellStart"/>
      <w:r w:rsidRPr="002276B2">
        <w:t>Angchaisuksiri</w:t>
      </w:r>
      <w:proofErr w:type="spellEnd"/>
      <w:r w:rsidRPr="002276B2">
        <w:t xml:space="preserve"> P, </w:t>
      </w:r>
      <w:proofErr w:type="spellStart"/>
      <w:r w:rsidRPr="002276B2">
        <w:t>Astermark</w:t>
      </w:r>
      <w:proofErr w:type="spellEnd"/>
      <w:r w:rsidRPr="002276B2">
        <w:t xml:space="preserve"> J et al. Long-term efficacy and safety of subcutaneous concizumab prophylaxis in </w:t>
      </w:r>
      <w:proofErr w:type="spellStart"/>
      <w:r w:rsidRPr="002276B2">
        <w:t>hemophilia</w:t>
      </w:r>
      <w:proofErr w:type="spellEnd"/>
      <w:r w:rsidRPr="002276B2">
        <w:t xml:space="preserve"> A and </w:t>
      </w:r>
      <w:proofErr w:type="spellStart"/>
      <w:r w:rsidRPr="002276B2">
        <w:t>hemophilia</w:t>
      </w:r>
      <w:proofErr w:type="spellEnd"/>
      <w:r w:rsidRPr="002276B2">
        <w:t xml:space="preserve"> A/B with inhibitors. Blood Adv. 2022; 6 (11): 3422-3432</w:t>
      </w:r>
    </w:p>
  </w:footnote>
  <w:footnote w:id="41">
    <w:p w14:paraId="32B7F738" w14:textId="6FF1B296" w:rsidR="007D5C2A" w:rsidRDefault="007D5C2A">
      <w:pPr>
        <w:pStyle w:val="FootnoteText"/>
      </w:pPr>
      <w:r>
        <w:rPr>
          <w:rStyle w:val="FootnoteReference"/>
        </w:rPr>
        <w:footnoteRef/>
      </w:r>
      <w:r>
        <w:t xml:space="preserve"> </w:t>
      </w:r>
      <w:r w:rsidRPr="00BD7685">
        <w:t xml:space="preserve">Antunes SV, </w:t>
      </w:r>
      <w:proofErr w:type="spellStart"/>
      <w:r w:rsidRPr="00BD7685">
        <w:t>Tangada</w:t>
      </w:r>
      <w:proofErr w:type="spellEnd"/>
      <w:r w:rsidRPr="00BD7685">
        <w:t xml:space="preserve"> S, </w:t>
      </w:r>
      <w:proofErr w:type="spellStart"/>
      <w:r w:rsidRPr="00BD7685">
        <w:t>Stasyshyn</w:t>
      </w:r>
      <w:proofErr w:type="spellEnd"/>
      <w:r w:rsidRPr="00BD7685">
        <w:t xml:space="preserve"> O, </w:t>
      </w:r>
      <w:proofErr w:type="spellStart"/>
      <w:r w:rsidRPr="00BD7685">
        <w:t>Mamonov</w:t>
      </w:r>
      <w:proofErr w:type="spellEnd"/>
      <w:r w:rsidRPr="00BD7685">
        <w:t xml:space="preserve"> V, Phillips J, Guzman-Becerra N, et al.</w:t>
      </w:r>
      <w:r>
        <w:t xml:space="preserve"> </w:t>
      </w:r>
      <w:r w:rsidRPr="00BD7685">
        <w:t>Randomized comparison of prophylaxis and on-demand regimens with FEIBA NF in the</w:t>
      </w:r>
      <w:r>
        <w:t xml:space="preserve"> </w:t>
      </w:r>
      <w:r w:rsidRPr="00BD7685">
        <w:t>treatment of haemophilia A and B with inhibitors. Haemophilia. 2014;20(1):65-72.</w:t>
      </w:r>
    </w:p>
  </w:footnote>
  <w:footnote w:id="42">
    <w:p w14:paraId="1B625CBA" w14:textId="109FACEB" w:rsidR="002523A3" w:rsidRDefault="002523A3">
      <w:pPr>
        <w:pStyle w:val="FootnoteText"/>
      </w:pPr>
      <w:r>
        <w:rPr>
          <w:rStyle w:val="FootnoteReference"/>
        </w:rPr>
        <w:footnoteRef/>
      </w:r>
      <w:r>
        <w:t xml:space="preserve"> </w:t>
      </w:r>
      <w:r w:rsidRPr="002523A3">
        <w:t>ClinicalTrials.gov website. Available from: https://clinicaltrials.gov/ct2/show/NCT05135559. Accessed 21 November 2022.</w:t>
      </w:r>
    </w:p>
  </w:footnote>
  <w:footnote w:id="43">
    <w:p w14:paraId="44AAE653" w14:textId="7F8D9D29" w:rsidR="007D4ED3" w:rsidRDefault="007D4ED3">
      <w:pPr>
        <w:pStyle w:val="FootnoteText"/>
      </w:pPr>
      <w:r>
        <w:rPr>
          <w:rStyle w:val="FootnoteReference"/>
        </w:rPr>
        <w:footnoteRef/>
      </w:r>
      <w:r w:rsidRPr="00D22ED3">
        <w:rPr>
          <w:lang w:val="da-DK"/>
        </w:rPr>
        <w:t xml:space="preserve"> </w:t>
      </w:r>
      <w:r w:rsidRPr="00D22ED3">
        <w:rPr>
          <w:sz w:val="20"/>
          <w:lang w:val="da-DK"/>
        </w:rPr>
        <w:t xml:space="preserve">Recht M, Konkle BA, Jackson S et al. </w:t>
      </w:r>
      <w:r>
        <w:rPr>
          <w:sz w:val="20"/>
        </w:rPr>
        <w:t>Recognizing the need for personalization of haemophilia patient-reported outcomes in the prophylaxis era. Haemophilia. 2016; 22 (6): 825-832.</w:t>
      </w:r>
    </w:p>
  </w:footnote>
  <w:footnote w:id="44">
    <w:p w14:paraId="32704F58" w14:textId="6387DBCB" w:rsidR="007D4ED3" w:rsidRDefault="007D4ED3">
      <w:pPr>
        <w:pStyle w:val="FootnoteText"/>
      </w:pPr>
      <w:r>
        <w:rPr>
          <w:rStyle w:val="FootnoteReference"/>
        </w:rPr>
        <w:footnoteRef/>
      </w:r>
      <w:r>
        <w:t xml:space="preserve"> </w:t>
      </w:r>
      <w:r>
        <w:rPr>
          <w:sz w:val="20"/>
        </w:rPr>
        <w:t xml:space="preserve">Food and Drug Administration. Human Gene Therapy for </w:t>
      </w:r>
      <w:proofErr w:type="spellStart"/>
      <w:r>
        <w:rPr>
          <w:sz w:val="20"/>
        </w:rPr>
        <w:t>Hemophilia</w:t>
      </w:r>
      <w:proofErr w:type="spellEnd"/>
      <w:r>
        <w:rPr>
          <w:sz w:val="20"/>
        </w:rPr>
        <w:t xml:space="preserve"> - Guidance for Industry. 2020. Available from: </w:t>
      </w:r>
      <w:hyperlink r:id="rId2" w:history="1">
        <w:r w:rsidRPr="006F7D46">
          <w:rPr>
            <w:rStyle w:val="Hyperlink"/>
            <w:sz w:val="20"/>
          </w:rPr>
          <w:t>https://www.fda.gov/regulatory-information/search-fda-guidance-documents/human-gene-therapy-hemophilia</w:t>
        </w:r>
      </w:hyperlink>
    </w:p>
  </w:footnote>
  <w:footnote w:id="45">
    <w:p w14:paraId="2D6A4FF2" w14:textId="1D64B365" w:rsidR="007D4ED3" w:rsidRPr="00D22ED3" w:rsidRDefault="007D4ED3">
      <w:pPr>
        <w:pStyle w:val="FootnoteText"/>
        <w:rPr>
          <w:lang w:val="da-DK"/>
        </w:rPr>
      </w:pPr>
      <w:r>
        <w:rPr>
          <w:rStyle w:val="FootnoteReference"/>
        </w:rPr>
        <w:footnoteRef/>
      </w:r>
      <w:r w:rsidRPr="00D22ED3">
        <w:rPr>
          <w:lang w:val="da-DK"/>
        </w:rPr>
        <w:t xml:space="preserve"> </w:t>
      </w:r>
      <w:r w:rsidRPr="00D22ED3">
        <w:rPr>
          <w:sz w:val="20"/>
          <w:lang w:val="da-DK"/>
        </w:rPr>
        <w:t xml:space="preserve">Keipert C, Müller-Olling M, Gauly F et al. </w:t>
      </w:r>
      <w:r>
        <w:rPr>
          <w:sz w:val="20"/>
        </w:rPr>
        <w:t xml:space="preserve">Annual Bleeding Rates: Pitfalls of Clinical Trial Outcomes in </w:t>
      </w:r>
      <w:proofErr w:type="spellStart"/>
      <w:r>
        <w:rPr>
          <w:sz w:val="20"/>
        </w:rPr>
        <w:t>Hemophilia</w:t>
      </w:r>
      <w:proofErr w:type="spellEnd"/>
      <w:r>
        <w:rPr>
          <w:sz w:val="20"/>
        </w:rPr>
        <w:t xml:space="preserve"> Patients. </w:t>
      </w:r>
      <w:r w:rsidRPr="00D22ED3">
        <w:rPr>
          <w:sz w:val="20"/>
          <w:lang w:val="da-DK"/>
        </w:rPr>
        <w:t>Clin Transl Sci. 2020; 13 (6): 1127-1136.</w:t>
      </w:r>
    </w:p>
  </w:footnote>
  <w:footnote w:id="46">
    <w:p w14:paraId="68EE0AF9" w14:textId="5E746D91" w:rsidR="00BC34CE" w:rsidRDefault="00BC34CE">
      <w:pPr>
        <w:pStyle w:val="FootnoteText"/>
      </w:pPr>
      <w:r>
        <w:rPr>
          <w:rStyle w:val="FootnoteReference"/>
        </w:rPr>
        <w:footnoteRef/>
      </w:r>
      <w:r w:rsidRPr="00D22ED3">
        <w:rPr>
          <w:lang w:val="da-DK"/>
        </w:rPr>
        <w:t xml:space="preserve"> </w:t>
      </w:r>
      <w:r w:rsidRPr="00D22ED3">
        <w:rPr>
          <w:sz w:val="20"/>
          <w:lang w:val="da-DK"/>
        </w:rPr>
        <w:t xml:space="preserve">Hansen </w:t>
      </w:r>
      <w:r w:rsidRPr="00D22ED3">
        <w:rPr>
          <w:sz w:val="20"/>
          <w:lang w:val="da-DK"/>
        </w:rPr>
        <w:t xml:space="preserve">ES, Rinde FB, Edvardsen MS et al. </w:t>
      </w:r>
      <w:r>
        <w:rPr>
          <w:sz w:val="20"/>
        </w:rPr>
        <w:t xml:space="preserve">Elevated plasma D-dimer levels are associated with risk of future incident venous thromboembolism. </w:t>
      </w:r>
      <w:proofErr w:type="spellStart"/>
      <w:r>
        <w:rPr>
          <w:sz w:val="20"/>
        </w:rPr>
        <w:t>Thromb</w:t>
      </w:r>
      <w:proofErr w:type="spellEnd"/>
      <w:r>
        <w:rPr>
          <w:sz w:val="20"/>
        </w:rPr>
        <w:t xml:space="preserve"> Res. 2021; 208: 121-126.</w:t>
      </w:r>
    </w:p>
  </w:footnote>
  <w:footnote w:id="47">
    <w:p w14:paraId="2A418762" w14:textId="09A3B293" w:rsidR="00BC34CE" w:rsidRDefault="00BC34CE">
      <w:pPr>
        <w:pStyle w:val="FootnoteText"/>
      </w:pPr>
      <w:r>
        <w:rPr>
          <w:rStyle w:val="FootnoteReference"/>
        </w:rPr>
        <w:footnoteRef/>
      </w:r>
      <w:r>
        <w:t xml:space="preserve"> </w:t>
      </w:r>
      <w:r>
        <w:rPr>
          <w:sz w:val="20"/>
        </w:rPr>
        <w:t xml:space="preserve">Halaby R, </w:t>
      </w:r>
      <w:proofErr w:type="spellStart"/>
      <w:r>
        <w:rPr>
          <w:sz w:val="20"/>
        </w:rPr>
        <w:t>Popma</w:t>
      </w:r>
      <w:proofErr w:type="spellEnd"/>
      <w:r>
        <w:rPr>
          <w:sz w:val="20"/>
        </w:rPr>
        <w:t xml:space="preserve"> CJ, Cohen A et al. D-Dimer elevation and adverse outcomes. J </w:t>
      </w:r>
      <w:proofErr w:type="spellStart"/>
      <w:r>
        <w:rPr>
          <w:sz w:val="20"/>
        </w:rPr>
        <w:t>Thromb</w:t>
      </w:r>
      <w:proofErr w:type="spellEnd"/>
      <w:r>
        <w:rPr>
          <w:sz w:val="20"/>
        </w:rPr>
        <w:t xml:space="preserve"> Thrombolysis. 2015; 39 (1): 55-9.</w:t>
      </w:r>
    </w:p>
  </w:footnote>
  <w:footnote w:id="48">
    <w:p w14:paraId="39F52C02" w14:textId="4C3319D8" w:rsidR="00BC34CE" w:rsidRDefault="00BC34CE">
      <w:pPr>
        <w:pStyle w:val="FootnoteText"/>
      </w:pPr>
      <w:r>
        <w:rPr>
          <w:rStyle w:val="FootnoteReference"/>
        </w:rPr>
        <w:footnoteRef/>
      </w:r>
      <w:r>
        <w:t xml:space="preserve"> </w:t>
      </w:r>
      <w:r>
        <w:rPr>
          <w:sz w:val="20"/>
        </w:rPr>
        <w:t xml:space="preserve">Mancuso ME, Ingham SJM, Kunze M. </w:t>
      </w:r>
      <w:proofErr w:type="spellStart"/>
      <w:r>
        <w:rPr>
          <w:sz w:val="20"/>
        </w:rPr>
        <w:t>Befovacimab</w:t>
      </w:r>
      <w:proofErr w:type="spellEnd"/>
      <w:r>
        <w:rPr>
          <w:sz w:val="20"/>
        </w:rPr>
        <w:t xml:space="preserve">, an anti-tissue factor pathway inhibitor antibody: Early termination of the multiple-dose, dose-escalating Phase 2 study due to thrombosis. Haemophilia. 2022 Sep;28(5):702-712. </w:t>
      </w:r>
      <w:proofErr w:type="spellStart"/>
      <w:r>
        <w:rPr>
          <w:sz w:val="20"/>
        </w:rPr>
        <w:t>doi</w:t>
      </w:r>
      <w:proofErr w:type="spellEnd"/>
      <w:r>
        <w:rPr>
          <w:sz w:val="20"/>
        </w:rPr>
        <w:t xml:space="preserve">: 10.1111/hae.14595. </w:t>
      </w:r>
      <w:proofErr w:type="spellStart"/>
      <w:r>
        <w:rPr>
          <w:sz w:val="20"/>
        </w:rPr>
        <w:t>Epub</w:t>
      </w:r>
      <w:proofErr w:type="spellEnd"/>
      <w:r>
        <w:rPr>
          <w:sz w:val="20"/>
        </w:rPr>
        <w:t xml:space="preserve"> 2022 Jun 6. PMID: 35667016; PMCID: PMC9545794.</w:t>
      </w:r>
    </w:p>
  </w:footnote>
  <w:footnote w:id="49">
    <w:p w14:paraId="5983C462" w14:textId="3E57074A" w:rsidR="00BC34CE" w:rsidRDefault="00BC34CE">
      <w:pPr>
        <w:pStyle w:val="FootnoteText"/>
      </w:pPr>
      <w:r>
        <w:rPr>
          <w:rStyle w:val="FootnoteReference"/>
        </w:rPr>
        <w:footnoteRef/>
      </w:r>
      <w:r>
        <w:t xml:space="preserve"> </w:t>
      </w:r>
      <w:r>
        <w:rPr>
          <w:sz w:val="20"/>
        </w:rPr>
        <w:t xml:space="preserve">Mahlangu J, Luis Lamas J, Cristobal Morales J, Malan DR, Teeter J, </w:t>
      </w:r>
      <w:proofErr w:type="spellStart"/>
      <w:r>
        <w:rPr>
          <w:sz w:val="20"/>
        </w:rPr>
        <w:t>Charnigo</w:t>
      </w:r>
      <w:proofErr w:type="spellEnd"/>
      <w:r>
        <w:rPr>
          <w:sz w:val="20"/>
        </w:rPr>
        <w:t xml:space="preserve"> RJ, Hwang E, Arkin S. Long-term </w:t>
      </w:r>
      <w:proofErr w:type="gramStart"/>
      <w:r>
        <w:rPr>
          <w:sz w:val="20"/>
        </w:rPr>
        <w:t>safety</w:t>
      </w:r>
      <w:proofErr w:type="gramEnd"/>
      <w:r>
        <w:rPr>
          <w:sz w:val="20"/>
        </w:rPr>
        <w:t xml:space="preserve"> and efficacy of the anti-tissue factor pathway inhibitor </w:t>
      </w:r>
      <w:proofErr w:type="spellStart"/>
      <w:r>
        <w:rPr>
          <w:sz w:val="20"/>
        </w:rPr>
        <w:t>marstacimab</w:t>
      </w:r>
      <w:proofErr w:type="spellEnd"/>
      <w:r>
        <w:rPr>
          <w:sz w:val="20"/>
        </w:rPr>
        <w:t xml:space="preserve"> in participants with severe haemophilia: Phase II study results. Br J </w:t>
      </w:r>
      <w:proofErr w:type="spellStart"/>
      <w:r>
        <w:rPr>
          <w:sz w:val="20"/>
        </w:rPr>
        <w:t>Haematol</w:t>
      </w:r>
      <w:proofErr w:type="spellEnd"/>
      <w:r>
        <w:rPr>
          <w:sz w:val="20"/>
        </w:rPr>
        <w:t xml:space="preserve">. 2023 Jan;200(2):240-248. </w:t>
      </w:r>
      <w:proofErr w:type="spellStart"/>
      <w:r>
        <w:rPr>
          <w:sz w:val="20"/>
        </w:rPr>
        <w:t>doi</w:t>
      </w:r>
      <w:proofErr w:type="spellEnd"/>
      <w:r>
        <w:rPr>
          <w:sz w:val="20"/>
        </w:rPr>
        <w:t xml:space="preserve">: 10.1111/bjh.18495. </w:t>
      </w:r>
      <w:proofErr w:type="spellStart"/>
      <w:r>
        <w:rPr>
          <w:sz w:val="20"/>
        </w:rPr>
        <w:t>Epub</w:t>
      </w:r>
      <w:proofErr w:type="spellEnd"/>
      <w:r>
        <w:rPr>
          <w:sz w:val="20"/>
        </w:rPr>
        <w:t xml:space="preserve"> 2022 Oct 11. PMID: 36220152.</w:t>
      </w:r>
    </w:p>
  </w:footnote>
  <w:footnote w:id="50">
    <w:p w14:paraId="653F6CD2" w14:textId="262C2371" w:rsidR="00BC34CE" w:rsidRDefault="00BC34CE">
      <w:pPr>
        <w:pStyle w:val="FootnoteText"/>
      </w:pPr>
      <w:r>
        <w:rPr>
          <w:rStyle w:val="FootnoteReference"/>
        </w:rPr>
        <w:footnoteRef/>
      </w:r>
      <w:r>
        <w:t xml:space="preserve"> </w:t>
      </w:r>
      <w:r>
        <w:rPr>
          <w:sz w:val="20"/>
        </w:rPr>
        <w:t xml:space="preserve">Therapeutic Goods Administration (TGA). Boxed Warning guidance. 2018; Available from: </w:t>
      </w:r>
      <w:r>
        <w:rPr>
          <w:color w:val="0000FF"/>
          <w:sz w:val="20"/>
        </w:rPr>
        <w:t>https://www.tga.gov.au/resources/resource/guidance/boxed-warning-guidance</w:t>
      </w:r>
      <w:r>
        <w:rPr>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572F9F"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58241"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58240"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953"/>
    <w:multiLevelType w:val="hybridMultilevel"/>
    <w:tmpl w:val="EE9A1354"/>
    <w:lvl w:ilvl="0" w:tplc="71880ADA">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83A54"/>
    <w:multiLevelType w:val="hybridMultilevel"/>
    <w:tmpl w:val="A66C2B66"/>
    <w:lvl w:ilvl="0" w:tplc="0C090001">
      <w:start w:val="1"/>
      <w:numFmt w:val="bullet"/>
      <w:lvlText w:val=""/>
      <w:lvlJc w:val="left"/>
      <w:pPr>
        <w:ind w:left="521" w:hanging="360"/>
      </w:pPr>
      <w:rPr>
        <w:rFonts w:ascii="Symbol" w:hAnsi="Symbol" w:hint="default"/>
      </w:rPr>
    </w:lvl>
    <w:lvl w:ilvl="1" w:tplc="0C090003">
      <w:start w:val="1"/>
      <w:numFmt w:val="bullet"/>
      <w:lvlText w:val="o"/>
      <w:lvlJc w:val="left"/>
      <w:pPr>
        <w:ind w:left="1241" w:hanging="360"/>
      </w:pPr>
      <w:rPr>
        <w:rFonts w:ascii="Courier New" w:hAnsi="Courier New" w:cs="Courier New" w:hint="default"/>
      </w:rPr>
    </w:lvl>
    <w:lvl w:ilvl="2" w:tplc="0C090005" w:tentative="1">
      <w:start w:val="1"/>
      <w:numFmt w:val="bullet"/>
      <w:lvlText w:val=""/>
      <w:lvlJc w:val="left"/>
      <w:pPr>
        <w:ind w:left="1961" w:hanging="360"/>
      </w:pPr>
      <w:rPr>
        <w:rFonts w:ascii="Wingdings" w:hAnsi="Wingdings" w:hint="default"/>
      </w:rPr>
    </w:lvl>
    <w:lvl w:ilvl="3" w:tplc="0C090001" w:tentative="1">
      <w:start w:val="1"/>
      <w:numFmt w:val="bullet"/>
      <w:lvlText w:val=""/>
      <w:lvlJc w:val="left"/>
      <w:pPr>
        <w:ind w:left="2681" w:hanging="360"/>
      </w:pPr>
      <w:rPr>
        <w:rFonts w:ascii="Symbol" w:hAnsi="Symbol" w:hint="default"/>
      </w:rPr>
    </w:lvl>
    <w:lvl w:ilvl="4" w:tplc="0C090003" w:tentative="1">
      <w:start w:val="1"/>
      <w:numFmt w:val="bullet"/>
      <w:lvlText w:val="o"/>
      <w:lvlJc w:val="left"/>
      <w:pPr>
        <w:ind w:left="3401" w:hanging="360"/>
      </w:pPr>
      <w:rPr>
        <w:rFonts w:ascii="Courier New" w:hAnsi="Courier New" w:cs="Courier New" w:hint="default"/>
      </w:rPr>
    </w:lvl>
    <w:lvl w:ilvl="5" w:tplc="0C090005" w:tentative="1">
      <w:start w:val="1"/>
      <w:numFmt w:val="bullet"/>
      <w:lvlText w:val=""/>
      <w:lvlJc w:val="left"/>
      <w:pPr>
        <w:ind w:left="4121" w:hanging="360"/>
      </w:pPr>
      <w:rPr>
        <w:rFonts w:ascii="Wingdings" w:hAnsi="Wingdings" w:hint="default"/>
      </w:rPr>
    </w:lvl>
    <w:lvl w:ilvl="6" w:tplc="0C090001" w:tentative="1">
      <w:start w:val="1"/>
      <w:numFmt w:val="bullet"/>
      <w:lvlText w:val=""/>
      <w:lvlJc w:val="left"/>
      <w:pPr>
        <w:ind w:left="4841" w:hanging="360"/>
      </w:pPr>
      <w:rPr>
        <w:rFonts w:ascii="Symbol" w:hAnsi="Symbol" w:hint="default"/>
      </w:rPr>
    </w:lvl>
    <w:lvl w:ilvl="7" w:tplc="0C090003" w:tentative="1">
      <w:start w:val="1"/>
      <w:numFmt w:val="bullet"/>
      <w:lvlText w:val="o"/>
      <w:lvlJc w:val="left"/>
      <w:pPr>
        <w:ind w:left="5561" w:hanging="360"/>
      </w:pPr>
      <w:rPr>
        <w:rFonts w:ascii="Courier New" w:hAnsi="Courier New" w:cs="Courier New" w:hint="default"/>
      </w:rPr>
    </w:lvl>
    <w:lvl w:ilvl="8" w:tplc="0C090005" w:tentative="1">
      <w:start w:val="1"/>
      <w:numFmt w:val="bullet"/>
      <w:lvlText w:val=""/>
      <w:lvlJc w:val="left"/>
      <w:pPr>
        <w:ind w:left="6281" w:hanging="360"/>
      </w:pPr>
      <w:rPr>
        <w:rFonts w:ascii="Wingdings" w:hAnsi="Wingdings" w:hint="default"/>
      </w:rPr>
    </w:lvl>
  </w:abstractNum>
  <w:abstractNum w:abstractNumId="2" w15:restartNumberingAfterBreak="0">
    <w:nsid w:val="06C201C8"/>
    <w:multiLevelType w:val="hybridMultilevel"/>
    <w:tmpl w:val="0486CA5A"/>
    <w:lvl w:ilvl="0" w:tplc="71880ADA">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356C9"/>
    <w:multiLevelType w:val="hybridMultilevel"/>
    <w:tmpl w:val="D7B0FFC0"/>
    <w:lvl w:ilvl="0" w:tplc="71880ADA">
      <w:numFmt w:val="bullet"/>
      <w:lvlText w:val="•"/>
      <w:lvlJc w:val="left"/>
      <w:pPr>
        <w:ind w:left="1080" w:hanging="720"/>
      </w:pPr>
      <w:rPr>
        <w:rFonts w:ascii="Cambria" w:eastAsia="Cambria" w:hAnsi="Cambria" w:cs="Times New Roman" w:hint="default"/>
      </w:rPr>
    </w:lvl>
    <w:lvl w:ilvl="1" w:tplc="13283F96">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6E48DB"/>
    <w:multiLevelType w:val="hybridMultilevel"/>
    <w:tmpl w:val="8BCA4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90AC6"/>
    <w:multiLevelType w:val="hybridMultilevel"/>
    <w:tmpl w:val="417EDF60"/>
    <w:lvl w:ilvl="0" w:tplc="B9AA3810">
      <w:start w:val="1"/>
      <w:numFmt w:val="upp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30D1594"/>
    <w:multiLevelType w:val="hybridMultilevel"/>
    <w:tmpl w:val="B6EADF1A"/>
    <w:lvl w:ilvl="0" w:tplc="FACE6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420E6C"/>
    <w:multiLevelType w:val="hybridMultilevel"/>
    <w:tmpl w:val="FFDA0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14665A"/>
    <w:multiLevelType w:val="hybridMultilevel"/>
    <w:tmpl w:val="B64E4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16CE04FE"/>
    <w:multiLevelType w:val="hybridMultilevel"/>
    <w:tmpl w:val="4DE60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9E7B92"/>
    <w:multiLevelType w:val="hybridMultilevel"/>
    <w:tmpl w:val="417EDF60"/>
    <w:lvl w:ilvl="0" w:tplc="B9AA3810">
      <w:start w:val="1"/>
      <w:numFmt w:val="upperLetter"/>
      <w:lvlText w:val="(%1)"/>
      <w:lvlJc w:val="left"/>
      <w:pPr>
        <w:ind w:left="720" w:hanging="360"/>
      </w:pPr>
      <w:rPr>
        <w:rFonts w:hint="default"/>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2B423CE6"/>
    <w:multiLevelType w:val="hybridMultilevel"/>
    <w:tmpl w:val="868E5F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A044B1"/>
    <w:multiLevelType w:val="hybridMultilevel"/>
    <w:tmpl w:val="1CC896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D97427"/>
    <w:multiLevelType w:val="hybridMultilevel"/>
    <w:tmpl w:val="BFBAE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0022F0"/>
    <w:multiLevelType w:val="hybridMultilevel"/>
    <w:tmpl w:val="5AB07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C018EB"/>
    <w:multiLevelType w:val="hybridMultilevel"/>
    <w:tmpl w:val="2B8E6BE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54B3F49"/>
    <w:multiLevelType w:val="hybridMultilevel"/>
    <w:tmpl w:val="4164E4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B639FD"/>
    <w:multiLevelType w:val="hybridMultilevel"/>
    <w:tmpl w:val="40F69148"/>
    <w:lvl w:ilvl="0" w:tplc="0C090001">
      <w:start w:val="1"/>
      <w:numFmt w:val="bullet"/>
      <w:lvlText w:val=""/>
      <w:lvlJc w:val="left"/>
      <w:pPr>
        <w:ind w:left="521" w:hanging="360"/>
      </w:pPr>
      <w:rPr>
        <w:rFonts w:ascii="Symbol" w:hAnsi="Symbol" w:hint="default"/>
      </w:rPr>
    </w:lvl>
    <w:lvl w:ilvl="1" w:tplc="0C090003">
      <w:start w:val="1"/>
      <w:numFmt w:val="bullet"/>
      <w:lvlText w:val="o"/>
      <w:lvlJc w:val="left"/>
      <w:pPr>
        <w:ind w:left="1241" w:hanging="360"/>
      </w:pPr>
      <w:rPr>
        <w:rFonts w:ascii="Courier New" w:hAnsi="Courier New" w:cs="Courier New" w:hint="default"/>
      </w:rPr>
    </w:lvl>
    <w:lvl w:ilvl="2" w:tplc="0C090005" w:tentative="1">
      <w:start w:val="1"/>
      <w:numFmt w:val="bullet"/>
      <w:lvlText w:val=""/>
      <w:lvlJc w:val="left"/>
      <w:pPr>
        <w:ind w:left="1961" w:hanging="360"/>
      </w:pPr>
      <w:rPr>
        <w:rFonts w:ascii="Wingdings" w:hAnsi="Wingdings" w:hint="default"/>
      </w:rPr>
    </w:lvl>
    <w:lvl w:ilvl="3" w:tplc="0C090001" w:tentative="1">
      <w:start w:val="1"/>
      <w:numFmt w:val="bullet"/>
      <w:lvlText w:val=""/>
      <w:lvlJc w:val="left"/>
      <w:pPr>
        <w:ind w:left="2681" w:hanging="360"/>
      </w:pPr>
      <w:rPr>
        <w:rFonts w:ascii="Symbol" w:hAnsi="Symbol" w:hint="default"/>
      </w:rPr>
    </w:lvl>
    <w:lvl w:ilvl="4" w:tplc="0C090003" w:tentative="1">
      <w:start w:val="1"/>
      <w:numFmt w:val="bullet"/>
      <w:lvlText w:val="o"/>
      <w:lvlJc w:val="left"/>
      <w:pPr>
        <w:ind w:left="3401" w:hanging="360"/>
      </w:pPr>
      <w:rPr>
        <w:rFonts w:ascii="Courier New" w:hAnsi="Courier New" w:cs="Courier New" w:hint="default"/>
      </w:rPr>
    </w:lvl>
    <w:lvl w:ilvl="5" w:tplc="0C090005" w:tentative="1">
      <w:start w:val="1"/>
      <w:numFmt w:val="bullet"/>
      <w:lvlText w:val=""/>
      <w:lvlJc w:val="left"/>
      <w:pPr>
        <w:ind w:left="4121" w:hanging="360"/>
      </w:pPr>
      <w:rPr>
        <w:rFonts w:ascii="Wingdings" w:hAnsi="Wingdings" w:hint="default"/>
      </w:rPr>
    </w:lvl>
    <w:lvl w:ilvl="6" w:tplc="0C090001" w:tentative="1">
      <w:start w:val="1"/>
      <w:numFmt w:val="bullet"/>
      <w:lvlText w:val=""/>
      <w:lvlJc w:val="left"/>
      <w:pPr>
        <w:ind w:left="4841" w:hanging="360"/>
      </w:pPr>
      <w:rPr>
        <w:rFonts w:ascii="Symbol" w:hAnsi="Symbol" w:hint="default"/>
      </w:rPr>
    </w:lvl>
    <w:lvl w:ilvl="7" w:tplc="0C090003" w:tentative="1">
      <w:start w:val="1"/>
      <w:numFmt w:val="bullet"/>
      <w:lvlText w:val="o"/>
      <w:lvlJc w:val="left"/>
      <w:pPr>
        <w:ind w:left="5561" w:hanging="360"/>
      </w:pPr>
      <w:rPr>
        <w:rFonts w:ascii="Courier New" w:hAnsi="Courier New" w:cs="Courier New" w:hint="default"/>
      </w:rPr>
    </w:lvl>
    <w:lvl w:ilvl="8" w:tplc="0C090005" w:tentative="1">
      <w:start w:val="1"/>
      <w:numFmt w:val="bullet"/>
      <w:lvlText w:val=""/>
      <w:lvlJc w:val="left"/>
      <w:pPr>
        <w:ind w:left="6281" w:hanging="360"/>
      </w:pPr>
      <w:rPr>
        <w:rFonts w:ascii="Wingdings" w:hAnsi="Wingdings" w:hint="default"/>
      </w:rPr>
    </w:lvl>
  </w:abstractNum>
  <w:abstractNum w:abstractNumId="26" w15:restartNumberingAfterBreak="0">
    <w:nsid w:val="67AD2539"/>
    <w:multiLevelType w:val="hybridMultilevel"/>
    <w:tmpl w:val="503C9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98E349F"/>
    <w:multiLevelType w:val="hybridMultilevel"/>
    <w:tmpl w:val="CABC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DF519A"/>
    <w:multiLevelType w:val="hybridMultilevel"/>
    <w:tmpl w:val="8000E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F651C6"/>
    <w:multiLevelType w:val="hybridMultilevel"/>
    <w:tmpl w:val="D8C802A0"/>
    <w:lvl w:ilvl="0" w:tplc="1FC4EFA8">
      <w:start w:val="1"/>
      <w:numFmt w:val="bullet"/>
      <w:lvlText w:val=" "/>
      <w:lvlJc w:val="left"/>
      <w:pPr>
        <w:tabs>
          <w:tab w:val="num" w:pos="720"/>
        </w:tabs>
        <w:ind w:left="720" w:hanging="360"/>
      </w:pPr>
      <w:rPr>
        <w:rFonts w:ascii="Calibri" w:hAnsi="Calibri" w:hint="default"/>
      </w:rPr>
    </w:lvl>
    <w:lvl w:ilvl="1" w:tplc="C368F7A0" w:tentative="1">
      <w:start w:val="1"/>
      <w:numFmt w:val="bullet"/>
      <w:lvlText w:val=" "/>
      <w:lvlJc w:val="left"/>
      <w:pPr>
        <w:tabs>
          <w:tab w:val="num" w:pos="1440"/>
        </w:tabs>
        <w:ind w:left="1440" w:hanging="360"/>
      </w:pPr>
      <w:rPr>
        <w:rFonts w:ascii="Calibri" w:hAnsi="Calibri" w:hint="default"/>
      </w:rPr>
    </w:lvl>
    <w:lvl w:ilvl="2" w:tplc="65ACE622" w:tentative="1">
      <w:start w:val="1"/>
      <w:numFmt w:val="bullet"/>
      <w:lvlText w:val=" "/>
      <w:lvlJc w:val="left"/>
      <w:pPr>
        <w:tabs>
          <w:tab w:val="num" w:pos="2160"/>
        </w:tabs>
        <w:ind w:left="2160" w:hanging="360"/>
      </w:pPr>
      <w:rPr>
        <w:rFonts w:ascii="Calibri" w:hAnsi="Calibri" w:hint="default"/>
      </w:rPr>
    </w:lvl>
    <w:lvl w:ilvl="3" w:tplc="37D65A16" w:tentative="1">
      <w:start w:val="1"/>
      <w:numFmt w:val="bullet"/>
      <w:lvlText w:val=" "/>
      <w:lvlJc w:val="left"/>
      <w:pPr>
        <w:tabs>
          <w:tab w:val="num" w:pos="2880"/>
        </w:tabs>
        <w:ind w:left="2880" w:hanging="360"/>
      </w:pPr>
      <w:rPr>
        <w:rFonts w:ascii="Calibri" w:hAnsi="Calibri" w:hint="default"/>
      </w:rPr>
    </w:lvl>
    <w:lvl w:ilvl="4" w:tplc="93DCC4C6" w:tentative="1">
      <w:start w:val="1"/>
      <w:numFmt w:val="bullet"/>
      <w:lvlText w:val=" "/>
      <w:lvlJc w:val="left"/>
      <w:pPr>
        <w:tabs>
          <w:tab w:val="num" w:pos="3600"/>
        </w:tabs>
        <w:ind w:left="3600" w:hanging="360"/>
      </w:pPr>
      <w:rPr>
        <w:rFonts w:ascii="Calibri" w:hAnsi="Calibri" w:hint="default"/>
      </w:rPr>
    </w:lvl>
    <w:lvl w:ilvl="5" w:tplc="5C14C802" w:tentative="1">
      <w:start w:val="1"/>
      <w:numFmt w:val="bullet"/>
      <w:lvlText w:val=" "/>
      <w:lvlJc w:val="left"/>
      <w:pPr>
        <w:tabs>
          <w:tab w:val="num" w:pos="4320"/>
        </w:tabs>
        <w:ind w:left="4320" w:hanging="360"/>
      </w:pPr>
      <w:rPr>
        <w:rFonts w:ascii="Calibri" w:hAnsi="Calibri" w:hint="default"/>
      </w:rPr>
    </w:lvl>
    <w:lvl w:ilvl="6" w:tplc="6B9E0634" w:tentative="1">
      <w:start w:val="1"/>
      <w:numFmt w:val="bullet"/>
      <w:lvlText w:val=" "/>
      <w:lvlJc w:val="left"/>
      <w:pPr>
        <w:tabs>
          <w:tab w:val="num" w:pos="5040"/>
        </w:tabs>
        <w:ind w:left="5040" w:hanging="360"/>
      </w:pPr>
      <w:rPr>
        <w:rFonts w:ascii="Calibri" w:hAnsi="Calibri" w:hint="default"/>
      </w:rPr>
    </w:lvl>
    <w:lvl w:ilvl="7" w:tplc="58169D9C" w:tentative="1">
      <w:start w:val="1"/>
      <w:numFmt w:val="bullet"/>
      <w:lvlText w:val=" "/>
      <w:lvlJc w:val="left"/>
      <w:pPr>
        <w:tabs>
          <w:tab w:val="num" w:pos="5760"/>
        </w:tabs>
        <w:ind w:left="5760" w:hanging="360"/>
      </w:pPr>
      <w:rPr>
        <w:rFonts w:ascii="Calibri" w:hAnsi="Calibri" w:hint="default"/>
      </w:rPr>
    </w:lvl>
    <w:lvl w:ilvl="8" w:tplc="E8EA1032" w:tentative="1">
      <w:start w:val="1"/>
      <w:numFmt w:val="bullet"/>
      <w:lvlText w:val=" "/>
      <w:lvlJc w:val="left"/>
      <w:pPr>
        <w:tabs>
          <w:tab w:val="num" w:pos="6480"/>
        </w:tabs>
        <w:ind w:left="6480" w:hanging="360"/>
      </w:pPr>
      <w:rPr>
        <w:rFonts w:ascii="Calibri" w:hAnsi="Calibri" w:hint="default"/>
      </w:rPr>
    </w:lvl>
  </w:abstractNum>
  <w:abstractNum w:abstractNumId="30" w15:restartNumberingAfterBreak="0">
    <w:nsid w:val="7B6A597F"/>
    <w:multiLevelType w:val="hybridMultilevel"/>
    <w:tmpl w:val="3CF6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9119714">
    <w:abstractNumId w:val="12"/>
  </w:num>
  <w:num w:numId="2" w16cid:durableId="157580440">
    <w:abstractNumId w:val="7"/>
  </w:num>
  <w:num w:numId="3" w16cid:durableId="630987370">
    <w:abstractNumId w:val="11"/>
  </w:num>
  <w:num w:numId="4" w16cid:durableId="1607928677">
    <w:abstractNumId w:val="22"/>
  </w:num>
  <w:num w:numId="5" w16cid:durableId="1000353847">
    <w:abstractNumId w:val="15"/>
  </w:num>
  <w:num w:numId="6" w16cid:durableId="1274939908">
    <w:abstractNumId w:val="21"/>
  </w:num>
  <w:num w:numId="7" w16cid:durableId="49762144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815902860">
    <w:abstractNumId w:val="19"/>
  </w:num>
  <w:num w:numId="9" w16cid:durableId="1315453662">
    <w:abstractNumId w:val="8"/>
  </w:num>
  <w:num w:numId="10" w16cid:durableId="1485849928">
    <w:abstractNumId w:val="30"/>
  </w:num>
  <w:num w:numId="11" w16cid:durableId="113985848">
    <w:abstractNumId w:val="5"/>
  </w:num>
  <w:num w:numId="12" w16cid:durableId="1832283245">
    <w:abstractNumId w:val="14"/>
  </w:num>
  <w:num w:numId="13" w16cid:durableId="1089695275">
    <w:abstractNumId w:val="20"/>
  </w:num>
  <w:num w:numId="14" w16cid:durableId="24327570">
    <w:abstractNumId w:val="17"/>
  </w:num>
  <w:num w:numId="15" w16cid:durableId="590554446">
    <w:abstractNumId w:val="0"/>
  </w:num>
  <w:num w:numId="16" w16cid:durableId="1115372359">
    <w:abstractNumId w:val="2"/>
  </w:num>
  <w:num w:numId="17" w16cid:durableId="1144396489">
    <w:abstractNumId w:val="3"/>
  </w:num>
  <w:num w:numId="18" w16cid:durableId="53509421">
    <w:abstractNumId w:val="24"/>
  </w:num>
  <w:num w:numId="19" w16cid:durableId="1814521295">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8677649">
    <w:abstractNumId w:val="25"/>
  </w:num>
  <w:num w:numId="21" w16cid:durableId="1276212389">
    <w:abstractNumId w:val="13"/>
  </w:num>
  <w:num w:numId="22" w16cid:durableId="978000456">
    <w:abstractNumId w:val="23"/>
  </w:num>
  <w:num w:numId="23" w16cid:durableId="932397348">
    <w:abstractNumId w:val="28"/>
  </w:num>
  <w:num w:numId="24" w16cid:durableId="726489162">
    <w:abstractNumId w:val="16"/>
  </w:num>
  <w:num w:numId="25" w16cid:durableId="606080095">
    <w:abstractNumId w:val="26"/>
  </w:num>
  <w:num w:numId="26" w16cid:durableId="1210459933">
    <w:abstractNumId w:val="9"/>
  </w:num>
  <w:num w:numId="27" w16cid:durableId="69809998">
    <w:abstractNumId w:val="1"/>
  </w:num>
  <w:num w:numId="28" w16cid:durableId="2083793761">
    <w:abstractNumId w:val="4"/>
  </w:num>
  <w:num w:numId="29" w16cid:durableId="543520477">
    <w:abstractNumId w:val="18"/>
  </w:num>
  <w:num w:numId="30" w16cid:durableId="1074549796">
    <w:abstractNumId w:val="10"/>
  </w:num>
  <w:num w:numId="31" w16cid:durableId="357974638">
    <w:abstractNumId w:val="27"/>
  </w:num>
  <w:num w:numId="32" w16cid:durableId="18833247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842754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2742832">
    <w:abstractNumId w:val="6"/>
  </w:num>
  <w:num w:numId="35" w16cid:durableId="859045966">
    <w:abstractNumId w:val="7"/>
    <w:lvlOverride w:ilvl="0">
      <w:lvl w:ilvl="0">
        <w:start w:val="1"/>
        <w:numFmt w:val="decimal"/>
        <w:pStyle w:val="Numberbullet0"/>
        <w:lvlText w:val="%1."/>
        <w:lvlJc w:val="left"/>
        <w:pPr>
          <w:ind w:left="425" w:hanging="425"/>
        </w:pPr>
        <w:rPr>
          <w:rFonts w:asciiTheme="minorHAnsi" w:hAnsiTheme="minorHAnsi" w:cstheme="minorHAnsi" w:hint="default"/>
        </w:rPr>
      </w:lvl>
    </w:lvlOverride>
    <w:lvlOverride w:ilvl="1">
      <w:lvl w:ilvl="1">
        <w:start w:val="1"/>
        <w:numFmt w:val="lowerLetter"/>
        <w:pStyle w:val="Numberbullet2"/>
        <w:lvlText w:val="%2."/>
        <w:lvlJc w:val="left"/>
        <w:pPr>
          <w:ind w:left="851" w:hanging="426"/>
        </w:pPr>
        <w:rPr>
          <w:rFonts w:hint="default"/>
          <w:b/>
          <w:bCs/>
          <w:i/>
          <w:iCs/>
        </w:rPr>
      </w:lvl>
    </w:lvlOverride>
  </w:num>
  <w:num w:numId="36" w16cid:durableId="6177648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85527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4137fce-5560-4bc1-b382-95b40347fd1f" w:val=" "/>
    <w:docVar w:name="vault_nd_068a43f3-c574-4bf6-bd36-5a08bb3f19c2" w:val=" "/>
    <w:docVar w:name="vault_nd_0759b80b-e79b-4c60-ad11-1cc5f72e7afd" w:val=" "/>
    <w:docVar w:name="vault_nd_0b8e4079-e553-4b25-9663-ee445471fad9" w:val=" "/>
    <w:docVar w:name="vault_nd_0ee0d32e-d48c-4bc6-859a-20baa5893d06" w:val=" "/>
    <w:docVar w:name="vault_nd_1304de42-6f41-4c5b-ab2a-fddd9daa401f" w:val=" "/>
    <w:docVar w:name="vault_nd_15e09a43-11b2-49ad-8e9e-170598cbada5" w:val=" "/>
    <w:docVar w:name="vault_nd_177bd30e-4110-4251-b119-d73cc6657977" w:val=" "/>
    <w:docVar w:name="vault_nd_1e0fd82d-1376-40a2-a3a6-60ef38118d3d" w:val=" "/>
    <w:docVar w:name="vault_nd_201fb71d-bba4-470a-a91b-d34dea942970" w:val=" "/>
    <w:docVar w:name="vault_nd_2171ff22-4e2d-457f-88bb-9b5609f6670b" w:val=" "/>
    <w:docVar w:name="vault_nd_261ba52c-4614-4266-b5eb-1218b2833944" w:val=" "/>
    <w:docVar w:name="vault_nd_26ebf85e-8605-4bc8-9ba9-103b34fda768" w:val=" "/>
    <w:docVar w:name="vault_nd_2affa7a8-ec7c-4818-9da5-7d24993e9a1c" w:val=" "/>
    <w:docVar w:name="vault_nd_2dfddb20-3bc4-476c-abdf-3b2aad742fac" w:val=" "/>
    <w:docVar w:name="vault_nd_2f23785f-da02-4875-a75c-1f5ae4d5b3d2" w:val=" "/>
    <w:docVar w:name="vault_nd_2f6001e1-1e9f-4b69-b185-b70178577f6f" w:val=" "/>
    <w:docVar w:name="vault_nd_313b0925-469d-4ade-bda6-ff31bfe580a7" w:val=" "/>
    <w:docVar w:name="vault_nd_32c91fe7-8142-4f50-be8e-1f82ccbeb235" w:val=" "/>
    <w:docVar w:name="vault_nd_363daeee-ba78-472f-a139-1103a5ab5de0" w:val=" "/>
    <w:docVar w:name="vault_nd_36bee3c3-5335-43a8-a451-630c0f1e5b2f" w:val=" "/>
    <w:docVar w:name="vault_nd_3743dc07-728a-4cc8-b734-5cc856493065" w:val=" "/>
    <w:docVar w:name="vault_nd_3aeabab0-2c77-458e-8484-0f273d5966c4" w:val=" "/>
    <w:docVar w:name="vault_nd_3c4f85f4-1c31-458b-9083-48763e0a425f" w:val=" "/>
    <w:docVar w:name="vault_nd_435b1e97-cdae-4bcb-85e5-5188dd53e57a" w:val=" "/>
    <w:docVar w:name="vault_nd_44fa7aaf-548d-4e4c-abbc-7cba7b79658a" w:val=" "/>
    <w:docVar w:name="vault_nd_45b7ecf1-b4f7-4796-9583-cfb58e8f60b3" w:val=" "/>
    <w:docVar w:name="vault_nd_4775d619-437d-4298-b6d4-0f799e018cd1" w:val=" "/>
    <w:docVar w:name="vault_nd_49d6ff2a-5551-4dbe-816d-eafc412e74e0" w:val=" "/>
    <w:docVar w:name="vault_nd_4cb3b956-6dc6-415d-a75b-93b1e2460d85" w:val=" "/>
    <w:docVar w:name="vault_nd_4d8e3641-4b9e-4a7f-abe1-0abf9716ffc5" w:val=" "/>
    <w:docVar w:name="vault_nd_4e240869-a044-4e6d-a32f-1af94a4f2d9e" w:val=" "/>
    <w:docVar w:name="vault_nd_4f6c5744-2c0a-496b-a955-8431f0130245" w:val=" "/>
    <w:docVar w:name="vault_nd_4fecc082-faf3-4662-a278-5492907d83c9" w:val=" "/>
    <w:docVar w:name="vault_nd_53c07efd-9ce7-4d0a-a6e4-03896a25dbcb" w:val=" "/>
    <w:docVar w:name="vault_nd_546fc82f-2113-426d-b89d-eda7ba6bd71c" w:val=" "/>
    <w:docVar w:name="vault_nd_5482f65a-da4f-4b30-838d-ba2fceaa59ed" w:val=" "/>
    <w:docVar w:name="vault_nd_56886516-3712-4584-95fd-bf08e562f380" w:val=" "/>
    <w:docVar w:name="vault_nd_57eba915-b8c6-4818-8429-ac0d7da97711" w:val=" "/>
    <w:docVar w:name="vault_nd_5c9e14cc-775e-4bed-bbe1-3eda5da812c7" w:val=" "/>
    <w:docVar w:name="vault_nd_6406122b-51e7-4b49-adac-c44df9c0da4d" w:val=" "/>
    <w:docVar w:name="vault_nd_6935e53c-27ac-47a9-bc25-fe8116100a17" w:val=" "/>
    <w:docVar w:name="vault_nd_695594f2-791e-4764-a5ef-69c9e23c2367" w:val=" "/>
    <w:docVar w:name="vault_nd_6a5dca7f-b9ed-4d82-8fc9-994f343c5cd7" w:val=" "/>
    <w:docVar w:name="vault_nd_6d66e13b-77a6-482c-b26a-83a58fa8b3cd" w:val=" "/>
    <w:docVar w:name="vault_nd_6dfa90ef-1d4b-40d9-bb36-d8b8131072c1" w:val=" "/>
    <w:docVar w:name="vault_nd_6ef1389c-86fe-44be-afd0-06c3312a7066" w:val=" "/>
    <w:docVar w:name="vault_nd_710a816a-a050-499c-88cc-0e76a996e8e2" w:val=" "/>
    <w:docVar w:name="vault_nd_7493c02b-891a-4352-9674-fd70ea7a8df2" w:val=" "/>
    <w:docVar w:name="vault_nd_75915a35-8e05-4021-8762-a611ec05e4b1" w:val=" "/>
    <w:docVar w:name="vault_nd_7acbc580-f653-4fda-899d-4ec886afccde" w:val=" "/>
    <w:docVar w:name="vault_nd_7e0cb66d-486f-4e8d-8678-d3b1d09d4f03" w:val=" "/>
    <w:docVar w:name="vault_nd_7fb07449-2ea1-468f-8697-48afb7cd0d44" w:val=" "/>
    <w:docVar w:name="vault_nd_80d958ff-b15f-41a3-a2ac-e46d1cfa7fcb" w:val=" "/>
    <w:docVar w:name="vault_nd_83c9dad5-e2eb-4192-a17a-076984f6f4fd" w:val=" "/>
    <w:docVar w:name="vault_nd_85273f07-9379-458d-a84e-d6b8a02a82bf" w:val=" "/>
    <w:docVar w:name="vault_nd_85717771-47a2-4fab-adeb-88c3ea082392" w:val=" "/>
    <w:docVar w:name="vault_nd_858fdf0b-e8df-4d95-9968-8ac3c1d56920" w:val=" "/>
    <w:docVar w:name="vault_nd_8c00cddb-417a-443b-ae8f-c5cfa33cf987" w:val=" "/>
    <w:docVar w:name="vault_nd_8cddc777-cb84-426c-9078-152cdd497eb4" w:val=" "/>
    <w:docVar w:name="vault_nd_903dcc33-3bfc-4f84-ad4c-6e71ee1f4290" w:val=" "/>
    <w:docVar w:name="vault_nd_91a6897d-0671-4ef3-ba7b-7984bae3e000" w:val=" "/>
    <w:docVar w:name="vault_nd_92d38df4-4437-4e44-a7d3-3e3c1cdd6905" w:val=" "/>
    <w:docVar w:name="vault_nd_92fb8ff0-ab9a-4027-8968-9285bfd366f5" w:val=" "/>
    <w:docVar w:name="vault_nd_93333630-287c-4552-8ae7-cd3a6422849c" w:val=" "/>
    <w:docVar w:name="vault_nd_9451b53e-0caf-4e6b-9ed2-0123bdc13546" w:val=" "/>
    <w:docVar w:name="vault_nd_949dfc6d-dd1f-4b6d-91d1-bdfdd6cf6e54" w:val=" "/>
    <w:docVar w:name="vault_nd_94ec6f2d-f54e-474b-8e86-685f42b05e76" w:val=" "/>
    <w:docVar w:name="vault_nd_962713d2-2b5e-4e3d-8393-29fafd37682d" w:val=" "/>
    <w:docVar w:name="vault_nd_970daba4-a9ea-4a48-9205-dc6f692a74dc" w:val=" "/>
    <w:docVar w:name="vault_nd_9823151e-dd55-4f73-ba4d-adcbfcfd131d" w:val=" "/>
    <w:docVar w:name="vault_nd_9a3e7c73-4e0d-4b88-879a-92fc1e73b142" w:val=" "/>
    <w:docVar w:name="vault_nd_9eb3397c-261f-4bc9-af64-cf2627a635e4" w:val=" "/>
    <w:docVar w:name="vault_nd_a47f52c6-ed77-484c-ae2a-acc40cf4084c" w:val=" "/>
    <w:docVar w:name="vault_nd_a5b7d959-5375-42fc-b75c-a5a896fce7a1" w:val=" "/>
    <w:docVar w:name="vault_nd_a7b8f611-59cf-4eda-9001-7bb9e9b7215f" w:val=" "/>
    <w:docVar w:name="vault_nd_a8119823-40cf-466b-8e64-d2c78086062c" w:val=" "/>
    <w:docVar w:name="vault_nd_a9f698bc-4c8e-40be-9da0-3acc14dfaf49" w:val=" "/>
    <w:docVar w:name="vault_nd_aa7db692-89de-41ac-8fe2-c3387b569d83" w:val=" "/>
    <w:docVar w:name="vault_nd_b27a95f2-a230-447b-8bc7-761bdf93da47" w:val=" "/>
    <w:docVar w:name="vault_nd_b35c63fa-363a-4115-82b4-81dab388c197" w:val=" "/>
    <w:docVar w:name="vault_nd_b531bc11-7c73-4e47-a194-dc73a2eb7edf" w:val=" "/>
    <w:docVar w:name="vault_nd_b964654e-3cba-4f9d-b756-595eaff7850e" w:val=" "/>
    <w:docVar w:name="vault_nd_ba35f46a-d8ce-4708-86b3-3409fab0991b" w:val=" "/>
    <w:docVar w:name="vault_nd_ba3d52f8-a050-4c8d-a805-e9605d18c842" w:val=" "/>
    <w:docVar w:name="vault_nd_ba5deda0-e41f-4bc5-9ebe-0d2d5dcf15f7" w:val=" "/>
    <w:docVar w:name="vault_nd_bb99a2d8-f98b-4c2c-9cc4-e5431b4d1609" w:val=" "/>
    <w:docVar w:name="vault_nd_bc08daad-19c6-4b99-807a-ba5983c31aac" w:val=" "/>
    <w:docVar w:name="vault_nd_bc78f3f1-f8c3-4e8b-97c0-5e46de9e6107" w:val=" "/>
    <w:docVar w:name="vault_nd_c1488471-6a44-4be6-984e-d20001037dcd" w:val=" "/>
    <w:docVar w:name="vault_nd_c1d8c380-1b64-42f4-93aa-7182a0274bc7" w:val=" "/>
    <w:docVar w:name="vault_nd_c2ce4f8f-3325-45e8-86a6-41e780eef580" w:val=" "/>
    <w:docVar w:name="vault_nd_c37802ec-921f-4876-ac01-1015f972012e" w:val=" "/>
    <w:docVar w:name="vault_nd_c3f7cb05-bce2-4b92-b17b-017e73aad3c4" w:val=" "/>
    <w:docVar w:name="vault_nd_c5d7f50c-ca01-420a-94b3-95e5ed329a99" w:val=" "/>
    <w:docVar w:name="vault_nd_c61e3e89-7f2f-49ab-8b0d-34f771261115" w:val=" "/>
    <w:docVar w:name="vault_nd_c6e0eb09-37bc-499e-a56b-198dc0c3a58e" w:val=" "/>
    <w:docVar w:name="vault_nd_c8f9664c-6f76-4bb8-aaed-0f9c68fa9e6a" w:val=" "/>
    <w:docVar w:name="vault_nd_c900dc27-41ea-4615-bbd5-f7d5356dec42" w:val=" "/>
    <w:docVar w:name="vault_nd_c9b0ba2b-9882-445f-9771-626db066d370" w:val=" "/>
    <w:docVar w:name="vault_nd_c9c455bf-f93f-4bc5-b873-421855550664" w:val=" "/>
    <w:docVar w:name="vault_nd_ca20f309-58d2-40d1-8be6-731879f784c4" w:val=" "/>
    <w:docVar w:name="vault_nd_caea519a-4d14-4c6a-aba5-c5f330582dc1" w:val=" "/>
    <w:docVar w:name="vault_nd_cca7c0aa-03cd-4bef-ae36-34f718a7edeb" w:val=" "/>
    <w:docVar w:name="vault_nd_d2a57b2d-ef2d-484d-983c-6137cb8b38d1" w:val=" "/>
    <w:docVar w:name="vault_nd_d33de578-a6c3-4e9b-a2a2-c43e3700ba16" w:val=" "/>
    <w:docVar w:name="vault_nd_d619c009-1256-42a2-8100-d949dfa70f6d" w:val=" "/>
    <w:docVar w:name="vault_nd_d7177a73-56c7-4cc0-8c43-7a2e65884260" w:val=" "/>
    <w:docVar w:name="vault_nd_ddc38240-329c-40eb-a697-64caca9c4b80" w:val=" "/>
    <w:docVar w:name="vault_nd_de160c3c-4507-49d0-96f6-83c1d72ffa86" w:val=" "/>
    <w:docVar w:name="vault_nd_df69e6c1-1f57-41ce-a361-c9abebaf0e25" w:val=" "/>
    <w:docVar w:name="vault_nd_df8cc14f-2131-47fb-be0a-9674bb79d21e" w:val=" "/>
    <w:docVar w:name="vault_nd_e1a72798-c1d6-44c1-a848-046b387a94fc" w:val=" "/>
    <w:docVar w:name="vault_nd_e37ba536-0bcb-4513-a38e-24bf34311819" w:val=" "/>
    <w:docVar w:name="vault_nd_e4f21976-a423-4d37-8935-e977da085c7d" w:val=" "/>
    <w:docVar w:name="vault_nd_e5f26759-682e-4b41-ae84-8a7c85a44f1a" w:val=" "/>
    <w:docVar w:name="vault_nd_e91357b6-9358-4447-b6e4-373c136628be" w:val=" "/>
    <w:docVar w:name="vault_nd_ec898cb7-2a14-46a7-8058-cb918637444d" w:val=" "/>
    <w:docVar w:name="vault_nd_ef2c8bec-e338-4629-81d4-0e4deada9579" w:val=" "/>
    <w:docVar w:name="vault_nd_f225ad70-6be0-4a42-908c-f5e3fdae4c83" w:val=" "/>
    <w:docVar w:name="vault_nd_f4015070-2616-4cbf-9b43-bd7937edf427" w:val=" "/>
    <w:docVar w:name="vault_nd_f44be093-14c9-420b-b118-608252271f8c" w:val=" "/>
    <w:docVar w:name="vault_nd_f47420da-2060-468d-9c38-449cb27b70ca" w:val=" "/>
    <w:docVar w:name="vault_nd_f57cda1b-d698-4557-a94c-7bb487562a5c" w:val=" "/>
    <w:docVar w:name="vault_nd_f6a4841f-db72-49f1-b9f8-0cb4d810a086" w:val=" "/>
    <w:docVar w:name="vault_nd_f8b38e9c-d177-4db5-b264-e628a2c1c683" w:val=" "/>
    <w:docVar w:name="vault_nd_ff7bb3be-70ff-4662-82e1-61b924b847da" w:val=" "/>
  </w:docVars>
  <w:rsids>
    <w:rsidRoot w:val="00346EC2"/>
    <w:rsid w:val="000120CD"/>
    <w:rsid w:val="00031328"/>
    <w:rsid w:val="000467B4"/>
    <w:rsid w:val="00047571"/>
    <w:rsid w:val="00061912"/>
    <w:rsid w:val="00062F26"/>
    <w:rsid w:val="00071B0E"/>
    <w:rsid w:val="00077844"/>
    <w:rsid w:val="00092D31"/>
    <w:rsid w:val="00094B81"/>
    <w:rsid w:val="000975AA"/>
    <w:rsid w:val="00097F1E"/>
    <w:rsid w:val="000A0DA2"/>
    <w:rsid w:val="000A4107"/>
    <w:rsid w:val="000B264B"/>
    <w:rsid w:val="000C7986"/>
    <w:rsid w:val="000D0EF2"/>
    <w:rsid w:val="000D7934"/>
    <w:rsid w:val="000D7E8C"/>
    <w:rsid w:val="000F16B6"/>
    <w:rsid w:val="00101FB1"/>
    <w:rsid w:val="001030F9"/>
    <w:rsid w:val="001067F2"/>
    <w:rsid w:val="001218BD"/>
    <w:rsid w:val="0012405E"/>
    <w:rsid w:val="0012473C"/>
    <w:rsid w:val="00126D45"/>
    <w:rsid w:val="0013132F"/>
    <w:rsid w:val="0013528C"/>
    <w:rsid w:val="00135825"/>
    <w:rsid w:val="001450EA"/>
    <w:rsid w:val="00160452"/>
    <w:rsid w:val="00165362"/>
    <w:rsid w:val="00165D28"/>
    <w:rsid w:val="00175CD8"/>
    <w:rsid w:val="00184237"/>
    <w:rsid w:val="001848D0"/>
    <w:rsid w:val="001A46BE"/>
    <w:rsid w:val="001B5D20"/>
    <w:rsid w:val="001C1C2E"/>
    <w:rsid w:val="001C60F7"/>
    <w:rsid w:val="001D0AAA"/>
    <w:rsid w:val="001E1266"/>
    <w:rsid w:val="001F42F2"/>
    <w:rsid w:val="001F7877"/>
    <w:rsid w:val="0020369B"/>
    <w:rsid w:val="00213FD5"/>
    <w:rsid w:val="00226F39"/>
    <w:rsid w:val="002276B2"/>
    <w:rsid w:val="00241B60"/>
    <w:rsid w:val="002523A3"/>
    <w:rsid w:val="00252978"/>
    <w:rsid w:val="00254A11"/>
    <w:rsid w:val="00270AED"/>
    <w:rsid w:val="00287D38"/>
    <w:rsid w:val="00292436"/>
    <w:rsid w:val="002A5033"/>
    <w:rsid w:val="002A7205"/>
    <w:rsid w:val="002A79D2"/>
    <w:rsid w:val="002B22AA"/>
    <w:rsid w:val="002C5E29"/>
    <w:rsid w:val="002D4223"/>
    <w:rsid w:val="002D7127"/>
    <w:rsid w:val="002F0BBC"/>
    <w:rsid w:val="003008D8"/>
    <w:rsid w:val="00303959"/>
    <w:rsid w:val="00312AC3"/>
    <w:rsid w:val="00314430"/>
    <w:rsid w:val="00324B33"/>
    <w:rsid w:val="00346EC2"/>
    <w:rsid w:val="0035165B"/>
    <w:rsid w:val="0035444D"/>
    <w:rsid w:val="003624FA"/>
    <w:rsid w:val="003646C4"/>
    <w:rsid w:val="003650C4"/>
    <w:rsid w:val="0037422B"/>
    <w:rsid w:val="003851D1"/>
    <w:rsid w:val="00395088"/>
    <w:rsid w:val="00395140"/>
    <w:rsid w:val="003B149C"/>
    <w:rsid w:val="003C0B9D"/>
    <w:rsid w:val="003D6F52"/>
    <w:rsid w:val="003D71A1"/>
    <w:rsid w:val="003E101B"/>
    <w:rsid w:val="003E5CDD"/>
    <w:rsid w:val="004053FB"/>
    <w:rsid w:val="00414677"/>
    <w:rsid w:val="00415E5A"/>
    <w:rsid w:val="0041688F"/>
    <w:rsid w:val="0042376F"/>
    <w:rsid w:val="004246B8"/>
    <w:rsid w:val="00433318"/>
    <w:rsid w:val="00446B45"/>
    <w:rsid w:val="00452860"/>
    <w:rsid w:val="00452F37"/>
    <w:rsid w:val="00461A87"/>
    <w:rsid w:val="00473A89"/>
    <w:rsid w:val="00477C4E"/>
    <w:rsid w:val="00480CB6"/>
    <w:rsid w:val="0048603E"/>
    <w:rsid w:val="00491A55"/>
    <w:rsid w:val="004B13F6"/>
    <w:rsid w:val="004B3081"/>
    <w:rsid w:val="004C0465"/>
    <w:rsid w:val="004D2658"/>
    <w:rsid w:val="004E6709"/>
    <w:rsid w:val="004E7B2A"/>
    <w:rsid w:val="005010D5"/>
    <w:rsid w:val="00501234"/>
    <w:rsid w:val="00505297"/>
    <w:rsid w:val="00520CBC"/>
    <w:rsid w:val="00522401"/>
    <w:rsid w:val="005355DA"/>
    <w:rsid w:val="00535DFE"/>
    <w:rsid w:val="005404BB"/>
    <w:rsid w:val="00546A48"/>
    <w:rsid w:val="0055450C"/>
    <w:rsid w:val="00554F37"/>
    <w:rsid w:val="00555DEB"/>
    <w:rsid w:val="00556008"/>
    <w:rsid w:val="00562F42"/>
    <w:rsid w:val="0056766D"/>
    <w:rsid w:val="005715BC"/>
    <w:rsid w:val="005723AF"/>
    <w:rsid w:val="005725C7"/>
    <w:rsid w:val="00572F9F"/>
    <w:rsid w:val="0058575E"/>
    <w:rsid w:val="005871D8"/>
    <w:rsid w:val="0058783C"/>
    <w:rsid w:val="005911AE"/>
    <w:rsid w:val="00592A8E"/>
    <w:rsid w:val="0059313A"/>
    <w:rsid w:val="00596383"/>
    <w:rsid w:val="00597592"/>
    <w:rsid w:val="005B023F"/>
    <w:rsid w:val="005C3A53"/>
    <w:rsid w:val="005C5A1A"/>
    <w:rsid w:val="005D2089"/>
    <w:rsid w:val="005D7514"/>
    <w:rsid w:val="005E15AE"/>
    <w:rsid w:val="005E1A7B"/>
    <w:rsid w:val="005E5710"/>
    <w:rsid w:val="005F0115"/>
    <w:rsid w:val="005F029E"/>
    <w:rsid w:val="005F302A"/>
    <w:rsid w:val="005F7D7E"/>
    <w:rsid w:val="006034F5"/>
    <w:rsid w:val="00606AFE"/>
    <w:rsid w:val="0062135C"/>
    <w:rsid w:val="006277A1"/>
    <w:rsid w:val="006351D9"/>
    <w:rsid w:val="00637130"/>
    <w:rsid w:val="00637F0E"/>
    <w:rsid w:val="006414DF"/>
    <w:rsid w:val="006423F2"/>
    <w:rsid w:val="00661D0D"/>
    <w:rsid w:val="006761DD"/>
    <w:rsid w:val="00676791"/>
    <w:rsid w:val="006929CE"/>
    <w:rsid w:val="00692CCD"/>
    <w:rsid w:val="006A1F0B"/>
    <w:rsid w:val="006A277A"/>
    <w:rsid w:val="006A3279"/>
    <w:rsid w:val="006B7324"/>
    <w:rsid w:val="006D6B44"/>
    <w:rsid w:val="007070DA"/>
    <w:rsid w:val="007072A1"/>
    <w:rsid w:val="00710BC5"/>
    <w:rsid w:val="0071215E"/>
    <w:rsid w:val="00715A54"/>
    <w:rsid w:val="0072003B"/>
    <w:rsid w:val="007357B9"/>
    <w:rsid w:val="007413D7"/>
    <w:rsid w:val="007452E8"/>
    <w:rsid w:val="00746990"/>
    <w:rsid w:val="00750D70"/>
    <w:rsid w:val="007513CA"/>
    <w:rsid w:val="00770615"/>
    <w:rsid w:val="00771CB5"/>
    <w:rsid w:val="007801E0"/>
    <w:rsid w:val="0078639B"/>
    <w:rsid w:val="00793272"/>
    <w:rsid w:val="007958F8"/>
    <w:rsid w:val="007A11FC"/>
    <w:rsid w:val="007B04DE"/>
    <w:rsid w:val="007C57BC"/>
    <w:rsid w:val="007D10BE"/>
    <w:rsid w:val="007D4138"/>
    <w:rsid w:val="007D4ED3"/>
    <w:rsid w:val="007D5C2A"/>
    <w:rsid w:val="007D7228"/>
    <w:rsid w:val="007E080D"/>
    <w:rsid w:val="007E10EF"/>
    <w:rsid w:val="007E2E21"/>
    <w:rsid w:val="007E33AD"/>
    <w:rsid w:val="007F0A77"/>
    <w:rsid w:val="007F50D3"/>
    <w:rsid w:val="008032EA"/>
    <w:rsid w:val="00805F08"/>
    <w:rsid w:val="00814A17"/>
    <w:rsid w:val="0082785E"/>
    <w:rsid w:val="008329DB"/>
    <w:rsid w:val="008361C5"/>
    <w:rsid w:val="0083628F"/>
    <w:rsid w:val="00837AB9"/>
    <w:rsid w:val="00846169"/>
    <w:rsid w:val="00850637"/>
    <w:rsid w:val="00850D53"/>
    <w:rsid w:val="00854D98"/>
    <w:rsid w:val="00860B29"/>
    <w:rsid w:val="008804CF"/>
    <w:rsid w:val="008964B3"/>
    <w:rsid w:val="008C24F6"/>
    <w:rsid w:val="008C27B2"/>
    <w:rsid w:val="008C49C6"/>
    <w:rsid w:val="008C4ECA"/>
    <w:rsid w:val="008C754C"/>
    <w:rsid w:val="008D6A54"/>
    <w:rsid w:val="008F3E34"/>
    <w:rsid w:val="008F5D7F"/>
    <w:rsid w:val="00900678"/>
    <w:rsid w:val="00904E7F"/>
    <w:rsid w:val="0090605E"/>
    <w:rsid w:val="009108CE"/>
    <w:rsid w:val="009134B3"/>
    <w:rsid w:val="00915A9F"/>
    <w:rsid w:val="009267AB"/>
    <w:rsid w:val="00930D58"/>
    <w:rsid w:val="00943C76"/>
    <w:rsid w:val="00944CA7"/>
    <w:rsid w:val="00951B4B"/>
    <w:rsid w:val="00955471"/>
    <w:rsid w:val="00964FA5"/>
    <w:rsid w:val="00966EF1"/>
    <w:rsid w:val="00981711"/>
    <w:rsid w:val="0098350E"/>
    <w:rsid w:val="00993800"/>
    <w:rsid w:val="00996FA5"/>
    <w:rsid w:val="009A3279"/>
    <w:rsid w:val="009A4B05"/>
    <w:rsid w:val="009A6018"/>
    <w:rsid w:val="009C0EE9"/>
    <w:rsid w:val="009D32DA"/>
    <w:rsid w:val="009E6F8C"/>
    <w:rsid w:val="00A01172"/>
    <w:rsid w:val="00A01C56"/>
    <w:rsid w:val="00A10A80"/>
    <w:rsid w:val="00A200C4"/>
    <w:rsid w:val="00A213DE"/>
    <w:rsid w:val="00A32B5D"/>
    <w:rsid w:val="00A358E7"/>
    <w:rsid w:val="00A3617F"/>
    <w:rsid w:val="00A42351"/>
    <w:rsid w:val="00A42573"/>
    <w:rsid w:val="00A43853"/>
    <w:rsid w:val="00A51A2D"/>
    <w:rsid w:val="00A526A8"/>
    <w:rsid w:val="00A52E89"/>
    <w:rsid w:val="00A55E50"/>
    <w:rsid w:val="00A57FBC"/>
    <w:rsid w:val="00A63D9B"/>
    <w:rsid w:val="00A835ED"/>
    <w:rsid w:val="00A8745F"/>
    <w:rsid w:val="00A90858"/>
    <w:rsid w:val="00A93DC6"/>
    <w:rsid w:val="00AB7CBF"/>
    <w:rsid w:val="00AC6927"/>
    <w:rsid w:val="00AE1947"/>
    <w:rsid w:val="00B0118C"/>
    <w:rsid w:val="00B11549"/>
    <w:rsid w:val="00B46BC0"/>
    <w:rsid w:val="00B5028A"/>
    <w:rsid w:val="00B55681"/>
    <w:rsid w:val="00B61382"/>
    <w:rsid w:val="00B61BD6"/>
    <w:rsid w:val="00B64B6E"/>
    <w:rsid w:val="00B75D9B"/>
    <w:rsid w:val="00B912AF"/>
    <w:rsid w:val="00B967FF"/>
    <w:rsid w:val="00B968BE"/>
    <w:rsid w:val="00BA7F7D"/>
    <w:rsid w:val="00BB1C14"/>
    <w:rsid w:val="00BB66E0"/>
    <w:rsid w:val="00BC22ED"/>
    <w:rsid w:val="00BC30AA"/>
    <w:rsid w:val="00BC34CE"/>
    <w:rsid w:val="00BD07DF"/>
    <w:rsid w:val="00BD5DBD"/>
    <w:rsid w:val="00BF4638"/>
    <w:rsid w:val="00BF748C"/>
    <w:rsid w:val="00C07551"/>
    <w:rsid w:val="00C11AF4"/>
    <w:rsid w:val="00C17171"/>
    <w:rsid w:val="00C22214"/>
    <w:rsid w:val="00C407AB"/>
    <w:rsid w:val="00C42C2F"/>
    <w:rsid w:val="00C570FF"/>
    <w:rsid w:val="00C60464"/>
    <w:rsid w:val="00C6574E"/>
    <w:rsid w:val="00C65FD3"/>
    <w:rsid w:val="00C754FF"/>
    <w:rsid w:val="00C816C6"/>
    <w:rsid w:val="00CA1306"/>
    <w:rsid w:val="00CB0550"/>
    <w:rsid w:val="00CB13B3"/>
    <w:rsid w:val="00CB441A"/>
    <w:rsid w:val="00CC0F0F"/>
    <w:rsid w:val="00CD216B"/>
    <w:rsid w:val="00CD621F"/>
    <w:rsid w:val="00CF6BF1"/>
    <w:rsid w:val="00D01DDB"/>
    <w:rsid w:val="00D07148"/>
    <w:rsid w:val="00D078BE"/>
    <w:rsid w:val="00D13F8A"/>
    <w:rsid w:val="00D16F82"/>
    <w:rsid w:val="00D22ED3"/>
    <w:rsid w:val="00D267BC"/>
    <w:rsid w:val="00D26E9E"/>
    <w:rsid w:val="00D27341"/>
    <w:rsid w:val="00D62877"/>
    <w:rsid w:val="00D63760"/>
    <w:rsid w:val="00D918D5"/>
    <w:rsid w:val="00D936A0"/>
    <w:rsid w:val="00D94ACC"/>
    <w:rsid w:val="00D94C8E"/>
    <w:rsid w:val="00DB192C"/>
    <w:rsid w:val="00DB1CF3"/>
    <w:rsid w:val="00DC1A6D"/>
    <w:rsid w:val="00DC3415"/>
    <w:rsid w:val="00DD1666"/>
    <w:rsid w:val="00DE468F"/>
    <w:rsid w:val="00DF5BFE"/>
    <w:rsid w:val="00E2254F"/>
    <w:rsid w:val="00E47E0C"/>
    <w:rsid w:val="00E51813"/>
    <w:rsid w:val="00E53D3F"/>
    <w:rsid w:val="00E5579B"/>
    <w:rsid w:val="00E57F15"/>
    <w:rsid w:val="00EB5877"/>
    <w:rsid w:val="00EC018E"/>
    <w:rsid w:val="00ED4002"/>
    <w:rsid w:val="00EF7A1E"/>
    <w:rsid w:val="00F02AEC"/>
    <w:rsid w:val="00F157FC"/>
    <w:rsid w:val="00F17A46"/>
    <w:rsid w:val="00F30AF3"/>
    <w:rsid w:val="00F33C46"/>
    <w:rsid w:val="00F44F4D"/>
    <w:rsid w:val="00F559A9"/>
    <w:rsid w:val="00F657B4"/>
    <w:rsid w:val="00F67513"/>
    <w:rsid w:val="00F865A7"/>
    <w:rsid w:val="00F947B1"/>
    <w:rsid w:val="00FA0754"/>
    <w:rsid w:val="00FA1BC9"/>
    <w:rsid w:val="00FA49C3"/>
    <w:rsid w:val="00FA5A87"/>
    <w:rsid w:val="00FB236E"/>
    <w:rsid w:val="00FB32A5"/>
    <w:rsid w:val="00FC6F56"/>
    <w:rsid w:val="00FD59D4"/>
    <w:rsid w:val="00FD7100"/>
    <w:rsid w:val="00FE0301"/>
    <w:rsid w:val="00FE087C"/>
    <w:rsid w:val="00FE22A0"/>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4C024"/>
  <w15:chartTrackingRefBased/>
  <w15:docId w15:val="{D92D2DE6-0EAB-4F4D-A47A-565368002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126D4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404B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A3617F"/>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A3617F"/>
    <w:pPr>
      <w:keepNext w:val="0"/>
    </w:pPr>
    <w:rPr>
      <w:b w:val="0"/>
      <w:sz w:val="19"/>
    </w:rPr>
  </w:style>
  <w:style w:type="paragraph" w:styleId="EndnoteText">
    <w:name w:val="endnote text"/>
    <w:basedOn w:val="Normal"/>
    <w:link w:val="EndnoteTextChar"/>
    <w:uiPriority w:val="99"/>
    <w:rsid w:val="00A42573"/>
    <w:pPr>
      <w:spacing w:after="0" w:line="240" w:lineRule="auto"/>
      <w:ind w:left="170" w:hanging="170"/>
    </w:pPr>
    <w:rPr>
      <w:rFonts w:eastAsia="Cambria" w:cs="Times New Roman"/>
      <w:sz w:val="20"/>
    </w:rPr>
  </w:style>
  <w:style w:type="character" w:customStyle="1" w:styleId="EndnoteTextChar">
    <w:name w:val="Endnote Text Char"/>
    <w:basedOn w:val="DefaultParagraphFont"/>
    <w:link w:val="EndnoteText"/>
    <w:uiPriority w:val="99"/>
    <w:rsid w:val="00A42573"/>
    <w:rPr>
      <w:rFonts w:ascii="Cambria" w:eastAsia="Cambria" w:hAnsi="Cambria" w:cs="Times New Roman"/>
    </w:rPr>
  </w:style>
  <w:style w:type="character" w:styleId="EndnoteReference">
    <w:name w:val="endnote reference"/>
    <w:basedOn w:val="DefaultParagraphFont"/>
    <w:uiPriority w:val="99"/>
    <w:unhideWhenUsed/>
    <w:rsid w:val="00A42573"/>
    <w:rPr>
      <w:vertAlign w:val="superscript"/>
    </w:rPr>
  </w:style>
  <w:style w:type="paragraph" w:styleId="ListParagraph">
    <w:name w:val="List Paragraph"/>
    <w:basedOn w:val="Normal"/>
    <w:uiPriority w:val="34"/>
    <w:qFormat/>
    <w:rsid w:val="00B11549"/>
    <w:pPr>
      <w:spacing w:after="160"/>
      <w:ind w:left="720"/>
      <w:contextualSpacing/>
    </w:pPr>
    <w:rPr>
      <w:rFonts w:asciiTheme="minorHAnsi" w:hAnsiTheme="minorHAnsi"/>
      <w:szCs w:val="22"/>
    </w:rPr>
  </w:style>
  <w:style w:type="paragraph" w:customStyle="1" w:styleId="TableCaption">
    <w:name w:val="Table Caption"/>
    <w:basedOn w:val="Normal"/>
    <w:qFormat/>
    <w:rsid w:val="00A526A8"/>
    <w:pPr>
      <w:adjustRightInd w:val="0"/>
      <w:snapToGrid w:val="0"/>
      <w:spacing w:before="180" w:after="240" w:line="240" w:lineRule="atLeast"/>
    </w:pPr>
    <w:rPr>
      <w:rFonts w:eastAsia="MS Mincho" w:cs="Times New Roman"/>
      <w:sz w:val="17"/>
      <w:lang w:eastAsia="ja-JP"/>
    </w:rPr>
  </w:style>
  <w:style w:type="paragraph" w:customStyle="1" w:styleId="Bulletpoint">
    <w:name w:val="Bullet point"/>
    <w:basedOn w:val="Normal"/>
    <w:rsid w:val="008C27B2"/>
    <w:pPr>
      <w:numPr>
        <w:numId w:val="13"/>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Heading7Char">
    <w:name w:val="Heading 7 Char"/>
    <w:basedOn w:val="DefaultParagraphFont"/>
    <w:link w:val="Heading7"/>
    <w:uiPriority w:val="9"/>
    <w:rsid w:val="00126D45"/>
    <w:rPr>
      <w:rFonts w:asciiTheme="majorHAnsi" w:eastAsiaTheme="majorEastAsia" w:hAnsiTheme="majorHAnsi" w:cstheme="majorBidi"/>
      <w:i/>
      <w:iCs/>
      <w:color w:val="1F3763" w:themeColor="accent1" w:themeShade="7F"/>
      <w:sz w:val="22"/>
    </w:rPr>
  </w:style>
  <w:style w:type="table" w:styleId="TableGridLight">
    <w:name w:val="Grid Table Light"/>
    <w:basedOn w:val="TableNormal"/>
    <w:uiPriority w:val="40"/>
    <w:rsid w:val="00061912"/>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Quotation">
    <w:name w:val="Quotation"/>
    <w:basedOn w:val="Normal"/>
    <w:next w:val="Normal"/>
    <w:uiPriority w:val="4"/>
    <w:qFormat/>
    <w:rsid w:val="00061912"/>
    <w:pPr>
      <w:spacing w:before="120" w:after="180" w:line="240" w:lineRule="atLeast"/>
      <w:ind w:left="425"/>
    </w:pPr>
    <w:rPr>
      <w:rFonts w:eastAsiaTheme="minorEastAsia"/>
      <w:sz w:val="20"/>
      <w:szCs w:val="22"/>
      <w:lang w:eastAsia="zh-TW"/>
    </w:rPr>
  </w:style>
  <w:style w:type="character" w:customStyle="1" w:styleId="Heading8Char">
    <w:name w:val="Heading 8 Char"/>
    <w:basedOn w:val="DefaultParagraphFont"/>
    <w:link w:val="Heading8"/>
    <w:uiPriority w:val="9"/>
    <w:rsid w:val="005404BB"/>
    <w:rPr>
      <w:rFonts w:asciiTheme="majorHAnsi" w:eastAsiaTheme="majorEastAsia" w:hAnsiTheme="majorHAnsi" w:cstheme="majorBidi"/>
      <w:color w:val="272727" w:themeColor="text1" w:themeTint="D8"/>
      <w:sz w:val="21"/>
      <w:szCs w:val="21"/>
    </w:rPr>
  </w:style>
  <w:style w:type="paragraph" w:customStyle="1" w:styleId="Comment1">
    <w:name w:val="Comment 1"/>
    <w:basedOn w:val="Normal"/>
    <w:next w:val="Normal"/>
    <w:qFormat/>
    <w:rsid w:val="002276B2"/>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134" w:hanging="1134"/>
    </w:pPr>
    <w:rPr>
      <w:rFonts w:ascii="Nirmala UI Semilight" w:eastAsia="Times New Roman" w:hAnsi="Nirmala UI Semilight" w:cs="Arial"/>
      <w:kern w:val="16"/>
      <w:lang w:eastAsia="en-AU"/>
    </w:rPr>
  </w:style>
  <w:style w:type="paragraph" w:customStyle="1" w:styleId="Default">
    <w:name w:val="Default"/>
    <w:rsid w:val="00904E7F"/>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2523A3"/>
    <w:pPr>
      <w:numPr>
        <w:numId w:val="34"/>
      </w:numPr>
      <w:spacing w:after="180" w:line="252" w:lineRule="auto"/>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2523A3"/>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2523A3"/>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2523A3"/>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2523A3"/>
    <w:pPr>
      <w:spacing w:before="20" w:after="20"/>
    </w:pPr>
  </w:style>
  <w:style w:type="character" w:customStyle="1" w:styleId="TabletextChar">
    <w:name w:val="Table text Char"/>
    <w:basedOn w:val="StandardChar"/>
    <w:link w:val="Tabletext0"/>
    <w:rsid w:val="002523A3"/>
    <w:rPr>
      <w:rFonts w:ascii="Cambria" w:eastAsia="Times New Roman" w:hAnsi="Cambria" w:cs="Times New Roman"/>
      <w:snapToGrid w:val="0"/>
      <w:kern w:val="16"/>
      <w:sz w:val="2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2671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9.png"/><Relationship Id="rId39" Type="http://schemas.openxmlformats.org/officeDocument/2006/relationships/hyperlink" Target="http://www.tga.gov.au/ws-labs-inde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s://www.tga.gov.au/products/australian-register-therapeutic-goods-artg/product-information-one" TargetMode="External"/><Relationship Id="rId47" Type="http://schemas.openxmlformats.org/officeDocument/2006/relationships/hyperlink" Target="mailto:info@tga.gov.au" TargetMode="External"/><Relationship Id="rId50"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tga.gov.au/committee/advisory-committee-medicines-acm"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hyperlink" Target="https://www.tga.gov.au/products/australian-register-therapeutic-goods-artg/product-information-o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hyperlink" Target="http://www.tga.gov.au/industry/pm-argpm-guidance-7.htm"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publication/publications/priority-registration-process"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www.tga.gov.au/picmi-search-facilit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australia-canada-singapore-switzerland-united-kingdom-access-consortiu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tga.gov.au/products/australian-register-therapeutic-goods-artg/consumer-medicines-information-cmi" TargetMode="External"/><Relationship Id="rId48"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fda.gov/regulatory-information/search-fda-guidance-documents/human-gene-therapy-hemophilia" TargetMode="External"/><Relationship Id="rId1" Type="http://schemas.openxmlformats.org/officeDocument/2006/relationships/hyperlink" Target="https://www.ebs.tga.gov.au/ebs/picmi/picmirepository.nsf/pdf?OpenAgent&amp;id=CP-2013-PI-01744-1"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bfd61fac-c190-4a8b-81f4-e25d6767e775">
      <UserInfo>
        <DisplayName>OJBR (Jonas Brinckmeyer)</DisplayName>
        <AccountId>732</AccountId>
        <AccountType/>
      </UserInfo>
      <UserInfo>
        <DisplayName>REBF (Renée Brown Frandsen)</DisplayName>
        <AccountId>1856</AccountId>
        <AccountType/>
      </UserInfo>
      <UserInfo>
        <DisplayName>HNQR (Hanne Nørgaard)</DisplayName>
        <AccountId>1965</AccountId>
        <AccountType/>
      </UserInfo>
      <UserInfo>
        <DisplayName>EWCN (Ellen Chan)</DisplayName>
        <AccountId>1249</AccountId>
        <AccountType/>
      </UserInfo>
      <UserInfo>
        <DisplayName>QAKB (Anna Karina Busch)</DisplayName>
        <AccountId>1477</AccountId>
        <AccountType/>
      </UserInfo>
      <UserInfo>
        <DisplayName>LPMQ (Lasse Post Møller)</DisplayName>
        <AccountId>1585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1C9D961F2B2B4FBB76AB9E7ECF9005" ma:contentTypeVersion="10" ma:contentTypeDescription="Create a new document." ma:contentTypeScope="" ma:versionID="f3c3a71d18e0de02a50749d2ecc8bb25">
  <xsd:schema xmlns:xsd="http://www.w3.org/2001/XMLSchema" xmlns:xs="http://www.w3.org/2001/XMLSchema" xmlns:p="http://schemas.microsoft.com/office/2006/metadata/properties" xmlns:ns1="http://schemas.microsoft.com/sharepoint/v3" xmlns:ns2="bfd61fac-c190-4a8b-81f4-e25d6767e775" xmlns:ns3="58bc51e9-82f7-4a33-a2b2-3395e6e73634" targetNamespace="http://schemas.microsoft.com/office/2006/metadata/properties" ma:root="true" ma:fieldsID="9cdce46108c4fca5c0157ca45bcc7b7b" ns1:_="" ns2:_="" ns3:_="">
    <xsd:import namespace="http://schemas.microsoft.com/sharepoint/v3"/>
    <xsd:import namespace="bfd61fac-c190-4a8b-81f4-e25d6767e775"/>
    <xsd:import namespace="58bc51e9-82f7-4a33-a2b2-3395e6e7363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61fac-c190-4a8b-81f4-e25d6767e77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bc51e9-82f7-4a33-a2b2-3395e6e7363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2.xml><?xml version="1.0" encoding="utf-8"?>
<ds:datastoreItem xmlns:ds="http://schemas.openxmlformats.org/officeDocument/2006/customXml" ds:itemID="{4425546E-38D5-4FF6-9DFE-71790753550F}">
  <ds:schemaRefs>
    <ds:schemaRef ds:uri="http://schemas.microsoft.com/sharepoint/v3/contenttype/forms"/>
  </ds:schemaRefs>
</ds:datastoreItem>
</file>

<file path=customXml/itemProps3.xml><?xml version="1.0" encoding="utf-8"?>
<ds:datastoreItem xmlns:ds="http://schemas.openxmlformats.org/officeDocument/2006/customXml" ds:itemID="{4F58EEB7-386C-4725-BDEE-A9CFA3D76E68}">
  <ds:schemaRefs>
    <ds:schemaRef ds:uri="http://schemas.microsoft.com/office/2006/metadata/properties"/>
    <ds:schemaRef ds:uri="http://schemas.microsoft.com/office/infopath/2007/PartnerControls"/>
    <ds:schemaRef ds:uri="http://schemas.microsoft.com/sharepoint/v3"/>
    <ds:schemaRef ds:uri="bfd61fac-c190-4a8b-81f4-e25d6767e775"/>
  </ds:schemaRefs>
</ds:datastoreItem>
</file>

<file path=customXml/itemProps4.xml><?xml version="1.0" encoding="utf-8"?>
<ds:datastoreItem xmlns:ds="http://schemas.openxmlformats.org/officeDocument/2006/customXml" ds:itemID="{0DA4D0E2-0FA8-405C-8553-74791635C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d61fac-c190-4a8b-81f4-e25d6767e775"/>
    <ds:schemaRef ds:uri="58bc51e9-82f7-4a33-a2b2-3395e6e736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63</Pages>
  <Words>23435</Words>
  <Characters>143659</Characters>
  <Application>Microsoft Office Word</Application>
  <DocSecurity>0</DocSecurity>
  <Lines>1197</Lines>
  <Paragraphs>333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166761</CharactersWithSpaces>
  <SharedDoc>false</SharedDoc>
  <HLinks>
    <vt:vector size="300" baseType="variant">
      <vt:variant>
        <vt:i4>3473445</vt:i4>
      </vt:variant>
      <vt:variant>
        <vt:i4>930</vt:i4>
      </vt:variant>
      <vt:variant>
        <vt:i4>0</vt:i4>
      </vt:variant>
      <vt:variant>
        <vt:i4>5</vt:i4>
      </vt:variant>
      <vt:variant>
        <vt:lpwstr>https://www.tga.gov.au/</vt:lpwstr>
      </vt:variant>
      <vt:variant>
        <vt:lpwstr/>
      </vt:variant>
      <vt:variant>
        <vt:i4>5242926</vt:i4>
      </vt:variant>
      <vt:variant>
        <vt:i4>927</vt:i4>
      </vt:variant>
      <vt:variant>
        <vt:i4>0</vt:i4>
      </vt:variant>
      <vt:variant>
        <vt:i4>5</vt:i4>
      </vt:variant>
      <vt:variant>
        <vt:lpwstr>mailto:info@tga.gov.au</vt:lpwstr>
      </vt:variant>
      <vt:variant>
        <vt:lpwstr/>
      </vt:variant>
      <vt:variant>
        <vt:i4>720961</vt:i4>
      </vt:variant>
      <vt:variant>
        <vt:i4>924</vt:i4>
      </vt:variant>
      <vt:variant>
        <vt:i4>0</vt:i4>
      </vt:variant>
      <vt:variant>
        <vt:i4>5</vt:i4>
      </vt:variant>
      <vt:variant>
        <vt:lpwstr>https://www.tga.gov.au/picmi-search-facility</vt:lpwstr>
      </vt:variant>
      <vt:variant>
        <vt:lpwstr/>
      </vt:variant>
      <vt:variant>
        <vt:i4>983049</vt:i4>
      </vt:variant>
      <vt:variant>
        <vt:i4>921</vt:i4>
      </vt:variant>
      <vt:variant>
        <vt:i4>0</vt:i4>
      </vt:variant>
      <vt:variant>
        <vt:i4>5</vt:i4>
      </vt:variant>
      <vt:variant>
        <vt:lpwstr>https://www.tga.gov.au/products/australian-register-therapeutic-goods-artg/consumer-medicines-information-cmi</vt:lpwstr>
      </vt:variant>
      <vt:variant>
        <vt:lpwstr/>
      </vt:variant>
      <vt:variant>
        <vt:i4>2752617</vt:i4>
      </vt:variant>
      <vt:variant>
        <vt:i4>918</vt:i4>
      </vt:variant>
      <vt:variant>
        <vt:i4>0</vt:i4>
      </vt:variant>
      <vt:variant>
        <vt:i4>5</vt:i4>
      </vt:variant>
      <vt:variant>
        <vt:lpwstr>https://www.tga.gov.au/products/australian-register-therapeutic-goods-artg/product-information-one</vt:lpwstr>
      </vt:variant>
      <vt:variant>
        <vt:lpwstr/>
      </vt:variant>
      <vt:variant>
        <vt:i4>2752617</vt:i4>
      </vt:variant>
      <vt:variant>
        <vt:i4>915</vt:i4>
      </vt:variant>
      <vt:variant>
        <vt:i4>0</vt:i4>
      </vt:variant>
      <vt:variant>
        <vt:i4>5</vt:i4>
      </vt:variant>
      <vt:variant>
        <vt:lpwstr>https://www.tga.gov.au/products/australian-register-therapeutic-goods-artg/product-information-one</vt:lpwstr>
      </vt:variant>
      <vt:variant>
        <vt:lpwstr/>
      </vt:variant>
      <vt:variant>
        <vt:i4>2949235</vt:i4>
      </vt:variant>
      <vt:variant>
        <vt:i4>909</vt:i4>
      </vt:variant>
      <vt:variant>
        <vt:i4>0</vt:i4>
      </vt:variant>
      <vt:variant>
        <vt:i4>5</vt:i4>
      </vt:variant>
      <vt:variant>
        <vt:lpwstr>http://www.tga.gov.au/industry/pm-argpm-guidance-7.htm</vt:lpwstr>
      </vt:variant>
      <vt:variant>
        <vt:lpwstr/>
      </vt:variant>
      <vt:variant>
        <vt:i4>3801192</vt:i4>
      </vt:variant>
      <vt:variant>
        <vt:i4>906</vt:i4>
      </vt:variant>
      <vt:variant>
        <vt:i4>0</vt:i4>
      </vt:variant>
      <vt:variant>
        <vt:i4>5</vt:i4>
      </vt:variant>
      <vt:variant>
        <vt:lpwstr>http://www.tga.gov.au/ws-labs-index</vt:lpwstr>
      </vt:variant>
      <vt:variant>
        <vt:lpwstr/>
      </vt:variant>
      <vt:variant>
        <vt:i4>524365</vt:i4>
      </vt:variant>
      <vt:variant>
        <vt:i4>891</vt:i4>
      </vt:variant>
      <vt:variant>
        <vt:i4>0</vt:i4>
      </vt:variant>
      <vt:variant>
        <vt:i4>5</vt:i4>
      </vt:variant>
      <vt:variant>
        <vt:lpwstr>https://www.tga.gov.au/committee/advisory-committee-medicines-acm</vt:lpwstr>
      </vt:variant>
      <vt:variant>
        <vt:lpwstr/>
      </vt:variant>
      <vt:variant>
        <vt:i4>983085</vt:i4>
      </vt:variant>
      <vt:variant>
        <vt:i4>564</vt:i4>
      </vt:variant>
      <vt:variant>
        <vt:i4>0</vt:i4>
      </vt:variant>
      <vt:variant>
        <vt:i4>5</vt:i4>
      </vt:variant>
      <vt:variant>
        <vt:lpwstr/>
      </vt:variant>
      <vt:variant>
        <vt:lpwstr>_Study_4322_(explorer6)</vt:lpwstr>
      </vt:variant>
      <vt:variant>
        <vt:i4>327698</vt:i4>
      </vt:variant>
      <vt:variant>
        <vt:i4>549</vt:i4>
      </vt:variant>
      <vt:variant>
        <vt:i4>0</vt:i4>
      </vt:variant>
      <vt:variant>
        <vt:i4>5</vt:i4>
      </vt:variant>
      <vt:variant>
        <vt:lpwstr/>
      </vt:variant>
      <vt:variant>
        <vt:lpwstr>_Statistical_methods</vt:lpwstr>
      </vt:variant>
      <vt:variant>
        <vt:i4>1835097</vt:i4>
      </vt:variant>
      <vt:variant>
        <vt:i4>321</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3145760</vt:i4>
      </vt:variant>
      <vt:variant>
        <vt:i4>315</vt:i4>
      </vt:variant>
      <vt:variant>
        <vt:i4>0</vt:i4>
      </vt:variant>
      <vt:variant>
        <vt:i4>5</vt:i4>
      </vt:variant>
      <vt:variant>
        <vt:lpwstr>https://www.tga.gov.au/australia-canada-singapore-switzerland-united-kingdom-access-consortium</vt:lpwstr>
      </vt:variant>
      <vt:variant>
        <vt:lpwstr/>
      </vt:variant>
      <vt:variant>
        <vt:i4>786511</vt:i4>
      </vt:variant>
      <vt:variant>
        <vt:i4>222</vt:i4>
      </vt:variant>
      <vt:variant>
        <vt:i4>0</vt:i4>
      </vt:variant>
      <vt:variant>
        <vt:i4>5</vt:i4>
      </vt:variant>
      <vt:variant>
        <vt:lpwstr>https://www.tga.gov.au/black-triangle-scheme</vt:lpwstr>
      </vt:variant>
      <vt:variant>
        <vt:lpwstr/>
      </vt:variant>
      <vt:variant>
        <vt:i4>1245242</vt:i4>
      </vt:variant>
      <vt:variant>
        <vt:i4>206</vt:i4>
      </vt:variant>
      <vt:variant>
        <vt:i4>0</vt:i4>
      </vt:variant>
      <vt:variant>
        <vt:i4>5</vt:i4>
      </vt:variant>
      <vt:variant>
        <vt:lpwstr/>
      </vt:variant>
      <vt:variant>
        <vt:lpwstr>_Toc159948601</vt:lpwstr>
      </vt:variant>
      <vt:variant>
        <vt:i4>1245242</vt:i4>
      </vt:variant>
      <vt:variant>
        <vt:i4>200</vt:i4>
      </vt:variant>
      <vt:variant>
        <vt:i4>0</vt:i4>
      </vt:variant>
      <vt:variant>
        <vt:i4>5</vt:i4>
      </vt:variant>
      <vt:variant>
        <vt:lpwstr/>
      </vt:variant>
      <vt:variant>
        <vt:lpwstr>_Toc159948600</vt:lpwstr>
      </vt:variant>
      <vt:variant>
        <vt:i4>1703993</vt:i4>
      </vt:variant>
      <vt:variant>
        <vt:i4>194</vt:i4>
      </vt:variant>
      <vt:variant>
        <vt:i4>0</vt:i4>
      </vt:variant>
      <vt:variant>
        <vt:i4>5</vt:i4>
      </vt:variant>
      <vt:variant>
        <vt:lpwstr/>
      </vt:variant>
      <vt:variant>
        <vt:lpwstr>_Toc159948599</vt:lpwstr>
      </vt:variant>
      <vt:variant>
        <vt:i4>1703993</vt:i4>
      </vt:variant>
      <vt:variant>
        <vt:i4>188</vt:i4>
      </vt:variant>
      <vt:variant>
        <vt:i4>0</vt:i4>
      </vt:variant>
      <vt:variant>
        <vt:i4>5</vt:i4>
      </vt:variant>
      <vt:variant>
        <vt:lpwstr/>
      </vt:variant>
      <vt:variant>
        <vt:lpwstr>_Toc159948598</vt:lpwstr>
      </vt:variant>
      <vt:variant>
        <vt:i4>1703993</vt:i4>
      </vt:variant>
      <vt:variant>
        <vt:i4>182</vt:i4>
      </vt:variant>
      <vt:variant>
        <vt:i4>0</vt:i4>
      </vt:variant>
      <vt:variant>
        <vt:i4>5</vt:i4>
      </vt:variant>
      <vt:variant>
        <vt:lpwstr/>
      </vt:variant>
      <vt:variant>
        <vt:lpwstr>_Toc159948597</vt:lpwstr>
      </vt:variant>
      <vt:variant>
        <vt:i4>1703993</vt:i4>
      </vt:variant>
      <vt:variant>
        <vt:i4>176</vt:i4>
      </vt:variant>
      <vt:variant>
        <vt:i4>0</vt:i4>
      </vt:variant>
      <vt:variant>
        <vt:i4>5</vt:i4>
      </vt:variant>
      <vt:variant>
        <vt:lpwstr/>
      </vt:variant>
      <vt:variant>
        <vt:lpwstr>_Toc159948596</vt:lpwstr>
      </vt:variant>
      <vt:variant>
        <vt:i4>1703993</vt:i4>
      </vt:variant>
      <vt:variant>
        <vt:i4>170</vt:i4>
      </vt:variant>
      <vt:variant>
        <vt:i4>0</vt:i4>
      </vt:variant>
      <vt:variant>
        <vt:i4>5</vt:i4>
      </vt:variant>
      <vt:variant>
        <vt:lpwstr/>
      </vt:variant>
      <vt:variant>
        <vt:lpwstr>_Toc159948595</vt:lpwstr>
      </vt:variant>
      <vt:variant>
        <vt:i4>1703993</vt:i4>
      </vt:variant>
      <vt:variant>
        <vt:i4>164</vt:i4>
      </vt:variant>
      <vt:variant>
        <vt:i4>0</vt:i4>
      </vt:variant>
      <vt:variant>
        <vt:i4>5</vt:i4>
      </vt:variant>
      <vt:variant>
        <vt:lpwstr/>
      </vt:variant>
      <vt:variant>
        <vt:lpwstr>_Toc159948594</vt:lpwstr>
      </vt:variant>
      <vt:variant>
        <vt:i4>1703993</vt:i4>
      </vt:variant>
      <vt:variant>
        <vt:i4>158</vt:i4>
      </vt:variant>
      <vt:variant>
        <vt:i4>0</vt:i4>
      </vt:variant>
      <vt:variant>
        <vt:i4>5</vt:i4>
      </vt:variant>
      <vt:variant>
        <vt:lpwstr/>
      </vt:variant>
      <vt:variant>
        <vt:lpwstr>_Toc159948593</vt:lpwstr>
      </vt:variant>
      <vt:variant>
        <vt:i4>1703993</vt:i4>
      </vt:variant>
      <vt:variant>
        <vt:i4>152</vt:i4>
      </vt:variant>
      <vt:variant>
        <vt:i4>0</vt:i4>
      </vt:variant>
      <vt:variant>
        <vt:i4>5</vt:i4>
      </vt:variant>
      <vt:variant>
        <vt:lpwstr/>
      </vt:variant>
      <vt:variant>
        <vt:lpwstr>_Toc159948592</vt:lpwstr>
      </vt:variant>
      <vt:variant>
        <vt:i4>1703993</vt:i4>
      </vt:variant>
      <vt:variant>
        <vt:i4>146</vt:i4>
      </vt:variant>
      <vt:variant>
        <vt:i4>0</vt:i4>
      </vt:variant>
      <vt:variant>
        <vt:i4>5</vt:i4>
      </vt:variant>
      <vt:variant>
        <vt:lpwstr/>
      </vt:variant>
      <vt:variant>
        <vt:lpwstr>_Toc159948591</vt:lpwstr>
      </vt:variant>
      <vt:variant>
        <vt:i4>1703993</vt:i4>
      </vt:variant>
      <vt:variant>
        <vt:i4>140</vt:i4>
      </vt:variant>
      <vt:variant>
        <vt:i4>0</vt:i4>
      </vt:variant>
      <vt:variant>
        <vt:i4>5</vt:i4>
      </vt:variant>
      <vt:variant>
        <vt:lpwstr/>
      </vt:variant>
      <vt:variant>
        <vt:lpwstr>_Toc159948590</vt:lpwstr>
      </vt:variant>
      <vt:variant>
        <vt:i4>1769529</vt:i4>
      </vt:variant>
      <vt:variant>
        <vt:i4>134</vt:i4>
      </vt:variant>
      <vt:variant>
        <vt:i4>0</vt:i4>
      </vt:variant>
      <vt:variant>
        <vt:i4>5</vt:i4>
      </vt:variant>
      <vt:variant>
        <vt:lpwstr/>
      </vt:variant>
      <vt:variant>
        <vt:lpwstr>_Toc159948589</vt:lpwstr>
      </vt:variant>
      <vt:variant>
        <vt:i4>1769529</vt:i4>
      </vt:variant>
      <vt:variant>
        <vt:i4>128</vt:i4>
      </vt:variant>
      <vt:variant>
        <vt:i4>0</vt:i4>
      </vt:variant>
      <vt:variant>
        <vt:i4>5</vt:i4>
      </vt:variant>
      <vt:variant>
        <vt:lpwstr/>
      </vt:variant>
      <vt:variant>
        <vt:lpwstr>_Toc159948588</vt:lpwstr>
      </vt:variant>
      <vt:variant>
        <vt:i4>1769529</vt:i4>
      </vt:variant>
      <vt:variant>
        <vt:i4>122</vt:i4>
      </vt:variant>
      <vt:variant>
        <vt:i4>0</vt:i4>
      </vt:variant>
      <vt:variant>
        <vt:i4>5</vt:i4>
      </vt:variant>
      <vt:variant>
        <vt:lpwstr/>
      </vt:variant>
      <vt:variant>
        <vt:lpwstr>_Toc159948587</vt:lpwstr>
      </vt:variant>
      <vt:variant>
        <vt:i4>1769529</vt:i4>
      </vt:variant>
      <vt:variant>
        <vt:i4>116</vt:i4>
      </vt:variant>
      <vt:variant>
        <vt:i4>0</vt:i4>
      </vt:variant>
      <vt:variant>
        <vt:i4>5</vt:i4>
      </vt:variant>
      <vt:variant>
        <vt:lpwstr/>
      </vt:variant>
      <vt:variant>
        <vt:lpwstr>_Toc159948586</vt:lpwstr>
      </vt:variant>
      <vt:variant>
        <vt:i4>1769529</vt:i4>
      </vt:variant>
      <vt:variant>
        <vt:i4>110</vt:i4>
      </vt:variant>
      <vt:variant>
        <vt:i4>0</vt:i4>
      </vt:variant>
      <vt:variant>
        <vt:i4>5</vt:i4>
      </vt:variant>
      <vt:variant>
        <vt:lpwstr/>
      </vt:variant>
      <vt:variant>
        <vt:lpwstr>_Toc159948585</vt:lpwstr>
      </vt:variant>
      <vt:variant>
        <vt:i4>1769529</vt:i4>
      </vt:variant>
      <vt:variant>
        <vt:i4>104</vt:i4>
      </vt:variant>
      <vt:variant>
        <vt:i4>0</vt:i4>
      </vt:variant>
      <vt:variant>
        <vt:i4>5</vt:i4>
      </vt:variant>
      <vt:variant>
        <vt:lpwstr/>
      </vt:variant>
      <vt:variant>
        <vt:lpwstr>_Toc159948584</vt:lpwstr>
      </vt:variant>
      <vt:variant>
        <vt:i4>1769529</vt:i4>
      </vt:variant>
      <vt:variant>
        <vt:i4>98</vt:i4>
      </vt:variant>
      <vt:variant>
        <vt:i4>0</vt:i4>
      </vt:variant>
      <vt:variant>
        <vt:i4>5</vt:i4>
      </vt:variant>
      <vt:variant>
        <vt:lpwstr/>
      </vt:variant>
      <vt:variant>
        <vt:lpwstr>_Toc159948583</vt:lpwstr>
      </vt:variant>
      <vt:variant>
        <vt:i4>1769529</vt:i4>
      </vt:variant>
      <vt:variant>
        <vt:i4>92</vt:i4>
      </vt:variant>
      <vt:variant>
        <vt:i4>0</vt:i4>
      </vt:variant>
      <vt:variant>
        <vt:i4>5</vt:i4>
      </vt:variant>
      <vt:variant>
        <vt:lpwstr/>
      </vt:variant>
      <vt:variant>
        <vt:lpwstr>_Toc159948582</vt:lpwstr>
      </vt:variant>
      <vt:variant>
        <vt:i4>1769529</vt:i4>
      </vt:variant>
      <vt:variant>
        <vt:i4>86</vt:i4>
      </vt:variant>
      <vt:variant>
        <vt:i4>0</vt:i4>
      </vt:variant>
      <vt:variant>
        <vt:i4>5</vt:i4>
      </vt:variant>
      <vt:variant>
        <vt:lpwstr/>
      </vt:variant>
      <vt:variant>
        <vt:lpwstr>_Toc159948581</vt:lpwstr>
      </vt:variant>
      <vt:variant>
        <vt:i4>1769529</vt:i4>
      </vt:variant>
      <vt:variant>
        <vt:i4>80</vt:i4>
      </vt:variant>
      <vt:variant>
        <vt:i4>0</vt:i4>
      </vt:variant>
      <vt:variant>
        <vt:i4>5</vt:i4>
      </vt:variant>
      <vt:variant>
        <vt:lpwstr/>
      </vt:variant>
      <vt:variant>
        <vt:lpwstr>_Toc159948580</vt:lpwstr>
      </vt:variant>
      <vt:variant>
        <vt:i4>1310777</vt:i4>
      </vt:variant>
      <vt:variant>
        <vt:i4>74</vt:i4>
      </vt:variant>
      <vt:variant>
        <vt:i4>0</vt:i4>
      </vt:variant>
      <vt:variant>
        <vt:i4>5</vt:i4>
      </vt:variant>
      <vt:variant>
        <vt:lpwstr/>
      </vt:variant>
      <vt:variant>
        <vt:lpwstr>_Toc159948579</vt:lpwstr>
      </vt:variant>
      <vt:variant>
        <vt:i4>1310777</vt:i4>
      </vt:variant>
      <vt:variant>
        <vt:i4>68</vt:i4>
      </vt:variant>
      <vt:variant>
        <vt:i4>0</vt:i4>
      </vt:variant>
      <vt:variant>
        <vt:i4>5</vt:i4>
      </vt:variant>
      <vt:variant>
        <vt:lpwstr/>
      </vt:variant>
      <vt:variant>
        <vt:lpwstr>_Toc159948578</vt:lpwstr>
      </vt:variant>
      <vt:variant>
        <vt:i4>1310777</vt:i4>
      </vt:variant>
      <vt:variant>
        <vt:i4>62</vt:i4>
      </vt:variant>
      <vt:variant>
        <vt:i4>0</vt:i4>
      </vt:variant>
      <vt:variant>
        <vt:i4>5</vt:i4>
      </vt:variant>
      <vt:variant>
        <vt:lpwstr/>
      </vt:variant>
      <vt:variant>
        <vt:lpwstr>_Toc159948577</vt:lpwstr>
      </vt:variant>
      <vt:variant>
        <vt:i4>1310777</vt:i4>
      </vt:variant>
      <vt:variant>
        <vt:i4>56</vt:i4>
      </vt:variant>
      <vt:variant>
        <vt:i4>0</vt:i4>
      </vt:variant>
      <vt:variant>
        <vt:i4>5</vt:i4>
      </vt:variant>
      <vt:variant>
        <vt:lpwstr/>
      </vt:variant>
      <vt:variant>
        <vt:lpwstr>_Toc159948576</vt:lpwstr>
      </vt:variant>
      <vt:variant>
        <vt:i4>1310777</vt:i4>
      </vt:variant>
      <vt:variant>
        <vt:i4>50</vt:i4>
      </vt:variant>
      <vt:variant>
        <vt:i4>0</vt:i4>
      </vt:variant>
      <vt:variant>
        <vt:i4>5</vt:i4>
      </vt:variant>
      <vt:variant>
        <vt:lpwstr/>
      </vt:variant>
      <vt:variant>
        <vt:lpwstr>_Toc159948575</vt:lpwstr>
      </vt:variant>
      <vt:variant>
        <vt:i4>1310777</vt:i4>
      </vt:variant>
      <vt:variant>
        <vt:i4>44</vt:i4>
      </vt:variant>
      <vt:variant>
        <vt:i4>0</vt:i4>
      </vt:variant>
      <vt:variant>
        <vt:i4>5</vt:i4>
      </vt:variant>
      <vt:variant>
        <vt:lpwstr/>
      </vt:variant>
      <vt:variant>
        <vt:lpwstr>_Toc159948574</vt:lpwstr>
      </vt:variant>
      <vt:variant>
        <vt:i4>1310777</vt:i4>
      </vt:variant>
      <vt:variant>
        <vt:i4>38</vt:i4>
      </vt:variant>
      <vt:variant>
        <vt:i4>0</vt:i4>
      </vt:variant>
      <vt:variant>
        <vt:i4>5</vt:i4>
      </vt:variant>
      <vt:variant>
        <vt:lpwstr/>
      </vt:variant>
      <vt:variant>
        <vt:lpwstr>_Toc159948573</vt:lpwstr>
      </vt:variant>
      <vt:variant>
        <vt:i4>1310777</vt:i4>
      </vt:variant>
      <vt:variant>
        <vt:i4>32</vt:i4>
      </vt:variant>
      <vt:variant>
        <vt:i4>0</vt:i4>
      </vt:variant>
      <vt:variant>
        <vt:i4>5</vt:i4>
      </vt:variant>
      <vt:variant>
        <vt:lpwstr/>
      </vt:variant>
      <vt:variant>
        <vt:lpwstr>_Toc159948572</vt:lpwstr>
      </vt:variant>
      <vt:variant>
        <vt:i4>1310777</vt:i4>
      </vt:variant>
      <vt:variant>
        <vt:i4>26</vt:i4>
      </vt:variant>
      <vt:variant>
        <vt:i4>0</vt:i4>
      </vt:variant>
      <vt:variant>
        <vt:i4>5</vt:i4>
      </vt:variant>
      <vt:variant>
        <vt:lpwstr/>
      </vt:variant>
      <vt:variant>
        <vt:lpwstr>_Toc159948571</vt:lpwstr>
      </vt:variant>
      <vt:variant>
        <vt:i4>6291548</vt:i4>
      </vt:variant>
      <vt:variant>
        <vt:i4>18</vt:i4>
      </vt:variant>
      <vt:variant>
        <vt:i4>0</vt:i4>
      </vt:variant>
      <vt:variant>
        <vt:i4>5</vt:i4>
      </vt:variant>
      <vt:variant>
        <vt:lpwstr>mailto:tga.copyright@tga.gov.au</vt:lpwstr>
      </vt:variant>
      <vt:variant>
        <vt:lpwstr/>
      </vt:variant>
      <vt:variant>
        <vt:i4>7995497</vt:i4>
      </vt:variant>
      <vt:variant>
        <vt:i4>12</vt:i4>
      </vt:variant>
      <vt:variant>
        <vt:i4>0</vt:i4>
      </vt:variant>
      <vt:variant>
        <vt:i4>5</vt:i4>
      </vt:variant>
      <vt:variant>
        <vt:lpwstr>https://www.tga.gov.au/australian-public-assessment-report-auspar-guidance</vt:lpwstr>
      </vt:variant>
      <vt:variant>
        <vt:lpwstr/>
      </vt:variant>
      <vt:variant>
        <vt:i4>3473445</vt:i4>
      </vt:variant>
      <vt:variant>
        <vt:i4>6</vt:i4>
      </vt:variant>
      <vt:variant>
        <vt:i4>0</vt:i4>
      </vt:variant>
      <vt:variant>
        <vt:i4>5</vt:i4>
      </vt:variant>
      <vt:variant>
        <vt:lpwstr>https://www.tga.gov.au/</vt:lpwstr>
      </vt:variant>
      <vt:variant>
        <vt:lpwstr/>
      </vt:variant>
      <vt:variant>
        <vt:i4>2162788</vt:i4>
      </vt:variant>
      <vt:variant>
        <vt:i4>3</vt:i4>
      </vt:variant>
      <vt:variant>
        <vt:i4>0</vt:i4>
      </vt:variant>
      <vt:variant>
        <vt:i4>5</vt:i4>
      </vt:variant>
      <vt:variant>
        <vt:lpwstr>https://www.fda.gov/regulatory-information/search-fda-guidance-documents/human-gene-therapy-hemophilia</vt:lpwstr>
      </vt:variant>
      <vt:variant>
        <vt:lpwstr/>
      </vt:variant>
      <vt:variant>
        <vt:i4>2031693</vt:i4>
      </vt:variant>
      <vt:variant>
        <vt:i4>0</vt:i4>
      </vt:variant>
      <vt:variant>
        <vt:i4>0</vt:i4>
      </vt:variant>
      <vt:variant>
        <vt:i4>5</vt:i4>
      </vt:variant>
      <vt:variant>
        <vt:lpwstr>https://www.ebs.tga.gov.au/ebs/picmi/picmirepository.nsf/pdf?OpenAgent&amp;id=CP-2013-PI-01744-1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Alhemo</dc:title>
  <dc:subject>Prescription medicines</dc:subject>
  <dc:creator>Therapeutic Goods Administration</dc:creator>
  <cp:keywords/>
  <dc:description/>
  <cp:lastModifiedBy>LACK, Janet</cp:lastModifiedBy>
  <cp:revision>3</cp:revision>
  <dcterms:created xsi:type="dcterms:W3CDTF">2024-03-17T23:47:00Z</dcterms:created>
  <dcterms:modified xsi:type="dcterms:W3CDTF">2024-03-18T00:02:00Z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0x010100761C9D961F2B2B4FBB76AB9E7ECF9005</vt:lpwstr>
  </property>
</Properties>
</file>