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3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F02AEC" w:rsidRPr="00B54541" w14:paraId="08AE1D54" w14:textId="77777777" w:rsidTr="00346EC2">
        <w:trPr>
          <w:trHeight w:val="1558"/>
        </w:trPr>
        <w:tc>
          <w:tcPr>
            <w:tcW w:w="8720" w:type="dxa"/>
          </w:tcPr>
          <w:p w14:paraId="2538A211" w14:textId="32C53B86" w:rsidR="00F02AEC" w:rsidRPr="00B54541" w:rsidRDefault="00346EC2" w:rsidP="007452E8">
            <w:pPr>
              <w:pStyle w:val="Title"/>
            </w:pPr>
            <w:r w:rsidRPr="00B54541">
              <w:t xml:space="preserve">Australian Public Assessment Report for </w:t>
            </w:r>
            <w:r w:rsidR="00A51728" w:rsidRPr="00B54541">
              <w:t>Exarane/Exarane Forte</w:t>
            </w:r>
          </w:p>
        </w:tc>
      </w:tr>
      <w:tr w:rsidR="00F02AEC" w:rsidRPr="00B54541" w14:paraId="318A40A3" w14:textId="77777777" w:rsidTr="00346EC2">
        <w:trPr>
          <w:trHeight w:val="995"/>
        </w:trPr>
        <w:tc>
          <w:tcPr>
            <w:tcW w:w="8720" w:type="dxa"/>
          </w:tcPr>
          <w:p w14:paraId="1AA7C701" w14:textId="6128793F" w:rsidR="00F02AEC" w:rsidRPr="00B54541" w:rsidRDefault="00346EC2" w:rsidP="007452E8">
            <w:pPr>
              <w:pStyle w:val="Subtitle"/>
              <w:ind w:left="0"/>
            </w:pPr>
            <w:r w:rsidRPr="00B54541">
              <w:t xml:space="preserve">Active ingredient: </w:t>
            </w:r>
            <w:r w:rsidR="003216CF" w:rsidRPr="00B54541">
              <w:t>Enoxaparin sodium</w:t>
            </w:r>
          </w:p>
        </w:tc>
      </w:tr>
      <w:tr w:rsidR="00346EC2" w:rsidRPr="00B54541" w14:paraId="362CCAE4" w14:textId="77777777" w:rsidTr="007452E8">
        <w:trPr>
          <w:trHeight w:val="1916"/>
        </w:trPr>
        <w:tc>
          <w:tcPr>
            <w:tcW w:w="8720" w:type="dxa"/>
          </w:tcPr>
          <w:p w14:paraId="709C45C0" w14:textId="68CCAAC8" w:rsidR="00346EC2" w:rsidRPr="00B54541" w:rsidRDefault="00346EC2" w:rsidP="007452E8">
            <w:pPr>
              <w:pStyle w:val="Subtitle"/>
              <w:ind w:left="0"/>
            </w:pPr>
            <w:r w:rsidRPr="00B54541">
              <w:t xml:space="preserve">Sponsor: </w:t>
            </w:r>
            <w:r w:rsidR="0085353B" w:rsidRPr="00B54541">
              <w:t>Juno Pharmaceuticals Pty Ltd</w:t>
            </w:r>
          </w:p>
        </w:tc>
      </w:tr>
      <w:tr w:rsidR="00F02AEC" w:rsidRPr="00B54541" w14:paraId="37F2AA1F" w14:textId="77777777" w:rsidTr="007452E8">
        <w:tc>
          <w:tcPr>
            <w:tcW w:w="8720" w:type="dxa"/>
          </w:tcPr>
          <w:p w14:paraId="1FDE8DCD" w14:textId="035AB648" w:rsidR="00F02AEC" w:rsidRPr="00B54541" w:rsidRDefault="00583FE2" w:rsidP="007452E8">
            <w:pPr>
              <w:pStyle w:val="Date"/>
            </w:pPr>
            <w:r>
              <w:t>March</w:t>
            </w:r>
            <w:r w:rsidR="0046430C">
              <w:t xml:space="preserve"> 2024</w:t>
            </w:r>
          </w:p>
        </w:tc>
      </w:tr>
    </w:tbl>
    <w:p w14:paraId="73752706" w14:textId="77777777" w:rsidR="00F02AEC" w:rsidRPr="00B54541" w:rsidRDefault="00F02AEC" w:rsidP="007452E8">
      <w:pPr>
        <w:pStyle w:val="ListBullet"/>
        <w:numPr>
          <w:ilvl w:val="0"/>
          <w:numId w:val="0"/>
        </w:numPr>
        <w:sectPr w:rsidR="00F02AEC" w:rsidRPr="00B54541" w:rsidSect="00CB0550">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pPr>
    </w:p>
    <w:p w14:paraId="2170A423" w14:textId="77777777" w:rsidR="00346EC2" w:rsidRPr="00B54541" w:rsidRDefault="00346EC2" w:rsidP="00346EC2">
      <w:pPr>
        <w:pStyle w:val="NonTOCHeading20"/>
      </w:pPr>
      <w:r w:rsidRPr="00B54541">
        <w:lastRenderedPageBreak/>
        <w:t>About the Therapeutic Goods Administration (TGA)</w:t>
      </w:r>
    </w:p>
    <w:p w14:paraId="79558AE9" w14:textId="77777777" w:rsidR="00346EC2" w:rsidRPr="00B54541" w:rsidRDefault="00346EC2" w:rsidP="0056766D">
      <w:pPr>
        <w:pStyle w:val="ListBullet"/>
      </w:pPr>
      <w:r w:rsidRPr="00B54541">
        <w:t>The Therapeutic Goods Administration (TGA) is part of the Australian Government Department of Health and Aged Care and is responsible for regulating therapeutic goods, including medicines, medical devices, and biologicals.</w:t>
      </w:r>
    </w:p>
    <w:p w14:paraId="61BEFDB6" w14:textId="77777777" w:rsidR="00346EC2" w:rsidRPr="00B54541" w:rsidRDefault="00346EC2" w:rsidP="00346EC2">
      <w:pPr>
        <w:pStyle w:val="ListBullet"/>
      </w:pPr>
      <w:r w:rsidRPr="00B54541">
        <w:t xml:space="preserve">The TGA administers the </w:t>
      </w:r>
      <w:r w:rsidRPr="00B54541">
        <w:rPr>
          <w:i/>
          <w:iCs/>
        </w:rPr>
        <w:t>Therapeutic Goods Act 1989</w:t>
      </w:r>
      <w:r w:rsidRPr="00B54541">
        <w:t xml:space="preserve"> (the Act), applying a risk management approach designed to ensure therapeutic goods supplied in Australia meet acceptable standards of quality, safety, and efficacy.</w:t>
      </w:r>
    </w:p>
    <w:p w14:paraId="77180CB3" w14:textId="77777777" w:rsidR="00346EC2" w:rsidRPr="00B54541" w:rsidRDefault="00346EC2" w:rsidP="00346EC2">
      <w:pPr>
        <w:pStyle w:val="ListBullet"/>
      </w:pPr>
      <w:r w:rsidRPr="00B54541">
        <w:t>The work of the TGA is based on applying scientific and clinical expertise to decision-making, to ensure that the benefits to the Australian public outweigh any risks associated with the use of therapeutic goods.</w:t>
      </w:r>
    </w:p>
    <w:p w14:paraId="70AC2A35" w14:textId="77777777" w:rsidR="00346EC2" w:rsidRPr="00B54541" w:rsidRDefault="00346EC2" w:rsidP="00346EC2">
      <w:pPr>
        <w:pStyle w:val="ListBullet"/>
      </w:pPr>
      <w:r w:rsidRPr="00B54541">
        <w:t>The TGA relies on the public, healthcare professionals and industry to report problems with therapeutic goods. The TGA investigates reports received to determine any necessary regulatory action.</w:t>
      </w:r>
    </w:p>
    <w:p w14:paraId="17DC24C6" w14:textId="3E941DE2" w:rsidR="00346EC2" w:rsidRPr="00B54541" w:rsidRDefault="00346EC2" w:rsidP="00346EC2">
      <w:pPr>
        <w:pStyle w:val="ListBullet"/>
      </w:pPr>
      <w:r w:rsidRPr="00B54541">
        <w:t xml:space="preserve">To report a problem with a therapeutic good, please see the information on the </w:t>
      </w:r>
      <w:hyperlink r:id="rId12" w:history="1">
        <w:r w:rsidRPr="00B54541">
          <w:rPr>
            <w:rStyle w:val="Hyperlink"/>
          </w:rPr>
          <w:t>TGA website</w:t>
        </w:r>
      </w:hyperlink>
      <w:r w:rsidRPr="00B54541">
        <w:t>.</w:t>
      </w:r>
    </w:p>
    <w:p w14:paraId="737B7A99" w14:textId="77777777" w:rsidR="00346EC2" w:rsidRPr="00B54541" w:rsidRDefault="00346EC2" w:rsidP="00346EC2">
      <w:pPr>
        <w:pStyle w:val="NonTOCHeading20"/>
      </w:pPr>
      <w:r w:rsidRPr="00B54541">
        <w:t>About AusPARs</w:t>
      </w:r>
    </w:p>
    <w:p w14:paraId="631B2209" w14:textId="09DBE5A8" w:rsidR="00346EC2" w:rsidRPr="00B54541" w:rsidRDefault="00346EC2" w:rsidP="00346EC2">
      <w:pPr>
        <w:pStyle w:val="ListBullet"/>
      </w:pPr>
      <w:r w:rsidRPr="00B54541">
        <w:t xml:space="preserve">The Australian Public Assessment Report (AusPAR) provides information about the evaluation of a prescription medicine and the considerations that led the TGA to approve or not approve a prescription medicine submission. Further information can be found in </w:t>
      </w:r>
      <w:hyperlink r:id="rId13" w:history="1">
        <w:r w:rsidRPr="00B54541">
          <w:rPr>
            <w:rStyle w:val="Hyperlink"/>
          </w:rPr>
          <w:t>Australian Public Assessment Report (AusPAR) guidance</w:t>
        </w:r>
      </w:hyperlink>
      <w:r w:rsidRPr="00B54541">
        <w:t>.</w:t>
      </w:r>
    </w:p>
    <w:p w14:paraId="22F5A730" w14:textId="77777777" w:rsidR="00346EC2" w:rsidRPr="00B54541" w:rsidRDefault="00346EC2" w:rsidP="00346EC2">
      <w:pPr>
        <w:pStyle w:val="ListBullet"/>
      </w:pPr>
      <w:r w:rsidRPr="00B54541">
        <w:t>AusPARs are prepared and published by the TGA.</w:t>
      </w:r>
    </w:p>
    <w:p w14:paraId="451B8FD7" w14:textId="77777777" w:rsidR="00346EC2" w:rsidRPr="00B54541" w:rsidRDefault="00346EC2" w:rsidP="00346EC2">
      <w:pPr>
        <w:pStyle w:val="ListBullet"/>
      </w:pPr>
      <w:r w:rsidRPr="00B54541">
        <w:t>AusPARs are static documents that provide information that relates to a submission at a particular point in time. The publication of an AusPAR is an important part of the transparency of the TGA’s decision-making process.</w:t>
      </w:r>
    </w:p>
    <w:p w14:paraId="4D69F5CF" w14:textId="77777777" w:rsidR="00346EC2" w:rsidRPr="00B54541" w:rsidRDefault="00346EC2" w:rsidP="00346EC2">
      <w:pPr>
        <w:pStyle w:val="ListBullet"/>
      </w:pPr>
      <w:r w:rsidRPr="00B54541">
        <w:t>A new AusPAR may be provided to reflect changes to indications or major variations to a prescription medicine subject to evaluation by the TGA.</w:t>
      </w:r>
    </w:p>
    <w:p w14:paraId="7067011F" w14:textId="510D5C5C" w:rsidR="00F02AEC" w:rsidRPr="00B54541" w:rsidRDefault="00F02AEC" w:rsidP="00FE087C">
      <w:pPr>
        <w:pStyle w:val="LegalSubheading"/>
        <w:spacing w:before="3600"/>
      </w:pPr>
      <w:r w:rsidRPr="00B54541">
        <w:t>Copyright</w:t>
      </w:r>
    </w:p>
    <w:p w14:paraId="170A8A5D" w14:textId="0813F751" w:rsidR="00175CD8" w:rsidRPr="00B54541" w:rsidRDefault="00F02AEC" w:rsidP="00346EC2">
      <w:pPr>
        <w:pStyle w:val="LegalCopy"/>
        <w:rPr>
          <w:rFonts w:cs="Arial"/>
        </w:rPr>
      </w:pPr>
      <w:r w:rsidRPr="00B54541">
        <w:rPr>
          <w:rFonts w:cs="Arial"/>
        </w:rPr>
        <w:t>© Commonwealth of Australia 202</w:t>
      </w:r>
      <w:r w:rsidR="0046430C">
        <w:rPr>
          <w:rFonts w:cs="Arial"/>
        </w:rPr>
        <w:t>4</w:t>
      </w:r>
      <w:r w:rsidRPr="00B54541">
        <w:rPr>
          <w:rFonts w:cs="Arial"/>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B54541">
        <w:rPr>
          <w:rFonts w:cs="Arial"/>
          <w:i/>
        </w:rPr>
        <w:t>Copyright Act 1968</w:t>
      </w:r>
      <w:r w:rsidRPr="00B54541">
        <w:rPr>
          <w:rFonts w:cs="Arial"/>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4" w:history="1">
        <w:r w:rsidRPr="00B54541">
          <w:rPr>
            <w:rStyle w:val="Hyperlink"/>
            <w:rFonts w:cs="Arial"/>
          </w:rPr>
          <w:t>tga.copyright@tga.gov.au</w:t>
        </w:r>
      </w:hyperlink>
      <w:r w:rsidRPr="00B54541">
        <w:rPr>
          <w:rFonts w:cs="Arial"/>
        </w:rPr>
        <w:t>&gt;.</w:t>
      </w:r>
    </w:p>
    <w:sdt>
      <w:sdtPr>
        <w:rPr>
          <w:rFonts w:ascii="Cambria" w:eastAsiaTheme="minorHAnsi" w:hAnsi="Cambria" w:cstheme="minorBidi"/>
          <w:b w:val="0"/>
          <w:color w:val="auto"/>
          <w:sz w:val="22"/>
          <w:szCs w:val="22"/>
        </w:rPr>
        <w:id w:val="21514769"/>
        <w:docPartObj>
          <w:docPartGallery w:val="Table of Contents"/>
          <w:docPartUnique/>
        </w:docPartObj>
      </w:sdtPr>
      <w:sdtEndPr>
        <w:rPr>
          <w:szCs w:val="20"/>
        </w:rPr>
      </w:sdtEndPr>
      <w:sdtContent>
        <w:p w14:paraId="0A6ADA2B" w14:textId="77777777" w:rsidR="00F02AEC" w:rsidRPr="00B54541" w:rsidRDefault="00F02AEC" w:rsidP="007452E8">
          <w:pPr>
            <w:pStyle w:val="NonTOCheading2"/>
          </w:pPr>
          <w:r w:rsidRPr="00B54541">
            <w:t>Contents</w:t>
          </w:r>
        </w:p>
        <w:p w14:paraId="004B0030" w14:textId="020690F7" w:rsidR="0075357A" w:rsidRDefault="00F02AEC">
          <w:pPr>
            <w:pStyle w:val="TOC1"/>
            <w:rPr>
              <w:rFonts w:asciiTheme="minorHAnsi" w:eastAsiaTheme="minorEastAsia" w:hAnsiTheme="minorHAnsi" w:cstheme="minorBidi"/>
              <w:b w:val="0"/>
              <w:noProof/>
              <w:color w:val="auto"/>
              <w:kern w:val="2"/>
              <w:sz w:val="22"/>
              <w:szCs w:val="22"/>
              <w:lang w:eastAsia="en-AU"/>
              <w14:ligatures w14:val="standardContextual"/>
            </w:rPr>
          </w:pPr>
          <w:r w:rsidRPr="00B54541">
            <w:fldChar w:fldCharType="begin"/>
          </w:r>
          <w:r w:rsidRPr="00B54541">
            <w:instrText xml:space="preserve"> TOC \h \z \u \t "Heading 2,1,Heading 3,2,Heading 4,3" </w:instrText>
          </w:r>
          <w:r w:rsidRPr="00B54541">
            <w:fldChar w:fldCharType="separate"/>
          </w:r>
          <w:hyperlink w:anchor="_Toc160184677" w:history="1">
            <w:r w:rsidR="0075357A" w:rsidRPr="00242C2E">
              <w:rPr>
                <w:rStyle w:val="Hyperlink"/>
                <w:noProof/>
              </w:rPr>
              <w:t>List of abbreviations</w:t>
            </w:r>
            <w:r w:rsidR="0075357A">
              <w:rPr>
                <w:noProof/>
                <w:webHidden/>
              </w:rPr>
              <w:tab/>
            </w:r>
            <w:r w:rsidR="0075357A">
              <w:rPr>
                <w:noProof/>
                <w:webHidden/>
              </w:rPr>
              <w:fldChar w:fldCharType="begin"/>
            </w:r>
            <w:r w:rsidR="0075357A">
              <w:rPr>
                <w:noProof/>
                <w:webHidden/>
              </w:rPr>
              <w:instrText xml:space="preserve"> PAGEREF _Toc160184677 \h </w:instrText>
            </w:r>
            <w:r w:rsidR="0075357A">
              <w:rPr>
                <w:noProof/>
                <w:webHidden/>
              </w:rPr>
            </w:r>
            <w:r w:rsidR="0075357A">
              <w:rPr>
                <w:noProof/>
                <w:webHidden/>
              </w:rPr>
              <w:fldChar w:fldCharType="separate"/>
            </w:r>
            <w:r w:rsidR="0075357A">
              <w:rPr>
                <w:noProof/>
                <w:webHidden/>
              </w:rPr>
              <w:t>4</w:t>
            </w:r>
            <w:r w:rsidR="0075357A">
              <w:rPr>
                <w:noProof/>
                <w:webHidden/>
              </w:rPr>
              <w:fldChar w:fldCharType="end"/>
            </w:r>
          </w:hyperlink>
        </w:p>
        <w:p w14:paraId="5852E86F" w14:textId="7664896C" w:rsidR="0075357A" w:rsidRDefault="00112BD6">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60184678" w:history="1">
            <w:r w:rsidR="0075357A" w:rsidRPr="00242C2E">
              <w:rPr>
                <w:rStyle w:val="Hyperlink"/>
                <w:noProof/>
              </w:rPr>
              <w:t>Product submission</w:t>
            </w:r>
            <w:r w:rsidR="0075357A">
              <w:rPr>
                <w:noProof/>
                <w:webHidden/>
              </w:rPr>
              <w:tab/>
            </w:r>
            <w:r w:rsidR="0075357A">
              <w:rPr>
                <w:noProof/>
                <w:webHidden/>
              </w:rPr>
              <w:fldChar w:fldCharType="begin"/>
            </w:r>
            <w:r w:rsidR="0075357A">
              <w:rPr>
                <w:noProof/>
                <w:webHidden/>
              </w:rPr>
              <w:instrText xml:space="preserve"> PAGEREF _Toc160184678 \h </w:instrText>
            </w:r>
            <w:r w:rsidR="0075357A">
              <w:rPr>
                <w:noProof/>
                <w:webHidden/>
              </w:rPr>
            </w:r>
            <w:r w:rsidR="0075357A">
              <w:rPr>
                <w:noProof/>
                <w:webHidden/>
              </w:rPr>
              <w:fldChar w:fldCharType="separate"/>
            </w:r>
            <w:r w:rsidR="0075357A">
              <w:rPr>
                <w:noProof/>
                <w:webHidden/>
              </w:rPr>
              <w:t>5</w:t>
            </w:r>
            <w:r w:rsidR="0075357A">
              <w:rPr>
                <w:noProof/>
                <w:webHidden/>
              </w:rPr>
              <w:fldChar w:fldCharType="end"/>
            </w:r>
          </w:hyperlink>
        </w:p>
        <w:p w14:paraId="7FABD099" w14:textId="25BD3290" w:rsidR="0075357A" w:rsidRDefault="00112BD6">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60184679" w:history="1">
            <w:r w:rsidR="0075357A" w:rsidRPr="00242C2E">
              <w:rPr>
                <w:rStyle w:val="Hyperlink"/>
                <w:noProof/>
                <w:lang w:eastAsia="en-AU"/>
              </w:rPr>
              <w:t>Submission details</w:t>
            </w:r>
            <w:r w:rsidR="0075357A">
              <w:rPr>
                <w:noProof/>
                <w:webHidden/>
              </w:rPr>
              <w:tab/>
            </w:r>
            <w:r w:rsidR="0075357A">
              <w:rPr>
                <w:noProof/>
                <w:webHidden/>
              </w:rPr>
              <w:fldChar w:fldCharType="begin"/>
            </w:r>
            <w:r w:rsidR="0075357A">
              <w:rPr>
                <w:noProof/>
                <w:webHidden/>
              </w:rPr>
              <w:instrText xml:space="preserve"> PAGEREF _Toc160184679 \h </w:instrText>
            </w:r>
            <w:r w:rsidR="0075357A">
              <w:rPr>
                <w:noProof/>
                <w:webHidden/>
              </w:rPr>
            </w:r>
            <w:r w:rsidR="0075357A">
              <w:rPr>
                <w:noProof/>
                <w:webHidden/>
              </w:rPr>
              <w:fldChar w:fldCharType="separate"/>
            </w:r>
            <w:r w:rsidR="0075357A">
              <w:rPr>
                <w:noProof/>
                <w:webHidden/>
              </w:rPr>
              <w:t>5</w:t>
            </w:r>
            <w:r w:rsidR="0075357A">
              <w:rPr>
                <w:noProof/>
                <w:webHidden/>
              </w:rPr>
              <w:fldChar w:fldCharType="end"/>
            </w:r>
          </w:hyperlink>
        </w:p>
        <w:p w14:paraId="7D6E89D8" w14:textId="5D77FAD2" w:rsidR="0075357A" w:rsidRDefault="00112BD6">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60184680" w:history="1">
            <w:r w:rsidR="0075357A" w:rsidRPr="00242C2E">
              <w:rPr>
                <w:rStyle w:val="Hyperlink"/>
                <w:noProof/>
              </w:rPr>
              <w:t>Product background</w:t>
            </w:r>
            <w:r w:rsidR="0075357A">
              <w:rPr>
                <w:noProof/>
                <w:webHidden/>
              </w:rPr>
              <w:tab/>
            </w:r>
            <w:r w:rsidR="0075357A">
              <w:rPr>
                <w:noProof/>
                <w:webHidden/>
              </w:rPr>
              <w:fldChar w:fldCharType="begin"/>
            </w:r>
            <w:r w:rsidR="0075357A">
              <w:rPr>
                <w:noProof/>
                <w:webHidden/>
              </w:rPr>
              <w:instrText xml:space="preserve"> PAGEREF _Toc160184680 \h </w:instrText>
            </w:r>
            <w:r w:rsidR="0075357A">
              <w:rPr>
                <w:noProof/>
                <w:webHidden/>
              </w:rPr>
            </w:r>
            <w:r w:rsidR="0075357A">
              <w:rPr>
                <w:noProof/>
                <w:webHidden/>
              </w:rPr>
              <w:fldChar w:fldCharType="separate"/>
            </w:r>
            <w:r w:rsidR="0075357A">
              <w:rPr>
                <w:noProof/>
                <w:webHidden/>
              </w:rPr>
              <w:t>6</w:t>
            </w:r>
            <w:r w:rsidR="0075357A">
              <w:rPr>
                <w:noProof/>
                <w:webHidden/>
              </w:rPr>
              <w:fldChar w:fldCharType="end"/>
            </w:r>
          </w:hyperlink>
        </w:p>
        <w:p w14:paraId="14AB24DF" w14:textId="6C2CF076" w:rsidR="0075357A" w:rsidRDefault="00112BD6">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60184681" w:history="1">
            <w:r w:rsidR="0075357A" w:rsidRPr="00242C2E">
              <w:rPr>
                <w:rStyle w:val="Hyperlink"/>
                <w:noProof/>
              </w:rPr>
              <w:t>Regulatory status</w:t>
            </w:r>
            <w:r w:rsidR="0075357A">
              <w:rPr>
                <w:noProof/>
                <w:webHidden/>
              </w:rPr>
              <w:tab/>
            </w:r>
            <w:r w:rsidR="0075357A">
              <w:rPr>
                <w:noProof/>
                <w:webHidden/>
              </w:rPr>
              <w:fldChar w:fldCharType="begin"/>
            </w:r>
            <w:r w:rsidR="0075357A">
              <w:rPr>
                <w:noProof/>
                <w:webHidden/>
              </w:rPr>
              <w:instrText xml:space="preserve"> PAGEREF _Toc160184681 \h </w:instrText>
            </w:r>
            <w:r w:rsidR="0075357A">
              <w:rPr>
                <w:noProof/>
                <w:webHidden/>
              </w:rPr>
            </w:r>
            <w:r w:rsidR="0075357A">
              <w:rPr>
                <w:noProof/>
                <w:webHidden/>
              </w:rPr>
              <w:fldChar w:fldCharType="separate"/>
            </w:r>
            <w:r w:rsidR="0075357A">
              <w:rPr>
                <w:noProof/>
                <w:webHidden/>
              </w:rPr>
              <w:t>7</w:t>
            </w:r>
            <w:r w:rsidR="0075357A">
              <w:rPr>
                <w:noProof/>
                <w:webHidden/>
              </w:rPr>
              <w:fldChar w:fldCharType="end"/>
            </w:r>
          </w:hyperlink>
        </w:p>
        <w:p w14:paraId="04B24D2A" w14:textId="68E17A2E" w:rsidR="0075357A" w:rsidRDefault="00112BD6">
          <w:pPr>
            <w:pStyle w:val="TOC3"/>
            <w:rPr>
              <w:rFonts w:asciiTheme="minorHAnsi" w:eastAsiaTheme="minorEastAsia" w:hAnsiTheme="minorHAnsi" w:cstheme="minorBidi"/>
              <w:b w:val="0"/>
              <w:noProof/>
              <w:color w:val="auto"/>
              <w:kern w:val="2"/>
              <w:szCs w:val="22"/>
              <w:lang w:eastAsia="en-AU"/>
              <w14:ligatures w14:val="standardContextual"/>
            </w:rPr>
          </w:pPr>
          <w:hyperlink w:anchor="_Toc160184682" w:history="1">
            <w:r w:rsidR="0075357A" w:rsidRPr="00242C2E">
              <w:rPr>
                <w:rStyle w:val="Hyperlink"/>
                <w:noProof/>
              </w:rPr>
              <w:t>Australian regulatory status</w:t>
            </w:r>
            <w:r w:rsidR="0075357A">
              <w:rPr>
                <w:noProof/>
                <w:webHidden/>
              </w:rPr>
              <w:tab/>
            </w:r>
            <w:r w:rsidR="0075357A">
              <w:rPr>
                <w:noProof/>
                <w:webHidden/>
              </w:rPr>
              <w:fldChar w:fldCharType="begin"/>
            </w:r>
            <w:r w:rsidR="0075357A">
              <w:rPr>
                <w:noProof/>
                <w:webHidden/>
              </w:rPr>
              <w:instrText xml:space="preserve"> PAGEREF _Toc160184682 \h </w:instrText>
            </w:r>
            <w:r w:rsidR="0075357A">
              <w:rPr>
                <w:noProof/>
                <w:webHidden/>
              </w:rPr>
            </w:r>
            <w:r w:rsidR="0075357A">
              <w:rPr>
                <w:noProof/>
                <w:webHidden/>
              </w:rPr>
              <w:fldChar w:fldCharType="separate"/>
            </w:r>
            <w:r w:rsidR="0075357A">
              <w:rPr>
                <w:noProof/>
                <w:webHidden/>
              </w:rPr>
              <w:t>7</w:t>
            </w:r>
            <w:r w:rsidR="0075357A">
              <w:rPr>
                <w:noProof/>
                <w:webHidden/>
              </w:rPr>
              <w:fldChar w:fldCharType="end"/>
            </w:r>
          </w:hyperlink>
        </w:p>
        <w:p w14:paraId="4747090B" w14:textId="2A183720" w:rsidR="0075357A" w:rsidRDefault="00112BD6">
          <w:pPr>
            <w:pStyle w:val="TOC3"/>
            <w:rPr>
              <w:rFonts w:asciiTheme="minorHAnsi" w:eastAsiaTheme="minorEastAsia" w:hAnsiTheme="minorHAnsi" w:cstheme="minorBidi"/>
              <w:b w:val="0"/>
              <w:noProof/>
              <w:color w:val="auto"/>
              <w:kern w:val="2"/>
              <w:szCs w:val="22"/>
              <w:lang w:eastAsia="en-AU"/>
              <w14:ligatures w14:val="standardContextual"/>
            </w:rPr>
          </w:pPr>
          <w:hyperlink w:anchor="_Toc160184683" w:history="1">
            <w:r w:rsidR="0075357A" w:rsidRPr="00242C2E">
              <w:rPr>
                <w:rStyle w:val="Hyperlink"/>
                <w:noProof/>
              </w:rPr>
              <w:t>Foreign regulatory status</w:t>
            </w:r>
            <w:r w:rsidR="0075357A">
              <w:rPr>
                <w:noProof/>
                <w:webHidden/>
              </w:rPr>
              <w:tab/>
            </w:r>
            <w:r w:rsidR="0075357A">
              <w:rPr>
                <w:noProof/>
                <w:webHidden/>
              </w:rPr>
              <w:fldChar w:fldCharType="begin"/>
            </w:r>
            <w:r w:rsidR="0075357A">
              <w:rPr>
                <w:noProof/>
                <w:webHidden/>
              </w:rPr>
              <w:instrText xml:space="preserve"> PAGEREF _Toc160184683 \h </w:instrText>
            </w:r>
            <w:r w:rsidR="0075357A">
              <w:rPr>
                <w:noProof/>
                <w:webHidden/>
              </w:rPr>
            </w:r>
            <w:r w:rsidR="0075357A">
              <w:rPr>
                <w:noProof/>
                <w:webHidden/>
              </w:rPr>
              <w:fldChar w:fldCharType="separate"/>
            </w:r>
            <w:r w:rsidR="0075357A">
              <w:rPr>
                <w:noProof/>
                <w:webHidden/>
              </w:rPr>
              <w:t>7</w:t>
            </w:r>
            <w:r w:rsidR="0075357A">
              <w:rPr>
                <w:noProof/>
                <w:webHidden/>
              </w:rPr>
              <w:fldChar w:fldCharType="end"/>
            </w:r>
          </w:hyperlink>
        </w:p>
        <w:p w14:paraId="0B32BB19" w14:textId="1CC9CCFD" w:rsidR="0075357A" w:rsidRDefault="00112BD6">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60184684" w:history="1">
            <w:r w:rsidR="0075357A" w:rsidRPr="00242C2E">
              <w:rPr>
                <w:rStyle w:val="Hyperlink"/>
                <w:noProof/>
              </w:rPr>
              <w:t>Registration timeline</w:t>
            </w:r>
            <w:r w:rsidR="0075357A">
              <w:rPr>
                <w:noProof/>
                <w:webHidden/>
              </w:rPr>
              <w:tab/>
            </w:r>
            <w:r w:rsidR="0075357A">
              <w:rPr>
                <w:noProof/>
                <w:webHidden/>
              </w:rPr>
              <w:fldChar w:fldCharType="begin"/>
            </w:r>
            <w:r w:rsidR="0075357A">
              <w:rPr>
                <w:noProof/>
                <w:webHidden/>
              </w:rPr>
              <w:instrText xml:space="preserve"> PAGEREF _Toc160184684 \h </w:instrText>
            </w:r>
            <w:r w:rsidR="0075357A">
              <w:rPr>
                <w:noProof/>
                <w:webHidden/>
              </w:rPr>
            </w:r>
            <w:r w:rsidR="0075357A">
              <w:rPr>
                <w:noProof/>
                <w:webHidden/>
              </w:rPr>
              <w:fldChar w:fldCharType="separate"/>
            </w:r>
            <w:r w:rsidR="0075357A">
              <w:rPr>
                <w:noProof/>
                <w:webHidden/>
              </w:rPr>
              <w:t>7</w:t>
            </w:r>
            <w:r w:rsidR="0075357A">
              <w:rPr>
                <w:noProof/>
                <w:webHidden/>
              </w:rPr>
              <w:fldChar w:fldCharType="end"/>
            </w:r>
          </w:hyperlink>
        </w:p>
        <w:p w14:paraId="3440683A" w14:textId="67212370" w:rsidR="0075357A" w:rsidRDefault="00112BD6">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60184685" w:history="1">
            <w:r w:rsidR="0075357A" w:rsidRPr="00242C2E">
              <w:rPr>
                <w:rStyle w:val="Hyperlink"/>
                <w:noProof/>
              </w:rPr>
              <w:t>Submission overview and risk/benefit assessment</w:t>
            </w:r>
            <w:r w:rsidR="0075357A">
              <w:rPr>
                <w:noProof/>
                <w:webHidden/>
              </w:rPr>
              <w:tab/>
            </w:r>
            <w:r w:rsidR="0075357A">
              <w:rPr>
                <w:noProof/>
                <w:webHidden/>
              </w:rPr>
              <w:fldChar w:fldCharType="begin"/>
            </w:r>
            <w:r w:rsidR="0075357A">
              <w:rPr>
                <w:noProof/>
                <w:webHidden/>
              </w:rPr>
              <w:instrText xml:space="preserve"> PAGEREF _Toc160184685 \h </w:instrText>
            </w:r>
            <w:r w:rsidR="0075357A">
              <w:rPr>
                <w:noProof/>
                <w:webHidden/>
              </w:rPr>
            </w:r>
            <w:r w:rsidR="0075357A">
              <w:rPr>
                <w:noProof/>
                <w:webHidden/>
              </w:rPr>
              <w:fldChar w:fldCharType="separate"/>
            </w:r>
            <w:r w:rsidR="0075357A">
              <w:rPr>
                <w:noProof/>
                <w:webHidden/>
              </w:rPr>
              <w:t>8</w:t>
            </w:r>
            <w:r w:rsidR="0075357A">
              <w:rPr>
                <w:noProof/>
                <w:webHidden/>
              </w:rPr>
              <w:fldChar w:fldCharType="end"/>
            </w:r>
          </w:hyperlink>
        </w:p>
        <w:p w14:paraId="25EB511D" w14:textId="7B4251F7" w:rsidR="0075357A" w:rsidRDefault="00112BD6">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60184686" w:history="1">
            <w:r w:rsidR="0075357A" w:rsidRPr="00242C2E">
              <w:rPr>
                <w:rStyle w:val="Hyperlink"/>
                <w:noProof/>
              </w:rPr>
              <w:t>Quality</w:t>
            </w:r>
            <w:r w:rsidR="0075357A">
              <w:rPr>
                <w:noProof/>
                <w:webHidden/>
              </w:rPr>
              <w:tab/>
            </w:r>
            <w:r w:rsidR="0075357A">
              <w:rPr>
                <w:noProof/>
                <w:webHidden/>
              </w:rPr>
              <w:fldChar w:fldCharType="begin"/>
            </w:r>
            <w:r w:rsidR="0075357A">
              <w:rPr>
                <w:noProof/>
                <w:webHidden/>
              </w:rPr>
              <w:instrText xml:space="preserve"> PAGEREF _Toc160184686 \h </w:instrText>
            </w:r>
            <w:r w:rsidR="0075357A">
              <w:rPr>
                <w:noProof/>
                <w:webHidden/>
              </w:rPr>
            </w:r>
            <w:r w:rsidR="0075357A">
              <w:rPr>
                <w:noProof/>
                <w:webHidden/>
              </w:rPr>
              <w:fldChar w:fldCharType="separate"/>
            </w:r>
            <w:r w:rsidR="0075357A">
              <w:rPr>
                <w:noProof/>
                <w:webHidden/>
              </w:rPr>
              <w:t>8</w:t>
            </w:r>
            <w:r w:rsidR="0075357A">
              <w:rPr>
                <w:noProof/>
                <w:webHidden/>
              </w:rPr>
              <w:fldChar w:fldCharType="end"/>
            </w:r>
          </w:hyperlink>
        </w:p>
        <w:p w14:paraId="4F93896B" w14:textId="06BD91B1" w:rsidR="0075357A" w:rsidRDefault="00112BD6">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60184687" w:history="1">
            <w:r w:rsidR="0075357A" w:rsidRPr="00242C2E">
              <w:rPr>
                <w:rStyle w:val="Hyperlink"/>
                <w:noProof/>
              </w:rPr>
              <w:t>Nonclinical</w:t>
            </w:r>
            <w:r w:rsidR="0075357A">
              <w:rPr>
                <w:noProof/>
                <w:webHidden/>
              </w:rPr>
              <w:tab/>
            </w:r>
            <w:r w:rsidR="0075357A">
              <w:rPr>
                <w:noProof/>
                <w:webHidden/>
              </w:rPr>
              <w:fldChar w:fldCharType="begin"/>
            </w:r>
            <w:r w:rsidR="0075357A">
              <w:rPr>
                <w:noProof/>
                <w:webHidden/>
              </w:rPr>
              <w:instrText xml:space="preserve"> PAGEREF _Toc160184687 \h </w:instrText>
            </w:r>
            <w:r w:rsidR="0075357A">
              <w:rPr>
                <w:noProof/>
                <w:webHidden/>
              </w:rPr>
            </w:r>
            <w:r w:rsidR="0075357A">
              <w:rPr>
                <w:noProof/>
                <w:webHidden/>
              </w:rPr>
              <w:fldChar w:fldCharType="separate"/>
            </w:r>
            <w:r w:rsidR="0075357A">
              <w:rPr>
                <w:noProof/>
                <w:webHidden/>
              </w:rPr>
              <w:t>9</w:t>
            </w:r>
            <w:r w:rsidR="0075357A">
              <w:rPr>
                <w:noProof/>
                <w:webHidden/>
              </w:rPr>
              <w:fldChar w:fldCharType="end"/>
            </w:r>
          </w:hyperlink>
        </w:p>
        <w:p w14:paraId="6A0BBD70" w14:textId="67C89535" w:rsidR="0075357A" w:rsidRDefault="00112BD6">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60184688" w:history="1">
            <w:r w:rsidR="0075357A" w:rsidRPr="00242C2E">
              <w:rPr>
                <w:rStyle w:val="Hyperlink"/>
                <w:noProof/>
              </w:rPr>
              <w:t>Clinical</w:t>
            </w:r>
            <w:r w:rsidR="0075357A">
              <w:rPr>
                <w:noProof/>
                <w:webHidden/>
              </w:rPr>
              <w:tab/>
            </w:r>
            <w:r w:rsidR="0075357A">
              <w:rPr>
                <w:noProof/>
                <w:webHidden/>
              </w:rPr>
              <w:fldChar w:fldCharType="begin"/>
            </w:r>
            <w:r w:rsidR="0075357A">
              <w:rPr>
                <w:noProof/>
                <w:webHidden/>
              </w:rPr>
              <w:instrText xml:space="preserve"> PAGEREF _Toc160184688 \h </w:instrText>
            </w:r>
            <w:r w:rsidR="0075357A">
              <w:rPr>
                <w:noProof/>
                <w:webHidden/>
              </w:rPr>
            </w:r>
            <w:r w:rsidR="0075357A">
              <w:rPr>
                <w:noProof/>
                <w:webHidden/>
              </w:rPr>
              <w:fldChar w:fldCharType="separate"/>
            </w:r>
            <w:r w:rsidR="0075357A">
              <w:rPr>
                <w:noProof/>
                <w:webHidden/>
              </w:rPr>
              <w:t>10</w:t>
            </w:r>
            <w:r w:rsidR="0075357A">
              <w:rPr>
                <w:noProof/>
                <w:webHidden/>
              </w:rPr>
              <w:fldChar w:fldCharType="end"/>
            </w:r>
          </w:hyperlink>
        </w:p>
        <w:p w14:paraId="5F6F5D48" w14:textId="178FAE26" w:rsidR="0075357A" w:rsidRDefault="00112BD6">
          <w:pPr>
            <w:pStyle w:val="TOC3"/>
            <w:rPr>
              <w:rFonts w:asciiTheme="minorHAnsi" w:eastAsiaTheme="minorEastAsia" w:hAnsiTheme="minorHAnsi" w:cstheme="minorBidi"/>
              <w:b w:val="0"/>
              <w:noProof/>
              <w:color w:val="auto"/>
              <w:kern w:val="2"/>
              <w:szCs w:val="22"/>
              <w:lang w:eastAsia="en-AU"/>
              <w14:ligatures w14:val="standardContextual"/>
            </w:rPr>
          </w:pPr>
          <w:hyperlink w:anchor="_Toc160184689" w:history="1">
            <w:r w:rsidR="0075357A" w:rsidRPr="00242C2E">
              <w:rPr>
                <w:rStyle w:val="Hyperlink"/>
                <w:noProof/>
              </w:rPr>
              <w:t>Summary of clinical studies</w:t>
            </w:r>
            <w:r w:rsidR="0075357A">
              <w:rPr>
                <w:noProof/>
                <w:webHidden/>
              </w:rPr>
              <w:tab/>
            </w:r>
            <w:r w:rsidR="0075357A">
              <w:rPr>
                <w:noProof/>
                <w:webHidden/>
              </w:rPr>
              <w:fldChar w:fldCharType="begin"/>
            </w:r>
            <w:r w:rsidR="0075357A">
              <w:rPr>
                <w:noProof/>
                <w:webHidden/>
              </w:rPr>
              <w:instrText xml:space="preserve"> PAGEREF _Toc160184689 \h </w:instrText>
            </w:r>
            <w:r w:rsidR="0075357A">
              <w:rPr>
                <w:noProof/>
                <w:webHidden/>
              </w:rPr>
            </w:r>
            <w:r w:rsidR="0075357A">
              <w:rPr>
                <w:noProof/>
                <w:webHidden/>
              </w:rPr>
              <w:fldChar w:fldCharType="separate"/>
            </w:r>
            <w:r w:rsidR="0075357A">
              <w:rPr>
                <w:noProof/>
                <w:webHidden/>
              </w:rPr>
              <w:t>10</w:t>
            </w:r>
            <w:r w:rsidR="0075357A">
              <w:rPr>
                <w:noProof/>
                <w:webHidden/>
              </w:rPr>
              <w:fldChar w:fldCharType="end"/>
            </w:r>
          </w:hyperlink>
        </w:p>
        <w:p w14:paraId="4E5A8D10" w14:textId="7B38EF9F" w:rsidR="0075357A" w:rsidRDefault="00112BD6">
          <w:pPr>
            <w:pStyle w:val="TOC3"/>
            <w:rPr>
              <w:rFonts w:asciiTheme="minorHAnsi" w:eastAsiaTheme="minorEastAsia" w:hAnsiTheme="minorHAnsi" w:cstheme="minorBidi"/>
              <w:b w:val="0"/>
              <w:noProof/>
              <w:color w:val="auto"/>
              <w:kern w:val="2"/>
              <w:szCs w:val="22"/>
              <w:lang w:eastAsia="en-AU"/>
              <w14:ligatures w14:val="standardContextual"/>
            </w:rPr>
          </w:pPr>
          <w:hyperlink w:anchor="_Toc160184690" w:history="1">
            <w:r w:rsidR="0075357A" w:rsidRPr="00242C2E">
              <w:rPr>
                <w:rStyle w:val="Hyperlink"/>
                <w:noProof/>
              </w:rPr>
              <w:t>Pharmacology</w:t>
            </w:r>
            <w:r w:rsidR="0075357A">
              <w:rPr>
                <w:noProof/>
                <w:webHidden/>
              </w:rPr>
              <w:tab/>
            </w:r>
            <w:r w:rsidR="0075357A">
              <w:rPr>
                <w:noProof/>
                <w:webHidden/>
              </w:rPr>
              <w:fldChar w:fldCharType="begin"/>
            </w:r>
            <w:r w:rsidR="0075357A">
              <w:rPr>
                <w:noProof/>
                <w:webHidden/>
              </w:rPr>
              <w:instrText xml:space="preserve"> PAGEREF _Toc160184690 \h </w:instrText>
            </w:r>
            <w:r w:rsidR="0075357A">
              <w:rPr>
                <w:noProof/>
                <w:webHidden/>
              </w:rPr>
            </w:r>
            <w:r w:rsidR="0075357A">
              <w:rPr>
                <w:noProof/>
                <w:webHidden/>
              </w:rPr>
              <w:fldChar w:fldCharType="separate"/>
            </w:r>
            <w:r w:rsidR="0075357A">
              <w:rPr>
                <w:noProof/>
                <w:webHidden/>
              </w:rPr>
              <w:t>11</w:t>
            </w:r>
            <w:r w:rsidR="0075357A">
              <w:rPr>
                <w:noProof/>
                <w:webHidden/>
              </w:rPr>
              <w:fldChar w:fldCharType="end"/>
            </w:r>
          </w:hyperlink>
        </w:p>
        <w:p w14:paraId="02E28CF6" w14:textId="00CE8D7B" w:rsidR="0075357A" w:rsidRDefault="00112BD6">
          <w:pPr>
            <w:pStyle w:val="TOC3"/>
            <w:rPr>
              <w:rFonts w:asciiTheme="minorHAnsi" w:eastAsiaTheme="minorEastAsia" w:hAnsiTheme="minorHAnsi" w:cstheme="minorBidi"/>
              <w:b w:val="0"/>
              <w:noProof/>
              <w:color w:val="auto"/>
              <w:kern w:val="2"/>
              <w:szCs w:val="22"/>
              <w:lang w:eastAsia="en-AU"/>
              <w14:ligatures w14:val="standardContextual"/>
            </w:rPr>
          </w:pPr>
          <w:hyperlink w:anchor="_Toc160184691" w:history="1">
            <w:r w:rsidR="0075357A" w:rsidRPr="00242C2E">
              <w:rPr>
                <w:rStyle w:val="Hyperlink"/>
                <w:noProof/>
              </w:rPr>
              <w:t>Efficacy</w:t>
            </w:r>
            <w:r w:rsidR="0075357A">
              <w:rPr>
                <w:noProof/>
                <w:webHidden/>
              </w:rPr>
              <w:tab/>
            </w:r>
            <w:r w:rsidR="0075357A">
              <w:rPr>
                <w:noProof/>
                <w:webHidden/>
              </w:rPr>
              <w:fldChar w:fldCharType="begin"/>
            </w:r>
            <w:r w:rsidR="0075357A">
              <w:rPr>
                <w:noProof/>
                <w:webHidden/>
              </w:rPr>
              <w:instrText xml:space="preserve"> PAGEREF _Toc160184691 \h </w:instrText>
            </w:r>
            <w:r w:rsidR="0075357A">
              <w:rPr>
                <w:noProof/>
                <w:webHidden/>
              </w:rPr>
            </w:r>
            <w:r w:rsidR="0075357A">
              <w:rPr>
                <w:noProof/>
                <w:webHidden/>
              </w:rPr>
              <w:fldChar w:fldCharType="separate"/>
            </w:r>
            <w:r w:rsidR="0075357A">
              <w:rPr>
                <w:noProof/>
                <w:webHidden/>
              </w:rPr>
              <w:t>15</w:t>
            </w:r>
            <w:r w:rsidR="0075357A">
              <w:rPr>
                <w:noProof/>
                <w:webHidden/>
              </w:rPr>
              <w:fldChar w:fldCharType="end"/>
            </w:r>
          </w:hyperlink>
        </w:p>
        <w:p w14:paraId="48466D4B" w14:textId="68B91128" w:rsidR="0075357A" w:rsidRDefault="00112BD6">
          <w:pPr>
            <w:pStyle w:val="TOC3"/>
            <w:rPr>
              <w:rFonts w:asciiTheme="minorHAnsi" w:eastAsiaTheme="minorEastAsia" w:hAnsiTheme="minorHAnsi" w:cstheme="minorBidi"/>
              <w:b w:val="0"/>
              <w:noProof/>
              <w:color w:val="auto"/>
              <w:kern w:val="2"/>
              <w:szCs w:val="22"/>
              <w:lang w:eastAsia="en-AU"/>
              <w14:ligatures w14:val="standardContextual"/>
            </w:rPr>
          </w:pPr>
          <w:hyperlink w:anchor="_Toc160184692" w:history="1">
            <w:r w:rsidR="0075357A" w:rsidRPr="00242C2E">
              <w:rPr>
                <w:rStyle w:val="Hyperlink"/>
                <w:noProof/>
              </w:rPr>
              <w:t>Safety</w:t>
            </w:r>
            <w:r w:rsidR="0075357A">
              <w:rPr>
                <w:noProof/>
                <w:webHidden/>
              </w:rPr>
              <w:tab/>
            </w:r>
            <w:r w:rsidR="0075357A">
              <w:rPr>
                <w:noProof/>
                <w:webHidden/>
              </w:rPr>
              <w:fldChar w:fldCharType="begin"/>
            </w:r>
            <w:r w:rsidR="0075357A">
              <w:rPr>
                <w:noProof/>
                <w:webHidden/>
              </w:rPr>
              <w:instrText xml:space="preserve"> PAGEREF _Toc160184692 \h </w:instrText>
            </w:r>
            <w:r w:rsidR="0075357A">
              <w:rPr>
                <w:noProof/>
                <w:webHidden/>
              </w:rPr>
            </w:r>
            <w:r w:rsidR="0075357A">
              <w:rPr>
                <w:noProof/>
                <w:webHidden/>
              </w:rPr>
              <w:fldChar w:fldCharType="separate"/>
            </w:r>
            <w:r w:rsidR="0075357A">
              <w:rPr>
                <w:noProof/>
                <w:webHidden/>
              </w:rPr>
              <w:t>15</w:t>
            </w:r>
            <w:r w:rsidR="0075357A">
              <w:rPr>
                <w:noProof/>
                <w:webHidden/>
              </w:rPr>
              <w:fldChar w:fldCharType="end"/>
            </w:r>
          </w:hyperlink>
        </w:p>
        <w:p w14:paraId="50DBAB5E" w14:textId="2F7CC7F6" w:rsidR="0075357A" w:rsidRDefault="00112BD6">
          <w:pPr>
            <w:pStyle w:val="TOC3"/>
            <w:rPr>
              <w:rFonts w:asciiTheme="minorHAnsi" w:eastAsiaTheme="minorEastAsia" w:hAnsiTheme="minorHAnsi" w:cstheme="minorBidi"/>
              <w:b w:val="0"/>
              <w:noProof/>
              <w:color w:val="auto"/>
              <w:kern w:val="2"/>
              <w:szCs w:val="22"/>
              <w:lang w:eastAsia="en-AU"/>
              <w14:ligatures w14:val="standardContextual"/>
            </w:rPr>
          </w:pPr>
          <w:hyperlink w:anchor="_Toc160184693" w:history="1">
            <w:r w:rsidR="0075357A" w:rsidRPr="00242C2E">
              <w:rPr>
                <w:rStyle w:val="Hyperlink"/>
                <w:noProof/>
              </w:rPr>
              <w:t>Clinical evaluation’s conclusion</w:t>
            </w:r>
            <w:r w:rsidR="0075357A">
              <w:rPr>
                <w:noProof/>
                <w:webHidden/>
              </w:rPr>
              <w:tab/>
            </w:r>
            <w:r w:rsidR="0075357A">
              <w:rPr>
                <w:noProof/>
                <w:webHidden/>
              </w:rPr>
              <w:fldChar w:fldCharType="begin"/>
            </w:r>
            <w:r w:rsidR="0075357A">
              <w:rPr>
                <w:noProof/>
                <w:webHidden/>
              </w:rPr>
              <w:instrText xml:space="preserve"> PAGEREF _Toc160184693 \h </w:instrText>
            </w:r>
            <w:r w:rsidR="0075357A">
              <w:rPr>
                <w:noProof/>
                <w:webHidden/>
              </w:rPr>
            </w:r>
            <w:r w:rsidR="0075357A">
              <w:rPr>
                <w:noProof/>
                <w:webHidden/>
              </w:rPr>
              <w:fldChar w:fldCharType="separate"/>
            </w:r>
            <w:r w:rsidR="0075357A">
              <w:rPr>
                <w:noProof/>
                <w:webHidden/>
              </w:rPr>
              <w:t>16</w:t>
            </w:r>
            <w:r w:rsidR="0075357A">
              <w:rPr>
                <w:noProof/>
                <w:webHidden/>
              </w:rPr>
              <w:fldChar w:fldCharType="end"/>
            </w:r>
          </w:hyperlink>
        </w:p>
        <w:p w14:paraId="164A0CD1" w14:textId="622C56DC" w:rsidR="0075357A" w:rsidRDefault="00112BD6">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60184694" w:history="1">
            <w:r w:rsidR="0075357A" w:rsidRPr="00242C2E">
              <w:rPr>
                <w:rStyle w:val="Hyperlink"/>
                <w:noProof/>
                <w:lang w:eastAsia="en-AU"/>
              </w:rPr>
              <w:t>Risk management plan</w:t>
            </w:r>
            <w:r w:rsidR="0075357A">
              <w:rPr>
                <w:noProof/>
                <w:webHidden/>
              </w:rPr>
              <w:tab/>
            </w:r>
            <w:r w:rsidR="0075357A">
              <w:rPr>
                <w:noProof/>
                <w:webHidden/>
              </w:rPr>
              <w:fldChar w:fldCharType="begin"/>
            </w:r>
            <w:r w:rsidR="0075357A">
              <w:rPr>
                <w:noProof/>
                <w:webHidden/>
              </w:rPr>
              <w:instrText xml:space="preserve"> PAGEREF _Toc160184694 \h </w:instrText>
            </w:r>
            <w:r w:rsidR="0075357A">
              <w:rPr>
                <w:noProof/>
                <w:webHidden/>
              </w:rPr>
            </w:r>
            <w:r w:rsidR="0075357A">
              <w:rPr>
                <w:noProof/>
                <w:webHidden/>
              </w:rPr>
              <w:fldChar w:fldCharType="separate"/>
            </w:r>
            <w:r w:rsidR="0075357A">
              <w:rPr>
                <w:noProof/>
                <w:webHidden/>
              </w:rPr>
              <w:t>16</w:t>
            </w:r>
            <w:r w:rsidR="0075357A">
              <w:rPr>
                <w:noProof/>
                <w:webHidden/>
              </w:rPr>
              <w:fldChar w:fldCharType="end"/>
            </w:r>
          </w:hyperlink>
        </w:p>
        <w:p w14:paraId="31DA7555" w14:textId="396931D4" w:rsidR="0075357A" w:rsidRDefault="00112BD6">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60184695" w:history="1">
            <w:r w:rsidR="0075357A" w:rsidRPr="00242C2E">
              <w:rPr>
                <w:rStyle w:val="Hyperlink"/>
                <w:noProof/>
              </w:rPr>
              <w:t>Risk-benefit analysis</w:t>
            </w:r>
            <w:r w:rsidR="0075357A">
              <w:rPr>
                <w:noProof/>
                <w:webHidden/>
              </w:rPr>
              <w:tab/>
            </w:r>
            <w:r w:rsidR="0075357A">
              <w:rPr>
                <w:noProof/>
                <w:webHidden/>
              </w:rPr>
              <w:fldChar w:fldCharType="begin"/>
            </w:r>
            <w:r w:rsidR="0075357A">
              <w:rPr>
                <w:noProof/>
                <w:webHidden/>
              </w:rPr>
              <w:instrText xml:space="preserve"> PAGEREF _Toc160184695 \h </w:instrText>
            </w:r>
            <w:r w:rsidR="0075357A">
              <w:rPr>
                <w:noProof/>
                <w:webHidden/>
              </w:rPr>
            </w:r>
            <w:r w:rsidR="0075357A">
              <w:rPr>
                <w:noProof/>
                <w:webHidden/>
              </w:rPr>
              <w:fldChar w:fldCharType="separate"/>
            </w:r>
            <w:r w:rsidR="0075357A">
              <w:rPr>
                <w:noProof/>
                <w:webHidden/>
              </w:rPr>
              <w:t>17</w:t>
            </w:r>
            <w:r w:rsidR="0075357A">
              <w:rPr>
                <w:noProof/>
                <w:webHidden/>
              </w:rPr>
              <w:fldChar w:fldCharType="end"/>
            </w:r>
          </w:hyperlink>
        </w:p>
        <w:p w14:paraId="24D41BB1" w14:textId="731B6AE7" w:rsidR="0075357A" w:rsidRDefault="00112BD6">
          <w:pPr>
            <w:pStyle w:val="TOC3"/>
            <w:rPr>
              <w:rFonts w:asciiTheme="minorHAnsi" w:eastAsiaTheme="minorEastAsia" w:hAnsiTheme="minorHAnsi" w:cstheme="minorBidi"/>
              <w:b w:val="0"/>
              <w:noProof/>
              <w:color w:val="auto"/>
              <w:kern w:val="2"/>
              <w:szCs w:val="22"/>
              <w:lang w:eastAsia="en-AU"/>
              <w14:ligatures w14:val="standardContextual"/>
            </w:rPr>
          </w:pPr>
          <w:hyperlink w:anchor="_Toc160184696" w:history="1">
            <w:r w:rsidR="0075357A" w:rsidRPr="00242C2E">
              <w:rPr>
                <w:rStyle w:val="Hyperlink"/>
                <w:noProof/>
              </w:rPr>
              <w:t>Delegate’s considerations</w:t>
            </w:r>
            <w:r w:rsidR="0075357A">
              <w:rPr>
                <w:noProof/>
                <w:webHidden/>
              </w:rPr>
              <w:tab/>
            </w:r>
            <w:r w:rsidR="0075357A">
              <w:rPr>
                <w:noProof/>
                <w:webHidden/>
              </w:rPr>
              <w:fldChar w:fldCharType="begin"/>
            </w:r>
            <w:r w:rsidR="0075357A">
              <w:rPr>
                <w:noProof/>
                <w:webHidden/>
              </w:rPr>
              <w:instrText xml:space="preserve"> PAGEREF _Toc160184696 \h </w:instrText>
            </w:r>
            <w:r w:rsidR="0075357A">
              <w:rPr>
                <w:noProof/>
                <w:webHidden/>
              </w:rPr>
            </w:r>
            <w:r w:rsidR="0075357A">
              <w:rPr>
                <w:noProof/>
                <w:webHidden/>
              </w:rPr>
              <w:fldChar w:fldCharType="separate"/>
            </w:r>
            <w:r w:rsidR="0075357A">
              <w:rPr>
                <w:noProof/>
                <w:webHidden/>
              </w:rPr>
              <w:t>17</w:t>
            </w:r>
            <w:r w:rsidR="0075357A">
              <w:rPr>
                <w:noProof/>
                <w:webHidden/>
              </w:rPr>
              <w:fldChar w:fldCharType="end"/>
            </w:r>
          </w:hyperlink>
        </w:p>
        <w:p w14:paraId="783718A9" w14:textId="12772372" w:rsidR="0075357A" w:rsidRDefault="00112BD6">
          <w:pPr>
            <w:pStyle w:val="TOC3"/>
            <w:rPr>
              <w:rFonts w:asciiTheme="minorHAnsi" w:eastAsiaTheme="minorEastAsia" w:hAnsiTheme="minorHAnsi" w:cstheme="minorBidi"/>
              <w:b w:val="0"/>
              <w:noProof/>
              <w:color w:val="auto"/>
              <w:kern w:val="2"/>
              <w:szCs w:val="22"/>
              <w:lang w:eastAsia="en-AU"/>
              <w14:ligatures w14:val="standardContextual"/>
            </w:rPr>
          </w:pPr>
          <w:hyperlink w:anchor="_Toc160184697" w:history="1">
            <w:r w:rsidR="0075357A" w:rsidRPr="00242C2E">
              <w:rPr>
                <w:rStyle w:val="Hyperlink"/>
                <w:noProof/>
                <w:lang w:eastAsia="ja-JP"/>
              </w:rPr>
              <w:t>Limitations of the data</w:t>
            </w:r>
            <w:r w:rsidR="0075357A">
              <w:rPr>
                <w:noProof/>
                <w:webHidden/>
              </w:rPr>
              <w:tab/>
            </w:r>
            <w:r w:rsidR="0075357A">
              <w:rPr>
                <w:noProof/>
                <w:webHidden/>
              </w:rPr>
              <w:fldChar w:fldCharType="begin"/>
            </w:r>
            <w:r w:rsidR="0075357A">
              <w:rPr>
                <w:noProof/>
                <w:webHidden/>
              </w:rPr>
              <w:instrText xml:space="preserve"> PAGEREF _Toc160184697 \h </w:instrText>
            </w:r>
            <w:r w:rsidR="0075357A">
              <w:rPr>
                <w:noProof/>
                <w:webHidden/>
              </w:rPr>
            </w:r>
            <w:r w:rsidR="0075357A">
              <w:rPr>
                <w:noProof/>
                <w:webHidden/>
              </w:rPr>
              <w:fldChar w:fldCharType="separate"/>
            </w:r>
            <w:r w:rsidR="0075357A">
              <w:rPr>
                <w:noProof/>
                <w:webHidden/>
              </w:rPr>
              <w:t>19</w:t>
            </w:r>
            <w:r w:rsidR="0075357A">
              <w:rPr>
                <w:noProof/>
                <w:webHidden/>
              </w:rPr>
              <w:fldChar w:fldCharType="end"/>
            </w:r>
          </w:hyperlink>
        </w:p>
        <w:p w14:paraId="74B9F08B" w14:textId="6B8926E2" w:rsidR="0075357A" w:rsidRDefault="00112BD6">
          <w:pPr>
            <w:pStyle w:val="TOC3"/>
            <w:rPr>
              <w:rFonts w:asciiTheme="minorHAnsi" w:eastAsiaTheme="minorEastAsia" w:hAnsiTheme="minorHAnsi" w:cstheme="minorBidi"/>
              <w:b w:val="0"/>
              <w:noProof/>
              <w:color w:val="auto"/>
              <w:kern w:val="2"/>
              <w:szCs w:val="22"/>
              <w:lang w:eastAsia="en-AU"/>
              <w14:ligatures w14:val="standardContextual"/>
            </w:rPr>
          </w:pPr>
          <w:hyperlink w:anchor="_Toc160184698" w:history="1">
            <w:r w:rsidR="0075357A" w:rsidRPr="00242C2E">
              <w:rPr>
                <w:rStyle w:val="Hyperlink"/>
                <w:noProof/>
              </w:rPr>
              <w:t>Proposed Indications</w:t>
            </w:r>
            <w:r w:rsidR="0075357A">
              <w:rPr>
                <w:noProof/>
                <w:webHidden/>
              </w:rPr>
              <w:tab/>
            </w:r>
            <w:r w:rsidR="0075357A">
              <w:rPr>
                <w:noProof/>
                <w:webHidden/>
              </w:rPr>
              <w:fldChar w:fldCharType="begin"/>
            </w:r>
            <w:r w:rsidR="0075357A">
              <w:rPr>
                <w:noProof/>
                <w:webHidden/>
              </w:rPr>
              <w:instrText xml:space="preserve"> PAGEREF _Toc160184698 \h </w:instrText>
            </w:r>
            <w:r w:rsidR="0075357A">
              <w:rPr>
                <w:noProof/>
                <w:webHidden/>
              </w:rPr>
            </w:r>
            <w:r w:rsidR="0075357A">
              <w:rPr>
                <w:noProof/>
                <w:webHidden/>
              </w:rPr>
              <w:fldChar w:fldCharType="separate"/>
            </w:r>
            <w:r w:rsidR="0075357A">
              <w:rPr>
                <w:noProof/>
                <w:webHidden/>
              </w:rPr>
              <w:t>19</w:t>
            </w:r>
            <w:r w:rsidR="0075357A">
              <w:rPr>
                <w:noProof/>
                <w:webHidden/>
              </w:rPr>
              <w:fldChar w:fldCharType="end"/>
            </w:r>
          </w:hyperlink>
        </w:p>
        <w:p w14:paraId="1C4E0D18" w14:textId="60AD5C44" w:rsidR="0075357A" w:rsidRDefault="00112BD6">
          <w:pPr>
            <w:pStyle w:val="TOC3"/>
            <w:rPr>
              <w:rFonts w:asciiTheme="minorHAnsi" w:eastAsiaTheme="minorEastAsia" w:hAnsiTheme="minorHAnsi" w:cstheme="minorBidi"/>
              <w:b w:val="0"/>
              <w:noProof/>
              <w:color w:val="auto"/>
              <w:kern w:val="2"/>
              <w:szCs w:val="22"/>
              <w:lang w:eastAsia="en-AU"/>
              <w14:ligatures w14:val="standardContextual"/>
            </w:rPr>
          </w:pPr>
          <w:hyperlink w:anchor="_Toc160184699" w:history="1">
            <w:r w:rsidR="0075357A" w:rsidRPr="00242C2E">
              <w:rPr>
                <w:rStyle w:val="Hyperlink"/>
                <w:noProof/>
              </w:rPr>
              <w:t>Proposed action</w:t>
            </w:r>
            <w:r w:rsidR="0075357A">
              <w:rPr>
                <w:noProof/>
                <w:webHidden/>
              </w:rPr>
              <w:tab/>
            </w:r>
            <w:r w:rsidR="0075357A">
              <w:rPr>
                <w:noProof/>
                <w:webHidden/>
              </w:rPr>
              <w:fldChar w:fldCharType="begin"/>
            </w:r>
            <w:r w:rsidR="0075357A">
              <w:rPr>
                <w:noProof/>
                <w:webHidden/>
              </w:rPr>
              <w:instrText xml:space="preserve"> PAGEREF _Toc160184699 \h </w:instrText>
            </w:r>
            <w:r w:rsidR="0075357A">
              <w:rPr>
                <w:noProof/>
                <w:webHidden/>
              </w:rPr>
            </w:r>
            <w:r w:rsidR="0075357A">
              <w:rPr>
                <w:noProof/>
                <w:webHidden/>
              </w:rPr>
              <w:fldChar w:fldCharType="separate"/>
            </w:r>
            <w:r w:rsidR="0075357A">
              <w:rPr>
                <w:noProof/>
                <w:webHidden/>
              </w:rPr>
              <w:t>19</w:t>
            </w:r>
            <w:r w:rsidR="0075357A">
              <w:rPr>
                <w:noProof/>
                <w:webHidden/>
              </w:rPr>
              <w:fldChar w:fldCharType="end"/>
            </w:r>
          </w:hyperlink>
        </w:p>
        <w:p w14:paraId="79590A49" w14:textId="2B7F7B8E" w:rsidR="0075357A" w:rsidRDefault="00112BD6">
          <w:pPr>
            <w:pStyle w:val="TOC3"/>
            <w:rPr>
              <w:rFonts w:asciiTheme="minorHAnsi" w:eastAsiaTheme="minorEastAsia" w:hAnsiTheme="minorHAnsi" w:cstheme="minorBidi"/>
              <w:b w:val="0"/>
              <w:noProof/>
              <w:color w:val="auto"/>
              <w:kern w:val="2"/>
              <w:szCs w:val="22"/>
              <w:lang w:eastAsia="en-AU"/>
              <w14:ligatures w14:val="standardContextual"/>
            </w:rPr>
          </w:pPr>
          <w:hyperlink w:anchor="_Toc160184700" w:history="1">
            <w:r w:rsidR="0075357A" w:rsidRPr="00242C2E">
              <w:rPr>
                <w:rStyle w:val="Hyperlink"/>
                <w:noProof/>
              </w:rPr>
              <w:t>Advisory Committee considerations</w:t>
            </w:r>
            <w:r w:rsidR="0075357A">
              <w:rPr>
                <w:noProof/>
                <w:webHidden/>
              </w:rPr>
              <w:tab/>
            </w:r>
            <w:r w:rsidR="0075357A">
              <w:rPr>
                <w:noProof/>
                <w:webHidden/>
              </w:rPr>
              <w:fldChar w:fldCharType="begin"/>
            </w:r>
            <w:r w:rsidR="0075357A">
              <w:rPr>
                <w:noProof/>
                <w:webHidden/>
              </w:rPr>
              <w:instrText xml:space="preserve"> PAGEREF _Toc160184700 \h </w:instrText>
            </w:r>
            <w:r w:rsidR="0075357A">
              <w:rPr>
                <w:noProof/>
                <w:webHidden/>
              </w:rPr>
            </w:r>
            <w:r w:rsidR="0075357A">
              <w:rPr>
                <w:noProof/>
                <w:webHidden/>
              </w:rPr>
              <w:fldChar w:fldCharType="separate"/>
            </w:r>
            <w:r w:rsidR="0075357A">
              <w:rPr>
                <w:noProof/>
                <w:webHidden/>
              </w:rPr>
              <w:t>19</w:t>
            </w:r>
            <w:r w:rsidR="0075357A">
              <w:rPr>
                <w:noProof/>
                <w:webHidden/>
              </w:rPr>
              <w:fldChar w:fldCharType="end"/>
            </w:r>
          </w:hyperlink>
        </w:p>
        <w:p w14:paraId="67EC980A" w14:textId="5C012DD3" w:rsidR="0075357A" w:rsidRDefault="00112BD6">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60184701" w:history="1">
            <w:r w:rsidR="0075357A" w:rsidRPr="00242C2E">
              <w:rPr>
                <w:rStyle w:val="Hyperlink"/>
                <w:noProof/>
              </w:rPr>
              <w:t>Outcome</w:t>
            </w:r>
            <w:r w:rsidR="0075357A">
              <w:rPr>
                <w:noProof/>
                <w:webHidden/>
              </w:rPr>
              <w:tab/>
            </w:r>
            <w:r w:rsidR="0075357A">
              <w:rPr>
                <w:noProof/>
                <w:webHidden/>
              </w:rPr>
              <w:fldChar w:fldCharType="begin"/>
            </w:r>
            <w:r w:rsidR="0075357A">
              <w:rPr>
                <w:noProof/>
                <w:webHidden/>
              </w:rPr>
              <w:instrText xml:space="preserve"> PAGEREF _Toc160184701 \h </w:instrText>
            </w:r>
            <w:r w:rsidR="0075357A">
              <w:rPr>
                <w:noProof/>
                <w:webHidden/>
              </w:rPr>
            </w:r>
            <w:r w:rsidR="0075357A">
              <w:rPr>
                <w:noProof/>
                <w:webHidden/>
              </w:rPr>
              <w:fldChar w:fldCharType="separate"/>
            </w:r>
            <w:r w:rsidR="0075357A">
              <w:rPr>
                <w:noProof/>
                <w:webHidden/>
              </w:rPr>
              <w:t>20</w:t>
            </w:r>
            <w:r w:rsidR="0075357A">
              <w:rPr>
                <w:noProof/>
                <w:webHidden/>
              </w:rPr>
              <w:fldChar w:fldCharType="end"/>
            </w:r>
          </w:hyperlink>
        </w:p>
        <w:p w14:paraId="7A91ABD8" w14:textId="28DE0DA2" w:rsidR="0075357A" w:rsidRDefault="00112BD6">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60184702" w:history="1">
            <w:r w:rsidR="0075357A" w:rsidRPr="00242C2E">
              <w:rPr>
                <w:rStyle w:val="Hyperlink"/>
                <w:noProof/>
              </w:rPr>
              <w:t>Specific conditions of registration applying to these goods</w:t>
            </w:r>
            <w:r w:rsidR="0075357A">
              <w:rPr>
                <w:noProof/>
                <w:webHidden/>
              </w:rPr>
              <w:tab/>
            </w:r>
            <w:r w:rsidR="0075357A">
              <w:rPr>
                <w:noProof/>
                <w:webHidden/>
              </w:rPr>
              <w:fldChar w:fldCharType="begin"/>
            </w:r>
            <w:r w:rsidR="0075357A">
              <w:rPr>
                <w:noProof/>
                <w:webHidden/>
              </w:rPr>
              <w:instrText xml:space="preserve"> PAGEREF _Toc160184702 \h </w:instrText>
            </w:r>
            <w:r w:rsidR="0075357A">
              <w:rPr>
                <w:noProof/>
                <w:webHidden/>
              </w:rPr>
            </w:r>
            <w:r w:rsidR="0075357A">
              <w:rPr>
                <w:noProof/>
                <w:webHidden/>
              </w:rPr>
              <w:fldChar w:fldCharType="separate"/>
            </w:r>
            <w:r w:rsidR="0075357A">
              <w:rPr>
                <w:noProof/>
                <w:webHidden/>
              </w:rPr>
              <w:t>21</w:t>
            </w:r>
            <w:r w:rsidR="0075357A">
              <w:rPr>
                <w:noProof/>
                <w:webHidden/>
              </w:rPr>
              <w:fldChar w:fldCharType="end"/>
            </w:r>
          </w:hyperlink>
        </w:p>
        <w:p w14:paraId="417A731B" w14:textId="16EB02F1" w:rsidR="0075357A" w:rsidRDefault="00112BD6">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60184703" w:history="1">
            <w:r w:rsidR="0075357A" w:rsidRPr="00242C2E">
              <w:rPr>
                <w:rStyle w:val="Hyperlink"/>
                <w:noProof/>
              </w:rPr>
              <w:t>Attachment 1. Product Information</w:t>
            </w:r>
            <w:r w:rsidR="0075357A">
              <w:rPr>
                <w:noProof/>
                <w:webHidden/>
              </w:rPr>
              <w:tab/>
            </w:r>
            <w:r w:rsidR="0075357A">
              <w:rPr>
                <w:noProof/>
                <w:webHidden/>
              </w:rPr>
              <w:fldChar w:fldCharType="begin"/>
            </w:r>
            <w:r w:rsidR="0075357A">
              <w:rPr>
                <w:noProof/>
                <w:webHidden/>
              </w:rPr>
              <w:instrText xml:space="preserve"> PAGEREF _Toc160184703 \h </w:instrText>
            </w:r>
            <w:r w:rsidR="0075357A">
              <w:rPr>
                <w:noProof/>
                <w:webHidden/>
              </w:rPr>
            </w:r>
            <w:r w:rsidR="0075357A">
              <w:rPr>
                <w:noProof/>
                <w:webHidden/>
              </w:rPr>
              <w:fldChar w:fldCharType="separate"/>
            </w:r>
            <w:r w:rsidR="0075357A">
              <w:rPr>
                <w:noProof/>
                <w:webHidden/>
              </w:rPr>
              <w:t>21</w:t>
            </w:r>
            <w:r w:rsidR="0075357A">
              <w:rPr>
                <w:noProof/>
                <w:webHidden/>
              </w:rPr>
              <w:fldChar w:fldCharType="end"/>
            </w:r>
          </w:hyperlink>
        </w:p>
        <w:p w14:paraId="77659F2D" w14:textId="119EB38B" w:rsidR="00F02AEC" w:rsidRPr="00B54541" w:rsidRDefault="00F02AEC" w:rsidP="007452E8">
          <w:r w:rsidRPr="00B54541">
            <w:fldChar w:fldCharType="end"/>
          </w:r>
        </w:p>
      </w:sdtContent>
    </w:sdt>
    <w:p w14:paraId="10987AE2" w14:textId="77777777" w:rsidR="00F02AEC" w:rsidRPr="00B54541" w:rsidRDefault="00F02AEC" w:rsidP="007452E8">
      <w:r w:rsidRPr="00B54541">
        <w:br w:type="page"/>
      </w:r>
    </w:p>
    <w:p w14:paraId="1E73AB93" w14:textId="77777777" w:rsidR="00324B33" w:rsidRPr="00B54541" w:rsidRDefault="00324B33" w:rsidP="00324B33">
      <w:pPr>
        <w:pStyle w:val="Heading2"/>
      </w:pPr>
      <w:bookmarkStart w:id="0" w:name="_Toc98931917"/>
      <w:bookmarkStart w:id="1" w:name="_Toc103679287"/>
      <w:bookmarkStart w:id="2" w:name="_Toc160184677"/>
      <w:bookmarkStart w:id="3" w:name="_Toc323739589"/>
      <w:bookmarkStart w:id="4" w:name="_Toc356305216"/>
      <w:r w:rsidRPr="00B54541">
        <w:lastRenderedPageBreak/>
        <w:t>List of abbreviations</w:t>
      </w:r>
      <w:bookmarkEnd w:id="0"/>
      <w:bookmarkEnd w:id="1"/>
      <w:bookmarkEnd w:id="2"/>
    </w:p>
    <w:tbl>
      <w:tblPr>
        <w:tblStyle w:val="TableTGAblue2023"/>
        <w:tblW w:w="5000" w:type="pct"/>
        <w:tblLook w:val="04A0" w:firstRow="1" w:lastRow="0" w:firstColumn="1" w:lastColumn="0" w:noHBand="0" w:noVBand="1"/>
      </w:tblPr>
      <w:tblGrid>
        <w:gridCol w:w="2174"/>
        <w:gridCol w:w="6886"/>
      </w:tblGrid>
      <w:tr w:rsidR="00324B33" w:rsidRPr="00B54541" w14:paraId="2117AEF6" w14:textId="77777777" w:rsidTr="00BD5DBD">
        <w:trPr>
          <w:cnfStyle w:val="100000000000" w:firstRow="1" w:lastRow="0" w:firstColumn="0" w:lastColumn="0" w:oddVBand="0" w:evenVBand="0" w:oddHBand="0"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200" w:type="pct"/>
          </w:tcPr>
          <w:p w14:paraId="1207B6A7" w14:textId="67F7D360" w:rsidR="00324B33" w:rsidRPr="00B54541" w:rsidRDefault="00324B33" w:rsidP="00324B33">
            <w:pPr>
              <w:rPr>
                <w:szCs w:val="22"/>
              </w:rPr>
            </w:pPr>
            <w:r w:rsidRPr="00B54541">
              <w:rPr>
                <w:szCs w:val="22"/>
              </w:rPr>
              <w:t>Abbreviation</w:t>
            </w:r>
          </w:p>
        </w:tc>
        <w:tc>
          <w:tcPr>
            <w:tcW w:w="3800" w:type="pct"/>
          </w:tcPr>
          <w:p w14:paraId="4CF6D0CD" w14:textId="2974FA0B" w:rsidR="00324B33" w:rsidRPr="00B54541" w:rsidRDefault="00324B33" w:rsidP="00324B33">
            <w:pPr>
              <w:cnfStyle w:val="100000000000" w:firstRow="1" w:lastRow="0" w:firstColumn="0" w:lastColumn="0" w:oddVBand="0" w:evenVBand="0" w:oddHBand="0" w:evenHBand="0" w:firstRowFirstColumn="0" w:firstRowLastColumn="0" w:lastRowFirstColumn="0" w:lastRowLastColumn="0"/>
              <w:rPr>
                <w:szCs w:val="22"/>
              </w:rPr>
            </w:pPr>
            <w:r w:rsidRPr="00B54541">
              <w:rPr>
                <w:szCs w:val="22"/>
              </w:rPr>
              <w:t>Meaning</w:t>
            </w:r>
          </w:p>
        </w:tc>
      </w:tr>
      <w:tr w:rsidR="005328CE" w:rsidRPr="00B54541" w14:paraId="2C8657A9"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346CFA8D" w14:textId="01330F68" w:rsidR="005328CE" w:rsidRPr="00B54541" w:rsidRDefault="005328CE" w:rsidP="005328CE">
            <w:r w:rsidRPr="00B54541">
              <w:rPr>
                <w:szCs w:val="22"/>
              </w:rPr>
              <w:t>ACM</w:t>
            </w:r>
          </w:p>
        </w:tc>
        <w:tc>
          <w:tcPr>
            <w:tcW w:w="3800" w:type="pct"/>
          </w:tcPr>
          <w:p w14:paraId="53D4D108" w14:textId="1EE2A9C1" w:rsidR="005328CE" w:rsidRPr="00B54541" w:rsidRDefault="005328CE" w:rsidP="005328CE">
            <w:pPr>
              <w:cnfStyle w:val="000000000000" w:firstRow="0" w:lastRow="0" w:firstColumn="0" w:lastColumn="0" w:oddVBand="0" w:evenVBand="0" w:oddHBand="0" w:evenHBand="0" w:firstRowFirstColumn="0" w:firstRowLastColumn="0" w:lastRowFirstColumn="0" w:lastRowLastColumn="0"/>
            </w:pPr>
            <w:r w:rsidRPr="00B54541">
              <w:rPr>
                <w:szCs w:val="22"/>
              </w:rPr>
              <w:t>Advisory Committee on Medicines</w:t>
            </w:r>
          </w:p>
        </w:tc>
      </w:tr>
      <w:tr w:rsidR="005328CE" w:rsidRPr="00B54541" w14:paraId="2F49887B"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6E6D715A" w14:textId="3305A8BB" w:rsidR="005328CE" w:rsidRPr="00B54541" w:rsidRDefault="005328CE" w:rsidP="005328CE">
            <w:r w:rsidRPr="00B54541">
              <w:t>ADR</w:t>
            </w:r>
          </w:p>
        </w:tc>
        <w:tc>
          <w:tcPr>
            <w:tcW w:w="3800" w:type="pct"/>
          </w:tcPr>
          <w:p w14:paraId="77A27AAF" w14:textId="410E9177" w:rsidR="005328CE" w:rsidRPr="00B54541" w:rsidRDefault="00B54541" w:rsidP="005328CE">
            <w:pPr>
              <w:cnfStyle w:val="000000000000" w:firstRow="0" w:lastRow="0" w:firstColumn="0" w:lastColumn="0" w:oddVBand="0" w:evenVBand="0" w:oddHBand="0" w:evenHBand="0" w:firstRowFirstColumn="0" w:firstRowLastColumn="0" w:lastRowFirstColumn="0" w:lastRowLastColumn="0"/>
            </w:pPr>
            <w:r w:rsidRPr="00B54541">
              <w:t xml:space="preserve">Adverse </w:t>
            </w:r>
            <w:r w:rsidR="005328CE" w:rsidRPr="00B54541">
              <w:t>drug reaction</w:t>
            </w:r>
          </w:p>
        </w:tc>
      </w:tr>
      <w:tr w:rsidR="005328CE" w:rsidRPr="00B54541" w14:paraId="0F1A00F0"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6FE4C584" w14:textId="73A2BBAB" w:rsidR="005328CE" w:rsidRPr="00B54541" w:rsidRDefault="005328CE" w:rsidP="005328CE">
            <w:r w:rsidRPr="00B54541">
              <w:t>A</w:t>
            </w:r>
            <w:r w:rsidRPr="00B54541">
              <w:rPr>
                <w:vertAlign w:val="subscript"/>
              </w:rPr>
              <w:t>max</w:t>
            </w:r>
          </w:p>
        </w:tc>
        <w:tc>
          <w:tcPr>
            <w:tcW w:w="3800" w:type="pct"/>
          </w:tcPr>
          <w:p w14:paraId="367A5BA1" w14:textId="1B5FA392" w:rsidR="005328CE" w:rsidRPr="00B54541" w:rsidRDefault="00B54541" w:rsidP="005328CE">
            <w:pPr>
              <w:cnfStyle w:val="000000000000" w:firstRow="0" w:lastRow="0" w:firstColumn="0" w:lastColumn="0" w:oddVBand="0" w:evenVBand="0" w:oddHBand="0" w:evenHBand="0" w:firstRowFirstColumn="0" w:firstRowLastColumn="0" w:lastRowFirstColumn="0" w:lastRowLastColumn="0"/>
            </w:pPr>
            <w:r w:rsidRPr="00B54541">
              <w:t xml:space="preserve">Maximum </w:t>
            </w:r>
            <w:r w:rsidR="005328CE" w:rsidRPr="00B54541">
              <w:t>activity</w:t>
            </w:r>
          </w:p>
        </w:tc>
      </w:tr>
      <w:tr w:rsidR="005328CE" w:rsidRPr="00B54541" w14:paraId="4FAE7065"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314B54DE" w14:textId="721AA1E3" w:rsidR="005328CE" w:rsidRPr="00B54541" w:rsidRDefault="005328CE" w:rsidP="005328CE">
            <w:r w:rsidRPr="00B54541">
              <w:t>ARTG</w:t>
            </w:r>
          </w:p>
        </w:tc>
        <w:tc>
          <w:tcPr>
            <w:tcW w:w="3800" w:type="pct"/>
          </w:tcPr>
          <w:p w14:paraId="32039D18" w14:textId="02C18172" w:rsidR="005328CE" w:rsidRPr="00B54541" w:rsidRDefault="005328CE" w:rsidP="005328CE">
            <w:pPr>
              <w:cnfStyle w:val="000000000000" w:firstRow="0" w:lastRow="0" w:firstColumn="0" w:lastColumn="0" w:oddVBand="0" w:evenVBand="0" w:oddHBand="0" w:evenHBand="0" w:firstRowFirstColumn="0" w:firstRowLastColumn="0" w:lastRowFirstColumn="0" w:lastRowLastColumn="0"/>
            </w:pPr>
            <w:r w:rsidRPr="00B54541">
              <w:t>Australian Register of Therapeutic Goods</w:t>
            </w:r>
          </w:p>
        </w:tc>
      </w:tr>
      <w:tr w:rsidR="005328CE" w:rsidRPr="00B54541" w14:paraId="6A6B7DDC"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1379D7DC" w14:textId="57B3350D" w:rsidR="005328CE" w:rsidRPr="00B54541" w:rsidRDefault="005328CE" w:rsidP="005328CE">
            <w:r w:rsidRPr="00B54541">
              <w:rPr>
                <w:szCs w:val="22"/>
              </w:rPr>
              <w:t>ASA</w:t>
            </w:r>
          </w:p>
        </w:tc>
        <w:tc>
          <w:tcPr>
            <w:tcW w:w="3800" w:type="pct"/>
          </w:tcPr>
          <w:p w14:paraId="445ACCB1" w14:textId="11071535" w:rsidR="005328CE" w:rsidRPr="00B54541" w:rsidRDefault="005328CE" w:rsidP="005328CE">
            <w:pPr>
              <w:cnfStyle w:val="000000000000" w:firstRow="0" w:lastRow="0" w:firstColumn="0" w:lastColumn="0" w:oddVBand="0" w:evenVBand="0" w:oddHBand="0" w:evenHBand="0" w:firstRowFirstColumn="0" w:firstRowLastColumn="0" w:lastRowFirstColumn="0" w:lastRowLastColumn="0"/>
            </w:pPr>
            <w:r w:rsidRPr="00B54541">
              <w:rPr>
                <w:szCs w:val="22"/>
              </w:rPr>
              <w:t>Australia</w:t>
            </w:r>
            <w:r w:rsidRPr="00B54541">
              <w:rPr>
                <w:szCs w:val="22"/>
              </w:rPr>
              <w:noBreakHyphen/>
              <w:t>specific annex</w:t>
            </w:r>
          </w:p>
        </w:tc>
      </w:tr>
      <w:tr w:rsidR="005328CE" w:rsidRPr="00B54541" w14:paraId="62C01E8B"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0C9B07B2" w14:textId="7F609F92" w:rsidR="005328CE" w:rsidRPr="00B54541" w:rsidRDefault="005328CE" w:rsidP="005328CE">
            <w:r w:rsidRPr="00B54541">
              <w:t>AUC</w:t>
            </w:r>
            <w:r w:rsidRPr="00B54541">
              <w:rPr>
                <w:vertAlign w:val="subscript"/>
              </w:rPr>
              <w:t>0-t</w:t>
            </w:r>
          </w:p>
        </w:tc>
        <w:tc>
          <w:tcPr>
            <w:tcW w:w="3800" w:type="pct"/>
          </w:tcPr>
          <w:p w14:paraId="3282E60C" w14:textId="40E98C3F" w:rsidR="005328CE" w:rsidRPr="00B54541" w:rsidRDefault="00B54541" w:rsidP="005328CE">
            <w:pPr>
              <w:cnfStyle w:val="000000000000" w:firstRow="0" w:lastRow="0" w:firstColumn="0" w:lastColumn="0" w:oddVBand="0" w:evenVBand="0" w:oddHBand="0" w:evenHBand="0" w:firstRowFirstColumn="0" w:firstRowLastColumn="0" w:lastRowFirstColumn="0" w:lastRowLastColumn="0"/>
            </w:pPr>
            <w:r w:rsidRPr="00B54541">
              <w:t xml:space="preserve">Area </w:t>
            </w:r>
            <w:r w:rsidR="005328CE" w:rsidRPr="00B54541">
              <w:t>under the concentration-time curve from time zero to the last quantifiable concentration</w:t>
            </w:r>
          </w:p>
        </w:tc>
      </w:tr>
      <w:tr w:rsidR="005328CE" w:rsidRPr="00B54541" w14:paraId="75E1D1A5"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506F98FC" w14:textId="7334A02C" w:rsidR="005328CE" w:rsidRPr="00B54541" w:rsidRDefault="005328CE" w:rsidP="005328CE">
            <w:r w:rsidRPr="00B54541">
              <w:t>CI</w:t>
            </w:r>
          </w:p>
        </w:tc>
        <w:tc>
          <w:tcPr>
            <w:tcW w:w="3800" w:type="pct"/>
          </w:tcPr>
          <w:p w14:paraId="644CEB0A" w14:textId="44F1B44A" w:rsidR="005328CE" w:rsidRPr="00B54541" w:rsidRDefault="005328CE" w:rsidP="005328CE">
            <w:pPr>
              <w:cnfStyle w:val="000000000000" w:firstRow="0" w:lastRow="0" w:firstColumn="0" w:lastColumn="0" w:oddVBand="0" w:evenVBand="0" w:oddHBand="0" w:evenHBand="0" w:firstRowFirstColumn="0" w:firstRowLastColumn="0" w:lastRowFirstColumn="0" w:lastRowLastColumn="0"/>
            </w:pPr>
            <w:r w:rsidRPr="00B54541">
              <w:t>Confidence interval</w:t>
            </w:r>
          </w:p>
        </w:tc>
      </w:tr>
      <w:tr w:rsidR="005328CE" w:rsidRPr="00B54541" w14:paraId="6668C507"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762BF60C" w14:textId="5C5B804C" w:rsidR="005328CE" w:rsidRPr="00B54541" w:rsidRDefault="005328CE" w:rsidP="005328CE">
            <w:r w:rsidRPr="00B54541">
              <w:t>CV</w:t>
            </w:r>
          </w:p>
        </w:tc>
        <w:tc>
          <w:tcPr>
            <w:tcW w:w="3800" w:type="pct"/>
          </w:tcPr>
          <w:p w14:paraId="0F8B19C8" w14:textId="687D2F53" w:rsidR="005328CE" w:rsidRPr="00B54541" w:rsidRDefault="00B54541" w:rsidP="005328CE">
            <w:pPr>
              <w:cnfStyle w:val="000000000000" w:firstRow="0" w:lastRow="0" w:firstColumn="0" w:lastColumn="0" w:oddVBand="0" w:evenVBand="0" w:oddHBand="0" w:evenHBand="0" w:firstRowFirstColumn="0" w:firstRowLastColumn="0" w:lastRowFirstColumn="0" w:lastRowLastColumn="0"/>
            </w:pPr>
            <w:r w:rsidRPr="00B54541">
              <w:t xml:space="preserve">Coefficient </w:t>
            </w:r>
            <w:r w:rsidR="005328CE" w:rsidRPr="00B54541">
              <w:t>of variation</w:t>
            </w:r>
          </w:p>
        </w:tc>
      </w:tr>
      <w:tr w:rsidR="005328CE" w:rsidRPr="00B54541" w14:paraId="2B01CD82"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05B398D9" w14:textId="7F35CCB7" w:rsidR="005328CE" w:rsidRPr="00B54541" w:rsidRDefault="005328CE" w:rsidP="005328CE">
            <w:r w:rsidRPr="00B54541">
              <w:t>LSM</w:t>
            </w:r>
          </w:p>
        </w:tc>
        <w:tc>
          <w:tcPr>
            <w:tcW w:w="3800" w:type="pct"/>
          </w:tcPr>
          <w:p w14:paraId="55FB769A" w14:textId="55F82991" w:rsidR="005328CE" w:rsidRPr="00B54541" w:rsidRDefault="00B54541" w:rsidP="005328CE">
            <w:pPr>
              <w:cnfStyle w:val="000000000000" w:firstRow="0" w:lastRow="0" w:firstColumn="0" w:lastColumn="0" w:oddVBand="0" w:evenVBand="0" w:oddHBand="0" w:evenHBand="0" w:firstRowFirstColumn="0" w:firstRowLastColumn="0" w:lastRowFirstColumn="0" w:lastRowLastColumn="0"/>
            </w:pPr>
            <w:r w:rsidRPr="00B54541">
              <w:t>Least</w:t>
            </w:r>
            <w:r w:rsidR="005328CE" w:rsidRPr="00B54541">
              <w:t>-squares means</w:t>
            </w:r>
          </w:p>
        </w:tc>
      </w:tr>
      <w:tr w:rsidR="005328CE" w:rsidRPr="00B54541" w14:paraId="00E20EDA"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0237466B" w14:textId="7B6075CB" w:rsidR="005328CE" w:rsidRPr="00B54541" w:rsidRDefault="005328CE" w:rsidP="005328CE">
            <w:r w:rsidRPr="00B54541">
              <w:t>PCI</w:t>
            </w:r>
          </w:p>
        </w:tc>
        <w:tc>
          <w:tcPr>
            <w:tcW w:w="3800" w:type="pct"/>
          </w:tcPr>
          <w:p w14:paraId="1D953A16" w14:textId="7D171D9F" w:rsidR="005328CE" w:rsidRPr="00B54541" w:rsidRDefault="00B54541" w:rsidP="005328CE">
            <w:pPr>
              <w:cnfStyle w:val="000000000000" w:firstRow="0" w:lastRow="0" w:firstColumn="0" w:lastColumn="0" w:oddVBand="0" w:evenVBand="0" w:oddHBand="0" w:evenHBand="0" w:firstRowFirstColumn="0" w:firstRowLastColumn="0" w:lastRowFirstColumn="0" w:lastRowLastColumn="0"/>
            </w:pPr>
            <w:r w:rsidRPr="00B54541">
              <w:t xml:space="preserve">Percutaneous </w:t>
            </w:r>
            <w:r w:rsidR="00C37B92" w:rsidRPr="00B54541">
              <w:t>coronary intervention</w:t>
            </w:r>
          </w:p>
        </w:tc>
      </w:tr>
      <w:tr w:rsidR="005328CE" w:rsidRPr="00B54541" w14:paraId="7DFFD58D"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5C937EB5" w14:textId="5AB077DC" w:rsidR="005328CE" w:rsidRPr="00B54541" w:rsidRDefault="005328CE" w:rsidP="005328CE">
            <w:r w:rsidRPr="00B54541">
              <w:t>PD</w:t>
            </w:r>
          </w:p>
        </w:tc>
        <w:tc>
          <w:tcPr>
            <w:tcW w:w="3800" w:type="pct"/>
          </w:tcPr>
          <w:p w14:paraId="2170C344" w14:textId="3EF313A8" w:rsidR="005328CE" w:rsidRPr="00B54541" w:rsidRDefault="005328CE" w:rsidP="005328CE">
            <w:pPr>
              <w:cnfStyle w:val="000000000000" w:firstRow="0" w:lastRow="0" w:firstColumn="0" w:lastColumn="0" w:oddVBand="0" w:evenVBand="0" w:oddHBand="0" w:evenHBand="0" w:firstRowFirstColumn="0" w:firstRowLastColumn="0" w:lastRowFirstColumn="0" w:lastRowLastColumn="0"/>
            </w:pPr>
            <w:r w:rsidRPr="00B54541">
              <w:t>Pharmacodynamic(s)</w:t>
            </w:r>
          </w:p>
        </w:tc>
      </w:tr>
      <w:tr w:rsidR="00305269" w:rsidRPr="00B54541" w14:paraId="5A79D17D"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2679610F" w14:textId="44303D73" w:rsidR="00305269" w:rsidRPr="00B54541" w:rsidRDefault="00305269" w:rsidP="005328CE">
            <w:r w:rsidRPr="00B54541">
              <w:t>PF4</w:t>
            </w:r>
          </w:p>
        </w:tc>
        <w:tc>
          <w:tcPr>
            <w:tcW w:w="3800" w:type="pct"/>
          </w:tcPr>
          <w:p w14:paraId="198D3D6A" w14:textId="68CE1420" w:rsidR="00305269" w:rsidRPr="00B54541" w:rsidRDefault="00B54541" w:rsidP="005328CE">
            <w:pPr>
              <w:cnfStyle w:val="000000000000" w:firstRow="0" w:lastRow="0" w:firstColumn="0" w:lastColumn="0" w:oddVBand="0" w:evenVBand="0" w:oddHBand="0" w:evenHBand="0" w:firstRowFirstColumn="0" w:firstRowLastColumn="0" w:lastRowFirstColumn="0" w:lastRowLastColumn="0"/>
            </w:pPr>
            <w:r w:rsidRPr="00B54541">
              <w:t xml:space="preserve">Platelet </w:t>
            </w:r>
            <w:r w:rsidR="00305269" w:rsidRPr="00B54541">
              <w:t>factor 4</w:t>
            </w:r>
          </w:p>
        </w:tc>
      </w:tr>
      <w:tr w:rsidR="005328CE" w:rsidRPr="00B54541" w14:paraId="5C286F80"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7FEE4B1E" w14:textId="164A6E86" w:rsidR="005328CE" w:rsidRPr="00B54541" w:rsidRDefault="005328CE" w:rsidP="005328CE">
            <w:r w:rsidRPr="00B54541">
              <w:t>PI</w:t>
            </w:r>
          </w:p>
        </w:tc>
        <w:tc>
          <w:tcPr>
            <w:tcW w:w="3800" w:type="pct"/>
          </w:tcPr>
          <w:p w14:paraId="73C4B388" w14:textId="407EC92C" w:rsidR="005328CE" w:rsidRPr="00B54541" w:rsidRDefault="005328CE" w:rsidP="005328CE">
            <w:pPr>
              <w:cnfStyle w:val="000000000000" w:firstRow="0" w:lastRow="0" w:firstColumn="0" w:lastColumn="0" w:oddVBand="0" w:evenVBand="0" w:oddHBand="0" w:evenHBand="0" w:firstRowFirstColumn="0" w:firstRowLastColumn="0" w:lastRowFirstColumn="0" w:lastRowLastColumn="0"/>
            </w:pPr>
            <w:r w:rsidRPr="00B54541">
              <w:t>Product Information</w:t>
            </w:r>
          </w:p>
        </w:tc>
      </w:tr>
      <w:tr w:rsidR="005328CE" w:rsidRPr="00B54541" w14:paraId="203FCB49"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1D004031" w14:textId="4A6670DB" w:rsidR="005328CE" w:rsidRPr="00B54541" w:rsidRDefault="005328CE" w:rsidP="005328CE">
            <w:r w:rsidRPr="00B54541">
              <w:t>PK</w:t>
            </w:r>
          </w:p>
        </w:tc>
        <w:tc>
          <w:tcPr>
            <w:tcW w:w="3800" w:type="pct"/>
          </w:tcPr>
          <w:p w14:paraId="2DAB5099" w14:textId="57046A62" w:rsidR="005328CE" w:rsidRPr="00B54541" w:rsidRDefault="005328CE" w:rsidP="005328CE">
            <w:pPr>
              <w:cnfStyle w:val="000000000000" w:firstRow="0" w:lastRow="0" w:firstColumn="0" w:lastColumn="0" w:oddVBand="0" w:evenVBand="0" w:oddHBand="0" w:evenHBand="0" w:firstRowFirstColumn="0" w:firstRowLastColumn="0" w:lastRowFirstColumn="0" w:lastRowLastColumn="0"/>
            </w:pPr>
            <w:r w:rsidRPr="00B54541">
              <w:t>Pharmacokinetic(s)</w:t>
            </w:r>
          </w:p>
        </w:tc>
      </w:tr>
      <w:tr w:rsidR="005328CE" w:rsidRPr="00B54541" w14:paraId="34BBBFB9"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215B5D26" w14:textId="21B6F41A" w:rsidR="005328CE" w:rsidRPr="00B54541" w:rsidRDefault="005328CE" w:rsidP="005328CE">
            <w:r w:rsidRPr="00B54541">
              <w:t>PSUR</w:t>
            </w:r>
          </w:p>
        </w:tc>
        <w:tc>
          <w:tcPr>
            <w:tcW w:w="3800" w:type="pct"/>
          </w:tcPr>
          <w:p w14:paraId="491138C5" w14:textId="37E9BB85" w:rsidR="005328CE" w:rsidRPr="00B54541" w:rsidRDefault="005328CE" w:rsidP="005328CE">
            <w:pPr>
              <w:cnfStyle w:val="000000000000" w:firstRow="0" w:lastRow="0" w:firstColumn="0" w:lastColumn="0" w:oddVBand="0" w:evenVBand="0" w:oddHBand="0" w:evenHBand="0" w:firstRowFirstColumn="0" w:firstRowLastColumn="0" w:lastRowFirstColumn="0" w:lastRowLastColumn="0"/>
            </w:pPr>
            <w:r w:rsidRPr="00B54541">
              <w:t>Periodic Safety Update Report</w:t>
            </w:r>
          </w:p>
        </w:tc>
      </w:tr>
      <w:tr w:rsidR="005328CE" w:rsidRPr="00B54541" w14:paraId="0CE21BC5"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040293F5" w14:textId="595016BA" w:rsidR="005328CE" w:rsidRPr="00B54541" w:rsidRDefault="005328CE" w:rsidP="005328CE">
            <w:proofErr w:type="spellStart"/>
            <w:r w:rsidRPr="00B54541">
              <w:t>R</w:t>
            </w:r>
            <w:r w:rsidRPr="00B54541">
              <w:rPr>
                <w:vertAlign w:val="subscript"/>
              </w:rPr>
              <w:t>max</w:t>
            </w:r>
            <w:proofErr w:type="spellEnd"/>
          </w:p>
        </w:tc>
        <w:tc>
          <w:tcPr>
            <w:tcW w:w="3800" w:type="pct"/>
          </w:tcPr>
          <w:p w14:paraId="71F2DBAB" w14:textId="2E315923" w:rsidR="005328CE" w:rsidRPr="00B54541" w:rsidRDefault="00B83155" w:rsidP="005328CE">
            <w:pPr>
              <w:cnfStyle w:val="000000000000" w:firstRow="0" w:lastRow="0" w:firstColumn="0" w:lastColumn="0" w:oddVBand="0" w:evenVBand="0" w:oddHBand="0" w:evenHBand="0" w:firstRowFirstColumn="0" w:firstRowLastColumn="0" w:lastRowFirstColumn="0" w:lastRowLastColumn="0"/>
            </w:pPr>
            <w:r w:rsidRPr="00B54541">
              <w:t>M</w:t>
            </w:r>
            <w:r w:rsidR="005328CE" w:rsidRPr="00B54541">
              <w:t>aximum observed response (</w:t>
            </w:r>
            <w:r w:rsidR="00C31BC1" w:rsidRPr="00B54541">
              <w:t>anti-factor Xa</w:t>
            </w:r>
            <w:r w:rsidR="005328CE" w:rsidRPr="00B54541">
              <w:t>/</w:t>
            </w:r>
            <w:r w:rsidR="00C31BC1" w:rsidRPr="00B54541">
              <w:t xml:space="preserve">anti-factor </w:t>
            </w:r>
            <w:proofErr w:type="spellStart"/>
            <w:r w:rsidR="00C31BC1" w:rsidRPr="00B54541">
              <w:t>IIa</w:t>
            </w:r>
            <w:proofErr w:type="spellEnd"/>
            <w:r w:rsidR="005328CE" w:rsidRPr="00B54541">
              <w:t>)</w:t>
            </w:r>
          </w:p>
        </w:tc>
      </w:tr>
      <w:tr w:rsidR="005328CE" w:rsidRPr="00B54541" w14:paraId="1C132FCC"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5FEF10DF" w14:textId="271D77C2" w:rsidR="005328CE" w:rsidRPr="00B54541" w:rsidRDefault="005328CE" w:rsidP="005328CE">
            <w:proofErr w:type="spellStart"/>
            <w:r w:rsidRPr="00B54541">
              <w:t>R</w:t>
            </w:r>
            <w:r w:rsidRPr="00B54541">
              <w:rPr>
                <w:vertAlign w:val="subscript"/>
              </w:rPr>
              <w:t>min</w:t>
            </w:r>
            <w:proofErr w:type="spellEnd"/>
          </w:p>
        </w:tc>
        <w:tc>
          <w:tcPr>
            <w:tcW w:w="3800" w:type="pct"/>
          </w:tcPr>
          <w:p w14:paraId="71671EBD" w14:textId="4F29EA1F" w:rsidR="005328CE" w:rsidRPr="00B54541" w:rsidRDefault="00B83155" w:rsidP="005328CE">
            <w:pPr>
              <w:cnfStyle w:val="000000000000" w:firstRow="0" w:lastRow="0" w:firstColumn="0" w:lastColumn="0" w:oddVBand="0" w:evenVBand="0" w:oddHBand="0" w:evenHBand="0" w:firstRowFirstColumn="0" w:firstRowLastColumn="0" w:lastRowFirstColumn="0" w:lastRowLastColumn="0"/>
            </w:pPr>
            <w:r w:rsidRPr="00B54541">
              <w:t>M</w:t>
            </w:r>
            <w:r w:rsidR="005328CE" w:rsidRPr="00B54541">
              <w:t>inimum observed response (</w:t>
            </w:r>
            <w:r w:rsidR="00C31BC1" w:rsidRPr="00B54541">
              <w:t>anti-factor Xa</w:t>
            </w:r>
            <w:r w:rsidR="005328CE" w:rsidRPr="00B54541">
              <w:t>/</w:t>
            </w:r>
            <w:r w:rsidR="00C31BC1" w:rsidRPr="00B54541">
              <w:t xml:space="preserve">anti-factor </w:t>
            </w:r>
            <w:proofErr w:type="spellStart"/>
            <w:r w:rsidR="00C31BC1" w:rsidRPr="00B54541">
              <w:t>IIa</w:t>
            </w:r>
            <w:proofErr w:type="spellEnd"/>
            <w:r w:rsidR="005328CE" w:rsidRPr="00B54541">
              <w:t>)</w:t>
            </w:r>
          </w:p>
        </w:tc>
      </w:tr>
      <w:tr w:rsidR="005328CE" w:rsidRPr="00B54541" w14:paraId="1C608F10"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2F750CE5" w14:textId="51309884" w:rsidR="005328CE" w:rsidRPr="00B54541" w:rsidRDefault="005328CE" w:rsidP="005328CE">
            <w:r w:rsidRPr="00B54541">
              <w:rPr>
                <w:szCs w:val="22"/>
              </w:rPr>
              <w:t>RMP</w:t>
            </w:r>
          </w:p>
        </w:tc>
        <w:tc>
          <w:tcPr>
            <w:tcW w:w="3800" w:type="pct"/>
          </w:tcPr>
          <w:p w14:paraId="387C8755" w14:textId="5057D6A5" w:rsidR="005328CE" w:rsidRPr="00B54541" w:rsidRDefault="005328CE" w:rsidP="005328CE">
            <w:pPr>
              <w:cnfStyle w:val="000000000000" w:firstRow="0" w:lastRow="0" w:firstColumn="0" w:lastColumn="0" w:oddVBand="0" w:evenVBand="0" w:oddHBand="0" w:evenHBand="0" w:firstRowFirstColumn="0" w:firstRowLastColumn="0" w:lastRowFirstColumn="0" w:lastRowLastColumn="0"/>
            </w:pPr>
            <w:r w:rsidRPr="00B54541">
              <w:rPr>
                <w:szCs w:val="22"/>
              </w:rPr>
              <w:t>Risk management plan</w:t>
            </w:r>
          </w:p>
        </w:tc>
      </w:tr>
      <w:tr w:rsidR="005328CE" w:rsidRPr="00B54541" w14:paraId="7E21E78E"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69D2E064" w14:textId="75BD23E0" w:rsidR="005328CE" w:rsidRPr="00B54541" w:rsidRDefault="005328CE" w:rsidP="005328CE">
            <w:r w:rsidRPr="00B54541">
              <w:t>STEMI</w:t>
            </w:r>
          </w:p>
        </w:tc>
        <w:tc>
          <w:tcPr>
            <w:tcW w:w="3800" w:type="pct"/>
          </w:tcPr>
          <w:p w14:paraId="59F74514" w14:textId="7F7E181B" w:rsidR="005328CE" w:rsidRPr="00B54541" w:rsidRDefault="005328CE" w:rsidP="005328CE">
            <w:pPr>
              <w:cnfStyle w:val="000000000000" w:firstRow="0" w:lastRow="0" w:firstColumn="0" w:lastColumn="0" w:oddVBand="0" w:evenVBand="0" w:oddHBand="0" w:evenHBand="0" w:firstRowFirstColumn="0" w:firstRowLastColumn="0" w:lastRowFirstColumn="0" w:lastRowLastColumn="0"/>
            </w:pPr>
            <w:r w:rsidRPr="00B54541">
              <w:t xml:space="preserve">ST-segment </w:t>
            </w:r>
            <w:r w:rsidR="00C00D87" w:rsidRPr="00B54541">
              <w:t>elevation myocardial infarction</w:t>
            </w:r>
          </w:p>
        </w:tc>
      </w:tr>
      <w:tr w:rsidR="005328CE" w:rsidRPr="00B54541" w14:paraId="3623AC3E"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13DC44B0" w14:textId="11939A26" w:rsidR="005328CE" w:rsidRPr="00B54541" w:rsidRDefault="005328CE" w:rsidP="005328CE">
            <w:r w:rsidRPr="00B54541">
              <w:t>TFPI</w:t>
            </w:r>
          </w:p>
        </w:tc>
        <w:tc>
          <w:tcPr>
            <w:tcW w:w="3800" w:type="pct"/>
          </w:tcPr>
          <w:p w14:paraId="0443BFD9" w14:textId="758FA16C" w:rsidR="005328CE" w:rsidRPr="00B54541" w:rsidRDefault="005328CE" w:rsidP="005328CE">
            <w:pPr>
              <w:cnfStyle w:val="000000000000" w:firstRow="0" w:lastRow="0" w:firstColumn="0" w:lastColumn="0" w:oddVBand="0" w:evenVBand="0" w:oddHBand="0" w:evenHBand="0" w:firstRowFirstColumn="0" w:firstRowLastColumn="0" w:lastRowFirstColumn="0" w:lastRowLastColumn="0"/>
            </w:pPr>
            <w:r w:rsidRPr="00B54541">
              <w:t xml:space="preserve">Tissue </w:t>
            </w:r>
            <w:r w:rsidR="00B54541" w:rsidRPr="00B54541">
              <w:t>factor pathway inhibitor</w:t>
            </w:r>
          </w:p>
        </w:tc>
      </w:tr>
      <w:tr w:rsidR="005328CE" w:rsidRPr="00B54541" w14:paraId="5A1FF482"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2B59D200" w14:textId="16F3F76C" w:rsidR="005328CE" w:rsidRPr="00B54541" w:rsidRDefault="005328CE" w:rsidP="005328CE">
            <w:r w:rsidRPr="00B54541">
              <w:t>TGA</w:t>
            </w:r>
          </w:p>
        </w:tc>
        <w:tc>
          <w:tcPr>
            <w:tcW w:w="3800" w:type="pct"/>
          </w:tcPr>
          <w:p w14:paraId="2FDA05DE" w14:textId="286795B2" w:rsidR="005328CE" w:rsidRPr="00B54541" w:rsidRDefault="005328CE" w:rsidP="005328CE">
            <w:pPr>
              <w:cnfStyle w:val="000000000000" w:firstRow="0" w:lastRow="0" w:firstColumn="0" w:lastColumn="0" w:oddVBand="0" w:evenVBand="0" w:oddHBand="0" w:evenHBand="0" w:firstRowFirstColumn="0" w:firstRowLastColumn="0" w:lastRowFirstColumn="0" w:lastRowLastColumn="0"/>
            </w:pPr>
            <w:r w:rsidRPr="00B54541">
              <w:t>Therapeutic Goods Administration</w:t>
            </w:r>
          </w:p>
        </w:tc>
      </w:tr>
    </w:tbl>
    <w:p w14:paraId="7378F926" w14:textId="77777777" w:rsidR="00324B33" w:rsidRPr="00B54541" w:rsidRDefault="00324B33" w:rsidP="00324B33"/>
    <w:p w14:paraId="02FB1F38" w14:textId="77777777" w:rsidR="00324B33" w:rsidRPr="00B54541" w:rsidRDefault="00324B33" w:rsidP="00324B33">
      <w:pPr>
        <w:spacing w:after="200" w:line="0" w:lineRule="auto"/>
        <w:rPr>
          <w:b/>
          <w:i/>
          <w:sz w:val="24"/>
          <w:szCs w:val="24"/>
        </w:rPr>
      </w:pPr>
      <w:r w:rsidRPr="00B54541">
        <w:rPr>
          <w:b/>
          <w:i/>
          <w:sz w:val="24"/>
          <w:szCs w:val="24"/>
        </w:rPr>
        <w:br w:type="page"/>
      </w:r>
    </w:p>
    <w:p w14:paraId="44C2A39C" w14:textId="77777777" w:rsidR="00324B33" w:rsidRPr="00B54541" w:rsidRDefault="00324B33" w:rsidP="00324B33">
      <w:pPr>
        <w:pStyle w:val="Heading2"/>
      </w:pPr>
      <w:bookmarkStart w:id="5" w:name="_Toc103679288"/>
      <w:bookmarkStart w:id="6" w:name="_Toc160184678"/>
      <w:r w:rsidRPr="00B54541">
        <w:lastRenderedPageBreak/>
        <w:t>Product submission</w:t>
      </w:r>
      <w:bookmarkEnd w:id="5"/>
      <w:bookmarkEnd w:id="6"/>
    </w:p>
    <w:p w14:paraId="21D559DF" w14:textId="77777777" w:rsidR="00324B33" w:rsidRPr="00B54541" w:rsidRDefault="00324B33" w:rsidP="00324B33">
      <w:pPr>
        <w:pStyle w:val="Heading3"/>
        <w:rPr>
          <w:lang w:eastAsia="en-AU"/>
        </w:rPr>
      </w:pPr>
      <w:bookmarkStart w:id="7" w:name="_Toc247691502"/>
      <w:bookmarkStart w:id="8" w:name="_Toc314842483"/>
      <w:bookmarkStart w:id="9" w:name="_Toc103679289"/>
      <w:bookmarkStart w:id="10" w:name="_Toc160184679"/>
      <w:r w:rsidRPr="00B54541">
        <w:rPr>
          <w:lang w:eastAsia="en-AU"/>
        </w:rPr>
        <w:t>Submission details</w:t>
      </w:r>
      <w:bookmarkEnd w:id="7"/>
      <w:bookmarkEnd w:id="8"/>
      <w:bookmarkEnd w:id="9"/>
      <w:bookmarkEnd w:id="10"/>
    </w:p>
    <w:tbl>
      <w:tblPr>
        <w:tblW w:w="5000" w:type="pct"/>
        <w:tblLook w:val="01E0" w:firstRow="1" w:lastRow="1" w:firstColumn="1" w:lastColumn="1" w:noHBand="0" w:noVBand="0"/>
      </w:tblPr>
      <w:tblGrid>
        <w:gridCol w:w="2861"/>
        <w:gridCol w:w="6209"/>
      </w:tblGrid>
      <w:tr w:rsidR="00324B33" w:rsidRPr="00B54541" w14:paraId="77D11C95" w14:textId="77777777" w:rsidTr="00F865A7">
        <w:tc>
          <w:tcPr>
            <w:tcW w:w="1577" w:type="pct"/>
          </w:tcPr>
          <w:p w14:paraId="10E57D62" w14:textId="5D7891EC" w:rsidR="00324B33" w:rsidRPr="00B54541" w:rsidRDefault="00324B33" w:rsidP="007452E8">
            <w:pPr>
              <w:rPr>
                <w:i/>
                <w:szCs w:val="22"/>
              </w:rPr>
            </w:pPr>
            <w:r w:rsidRPr="00B54541">
              <w:rPr>
                <w:i/>
                <w:szCs w:val="22"/>
              </w:rPr>
              <w:t>Type of submission:</w:t>
            </w:r>
          </w:p>
        </w:tc>
        <w:tc>
          <w:tcPr>
            <w:tcW w:w="3423" w:type="pct"/>
          </w:tcPr>
          <w:p w14:paraId="4F07C303" w14:textId="41BCD632" w:rsidR="00324B33" w:rsidRPr="00B54541" w:rsidRDefault="0062056A" w:rsidP="007452E8">
            <w:pPr>
              <w:rPr>
                <w:szCs w:val="22"/>
              </w:rPr>
            </w:pPr>
            <w:r w:rsidRPr="00B54541">
              <w:rPr>
                <w:szCs w:val="22"/>
              </w:rPr>
              <w:t xml:space="preserve">New biological entity </w:t>
            </w:r>
          </w:p>
        </w:tc>
      </w:tr>
      <w:tr w:rsidR="00324B33" w:rsidRPr="00B54541" w14:paraId="13482B61" w14:textId="77777777" w:rsidTr="00F865A7">
        <w:tc>
          <w:tcPr>
            <w:tcW w:w="1577" w:type="pct"/>
          </w:tcPr>
          <w:p w14:paraId="2C427FCF" w14:textId="1EAF6885" w:rsidR="00324B33" w:rsidRPr="00B54541" w:rsidRDefault="00324B33" w:rsidP="007452E8">
            <w:pPr>
              <w:rPr>
                <w:i/>
                <w:szCs w:val="22"/>
              </w:rPr>
            </w:pPr>
            <w:r w:rsidRPr="00B54541">
              <w:rPr>
                <w:i/>
                <w:szCs w:val="22"/>
              </w:rPr>
              <w:t>Product name</w:t>
            </w:r>
            <w:r w:rsidR="005969BF" w:rsidRPr="00B54541">
              <w:rPr>
                <w:i/>
                <w:szCs w:val="22"/>
              </w:rPr>
              <w:t>s</w:t>
            </w:r>
            <w:r w:rsidRPr="00B54541">
              <w:rPr>
                <w:i/>
                <w:szCs w:val="22"/>
              </w:rPr>
              <w:t>:</w:t>
            </w:r>
          </w:p>
        </w:tc>
        <w:tc>
          <w:tcPr>
            <w:tcW w:w="3423" w:type="pct"/>
          </w:tcPr>
          <w:p w14:paraId="0E2DEF76" w14:textId="4CF8EB1D" w:rsidR="00324B33" w:rsidRPr="00B54541" w:rsidRDefault="001F37EF" w:rsidP="007452E8">
            <w:pPr>
              <w:rPr>
                <w:szCs w:val="22"/>
              </w:rPr>
            </w:pPr>
            <w:r w:rsidRPr="00B54541">
              <w:rPr>
                <w:szCs w:val="22"/>
              </w:rPr>
              <w:t>Exarane/Exarane Forte</w:t>
            </w:r>
          </w:p>
        </w:tc>
      </w:tr>
      <w:tr w:rsidR="00324B33" w:rsidRPr="00B54541" w14:paraId="01255B5B" w14:textId="77777777" w:rsidTr="00F865A7">
        <w:tc>
          <w:tcPr>
            <w:tcW w:w="1577" w:type="pct"/>
          </w:tcPr>
          <w:p w14:paraId="52B4F3D7" w14:textId="5B572481" w:rsidR="00324B33" w:rsidRPr="00B54541" w:rsidRDefault="00324B33" w:rsidP="007452E8">
            <w:pPr>
              <w:rPr>
                <w:i/>
                <w:szCs w:val="22"/>
              </w:rPr>
            </w:pPr>
            <w:r w:rsidRPr="00B54541">
              <w:rPr>
                <w:i/>
                <w:szCs w:val="22"/>
              </w:rPr>
              <w:t>Active ingredient:</w:t>
            </w:r>
          </w:p>
        </w:tc>
        <w:tc>
          <w:tcPr>
            <w:tcW w:w="3423" w:type="pct"/>
          </w:tcPr>
          <w:p w14:paraId="02FB6383" w14:textId="1051D45B" w:rsidR="00324B33" w:rsidRPr="00B54541" w:rsidRDefault="006E0CE2" w:rsidP="007452E8">
            <w:pPr>
              <w:rPr>
                <w:szCs w:val="22"/>
              </w:rPr>
            </w:pPr>
            <w:r w:rsidRPr="00B54541">
              <w:rPr>
                <w:szCs w:val="22"/>
              </w:rPr>
              <w:t>Enoxaparin sodium</w:t>
            </w:r>
          </w:p>
        </w:tc>
      </w:tr>
      <w:tr w:rsidR="00324B33" w:rsidRPr="00B54541" w14:paraId="219A281B" w14:textId="77777777" w:rsidTr="00F865A7">
        <w:tc>
          <w:tcPr>
            <w:tcW w:w="1577" w:type="pct"/>
          </w:tcPr>
          <w:p w14:paraId="112E5F78" w14:textId="77777777" w:rsidR="00324B33" w:rsidRPr="00B54541" w:rsidRDefault="00324B33" w:rsidP="007452E8">
            <w:pPr>
              <w:rPr>
                <w:i/>
                <w:szCs w:val="22"/>
              </w:rPr>
            </w:pPr>
            <w:r w:rsidRPr="00B54541">
              <w:rPr>
                <w:i/>
                <w:szCs w:val="22"/>
              </w:rPr>
              <w:t>Decision:</w:t>
            </w:r>
          </w:p>
        </w:tc>
        <w:tc>
          <w:tcPr>
            <w:tcW w:w="3423" w:type="pct"/>
          </w:tcPr>
          <w:p w14:paraId="3B114BEA" w14:textId="73FDF219" w:rsidR="00324B33" w:rsidRPr="00B54541" w:rsidRDefault="00324B33" w:rsidP="007452E8">
            <w:pPr>
              <w:rPr>
                <w:szCs w:val="22"/>
              </w:rPr>
            </w:pPr>
            <w:r w:rsidRPr="00B54541">
              <w:rPr>
                <w:szCs w:val="22"/>
              </w:rPr>
              <w:t>Approved</w:t>
            </w:r>
          </w:p>
        </w:tc>
      </w:tr>
      <w:tr w:rsidR="00AE1947" w:rsidRPr="00B54541" w14:paraId="32B72632" w14:textId="77777777" w:rsidTr="00F865A7">
        <w:tc>
          <w:tcPr>
            <w:tcW w:w="1577" w:type="pct"/>
          </w:tcPr>
          <w:p w14:paraId="332A5CD5" w14:textId="2B10F385" w:rsidR="00AE1947" w:rsidRPr="00B54541" w:rsidRDefault="00AE1947" w:rsidP="00F147E0">
            <w:r w:rsidRPr="00B54541">
              <w:rPr>
                <w:i/>
                <w:szCs w:val="22"/>
              </w:rPr>
              <w:t>Date of decision:</w:t>
            </w:r>
          </w:p>
        </w:tc>
        <w:tc>
          <w:tcPr>
            <w:tcW w:w="3423" w:type="pct"/>
          </w:tcPr>
          <w:p w14:paraId="7B381CD6" w14:textId="7866B426" w:rsidR="00AE1947" w:rsidRPr="00B54541" w:rsidRDefault="00D217B9" w:rsidP="00602658">
            <w:pPr>
              <w:rPr>
                <w:szCs w:val="22"/>
              </w:rPr>
            </w:pPr>
            <w:r w:rsidRPr="00B54541">
              <w:rPr>
                <w:szCs w:val="22"/>
              </w:rPr>
              <w:t>27 June 2023</w:t>
            </w:r>
          </w:p>
        </w:tc>
      </w:tr>
      <w:tr w:rsidR="00324B33" w:rsidRPr="00B54541" w14:paraId="60A25F5A" w14:textId="77777777" w:rsidTr="00F865A7">
        <w:tc>
          <w:tcPr>
            <w:tcW w:w="1577" w:type="pct"/>
          </w:tcPr>
          <w:p w14:paraId="5C5E4CBA" w14:textId="77777777" w:rsidR="00324B33" w:rsidRPr="00B54541" w:rsidRDefault="00324B33" w:rsidP="007452E8">
            <w:pPr>
              <w:rPr>
                <w:i/>
                <w:szCs w:val="22"/>
              </w:rPr>
            </w:pPr>
            <w:r w:rsidRPr="00B54541">
              <w:rPr>
                <w:i/>
                <w:szCs w:val="22"/>
              </w:rPr>
              <w:t>Date of entry onto ARTG:</w:t>
            </w:r>
          </w:p>
        </w:tc>
        <w:tc>
          <w:tcPr>
            <w:tcW w:w="3423" w:type="pct"/>
          </w:tcPr>
          <w:p w14:paraId="28B270E9" w14:textId="0FA01FFF" w:rsidR="00324B33" w:rsidRPr="00B54541" w:rsidRDefault="00B75B25" w:rsidP="007452E8">
            <w:pPr>
              <w:rPr>
                <w:szCs w:val="22"/>
              </w:rPr>
            </w:pPr>
            <w:r w:rsidRPr="00B54541">
              <w:rPr>
                <w:szCs w:val="22"/>
              </w:rPr>
              <w:t>28 July 2023</w:t>
            </w:r>
          </w:p>
        </w:tc>
      </w:tr>
      <w:tr w:rsidR="00324B33" w:rsidRPr="00B54541" w14:paraId="547E08D7" w14:textId="77777777" w:rsidTr="00F865A7">
        <w:tc>
          <w:tcPr>
            <w:tcW w:w="1577" w:type="pct"/>
          </w:tcPr>
          <w:p w14:paraId="5030EF30" w14:textId="1D092B7E" w:rsidR="00324B33" w:rsidRPr="00B54541" w:rsidRDefault="00324B33" w:rsidP="007452E8">
            <w:pPr>
              <w:rPr>
                <w:i/>
                <w:szCs w:val="22"/>
              </w:rPr>
            </w:pPr>
            <w:r w:rsidRPr="00B54541">
              <w:rPr>
                <w:i/>
                <w:szCs w:val="22"/>
              </w:rPr>
              <w:t>ARTG numbers:</w:t>
            </w:r>
          </w:p>
        </w:tc>
        <w:tc>
          <w:tcPr>
            <w:tcW w:w="3423" w:type="pct"/>
          </w:tcPr>
          <w:p w14:paraId="0054E912" w14:textId="4DB07558" w:rsidR="00324B33" w:rsidRPr="00B54541" w:rsidRDefault="002E02BD" w:rsidP="007452E8">
            <w:pPr>
              <w:rPr>
                <w:szCs w:val="22"/>
              </w:rPr>
            </w:pPr>
            <w:r w:rsidRPr="00B54541">
              <w:rPr>
                <w:szCs w:val="22"/>
              </w:rPr>
              <w:t>375490, 375491, 375492, 375493, 375494, 375495 and 375496</w:t>
            </w:r>
          </w:p>
        </w:tc>
      </w:tr>
      <w:tr w:rsidR="00324B33" w:rsidRPr="00B54541" w14:paraId="7618393F" w14:textId="77777777" w:rsidTr="00F865A7">
        <w:tc>
          <w:tcPr>
            <w:tcW w:w="1577" w:type="pct"/>
          </w:tcPr>
          <w:p w14:paraId="6C24CEB6" w14:textId="3B40D583" w:rsidR="00E47E0C" w:rsidRPr="00B54541" w:rsidRDefault="00324B33" w:rsidP="007452E8">
            <w:pPr>
              <w:rPr>
                <w:rStyle w:val="Hyperlink"/>
                <w:i/>
                <w:szCs w:val="22"/>
              </w:rPr>
            </w:pPr>
            <w:r w:rsidRPr="00B54541">
              <w:rPr>
                <w:rFonts w:ascii="Wingdings 3" w:hAnsi="Wingdings 3"/>
                <w:szCs w:val="22"/>
                <w:lang w:eastAsia="en-AU"/>
              </w:rPr>
              <w:t></w:t>
            </w:r>
            <w:hyperlink r:id="rId15" w:history="1">
              <w:r w:rsidRPr="00B54541">
                <w:rPr>
                  <w:rStyle w:val="Hyperlink"/>
                  <w:i/>
                  <w:szCs w:val="22"/>
                </w:rPr>
                <w:t>Black Triangle Scheme</w:t>
              </w:r>
            </w:hyperlink>
          </w:p>
          <w:p w14:paraId="02260DE2" w14:textId="1FC334AE" w:rsidR="00324B33" w:rsidRPr="00B54541" w:rsidRDefault="00E47E0C" w:rsidP="007452E8">
            <w:pPr>
              <w:rPr>
                <w:i/>
                <w:szCs w:val="22"/>
              </w:rPr>
            </w:pPr>
            <w:r w:rsidRPr="00B54541">
              <w:rPr>
                <w:i/>
                <w:szCs w:val="22"/>
              </w:rPr>
              <w:t xml:space="preserve">for </w:t>
            </w:r>
            <w:r w:rsidR="007B04DE" w:rsidRPr="00B54541">
              <w:rPr>
                <w:i/>
                <w:szCs w:val="22"/>
              </w:rPr>
              <w:t>the current</w:t>
            </w:r>
            <w:r w:rsidRPr="00B54541">
              <w:rPr>
                <w:i/>
                <w:szCs w:val="22"/>
              </w:rPr>
              <w:t xml:space="preserve"> submission</w:t>
            </w:r>
            <w:r w:rsidR="00324B33" w:rsidRPr="00B54541">
              <w:rPr>
                <w:i/>
                <w:szCs w:val="22"/>
              </w:rPr>
              <w:t>:</w:t>
            </w:r>
          </w:p>
        </w:tc>
        <w:tc>
          <w:tcPr>
            <w:tcW w:w="3423" w:type="pct"/>
          </w:tcPr>
          <w:p w14:paraId="6FF3C6A2" w14:textId="2957C547" w:rsidR="00324B33" w:rsidRPr="00B54541" w:rsidRDefault="00324B33" w:rsidP="007452E8">
            <w:pPr>
              <w:rPr>
                <w:szCs w:val="22"/>
              </w:rPr>
            </w:pPr>
            <w:r w:rsidRPr="00B54541">
              <w:rPr>
                <w:szCs w:val="22"/>
              </w:rPr>
              <w:t>No</w:t>
            </w:r>
          </w:p>
        </w:tc>
      </w:tr>
      <w:tr w:rsidR="00324B33" w:rsidRPr="00B54541" w14:paraId="179E09FE" w14:textId="77777777" w:rsidTr="00F865A7">
        <w:tc>
          <w:tcPr>
            <w:tcW w:w="1577" w:type="pct"/>
          </w:tcPr>
          <w:p w14:paraId="1A592498" w14:textId="77777777" w:rsidR="00324B33" w:rsidRPr="00B54541" w:rsidRDefault="00324B33" w:rsidP="007452E8">
            <w:pPr>
              <w:rPr>
                <w:i/>
                <w:szCs w:val="22"/>
              </w:rPr>
            </w:pPr>
            <w:r w:rsidRPr="00B54541">
              <w:rPr>
                <w:i/>
                <w:szCs w:val="22"/>
              </w:rPr>
              <w:t>Sponsor’s name and address:</w:t>
            </w:r>
          </w:p>
        </w:tc>
        <w:tc>
          <w:tcPr>
            <w:tcW w:w="3423" w:type="pct"/>
          </w:tcPr>
          <w:p w14:paraId="0BE6A824" w14:textId="77777777" w:rsidR="00324B33" w:rsidRPr="00B54541" w:rsidRDefault="0075683E" w:rsidP="007452E8">
            <w:pPr>
              <w:rPr>
                <w:szCs w:val="22"/>
              </w:rPr>
            </w:pPr>
            <w:r w:rsidRPr="00B54541">
              <w:rPr>
                <w:szCs w:val="22"/>
              </w:rPr>
              <w:t>Juno Pharmaceuticals Pty Ltd</w:t>
            </w:r>
          </w:p>
          <w:p w14:paraId="68DD94B0" w14:textId="192DEA29" w:rsidR="00A02613" w:rsidRPr="00B54541" w:rsidRDefault="00A02613" w:rsidP="007452E8">
            <w:pPr>
              <w:rPr>
                <w:szCs w:val="22"/>
              </w:rPr>
            </w:pPr>
            <w:r w:rsidRPr="00B54541">
              <w:rPr>
                <w:szCs w:val="22"/>
              </w:rPr>
              <w:t>42 Kelso Street, Cremorne VIC 3121</w:t>
            </w:r>
          </w:p>
        </w:tc>
      </w:tr>
      <w:tr w:rsidR="00324B33" w:rsidRPr="00B54541" w14:paraId="5322B989" w14:textId="77777777" w:rsidTr="00F865A7">
        <w:tc>
          <w:tcPr>
            <w:tcW w:w="1577" w:type="pct"/>
          </w:tcPr>
          <w:p w14:paraId="24F217E3" w14:textId="6A1523D5" w:rsidR="00324B33" w:rsidRPr="00B54541" w:rsidRDefault="00324B33" w:rsidP="007452E8">
            <w:pPr>
              <w:rPr>
                <w:i/>
                <w:szCs w:val="22"/>
              </w:rPr>
            </w:pPr>
            <w:r w:rsidRPr="00B54541">
              <w:rPr>
                <w:i/>
                <w:szCs w:val="22"/>
              </w:rPr>
              <w:t>Dose form:</w:t>
            </w:r>
          </w:p>
        </w:tc>
        <w:tc>
          <w:tcPr>
            <w:tcW w:w="3423" w:type="pct"/>
          </w:tcPr>
          <w:p w14:paraId="768B254C" w14:textId="219F3830" w:rsidR="00324B33" w:rsidRPr="00B54541" w:rsidRDefault="00E56BCD" w:rsidP="007452E8">
            <w:pPr>
              <w:rPr>
                <w:szCs w:val="22"/>
              </w:rPr>
            </w:pPr>
            <w:r w:rsidRPr="00B54541">
              <w:rPr>
                <w:szCs w:val="22"/>
              </w:rPr>
              <w:t>Solution for injection</w:t>
            </w:r>
          </w:p>
        </w:tc>
      </w:tr>
      <w:tr w:rsidR="00324B33" w:rsidRPr="00B54541" w14:paraId="115243E6" w14:textId="77777777" w:rsidTr="00F865A7">
        <w:tc>
          <w:tcPr>
            <w:tcW w:w="1577" w:type="pct"/>
          </w:tcPr>
          <w:p w14:paraId="7634B062" w14:textId="4D3CB16D" w:rsidR="00324B33" w:rsidRPr="00B54541" w:rsidRDefault="00324B33" w:rsidP="007452E8">
            <w:pPr>
              <w:rPr>
                <w:i/>
                <w:szCs w:val="22"/>
              </w:rPr>
            </w:pPr>
            <w:r w:rsidRPr="00B54541">
              <w:rPr>
                <w:i/>
                <w:szCs w:val="22"/>
              </w:rPr>
              <w:t>Strengths:</w:t>
            </w:r>
          </w:p>
        </w:tc>
        <w:tc>
          <w:tcPr>
            <w:tcW w:w="3423" w:type="pct"/>
          </w:tcPr>
          <w:p w14:paraId="0D3B8C4B" w14:textId="78AF151A" w:rsidR="00270CA7" w:rsidRPr="00B54541" w:rsidRDefault="00270CA7" w:rsidP="00270CA7">
            <w:pPr>
              <w:rPr>
                <w:szCs w:val="22"/>
              </w:rPr>
            </w:pPr>
            <w:r w:rsidRPr="00B54541">
              <w:rPr>
                <w:szCs w:val="22"/>
              </w:rPr>
              <w:t>Exarane 100 mg/mL (20 mg/0.2 mL, 40 mg/0.4 mL, 60</w:t>
            </w:r>
            <w:r w:rsidR="008E3C5D">
              <w:rPr>
                <w:szCs w:val="22"/>
              </w:rPr>
              <w:t> </w:t>
            </w:r>
            <w:r w:rsidRPr="00B54541">
              <w:rPr>
                <w:szCs w:val="22"/>
              </w:rPr>
              <w:t>mg/0.6</w:t>
            </w:r>
            <w:r w:rsidR="008E3C5D">
              <w:rPr>
                <w:szCs w:val="22"/>
              </w:rPr>
              <w:t> </w:t>
            </w:r>
            <w:r w:rsidRPr="00B54541">
              <w:rPr>
                <w:szCs w:val="22"/>
              </w:rPr>
              <w:t>mL, 80 mg/0.8 mL, 100 mg/1 mL)</w:t>
            </w:r>
          </w:p>
          <w:p w14:paraId="5E5F83DB" w14:textId="05030C1A" w:rsidR="00324B33" w:rsidRPr="00B54541" w:rsidRDefault="00270CA7" w:rsidP="00270CA7">
            <w:pPr>
              <w:rPr>
                <w:szCs w:val="22"/>
              </w:rPr>
            </w:pPr>
            <w:r w:rsidRPr="00B54541">
              <w:rPr>
                <w:szCs w:val="22"/>
              </w:rPr>
              <w:t>Exarane Forte 150 mg/mL (120</w:t>
            </w:r>
            <w:r w:rsidR="008E3C5D">
              <w:rPr>
                <w:szCs w:val="22"/>
              </w:rPr>
              <w:t xml:space="preserve"> </w:t>
            </w:r>
            <w:r w:rsidRPr="00B54541">
              <w:rPr>
                <w:szCs w:val="22"/>
              </w:rPr>
              <w:t>mg/0.8</w:t>
            </w:r>
            <w:r w:rsidR="008E3C5D">
              <w:rPr>
                <w:szCs w:val="22"/>
              </w:rPr>
              <w:t xml:space="preserve"> </w:t>
            </w:r>
            <w:r w:rsidRPr="00B54541">
              <w:rPr>
                <w:szCs w:val="22"/>
              </w:rPr>
              <w:t>mL, 150</w:t>
            </w:r>
            <w:r w:rsidR="008E3C5D">
              <w:rPr>
                <w:szCs w:val="22"/>
              </w:rPr>
              <w:t xml:space="preserve"> </w:t>
            </w:r>
            <w:r w:rsidRPr="00B54541">
              <w:rPr>
                <w:szCs w:val="22"/>
              </w:rPr>
              <w:t>mg/1</w:t>
            </w:r>
            <w:r w:rsidR="008E3C5D">
              <w:rPr>
                <w:szCs w:val="22"/>
              </w:rPr>
              <w:t xml:space="preserve"> </w:t>
            </w:r>
            <w:r w:rsidRPr="00B54541">
              <w:rPr>
                <w:szCs w:val="22"/>
              </w:rPr>
              <w:t>mL)</w:t>
            </w:r>
          </w:p>
        </w:tc>
      </w:tr>
      <w:tr w:rsidR="00324B33" w:rsidRPr="00B54541" w14:paraId="34B07BA6" w14:textId="77777777" w:rsidTr="00F865A7">
        <w:tc>
          <w:tcPr>
            <w:tcW w:w="1577" w:type="pct"/>
          </w:tcPr>
          <w:p w14:paraId="1C039224" w14:textId="2534F841" w:rsidR="00324B33" w:rsidRPr="00B54541" w:rsidRDefault="00324B33" w:rsidP="007452E8">
            <w:pPr>
              <w:rPr>
                <w:i/>
                <w:szCs w:val="22"/>
              </w:rPr>
            </w:pPr>
            <w:r w:rsidRPr="00B54541">
              <w:rPr>
                <w:i/>
                <w:szCs w:val="22"/>
              </w:rPr>
              <w:t>Container:</w:t>
            </w:r>
          </w:p>
        </w:tc>
        <w:tc>
          <w:tcPr>
            <w:tcW w:w="3423" w:type="pct"/>
          </w:tcPr>
          <w:p w14:paraId="500A42C6" w14:textId="0F60B5E6" w:rsidR="00324B33" w:rsidRPr="00B54541" w:rsidRDefault="00DB1D46" w:rsidP="007452E8">
            <w:pPr>
              <w:rPr>
                <w:szCs w:val="22"/>
              </w:rPr>
            </w:pPr>
            <w:r w:rsidRPr="00B54541">
              <w:rPr>
                <w:szCs w:val="22"/>
              </w:rPr>
              <w:t>Prefilled syringe</w:t>
            </w:r>
          </w:p>
        </w:tc>
      </w:tr>
      <w:tr w:rsidR="00324B33" w:rsidRPr="00B54541" w14:paraId="176B6773" w14:textId="77777777" w:rsidTr="00F865A7">
        <w:tc>
          <w:tcPr>
            <w:tcW w:w="1577" w:type="pct"/>
          </w:tcPr>
          <w:p w14:paraId="71846159" w14:textId="30E7F1E0" w:rsidR="00324B33" w:rsidRPr="00B54541" w:rsidRDefault="00324B33" w:rsidP="007452E8">
            <w:pPr>
              <w:rPr>
                <w:i/>
                <w:szCs w:val="22"/>
              </w:rPr>
            </w:pPr>
            <w:r w:rsidRPr="00B54541">
              <w:rPr>
                <w:i/>
                <w:szCs w:val="22"/>
              </w:rPr>
              <w:t>Pack siz</w:t>
            </w:r>
            <w:r w:rsidR="003A4409" w:rsidRPr="00B54541">
              <w:rPr>
                <w:i/>
                <w:szCs w:val="22"/>
              </w:rPr>
              <w:t>e</w:t>
            </w:r>
            <w:r w:rsidRPr="00B54541">
              <w:rPr>
                <w:i/>
                <w:szCs w:val="22"/>
              </w:rPr>
              <w:t>:</w:t>
            </w:r>
          </w:p>
        </w:tc>
        <w:tc>
          <w:tcPr>
            <w:tcW w:w="3423" w:type="pct"/>
          </w:tcPr>
          <w:p w14:paraId="7E978F8F" w14:textId="3E7F8E1F" w:rsidR="00324B33" w:rsidRPr="00B54541" w:rsidRDefault="00AB1F1B" w:rsidP="007452E8">
            <w:pPr>
              <w:rPr>
                <w:szCs w:val="22"/>
              </w:rPr>
            </w:pPr>
            <w:r w:rsidRPr="00B54541">
              <w:rPr>
                <w:szCs w:val="22"/>
              </w:rPr>
              <w:t>10</w:t>
            </w:r>
          </w:p>
        </w:tc>
      </w:tr>
      <w:tr w:rsidR="00324B33" w:rsidRPr="00B54541" w14:paraId="19A2544A" w14:textId="77777777" w:rsidTr="00F865A7">
        <w:tc>
          <w:tcPr>
            <w:tcW w:w="1577" w:type="pct"/>
          </w:tcPr>
          <w:p w14:paraId="0E6C5C0E" w14:textId="7DB3FC66" w:rsidR="00324B33" w:rsidRPr="00B54541" w:rsidRDefault="00324B33" w:rsidP="007452E8">
            <w:pPr>
              <w:rPr>
                <w:i/>
                <w:szCs w:val="22"/>
              </w:rPr>
            </w:pPr>
            <w:r w:rsidRPr="00B54541">
              <w:rPr>
                <w:i/>
                <w:szCs w:val="22"/>
              </w:rPr>
              <w:t>Approved therapeutic use</w:t>
            </w:r>
            <w:r w:rsidR="00E47E0C" w:rsidRPr="00B54541">
              <w:rPr>
                <w:i/>
                <w:szCs w:val="22"/>
              </w:rPr>
              <w:t xml:space="preserve"> </w:t>
            </w:r>
            <w:r w:rsidR="007B04DE" w:rsidRPr="00B54541">
              <w:rPr>
                <w:i/>
                <w:szCs w:val="22"/>
              </w:rPr>
              <w:t>for the current</w:t>
            </w:r>
            <w:r w:rsidR="00E47E0C" w:rsidRPr="00B54541">
              <w:rPr>
                <w:i/>
                <w:szCs w:val="22"/>
              </w:rPr>
              <w:t xml:space="preserve"> submission</w:t>
            </w:r>
            <w:r w:rsidRPr="00B54541">
              <w:rPr>
                <w:i/>
                <w:szCs w:val="22"/>
              </w:rPr>
              <w:t>:</w:t>
            </w:r>
          </w:p>
        </w:tc>
        <w:tc>
          <w:tcPr>
            <w:tcW w:w="3423" w:type="pct"/>
          </w:tcPr>
          <w:p w14:paraId="63D0D57B" w14:textId="77777777" w:rsidR="00A0154F" w:rsidRPr="00B54541" w:rsidRDefault="00A0154F" w:rsidP="00A0154F">
            <w:pPr>
              <w:pStyle w:val="ListBullet2"/>
              <w:numPr>
                <w:ilvl w:val="0"/>
                <w:numId w:val="16"/>
              </w:numPr>
              <w:rPr>
                <w:i/>
                <w:iCs/>
              </w:rPr>
            </w:pPr>
            <w:r w:rsidRPr="00B54541">
              <w:rPr>
                <w:i/>
                <w:iCs/>
              </w:rPr>
              <w:t>Prevention of thrombo-embolic disorders of venous origin in patients undergoing orthopaedic and general surgery.</w:t>
            </w:r>
          </w:p>
          <w:p w14:paraId="5D9ABC1A" w14:textId="77777777" w:rsidR="00A0154F" w:rsidRPr="00B54541" w:rsidRDefault="00A0154F" w:rsidP="00A0154F">
            <w:pPr>
              <w:pStyle w:val="ListBullet2"/>
              <w:numPr>
                <w:ilvl w:val="0"/>
                <w:numId w:val="16"/>
              </w:numPr>
              <w:rPr>
                <w:i/>
                <w:iCs/>
              </w:rPr>
            </w:pPr>
            <w:r w:rsidRPr="00B54541">
              <w:rPr>
                <w:i/>
                <w:iCs/>
              </w:rPr>
              <w:t>Prophylaxis of venous thromboembolism in medical patients bedridden due to acute illness.</w:t>
            </w:r>
          </w:p>
          <w:p w14:paraId="142F2B48" w14:textId="77777777" w:rsidR="00A0154F" w:rsidRPr="00B54541" w:rsidRDefault="00A0154F" w:rsidP="00A0154F">
            <w:pPr>
              <w:pStyle w:val="ListBullet2"/>
              <w:numPr>
                <w:ilvl w:val="0"/>
                <w:numId w:val="16"/>
              </w:numPr>
              <w:rPr>
                <w:i/>
                <w:iCs/>
              </w:rPr>
            </w:pPr>
            <w:r w:rsidRPr="00B54541">
              <w:rPr>
                <w:i/>
                <w:iCs/>
              </w:rPr>
              <w:t>Prevention of thrombosis in extra-corporeal circulation during haemodialysis.</w:t>
            </w:r>
          </w:p>
          <w:p w14:paraId="709C29F7" w14:textId="77777777" w:rsidR="00A0154F" w:rsidRPr="00B54541" w:rsidRDefault="00A0154F" w:rsidP="00A0154F">
            <w:pPr>
              <w:pStyle w:val="ListBullet2"/>
              <w:numPr>
                <w:ilvl w:val="0"/>
                <w:numId w:val="16"/>
              </w:numPr>
              <w:rPr>
                <w:i/>
                <w:iCs/>
              </w:rPr>
            </w:pPr>
            <w:r w:rsidRPr="00B54541">
              <w:rPr>
                <w:i/>
                <w:iCs/>
              </w:rPr>
              <w:t>Treatment of established deep vein thrombosis.</w:t>
            </w:r>
          </w:p>
          <w:p w14:paraId="3202ED81" w14:textId="77777777" w:rsidR="00A0154F" w:rsidRPr="00B54541" w:rsidRDefault="00A0154F" w:rsidP="00A0154F">
            <w:pPr>
              <w:pStyle w:val="ListBullet2"/>
              <w:numPr>
                <w:ilvl w:val="0"/>
                <w:numId w:val="16"/>
              </w:numPr>
              <w:rPr>
                <w:i/>
                <w:iCs/>
              </w:rPr>
            </w:pPr>
            <w:r w:rsidRPr="00B54541">
              <w:rPr>
                <w:i/>
                <w:iCs/>
              </w:rPr>
              <w:t>Treatment of unstable angina and non-Q-wave myocardial infarction, administered concurrently with aspirin.</w:t>
            </w:r>
          </w:p>
          <w:p w14:paraId="6E143E2E" w14:textId="5CF2D488" w:rsidR="008B0960" w:rsidRPr="00B54541" w:rsidRDefault="00A0154F" w:rsidP="00A0154F">
            <w:pPr>
              <w:pStyle w:val="ListBullet2"/>
              <w:numPr>
                <w:ilvl w:val="0"/>
                <w:numId w:val="16"/>
              </w:numPr>
              <w:rPr>
                <w:i/>
                <w:iCs/>
              </w:rPr>
            </w:pPr>
            <w:r w:rsidRPr="00B54541">
              <w:rPr>
                <w:i/>
                <w:iCs/>
              </w:rPr>
              <w:t xml:space="preserve">Treatment of acute ST-segment Elevation Myocardial Infarction (STEMI) as an adjunctive to thrombolytic treatment, including patients to be managed medically or with subsequent </w:t>
            </w:r>
            <w:r w:rsidR="00C37B92" w:rsidRPr="00B54541">
              <w:rPr>
                <w:i/>
                <w:iCs/>
              </w:rPr>
              <w:t>percutaneous coronary intervention</w:t>
            </w:r>
            <w:r w:rsidRPr="00B54541">
              <w:rPr>
                <w:i/>
                <w:iCs/>
              </w:rPr>
              <w:t xml:space="preserve"> (PCI).</w:t>
            </w:r>
          </w:p>
        </w:tc>
      </w:tr>
      <w:tr w:rsidR="00324B33" w:rsidRPr="00B54541" w14:paraId="5AFDEED3" w14:textId="77777777" w:rsidTr="00F865A7">
        <w:tc>
          <w:tcPr>
            <w:tcW w:w="1577" w:type="pct"/>
          </w:tcPr>
          <w:p w14:paraId="03884BD1" w14:textId="0AD86AF3" w:rsidR="00324B33" w:rsidRPr="00B54541" w:rsidRDefault="00324B33" w:rsidP="007452E8">
            <w:pPr>
              <w:rPr>
                <w:i/>
                <w:szCs w:val="22"/>
              </w:rPr>
            </w:pPr>
            <w:r w:rsidRPr="00B54541">
              <w:rPr>
                <w:i/>
                <w:szCs w:val="22"/>
              </w:rPr>
              <w:t>Routes of administration:</w:t>
            </w:r>
          </w:p>
        </w:tc>
        <w:tc>
          <w:tcPr>
            <w:tcW w:w="3423" w:type="pct"/>
          </w:tcPr>
          <w:p w14:paraId="1ED1357E" w14:textId="0A3A7923" w:rsidR="00324B33" w:rsidRPr="00B54541" w:rsidRDefault="00684C2B" w:rsidP="007452E8">
            <w:pPr>
              <w:rPr>
                <w:szCs w:val="22"/>
              </w:rPr>
            </w:pPr>
            <w:r w:rsidRPr="00B54541">
              <w:rPr>
                <w:szCs w:val="22"/>
              </w:rPr>
              <w:t>Subcutaneous, intravenous</w:t>
            </w:r>
            <w:r w:rsidR="00B46FCD" w:rsidRPr="00B54541">
              <w:rPr>
                <w:szCs w:val="22"/>
              </w:rPr>
              <w:t xml:space="preserve"> and</w:t>
            </w:r>
            <w:r w:rsidRPr="00B54541">
              <w:rPr>
                <w:szCs w:val="22"/>
              </w:rPr>
              <w:t xml:space="preserve"> </w:t>
            </w:r>
            <w:r w:rsidR="00A52F8D" w:rsidRPr="00B54541">
              <w:rPr>
                <w:szCs w:val="22"/>
              </w:rPr>
              <w:t xml:space="preserve">extracorporeal circulation </w:t>
            </w:r>
            <w:r w:rsidR="00084A20" w:rsidRPr="00B54541">
              <w:rPr>
                <w:szCs w:val="22"/>
              </w:rPr>
              <w:t>(</w:t>
            </w:r>
            <w:r w:rsidRPr="00B54541">
              <w:rPr>
                <w:szCs w:val="22"/>
              </w:rPr>
              <w:t>haemodialysis</w:t>
            </w:r>
            <w:r w:rsidR="00084A20" w:rsidRPr="00B54541">
              <w:rPr>
                <w:szCs w:val="22"/>
              </w:rPr>
              <w:t>)</w:t>
            </w:r>
          </w:p>
        </w:tc>
      </w:tr>
      <w:tr w:rsidR="00324B33" w:rsidRPr="00B54541" w14:paraId="70D7E9FA" w14:textId="77777777" w:rsidTr="00F865A7">
        <w:tc>
          <w:tcPr>
            <w:tcW w:w="1577" w:type="pct"/>
          </w:tcPr>
          <w:p w14:paraId="5ABFFC80" w14:textId="77777777" w:rsidR="00324B33" w:rsidRPr="00B54541" w:rsidRDefault="00324B33" w:rsidP="007452E8">
            <w:pPr>
              <w:rPr>
                <w:i/>
                <w:szCs w:val="22"/>
              </w:rPr>
            </w:pPr>
            <w:r w:rsidRPr="00B54541">
              <w:rPr>
                <w:i/>
                <w:szCs w:val="22"/>
              </w:rPr>
              <w:lastRenderedPageBreak/>
              <w:t>Dosage:</w:t>
            </w:r>
          </w:p>
        </w:tc>
        <w:tc>
          <w:tcPr>
            <w:tcW w:w="3423" w:type="pct"/>
          </w:tcPr>
          <w:p w14:paraId="686AF137" w14:textId="5AF7563D" w:rsidR="00DA58A3" w:rsidRPr="00B54541" w:rsidRDefault="000A1C79" w:rsidP="007452E8">
            <w:pPr>
              <w:rPr>
                <w:szCs w:val="22"/>
              </w:rPr>
            </w:pPr>
            <w:r>
              <w:rPr>
                <w:szCs w:val="22"/>
              </w:rPr>
              <w:t>D</w:t>
            </w:r>
            <w:r w:rsidRPr="000A1C79">
              <w:rPr>
                <w:szCs w:val="22"/>
              </w:rPr>
              <w:t xml:space="preserve">osage is based on multiple factors, including the </w:t>
            </w:r>
            <w:r w:rsidR="002F130F">
              <w:rPr>
                <w:szCs w:val="22"/>
              </w:rPr>
              <w:t>treatment type</w:t>
            </w:r>
            <w:r w:rsidR="000F3ED3">
              <w:rPr>
                <w:szCs w:val="22"/>
              </w:rPr>
              <w:t xml:space="preserve">, </w:t>
            </w:r>
            <w:r w:rsidR="003E7ABF" w:rsidRPr="000A1C79">
              <w:rPr>
                <w:szCs w:val="22"/>
              </w:rPr>
              <w:t>condition being treated</w:t>
            </w:r>
            <w:r w:rsidR="003E7ABF">
              <w:rPr>
                <w:szCs w:val="22"/>
              </w:rPr>
              <w:t xml:space="preserve">, </w:t>
            </w:r>
            <w:r w:rsidR="007875C9">
              <w:rPr>
                <w:szCs w:val="22"/>
              </w:rPr>
              <w:t xml:space="preserve">pre-existing condition, </w:t>
            </w:r>
            <w:r w:rsidR="000F3ED3">
              <w:rPr>
                <w:szCs w:val="22"/>
              </w:rPr>
              <w:t>r</w:t>
            </w:r>
            <w:r w:rsidR="00D561AC">
              <w:rPr>
                <w:szCs w:val="22"/>
              </w:rPr>
              <w:t>isk</w:t>
            </w:r>
            <w:r w:rsidR="00A7587A">
              <w:rPr>
                <w:szCs w:val="22"/>
              </w:rPr>
              <w:t xml:space="preserve"> </w:t>
            </w:r>
            <w:r w:rsidR="00D561AC">
              <w:rPr>
                <w:szCs w:val="22"/>
              </w:rPr>
              <w:t>level</w:t>
            </w:r>
            <w:r w:rsidR="000F3ED3">
              <w:rPr>
                <w:szCs w:val="22"/>
              </w:rPr>
              <w:t xml:space="preserve">, </w:t>
            </w:r>
            <w:r w:rsidR="00A7587A" w:rsidRPr="00A7587A">
              <w:rPr>
                <w:szCs w:val="22"/>
              </w:rPr>
              <w:t>sever</w:t>
            </w:r>
            <w:r w:rsidR="00A7587A">
              <w:rPr>
                <w:szCs w:val="22"/>
              </w:rPr>
              <w:t>ity level</w:t>
            </w:r>
            <w:r w:rsidR="003E7ABF">
              <w:rPr>
                <w:szCs w:val="22"/>
              </w:rPr>
              <w:t xml:space="preserve"> and</w:t>
            </w:r>
            <w:r w:rsidRPr="000A1C79">
              <w:rPr>
                <w:szCs w:val="22"/>
              </w:rPr>
              <w:t xml:space="preserve"> age of the patient.</w:t>
            </w:r>
          </w:p>
          <w:p w14:paraId="3D0B2D5C" w14:textId="6E29920D" w:rsidR="00324B33" w:rsidRPr="00B54541" w:rsidRDefault="00324B33" w:rsidP="007452E8">
            <w:pPr>
              <w:rPr>
                <w:szCs w:val="22"/>
              </w:rPr>
            </w:pPr>
            <w:r w:rsidRPr="00B54541">
              <w:rPr>
                <w:szCs w:val="22"/>
              </w:rPr>
              <w:t xml:space="preserve">For further information regarding dosage, </w:t>
            </w:r>
            <w:r w:rsidR="006B7126" w:rsidRPr="00B54541">
              <w:rPr>
                <w:szCs w:val="22"/>
              </w:rPr>
              <w:t xml:space="preserve">such as dosage modifications to manage adverse reactions, </w:t>
            </w:r>
            <w:r w:rsidRPr="00B54541">
              <w:rPr>
                <w:szCs w:val="22"/>
              </w:rPr>
              <w:t>refer to the Product Information.</w:t>
            </w:r>
          </w:p>
        </w:tc>
      </w:tr>
      <w:tr w:rsidR="0017005C" w:rsidRPr="00B54541" w14:paraId="7B7BB6AE" w14:textId="77777777" w:rsidTr="00F865A7">
        <w:tc>
          <w:tcPr>
            <w:tcW w:w="1577" w:type="pct"/>
          </w:tcPr>
          <w:p w14:paraId="3A76AFF7" w14:textId="7C436DD9" w:rsidR="0017005C" w:rsidRPr="00B54541" w:rsidRDefault="0070330F" w:rsidP="0017005C">
            <w:r w:rsidRPr="00B54541">
              <w:rPr>
                <w:i/>
                <w:szCs w:val="22"/>
              </w:rPr>
              <w:t>Pregnancy category:</w:t>
            </w:r>
          </w:p>
        </w:tc>
        <w:tc>
          <w:tcPr>
            <w:tcW w:w="3423" w:type="pct"/>
          </w:tcPr>
          <w:p w14:paraId="5EE57F77" w14:textId="77777777" w:rsidR="004A0E9E" w:rsidRPr="00B54541" w:rsidRDefault="004A0E9E" w:rsidP="004A0E9E">
            <w:r w:rsidRPr="00B54541">
              <w:t>C</w:t>
            </w:r>
          </w:p>
          <w:p w14:paraId="1B0EB60F" w14:textId="2557EE05" w:rsidR="004A0E9E" w:rsidRPr="00B54541" w:rsidRDefault="004A0E9E" w:rsidP="004A0E9E">
            <w:r w:rsidRPr="00B54541">
              <w:t>Drugs which, owing to their pharmacological effects, have caused or may be suspected of causing, harmful effects on the human fetus or neonate without causing malformations. These effects may be reversible. Accompanying texts should be consulted for further details.</w:t>
            </w:r>
          </w:p>
          <w:p w14:paraId="76497789" w14:textId="48060AC3" w:rsidR="0017005C" w:rsidRPr="00B54541" w:rsidRDefault="0070330F" w:rsidP="00306E72">
            <w:pPr>
              <w:rPr>
                <w:szCs w:val="22"/>
              </w:rPr>
            </w:pPr>
            <w:r w:rsidRPr="00B54541">
              <w:rPr>
                <w:szCs w:val="22"/>
              </w:rPr>
              <w:t xml:space="preserve">The use of any medicine during pregnancy requires careful consideration of both risks and benefits by the treating health professional. </w:t>
            </w:r>
            <w:r w:rsidR="00721059" w:rsidRPr="00B54541">
              <w:rPr>
                <w:szCs w:val="22"/>
              </w:rPr>
              <w:t xml:space="preserve">The </w:t>
            </w:r>
            <w:hyperlink r:id="rId16" w:history="1">
              <w:r w:rsidR="00721059" w:rsidRPr="00B54541">
                <w:rPr>
                  <w:rStyle w:val="Hyperlink"/>
                  <w:szCs w:val="22"/>
                </w:rPr>
                <w:t>pregnancy database</w:t>
              </w:r>
            </w:hyperlink>
            <w:r w:rsidR="00387984" w:rsidRPr="00B54541">
              <w:t xml:space="preserve"> </w:t>
            </w:r>
            <w:r w:rsidRPr="00B54541">
              <w:rPr>
                <w:szCs w:val="22"/>
              </w:rPr>
              <w:t xml:space="preserve">must not be used as the sole basis of decision making in the use of medicines during pregnancy. The TGA does not provide advice on the use of medicines in pregnancy for specific cases. More information is available from </w:t>
            </w:r>
            <w:hyperlink r:id="rId17" w:history="1">
              <w:r w:rsidRPr="00B54541">
                <w:rPr>
                  <w:rStyle w:val="Hyperlink"/>
                  <w:szCs w:val="22"/>
                </w:rPr>
                <w:t>obstetric drug information services</w:t>
              </w:r>
            </w:hyperlink>
            <w:r w:rsidRPr="00B54541">
              <w:rPr>
                <w:szCs w:val="22"/>
              </w:rPr>
              <w:t xml:space="preserve"> in your </w:t>
            </w:r>
            <w:r w:rsidR="00306E72" w:rsidRPr="00B54541">
              <w:rPr>
                <w:szCs w:val="22"/>
              </w:rPr>
              <w:t>s</w:t>
            </w:r>
            <w:r w:rsidRPr="00B54541">
              <w:rPr>
                <w:szCs w:val="22"/>
              </w:rPr>
              <w:t xml:space="preserve">tate or </w:t>
            </w:r>
            <w:r w:rsidR="00306E72" w:rsidRPr="00B54541">
              <w:rPr>
                <w:szCs w:val="22"/>
              </w:rPr>
              <w:t>t</w:t>
            </w:r>
            <w:r w:rsidRPr="00B54541">
              <w:rPr>
                <w:szCs w:val="22"/>
              </w:rPr>
              <w:t>erritory.</w:t>
            </w:r>
          </w:p>
        </w:tc>
      </w:tr>
    </w:tbl>
    <w:p w14:paraId="51F2479F" w14:textId="1E34B277" w:rsidR="00324B33" w:rsidRPr="00B54541" w:rsidRDefault="00324B33" w:rsidP="00324B33">
      <w:pPr>
        <w:pStyle w:val="Heading3"/>
      </w:pPr>
      <w:bookmarkStart w:id="11" w:name="_Toc247691503"/>
      <w:bookmarkStart w:id="12" w:name="_Toc314842484"/>
      <w:bookmarkStart w:id="13" w:name="_Toc103679290"/>
      <w:bookmarkStart w:id="14" w:name="_Toc160184680"/>
      <w:r w:rsidRPr="00B54541">
        <w:t>Product background</w:t>
      </w:r>
      <w:bookmarkEnd w:id="11"/>
      <w:bookmarkEnd w:id="12"/>
      <w:bookmarkEnd w:id="13"/>
      <w:bookmarkEnd w:id="14"/>
    </w:p>
    <w:p w14:paraId="59BF31D1" w14:textId="51FC4550" w:rsidR="001500A8" w:rsidRPr="00B54541" w:rsidRDefault="00324B33" w:rsidP="00117457">
      <w:r w:rsidRPr="00B54541">
        <w:t xml:space="preserve">This AusPAR describes the submission by </w:t>
      </w:r>
      <w:r w:rsidR="001901F9" w:rsidRPr="00B54541">
        <w:t>Juno Pharmaceuticals Pty Ltd</w:t>
      </w:r>
      <w:r w:rsidRPr="00B54541">
        <w:t xml:space="preserve"> (the sponsor) to register </w:t>
      </w:r>
      <w:r w:rsidR="00FE0D0D" w:rsidRPr="00B54541">
        <w:t>Exarane (enoxaparin sodium) 20 mg/0.2 mL, 40 mg/0.4 mL, 60 mg/0.6 mL, 80 mg/0.8 mL, 100</w:t>
      </w:r>
      <w:r w:rsidR="003601A5" w:rsidRPr="00B54541">
        <w:t> </w:t>
      </w:r>
      <w:r w:rsidR="00FE0D0D" w:rsidRPr="00B54541">
        <w:t>mg/1 mL</w:t>
      </w:r>
      <w:r w:rsidR="00A0154F" w:rsidRPr="00B54541">
        <w:t xml:space="preserve"> and</w:t>
      </w:r>
      <w:r w:rsidR="00117457" w:rsidRPr="00B54541">
        <w:t xml:space="preserve"> </w:t>
      </w:r>
      <w:r w:rsidR="00FE0D0D" w:rsidRPr="00B54541">
        <w:t xml:space="preserve">Exarane Forte </w:t>
      </w:r>
      <w:r w:rsidR="00A0154F" w:rsidRPr="00B54541">
        <w:t xml:space="preserve">(enoxaparin sodium) </w:t>
      </w:r>
      <w:r w:rsidR="00FE0D0D" w:rsidRPr="00B54541">
        <w:t>120</w:t>
      </w:r>
      <w:r w:rsidR="00C00D87" w:rsidRPr="00B54541">
        <w:t xml:space="preserve"> </w:t>
      </w:r>
      <w:r w:rsidR="00FE0D0D" w:rsidRPr="00B54541">
        <w:t>mg/0.8</w:t>
      </w:r>
      <w:r w:rsidR="00C00D87" w:rsidRPr="00B54541">
        <w:t xml:space="preserve"> </w:t>
      </w:r>
      <w:r w:rsidR="00FE0D0D" w:rsidRPr="00B54541">
        <w:t>mL, 150</w:t>
      </w:r>
      <w:r w:rsidR="00C00D87" w:rsidRPr="00B54541">
        <w:t xml:space="preserve"> </w:t>
      </w:r>
      <w:r w:rsidR="00FE0D0D" w:rsidRPr="00B54541">
        <w:t>mg/1</w:t>
      </w:r>
      <w:r w:rsidR="00C00D87" w:rsidRPr="00B54541">
        <w:t xml:space="preserve"> </w:t>
      </w:r>
      <w:r w:rsidR="00FE0D0D" w:rsidRPr="00B54541">
        <w:t>mL</w:t>
      </w:r>
      <w:r w:rsidRPr="00B54541">
        <w:t xml:space="preserve">, </w:t>
      </w:r>
      <w:r w:rsidR="00117457" w:rsidRPr="00B54541">
        <w:t>solution for injection, prefilled syringe</w:t>
      </w:r>
      <w:r w:rsidRPr="00B54541">
        <w:t xml:space="preserve"> for the following proposed indication:</w:t>
      </w:r>
      <w:r w:rsidR="00D63760" w:rsidRPr="00B54541">
        <w:rPr>
          <w:vertAlign w:val="superscript"/>
        </w:rPr>
        <w:footnoteReference w:id="1"/>
      </w:r>
    </w:p>
    <w:p w14:paraId="321406EC" w14:textId="596C2D9A" w:rsidR="007E141B" w:rsidRPr="00B54541" w:rsidRDefault="007E141B" w:rsidP="009C2917">
      <w:pPr>
        <w:pStyle w:val="ListBullet2"/>
        <w:numPr>
          <w:ilvl w:val="0"/>
          <w:numId w:val="23"/>
        </w:numPr>
        <w:rPr>
          <w:i/>
          <w:iCs/>
        </w:rPr>
      </w:pPr>
      <w:r w:rsidRPr="00B54541">
        <w:rPr>
          <w:i/>
          <w:iCs/>
        </w:rPr>
        <w:t>Prevention of thrombo-embolic disorders of venous origin in patients undergoing orthopaedic and general surgery.</w:t>
      </w:r>
    </w:p>
    <w:p w14:paraId="361A5F8B" w14:textId="261E5420" w:rsidR="007E141B" w:rsidRPr="00B54541" w:rsidRDefault="007E141B" w:rsidP="009C2917">
      <w:pPr>
        <w:pStyle w:val="ListBullet2"/>
        <w:numPr>
          <w:ilvl w:val="0"/>
          <w:numId w:val="23"/>
        </w:numPr>
        <w:rPr>
          <w:i/>
          <w:iCs/>
        </w:rPr>
      </w:pPr>
      <w:r w:rsidRPr="00B54541">
        <w:rPr>
          <w:i/>
          <w:iCs/>
        </w:rPr>
        <w:t>Prophylaxis of venous thromboembolism in medical patients bedridden due to acute illness.</w:t>
      </w:r>
    </w:p>
    <w:p w14:paraId="48F90DD0" w14:textId="748E07AB" w:rsidR="007E141B" w:rsidRPr="00B54541" w:rsidRDefault="007E141B" w:rsidP="009C2917">
      <w:pPr>
        <w:pStyle w:val="ListBullet2"/>
        <w:numPr>
          <w:ilvl w:val="0"/>
          <w:numId w:val="23"/>
        </w:numPr>
        <w:rPr>
          <w:i/>
          <w:iCs/>
        </w:rPr>
      </w:pPr>
      <w:r w:rsidRPr="00B54541">
        <w:rPr>
          <w:i/>
          <w:iCs/>
        </w:rPr>
        <w:t>Prevention of thrombosis in extra-corporeal circulation during haemodialysis.</w:t>
      </w:r>
    </w:p>
    <w:p w14:paraId="5F3E8FA0" w14:textId="0C35F8FD" w:rsidR="007E141B" w:rsidRPr="00B54541" w:rsidRDefault="007E141B" w:rsidP="00721F4A">
      <w:pPr>
        <w:pStyle w:val="ListBullet2"/>
        <w:numPr>
          <w:ilvl w:val="0"/>
          <w:numId w:val="23"/>
        </w:numPr>
        <w:rPr>
          <w:i/>
          <w:iCs/>
        </w:rPr>
      </w:pPr>
      <w:r w:rsidRPr="00B54541">
        <w:rPr>
          <w:i/>
          <w:iCs/>
        </w:rPr>
        <w:t>Treatment of established deep vein thrombosis. Treatment of unstable angina</w:t>
      </w:r>
      <w:r w:rsidR="00C31BC1" w:rsidRPr="00B54541">
        <w:rPr>
          <w:i/>
          <w:iCs/>
        </w:rPr>
        <w:t xml:space="preserve"> </w:t>
      </w:r>
      <w:r w:rsidRPr="00B54541">
        <w:rPr>
          <w:i/>
          <w:iCs/>
        </w:rPr>
        <w:t>and non-Q-wave myocardial infarction, administered concurrently with aspirin.</w:t>
      </w:r>
    </w:p>
    <w:p w14:paraId="4308B6EE" w14:textId="563EB5B5" w:rsidR="007E141B" w:rsidRPr="00B54541" w:rsidRDefault="007E141B" w:rsidP="009C2917">
      <w:pPr>
        <w:pStyle w:val="ListBullet2"/>
        <w:numPr>
          <w:ilvl w:val="0"/>
          <w:numId w:val="23"/>
        </w:numPr>
        <w:rPr>
          <w:i/>
          <w:iCs/>
        </w:rPr>
      </w:pPr>
      <w:r w:rsidRPr="00B54541">
        <w:rPr>
          <w:i/>
          <w:iCs/>
        </w:rPr>
        <w:t xml:space="preserve">Treatment of acute ST-segment </w:t>
      </w:r>
      <w:r w:rsidR="00C00D87" w:rsidRPr="00B54541">
        <w:rPr>
          <w:i/>
          <w:iCs/>
        </w:rPr>
        <w:t>elevation myocardial infarction</w:t>
      </w:r>
      <w:r w:rsidRPr="00B54541">
        <w:rPr>
          <w:i/>
          <w:iCs/>
        </w:rPr>
        <w:t xml:space="preserve"> (STEMI) as an adjunctive to thrombolytic treatment, including patients to be managed medically or with subsequent </w:t>
      </w:r>
      <w:r w:rsidR="00C37B92" w:rsidRPr="00B54541">
        <w:rPr>
          <w:i/>
          <w:iCs/>
        </w:rPr>
        <w:t>percutaneous coronary intervention</w:t>
      </w:r>
      <w:r w:rsidRPr="00B54541">
        <w:rPr>
          <w:i/>
          <w:iCs/>
        </w:rPr>
        <w:t xml:space="preserve"> (PCI).</w:t>
      </w:r>
    </w:p>
    <w:p w14:paraId="6545729E" w14:textId="1A346C17" w:rsidR="002926EF" w:rsidRPr="00B54541" w:rsidRDefault="002926EF" w:rsidP="002926EF">
      <w:bookmarkStart w:id="15" w:name="_Toc314842485"/>
      <w:bookmarkStart w:id="16" w:name="_Toc247691504"/>
      <w:r w:rsidRPr="00B54541">
        <w:t xml:space="preserve">The sponsor proposes to register Exarane as a biosimilar to the registered product </w:t>
      </w:r>
      <w:r w:rsidR="003601A5" w:rsidRPr="00B54541">
        <w:t>Clexane</w:t>
      </w:r>
      <w:r w:rsidRPr="00B54541">
        <w:t>.</w:t>
      </w:r>
      <w:r w:rsidR="00DD6EB6" w:rsidRPr="00B54541">
        <w:t xml:space="preserve"> </w:t>
      </w:r>
      <w:r w:rsidRPr="00B54541">
        <w:t xml:space="preserve">If approved, </w:t>
      </w:r>
      <w:r w:rsidR="00031184" w:rsidRPr="00B54541">
        <w:t xml:space="preserve">Exarane </w:t>
      </w:r>
      <w:r w:rsidRPr="00B54541">
        <w:t xml:space="preserve">will be an alternative to </w:t>
      </w:r>
      <w:r w:rsidR="003601A5" w:rsidRPr="00B54541">
        <w:t>Clexane</w:t>
      </w:r>
      <w:r w:rsidRPr="00B54541">
        <w:t xml:space="preserve"> and the other enoxaparin sodium biosimilar product (</w:t>
      </w:r>
      <w:proofErr w:type="spellStart"/>
      <w:r w:rsidR="003601A5" w:rsidRPr="00B54541">
        <w:t>Enoxapo</w:t>
      </w:r>
      <w:proofErr w:type="spellEnd"/>
      <w:r w:rsidRPr="00B54541">
        <w:t>).</w:t>
      </w:r>
      <w:r w:rsidR="00C31BC1" w:rsidRPr="00B54541">
        <w:t xml:space="preserve"> </w:t>
      </w:r>
      <w:r w:rsidRPr="00B54541">
        <w:t>If the supply of one or more enoxaparin sodium products is disrupted, the availability of a number of biosimilar enoxaparin sodium products on the ARTG will enable ongoing access to treatment.</w:t>
      </w:r>
    </w:p>
    <w:p w14:paraId="03A543D0" w14:textId="2FAF4296" w:rsidR="0031316D" w:rsidRPr="00B54541" w:rsidRDefault="0031316D" w:rsidP="002926EF">
      <w:r w:rsidRPr="00B54541">
        <w:lastRenderedPageBreak/>
        <w:t>Enoxaparin sodium is a low molecular weight heparin, obtained by alkaline depolymerisation of heparin benzyl ester derived from porcine intestinal mucosa.</w:t>
      </w:r>
      <w:r w:rsidR="00C31BC1" w:rsidRPr="00B54541">
        <w:t xml:space="preserve"> </w:t>
      </w:r>
      <w:r w:rsidRPr="00B54541">
        <w:t xml:space="preserve">Enoxaparin sodium has several actions on the coagulation pathway through binding to anti-thrombin III. The anti-thrombotic activity is related to inhibition of thrombin generation and inhibition of two main coagulation factors: Factor Xa and Thrombin. Enoxaparin sodium also induces a sustained release of the Tissue Factor Pathway Inhibitor </w:t>
      </w:r>
      <w:r w:rsidRPr="00B54541">
        <w:rPr>
          <w:i/>
          <w:iCs/>
        </w:rPr>
        <w:t>in vivo</w:t>
      </w:r>
      <w:r w:rsidRPr="00B54541">
        <w:t>.</w:t>
      </w:r>
      <w:r w:rsidRPr="00B54541">
        <w:rPr>
          <w:vertAlign w:val="superscript"/>
        </w:rPr>
        <w:footnoteReference w:id="2"/>
      </w:r>
    </w:p>
    <w:p w14:paraId="0D615854" w14:textId="77777777" w:rsidR="00324B33" w:rsidRPr="00B54541" w:rsidRDefault="00324B33" w:rsidP="00324B33">
      <w:pPr>
        <w:pStyle w:val="Heading3"/>
      </w:pPr>
      <w:bookmarkStart w:id="17" w:name="_Toc103679291"/>
      <w:bookmarkStart w:id="18" w:name="_Toc160184681"/>
      <w:r w:rsidRPr="00B54541">
        <w:t>Regulatory status</w:t>
      </w:r>
      <w:bookmarkEnd w:id="15"/>
      <w:bookmarkEnd w:id="16"/>
      <w:bookmarkEnd w:id="17"/>
      <w:bookmarkEnd w:id="18"/>
    </w:p>
    <w:p w14:paraId="72C889D6" w14:textId="7E200950" w:rsidR="0017005C" w:rsidRPr="00B54541" w:rsidRDefault="0017005C" w:rsidP="00741AB9">
      <w:pPr>
        <w:pStyle w:val="Heading4"/>
      </w:pPr>
      <w:bookmarkStart w:id="19" w:name="_Toc160184682"/>
      <w:r w:rsidRPr="00B54541">
        <w:t>Australian regulatory sta</w:t>
      </w:r>
      <w:r w:rsidR="0025785B" w:rsidRPr="00B54541">
        <w:t>t</w:t>
      </w:r>
      <w:r w:rsidRPr="00B54541">
        <w:t>us</w:t>
      </w:r>
      <w:bookmarkEnd w:id="19"/>
    </w:p>
    <w:p w14:paraId="6A8633FA" w14:textId="2980CBD8" w:rsidR="00324B33" w:rsidRPr="00B54541" w:rsidRDefault="00324B33" w:rsidP="00324B33">
      <w:pPr>
        <w:rPr>
          <w:szCs w:val="22"/>
        </w:rPr>
      </w:pPr>
      <w:r w:rsidRPr="00B54541">
        <w:rPr>
          <w:szCs w:val="22"/>
        </w:rPr>
        <w:t xml:space="preserve">This product is considered a </w:t>
      </w:r>
      <w:r w:rsidR="008C754C" w:rsidRPr="00B54541">
        <w:rPr>
          <w:szCs w:val="22"/>
        </w:rPr>
        <w:t xml:space="preserve">new </w:t>
      </w:r>
      <w:r w:rsidR="00CA12AF" w:rsidRPr="00B54541">
        <w:rPr>
          <w:szCs w:val="22"/>
        </w:rPr>
        <w:t xml:space="preserve">biological entity </w:t>
      </w:r>
      <w:r w:rsidRPr="00B54541">
        <w:rPr>
          <w:szCs w:val="22"/>
        </w:rPr>
        <w:t>for Australian regulatory purposes.</w:t>
      </w:r>
    </w:p>
    <w:p w14:paraId="546C1031" w14:textId="5BAB9E2C" w:rsidR="0017005C" w:rsidRPr="00B54541" w:rsidRDefault="0017005C" w:rsidP="0017005C">
      <w:pPr>
        <w:pStyle w:val="Heading4"/>
      </w:pPr>
      <w:bookmarkStart w:id="20" w:name="_Toc160184683"/>
      <w:r w:rsidRPr="00B54541">
        <w:t>Foreign regulatory status</w:t>
      </w:r>
      <w:bookmarkEnd w:id="20"/>
    </w:p>
    <w:p w14:paraId="6AE8C9BE" w14:textId="7CF59328" w:rsidR="009131B8" w:rsidRPr="00B54541" w:rsidRDefault="008F4A62" w:rsidP="00E64666">
      <w:r w:rsidRPr="00B54541">
        <w:t>At the time the TGA considered this submission, similar submission</w:t>
      </w:r>
      <w:r w:rsidR="00372F88" w:rsidRPr="00B54541">
        <w:t>s</w:t>
      </w:r>
      <w:r w:rsidRPr="00B54541">
        <w:t xml:space="preserve"> had been approved in</w:t>
      </w:r>
      <w:r w:rsidR="00882DF0" w:rsidRPr="00B54541">
        <w:t xml:space="preserve"> the </w:t>
      </w:r>
      <w:r w:rsidR="00B415DF" w:rsidRPr="00B54541">
        <w:t>European Union</w:t>
      </w:r>
      <w:r w:rsidR="00B368BD" w:rsidRPr="00B54541">
        <w:t xml:space="preserve"> (EU)</w:t>
      </w:r>
      <w:r w:rsidR="00B415DF" w:rsidRPr="00B54541">
        <w:t xml:space="preserve"> on 15 September 2016</w:t>
      </w:r>
      <w:r w:rsidR="00D74B4D" w:rsidRPr="00B54541">
        <w:t xml:space="preserve"> and</w:t>
      </w:r>
      <w:r w:rsidR="00B415DF" w:rsidRPr="00B54541">
        <w:t xml:space="preserve"> </w:t>
      </w:r>
      <w:r w:rsidR="00257D8F" w:rsidRPr="00B54541">
        <w:t xml:space="preserve">Canada </w:t>
      </w:r>
      <w:r w:rsidR="00D74B4D" w:rsidRPr="00B54541">
        <w:t xml:space="preserve">on 11 December </w:t>
      </w:r>
      <w:r w:rsidR="00257D8F" w:rsidRPr="00B54541">
        <w:t>2020</w:t>
      </w:r>
      <w:r w:rsidR="00D74B4D" w:rsidRPr="00B54541">
        <w:t xml:space="preserve">. </w:t>
      </w:r>
      <w:r w:rsidR="00372F88" w:rsidRPr="00B54541">
        <w:t>S</w:t>
      </w:r>
      <w:r w:rsidRPr="00B54541">
        <w:t>imilar submission</w:t>
      </w:r>
      <w:r w:rsidR="00372F88" w:rsidRPr="00B54541">
        <w:t>s</w:t>
      </w:r>
      <w:r w:rsidRPr="00B54541">
        <w:t xml:space="preserve"> </w:t>
      </w:r>
      <w:r w:rsidR="00372F88" w:rsidRPr="00B54541">
        <w:t>were</w:t>
      </w:r>
      <w:r w:rsidRPr="00B54541">
        <w:t xml:space="preserve"> under consideration in </w:t>
      </w:r>
      <w:r w:rsidR="00372F88" w:rsidRPr="00B54541">
        <w:t xml:space="preserve">in the </w:t>
      </w:r>
      <w:r w:rsidR="00882AB0" w:rsidRPr="00B54541">
        <w:t xml:space="preserve">United States of America </w:t>
      </w:r>
      <w:r w:rsidR="00E64666" w:rsidRPr="00B54541">
        <w:t>(</w:t>
      </w:r>
      <w:r w:rsidR="00882AB0" w:rsidRPr="00B54541">
        <w:t xml:space="preserve">Submitted </w:t>
      </w:r>
      <w:r w:rsidR="00E64666" w:rsidRPr="00B54541">
        <w:t xml:space="preserve">on 20 May </w:t>
      </w:r>
      <w:r w:rsidR="00882AB0" w:rsidRPr="00B54541">
        <w:t>2013)</w:t>
      </w:r>
      <w:r w:rsidR="00E64666" w:rsidRPr="00B54541">
        <w:t>, S</w:t>
      </w:r>
      <w:r w:rsidR="009131B8" w:rsidRPr="00B54541">
        <w:t xml:space="preserve">ingapore </w:t>
      </w:r>
      <w:r w:rsidR="00E64666" w:rsidRPr="00B54541">
        <w:t>(</w:t>
      </w:r>
      <w:r w:rsidR="009131B8" w:rsidRPr="00B54541">
        <w:t xml:space="preserve">Submitted </w:t>
      </w:r>
      <w:r w:rsidR="00E64666" w:rsidRPr="00B54541">
        <w:t xml:space="preserve">on 15 June 2020) and </w:t>
      </w:r>
      <w:r w:rsidR="009131B8" w:rsidRPr="00B54541">
        <w:t xml:space="preserve">Switzerland </w:t>
      </w:r>
      <w:r w:rsidR="0021132E" w:rsidRPr="00B54541">
        <w:t xml:space="preserve">(submitted </w:t>
      </w:r>
      <w:r w:rsidR="00E64666" w:rsidRPr="00B54541">
        <w:t>on 22 February 2</w:t>
      </w:r>
      <w:r w:rsidR="009131B8" w:rsidRPr="00B54541">
        <w:t>019</w:t>
      </w:r>
      <w:r w:rsidR="0021132E" w:rsidRPr="00B54541">
        <w:t>)</w:t>
      </w:r>
      <w:r w:rsidR="00E64666" w:rsidRPr="00B54541">
        <w:t>.</w:t>
      </w:r>
    </w:p>
    <w:p w14:paraId="6D92589C" w14:textId="09786CEF" w:rsidR="00324B33" w:rsidRPr="00B54541" w:rsidRDefault="00324B33" w:rsidP="00324B33">
      <w:pPr>
        <w:pStyle w:val="Heading2"/>
      </w:pPr>
      <w:bookmarkStart w:id="21" w:name="_Toc504480011"/>
      <w:bookmarkStart w:id="22" w:name="_Toc103679293"/>
      <w:bookmarkStart w:id="23" w:name="_Toc160184684"/>
      <w:r w:rsidRPr="00B54541">
        <w:t>Registration timeline</w:t>
      </w:r>
      <w:bookmarkEnd w:id="21"/>
      <w:bookmarkEnd w:id="22"/>
      <w:bookmarkEnd w:id="23"/>
    </w:p>
    <w:p w14:paraId="225E3D87" w14:textId="1F3070CE" w:rsidR="00324B33" w:rsidRPr="00B54541" w:rsidRDefault="00324B33" w:rsidP="00324B33">
      <w:pPr>
        <w:rPr>
          <w:szCs w:val="22"/>
        </w:rPr>
      </w:pPr>
      <w:r w:rsidRPr="00B54541">
        <w:rPr>
          <w:szCs w:val="22"/>
        </w:rPr>
        <w:t>The following table captures the key steps and dates for this submission.</w:t>
      </w:r>
    </w:p>
    <w:p w14:paraId="6BB76942" w14:textId="313B1D60" w:rsidR="00477C4E" w:rsidRPr="00B54541" w:rsidRDefault="00477C4E" w:rsidP="00324B33">
      <w:pPr>
        <w:rPr>
          <w:szCs w:val="22"/>
        </w:rPr>
      </w:pPr>
      <w:r w:rsidRPr="00B54541">
        <w:rPr>
          <w:szCs w:val="22"/>
        </w:rPr>
        <w:t xml:space="preserve">This submission was evaluated under the </w:t>
      </w:r>
      <w:hyperlink r:id="rId18" w:history="1">
        <w:r w:rsidRPr="00B54541">
          <w:rPr>
            <w:rStyle w:val="Hyperlink"/>
            <w:szCs w:val="22"/>
          </w:rPr>
          <w:t>standard prescription medicines registration process</w:t>
        </w:r>
      </w:hyperlink>
      <w:r w:rsidRPr="00B54541">
        <w:rPr>
          <w:szCs w:val="22"/>
        </w:rPr>
        <w:t>.</w:t>
      </w:r>
    </w:p>
    <w:p w14:paraId="44628C5F" w14:textId="178F44C4" w:rsidR="00324B33" w:rsidRPr="00B54541" w:rsidRDefault="00324B33" w:rsidP="002C1232">
      <w:pPr>
        <w:pStyle w:val="TableTitle"/>
      </w:pPr>
      <w:r w:rsidRPr="00B54541">
        <w:t xml:space="preserve">Table </w:t>
      </w:r>
      <w:fldSimple w:instr=" SEQ Table \* ARABIC ">
        <w:r w:rsidR="0075357A">
          <w:rPr>
            <w:noProof/>
          </w:rPr>
          <w:t>1</w:t>
        </w:r>
      </w:fldSimple>
      <w:r w:rsidRPr="00B54541">
        <w:t xml:space="preserve">: Timeline for Submission </w:t>
      </w:r>
      <w:r w:rsidR="009B2431" w:rsidRPr="00B54541">
        <w:t>PM-2021-04339-1-3</w:t>
      </w:r>
    </w:p>
    <w:tbl>
      <w:tblPr>
        <w:tblStyle w:val="TableTGAblue2023"/>
        <w:tblW w:w="8642" w:type="dxa"/>
        <w:tblLook w:val="04A0" w:firstRow="1" w:lastRow="0" w:firstColumn="1" w:lastColumn="0" w:noHBand="0" w:noVBand="1"/>
      </w:tblPr>
      <w:tblGrid>
        <w:gridCol w:w="5949"/>
        <w:gridCol w:w="2693"/>
      </w:tblGrid>
      <w:tr w:rsidR="00324B33" w:rsidRPr="00B54541" w14:paraId="6C59BE9C" w14:textId="77777777" w:rsidTr="00112B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Pr>
          <w:p w14:paraId="16D80E78" w14:textId="3EC0CCAF" w:rsidR="00324B33" w:rsidRPr="00B54541" w:rsidRDefault="00324B33" w:rsidP="00324B33">
            <w:pPr>
              <w:rPr>
                <w:szCs w:val="22"/>
              </w:rPr>
            </w:pPr>
            <w:r w:rsidRPr="00B54541">
              <w:rPr>
                <w:szCs w:val="22"/>
              </w:rPr>
              <w:t>Description</w:t>
            </w:r>
          </w:p>
        </w:tc>
        <w:tc>
          <w:tcPr>
            <w:tcW w:w="2693" w:type="dxa"/>
          </w:tcPr>
          <w:p w14:paraId="79AFDC4B" w14:textId="05792035" w:rsidR="00324B33" w:rsidRPr="00B54541" w:rsidRDefault="00324B33" w:rsidP="00324B33">
            <w:pPr>
              <w:cnfStyle w:val="100000000000" w:firstRow="1" w:lastRow="0" w:firstColumn="0" w:lastColumn="0" w:oddVBand="0" w:evenVBand="0" w:oddHBand="0" w:evenHBand="0" w:firstRowFirstColumn="0" w:firstRowLastColumn="0" w:lastRowFirstColumn="0" w:lastRowLastColumn="0"/>
              <w:rPr>
                <w:szCs w:val="22"/>
              </w:rPr>
            </w:pPr>
            <w:r w:rsidRPr="00B54541">
              <w:rPr>
                <w:szCs w:val="22"/>
              </w:rPr>
              <w:t>Date</w:t>
            </w:r>
          </w:p>
        </w:tc>
      </w:tr>
      <w:tr w:rsidR="00324B33" w:rsidRPr="00B54541" w14:paraId="23610C53" w14:textId="77777777" w:rsidTr="00112BD6">
        <w:tc>
          <w:tcPr>
            <w:cnfStyle w:val="001000000000" w:firstRow="0" w:lastRow="0" w:firstColumn="1" w:lastColumn="0" w:oddVBand="0" w:evenVBand="0" w:oddHBand="0" w:evenHBand="0" w:firstRowFirstColumn="0" w:firstRowLastColumn="0" w:lastRowFirstColumn="0" w:lastRowLastColumn="0"/>
            <w:tcW w:w="5949" w:type="dxa"/>
          </w:tcPr>
          <w:p w14:paraId="759D2A12" w14:textId="0D705F83" w:rsidR="00324B33" w:rsidRPr="00B54541" w:rsidRDefault="00324B33" w:rsidP="00E679D1">
            <w:r w:rsidRPr="00B54541">
              <w:t>Submission dossier accepted and first round evaluation commenced</w:t>
            </w:r>
          </w:p>
        </w:tc>
        <w:tc>
          <w:tcPr>
            <w:tcW w:w="2693" w:type="dxa"/>
          </w:tcPr>
          <w:p w14:paraId="2963D9D8" w14:textId="211361E2" w:rsidR="00324B33" w:rsidRPr="00B54541" w:rsidRDefault="00B341C9" w:rsidP="002926EF">
            <w:pPr>
              <w:cnfStyle w:val="000000000000" w:firstRow="0" w:lastRow="0" w:firstColumn="0" w:lastColumn="0" w:oddVBand="0" w:evenVBand="0" w:oddHBand="0" w:evenHBand="0" w:firstRowFirstColumn="0" w:firstRowLastColumn="0" w:lastRowFirstColumn="0" w:lastRowLastColumn="0"/>
            </w:pPr>
            <w:r w:rsidRPr="00B54541">
              <w:t>6 December 2021</w:t>
            </w:r>
          </w:p>
        </w:tc>
      </w:tr>
      <w:tr w:rsidR="00324B33" w:rsidRPr="00B54541" w14:paraId="53437815" w14:textId="77777777" w:rsidTr="00112BD6">
        <w:tc>
          <w:tcPr>
            <w:cnfStyle w:val="001000000000" w:firstRow="0" w:lastRow="0" w:firstColumn="1" w:lastColumn="0" w:oddVBand="0" w:evenVBand="0" w:oddHBand="0" w:evenHBand="0" w:firstRowFirstColumn="0" w:firstRowLastColumn="0" w:lastRowFirstColumn="0" w:lastRowLastColumn="0"/>
            <w:tcW w:w="5949" w:type="dxa"/>
          </w:tcPr>
          <w:p w14:paraId="4C037D4E" w14:textId="2B0CE255" w:rsidR="00324B33" w:rsidRPr="00B54541" w:rsidRDefault="00324B33" w:rsidP="00E679D1">
            <w:r w:rsidRPr="00B54541">
              <w:t>First round evaluation completed</w:t>
            </w:r>
          </w:p>
        </w:tc>
        <w:tc>
          <w:tcPr>
            <w:tcW w:w="2693" w:type="dxa"/>
          </w:tcPr>
          <w:p w14:paraId="3CEAFAAB" w14:textId="1AC67257" w:rsidR="00324B33" w:rsidRPr="00B54541" w:rsidRDefault="00B341C9" w:rsidP="002926EF">
            <w:pPr>
              <w:cnfStyle w:val="000000000000" w:firstRow="0" w:lastRow="0" w:firstColumn="0" w:lastColumn="0" w:oddVBand="0" w:evenVBand="0" w:oddHBand="0" w:evenHBand="0" w:firstRowFirstColumn="0" w:firstRowLastColumn="0" w:lastRowFirstColumn="0" w:lastRowLastColumn="0"/>
            </w:pPr>
            <w:r w:rsidRPr="00B54541">
              <w:t>1 June 2022</w:t>
            </w:r>
          </w:p>
        </w:tc>
      </w:tr>
      <w:tr w:rsidR="00324B33" w:rsidRPr="00B54541" w14:paraId="60DA57CC" w14:textId="77777777" w:rsidTr="00112BD6">
        <w:tc>
          <w:tcPr>
            <w:cnfStyle w:val="001000000000" w:firstRow="0" w:lastRow="0" w:firstColumn="1" w:lastColumn="0" w:oddVBand="0" w:evenVBand="0" w:oddHBand="0" w:evenHBand="0" w:firstRowFirstColumn="0" w:firstRowLastColumn="0" w:lastRowFirstColumn="0" w:lastRowLastColumn="0"/>
            <w:tcW w:w="5949" w:type="dxa"/>
          </w:tcPr>
          <w:p w14:paraId="02EA1147" w14:textId="2853A422" w:rsidR="00324B33" w:rsidRPr="00B54541" w:rsidRDefault="00324B33" w:rsidP="00E679D1">
            <w:r w:rsidRPr="00B54541">
              <w:t>Sponsor provides responses on questions raised in first round evaluation</w:t>
            </w:r>
          </w:p>
        </w:tc>
        <w:tc>
          <w:tcPr>
            <w:tcW w:w="2693" w:type="dxa"/>
          </w:tcPr>
          <w:p w14:paraId="68A577C1" w14:textId="0B0D79CB" w:rsidR="00324B33" w:rsidRPr="00B54541" w:rsidRDefault="00894690" w:rsidP="002926EF">
            <w:pPr>
              <w:cnfStyle w:val="000000000000" w:firstRow="0" w:lastRow="0" w:firstColumn="0" w:lastColumn="0" w:oddVBand="0" w:evenVBand="0" w:oddHBand="0" w:evenHBand="0" w:firstRowFirstColumn="0" w:firstRowLastColumn="0" w:lastRowFirstColumn="0" w:lastRowLastColumn="0"/>
            </w:pPr>
            <w:r w:rsidRPr="00B54541">
              <w:t>28 July 2022</w:t>
            </w:r>
          </w:p>
        </w:tc>
      </w:tr>
      <w:tr w:rsidR="00324B33" w:rsidRPr="00B54541" w14:paraId="767E33A4" w14:textId="77777777" w:rsidTr="00112BD6">
        <w:tc>
          <w:tcPr>
            <w:cnfStyle w:val="001000000000" w:firstRow="0" w:lastRow="0" w:firstColumn="1" w:lastColumn="0" w:oddVBand="0" w:evenVBand="0" w:oddHBand="0" w:evenHBand="0" w:firstRowFirstColumn="0" w:firstRowLastColumn="0" w:lastRowFirstColumn="0" w:lastRowLastColumn="0"/>
            <w:tcW w:w="5949" w:type="dxa"/>
          </w:tcPr>
          <w:p w14:paraId="4AFC5B50" w14:textId="2BCC6A3E" w:rsidR="00324B33" w:rsidRPr="00B54541" w:rsidRDefault="00324B33" w:rsidP="00E679D1">
            <w:r w:rsidRPr="00B54541">
              <w:t>Second round evaluation completed</w:t>
            </w:r>
          </w:p>
        </w:tc>
        <w:tc>
          <w:tcPr>
            <w:tcW w:w="2693" w:type="dxa"/>
          </w:tcPr>
          <w:p w14:paraId="4E47DF62" w14:textId="3888349D" w:rsidR="00324B33" w:rsidRPr="00B54541" w:rsidRDefault="00551B46" w:rsidP="002926EF">
            <w:pPr>
              <w:cnfStyle w:val="000000000000" w:firstRow="0" w:lastRow="0" w:firstColumn="0" w:lastColumn="0" w:oddVBand="0" w:evenVBand="0" w:oddHBand="0" w:evenHBand="0" w:firstRowFirstColumn="0" w:firstRowLastColumn="0" w:lastRowFirstColumn="0" w:lastRowLastColumn="0"/>
            </w:pPr>
            <w:r w:rsidRPr="00B54541">
              <w:t>6 October 2022</w:t>
            </w:r>
          </w:p>
        </w:tc>
      </w:tr>
      <w:tr w:rsidR="001431B9" w:rsidRPr="00B54541" w14:paraId="535C5B79" w14:textId="77777777" w:rsidTr="00112BD6">
        <w:tc>
          <w:tcPr>
            <w:cnfStyle w:val="001000000000" w:firstRow="0" w:lastRow="0" w:firstColumn="1" w:lastColumn="0" w:oddVBand="0" w:evenVBand="0" w:oddHBand="0" w:evenHBand="0" w:firstRowFirstColumn="0" w:firstRowLastColumn="0" w:lastRowFirstColumn="0" w:lastRowLastColumn="0"/>
            <w:tcW w:w="5949" w:type="dxa"/>
          </w:tcPr>
          <w:p w14:paraId="333C6219" w14:textId="61952DF2" w:rsidR="001431B9" w:rsidRPr="00B54541" w:rsidRDefault="001431B9" w:rsidP="001431B9">
            <w:r w:rsidRPr="00B54541">
              <w:t>Sponsor’s notification to the TGA of errors/omissions in evaluation reports</w:t>
            </w:r>
          </w:p>
        </w:tc>
        <w:tc>
          <w:tcPr>
            <w:tcW w:w="2693" w:type="dxa"/>
          </w:tcPr>
          <w:p w14:paraId="2E8C31B9" w14:textId="13F834EC" w:rsidR="001431B9" w:rsidRPr="00B54541" w:rsidRDefault="00BB3EBA" w:rsidP="002926EF">
            <w:pPr>
              <w:cnfStyle w:val="000000000000" w:firstRow="0" w:lastRow="0" w:firstColumn="0" w:lastColumn="0" w:oddVBand="0" w:evenVBand="0" w:oddHBand="0" w:evenHBand="0" w:firstRowFirstColumn="0" w:firstRowLastColumn="0" w:lastRowFirstColumn="0" w:lastRowLastColumn="0"/>
            </w:pPr>
            <w:r w:rsidRPr="00B54541">
              <w:t>Not applicable</w:t>
            </w:r>
          </w:p>
        </w:tc>
      </w:tr>
      <w:tr w:rsidR="001431B9" w:rsidRPr="00B54541" w14:paraId="302FCB45" w14:textId="77777777" w:rsidTr="00112BD6">
        <w:tc>
          <w:tcPr>
            <w:cnfStyle w:val="001000000000" w:firstRow="0" w:lastRow="0" w:firstColumn="1" w:lastColumn="0" w:oddVBand="0" w:evenVBand="0" w:oddHBand="0" w:evenHBand="0" w:firstRowFirstColumn="0" w:firstRowLastColumn="0" w:lastRowFirstColumn="0" w:lastRowLastColumn="0"/>
            <w:tcW w:w="5949" w:type="dxa"/>
          </w:tcPr>
          <w:p w14:paraId="716E9DC1" w14:textId="7AFB3613" w:rsidR="001431B9" w:rsidRPr="00B54541" w:rsidRDefault="001431B9" w:rsidP="001431B9">
            <w:pPr>
              <w:rPr>
                <w:szCs w:val="22"/>
              </w:rPr>
            </w:pPr>
            <w:r w:rsidRPr="00B54541">
              <w:rPr>
                <w:szCs w:val="22"/>
              </w:rPr>
              <w:t>Delegate’s</w:t>
            </w:r>
            <w:r w:rsidRPr="00B54541">
              <w:rPr>
                <w:rStyle w:val="FootnoteReference"/>
                <w:szCs w:val="22"/>
              </w:rPr>
              <w:footnoteReference w:id="3"/>
            </w:r>
            <w:r w:rsidRPr="00B54541">
              <w:rPr>
                <w:szCs w:val="22"/>
              </w:rPr>
              <w:t xml:space="preserve"> Overall benefit-</w:t>
            </w:r>
            <w:r w:rsidRPr="00B54541">
              <w:rPr>
                <w:color w:val="000000" w:themeColor="text1"/>
                <w:szCs w:val="22"/>
              </w:rPr>
              <w:t>risk assessment and request for Advisory Committee advice</w:t>
            </w:r>
          </w:p>
        </w:tc>
        <w:tc>
          <w:tcPr>
            <w:tcW w:w="2693" w:type="dxa"/>
          </w:tcPr>
          <w:p w14:paraId="3BA6EF79" w14:textId="0A80D2CA" w:rsidR="001431B9" w:rsidRPr="00B54541" w:rsidRDefault="00F03CC0" w:rsidP="002926EF">
            <w:pPr>
              <w:cnfStyle w:val="000000000000" w:firstRow="0" w:lastRow="0" w:firstColumn="0" w:lastColumn="0" w:oddVBand="0" w:evenVBand="0" w:oddHBand="0" w:evenHBand="0" w:firstRowFirstColumn="0" w:firstRowLastColumn="0" w:lastRowFirstColumn="0" w:lastRowLastColumn="0"/>
            </w:pPr>
            <w:r w:rsidRPr="00B54541">
              <w:t>28 October 2022</w:t>
            </w:r>
          </w:p>
        </w:tc>
      </w:tr>
      <w:tr w:rsidR="001431B9" w:rsidRPr="00B54541" w14:paraId="5832EBC8" w14:textId="77777777" w:rsidTr="00112BD6">
        <w:tc>
          <w:tcPr>
            <w:cnfStyle w:val="001000000000" w:firstRow="0" w:lastRow="0" w:firstColumn="1" w:lastColumn="0" w:oddVBand="0" w:evenVBand="0" w:oddHBand="0" w:evenHBand="0" w:firstRowFirstColumn="0" w:firstRowLastColumn="0" w:lastRowFirstColumn="0" w:lastRowLastColumn="0"/>
            <w:tcW w:w="5949" w:type="dxa"/>
          </w:tcPr>
          <w:p w14:paraId="720592DE" w14:textId="1F72CD22" w:rsidR="001431B9" w:rsidRPr="00B54541" w:rsidRDefault="001431B9" w:rsidP="001431B9">
            <w:r w:rsidRPr="00B54541">
              <w:t>Sponsor’s pre-Advisory Committee response</w:t>
            </w:r>
          </w:p>
        </w:tc>
        <w:tc>
          <w:tcPr>
            <w:tcW w:w="2693" w:type="dxa"/>
          </w:tcPr>
          <w:p w14:paraId="5AE04841" w14:textId="6C77A239" w:rsidR="001431B9" w:rsidRPr="00B54541" w:rsidRDefault="00523A19" w:rsidP="002926EF">
            <w:pPr>
              <w:cnfStyle w:val="000000000000" w:firstRow="0" w:lastRow="0" w:firstColumn="0" w:lastColumn="0" w:oddVBand="0" w:evenVBand="0" w:oddHBand="0" w:evenHBand="0" w:firstRowFirstColumn="0" w:firstRowLastColumn="0" w:lastRowFirstColumn="0" w:lastRowLastColumn="0"/>
            </w:pPr>
            <w:r w:rsidRPr="00B54541">
              <w:t>21 November 2022</w:t>
            </w:r>
          </w:p>
        </w:tc>
      </w:tr>
      <w:tr w:rsidR="001431B9" w:rsidRPr="00B54541" w14:paraId="5754F7AC" w14:textId="77777777" w:rsidTr="00112BD6">
        <w:tc>
          <w:tcPr>
            <w:cnfStyle w:val="001000000000" w:firstRow="0" w:lastRow="0" w:firstColumn="1" w:lastColumn="0" w:oddVBand="0" w:evenVBand="0" w:oddHBand="0" w:evenHBand="0" w:firstRowFirstColumn="0" w:firstRowLastColumn="0" w:lastRowFirstColumn="0" w:lastRowLastColumn="0"/>
            <w:tcW w:w="5949" w:type="dxa"/>
          </w:tcPr>
          <w:p w14:paraId="789DE187" w14:textId="123446EE" w:rsidR="001431B9" w:rsidRPr="00B54541" w:rsidRDefault="001431B9" w:rsidP="001431B9">
            <w:r w:rsidRPr="00B54541">
              <w:lastRenderedPageBreak/>
              <w:t>Advisory Committee meeting</w:t>
            </w:r>
          </w:p>
        </w:tc>
        <w:tc>
          <w:tcPr>
            <w:tcW w:w="2693" w:type="dxa"/>
          </w:tcPr>
          <w:p w14:paraId="5BE1EDE7" w14:textId="2AFE4964" w:rsidR="001431B9" w:rsidRPr="00B54541" w:rsidRDefault="001431B9" w:rsidP="002926EF">
            <w:pPr>
              <w:cnfStyle w:val="000000000000" w:firstRow="0" w:lastRow="0" w:firstColumn="0" w:lastColumn="0" w:oddVBand="0" w:evenVBand="0" w:oddHBand="0" w:evenHBand="0" w:firstRowFirstColumn="0" w:firstRowLastColumn="0" w:lastRowFirstColumn="0" w:lastRowLastColumn="0"/>
            </w:pPr>
            <w:r w:rsidRPr="00B54541">
              <w:t>1 and 2 December 2022</w:t>
            </w:r>
          </w:p>
        </w:tc>
      </w:tr>
      <w:tr w:rsidR="001431B9" w:rsidRPr="00B54541" w14:paraId="6E5D32FE" w14:textId="77777777" w:rsidTr="00112BD6">
        <w:tc>
          <w:tcPr>
            <w:cnfStyle w:val="001000000000" w:firstRow="0" w:lastRow="0" w:firstColumn="1" w:lastColumn="0" w:oddVBand="0" w:evenVBand="0" w:oddHBand="0" w:evenHBand="0" w:firstRowFirstColumn="0" w:firstRowLastColumn="0" w:lastRowFirstColumn="0" w:lastRowLastColumn="0"/>
            <w:tcW w:w="5949" w:type="dxa"/>
          </w:tcPr>
          <w:p w14:paraId="4E95C44C" w14:textId="7A91C710" w:rsidR="001431B9" w:rsidRPr="00B54541" w:rsidRDefault="001431B9" w:rsidP="001431B9">
            <w:r w:rsidRPr="00B54541">
              <w:t>Registration decision (Outcome)</w:t>
            </w:r>
          </w:p>
        </w:tc>
        <w:tc>
          <w:tcPr>
            <w:tcW w:w="2693" w:type="dxa"/>
          </w:tcPr>
          <w:p w14:paraId="62987ABD" w14:textId="687DF555" w:rsidR="001431B9" w:rsidRPr="00B54541" w:rsidRDefault="005A5913" w:rsidP="002926EF">
            <w:pPr>
              <w:cnfStyle w:val="000000000000" w:firstRow="0" w:lastRow="0" w:firstColumn="0" w:lastColumn="0" w:oddVBand="0" w:evenVBand="0" w:oddHBand="0" w:evenHBand="0" w:firstRowFirstColumn="0" w:firstRowLastColumn="0" w:lastRowFirstColumn="0" w:lastRowLastColumn="0"/>
            </w:pPr>
            <w:r w:rsidRPr="00B54541">
              <w:t>27 June 2023</w:t>
            </w:r>
          </w:p>
        </w:tc>
      </w:tr>
      <w:tr w:rsidR="001431B9" w:rsidRPr="00B54541" w14:paraId="6DDCDDA4" w14:textId="77777777" w:rsidTr="00112BD6">
        <w:tc>
          <w:tcPr>
            <w:cnfStyle w:val="001000000000" w:firstRow="0" w:lastRow="0" w:firstColumn="1" w:lastColumn="0" w:oddVBand="0" w:evenVBand="0" w:oddHBand="0" w:evenHBand="0" w:firstRowFirstColumn="0" w:firstRowLastColumn="0" w:lastRowFirstColumn="0" w:lastRowLastColumn="0"/>
            <w:tcW w:w="5949" w:type="dxa"/>
          </w:tcPr>
          <w:p w14:paraId="192FD19D" w14:textId="3612A2E7" w:rsidR="001431B9" w:rsidRPr="00B54541" w:rsidRDefault="001431B9" w:rsidP="001431B9">
            <w:r w:rsidRPr="00B54541">
              <w:t>Administrative activities and registration in the ARTG completed</w:t>
            </w:r>
          </w:p>
        </w:tc>
        <w:tc>
          <w:tcPr>
            <w:tcW w:w="2693" w:type="dxa"/>
          </w:tcPr>
          <w:p w14:paraId="5A8923FD" w14:textId="2FF3A03A" w:rsidR="001431B9" w:rsidRPr="00B54541" w:rsidRDefault="005A5913" w:rsidP="002926EF">
            <w:pPr>
              <w:cnfStyle w:val="000000000000" w:firstRow="0" w:lastRow="0" w:firstColumn="0" w:lastColumn="0" w:oddVBand="0" w:evenVBand="0" w:oddHBand="0" w:evenHBand="0" w:firstRowFirstColumn="0" w:firstRowLastColumn="0" w:lastRowFirstColumn="0" w:lastRowLastColumn="0"/>
            </w:pPr>
            <w:r w:rsidRPr="00B54541">
              <w:t>28 June 2023</w:t>
            </w:r>
          </w:p>
        </w:tc>
      </w:tr>
      <w:tr w:rsidR="001431B9" w:rsidRPr="00B54541" w14:paraId="56D922E2" w14:textId="77777777" w:rsidTr="00112BD6">
        <w:tc>
          <w:tcPr>
            <w:cnfStyle w:val="001000000000" w:firstRow="0" w:lastRow="0" w:firstColumn="1" w:lastColumn="0" w:oddVBand="0" w:evenVBand="0" w:oddHBand="0" w:evenHBand="0" w:firstRowFirstColumn="0" w:firstRowLastColumn="0" w:lastRowFirstColumn="0" w:lastRowLastColumn="0"/>
            <w:tcW w:w="5949" w:type="dxa"/>
          </w:tcPr>
          <w:p w14:paraId="787FD8DD" w14:textId="0E0CF97F" w:rsidR="001431B9" w:rsidRPr="00B54541" w:rsidRDefault="001431B9" w:rsidP="001431B9">
            <w:r w:rsidRPr="00B54541">
              <w:t>Number of working days from submission dossier acceptance to registration decision*</w:t>
            </w:r>
          </w:p>
        </w:tc>
        <w:tc>
          <w:tcPr>
            <w:tcW w:w="2693" w:type="dxa"/>
          </w:tcPr>
          <w:p w14:paraId="5BAF9FA1" w14:textId="45A8A122" w:rsidR="001431B9" w:rsidRPr="00B54541" w:rsidRDefault="005A5913" w:rsidP="002926EF">
            <w:pPr>
              <w:cnfStyle w:val="000000000000" w:firstRow="0" w:lastRow="0" w:firstColumn="0" w:lastColumn="0" w:oddVBand="0" w:evenVBand="0" w:oddHBand="0" w:evenHBand="0" w:firstRowFirstColumn="0" w:firstRowLastColumn="0" w:lastRowFirstColumn="0" w:lastRowLastColumn="0"/>
            </w:pPr>
            <w:r w:rsidRPr="00B54541">
              <w:t>228</w:t>
            </w:r>
          </w:p>
        </w:tc>
      </w:tr>
    </w:tbl>
    <w:p w14:paraId="2FBBD622" w14:textId="77777777" w:rsidR="00B56E5D" w:rsidRPr="00B54541" w:rsidRDefault="00B56E5D" w:rsidP="00B56E5D">
      <w:pPr>
        <w:pStyle w:val="TableDescription"/>
      </w:pPr>
      <w:r w:rsidRPr="00B54541">
        <w:t>*Statutory timeframe for standard submissions is 255 working days</w:t>
      </w:r>
    </w:p>
    <w:p w14:paraId="220925F1" w14:textId="4E93D15D" w:rsidR="00C22214" w:rsidRPr="00B54541" w:rsidRDefault="00C22214" w:rsidP="00C22214">
      <w:pPr>
        <w:pStyle w:val="Heading2"/>
      </w:pPr>
      <w:bookmarkStart w:id="24" w:name="_Toc196046504"/>
      <w:bookmarkStart w:id="25" w:name="_Toc247691527"/>
      <w:bookmarkStart w:id="26" w:name="_Toc314842510"/>
      <w:bookmarkStart w:id="27" w:name="_Toc103679294"/>
      <w:bookmarkStart w:id="28" w:name="_Toc160184685"/>
      <w:r w:rsidRPr="00B54541">
        <w:t>Submission overview and risk/benefit assessment</w:t>
      </w:r>
      <w:bookmarkEnd w:id="24"/>
      <w:bookmarkEnd w:id="25"/>
      <w:bookmarkEnd w:id="26"/>
      <w:bookmarkEnd w:id="27"/>
      <w:bookmarkEnd w:id="28"/>
    </w:p>
    <w:p w14:paraId="540151FC" w14:textId="77777777" w:rsidR="00C22214" w:rsidRPr="00B54541" w:rsidRDefault="00C22214" w:rsidP="00BD5DBD">
      <w:pPr>
        <w:rPr>
          <w:szCs w:val="22"/>
        </w:rPr>
      </w:pPr>
      <w:bookmarkStart w:id="29" w:name="_Toc247691528"/>
      <w:bookmarkStart w:id="30" w:name="_Toc314842511"/>
      <w:r w:rsidRPr="00B54541">
        <w:rPr>
          <w:szCs w:val="22"/>
        </w:rPr>
        <w:t>A summary of the TGA’s assessment for this submission is provided below.</w:t>
      </w:r>
    </w:p>
    <w:p w14:paraId="5F5FAA14" w14:textId="29893E60" w:rsidR="00C22214" w:rsidRPr="00B54541" w:rsidRDefault="00C22214" w:rsidP="00C22214">
      <w:pPr>
        <w:rPr>
          <w:szCs w:val="22"/>
        </w:rPr>
      </w:pPr>
      <w:r w:rsidRPr="00B54541">
        <w:rPr>
          <w:szCs w:val="22"/>
        </w:rPr>
        <w:t xml:space="preserve">This section is a TGA summary of wording used in </w:t>
      </w:r>
      <w:r w:rsidR="006C0FBB" w:rsidRPr="00B54541">
        <w:rPr>
          <w:szCs w:val="22"/>
        </w:rPr>
        <w:t xml:space="preserve">the </w:t>
      </w:r>
      <w:r w:rsidRPr="00B54541">
        <w:rPr>
          <w:szCs w:val="22"/>
        </w:rPr>
        <w:t>TGA’s evaluation report, which discussed numerous aspects of overseas evaluation reports and included some information that was commercial-in-confidence.</w:t>
      </w:r>
    </w:p>
    <w:p w14:paraId="43461F38" w14:textId="77777777" w:rsidR="002926EF" w:rsidRPr="00B54541" w:rsidRDefault="007072A1" w:rsidP="00FA6592">
      <w:pPr>
        <w:rPr>
          <w:szCs w:val="22"/>
        </w:rPr>
      </w:pPr>
      <w:r w:rsidRPr="00B54541">
        <w:rPr>
          <w:szCs w:val="22"/>
        </w:rPr>
        <w:t>Relevant guidelines or guidance documents referred to by the Delegate are listed below:</w:t>
      </w:r>
    </w:p>
    <w:p w14:paraId="05BA3144" w14:textId="25726359" w:rsidR="00FA7531" w:rsidRPr="00B54541" w:rsidRDefault="00DF6899" w:rsidP="002926EF">
      <w:pPr>
        <w:pStyle w:val="ListBullet"/>
      </w:pPr>
      <w:r w:rsidRPr="00B54541">
        <w:t xml:space="preserve">European Medicines Agency (EMEA), </w:t>
      </w:r>
      <w:r w:rsidR="00981112" w:rsidRPr="00B54541">
        <w:t xml:space="preserve">Committee for Medicinal Products for Human Use (CHMP), </w:t>
      </w:r>
      <w:r w:rsidR="00FA7531" w:rsidRPr="00B54541">
        <w:t xml:space="preserve">Guideline </w:t>
      </w:r>
      <w:r w:rsidR="003C2113" w:rsidRPr="00B54541">
        <w:t>on Non-clinical and Clinical Development of Similar Biological Medicinal Products Containing Low Molecular-Weight-Heparins</w:t>
      </w:r>
      <w:r w:rsidR="00FA7531" w:rsidRPr="00B54541">
        <w:t>, EMEA/CHMP/BMWP/118264/2007 Rev. 1, 10 November 2016.</w:t>
      </w:r>
    </w:p>
    <w:p w14:paraId="1678104A" w14:textId="77777777" w:rsidR="0005320C" w:rsidRPr="00B54541" w:rsidRDefault="0005320C" w:rsidP="0005320C">
      <w:pPr>
        <w:pStyle w:val="ListBullet"/>
      </w:pPr>
      <w:r w:rsidRPr="0005320C">
        <w:t xml:space="preserve">European Medicines Agency (EMEA), Committee for Medicinal Products for Human Use (CHMP), Guideline </w:t>
      </w:r>
      <w:r>
        <w:t>o</w:t>
      </w:r>
      <w:r w:rsidRPr="0005320C">
        <w:t>n Similar Biological Medicinal Products, CHMP/437/04 Rev 1, 23 October 2014.</w:t>
      </w:r>
    </w:p>
    <w:p w14:paraId="24F18BC6" w14:textId="53AD7E1B" w:rsidR="00602F99" w:rsidRDefault="00981112" w:rsidP="002926EF">
      <w:pPr>
        <w:pStyle w:val="ListBullet"/>
      </w:pPr>
      <w:r w:rsidRPr="00B54541">
        <w:t xml:space="preserve">European Medicines Agency (EMEA), Committee for Medicinal Products for Human Use (CHMP), </w:t>
      </w:r>
      <w:r w:rsidR="00602F99" w:rsidRPr="00B54541">
        <w:t>Guideline </w:t>
      </w:r>
      <w:r w:rsidR="003C2113" w:rsidRPr="00B54541">
        <w:t>on Similar Biological Medicinal Products Containing Biotechnology-Derived Proteins as Active Substance: Non-clinical and Clinical Issues</w:t>
      </w:r>
      <w:r w:rsidR="00602F99" w:rsidRPr="00B54541">
        <w:t>, EMEA/CHMP/BMWP/42832/2005 Rev</w:t>
      </w:r>
      <w:r w:rsidR="00A47375" w:rsidRPr="00B54541">
        <w:t>.</w:t>
      </w:r>
      <w:r w:rsidR="00602F99" w:rsidRPr="00B54541">
        <w:t>1, 1</w:t>
      </w:r>
      <w:r w:rsidR="003C2113" w:rsidRPr="00B54541">
        <w:t xml:space="preserve"> July </w:t>
      </w:r>
      <w:r w:rsidR="00602F99" w:rsidRPr="00B54541">
        <w:t>2015.</w:t>
      </w:r>
    </w:p>
    <w:p w14:paraId="37F5A1C0" w14:textId="77777777" w:rsidR="00C22214" w:rsidRPr="00B54541" w:rsidRDefault="00C22214" w:rsidP="00112BD6">
      <w:pPr>
        <w:pStyle w:val="Heading3"/>
        <w:spacing w:before="240"/>
      </w:pPr>
      <w:bookmarkStart w:id="31" w:name="_Toc103679295"/>
      <w:bookmarkStart w:id="32" w:name="_Toc160184686"/>
      <w:r w:rsidRPr="00B54541">
        <w:t>Quality</w:t>
      </w:r>
      <w:bookmarkEnd w:id="29"/>
      <w:bookmarkEnd w:id="30"/>
      <w:bookmarkEnd w:id="31"/>
      <w:bookmarkEnd w:id="32"/>
    </w:p>
    <w:p w14:paraId="3FCA99BB" w14:textId="69F3312C" w:rsidR="00B05B87" w:rsidRDefault="003601A5" w:rsidP="00981112">
      <w:r w:rsidRPr="00B54541">
        <w:t>Exarane</w:t>
      </w:r>
      <w:r w:rsidR="00376523" w:rsidRPr="00B54541">
        <w:t xml:space="preserve"> (enoxaparin sodium) is a derivative of porcine-sourced heparin sodium manufactured by depolymerisation of heparin sodium using b-eliminative cleavage of a benzyl ester of heparin by alkaline treatment.</w:t>
      </w:r>
      <w:r w:rsidR="00C31BC1" w:rsidRPr="00B54541">
        <w:t xml:space="preserve"> </w:t>
      </w:r>
      <w:r w:rsidR="00376523" w:rsidRPr="00B54541">
        <w:t>The manufacturing processes are consistent with those for an enoxaparin sodium product.</w:t>
      </w:r>
      <w:r w:rsidR="00C31BC1" w:rsidRPr="00B54541">
        <w:t xml:space="preserve"> </w:t>
      </w:r>
      <w:r w:rsidR="00D10C88" w:rsidRPr="00B54541">
        <w:t xml:space="preserve">The chemical structure enoxaparin sodium is shown in </w:t>
      </w:r>
      <w:r w:rsidR="00D10C88" w:rsidRPr="00B54541">
        <w:fldChar w:fldCharType="begin"/>
      </w:r>
      <w:r w:rsidR="00D10C88" w:rsidRPr="00B54541">
        <w:instrText xml:space="preserve"> REF _Ref153783270 \h </w:instrText>
      </w:r>
      <w:r w:rsidR="00B54541" w:rsidRPr="00B54541">
        <w:instrText xml:space="preserve"> \* MERGEFORMAT </w:instrText>
      </w:r>
      <w:r w:rsidR="00D10C88" w:rsidRPr="00B54541">
        <w:fldChar w:fldCharType="separate"/>
      </w:r>
      <w:r w:rsidR="0075357A" w:rsidRPr="00B54541">
        <w:t xml:space="preserve">Figure </w:t>
      </w:r>
      <w:r w:rsidR="0075357A">
        <w:rPr>
          <w:noProof/>
        </w:rPr>
        <w:t>1</w:t>
      </w:r>
      <w:r w:rsidR="00D10C88" w:rsidRPr="00B54541">
        <w:fldChar w:fldCharType="end"/>
      </w:r>
      <w:r w:rsidR="00D10C88" w:rsidRPr="00B54541">
        <w:t xml:space="preserve"> below.</w:t>
      </w:r>
    </w:p>
    <w:p w14:paraId="08721C5A" w14:textId="2B6F03E5" w:rsidR="00981112" w:rsidRPr="00B54541" w:rsidRDefault="00981112" w:rsidP="00031184">
      <w:pPr>
        <w:pStyle w:val="FigureTitle"/>
      </w:pPr>
      <w:bookmarkStart w:id="33" w:name="_Ref153783270"/>
      <w:r w:rsidRPr="00B54541">
        <w:t xml:space="preserve">Figure </w:t>
      </w:r>
      <w:fldSimple w:instr=" SEQ Figure \* ARABIC ">
        <w:r w:rsidR="0075357A">
          <w:rPr>
            <w:noProof/>
          </w:rPr>
          <w:t>1</w:t>
        </w:r>
      </w:fldSimple>
      <w:bookmarkEnd w:id="33"/>
      <w:r w:rsidRPr="00B54541">
        <w:t xml:space="preserve">: </w:t>
      </w:r>
      <w:r w:rsidR="00CE4AD9" w:rsidRPr="00B54541">
        <w:t>C</w:t>
      </w:r>
      <w:r w:rsidR="00013346" w:rsidRPr="00B54541">
        <w:t xml:space="preserve">hemical structure of </w:t>
      </w:r>
      <w:r w:rsidR="00031184" w:rsidRPr="00B54541">
        <w:t>enoxaparin sodium</w:t>
      </w:r>
    </w:p>
    <w:p w14:paraId="7F01FE35" w14:textId="1121DC41" w:rsidR="002D454D" w:rsidRPr="00B54541" w:rsidRDefault="004F689E" w:rsidP="00031184">
      <w:r w:rsidRPr="00B54541">
        <w:rPr>
          <w:noProof/>
        </w:rPr>
        <w:drawing>
          <wp:inline distT="0" distB="0" distL="0" distR="0" wp14:anchorId="34143517" wp14:editId="0BD4AC2D">
            <wp:extent cx="3210999" cy="1486894"/>
            <wp:effectExtent l="0" t="0" r="8890" b="0"/>
            <wp:docPr id="16" name="Picture 16" descr="Figure 1: Chemical structure of enoxaparin so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igure 1: Chemical structure of enoxaparin sodiu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49772" cy="1504848"/>
                    </a:xfrm>
                    <a:prstGeom prst="rect">
                      <a:avLst/>
                    </a:prstGeom>
                    <a:noFill/>
                    <a:ln>
                      <a:noFill/>
                    </a:ln>
                  </pic:spPr>
                </pic:pic>
              </a:graphicData>
            </a:graphic>
          </wp:inline>
        </w:drawing>
      </w:r>
    </w:p>
    <w:p w14:paraId="5A786C3B" w14:textId="4CF5F85B" w:rsidR="00376523" w:rsidRPr="00B54541" w:rsidRDefault="00376523" w:rsidP="00031184">
      <w:r w:rsidRPr="00B54541">
        <w:lastRenderedPageBreak/>
        <w:t xml:space="preserve">During the development of </w:t>
      </w:r>
      <w:r w:rsidR="003601A5" w:rsidRPr="00B54541">
        <w:t>Exarane</w:t>
      </w:r>
      <w:r w:rsidRPr="00B54541">
        <w:t xml:space="preserve">, </w:t>
      </w:r>
      <w:r w:rsidR="003601A5" w:rsidRPr="00B54541">
        <w:t>Clexane</w:t>
      </w:r>
      <w:r w:rsidRPr="00B54541">
        <w:t xml:space="preserve"> sourced from the EU was used as the main reference product for the quality and nonclinical comparability exercise.</w:t>
      </w:r>
      <w:r w:rsidR="00C31BC1" w:rsidRPr="00B54541">
        <w:t xml:space="preserve"> </w:t>
      </w:r>
      <w:r w:rsidRPr="00B54541">
        <w:t xml:space="preserve">An additional comparability study was conducted to demonstrate similarity of EU- and </w:t>
      </w:r>
      <w:r w:rsidR="00463500" w:rsidRPr="00B54541">
        <w:t>Australian</w:t>
      </w:r>
      <w:r w:rsidRPr="00B54541">
        <w:t xml:space="preserve">-sourced </w:t>
      </w:r>
      <w:r w:rsidR="003601A5" w:rsidRPr="00B54541">
        <w:t>Clexane</w:t>
      </w:r>
      <w:r w:rsidRPr="00B54541">
        <w:t xml:space="preserve"> to support bridging to the Australian reference product.</w:t>
      </w:r>
    </w:p>
    <w:p w14:paraId="58DCF058" w14:textId="0D9DBDDB" w:rsidR="00376523" w:rsidRPr="00B54541" w:rsidRDefault="00376523" w:rsidP="00031184">
      <w:r w:rsidRPr="00B54541">
        <w:t xml:space="preserve">Extensive characterisation studies of physicochemical properties and biological activities show that </w:t>
      </w:r>
      <w:r w:rsidR="003601A5" w:rsidRPr="00B54541">
        <w:t>Exarane</w:t>
      </w:r>
      <w:r w:rsidRPr="00B54541">
        <w:t xml:space="preserve"> and </w:t>
      </w:r>
      <w:r w:rsidR="003601A5" w:rsidRPr="00B54541">
        <w:t>Clexane</w:t>
      </w:r>
      <w:r w:rsidRPr="00B54541">
        <w:t xml:space="preserve"> are similar overall.</w:t>
      </w:r>
      <w:r w:rsidR="00C31BC1" w:rsidRPr="00B54541">
        <w:t xml:space="preserve"> </w:t>
      </w:r>
      <w:r w:rsidR="003601A5" w:rsidRPr="00B54541">
        <w:t>Exarane</w:t>
      </w:r>
      <w:r w:rsidRPr="00B54541">
        <w:t xml:space="preserve"> has a higher level of linkage regions compared to </w:t>
      </w:r>
      <w:r w:rsidR="003601A5" w:rsidRPr="00B54541">
        <w:t>Clexane</w:t>
      </w:r>
      <w:r w:rsidRPr="00B54541">
        <w:t>.</w:t>
      </w:r>
      <w:r w:rsidR="00C31BC1" w:rsidRPr="00B54541">
        <w:t xml:space="preserve"> </w:t>
      </w:r>
      <w:r w:rsidRPr="00B54541">
        <w:t>These are remnants of the structures found on the reducing end of enoxaparin which anchor the parent saccharide component to the proteoglycan and are mostly removed in the depolymerisation process of the heparin.</w:t>
      </w:r>
      <w:r w:rsidR="00C31BC1" w:rsidRPr="00B54541">
        <w:t xml:space="preserve"> </w:t>
      </w:r>
      <w:r w:rsidRPr="00B54541">
        <w:t xml:space="preserve">The </w:t>
      </w:r>
      <w:r w:rsidR="005E70D7" w:rsidRPr="00B54541">
        <w:t>sponsor</w:t>
      </w:r>
      <w:r w:rsidRPr="00B54541">
        <w:t xml:space="preserve"> satisfactorily explained that the difference in link regions arises from the Juno depolymerisation process, but did not specifically address the clinical significance.</w:t>
      </w:r>
      <w:r w:rsidR="00C31BC1" w:rsidRPr="00B54541">
        <w:t xml:space="preserve"> </w:t>
      </w:r>
      <w:r w:rsidRPr="00B54541">
        <w:t>This was addressed in a justification to the EMA that the link region is a structural feature of enoxaparin which has no known pharmacological role that directly or indirectly affects heparin or enoxaparin, and that assessments of link region levels in marketed enoxaparin products suggest no impact on safety.</w:t>
      </w:r>
      <w:r w:rsidR="00C31BC1" w:rsidRPr="00B54541">
        <w:t xml:space="preserve"> </w:t>
      </w:r>
      <w:r w:rsidRPr="00B54541">
        <w:t xml:space="preserve">Overall, the comparisons of physicochemical properties and biological activity support the conclusion that </w:t>
      </w:r>
      <w:r w:rsidR="003601A5" w:rsidRPr="00B54541">
        <w:t>Exarane</w:t>
      </w:r>
      <w:r w:rsidRPr="00B54541">
        <w:t xml:space="preserve"> is similar to </w:t>
      </w:r>
      <w:r w:rsidR="003601A5" w:rsidRPr="00B54541">
        <w:t>Clexane</w:t>
      </w:r>
      <w:r w:rsidRPr="00B54541">
        <w:t xml:space="preserve"> in terms of structure, species, function, and degradation profile.</w:t>
      </w:r>
    </w:p>
    <w:p w14:paraId="2EFD42CD" w14:textId="77777777" w:rsidR="00376523" w:rsidRPr="00B54541" w:rsidRDefault="00376523" w:rsidP="00031184">
      <w:r w:rsidRPr="00B54541">
        <w:t>The overall quality of the active substance was demonstrated via adequate control of the starting material, control of critical steps and intermediates, process validation, extensive characterisation using orthogonal and state-of-the-art analytical methods, control of impurities and contaminants, generation of robust reference materials, and batch analyses that covered multiple manufacturing campaigns.</w:t>
      </w:r>
    </w:p>
    <w:p w14:paraId="44F87C5A" w14:textId="09D81F09" w:rsidR="00376523" w:rsidRPr="00B54541" w:rsidRDefault="00376523" w:rsidP="00031184">
      <w:r w:rsidRPr="00B54541">
        <w:t>The finished product is presented as a solution for injection in pre-filled syringes containing enoxaparin sodium 20</w:t>
      </w:r>
      <w:r w:rsidR="009937F6" w:rsidRPr="00B54541">
        <w:t xml:space="preserve"> </w:t>
      </w:r>
      <w:r w:rsidRPr="00B54541">
        <w:t>mg/0.2</w:t>
      </w:r>
      <w:r w:rsidR="009937F6" w:rsidRPr="00B54541">
        <w:t xml:space="preserve"> </w:t>
      </w:r>
      <w:r w:rsidRPr="00B54541">
        <w:t>mL, 40</w:t>
      </w:r>
      <w:r w:rsidR="009937F6" w:rsidRPr="00B54541">
        <w:t xml:space="preserve"> </w:t>
      </w:r>
      <w:r w:rsidRPr="00B54541">
        <w:t>mg/0.4</w:t>
      </w:r>
      <w:r w:rsidR="009937F6" w:rsidRPr="00B54541">
        <w:t xml:space="preserve"> </w:t>
      </w:r>
      <w:r w:rsidRPr="00B54541">
        <w:t>mL, 60</w:t>
      </w:r>
      <w:r w:rsidR="009937F6" w:rsidRPr="00B54541">
        <w:t xml:space="preserve"> </w:t>
      </w:r>
      <w:r w:rsidRPr="00B54541">
        <w:t>mg/0.6</w:t>
      </w:r>
      <w:r w:rsidR="009937F6" w:rsidRPr="00B54541">
        <w:t xml:space="preserve"> </w:t>
      </w:r>
      <w:r w:rsidRPr="00B54541">
        <w:t>mL, 80</w:t>
      </w:r>
      <w:r w:rsidR="009937F6" w:rsidRPr="00B54541">
        <w:t xml:space="preserve"> </w:t>
      </w:r>
      <w:r w:rsidRPr="00B54541">
        <w:t>mg/0.8</w:t>
      </w:r>
      <w:r w:rsidR="009937F6" w:rsidRPr="00B54541">
        <w:t xml:space="preserve"> </w:t>
      </w:r>
      <w:r w:rsidRPr="00B54541">
        <w:t>mL, or 100</w:t>
      </w:r>
      <w:r w:rsidR="009937F6" w:rsidRPr="00B54541">
        <w:t xml:space="preserve"> </w:t>
      </w:r>
      <w:r w:rsidRPr="00B54541">
        <w:t xml:space="preserve">mg/1mL </w:t>
      </w:r>
      <w:r w:rsidR="009937F6" w:rsidRPr="00B54541">
        <w:t xml:space="preserve">for </w:t>
      </w:r>
      <w:r w:rsidR="003601A5" w:rsidRPr="00B54541">
        <w:t>Exarane</w:t>
      </w:r>
      <w:r w:rsidRPr="00B54541">
        <w:t>, and 120</w:t>
      </w:r>
      <w:r w:rsidR="009937F6" w:rsidRPr="00B54541">
        <w:t xml:space="preserve"> </w:t>
      </w:r>
      <w:r w:rsidRPr="00B54541">
        <w:t>mg/0.8</w:t>
      </w:r>
      <w:r w:rsidR="009937F6" w:rsidRPr="00B54541">
        <w:t xml:space="preserve"> </w:t>
      </w:r>
      <w:r w:rsidRPr="00B54541">
        <w:t>mL, or 150</w:t>
      </w:r>
      <w:r w:rsidR="009937F6" w:rsidRPr="00B54541">
        <w:t xml:space="preserve"> </w:t>
      </w:r>
      <w:r w:rsidRPr="00B54541">
        <w:t>mg/1</w:t>
      </w:r>
      <w:r w:rsidR="009937F6" w:rsidRPr="00B54541">
        <w:t xml:space="preserve"> </w:t>
      </w:r>
      <w:r w:rsidRPr="00B54541">
        <w:t xml:space="preserve">mL </w:t>
      </w:r>
      <w:r w:rsidR="009937F6" w:rsidRPr="00B54541">
        <w:t xml:space="preserve">for </w:t>
      </w:r>
      <w:r w:rsidR="003601A5" w:rsidRPr="00B54541">
        <w:t>Exarane</w:t>
      </w:r>
      <w:r w:rsidRPr="00B54541">
        <w:t xml:space="preserve"> </w:t>
      </w:r>
      <w:r w:rsidR="003601A5" w:rsidRPr="00B54541">
        <w:t>Forte</w:t>
      </w:r>
      <w:r w:rsidRPr="00B54541">
        <w:t>.</w:t>
      </w:r>
      <w:r w:rsidR="00C31BC1" w:rsidRPr="00B54541">
        <w:t xml:space="preserve"> </w:t>
      </w:r>
      <w:r w:rsidRPr="00B54541">
        <w:t>The only excipient is water for injections.</w:t>
      </w:r>
      <w:r w:rsidR="00C31BC1" w:rsidRPr="00B54541">
        <w:t xml:space="preserve"> </w:t>
      </w:r>
      <w:r w:rsidRPr="00B54541">
        <w:t>The finished product manufacturing process is acceptable.</w:t>
      </w:r>
    </w:p>
    <w:p w14:paraId="0BC76649" w14:textId="6683CC3F" w:rsidR="00376523" w:rsidRPr="00B54541" w:rsidRDefault="00376523" w:rsidP="00031184">
      <w:r w:rsidRPr="00B54541">
        <w:t xml:space="preserve">There are no outstanding issues with regard to </w:t>
      </w:r>
      <w:r w:rsidR="006C3259" w:rsidRPr="00B54541">
        <w:t>infectious disease/viral safety, container safety, microbiology (sterility), and endotoxin evaluations</w:t>
      </w:r>
      <w:r w:rsidRPr="00B54541">
        <w:t>.</w:t>
      </w:r>
    </w:p>
    <w:p w14:paraId="7BABACF9" w14:textId="2A3BECCD" w:rsidR="00376523" w:rsidRPr="00B54541" w:rsidRDefault="00376523" w:rsidP="00031184">
      <w:r w:rsidRPr="00B54541">
        <w:t xml:space="preserve">The Product Information and </w:t>
      </w:r>
      <w:r w:rsidR="006C3259" w:rsidRPr="00B54541">
        <w:t xml:space="preserve">labels </w:t>
      </w:r>
      <w:r w:rsidRPr="00B54541">
        <w:t xml:space="preserve">are acceptable from a </w:t>
      </w:r>
      <w:r w:rsidR="006C3259" w:rsidRPr="00B54541">
        <w:t>quality</w:t>
      </w:r>
      <w:r w:rsidRPr="00B54541">
        <w:t xml:space="preserve"> perspective.</w:t>
      </w:r>
      <w:r w:rsidR="00C31BC1" w:rsidRPr="00B54541">
        <w:t xml:space="preserve"> </w:t>
      </w:r>
      <w:r w:rsidRPr="00B54541">
        <w:t xml:space="preserve">The proposed trade names, </w:t>
      </w:r>
      <w:r w:rsidR="003601A5" w:rsidRPr="00B54541">
        <w:t>Exarane</w:t>
      </w:r>
      <w:r w:rsidRPr="00B54541">
        <w:t xml:space="preserve"> and </w:t>
      </w:r>
      <w:r w:rsidR="003601A5" w:rsidRPr="00B54541">
        <w:t>Exarane</w:t>
      </w:r>
      <w:r w:rsidRPr="00B54541">
        <w:t xml:space="preserve"> </w:t>
      </w:r>
      <w:r w:rsidR="003601A5" w:rsidRPr="00B54541">
        <w:t>Forte</w:t>
      </w:r>
      <w:r w:rsidRPr="00B54541">
        <w:t>, are acceptable.</w:t>
      </w:r>
    </w:p>
    <w:p w14:paraId="05AC450E" w14:textId="09FE7E97" w:rsidR="00376523" w:rsidRPr="00B54541" w:rsidRDefault="00E17D4E" w:rsidP="00031184">
      <w:r w:rsidRPr="00B54541">
        <w:t>T</w:t>
      </w:r>
      <w:r w:rsidR="00376523" w:rsidRPr="00B54541">
        <w:t xml:space="preserve">here are no objections on quality grounds to the approval of </w:t>
      </w:r>
      <w:r w:rsidR="003601A5" w:rsidRPr="00B54541">
        <w:t>Exarane</w:t>
      </w:r>
      <w:r w:rsidR="00E81D58" w:rsidRPr="00B54541">
        <w:t xml:space="preserve"> and </w:t>
      </w:r>
      <w:r w:rsidR="003601A5" w:rsidRPr="00B54541">
        <w:t>Exarane</w:t>
      </w:r>
      <w:r w:rsidR="00376523" w:rsidRPr="00B54541">
        <w:t xml:space="preserve"> </w:t>
      </w:r>
      <w:r w:rsidR="003601A5" w:rsidRPr="00B54541">
        <w:t>Forte</w:t>
      </w:r>
      <w:r w:rsidR="00376523" w:rsidRPr="00B54541">
        <w:t>.</w:t>
      </w:r>
    </w:p>
    <w:p w14:paraId="2BE90AAE" w14:textId="77777777" w:rsidR="00C22214" w:rsidRPr="00B54541" w:rsidRDefault="00C22214" w:rsidP="00C22214">
      <w:pPr>
        <w:pStyle w:val="Heading3"/>
      </w:pPr>
      <w:bookmarkStart w:id="34" w:name="_Toc314842512"/>
      <w:bookmarkStart w:id="35" w:name="_Toc103679296"/>
      <w:bookmarkStart w:id="36" w:name="_Toc160184687"/>
      <w:r w:rsidRPr="00B54541">
        <w:t>Nonclinical</w:t>
      </w:r>
      <w:bookmarkEnd w:id="34"/>
      <w:bookmarkEnd w:id="35"/>
      <w:bookmarkEnd w:id="36"/>
    </w:p>
    <w:p w14:paraId="2E11DDAA" w14:textId="5C27227A" w:rsidR="00FC294F" w:rsidRPr="00B54541" w:rsidRDefault="00FC294F" w:rsidP="00031184">
      <w:bookmarkStart w:id="37" w:name="_Toc247691530"/>
      <w:bookmarkStart w:id="38" w:name="_Toc314842513"/>
      <w:bookmarkStart w:id="39" w:name="_Toc103679297"/>
      <w:r w:rsidRPr="00B54541">
        <w:t xml:space="preserve">The submitted </w:t>
      </w:r>
      <w:r w:rsidR="006C3259" w:rsidRPr="00B54541">
        <w:t>nonclinical</w:t>
      </w:r>
      <w:r w:rsidRPr="00B54541">
        <w:t xml:space="preserve"> dossier consisted of a comparative PD </w:t>
      </w:r>
      <w:r w:rsidRPr="00B54541">
        <w:rPr>
          <w:i/>
          <w:iCs/>
        </w:rPr>
        <w:t>in vitro</w:t>
      </w:r>
      <w:r w:rsidRPr="00B54541">
        <w:t xml:space="preserve"> study, comparative immunogenicity </w:t>
      </w:r>
      <w:r w:rsidRPr="00B54541">
        <w:rPr>
          <w:i/>
          <w:iCs/>
        </w:rPr>
        <w:t>in vitro</w:t>
      </w:r>
      <w:r w:rsidRPr="00B54541">
        <w:t xml:space="preserve"> studies, and a repeat dose toxicity study in rats.</w:t>
      </w:r>
      <w:r w:rsidR="00C31BC1" w:rsidRPr="00B54541">
        <w:t xml:space="preserve"> </w:t>
      </w:r>
      <w:r w:rsidRPr="00B54541">
        <w:t xml:space="preserve">EU-sourced </w:t>
      </w:r>
      <w:r w:rsidR="003601A5" w:rsidRPr="00B54541">
        <w:t>Clexane</w:t>
      </w:r>
      <w:r w:rsidRPr="00B54541">
        <w:t xml:space="preserve"> was used for comparison with </w:t>
      </w:r>
      <w:r w:rsidR="003601A5" w:rsidRPr="00B54541">
        <w:t>Exarane</w:t>
      </w:r>
      <w:r w:rsidRPr="00B54541">
        <w:t>.</w:t>
      </w:r>
      <w:r w:rsidR="00C31BC1" w:rsidRPr="00B54541">
        <w:t xml:space="preserve"> </w:t>
      </w:r>
      <w:r w:rsidRPr="00B54541">
        <w:t>This is acceptable as EU-</w:t>
      </w:r>
      <w:r w:rsidR="003601A5" w:rsidRPr="00B54541">
        <w:t>Clexane</w:t>
      </w:r>
      <w:r w:rsidRPr="00B54541">
        <w:t xml:space="preserve"> and </w:t>
      </w:r>
      <w:r w:rsidR="00463500" w:rsidRPr="00B54541">
        <w:t>Australian</w:t>
      </w:r>
      <w:r w:rsidRPr="00B54541">
        <w:t>-</w:t>
      </w:r>
      <w:r w:rsidR="003601A5" w:rsidRPr="00B54541">
        <w:t>Clexane</w:t>
      </w:r>
      <w:r w:rsidRPr="00B54541">
        <w:t xml:space="preserve"> have been demonstrated to be highly similar (refer to </w:t>
      </w:r>
      <w:r w:rsidR="006C3259" w:rsidRPr="00B54541">
        <w:t>quality</w:t>
      </w:r>
      <w:r w:rsidRPr="00B54541">
        <w:t xml:space="preserve"> evaluation).</w:t>
      </w:r>
      <w:r w:rsidR="00C31BC1" w:rsidRPr="00B54541">
        <w:t xml:space="preserve"> </w:t>
      </w:r>
      <w:r w:rsidRPr="00B54541">
        <w:t xml:space="preserve">The submitted </w:t>
      </w:r>
      <w:r w:rsidR="00390537" w:rsidRPr="00B54541">
        <w:t>nonclinical</w:t>
      </w:r>
      <w:r w:rsidRPr="00B54541">
        <w:t xml:space="preserve"> dossier fully complies with the current TGA-adopted guideline.</w:t>
      </w:r>
    </w:p>
    <w:p w14:paraId="7E717C4D" w14:textId="78ADD68D" w:rsidR="00FC294F" w:rsidRPr="00B54541" w:rsidRDefault="00FC294F" w:rsidP="00031184">
      <w:r w:rsidRPr="00B54541">
        <w:t xml:space="preserve">In the </w:t>
      </w:r>
      <w:r w:rsidRPr="00B54541">
        <w:rPr>
          <w:i/>
          <w:iCs/>
        </w:rPr>
        <w:t>in vitro</w:t>
      </w:r>
      <w:r w:rsidRPr="00B54541">
        <w:t xml:space="preserve"> PD study, no meaningful differences were observed in anti-</w:t>
      </w:r>
      <w:r w:rsidR="00CC7084" w:rsidRPr="00B54541">
        <w:t>f</w:t>
      </w:r>
      <w:r w:rsidRPr="00B54541">
        <w:t>actor Xa or anti</w:t>
      </w:r>
      <w:r w:rsidR="00CC7084" w:rsidRPr="00B54541">
        <w:noBreakHyphen/>
      </w:r>
      <w:r w:rsidR="00E06CB4" w:rsidRPr="00B54541">
        <w:t>f</w:t>
      </w:r>
      <w:r w:rsidRPr="00B54541">
        <w:t>actor</w:t>
      </w:r>
      <w:r w:rsidR="00E06CB4" w:rsidRPr="00B54541">
        <w:t> </w:t>
      </w:r>
      <w:proofErr w:type="spellStart"/>
      <w:r w:rsidRPr="00B54541">
        <w:t>IIa</w:t>
      </w:r>
      <w:proofErr w:type="spellEnd"/>
      <w:r w:rsidRPr="00B54541">
        <w:t xml:space="preserve"> activities.</w:t>
      </w:r>
      <w:r w:rsidR="00C31BC1" w:rsidRPr="00B54541">
        <w:t xml:space="preserve"> </w:t>
      </w:r>
      <w:r w:rsidRPr="00B54541">
        <w:t xml:space="preserve">Bioequivalence between the reference product, </w:t>
      </w:r>
      <w:r w:rsidR="003601A5" w:rsidRPr="00B54541">
        <w:t>Clexane</w:t>
      </w:r>
      <w:r w:rsidRPr="00B54541">
        <w:t xml:space="preserve">, and </w:t>
      </w:r>
      <w:r w:rsidR="003601A5" w:rsidRPr="00B54541">
        <w:t>Exarane</w:t>
      </w:r>
      <w:r w:rsidRPr="00B54541">
        <w:t xml:space="preserve"> was demonstrated with respect to </w:t>
      </w:r>
      <w:r w:rsidR="00C31BC1" w:rsidRPr="00B54541">
        <w:t>anti-factor Xa</w:t>
      </w:r>
      <w:r w:rsidRPr="00B54541">
        <w:t xml:space="preserve"> and anti-Factor </w:t>
      </w:r>
      <w:proofErr w:type="spellStart"/>
      <w:r w:rsidRPr="00B54541">
        <w:t>IIa</w:t>
      </w:r>
      <w:proofErr w:type="spellEnd"/>
      <w:r w:rsidRPr="00B54541">
        <w:t xml:space="preserve"> activities.</w:t>
      </w:r>
    </w:p>
    <w:p w14:paraId="62BA82FE" w14:textId="46F000D9" w:rsidR="00FC294F" w:rsidRPr="00B54541" w:rsidRDefault="00FC294F" w:rsidP="00031184">
      <w:r w:rsidRPr="00B54541">
        <w:t xml:space="preserve">An animal safety study was submitted to compare the safety and pharmacological activity of </w:t>
      </w:r>
      <w:r w:rsidR="003601A5" w:rsidRPr="00B54541">
        <w:t>Exarane</w:t>
      </w:r>
      <w:r w:rsidRPr="00B54541">
        <w:t xml:space="preserve"> and </w:t>
      </w:r>
      <w:r w:rsidR="003601A5" w:rsidRPr="00B54541">
        <w:t>Clexane</w:t>
      </w:r>
      <w:r w:rsidRPr="00B54541">
        <w:t xml:space="preserve"> in rats.</w:t>
      </w:r>
      <w:r w:rsidR="00C31BC1" w:rsidRPr="00B54541">
        <w:t xml:space="preserve"> </w:t>
      </w:r>
      <w:r w:rsidRPr="00B54541">
        <w:t>No systemic toxicity or effects on organ weights, clinical chemistry, haematology or coagulation parameters were observed with either of the formulations.</w:t>
      </w:r>
      <w:r w:rsidR="00C31BC1" w:rsidRPr="00B54541">
        <w:t xml:space="preserve"> </w:t>
      </w:r>
      <w:r w:rsidRPr="00B54541">
        <w:t>No differences were observed in local toxicity or anti-</w:t>
      </w:r>
      <w:r w:rsidR="00CC7084" w:rsidRPr="00B54541">
        <w:t xml:space="preserve">factor </w:t>
      </w:r>
      <w:proofErr w:type="spellStart"/>
      <w:r w:rsidRPr="00B54541">
        <w:t>IIa</w:t>
      </w:r>
      <w:proofErr w:type="spellEnd"/>
      <w:r w:rsidRPr="00B54541">
        <w:t xml:space="preserve"> and anti-</w:t>
      </w:r>
      <w:r w:rsidR="00CC7084" w:rsidRPr="00B54541">
        <w:t xml:space="preserve">factor </w:t>
      </w:r>
      <w:r w:rsidRPr="00B54541">
        <w:t>Xa levels.</w:t>
      </w:r>
    </w:p>
    <w:p w14:paraId="28402F34" w14:textId="6DFE3511" w:rsidR="00FC294F" w:rsidRPr="00B54541" w:rsidRDefault="00FC294F" w:rsidP="00031184">
      <w:r w:rsidRPr="00B54541">
        <w:lastRenderedPageBreak/>
        <w:t xml:space="preserve">The immunogenic potential of </w:t>
      </w:r>
      <w:r w:rsidR="003601A5" w:rsidRPr="00B54541">
        <w:t>Exarane</w:t>
      </w:r>
      <w:r w:rsidRPr="00B54541">
        <w:t xml:space="preserve"> compared to </w:t>
      </w:r>
      <w:r w:rsidR="003601A5" w:rsidRPr="00B54541">
        <w:t>Clexane</w:t>
      </w:r>
      <w:r w:rsidRPr="00B54541">
        <w:t xml:space="preserve"> was assessed in </w:t>
      </w:r>
      <w:r w:rsidR="00711DEF" w:rsidRPr="00B54541">
        <w:t>Good Laboratory Practice (GLP)</w:t>
      </w:r>
      <w:r w:rsidR="00711DEF" w:rsidRPr="00B54541">
        <w:rPr>
          <w:rStyle w:val="FootnoteReference"/>
        </w:rPr>
        <w:footnoteReference w:id="4"/>
      </w:r>
      <w:r w:rsidRPr="00B54541">
        <w:t xml:space="preserve">-compliant </w:t>
      </w:r>
      <w:r w:rsidRPr="00B54541">
        <w:rPr>
          <w:i/>
          <w:iCs/>
        </w:rPr>
        <w:t>in</w:t>
      </w:r>
      <w:r w:rsidR="00E06CB4" w:rsidRPr="00B54541">
        <w:rPr>
          <w:i/>
          <w:iCs/>
        </w:rPr>
        <w:t> </w:t>
      </w:r>
      <w:r w:rsidRPr="00B54541">
        <w:rPr>
          <w:i/>
          <w:iCs/>
        </w:rPr>
        <w:t>vitro</w:t>
      </w:r>
      <w:r w:rsidRPr="00B54541">
        <w:t xml:space="preserve"> immunogenicity studies, including:</w:t>
      </w:r>
    </w:p>
    <w:p w14:paraId="415FAB11" w14:textId="3108819B" w:rsidR="00FC294F" w:rsidRPr="00B54541" w:rsidRDefault="00FC294F" w:rsidP="00031184">
      <w:pPr>
        <w:pStyle w:val="ListBullet"/>
      </w:pPr>
      <w:r w:rsidRPr="00B54541">
        <w:t xml:space="preserve">binding of enoxaparin to </w:t>
      </w:r>
      <w:r w:rsidR="00E06CB4" w:rsidRPr="00B54541">
        <w:t>platelet facto</w:t>
      </w:r>
      <w:r w:rsidRPr="00B54541">
        <w:t>r 4 (PF4) by surface plasmon resonance</w:t>
      </w:r>
    </w:p>
    <w:p w14:paraId="0E328877" w14:textId="694AAB8E" w:rsidR="00FC294F" w:rsidRPr="00B54541" w:rsidRDefault="00FC294F" w:rsidP="00031184">
      <w:pPr>
        <w:pStyle w:val="ListBullet"/>
      </w:pPr>
      <w:r w:rsidRPr="00B54541">
        <w:t xml:space="preserve">formation of PF4-enoxaparin </w:t>
      </w:r>
      <w:r w:rsidR="00D0341C" w:rsidRPr="00B54541">
        <w:t>ultra large complexes</w:t>
      </w:r>
      <w:r w:rsidRPr="00B54541">
        <w:t xml:space="preserve"> by liquid chromatography</w:t>
      </w:r>
    </w:p>
    <w:p w14:paraId="43A9F62D" w14:textId="5E869E93" w:rsidR="00FC294F" w:rsidRPr="00B54541" w:rsidRDefault="00FC294F" w:rsidP="00031184">
      <w:pPr>
        <w:pStyle w:val="ListBullet"/>
      </w:pPr>
      <w:r w:rsidRPr="00B54541">
        <w:t>structural characteri</w:t>
      </w:r>
      <w:r w:rsidR="00AC1120" w:rsidRPr="00B54541">
        <w:t>s</w:t>
      </w:r>
      <w:r w:rsidRPr="00B54541">
        <w:t>ation of PF4/enoxaparin complexes by circular dichroism spectroscopy</w:t>
      </w:r>
    </w:p>
    <w:p w14:paraId="6A55F7FC" w14:textId="3086E331" w:rsidR="00FC294F" w:rsidRPr="00B54541" w:rsidRDefault="00FC294F" w:rsidP="00031184">
      <w:pPr>
        <w:pStyle w:val="ListBullet"/>
      </w:pPr>
      <w:r w:rsidRPr="00B54541">
        <w:t>determination of PF4-enoxaparin complexes particle size by photon correlation spectroscopy</w:t>
      </w:r>
    </w:p>
    <w:p w14:paraId="7F175E01" w14:textId="2FCFBB20" w:rsidR="00FC294F" w:rsidRPr="00B54541" w:rsidRDefault="00FC294F" w:rsidP="00031184">
      <w:pPr>
        <w:pStyle w:val="ListBullet"/>
      </w:pPr>
      <w:r w:rsidRPr="00B54541">
        <w:rPr>
          <w:i/>
          <w:iCs/>
        </w:rPr>
        <w:t>in vitro</w:t>
      </w:r>
      <w:r w:rsidRPr="00B54541">
        <w:t xml:space="preserve"> immunogenic activity of </w:t>
      </w:r>
      <w:r w:rsidR="00D0341C" w:rsidRPr="00B54541">
        <w:t>PF4</w:t>
      </w:r>
      <w:r w:rsidRPr="00B54541">
        <w:t>-enoxaparin complexes by stimulation of peripheral blood mononuclear cells</w:t>
      </w:r>
    </w:p>
    <w:p w14:paraId="3E7E35F0" w14:textId="3DCB3EED" w:rsidR="00FC294F" w:rsidRPr="00B54541" w:rsidRDefault="00FC294F" w:rsidP="00031184">
      <w:pPr>
        <w:pStyle w:val="ListBullet"/>
      </w:pPr>
      <w:r w:rsidRPr="00B54541">
        <w:t xml:space="preserve">evaluation of tissue factor pathway inhibitor (TFPI) release from cultured human umbilical vein endothelial cells treated with the biosimilar </w:t>
      </w:r>
      <w:r w:rsidR="00D0341C" w:rsidRPr="00B54541">
        <w:t>and</w:t>
      </w:r>
      <w:r w:rsidRPr="00B54541">
        <w:t xml:space="preserve"> reference.</w:t>
      </w:r>
    </w:p>
    <w:p w14:paraId="0AE80F7C" w14:textId="528071A6" w:rsidR="00FC294F" w:rsidRPr="00B54541" w:rsidRDefault="00FC294F" w:rsidP="00031184">
      <w:r w:rsidRPr="00B54541">
        <w:t xml:space="preserve">The submitted immunogenicity studies demonstrated there were no </w:t>
      </w:r>
      <w:r w:rsidRPr="00B54541">
        <w:rPr>
          <w:i/>
          <w:iCs/>
        </w:rPr>
        <w:t>in vitro</w:t>
      </w:r>
      <w:r w:rsidRPr="00B54541">
        <w:t xml:space="preserve"> differences in immunogenicity between </w:t>
      </w:r>
      <w:r w:rsidR="003601A5" w:rsidRPr="00B54541">
        <w:t>Exarane</w:t>
      </w:r>
      <w:r w:rsidRPr="00B54541">
        <w:t xml:space="preserve"> and </w:t>
      </w:r>
      <w:r w:rsidR="003601A5" w:rsidRPr="00B54541">
        <w:t>Clexane</w:t>
      </w:r>
      <w:r w:rsidRPr="00B54541">
        <w:t xml:space="preserve"> in terms of binding PF4, effect on PF4 structure, formation of PF4-enoxaparin </w:t>
      </w:r>
      <w:r w:rsidR="00D0341C" w:rsidRPr="00B54541">
        <w:t xml:space="preserve">ultra large complexes </w:t>
      </w:r>
      <w:r w:rsidRPr="00B54541">
        <w:t xml:space="preserve">and </w:t>
      </w:r>
      <w:r w:rsidR="00E81D58" w:rsidRPr="00B54541">
        <w:t xml:space="preserve">size of the </w:t>
      </w:r>
      <w:r w:rsidRPr="00B54541">
        <w:t xml:space="preserve">complexes, as well as the </w:t>
      </w:r>
      <w:r w:rsidRPr="00B54541">
        <w:rPr>
          <w:i/>
          <w:iCs/>
        </w:rPr>
        <w:t>in</w:t>
      </w:r>
      <w:r w:rsidR="00E81D58" w:rsidRPr="00B54541">
        <w:rPr>
          <w:i/>
          <w:iCs/>
        </w:rPr>
        <w:t> </w:t>
      </w:r>
      <w:r w:rsidRPr="00B54541">
        <w:rPr>
          <w:i/>
          <w:iCs/>
        </w:rPr>
        <w:t>vitro</w:t>
      </w:r>
      <w:r w:rsidRPr="00B54541">
        <w:t xml:space="preserve"> immunogenic activity of PF4-enoxaparin complexes on peripheral blood mononuclear cells and on cultured human umbilical vein endothelial cells.</w:t>
      </w:r>
    </w:p>
    <w:p w14:paraId="6995DC2F" w14:textId="3A936B42" w:rsidR="00FC294F" w:rsidRPr="00B54541" w:rsidRDefault="00FC294F" w:rsidP="008804CF">
      <w:r w:rsidRPr="00B54541">
        <w:t>The proposed Product Information is acceptable from a nonclinical perspective.</w:t>
      </w:r>
      <w:r w:rsidR="00C31BC1" w:rsidRPr="00B54541">
        <w:t xml:space="preserve"> </w:t>
      </w:r>
      <w:r w:rsidRPr="00B54541">
        <w:t xml:space="preserve">There are no objections on nonclinical grounds to the registration of </w:t>
      </w:r>
      <w:r w:rsidR="003601A5" w:rsidRPr="00B54541">
        <w:t>Exarane</w:t>
      </w:r>
      <w:r w:rsidRPr="00B54541">
        <w:t xml:space="preserve"> and </w:t>
      </w:r>
      <w:r w:rsidR="003601A5" w:rsidRPr="00B54541">
        <w:t>Exarane</w:t>
      </w:r>
      <w:r w:rsidRPr="00B54541">
        <w:t xml:space="preserve"> </w:t>
      </w:r>
      <w:r w:rsidR="003601A5" w:rsidRPr="00B54541">
        <w:t>Forte</w:t>
      </w:r>
      <w:r w:rsidRPr="00B54541">
        <w:t>.</w:t>
      </w:r>
    </w:p>
    <w:p w14:paraId="35B580A5" w14:textId="69B9BE44" w:rsidR="00C22214" w:rsidRPr="00B54541" w:rsidRDefault="00C22214" w:rsidP="008804CF">
      <w:pPr>
        <w:pStyle w:val="Heading3"/>
      </w:pPr>
      <w:bookmarkStart w:id="40" w:name="_Toc160184688"/>
      <w:r w:rsidRPr="00B54541">
        <w:t>Clinical</w:t>
      </w:r>
      <w:bookmarkEnd w:id="37"/>
      <w:bookmarkEnd w:id="38"/>
      <w:bookmarkEnd w:id="39"/>
      <w:bookmarkEnd w:id="40"/>
    </w:p>
    <w:p w14:paraId="32B0DEDA" w14:textId="77777777" w:rsidR="00C22214" w:rsidRPr="00B54541" w:rsidRDefault="00C22214" w:rsidP="005D4F6B">
      <w:pPr>
        <w:pStyle w:val="Heading4"/>
      </w:pPr>
      <w:bookmarkStart w:id="41" w:name="_Toc98931928"/>
      <w:bookmarkStart w:id="42" w:name="_Toc160184689"/>
      <w:r w:rsidRPr="00B54541">
        <w:t>Summary of clinical studies</w:t>
      </w:r>
      <w:bookmarkEnd w:id="41"/>
      <w:bookmarkEnd w:id="42"/>
    </w:p>
    <w:p w14:paraId="46622364" w14:textId="244832A3" w:rsidR="00C22214" w:rsidRPr="00B54541" w:rsidRDefault="00C22214" w:rsidP="00C22214">
      <w:pPr>
        <w:rPr>
          <w:szCs w:val="22"/>
        </w:rPr>
      </w:pPr>
      <w:r w:rsidRPr="00B54541">
        <w:rPr>
          <w:szCs w:val="22"/>
        </w:rPr>
        <w:t>The clinical dossier consisted of</w:t>
      </w:r>
      <w:r w:rsidR="007357B9" w:rsidRPr="00B54541">
        <w:rPr>
          <w:szCs w:val="22"/>
        </w:rPr>
        <w:t>:</w:t>
      </w:r>
    </w:p>
    <w:p w14:paraId="4BF8828B" w14:textId="37E2F6B3" w:rsidR="00B35D22" w:rsidRPr="00B54541" w:rsidRDefault="00816AD2" w:rsidP="00031184">
      <w:pPr>
        <w:pStyle w:val="ListBullet"/>
      </w:pPr>
      <w:r w:rsidRPr="00B54541">
        <w:t xml:space="preserve">one </w:t>
      </w:r>
      <w:r w:rsidR="00CF5311" w:rsidRPr="00B54541">
        <w:t xml:space="preserve">Phase I </w:t>
      </w:r>
      <w:r w:rsidRPr="00B54541">
        <w:t>study</w:t>
      </w:r>
      <w:r w:rsidR="00B35D22" w:rsidRPr="00B54541">
        <w:t>: Study 411/13</w:t>
      </w:r>
    </w:p>
    <w:p w14:paraId="44CB972D" w14:textId="1CCBA147" w:rsidR="00816AD2" w:rsidRPr="00B54541" w:rsidRDefault="00816AD2" w:rsidP="00031184">
      <w:pPr>
        <w:pStyle w:val="ListBullet"/>
      </w:pPr>
      <w:r w:rsidRPr="00B54541">
        <w:t>post-marketing safety data from five Periodic Safety Update Reports (PSUR</w:t>
      </w:r>
      <w:r w:rsidR="007F410F">
        <w:t>s</w:t>
      </w:r>
      <w:r w:rsidRPr="00B54541">
        <w:t>).</w:t>
      </w:r>
    </w:p>
    <w:p w14:paraId="517376EF" w14:textId="77777777" w:rsidR="00816AD2" w:rsidRPr="00B54541" w:rsidRDefault="00816AD2" w:rsidP="005D4F6B">
      <w:pPr>
        <w:pStyle w:val="Heading4"/>
      </w:pPr>
      <w:bookmarkStart w:id="43" w:name="_Toc160184690"/>
      <w:r w:rsidRPr="00B54541">
        <w:t>Pharmacology</w:t>
      </w:r>
      <w:bookmarkEnd w:id="43"/>
    </w:p>
    <w:p w14:paraId="55A683A4" w14:textId="399D12C1" w:rsidR="00816AD2" w:rsidRPr="00B54541" w:rsidRDefault="00816AD2" w:rsidP="005D4F6B">
      <w:pPr>
        <w:pStyle w:val="Heading5"/>
      </w:pPr>
      <w:r w:rsidRPr="00B54541">
        <w:t>Pharmacokinetics</w:t>
      </w:r>
    </w:p>
    <w:p w14:paraId="70151C18" w14:textId="00CB6EE3" w:rsidR="00816AD2" w:rsidRPr="00B54541" w:rsidRDefault="00816AD2" w:rsidP="00031184">
      <w:r w:rsidRPr="00B54541">
        <w:t xml:space="preserve">The pharmacological assessment of comparability was based on </w:t>
      </w:r>
      <w:r w:rsidR="00910792" w:rsidRPr="00B54541">
        <w:t>pharmacodynamic (</w:t>
      </w:r>
      <w:r w:rsidRPr="00B54541">
        <w:t>PD</w:t>
      </w:r>
      <w:r w:rsidR="00910792" w:rsidRPr="00B54541">
        <w:t>)</w:t>
      </w:r>
      <w:r w:rsidRPr="00B54541">
        <w:t xml:space="preserve"> parameters as conventional </w:t>
      </w:r>
      <w:r w:rsidR="00910792" w:rsidRPr="00B54541">
        <w:t>pharmacokinetic (</w:t>
      </w:r>
      <w:r w:rsidRPr="00B54541">
        <w:t>PK</w:t>
      </w:r>
      <w:r w:rsidR="00910792" w:rsidRPr="00B54541">
        <w:t>)</w:t>
      </w:r>
      <w:r w:rsidRPr="00B54541">
        <w:t xml:space="preserve"> studies are not feasible for </w:t>
      </w:r>
      <w:r w:rsidR="006279AB" w:rsidRPr="00B54541">
        <w:t>low molecular weight heparin</w:t>
      </w:r>
      <w:r w:rsidRPr="00B54541">
        <w:t>.</w:t>
      </w:r>
    </w:p>
    <w:p w14:paraId="74E3A5AC" w14:textId="43124136" w:rsidR="00816AD2" w:rsidRPr="00B54541" w:rsidRDefault="00816AD2" w:rsidP="005D4F6B">
      <w:pPr>
        <w:pStyle w:val="Heading5"/>
      </w:pPr>
      <w:r w:rsidRPr="00B54541">
        <w:t>Pharmacodynamics</w:t>
      </w:r>
    </w:p>
    <w:p w14:paraId="5C57B97C" w14:textId="77777777" w:rsidR="00816AD2" w:rsidRPr="00B54541" w:rsidRDefault="00816AD2" w:rsidP="005D4F6B">
      <w:pPr>
        <w:pStyle w:val="Heading6"/>
      </w:pPr>
      <w:r w:rsidRPr="00B54541">
        <w:t>Study 411/13</w:t>
      </w:r>
    </w:p>
    <w:p w14:paraId="2C73A995" w14:textId="19923654" w:rsidR="00816AD2" w:rsidRPr="00B54541" w:rsidRDefault="005D4F6B" w:rsidP="00031184">
      <w:r w:rsidRPr="00B54541">
        <w:t xml:space="preserve">Study 411/13 </w:t>
      </w:r>
      <w:r w:rsidR="00816AD2" w:rsidRPr="00B54541">
        <w:t xml:space="preserve">was a Phase </w:t>
      </w:r>
      <w:r w:rsidR="00910792" w:rsidRPr="00B54541">
        <w:t>I</w:t>
      </w:r>
      <w:r w:rsidR="00816AD2" w:rsidRPr="00B54541">
        <w:t xml:space="preserve">, randomised, open-label, laboratory-blinded, single dose, 2-way cross-over, PD endpoint study with the objective to assess the PK/PD parameters and the bioequivalence of </w:t>
      </w:r>
      <w:r w:rsidR="003601A5" w:rsidRPr="00B54541">
        <w:t>Exarane</w:t>
      </w:r>
      <w:r w:rsidR="00816AD2" w:rsidRPr="00B54541">
        <w:t xml:space="preserve"> and </w:t>
      </w:r>
      <w:r w:rsidR="003601A5" w:rsidRPr="00B54541">
        <w:t>Clexane</w:t>
      </w:r>
      <w:r w:rsidR="00816AD2" w:rsidRPr="00B54541">
        <w:t xml:space="preserve"> administered as 40 mg/0.4 mL enoxaparin sodium by </w:t>
      </w:r>
      <w:r w:rsidRPr="00B54541">
        <w:lastRenderedPageBreak/>
        <w:t>subcutaneous</w:t>
      </w:r>
      <w:r w:rsidR="00816AD2" w:rsidRPr="00B54541">
        <w:t xml:space="preserve"> injection in healthy volunteers.</w:t>
      </w:r>
      <w:r w:rsidR="00C31BC1" w:rsidRPr="00B54541">
        <w:t xml:space="preserve"> </w:t>
      </w:r>
      <w:r w:rsidR="00816AD2" w:rsidRPr="00B54541">
        <w:t>The study was undertaken in 20 healthy subjects in the Czech Republic.</w:t>
      </w:r>
    </w:p>
    <w:p w14:paraId="6C3D834E" w14:textId="69B0FD23" w:rsidR="00816AD2" w:rsidRPr="00B54541" w:rsidRDefault="00816AD2" w:rsidP="00031184">
      <w:bookmarkStart w:id="44" w:name="_Hlk98323481"/>
      <w:r w:rsidRPr="00B54541">
        <w:t xml:space="preserve">The reference </w:t>
      </w:r>
      <w:r w:rsidR="003601A5" w:rsidRPr="00B54541">
        <w:t>Clexane</w:t>
      </w:r>
      <w:r w:rsidRPr="00B54541">
        <w:t xml:space="preserve"> product used in this study was sourced from the EU.</w:t>
      </w:r>
      <w:r w:rsidR="00C31BC1" w:rsidRPr="00B54541">
        <w:t xml:space="preserve"> </w:t>
      </w:r>
      <w:r w:rsidRPr="00B54541">
        <w:t xml:space="preserve">A justification for use of an overseas reference product was provided, as well as a Quality Similarity Comparison Report comparing European and Australian-sourced </w:t>
      </w:r>
      <w:r w:rsidR="003601A5" w:rsidRPr="00B54541">
        <w:t>Clexane</w:t>
      </w:r>
      <w:r w:rsidRPr="00B54541">
        <w:t xml:space="preserve"> (evaluated by the </w:t>
      </w:r>
      <w:r w:rsidR="00390537" w:rsidRPr="00B54541">
        <w:t>quality</w:t>
      </w:r>
      <w:r w:rsidRPr="00B54541">
        <w:t xml:space="preserve"> evaluator).</w:t>
      </w:r>
      <w:r w:rsidR="00C31BC1" w:rsidRPr="00B54541">
        <w:t xml:space="preserve"> </w:t>
      </w:r>
      <w:r w:rsidRPr="00B54541">
        <w:t>The application also included a justification for assessing only the 40 mg/0.4 mL strength in this study, based on the qualitative and quantitative composition of the proposed strengths, and linear PK (based on PD endpoints) across the proposed dosage range.</w:t>
      </w:r>
    </w:p>
    <w:p w14:paraId="0EE340CC" w14:textId="7DAFB759" w:rsidR="00816AD2" w:rsidRPr="00B54541" w:rsidRDefault="00593399" w:rsidP="00031184">
      <w:r w:rsidRPr="00B54541">
        <w:t xml:space="preserve">Twenty </w:t>
      </w:r>
      <w:r w:rsidR="00816AD2" w:rsidRPr="00B54541">
        <w:t xml:space="preserve">subjects were dosed according to the protocol and all 20 subjects </w:t>
      </w:r>
      <w:bookmarkEnd w:id="44"/>
      <w:r w:rsidR="00816AD2" w:rsidRPr="00B54541">
        <w:t>completed the study.</w:t>
      </w:r>
      <w:r w:rsidR="00C31BC1" w:rsidRPr="00B54541">
        <w:t xml:space="preserve"> </w:t>
      </w:r>
      <w:r w:rsidR="00816AD2" w:rsidRPr="00B54541">
        <w:t>The mean age (</w:t>
      </w:r>
      <w:r w:rsidRPr="00B54541">
        <w:t>±</w:t>
      </w:r>
      <w:r w:rsidR="00B83155" w:rsidRPr="00B54541">
        <w:t xml:space="preserve"> standard deviation</w:t>
      </w:r>
      <w:r w:rsidR="00816AD2" w:rsidRPr="00B54541">
        <w:t>) was 28.2 (</w:t>
      </w:r>
      <w:r w:rsidRPr="00B54541">
        <w:t>±</w:t>
      </w:r>
      <w:r w:rsidR="00816AD2" w:rsidRPr="00B54541">
        <w:t xml:space="preserve">7.9) years and mean </w:t>
      </w:r>
      <w:r w:rsidRPr="00B54541">
        <w:t>body mass index</w:t>
      </w:r>
      <w:r w:rsidR="00816AD2" w:rsidRPr="00B54541">
        <w:t xml:space="preserve"> was 23.7 (</w:t>
      </w:r>
      <w:r w:rsidRPr="00B54541">
        <w:t>±</w:t>
      </w:r>
      <w:r w:rsidR="00816AD2" w:rsidRPr="00B54541">
        <w:t>3.0).</w:t>
      </w:r>
      <w:r w:rsidR="00C31BC1" w:rsidRPr="00B54541">
        <w:t xml:space="preserve"> </w:t>
      </w:r>
      <w:r w:rsidR="00816AD2" w:rsidRPr="00B54541">
        <w:t>There were 14 male (70%) and 6 female (30%) subjects.</w:t>
      </w:r>
    </w:p>
    <w:p w14:paraId="3F399685" w14:textId="4A42F527" w:rsidR="00816AD2" w:rsidRPr="00B54541" w:rsidRDefault="00816AD2" w:rsidP="00031184">
      <w:r w:rsidRPr="00B54541">
        <w:t xml:space="preserve">The primary parameters for bioequivalence assessment were </w:t>
      </w:r>
      <w:r w:rsidR="00B83155" w:rsidRPr="00B54541">
        <w:t>area under the concentration-time curve from time zero to the last quantifiable concentration (</w:t>
      </w:r>
      <w:r w:rsidRPr="00B54541">
        <w:t>AUC</w:t>
      </w:r>
      <w:r w:rsidRPr="00B54541">
        <w:rPr>
          <w:vertAlign w:val="subscript"/>
        </w:rPr>
        <w:t>0-t</w:t>
      </w:r>
      <w:r w:rsidR="00B83155" w:rsidRPr="00B54541">
        <w:t>)</w:t>
      </w:r>
      <w:r w:rsidRPr="00B54541">
        <w:t xml:space="preserve"> and maximum activity (A</w:t>
      </w:r>
      <w:r w:rsidRPr="00B54541">
        <w:rPr>
          <w:vertAlign w:val="subscript"/>
        </w:rPr>
        <w:t>max</w:t>
      </w:r>
      <w:r w:rsidRPr="00B54541">
        <w:t>) of anti-</w:t>
      </w:r>
      <w:r w:rsidR="00CC7084" w:rsidRPr="00B54541">
        <w:t xml:space="preserve">factor </w:t>
      </w:r>
      <w:r w:rsidRPr="00B54541">
        <w:t>Xa and anti-</w:t>
      </w:r>
      <w:r w:rsidR="00CC7084" w:rsidRPr="00B54541">
        <w:t xml:space="preserve">factor </w:t>
      </w:r>
      <w:proofErr w:type="spellStart"/>
      <w:r w:rsidRPr="00B54541">
        <w:t>IIa</w:t>
      </w:r>
      <w:proofErr w:type="spellEnd"/>
      <w:r w:rsidRPr="00B54541">
        <w:t xml:space="preserve"> activity.</w:t>
      </w:r>
      <w:r w:rsidR="00C31BC1" w:rsidRPr="00B54541">
        <w:t xml:space="preserve"> </w:t>
      </w:r>
      <w:r w:rsidRPr="00B54541">
        <w:t xml:space="preserve">Secondary parameters included </w:t>
      </w:r>
      <w:r w:rsidR="00B83155" w:rsidRPr="00B54541">
        <w:t>AUC</w:t>
      </w:r>
      <w:r w:rsidR="00B83155" w:rsidRPr="00B54541">
        <w:rPr>
          <w:vertAlign w:val="subscript"/>
        </w:rPr>
        <w:t>0-t</w:t>
      </w:r>
      <w:r w:rsidRPr="00B54541">
        <w:t xml:space="preserve"> and </w:t>
      </w:r>
      <w:r w:rsidR="00B83155" w:rsidRPr="00B54541">
        <w:t>A</w:t>
      </w:r>
      <w:r w:rsidR="00B83155" w:rsidRPr="00B54541">
        <w:rPr>
          <w:vertAlign w:val="subscript"/>
        </w:rPr>
        <w:t>max</w:t>
      </w:r>
      <w:r w:rsidRPr="00B54541">
        <w:t xml:space="preserve"> of TFPI activity and minimal and maximal response (</w:t>
      </w:r>
      <w:r w:rsidR="008E0BA1" w:rsidRPr="00B54541">
        <w:t xml:space="preserve">minimum observed response (anti-factor Xa/anti-factor </w:t>
      </w:r>
      <w:proofErr w:type="spellStart"/>
      <w:r w:rsidR="008E0BA1" w:rsidRPr="00B54541">
        <w:t>IIa</w:t>
      </w:r>
      <w:proofErr w:type="spellEnd"/>
      <w:r w:rsidR="008E0BA1" w:rsidRPr="00B54541">
        <w:t xml:space="preserve"> (</w:t>
      </w:r>
      <w:proofErr w:type="spellStart"/>
      <w:r w:rsidRPr="00B54541">
        <w:t>R</w:t>
      </w:r>
      <w:r w:rsidRPr="00B54541">
        <w:rPr>
          <w:vertAlign w:val="subscript"/>
        </w:rPr>
        <w:t>min</w:t>
      </w:r>
      <w:proofErr w:type="spellEnd"/>
      <w:r w:rsidR="008E0BA1" w:rsidRPr="00B54541">
        <w:t>)</w:t>
      </w:r>
      <w:r w:rsidRPr="00B54541">
        <w:t xml:space="preserve">, </w:t>
      </w:r>
      <w:r w:rsidR="008E0BA1" w:rsidRPr="00B54541">
        <w:t xml:space="preserve">maximum observed response (anti-factor Xa/anti-factor </w:t>
      </w:r>
      <w:proofErr w:type="spellStart"/>
      <w:r w:rsidR="008E0BA1" w:rsidRPr="00B54541">
        <w:t>IIa</w:t>
      </w:r>
      <w:proofErr w:type="spellEnd"/>
      <w:r w:rsidR="008E0BA1" w:rsidRPr="00B54541">
        <w:t xml:space="preserve"> (</w:t>
      </w:r>
      <w:proofErr w:type="spellStart"/>
      <w:r w:rsidRPr="00B54541">
        <w:t>R</w:t>
      </w:r>
      <w:r w:rsidRPr="00B54541">
        <w:rPr>
          <w:vertAlign w:val="subscript"/>
        </w:rPr>
        <w:t>max</w:t>
      </w:r>
      <w:proofErr w:type="spellEnd"/>
      <w:r w:rsidRPr="00B54541">
        <w:t>)</w:t>
      </w:r>
      <w:r w:rsidR="008E0BA1" w:rsidRPr="00B54541">
        <w:t>)</w:t>
      </w:r>
      <w:r w:rsidRPr="00B54541">
        <w:t xml:space="preserve"> of anti-</w:t>
      </w:r>
      <w:r w:rsidR="00C31BC1" w:rsidRPr="00B54541">
        <w:t xml:space="preserve">factor </w:t>
      </w:r>
      <w:r w:rsidRPr="00B54541">
        <w:t>Xa</w:t>
      </w:r>
      <w:r w:rsidR="00593399" w:rsidRPr="00B54541">
        <w:t xml:space="preserve"> </w:t>
      </w:r>
      <w:r w:rsidRPr="00B54541">
        <w:t>/</w:t>
      </w:r>
      <w:r w:rsidR="00593399" w:rsidRPr="00B54541">
        <w:t xml:space="preserve"> </w:t>
      </w:r>
      <w:r w:rsidR="00C31BC1" w:rsidRPr="00B54541">
        <w:t>anti</w:t>
      </w:r>
      <w:r w:rsidR="00593399" w:rsidRPr="00B54541">
        <w:noBreakHyphen/>
      </w:r>
      <w:r w:rsidR="00C31BC1" w:rsidRPr="00B54541">
        <w:t xml:space="preserve">factor </w:t>
      </w:r>
      <w:proofErr w:type="spellStart"/>
      <w:r w:rsidR="00C31BC1" w:rsidRPr="00B54541">
        <w:t>IIa</w:t>
      </w:r>
      <w:proofErr w:type="spellEnd"/>
      <w:r w:rsidRPr="00B54541">
        <w:t xml:space="preserve"> activity ratio.</w:t>
      </w:r>
    </w:p>
    <w:p w14:paraId="1F503FF0" w14:textId="7B62C42E" w:rsidR="00816AD2" w:rsidRPr="00B54541" w:rsidRDefault="00816AD2" w:rsidP="00031184">
      <w:r w:rsidRPr="00B54541">
        <w:t>An analysis of variance evaluation was performed, and 90% confidence intervals (CIs) were calculated for all parameters using least-squares means (LSM) values.</w:t>
      </w:r>
      <w:r w:rsidR="00C31BC1" w:rsidRPr="00B54541">
        <w:t xml:space="preserve"> </w:t>
      </w:r>
      <w:r w:rsidRPr="00B54541">
        <w:t xml:space="preserve">Additional </w:t>
      </w:r>
      <w:r w:rsidRPr="00B54541">
        <w:rPr>
          <w:i/>
          <w:iCs/>
        </w:rPr>
        <w:t>post-hoc</w:t>
      </w:r>
      <w:r w:rsidRPr="00B54541">
        <w:t xml:space="preserve"> analyses of 95% CIs for the </w:t>
      </w:r>
      <w:r w:rsidR="00C31BC1" w:rsidRPr="00B54541">
        <w:t>anti-factor Xa</w:t>
      </w:r>
      <w:r w:rsidRPr="00B54541">
        <w:t xml:space="preserve"> and </w:t>
      </w:r>
      <w:r w:rsidR="00C31BC1" w:rsidRPr="00B54541">
        <w:t xml:space="preserve">anti-factor </w:t>
      </w:r>
      <w:proofErr w:type="spellStart"/>
      <w:r w:rsidR="00C31BC1" w:rsidRPr="00B54541">
        <w:t>IIa</w:t>
      </w:r>
      <w:proofErr w:type="spellEnd"/>
      <w:r w:rsidR="00C31BC1" w:rsidRPr="00B54541">
        <w:t xml:space="preserve"> </w:t>
      </w:r>
      <w:r w:rsidRPr="00B54541">
        <w:t>endpoints were also performed.</w:t>
      </w:r>
      <w:r w:rsidR="00C31BC1" w:rsidRPr="00B54541">
        <w:t xml:space="preserve"> </w:t>
      </w:r>
      <w:r w:rsidRPr="00B54541">
        <w:t>Standard bioequivalence acceptance range (80.00% to 125.00%) was used.</w:t>
      </w:r>
    </w:p>
    <w:p w14:paraId="64B1A8EF" w14:textId="2AC342BF" w:rsidR="00816AD2" w:rsidRPr="00B54541" w:rsidRDefault="00816AD2" w:rsidP="00031184">
      <w:r w:rsidRPr="00B54541">
        <w:t xml:space="preserve">For the primary parameters, the geometric LSM values for ln-transformed </w:t>
      </w:r>
      <w:r w:rsidR="00B83155" w:rsidRPr="00B54541">
        <w:t>AUC</w:t>
      </w:r>
      <w:r w:rsidR="00B83155" w:rsidRPr="00B54541">
        <w:rPr>
          <w:vertAlign w:val="subscript"/>
        </w:rPr>
        <w:t>0-t</w:t>
      </w:r>
      <w:r w:rsidRPr="00B54541">
        <w:t xml:space="preserve">, and </w:t>
      </w:r>
      <w:r w:rsidR="00B83155" w:rsidRPr="00B54541">
        <w:t>A</w:t>
      </w:r>
      <w:r w:rsidR="00B83155" w:rsidRPr="00B54541">
        <w:rPr>
          <w:vertAlign w:val="subscript"/>
        </w:rPr>
        <w:t>max</w:t>
      </w:r>
      <w:r w:rsidRPr="00B54541">
        <w:t xml:space="preserve"> of </w:t>
      </w:r>
      <w:r w:rsidR="00C31BC1" w:rsidRPr="00B54541">
        <w:t>anti-factor Xa</w:t>
      </w:r>
      <w:r w:rsidRPr="00B54541">
        <w:t xml:space="preserve"> and </w:t>
      </w:r>
      <w:r w:rsidR="00C31BC1" w:rsidRPr="00B54541">
        <w:t xml:space="preserve">anti-factor </w:t>
      </w:r>
      <w:proofErr w:type="spellStart"/>
      <w:r w:rsidR="00C31BC1" w:rsidRPr="00B54541">
        <w:t>IIa</w:t>
      </w:r>
      <w:proofErr w:type="spellEnd"/>
      <w:r w:rsidR="00C31BC1" w:rsidRPr="00B54541">
        <w:t xml:space="preserve"> </w:t>
      </w:r>
      <w:r w:rsidRPr="00B54541">
        <w:t>activity were slightly higher for the test product (</w:t>
      </w:r>
      <w:r w:rsidR="003601A5" w:rsidRPr="00B54541">
        <w:t>Exarane</w:t>
      </w:r>
      <w:r w:rsidRPr="00B54541">
        <w:t>) compared with the reference product (EU-</w:t>
      </w:r>
      <w:r w:rsidR="003601A5" w:rsidRPr="00B54541">
        <w:t>Clexane</w:t>
      </w:r>
      <w:r w:rsidRPr="00B54541">
        <w:t xml:space="preserve">) but the 90% CIs were within the pre-defined bioequivalence acceptance range for both </w:t>
      </w:r>
      <w:r w:rsidR="00C31BC1" w:rsidRPr="00B54541">
        <w:t>anti-factor Xa</w:t>
      </w:r>
      <w:r w:rsidRPr="00B54541">
        <w:t xml:space="preserve"> and </w:t>
      </w:r>
      <w:r w:rsidR="00C31BC1" w:rsidRPr="00B54541">
        <w:t xml:space="preserve">anti-factor </w:t>
      </w:r>
      <w:proofErr w:type="spellStart"/>
      <w:r w:rsidR="00C31BC1" w:rsidRPr="00B54541">
        <w:t>IIa</w:t>
      </w:r>
      <w:proofErr w:type="spellEnd"/>
      <w:r w:rsidRPr="00B54541">
        <w:t xml:space="preserve"> activity (</w:t>
      </w:r>
      <w:r w:rsidR="00593399" w:rsidRPr="00B54541">
        <w:t xml:space="preserve">see </w:t>
      </w:r>
      <w:r w:rsidRPr="00B54541">
        <w:fldChar w:fldCharType="begin"/>
      </w:r>
      <w:r w:rsidRPr="00B54541">
        <w:instrText xml:space="preserve"> REF _Ref103605546 \h </w:instrText>
      </w:r>
      <w:r w:rsidR="00031184" w:rsidRPr="00B54541">
        <w:instrText xml:space="preserve"> \* MERGEFORMAT </w:instrText>
      </w:r>
      <w:r w:rsidRPr="00B54541">
        <w:fldChar w:fldCharType="separate"/>
      </w:r>
      <w:r w:rsidR="0075357A" w:rsidRPr="00B54541">
        <w:t xml:space="preserve">Table </w:t>
      </w:r>
      <w:r w:rsidR="0075357A">
        <w:t>2</w:t>
      </w:r>
      <w:r w:rsidRPr="00B54541">
        <w:fldChar w:fldCharType="end"/>
      </w:r>
      <w:r w:rsidR="00593399" w:rsidRPr="00B54541">
        <w:t xml:space="preserve"> below</w:t>
      </w:r>
      <w:r w:rsidRPr="00B54541">
        <w:t>).</w:t>
      </w:r>
      <w:r w:rsidR="00C31BC1" w:rsidRPr="00B54541">
        <w:t xml:space="preserve"> </w:t>
      </w:r>
      <w:r w:rsidRPr="00B54541">
        <w:t xml:space="preserve">The 95% CIs for </w:t>
      </w:r>
      <w:r w:rsidR="00B83155" w:rsidRPr="00B54541">
        <w:t>AUC</w:t>
      </w:r>
      <w:r w:rsidR="00B83155" w:rsidRPr="00B54541">
        <w:rPr>
          <w:vertAlign w:val="subscript"/>
        </w:rPr>
        <w:t>0-t</w:t>
      </w:r>
      <w:r w:rsidRPr="00B54541">
        <w:t xml:space="preserve"> and </w:t>
      </w:r>
      <w:r w:rsidR="00B83155" w:rsidRPr="00B54541">
        <w:t>A</w:t>
      </w:r>
      <w:r w:rsidR="00B83155" w:rsidRPr="00B54541">
        <w:rPr>
          <w:vertAlign w:val="subscript"/>
        </w:rPr>
        <w:t>max</w:t>
      </w:r>
      <w:r w:rsidRPr="00B54541">
        <w:t xml:space="preserve"> were also within the pre-defined bioequivalence acceptance range for both </w:t>
      </w:r>
      <w:r w:rsidR="00C31BC1" w:rsidRPr="00B54541">
        <w:t>anti-factor Xa</w:t>
      </w:r>
      <w:r w:rsidRPr="00B54541">
        <w:t xml:space="preserve"> and </w:t>
      </w:r>
      <w:r w:rsidR="00C31BC1" w:rsidRPr="00B54541">
        <w:t xml:space="preserve">anti-factor </w:t>
      </w:r>
      <w:proofErr w:type="spellStart"/>
      <w:r w:rsidR="00C31BC1" w:rsidRPr="00B54541">
        <w:t>IIa</w:t>
      </w:r>
      <w:proofErr w:type="spellEnd"/>
      <w:r w:rsidRPr="00B54541">
        <w:t xml:space="preserve"> activity.</w:t>
      </w:r>
    </w:p>
    <w:p w14:paraId="0EAAD55C" w14:textId="6DBF38AB" w:rsidR="00816AD2" w:rsidRPr="00B54541" w:rsidRDefault="00816AD2" w:rsidP="00593399">
      <w:pPr>
        <w:pStyle w:val="TableTitle"/>
      </w:pPr>
      <w:bookmarkStart w:id="45" w:name="_Ref103605546"/>
      <w:r w:rsidRPr="00B54541">
        <w:t xml:space="preserve">Table </w:t>
      </w:r>
      <w:fldSimple w:instr=" SEQ Table \* ARABIC ">
        <w:r w:rsidR="0075357A">
          <w:rPr>
            <w:noProof/>
          </w:rPr>
          <w:t>2</w:t>
        </w:r>
      </w:fldSimple>
      <w:bookmarkEnd w:id="45"/>
      <w:r w:rsidR="00031184" w:rsidRPr="00B54541">
        <w:t>:</w:t>
      </w:r>
      <w:r w:rsidR="00E30FCF" w:rsidRPr="00B54541">
        <w:t xml:space="preserve"> Study 411/13</w:t>
      </w:r>
      <w:r w:rsidRPr="00B54541">
        <w:t xml:space="preserve"> Summary of the </w:t>
      </w:r>
      <w:r w:rsidR="00593399" w:rsidRPr="00B54541">
        <w:t>comparative bioequivalence data for the primary parameters</w:t>
      </w:r>
      <w:r w:rsidRPr="00B54541">
        <w:t xml:space="preserve">, </w:t>
      </w:r>
      <w:r w:rsidR="00C31BC1" w:rsidRPr="00B54541">
        <w:t>anti-factor Xa</w:t>
      </w:r>
      <w:r w:rsidRPr="00B54541">
        <w:t xml:space="preserve"> and </w:t>
      </w:r>
      <w:r w:rsidR="00C31BC1" w:rsidRPr="00B54541">
        <w:t>anti-factor IIa</w:t>
      </w:r>
      <w:r w:rsidRPr="00B54541">
        <w:t xml:space="preserve"> activity</w:t>
      </w:r>
    </w:p>
    <w:p w14:paraId="4AC7D98D" w14:textId="77777777" w:rsidR="00816AD2" w:rsidRPr="00B54541" w:rsidRDefault="00816AD2" w:rsidP="00593399">
      <w:pPr>
        <w:rPr>
          <w:lang w:eastAsia="ja-JP"/>
        </w:rPr>
      </w:pPr>
      <w:r w:rsidRPr="00B54541">
        <w:rPr>
          <w:noProof/>
        </w:rPr>
        <w:drawing>
          <wp:inline distT="0" distB="0" distL="0" distR="0" wp14:anchorId="7A57F7C3" wp14:editId="58083C59">
            <wp:extent cx="5826552" cy="1790700"/>
            <wp:effectExtent l="0" t="0" r="3175" b="0"/>
            <wp:docPr id="2" name="Picture 2" descr="Table 2: Study 411/13 Summary of the comparative bioequivalence data for the primary parameters, anti-factor Xa and anti-factor IIa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 2: Study 411/13 Summary of the comparative bioequivalence data for the primary parameters, anti-factor Xa and anti-factor IIa activit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37774" cy="1794149"/>
                    </a:xfrm>
                    <a:prstGeom prst="rect">
                      <a:avLst/>
                    </a:prstGeom>
                    <a:noFill/>
                    <a:ln>
                      <a:noFill/>
                    </a:ln>
                  </pic:spPr>
                </pic:pic>
              </a:graphicData>
            </a:graphic>
          </wp:inline>
        </w:drawing>
      </w:r>
    </w:p>
    <w:p w14:paraId="451A2D4E" w14:textId="78DDFFF4" w:rsidR="009060AC" w:rsidRPr="00B54541" w:rsidRDefault="00593399" w:rsidP="00911D92">
      <w:pPr>
        <w:pStyle w:val="TableDescription"/>
      </w:pPr>
      <w:r w:rsidRPr="00B54541">
        <w:t xml:space="preserve">Abbreviations: </w:t>
      </w:r>
      <w:r w:rsidR="00911D92" w:rsidRPr="00B54541">
        <w:t>AUC</w:t>
      </w:r>
      <w:r w:rsidR="00911D92" w:rsidRPr="00B54541">
        <w:rPr>
          <w:vertAlign w:val="subscript"/>
        </w:rPr>
        <w:t>0-t</w:t>
      </w:r>
      <w:r w:rsidR="00911D92" w:rsidRPr="00B54541">
        <w:t xml:space="preserve"> = area under the concentration-time curve from time zero to the last quantifiable concentration; A</w:t>
      </w:r>
      <w:r w:rsidR="00911D92" w:rsidRPr="00B54541">
        <w:rPr>
          <w:vertAlign w:val="subscript"/>
        </w:rPr>
        <w:t>max</w:t>
      </w:r>
      <w:r w:rsidR="00911D92" w:rsidRPr="00B54541">
        <w:t xml:space="preserve"> = maximum activity; CI = confidence interval; CV = coefficient of variation.</w:t>
      </w:r>
    </w:p>
    <w:p w14:paraId="44033ECE" w14:textId="19692C16" w:rsidR="00816AD2" w:rsidRPr="00B54541" w:rsidRDefault="00816AD2" w:rsidP="00112BD6">
      <w:pPr>
        <w:pStyle w:val="FigureTitle"/>
        <w:keepNext/>
      </w:pPr>
      <w:r w:rsidRPr="00B54541">
        <w:lastRenderedPageBreak/>
        <w:t xml:space="preserve">Figure </w:t>
      </w:r>
      <w:fldSimple w:instr=" SEQ Figure \* ARABIC ">
        <w:r w:rsidR="0075357A">
          <w:rPr>
            <w:noProof/>
          </w:rPr>
          <w:t>2</w:t>
        </w:r>
      </w:fldSimple>
      <w:r w:rsidR="00E30FCF" w:rsidRPr="00B54541">
        <w:t>: Study 411/13</w:t>
      </w:r>
      <w:r w:rsidRPr="00B54541">
        <w:t xml:space="preserve"> Profile of mean </w:t>
      </w:r>
      <w:r w:rsidR="00C31BC1" w:rsidRPr="00B54541">
        <w:t>anti-factor Xa</w:t>
      </w:r>
      <w:r w:rsidRPr="00B54541">
        <w:t xml:space="preserve"> activity</w:t>
      </w:r>
    </w:p>
    <w:p w14:paraId="4B8D3E4D" w14:textId="77777777" w:rsidR="00816AD2" w:rsidRPr="00B54541" w:rsidRDefault="00816AD2" w:rsidP="00031184">
      <w:pPr>
        <w:rPr>
          <w:lang w:eastAsia="ja-JP"/>
        </w:rPr>
      </w:pPr>
      <w:r w:rsidRPr="00B54541">
        <w:rPr>
          <w:noProof/>
        </w:rPr>
        <w:drawing>
          <wp:inline distT="0" distB="0" distL="0" distR="0" wp14:anchorId="08DC6970" wp14:editId="66A32371">
            <wp:extent cx="4173708" cy="2752725"/>
            <wp:effectExtent l="0" t="0" r="0" b="0"/>
            <wp:docPr id="4" name="Picture 4" descr="Figure 2: Study 411/13 Profile of mean anti-factor Xa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2: Study 411/13 Profile of mean anti-factor Xa activity"/>
                    <pic:cNvPicPr/>
                  </pic:nvPicPr>
                  <pic:blipFill>
                    <a:blip r:embed="rId21"/>
                    <a:stretch>
                      <a:fillRect/>
                    </a:stretch>
                  </pic:blipFill>
                  <pic:spPr>
                    <a:xfrm>
                      <a:off x="0" y="0"/>
                      <a:ext cx="4237019" cy="2794481"/>
                    </a:xfrm>
                    <a:prstGeom prst="rect">
                      <a:avLst/>
                    </a:prstGeom>
                  </pic:spPr>
                </pic:pic>
              </a:graphicData>
            </a:graphic>
          </wp:inline>
        </w:drawing>
      </w:r>
    </w:p>
    <w:p w14:paraId="47588E9B" w14:textId="600369D5" w:rsidR="00593399" w:rsidRPr="00B54541" w:rsidRDefault="00593399" w:rsidP="00EE2664">
      <w:pPr>
        <w:pStyle w:val="FigureDescription"/>
        <w:rPr>
          <w:lang w:eastAsia="ja-JP"/>
        </w:rPr>
      </w:pPr>
      <w:r w:rsidRPr="00B54541">
        <w:rPr>
          <w:lang w:eastAsia="ja-JP"/>
        </w:rPr>
        <w:t>Abbreviation</w:t>
      </w:r>
      <w:r w:rsidR="00EE2664" w:rsidRPr="00B54541">
        <w:rPr>
          <w:lang w:eastAsia="ja-JP"/>
        </w:rPr>
        <w:t>s</w:t>
      </w:r>
      <w:r w:rsidRPr="00B54541">
        <w:rPr>
          <w:lang w:eastAsia="ja-JP"/>
        </w:rPr>
        <w:t xml:space="preserve">: </w:t>
      </w:r>
      <w:r w:rsidR="00EE2664" w:rsidRPr="00B54541">
        <w:rPr>
          <w:lang w:eastAsia="ja-JP"/>
        </w:rPr>
        <w:t xml:space="preserve">IU =- international unit; </w:t>
      </w:r>
      <w:r w:rsidRPr="00B54541">
        <w:rPr>
          <w:lang w:eastAsia="ja-JP"/>
        </w:rPr>
        <w:t>h = hour</w:t>
      </w:r>
      <w:r w:rsidR="00EE2664" w:rsidRPr="00B54541">
        <w:rPr>
          <w:lang w:eastAsia="ja-JP"/>
        </w:rPr>
        <w:t>.</w:t>
      </w:r>
    </w:p>
    <w:p w14:paraId="049BE52C" w14:textId="76DBAA1A" w:rsidR="00816AD2" w:rsidRPr="00B54541" w:rsidRDefault="00816AD2" w:rsidP="00EE2664">
      <w:pPr>
        <w:pStyle w:val="FigureTitle"/>
      </w:pPr>
      <w:r w:rsidRPr="00B54541">
        <w:t xml:space="preserve">Figure </w:t>
      </w:r>
      <w:fldSimple w:instr=" SEQ Figure \* ARABIC ">
        <w:r w:rsidR="0075357A">
          <w:rPr>
            <w:noProof/>
          </w:rPr>
          <w:t>3</w:t>
        </w:r>
      </w:fldSimple>
      <w:r w:rsidR="00E30FCF" w:rsidRPr="00B54541">
        <w:t>: Study 411/13</w:t>
      </w:r>
      <w:r w:rsidRPr="00B54541">
        <w:t xml:space="preserve"> Profile of mean </w:t>
      </w:r>
      <w:r w:rsidR="00C31BC1" w:rsidRPr="00B54541">
        <w:t>anti-factor IIa</w:t>
      </w:r>
      <w:r w:rsidRPr="00B54541">
        <w:t xml:space="preserve"> activity</w:t>
      </w:r>
    </w:p>
    <w:p w14:paraId="6BB36A40" w14:textId="77777777" w:rsidR="00816AD2" w:rsidRPr="00B54541" w:rsidRDefault="00816AD2" w:rsidP="00EE2664">
      <w:pPr>
        <w:rPr>
          <w:lang w:eastAsia="ja-JP"/>
        </w:rPr>
      </w:pPr>
      <w:r w:rsidRPr="00B54541">
        <w:rPr>
          <w:noProof/>
        </w:rPr>
        <w:drawing>
          <wp:inline distT="0" distB="0" distL="0" distR="0" wp14:anchorId="59DBC467" wp14:editId="7FBB646D">
            <wp:extent cx="4248150" cy="2801351"/>
            <wp:effectExtent l="0" t="0" r="0" b="0"/>
            <wp:docPr id="7" name="Picture 7" descr="Figure 3: Study 411/13 Profile of mean anti-factor IIa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3: Study 411/13 Profile of mean anti-factor IIa activity"/>
                    <pic:cNvPicPr/>
                  </pic:nvPicPr>
                  <pic:blipFill>
                    <a:blip r:embed="rId22"/>
                    <a:stretch>
                      <a:fillRect/>
                    </a:stretch>
                  </pic:blipFill>
                  <pic:spPr>
                    <a:xfrm>
                      <a:off x="0" y="0"/>
                      <a:ext cx="4279926" cy="2822305"/>
                    </a:xfrm>
                    <a:prstGeom prst="rect">
                      <a:avLst/>
                    </a:prstGeom>
                  </pic:spPr>
                </pic:pic>
              </a:graphicData>
            </a:graphic>
          </wp:inline>
        </w:drawing>
      </w:r>
    </w:p>
    <w:p w14:paraId="5671F83E" w14:textId="1C00A695" w:rsidR="00EE2664" w:rsidRPr="00B54541" w:rsidRDefault="00EE2664" w:rsidP="00EE2664">
      <w:pPr>
        <w:pStyle w:val="FigureDescription"/>
      </w:pPr>
      <w:r w:rsidRPr="00B54541">
        <w:t>Abbreviations: IU =- international unit; h = hour.</w:t>
      </w:r>
    </w:p>
    <w:p w14:paraId="5D000BF7" w14:textId="2B5C0312" w:rsidR="00816AD2" w:rsidRPr="00B54541" w:rsidRDefault="00816AD2" w:rsidP="00031184">
      <w:r w:rsidRPr="00B54541">
        <w:t xml:space="preserve">For </w:t>
      </w:r>
      <w:r w:rsidR="00C31BC1" w:rsidRPr="00B54541">
        <w:t>anti-factor Xa</w:t>
      </w:r>
      <w:r w:rsidRPr="00B54541">
        <w:t>/</w:t>
      </w:r>
      <w:r w:rsidR="00C31BC1" w:rsidRPr="00B54541">
        <w:t>anti-factor IIa</w:t>
      </w:r>
      <w:r w:rsidRPr="00B54541">
        <w:t xml:space="preserve"> ratio, the 90% CIs were within the bioequivalence acceptance range for both </w:t>
      </w:r>
      <w:proofErr w:type="spellStart"/>
      <w:r w:rsidR="00352757" w:rsidRPr="00B54541">
        <w:t>R</w:t>
      </w:r>
      <w:r w:rsidR="00352757" w:rsidRPr="00B54541">
        <w:rPr>
          <w:vertAlign w:val="subscript"/>
        </w:rPr>
        <w:t>min</w:t>
      </w:r>
      <w:proofErr w:type="spellEnd"/>
      <w:r w:rsidRPr="00B54541">
        <w:t xml:space="preserve"> and </w:t>
      </w:r>
      <w:proofErr w:type="spellStart"/>
      <w:r w:rsidR="008E0BA1" w:rsidRPr="00B54541">
        <w:t>R</w:t>
      </w:r>
      <w:r w:rsidR="008E0BA1" w:rsidRPr="00B54541">
        <w:rPr>
          <w:vertAlign w:val="subscript"/>
        </w:rPr>
        <w:t>max</w:t>
      </w:r>
      <w:proofErr w:type="spellEnd"/>
      <w:r w:rsidRPr="00B54541">
        <w:t xml:space="preserve"> (</w:t>
      </w:r>
      <w:r w:rsidR="00EE2664" w:rsidRPr="00B54541">
        <w:t xml:space="preserve">see </w:t>
      </w:r>
      <w:r w:rsidRPr="00B54541">
        <w:fldChar w:fldCharType="begin"/>
      </w:r>
      <w:r w:rsidRPr="00B54541">
        <w:instrText xml:space="preserve"> REF _Ref103692998 \h </w:instrText>
      </w:r>
      <w:r w:rsidR="00031184" w:rsidRPr="00B54541">
        <w:instrText xml:space="preserve"> \* MERGEFORMAT </w:instrText>
      </w:r>
      <w:r w:rsidRPr="00B54541">
        <w:fldChar w:fldCharType="separate"/>
      </w:r>
      <w:r w:rsidR="0075357A" w:rsidRPr="00B54541">
        <w:t xml:space="preserve">Table </w:t>
      </w:r>
      <w:r w:rsidR="0075357A">
        <w:t>3</w:t>
      </w:r>
      <w:r w:rsidRPr="00B54541">
        <w:fldChar w:fldCharType="end"/>
      </w:r>
      <w:r w:rsidR="00EE2664" w:rsidRPr="00B54541">
        <w:t xml:space="preserve"> below</w:t>
      </w:r>
      <w:r w:rsidRPr="00B54541">
        <w:t>).</w:t>
      </w:r>
      <w:r w:rsidR="00C31BC1" w:rsidRPr="00B54541">
        <w:t xml:space="preserve"> </w:t>
      </w:r>
      <w:r w:rsidRPr="00B54541">
        <w:t xml:space="preserve">For TFPI activity, the geometric mean values of </w:t>
      </w:r>
      <w:r w:rsidR="00B83155" w:rsidRPr="00B54541">
        <w:t>AUC</w:t>
      </w:r>
      <w:r w:rsidR="00B83155" w:rsidRPr="00B54541">
        <w:rPr>
          <w:vertAlign w:val="subscript"/>
        </w:rPr>
        <w:t>0-t</w:t>
      </w:r>
      <w:r w:rsidRPr="00B54541">
        <w:t xml:space="preserve"> and </w:t>
      </w:r>
      <w:r w:rsidR="00B83155" w:rsidRPr="00B54541">
        <w:t>A</w:t>
      </w:r>
      <w:r w:rsidR="00B83155" w:rsidRPr="00B54541">
        <w:rPr>
          <w:vertAlign w:val="subscript"/>
        </w:rPr>
        <w:t>max</w:t>
      </w:r>
      <w:r w:rsidRPr="00B54541">
        <w:t xml:space="preserve"> were lower for the test product compared with the reference product and the lower limits of the pre-specified 90% CI of the ratio of the geometric LSM for </w:t>
      </w:r>
      <w:r w:rsidR="00B83155" w:rsidRPr="00B54541">
        <w:t>AUC</w:t>
      </w:r>
      <w:r w:rsidR="00B83155" w:rsidRPr="00B54541">
        <w:rPr>
          <w:vertAlign w:val="subscript"/>
        </w:rPr>
        <w:t>0-t</w:t>
      </w:r>
      <w:r w:rsidRPr="00B54541">
        <w:t xml:space="preserve"> and </w:t>
      </w:r>
      <w:r w:rsidR="00B83155" w:rsidRPr="00B54541">
        <w:t>A</w:t>
      </w:r>
      <w:r w:rsidR="00B83155" w:rsidRPr="00B54541">
        <w:rPr>
          <w:vertAlign w:val="subscript"/>
        </w:rPr>
        <w:t>max</w:t>
      </w:r>
      <w:r w:rsidRPr="00B54541">
        <w:t xml:space="preserve"> were below 80%.</w:t>
      </w:r>
      <w:r w:rsidR="00C31BC1" w:rsidRPr="00B54541">
        <w:t xml:space="preserve"> </w:t>
      </w:r>
      <w:r w:rsidRPr="00B54541">
        <w:t xml:space="preserve">In response to the findings for TFPI activity, the </w:t>
      </w:r>
      <w:r w:rsidR="005E70D7" w:rsidRPr="00B54541">
        <w:t>sponsor</w:t>
      </w:r>
      <w:r w:rsidRPr="00B54541">
        <w:t xml:space="preserve"> commented </w:t>
      </w:r>
      <w:r w:rsidR="00EE2664" w:rsidRPr="00B54541">
        <w:t>as below</w:t>
      </w:r>
      <w:r w:rsidRPr="00B54541">
        <w:t>:</w:t>
      </w:r>
    </w:p>
    <w:p w14:paraId="65D7E02A" w14:textId="51DEF64A" w:rsidR="00816AD2" w:rsidRPr="00B54541" w:rsidRDefault="00EE2664" w:rsidP="00031184">
      <w:pPr>
        <w:pStyle w:val="ListBullet"/>
      </w:pPr>
      <w:r w:rsidRPr="00B54541">
        <w:t>T</w:t>
      </w:r>
      <w:r w:rsidR="00816AD2" w:rsidRPr="00B54541">
        <w:t xml:space="preserve">here was extremely high intra-subject variability for TFPI activity, resulting in wide confidence intervals. The </w:t>
      </w:r>
      <w:r w:rsidR="00305269" w:rsidRPr="00B54541">
        <w:t>coefficient of variation (</w:t>
      </w:r>
      <w:r w:rsidR="00816AD2" w:rsidRPr="00B54541">
        <w:t>CV</w:t>
      </w:r>
      <w:r w:rsidR="00305269" w:rsidRPr="00B54541">
        <w:t>)</w:t>
      </w:r>
      <w:r w:rsidR="00816AD2" w:rsidRPr="00B54541">
        <w:t xml:space="preserve">% for </w:t>
      </w:r>
      <w:r w:rsidR="00B83155" w:rsidRPr="00B54541">
        <w:t>AUC</w:t>
      </w:r>
      <w:r w:rsidR="00B83155" w:rsidRPr="00B54541">
        <w:rPr>
          <w:vertAlign w:val="subscript"/>
        </w:rPr>
        <w:t>0-t</w:t>
      </w:r>
      <w:r w:rsidR="00816AD2" w:rsidRPr="00B54541">
        <w:t xml:space="preserve"> was 64.89% for the test product and 80.70% for the reference product, and the CV% for </w:t>
      </w:r>
      <w:r w:rsidR="00B83155" w:rsidRPr="00B54541">
        <w:t>A</w:t>
      </w:r>
      <w:r w:rsidR="00B83155" w:rsidRPr="00B54541">
        <w:rPr>
          <w:vertAlign w:val="subscript"/>
        </w:rPr>
        <w:t>max</w:t>
      </w:r>
      <w:r w:rsidR="00816AD2" w:rsidRPr="00B54541">
        <w:t xml:space="preserve"> was 57.39% for the test product and 48.89% for the reference product.</w:t>
      </w:r>
    </w:p>
    <w:p w14:paraId="25BF9881" w14:textId="2E764F26" w:rsidR="00816AD2" w:rsidRPr="00B54541" w:rsidRDefault="00EE2664" w:rsidP="00031184">
      <w:pPr>
        <w:pStyle w:val="ListBullet"/>
      </w:pPr>
      <w:r w:rsidRPr="00B54541">
        <w:t>T</w:t>
      </w:r>
      <w:r w:rsidR="00816AD2" w:rsidRPr="00B54541">
        <w:t>he sample size calculation was based on the primary PD parameters.</w:t>
      </w:r>
    </w:p>
    <w:p w14:paraId="424A6042" w14:textId="73179001" w:rsidR="00816AD2" w:rsidRPr="00B54541" w:rsidRDefault="00EE2664" w:rsidP="00031184">
      <w:pPr>
        <w:pStyle w:val="ListBullet"/>
      </w:pPr>
      <w:r w:rsidRPr="00B54541">
        <w:lastRenderedPageBreak/>
        <w:t>I</w:t>
      </w:r>
      <w:r w:rsidR="00816AD2" w:rsidRPr="00B54541">
        <w:t>ncrease in TFPI activity is only one of several components responsible for enoxaparin anticoagulant and antithrombotic action, and the main mechanisms (via factor Xa and IIa inhibition) were shown to be similar.</w:t>
      </w:r>
    </w:p>
    <w:p w14:paraId="3A5BA42F" w14:textId="10F3BD53" w:rsidR="00816AD2" w:rsidRPr="00B54541" w:rsidRDefault="00EE2664" w:rsidP="00031184">
      <w:pPr>
        <w:pStyle w:val="ListBullet"/>
      </w:pPr>
      <w:r w:rsidRPr="00B54541">
        <w:t>T</w:t>
      </w:r>
      <w:r w:rsidR="00816AD2" w:rsidRPr="00B54541">
        <w:t>he quality assessment did not provide a basis to state that there are any marked structural differences between the test and reference products which could affect biological activity.</w:t>
      </w:r>
    </w:p>
    <w:p w14:paraId="68B6819A" w14:textId="010E1062" w:rsidR="00816AD2" w:rsidRPr="00B54541" w:rsidRDefault="00816AD2" w:rsidP="00EE2664">
      <w:pPr>
        <w:pStyle w:val="TableTitle"/>
      </w:pPr>
      <w:bookmarkStart w:id="46" w:name="_Ref103692998"/>
      <w:r w:rsidRPr="00B54541">
        <w:t xml:space="preserve">Table </w:t>
      </w:r>
      <w:fldSimple w:instr=" SEQ Table \* ARABIC ">
        <w:r w:rsidR="0075357A">
          <w:rPr>
            <w:noProof/>
          </w:rPr>
          <w:t>3</w:t>
        </w:r>
      </w:fldSimple>
      <w:bookmarkEnd w:id="46"/>
      <w:r w:rsidR="00E30FCF" w:rsidRPr="00B54541">
        <w:t>: Study 411/13</w:t>
      </w:r>
      <w:r w:rsidRPr="00B54541">
        <w:t xml:space="preserve"> Summary of the </w:t>
      </w:r>
      <w:r w:rsidR="00EE2664" w:rsidRPr="00B54541">
        <w:t>comparative bioequivalence data for the secondary paramet</w:t>
      </w:r>
      <w:r w:rsidRPr="00B54541">
        <w:t xml:space="preserve">ers, </w:t>
      </w:r>
      <w:r w:rsidR="00352757" w:rsidRPr="00B54541">
        <w:t>tissue factor pathway inhibitor</w:t>
      </w:r>
      <w:r w:rsidRPr="00B54541">
        <w:t xml:space="preserve"> and </w:t>
      </w:r>
      <w:r w:rsidR="00C31BC1" w:rsidRPr="00B54541">
        <w:t>anti-factor Xa</w:t>
      </w:r>
      <w:r w:rsidRPr="00B54541">
        <w:t>/</w:t>
      </w:r>
      <w:r w:rsidR="00C31BC1" w:rsidRPr="00B54541">
        <w:t>anti-factor IIa</w:t>
      </w:r>
      <w:r w:rsidRPr="00B54541">
        <w:t xml:space="preserve"> </w:t>
      </w:r>
      <w:r w:rsidR="00EE2664" w:rsidRPr="00B54541">
        <w:t>r</w:t>
      </w:r>
      <w:r w:rsidRPr="00B54541">
        <w:t>atio</w:t>
      </w:r>
    </w:p>
    <w:p w14:paraId="3C96EBAE" w14:textId="77777777" w:rsidR="00816AD2" w:rsidRPr="00B54541" w:rsidRDefault="00816AD2" w:rsidP="00EE2664">
      <w:pPr>
        <w:rPr>
          <w:lang w:eastAsia="ja-JP"/>
        </w:rPr>
      </w:pPr>
      <w:r w:rsidRPr="00B54541">
        <w:rPr>
          <w:noProof/>
        </w:rPr>
        <w:drawing>
          <wp:inline distT="0" distB="0" distL="0" distR="0" wp14:anchorId="346AD0FF" wp14:editId="76D5086D">
            <wp:extent cx="5105400" cy="2001208"/>
            <wp:effectExtent l="0" t="0" r="0" b="0"/>
            <wp:docPr id="3" name="Picture 3" descr="Table 3: Study 411/13 Summary of the comparative bioequivalence data for the secondary parameters, tissue factor pathway inhibitor and anti-factor Xa/anti-factor IIa ra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 3: Study 411/13 Summary of the comparative bioequivalence data for the secondary parameters, tissue factor pathway inhibitor and anti-factor Xa/anti-factor IIa rati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34325" cy="2012546"/>
                    </a:xfrm>
                    <a:prstGeom prst="rect">
                      <a:avLst/>
                    </a:prstGeom>
                    <a:noFill/>
                    <a:ln>
                      <a:noFill/>
                    </a:ln>
                  </pic:spPr>
                </pic:pic>
              </a:graphicData>
            </a:graphic>
          </wp:inline>
        </w:drawing>
      </w:r>
    </w:p>
    <w:p w14:paraId="58F3042E" w14:textId="4DE852EC" w:rsidR="009060AC" w:rsidRPr="00B54541" w:rsidRDefault="009060AC" w:rsidP="009060AC">
      <w:pPr>
        <w:pStyle w:val="TableDescription"/>
      </w:pPr>
      <w:r w:rsidRPr="00B54541">
        <w:t>Abbreviations: AUC</w:t>
      </w:r>
      <w:r w:rsidRPr="00B54541">
        <w:rPr>
          <w:vertAlign w:val="subscript"/>
        </w:rPr>
        <w:t>0-t</w:t>
      </w:r>
      <w:r w:rsidRPr="00B54541">
        <w:t xml:space="preserve"> = area under the concentration-time curve from time zero to the last quantifiable concentration; A</w:t>
      </w:r>
      <w:r w:rsidRPr="00B54541">
        <w:rPr>
          <w:vertAlign w:val="subscript"/>
        </w:rPr>
        <w:t>max</w:t>
      </w:r>
      <w:r w:rsidRPr="00B54541">
        <w:t xml:space="preserve"> = maximum activity</w:t>
      </w:r>
      <w:r w:rsidR="00111041" w:rsidRPr="00B54541">
        <w:t>, R</w:t>
      </w:r>
      <w:r w:rsidR="00111041" w:rsidRPr="00B54541">
        <w:rPr>
          <w:vertAlign w:val="subscript"/>
        </w:rPr>
        <w:t>max</w:t>
      </w:r>
      <w:r w:rsidR="00111041" w:rsidRPr="00B54541">
        <w:t xml:space="preserve"> = maximum observed response (anti-factor Xa/anti-factor IIa); R</w:t>
      </w:r>
      <w:r w:rsidR="00111041" w:rsidRPr="00B54541">
        <w:rPr>
          <w:vertAlign w:val="subscript"/>
        </w:rPr>
        <w:t>min</w:t>
      </w:r>
      <w:r w:rsidR="00111041" w:rsidRPr="00B54541">
        <w:t xml:space="preserve"> = minimum observed response (anti-factor Xa/anti-factor IIa).</w:t>
      </w:r>
    </w:p>
    <w:p w14:paraId="0FA6BFB2" w14:textId="67DA830F" w:rsidR="00816AD2" w:rsidRPr="00B54541" w:rsidRDefault="00816AD2" w:rsidP="00EE2664">
      <w:pPr>
        <w:pStyle w:val="FigureTitle"/>
      </w:pPr>
      <w:r w:rsidRPr="00B54541">
        <w:t xml:space="preserve">Figure </w:t>
      </w:r>
      <w:fldSimple w:instr=" SEQ Figure \* ARABIC ">
        <w:r w:rsidR="0075357A">
          <w:rPr>
            <w:noProof/>
          </w:rPr>
          <w:t>4</w:t>
        </w:r>
      </w:fldSimple>
      <w:r w:rsidR="00E30FCF" w:rsidRPr="00B54541">
        <w:t>: Study 411/13</w:t>
      </w:r>
      <w:r w:rsidRPr="00B54541">
        <w:t xml:space="preserve"> Profile of mean </w:t>
      </w:r>
      <w:r w:rsidR="00352757" w:rsidRPr="00B54541">
        <w:t>tissue factor pathway inhibitor</w:t>
      </w:r>
      <w:r w:rsidRPr="00B54541">
        <w:t xml:space="preserve"> activity</w:t>
      </w:r>
    </w:p>
    <w:p w14:paraId="0B14C28B" w14:textId="77777777" w:rsidR="00816AD2" w:rsidRPr="00B54541" w:rsidRDefault="00816AD2" w:rsidP="00EE2664">
      <w:pPr>
        <w:rPr>
          <w:lang w:eastAsia="ja-JP"/>
        </w:rPr>
      </w:pPr>
      <w:r w:rsidRPr="00B54541">
        <w:rPr>
          <w:noProof/>
        </w:rPr>
        <w:drawing>
          <wp:inline distT="0" distB="0" distL="0" distR="0" wp14:anchorId="44DDD577" wp14:editId="787DCA2E">
            <wp:extent cx="4115632" cy="2667000"/>
            <wp:effectExtent l="0" t="0" r="0" b="0"/>
            <wp:docPr id="8" name="Picture 8" descr="Figure 4: Study 411/13 Profile of mean tissue factor pathway inhibitor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4: Study 411/13 Profile of mean tissue factor pathway inhibitor activity"/>
                    <pic:cNvPicPr/>
                  </pic:nvPicPr>
                  <pic:blipFill>
                    <a:blip r:embed="rId24"/>
                    <a:stretch>
                      <a:fillRect/>
                    </a:stretch>
                  </pic:blipFill>
                  <pic:spPr>
                    <a:xfrm>
                      <a:off x="0" y="0"/>
                      <a:ext cx="4158401" cy="2694715"/>
                    </a:xfrm>
                    <a:prstGeom prst="rect">
                      <a:avLst/>
                    </a:prstGeom>
                  </pic:spPr>
                </pic:pic>
              </a:graphicData>
            </a:graphic>
          </wp:inline>
        </w:drawing>
      </w:r>
    </w:p>
    <w:p w14:paraId="58B96DE1" w14:textId="2946CBAE" w:rsidR="00EE2664" w:rsidRPr="00B54541" w:rsidRDefault="00EE2664" w:rsidP="00EE2664">
      <w:pPr>
        <w:pStyle w:val="FigureDescription"/>
        <w:rPr>
          <w:lang w:eastAsia="ja-JP"/>
        </w:rPr>
      </w:pPr>
      <w:r w:rsidRPr="00B54541">
        <w:rPr>
          <w:lang w:eastAsia="ja-JP"/>
        </w:rPr>
        <w:t xml:space="preserve">Abbreviations: IU =- international unit; h = hour </w:t>
      </w:r>
    </w:p>
    <w:p w14:paraId="36780EC9" w14:textId="37FE4248" w:rsidR="00816AD2" w:rsidRPr="00B54541" w:rsidRDefault="00816AD2" w:rsidP="00112BD6">
      <w:pPr>
        <w:pStyle w:val="FigureTitle"/>
        <w:keepNext/>
        <w:rPr>
          <w:lang w:eastAsia="ja-JP"/>
        </w:rPr>
      </w:pPr>
      <w:r w:rsidRPr="00B54541">
        <w:lastRenderedPageBreak/>
        <w:t xml:space="preserve">Figure </w:t>
      </w:r>
      <w:fldSimple w:instr=" SEQ Figure \* ARABIC ">
        <w:r w:rsidR="0075357A">
          <w:rPr>
            <w:noProof/>
          </w:rPr>
          <w:t>5</w:t>
        </w:r>
      </w:fldSimple>
      <w:r w:rsidR="00E30FCF" w:rsidRPr="00B54541">
        <w:rPr>
          <w:noProof/>
        </w:rPr>
        <w:t>:</w:t>
      </w:r>
      <w:r w:rsidR="00E30FCF" w:rsidRPr="00B54541">
        <w:rPr>
          <w:lang w:eastAsia="ja-JP"/>
        </w:rPr>
        <w:t xml:space="preserve"> Study 411/13</w:t>
      </w:r>
      <w:r w:rsidRPr="00B54541">
        <w:t xml:space="preserve"> </w:t>
      </w:r>
      <w:r w:rsidRPr="00B54541">
        <w:rPr>
          <w:lang w:eastAsia="ja-JP"/>
        </w:rPr>
        <w:t xml:space="preserve">Profile of mean </w:t>
      </w:r>
      <w:r w:rsidR="00C31BC1" w:rsidRPr="00B54541">
        <w:rPr>
          <w:lang w:eastAsia="ja-JP"/>
        </w:rPr>
        <w:t>anti-factor Xa</w:t>
      </w:r>
      <w:r w:rsidRPr="00B54541">
        <w:rPr>
          <w:lang w:eastAsia="ja-JP"/>
        </w:rPr>
        <w:t>/</w:t>
      </w:r>
      <w:r w:rsidR="00C31BC1" w:rsidRPr="00B54541">
        <w:rPr>
          <w:lang w:eastAsia="ja-JP"/>
        </w:rPr>
        <w:t>anti-factor IIa</w:t>
      </w:r>
      <w:r w:rsidRPr="00B54541">
        <w:rPr>
          <w:lang w:eastAsia="ja-JP"/>
        </w:rPr>
        <w:t xml:space="preserve"> activity ratio</w:t>
      </w:r>
    </w:p>
    <w:p w14:paraId="36DC0904" w14:textId="77777777" w:rsidR="00816AD2" w:rsidRPr="00B54541" w:rsidRDefault="00816AD2" w:rsidP="00031184">
      <w:pPr>
        <w:rPr>
          <w:lang w:eastAsia="ja-JP"/>
        </w:rPr>
      </w:pPr>
      <w:r w:rsidRPr="00B54541">
        <w:rPr>
          <w:noProof/>
        </w:rPr>
        <w:drawing>
          <wp:inline distT="0" distB="0" distL="0" distR="0" wp14:anchorId="47ECB08B" wp14:editId="61105C7F">
            <wp:extent cx="4126456" cy="2705100"/>
            <wp:effectExtent l="0" t="0" r="7620" b="0"/>
            <wp:docPr id="9" name="Picture 9" descr="Figure 5: Study 411/13 Profile of mean anti-factor Xa/anti-factor IIa activity ra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5: Study 411/13 Profile of mean anti-factor Xa/anti-factor IIa activity ratio"/>
                    <pic:cNvPicPr/>
                  </pic:nvPicPr>
                  <pic:blipFill>
                    <a:blip r:embed="rId25"/>
                    <a:stretch>
                      <a:fillRect/>
                    </a:stretch>
                  </pic:blipFill>
                  <pic:spPr>
                    <a:xfrm>
                      <a:off x="0" y="0"/>
                      <a:ext cx="4164340" cy="2729935"/>
                    </a:xfrm>
                    <a:prstGeom prst="rect">
                      <a:avLst/>
                    </a:prstGeom>
                  </pic:spPr>
                </pic:pic>
              </a:graphicData>
            </a:graphic>
          </wp:inline>
        </w:drawing>
      </w:r>
    </w:p>
    <w:p w14:paraId="628EE10D" w14:textId="26BE50D9" w:rsidR="00EE2664" w:rsidRPr="00B54541" w:rsidRDefault="00EE2664" w:rsidP="00EE2664">
      <w:pPr>
        <w:pStyle w:val="FigureDescription"/>
      </w:pPr>
      <w:r w:rsidRPr="00B54541">
        <w:t>Abbreviation: h = hour.</w:t>
      </w:r>
    </w:p>
    <w:p w14:paraId="3252A9AF" w14:textId="77777777" w:rsidR="00816AD2" w:rsidRPr="00B54541" w:rsidRDefault="00816AD2" w:rsidP="005D4F6B">
      <w:pPr>
        <w:pStyle w:val="Heading4"/>
      </w:pPr>
      <w:bookmarkStart w:id="47" w:name="_Toc160184691"/>
      <w:r w:rsidRPr="00B54541">
        <w:t>Efficacy</w:t>
      </w:r>
      <w:bookmarkEnd w:id="47"/>
    </w:p>
    <w:p w14:paraId="285EE3FA" w14:textId="37C07F36" w:rsidR="00816AD2" w:rsidRPr="00B54541" w:rsidRDefault="00816AD2" w:rsidP="00031184">
      <w:r w:rsidRPr="00B54541">
        <w:t>No clinical efficacy study was submitted.</w:t>
      </w:r>
      <w:r w:rsidR="00EE2664" w:rsidRPr="00B54541">
        <w:t xml:space="preserve"> </w:t>
      </w:r>
      <w:r w:rsidRPr="00B54541">
        <w:t xml:space="preserve">The </w:t>
      </w:r>
      <w:r w:rsidR="005E70D7" w:rsidRPr="00B54541">
        <w:t>sponsor</w:t>
      </w:r>
      <w:r w:rsidRPr="00B54541">
        <w:t xml:space="preserve">’s justification for not conducting a clinical efficacy study was primarily based on the </w:t>
      </w:r>
      <w:r w:rsidR="0081189D" w:rsidRPr="0081189D">
        <w:t xml:space="preserve">Guideline on Non-clinical and Clinical Development of Similar Biological Medicinal Products Containing Low Molecular-Weight-Heparins </w:t>
      </w:r>
      <w:r w:rsidRPr="00B54541">
        <w:t>(EMEA/CHMP/BMWP/118264/2007 Rev. 1) that was adopted by the CHMP on 10 November 2016 and came into effect on 01 June 2017.</w:t>
      </w:r>
      <w:bookmarkStart w:id="48" w:name="_Ref153809362"/>
      <w:r w:rsidR="0081189D">
        <w:rPr>
          <w:rStyle w:val="FootnoteReference"/>
        </w:rPr>
        <w:footnoteReference w:id="5"/>
      </w:r>
      <w:bookmarkEnd w:id="48"/>
      <w:r w:rsidR="00C31BC1" w:rsidRPr="00B54541">
        <w:t xml:space="preserve"> </w:t>
      </w:r>
      <w:r w:rsidRPr="00B54541">
        <w:t xml:space="preserve">This </w:t>
      </w:r>
      <w:r w:rsidR="006C0FBB" w:rsidRPr="00B54541">
        <w:rPr>
          <w:color w:val="000000" w:themeColor="text1"/>
        </w:rPr>
        <w:t xml:space="preserve">guideline </w:t>
      </w:r>
      <w:r w:rsidRPr="00B54541">
        <w:t>states that:</w:t>
      </w:r>
      <w:r w:rsidR="006968CC" w:rsidRPr="00B54541">
        <w:t xml:space="preserve"> </w:t>
      </w:r>
      <w:r w:rsidR="006968CC" w:rsidRPr="00B54541">
        <w:rPr>
          <w:i/>
          <w:iCs/>
        </w:rPr>
        <w:t>‘</w:t>
      </w:r>
      <w:r w:rsidRPr="00B54541">
        <w:rPr>
          <w:i/>
          <w:iCs/>
        </w:rPr>
        <w:t>Pivotal evidence for similar efficacy will be derived from the similarity demonstrated in physicochemical, functional and pharmacodynamic comparisons. A dedicated comparative efficacy trial is therefore not considered necessary.</w:t>
      </w:r>
      <w:r w:rsidR="006968CC" w:rsidRPr="00B54541">
        <w:rPr>
          <w:i/>
          <w:iCs/>
        </w:rPr>
        <w:t>’</w:t>
      </w:r>
      <w:r w:rsidR="006C0FBB" w:rsidRPr="00B54541">
        <w:rPr>
          <w:i/>
          <w:iCs/>
        </w:rPr>
        <w:t xml:space="preserve"> </w:t>
      </w:r>
      <w:r w:rsidRPr="00B54541">
        <w:t xml:space="preserve">This guideline has not yet been formally adopted by </w:t>
      </w:r>
      <w:r w:rsidR="006C0FBB" w:rsidRPr="00B54541">
        <w:t xml:space="preserve">the </w:t>
      </w:r>
      <w:r w:rsidRPr="00B54541">
        <w:t xml:space="preserve">TGA but was considered by the Delegate of the Minister in the decision to register the enoxaparin biosimilar </w:t>
      </w:r>
      <w:r w:rsidR="003601A5" w:rsidRPr="00B54541">
        <w:t>Enoxapo</w:t>
      </w:r>
      <w:r w:rsidRPr="00B54541">
        <w:t xml:space="preserve"> in Australia.</w:t>
      </w:r>
      <w:bookmarkStart w:id="49" w:name="_Ref153868691"/>
      <w:r w:rsidRPr="00B54541">
        <w:rPr>
          <w:vertAlign w:val="superscript"/>
        </w:rPr>
        <w:footnoteReference w:id="6"/>
      </w:r>
      <w:bookmarkEnd w:id="49"/>
    </w:p>
    <w:p w14:paraId="5B5CAFAE" w14:textId="77777777" w:rsidR="00816AD2" w:rsidRPr="00B54541" w:rsidRDefault="00816AD2" w:rsidP="005D4F6B">
      <w:pPr>
        <w:pStyle w:val="Heading4"/>
      </w:pPr>
      <w:bookmarkStart w:id="50" w:name="_Toc160184692"/>
      <w:r w:rsidRPr="00B54541">
        <w:t>Safety</w:t>
      </w:r>
      <w:bookmarkEnd w:id="50"/>
    </w:p>
    <w:p w14:paraId="0DCC9974" w14:textId="549D337F" w:rsidR="00816AD2" w:rsidRPr="00B54541" w:rsidRDefault="00816AD2" w:rsidP="00031184">
      <w:r w:rsidRPr="00B54541">
        <w:t>The only clinical study providing safety data was Study 411/13, the open-label, single-dose, 2</w:t>
      </w:r>
      <w:r w:rsidR="00542AE7" w:rsidRPr="00B54541">
        <w:noBreakHyphen/>
      </w:r>
      <w:r w:rsidRPr="00B54541">
        <w:t xml:space="preserve">way crossover study comparing the PD of </w:t>
      </w:r>
      <w:r w:rsidR="003601A5" w:rsidRPr="00B54541">
        <w:t>Exarane</w:t>
      </w:r>
      <w:r w:rsidRPr="00B54541">
        <w:t xml:space="preserve"> and </w:t>
      </w:r>
      <w:r w:rsidR="003601A5" w:rsidRPr="00B54541">
        <w:t>Clexane</w:t>
      </w:r>
      <w:r w:rsidRPr="00B54541">
        <w:t xml:space="preserve"> 40 mg/0.4 mL </w:t>
      </w:r>
      <w:r w:rsidR="005D4F6B" w:rsidRPr="00B54541">
        <w:t>subcutaneous</w:t>
      </w:r>
      <w:r w:rsidRPr="00B54541">
        <w:t xml:space="preserve"> in 20 healthy subjects.</w:t>
      </w:r>
      <w:r w:rsidR="00C31BC1" w:rsidRPr="00B54541">
        <w:t xml:space="preserve"> </w:t>
      </w:r>
      <w:r w:rsidRPr="00B54541">
        <w:t>No adverse event or serious adverse event was reported in this study.</w:t>
      </w:r>
      <w:r w:rsidR="00C31BC1" w:rsidRPr="00B54541">
        <w:t xml:space="preserve"> </w:t>
      </w:r>
      <w:r w:rsidRPr="00B54541">
        <w:t>There were no clinically significant changes in clinical laboratory measurements which could reasonably be associated with the study treatment.</w:t>
      </w:r>
    </w:p>
    <w:p w14:paraId="7D27B88D" w14:textId="2BA71FB5" w:rsidR="00816AD2" w:rsidRPr="00B54541" w:rsidRDefault="00816AD2" w:rsidP="00031184">
      <w:r w:rsidRPr="00B54541">
        <w:t>No clinical immunogenicity data were presented.</w:t>
      </w:r>
      <w:r w:rsidR="00C31BC1" w:rsidRPr="00B54541">
        <w:t xml:space="preserve"> </w:t>
      </w:r>
      <w:r w:rsidRPr="00B54541">
        <w:t>As part of the submission to the EMA, the</w:t>
      </w:r>
      <w:r w:rsidR="00C31BC1" w:rsidRPr="00B54541">
        <w:t xml:space="preserve"> </w:t>
      </w:r>
      <w:r w:rsidR="005E70D7" w:rsidRPr="00B54541">
        <w:t>sponsor</w:t>
      </w:r>
      <w:r w:rsidRPr="00B54541">
        <w:t xml:space="preserve"> addressed the lack of clinical immunogenicity data by presenting an enhanced assay strategy (assessed by the </w:t>
      </w:r>
      <w:r w:rsidR="00390537" w:rsidRPr="00B54541">
        <w:t>nonclinical</w:t>
      </w:r>
      <w:r w:rsidRPr="00B54541">
        <w:t xml:space="preserve"> evaluator), including a comprehensive range of </w:t>
      </w:r>
      <w:r w:rsidRPr="00B54541">
        <w:rPr>
          <w:i/>
          <w:iCs/>
        </w:rPr>
        <w:t>in vitro</w:t>
      </w:r>
      <w:r w:rsidRPr="00B54541">
        <w:t xml:space="preserve"> studies, with particular focus on enoxaparin-PF4 complexes and the risk of </w:t>
      </w:r>
      <w:r w:rsidR="00426B7D" w:rsidRPr="00B54541">
        <w:t>heparin-induced thrombocytopaenia</w:t>
      </w:r>
      <w:r w:rsidRPr="00B54541">
        <w:t>, to support a conclusion of similar immunogenicity.</w:t>
      </w:r>
    </w:p>
    <w:p w14:paraId="77DFE903" w14:textId="133B1481" w:rsidR="00816AD2" w:rsidRPr="00B54541" w:rsidRDefault="00816AD2" w:rsidP="00031184">
      <w:r w:rsidRPr="00B54541">
        <w:lastRenderedPageBreak/>
        <w:t xml:space="preserve">Safety data from post-marketing use were presented in </w:t>
      </w:r>
      <w:r w:rsidR="00542AE7" w:rsidRPr="00B54541">
        <w:t>PSURs</w:t>
      </w:r>
      <w:r w:rsidRPr="00B54541">
        <w:t xml:space="preserve"> covering the period 15</w:t>
      </w:r>
      <w:r w:rsidR="00542AE7" w:rsidRPr="00B54541">
        <w:t xml:space="preserve"> Septem</w:t>
      </w:r>
      <w:r w:rsidR="00547C91" w:rsidRPr="00B54541">
        <w:t xml:space="preserve">ber </w:t>
      </w:r>
      <w:r w:rsidRPr="00B54541">
        <w:t xml:space="preserve">2016 to </w:t>
      </w:r>
      <w:bookmarkStart w:id="51" w:name="_Hlk99629914"/>
      <w:r w:rsidRPr="00B54541">
        <w:t>3</w:t>
      </w:r>
      <w:r w:rsidR="00547C91" w:rsidRPr="00B54541">
        <w:t xml:space="preserve"> April </w:t>
      </w:r>
      <w:r w:rsidRPr="00B54541">
        <w:t>2020</w:t>
      </w:r>
      <w:bookmarkEnd w:id="51"/>
      <w:r w:rsidRPr="00B54541">
        <w:t>.</w:t>
      </w:r>
      <w:r w:rsidR="00C31BC1" w:rsidRPr="00B54541">
        <w:t xml:space="preserve"> </w:t>
      </w:r>
      <w:r w:rsidRPr="00B54541">
        <w:t xml:space="preserve">The sponsor estimated the cumulative patient exposure to marketed </w:t>
      </w:r>
      <w:r w:rsidR="00AD53DF" w:rsidRPr="00B54541">
        <w:t xml:space="preserve">Inhixa </w:t>
      </w:r>
      <w:r w:rsidRPr="00B54541">
        <w:t>to be approximately 293,842,665 patient-days.</w:t>
      </w:r>
      <w:r w:rsidR="00C31BC1" w:rsidRPr="00B54541">
        <w:t xml:space="preserve"> </w:t>
      </w:r>
      <w:r w:rsidRPr="00B54541">
        <w:t>During this period, a total of 538 case reports reporting 869 adverse drug reactions (ADRs) were received from spontaneous notifications, including from the literature and regulatory authorities.</w:t>
      </w:r>
      <w:r w:rsidR="00C31BC1" w:rsidRPr="00B54541">
        <w:t xml:space="preserve"> </w:t>
      </w:r>
      <w:r w:rsidR="00431253" w:rsidRPr="00B54541">
        <w:t xml:space="preserve">Of these, </w:t>
      </w:r>
      <w:r w:rsidRPr="00B54541">
        <w:t>503 were classified as serious reactions and 366 were non-serious reactions.</w:t>
      </w:r>
    </w:p>
    <w:p w14:paraId="63FB1897" w14:textId="15328C75" w:rsidR="00816AD2" w:rsidRPr="00B54541" w:rsidRDefault="00816AD2" w:rsidP="00031184">
      <w:r w:rsidRPr="00B54541">
        <w:t>The most common serious reactions (5</w:t>
      </w:r>
      <w:r w:rsidR="00431253" w:rsidRPr="00B54541">
        <w:t xml:space="preserve"> or more</w:t>
      </w:r>
      <w:r w:rsidRPr="00B54541">
        <w:t xml:space="preserve"> ADRs) were: anaemia (40 ADRs), thrombocytopenia (22 ADRs), pulmonary embolism (18 ADRs), rectal haemorrhage (17 ADRs), deep vein thrombosis, haematoma (14 ADRs each), abdominal wall haematoma, intra-abdominal haematoma, drug ineffective (12 ADRs each), </w:t>
      </w:r>
      <w:bookmarkStart w:id="52" w:name="_Hlk99540947"/>
      <w:r w:rsidRPr="00B54541">
        <w:t xml:space="preserve">melaena </w:t>
      </w:r>
      <w:bookmarkEnd w:id="52"/>
      <w:r w:rsidRPr="00B54541">
        <w:t>(11 ADRs), heparin-induced thrombocytopenia (9 ADRs), gastrointestinal haemorrhage, haematuria, haemorrhage (8 ADRs each), haematoma muscle (6 ADRs), haematemesis, intestinal haemorrhage, retroperitoneal haematoma, drug interaction, erythema, rash, thrombosis (5 ADRs each).</w:t>
      </w:r>
    </w:p>
    <w:p w14:paraId="32EB467A" w14:textId="77777777" w:rsidR="00816AD2" w:rsidRPr="00B54541" w:rsidRDefault="00816AD2" w:rsidP="005D4F6B">
      <w:pPr>
        <w:pStyle w:val="Heading4"/>
      </w:pPr>
      <w:bookmarkStart w:id="53" w:name="_Toc160184693"/>
      <w:r w:rsidRPr="00B54541">
        <w:t>Clinical evaluation’s conclusion</w:t>
      </w:r>
      <w:bookmarkEnd w:id="53"/>
    </w:p>
    <w:p w14:paraId="06FB8633" w14:textId="01EFE7C3" w:rsidR="00816AD2" w:rsidRPr="00B54541" w:rsidRDefault="00816AD2" w:rsidP="00031184">
      <w:r w:rsidRPr="00B54541">
        <w:t xml:space="preserve">The application did not include a dedicated efficacy and safety study comparing </w:t>
      </w:r>
      <w:r w:rsidR="003601A5" w:rsidRPr="00B54541">
        <w:t>Exarane</w:t>
      </w:r>
      <w:r w:rsidRPr="00B54541">
        <w:t xml:space="preserve"> to </w:t>
      </w:r>
      <w:r w:rsidR="003601A5" w:rsidRPr="00B54541">
        <w:t>Clexane</w:t>
      </w:r>
      <w:r w:rsidRPr="00B54541">
        <w:t>.</w:t>
      </w:r>
      <w:r w:rsidR="00C31BC1" w:rsidRPr="00B54541">
        <w:t xml:space="preserve"> </w:t>
      </w:r>
      <w:r w:rsidRPr="00B54541">
        <w:t xml:space="preserve">In the absence of a comparative efficacy and safety study, a conclusion of similar efficacy and safety to </w:t>
      </w:r>
      <w:r w:rsidR="003601A5" w:rsidRPr="00B54541">
        <w:t>Clexane</w:t>
      </w:r>
      <w:r w:rsidRPr="00B54541">
        <w:t xml:space="preserve"> is dependent on demonstration of similarity in physicochemical, functional, and PD comparisons.</w:t>
      </w:r>
      <w:r w:rsidR="00C31BC1" w:rsidRPr="00B54541">
        <w:t xml:space="preserve"> </w:t>
      </w:r>
      <w:r w:rsidRPr="00B54541">
        <w:t xml:space="preserve">The findings from the comparative PK/PD study support the similarity of </w:t>
      </w:r>
      <w:r w:rsidR="003601A5" w:rsidRPr="00B54541">
        <w:t>Exarane</w:t>
      </w:r>
      <w:r w:rsidRPr="00B54541">
        <w:t xml:space="preserve"> to </w:t>
      </w:r>
      <w:r w:rsidR="003601A5" w:rsidRPr="00B54541">
        <w:t>Clexane</w:t>
      </w:r>
      <w:r w:rsidRPr="00B54541">
        <w:t>.</w:t>
      </w:r>
      <w:r w:rsidR="00C31BC1" w:rsidRPr="00B54541">
        <w:t xml:space="preserve"> </w:t>
      </w:r>
      <w:r w:rsidRPr="00B54541">
        <w:t xml:space="preserve">Consequently, the clinical evaluator supports the approval of </w:t>
      </w:r>
      <w:r w:rsidR="003601A5" w:rsidRPr="00B54541">
        <w:t>Exarane</w:t>
      </w:r>
      <w:r w:rsidRPr="00B54541">
        <w:t xml:space="preserve"> as a biosimilar of </w:t>
      </w:r>
      <w:r w:rsidR="003601A5" w:rsidRPr="00B54541">
        <w:t>Clexane</w:t>
      </w:r>
      <w:r w:rsidRPr="00B54541">
        <w:t xml:space="preserve"> provided that the </w:t>
      </w:r>
      <w:r w:rsidR="00390537" w:rsidRPr="00B54541">
        <w:t xml:space="preserve">quality </w:t>
      </w:r>
      <w:r w:rsidRPr="00B54541">
        <w:t xml:space="preserve">and </w:t>
      </w:r>
      <w:r w:rsidR="00390537" w:rsidRPr="00B54541">
        <w:t>nonclinical</w:t>
      </w:r>
      <w:r w:rsidRPr="00B54541">
        <w:t xml:space="preserve"> evaluations confirm similarity in physicochemical and functional characteristics, and the evaluator’s comments regarding the Product Information are satisfactorily addressed.</w:t>
      </w:r>
    </w:p>
    <w:p w14:paraId="2858B006" w14:textId="77777777" w:rsidR="00C22214" w:rsidRPr="00B54541" w:rsidRDefault="00C22214" w:rsidP="00C22214">
      <w:pPr>
        <w:pStyle w:val="Heading3"/>
        <w:rPr>
          <w:lang w:eastAsia="en-AU"/>
        </w:rPr>
      </w:pPr>
      <w:bookmarkStart w:id="54" w:name="_Toc314842514"/>
      <w:bookmarkStart w:id="55" w:name="_Toc103679298"/>
      <w:bookmarkStart w:id="56" w:name="_Toc160184694"/>
      <w:r w:rsidRPr="00B54541">
        <w:rPr>
          <w:lang w:eastAsia="en-AU"/>
        </w:rPr>
        <w:t>Risk management plan</w:t>
      </w:r>
      <w:bookmarkEnd w:id="54"/>
      <w:bookmarkEnd w:id="55"/>
      <w:bookmarkEnd w:id="56"/>
    </w:p>
    <w:p w14:paraId="110F3303" w14:textId="77777777" w:rsidR="00ED3030" w:rsidRPr="00B54541" w:rsidRDefault="00ED3030" w:rsidP="00031184">
      <w:bookmarkStart w:id="57" w:name="_Toc247691531"/>
      <w:bookmarkStart w:id="58" w:name="_Toc314842515"/>
      <w:r w:rsidRPr="00B54541">
        <w:t>The sponsor is required to comply with product vigilance and risk minimisation requirements.</w:t>
      </w:r>
    </w:p>
    <w:p w14:paraId="0F24C279" w14:textId="6331ACE2" w:rsidR="00ED3030" w:rsidRPr="00B54541" w:rsidRDefault="00ED3030" w:rsidP="00031184">
      <w:r w:rsidRPr="00B54541">
        <w:t xml:space="preserve">The TGA decided a </w:t>
      </w:r>
      <w:r w:rsidR="00431253" w:rsidRPr="00B54541">
        <w:t>risk management plan (</w:t>
      </w:r>
      <w:r w:rsidRPr="00B54541">
        <w:t>RMP</w:t>
      </w:r>
      <w:r w:rsidR="00431253" w:rsidRPr="00B54541">
        <w:t>)</w:t>
      </w:r>
      <w:r w:rsidRPr="00B54541">
        <w:t xml:space="preserve"> was not required due to</w:t>
      </w:r>
      <w:r w:rsidR="00431253" w:rsidRPr="00B54541">
        <w:t xml:space="preserve"> the following reasons</w:t>
      </w:r>
      <w:r w:rsidRPr="00B54541">
        <w:t>:</w:t>
      </w:r>
    </w:p>
    <w:p w14:paraId="30C5D652" w14:textId="51EA2882" w:rsidR="0063751A" w:rsidRPr="00B54541" w:rsidRDefault="0063751A" w:rsidP="008F4CDE">
      <w:pPr>
        <w:pStyle w:val="ListBullet"/>
      </w:pPr>
      <w:r w:rsidRPr="00B54541">
        <w:t>Assuming that the generic product is substantially identical to the innovator product (</w:t>
      </w:r>
      <w:r w:rsidR="006968CC" w:rsidRPr="00B54541">
        <w:t>for example,</w:t>
      </w:r>
      <w:r w:rsidRPr="00B54541">
        <w:t xml:space="preserve"> in efficacy, safety, indication, presentation, strength and dosing) then an RMP will not be required with this generic for enoxaparin sodium solution for injection submission.</w:t>
      </w:r>
    </w:p>
    <w:p w14:paraId="2F9B53E4" w14:textId="524B5BA9" w:rsidR="0063751A" w:rsidRPr="00B54541" w:rsidRDefault="0063751A" w:rsidP="008F4CDE">
      <w:pPr>
        <w:pStyle w:val="ListBullet"/>
      </w:pPr>
      <w:r w:rsidRPr="00B54541">
        <w:t>However, if there are any significant differences to the innovator product, then the sponsor should consider if the introduction of the generic product may lead to a new safety concern (</w:t>
      </w:r>
      <w:r w:rsidR="006968CC" w:rsidRPr="00B54541">
        <w:t>for example,</w:t>
      </w:r>
      <w:r w:rsidRPr="00B54541">
        <w:t xml:space="preserve"> medication error related to different preparation instructions) and under those circumstances submit an RMP for evaluation.</w:t>
      </w:r>
    </w:p>
    <w:p w14:paraId="6D287228" w14:textId="315B679C" w:rsidR="0063751A" w:rsidRPr="00B54541" w:rsidRDefault="0063751A" w:rsidP="008F4CDE">
      <w:pPr>
        <w:pStyle w:val="ListBullet"/>
      </w:pPr>
      <w:r w:rsidRPr="00B54541">
        <w:t xml:space="preserve">If </w:t>
      </w:r>
      <w:r w:rsidR="00776AC5" w:rsidRPr="00B54541">
        <w:t>the TGA</w:t>
      </w:r>
      <w:r w:rsidRPr="00B54541">
        <w:t xml:space="preserve"> identif</w:t>
      </w:r>
      <w:r w:rsidR="00776AC5" w:rsidRPr="00B54541">
        <w:t>ies</w:t>
      </w:r>
      <w:r w:rsidRPr="00B54541">
        <w:t xml:space="preserve"> any additional safety concerns or changes in the safety profile during the course of the evaluation, </w:t>
      </w:r>
      <w:r w:rsidR="00776AC5" w:rsidRPr="00B54541">
        <w:t>the TGA</w:t>
      </w:r>
      <w:r w:rsidRPr="00B54541">
        <w:t xml:space="preserve"> may contact </w:t>
      </w:r>
      <w:r w:rsidR="00776AC5" w:rsidRPr="00B54541">
        <w:t>the sponsor</w:t>
      </w:r>
      <w:r w:rsidRPr="00B54541">
        <w:t xml:space="preserve"> to request an RMP.</w:t>
      </w:r>
    </w:p>
    <w:p w14:paraId="50B14837" w14:textId="5EADA472" w:rsidR="00ED3030" w:rsidRPr="00B54541" w:rsidRDefault="00ED3030" w:rsidP="00ED3030">
      <w:pPr>
        <w:rPr>
          <w:szCs w:val="22"/>
        </w:rPr>
      </w:pPr>
      <w:r w:rsidRPr="00B54541">
        <w:rPr>
          <w:szCs w:val="22"/>
        </w:rPr>
        <w:t xml:space="preserve">See </w:t>
      </w:r>
      <w:hyperlink r:id="rId26" w:history="1">
        <w:r w:rsidRPr="00B54541">
          <w:rPr>
            <w:rStyle w:val="Hyperlink"/>
            <w:szCs w:val="22"/>
          </w:rPr>
          <w:t>TGA’s guidance</w:t>
        </w:r>
      </w:hyperlink>
      <w:r w:rsidRPr="00B54541">
        <w:rPr>
          <w:szCs w:val="22"/>
        </w:rPr>
        <w:t xml:space="preserve"> on ‘when an RMP is required’.</w:t>
      </w:r>
    </w:p>
    <w:p w14:paraId="3C2C5001" w14:textId="0AD2780B" w:rsidR="00ED3030" w:rsidRPr="00B54541" w:rsidRDefault="00ED3030" w:rsidP="00ED3030">
      <w:pPr>
        <w:rPr>
          <w:szCs w:val="22"/>
        </w:rPr>
      </w:pPr>
      <w:r w:rsidRPr="00B54541">
        <w:rPr>
          <w:szCs w:val="22"/>
        </w:rPr>
        <w:t xml:space="preserve">The TGA may request an updated RMP at any stage of a product's life-cycle, during both the pre-approval and post-approval phases. Further information regarding the TGA’s risk management approach can be found in </w:t>
      </w:r>
      <w:hyperlink r:id="rId27" w:history="1">
        <w:r w:rsidRPr="00B54541">
          <w:rPr>
            <w:rStyle w:val="Hyperlink"/>
            <w:szCs w:val="22"/>
          </w:rPr>
          <w:t>risk management plans for medicines and biologicals</w:t>
        </w:r>
      </w:hyperlink>
      <w:r w:rsidRPr="00B54541">
        <w:rPr>
          <w:szCs w:val="22"/>
        </w:rPr>
        <w:t xml:space="preserve"> and </w:t>
      </w:r>
      <w:hyperlink r:id="rId28" w:history="1">
        <w:r w:rsidRPr="00B54541">
          <w:rPr>
            <w:rStyle w:val="Hyperlink"/>
            <w:szCs w:val="22"/>
          </w:rPr>
          <w:t>the TGA's risk management approach</w:t>
        </w:r>
      </w:hyperlink>
      <w:r w:rsidRPr="00B54541">
        <w:rPr>
          <w:szCs w:val="22"/>
        </w:rPr>
        <w:t xml:space="preserve">. Information on the </w:t>
      </w:r>
      <w:hyperlink r:id="rId29" w:history="1">
        <w:r w:rsidRPr="00B54541">
          <w:rPr>
            <w:rStyle w:val="Hyperlink"/>
            <w:szCs w:val="22"/>
          </w:rPr>
          <w:t>Australia-specific annex</w:t>
        </w:r>
      </w:hyperlink>
      <w:r w:rsidRPr="00B54541">
        <w:rPr>
          <w:szCs w:val="22"/>
        </w:rPr>
        <w:t xml:space="preserve"> (</w:t>
      </w:r>
      <w:hyperlink r:id="rId30" w:history="1">
        <w:r w:rsidRPr="00B54541">
          <w:rPr>
            <w:rStyle w:val="Hyperlink"/>
            <w:szCs w:val="22"/>
          </w:rPr>
          <w:t>ASA</w:t>
        </w:r>
      </w:hyperlink>
      <w:r w:rsidRPr="00B54541">
        <w:rPr>
          <w:szCs w:val="22"/>
        </w:rPr>
        <w:t>) can be found on the TGA website.</w:t>
      </w:r>
    </w:p>
    <w:p w14:paraId="74A4F87F" w14:textId="77777777" w:rsidR="00C22214" w:rsidRPr="00B54541" w:rsidRDefault="00C22214" w:rsidP="00C22214">
      <w:pPr>
        <w:pStyle w:val="Heading3"/>
      </w:pPr>
      <w:bookmarkStart w:id="59" w:name="_Toc103679299"/>
      <w:bookmarkStart w:id="60" w:name="_Toc160184695"/>
      <w:r w:rsidRPr="00B54541">
        <w:lastRenderedPageBreak/>
        <w:t>Risk-benefit analysis</w:t>
      </w:r>
      <w:bookmarkEnd w:id="57"/>
      <w:bookmarkEnd w:id="58"/>
      <w:bookmarkEnd w:id="59"/>
      <w:bookmarkEnd w:id="60"/>
    </w:p>
    <w:p w14:paraId="77DE2655" w14:textId="77777777" w:rsidR="00C22214" w:rsidRPr="00B54541" w:rsidRDefault="00C22214" w:rsidP="00C22214">
      <w:pPr>
        <w:pStyle w:val="Heading4"/>
      </w:pPr>
      <w:bookmarkStart w:id="61" w:name="_Toc98931932"/>
      <w:bookmarkStart w:id="62" w:name="_Toc160184696"/>
      <w:r w:rsidRPr="00B54541">
        <w:t>Delegate’s considerations</w:t>
      </w:r>
      <w:bookmarkEnd w:id="61"/>
      <w:bookmarkEnd w:id="62"/>
    </w:p>
    <w:p w14:paraId="1A286B58" w14:textId="2937C8A5" w:rsidR="00533BEC" w:rsidRPr="00B54541" w:rsidRDefault="00533BEC" w:rsidP="00031184">
      <w:r w:rsidRPr="00B54541">
        <w:t xml:space="preserve">A comprehensive comparison of physicochemical and functional characteristics was undertaken to demonstrate the similarity of </w:t>
      </w:r>
      <w:r w:rsidR="003601A5" w:rsidRPr="00B54541">
        <w:t>Exarane</w:t>
      </w:r>
      <w:r w:rsidRPr="00B54541">
        <w:t xml:space="preserve"> to </w:t>
      </w:r>
      <w:r w:rsidR="003601A5" w:rsidRPr="00B54541">
        <w:t>Clexane</w:t>
      </w:r>
      <w:r w:rsidRPr="00B54541">
        <w:t>.</w:t>
      </w:r>
      <w:r w:rsidR="00C31BC1" w:rsidRPr="00B54541">
        <w:t xml:space="preserve"> </w:t>
      </w:r>
      <w:r w:rsidRPr="00B54541">
        <w:t xml:space="preserve">The main comparability studies compared </w:t>
      </w:r>
      <w:r w:rsidR="003601A5" w:rsidRPr="00B54541">
        <w:t>Exarane</w:t>
      </w:r>
      <w:r w:rsidRPr="00B54541">
        <w:t xml:space="preserve"> to EU-sourced </w:t>
      </w:r>
      <w:r w:rsidR="003601A5" w:rsidRPr="00B54541">
        <w:t>Clexane</w:t>
      </w:r>
      <w:r w:rsidRPr="00B54541">
        <w:t>.</w:t>
      </w:r>
      <w:r w:rsidR="00C31BC1" w:rsidRPr="00B54541">
        <w:t xml:space="preserve"> </w:t>
      </w:r>
      <w:r w:rsidRPr="00B54541">
        <w:t xml:space="preserve">Additional comparisons of EU- and </w:t>
      </w:r>
      <w:r w:rsidR="00463500" w:rsidRPr="00B54541">
        <w:t>Australian</w:t>
      </w:r>
      <w:r w:rsidRPr="00B54541">
        <w:t xml:space="preserve">-sourced </w:t>
      </w:r>
      <w:r w:rsidR="003601A5" w:rsidRPr="00B54541">
        <w:t>Clexane</w:t>
      </w:r>
      <w:r w:rsidRPr="00B54541">
        <w:t xml:space="preserve"> support bridging to the Australian reference product.</w:t>
      </w:r>
      <w:r w:rsidR="00C31BC1" w:rsidRPr="00B54541">
        <w:t xml:space="preserve"> </w:t>
      </w:r>
      <w:r w:rsidRPr="00B54541">
        <w:t xml:space="preserve">Overall, </w:t>
      </w:r>
      <w:r w:rsidR="003601A5" w:rsidRPr="00B54541">
        <w:t>Exarane</w:t>
      </w:r>
      <w:r w:rsidRPr="00B54541">
        <w:t xml:space="preserve"> is similar to </w:t>
      </w:r>
      <w:r w:rsidR="003601A5" w:rsidRPr="00B54541">
        <w:t>Clexane</w:t>
      </w:r>
      <w:r w:rsidRPr="00B54541">
        <w:t xml:space="preserve"> with respect to physicochemical properties and biological activity.</w:t>
      </w:r>
      <w:r w:rsidR="00C31BC1" w:rsidRPr="00B54541">
        <w:t xml:space="preserve"> </w:t>
      </w:r>
      <w:r w:rsidR="003601A5" w:rsidRPr="00B54541">
        <w:t>Exarane</w:t>
      </w:r>
      <w:r w:rsidRPr="00B54541">
        <w:t xml:space="preserve"> has a higher level of linkage regions compared to </w:t>
      </w:r>
      <w:r w:rsidR="003601A5" w:rsidRPr="00B54541">
        <w:t>Clexane</w:t>
      </w:r>
      <w:r w:rsidRPr="00B54541">
        <w:t xml:space="preserve"> as a consequence of the depolymerisation process, but this is not expected to impact on efficacy or safety.</w:t>
      </w:r>
    </w:p>
    <w:p w14:paraId="1BAAD661" w14:textId="3428D317" w:rsidR="00533BEC" w:rsidRPr="00B54541" w:rsidRDefault="00533BEC" w:rsidP="00031184">
      <w:r w:rsidRPr="00B54541">
        <w:t xml:space="preserve">The application included one clinical study, Study 411/13, a PK/PD study assessing the bioequivalence of 40 mg/0.4 mL </w:t>
      </w:r>
      <w:r w:rsidR="003601A5" w:rsidRPr="00B54541">
        <w:t>Exarane</w:t>
      </w:r>
      <w:r w:rsidRPr="00B54541">
        <w:t xml:space="preserve"> and 40 mg/0.4 mL </w:t>
      </w:r>
      <w:r w:rsidR="003601A5" w:rsidRPr="00B54541">
        <w:t>Clexane</w:t>
      </w:r>
      <w:r w:rsidRPr="00B54541">
        <w:t xml:space="preserve"> administered by </w:t>
      </w:r>
      <w:r w:rsidR="005D4F6B" w:rsidRPr="00B54541">
        <w:t>subcutaneous</w:t>
      </w:r>
      <w:r w:rsidRPr="00B54541">
        <w:t xml:space="preserve"> injection in 20 healthy subjects.</w:t>
      </w:r>
      <w:r w:rsidR="00C31BC1" w:rsidRPr="00B54541">
        <w:t xml:space="preserve"> </w:t>
      </w:r>
      <w:r w:rsidRPr="00B54541">
        <w:t xml:space="preserve">The </w:t>
      </w:r>
      <w:r w:rsidR="003601A5" w:rsidRPr="00B54541">
        <w:t>Clexane</w:t>
      </w:r>
      <w:r w:rsidRPr="00B54541">
        <w:t xml:space="preserve"> used in this study was sourced from the EU.</w:t>
      </w:r>
      <w:r w:rsidR="00C31BC1" w:rsidRPr="00B54541">
        <w:t xml:space="preserve"> </w:t>
      </w:r>
      <w:r w:rsidRPr="00B54541">
        <w:t xml:space="preserve">Bioequivalence was demonstrated for the primary parameters </w:t>
      </w:r>
      <w:r w:rsidR="00B83155" w:rsidRPr="00B54541">
        <w:t>AUC</w:t>
      </w:r>
      <w:r w:rsidR="00B83155" w:rsidRPr="00B54541">
        <w:rPr>
          <w:vertAlign w:val="subscript"/>
        </w:rPr>
        <w:t>0-t</w:t>
      </w:r>
      <w:r w:rsidRPr="00B54541">
        <w:t xml:space="preserve"> and </w:t>
      </w:r>
      <w:r w:rsidR="00B83155" w:rsidRPr="00B54541">
        <w:t>A</w:t>
      </w:r>
      <w:r w:rsidR="00B83155" w:rsidRPr="00B54541">
        <w:rPr>
          <w:vertAlign w:val="subscript"/>
        </w:rPr>
        <w:t>max</w:t>
      </w:r>
      <w:r w:rsidRPr="00B54541">
        <w:t xml:space="preserve"> of </w:t>
      </w:r>
      <w:r w:rsidR="00C31BC1" w:rsidRPr="00B54541">
        <w:t>anti</w:t>
      </w:r>
      <w:r w:rsidR="00CC351E" w:rsidRPr="00B54541">
        <w:noBreakHyphen/>
      </w:r>
      <w:r w:rsidR="00C31BC1" w:rsidRPr="00B54541">
        <w:t>factor Xa</w:t>
      </w:r>
      <w:r w:rsidRPr="00B54541">
        <w:t xml:space="preserve"> and </w:t>
      </w:r>
      <w:r w:rsidR="00C31BC1" w:rsidRPr="00B54541">
        <w:t>anti-factor IIa</w:t>
      </w:r>
      <w:r w:rsidRPr="00B54541">
        <w:t xml:space="preserve"> activity, with both the 90% CI (pre-specified) and 95% CI (</w:t>
      </w:r>
      <w:r w:rsidRPr="00B54541">
        <w:rPr>
          <w:i/>
          <w:iCs/>
        </w:rPr>
        <w:t>post</w:t>
      </w:r>
      <w:r w:rsidR="00CC351E" w:rsidRPr="00B54541">
        <w:rPr>
          <w:i/>
          <w:iCs/>
        </w:rPr>
        <w:noBreakHyphen/>
      </w:r>
      <w:r w:rsidRPr="00B54541">
        <w:rPr>
          <w:i/>
          <w:iCs/>
        </w:rPr>
        <w:t>hoc</w:t>
      </w:r>
      <w:r w:rsidRPr="00B54541">
        <w:t>) being within the bioequivalence acceptance range.</w:t>
      </w:r>
      <w:r w:rsidR="00C31BC1" w:rsidRPr="00B54541">
        <w:t xml:space="preserve"> </w:t>
      </w:r>
      <w:r w:rsidRPr="00B54541">
        <w:t xml:space="preserve">Bioequivalence was also shown for the secondary parameters </w:t>
      </w:r>
      <w:r w:rsidR="00352757" w:rsidRPr="00B54541">
        <w:t>R</w:t>
      </w:r>
      <w:r w:rsidR="00352757" w:rsidRPr="00B54541">
        <w:rPr>
          <w:vertAlign w:val="subscript"/>
        </w:rPr>
        <w:t>min</w:t>
      </w:r>
      <w:r w:rsidRPr="00B54541">
        <w:t xml:space="preserve"> and </w:t>
      </w:r>
      <w:r w:rsidR="008E0BA1" w:rsidRPr="00B54541">
        <w:t>R</w:t>
      </w:r>
      <w:r w:rsidR="008E0BA1" w:rsidRPr="00B54541">
        <w:rPr>
          <w:vertAlign w:val="subscript"/>
        </w:rPr>
        <w:t>max</w:t>
      </w:r>
      <w:r w:rsidRPr="00B54541">
        <w:t xml:space="preserve"> of </w:t>
      </w:r>
      <w:r w:rsidR="00C31BC1" w:rsidRPr="00B54541">
        <w:t>anti-factor Xa</w:t>
      </w:r>
      <w:r w:rsidRPr="00B54541">
        <w:t>/</w:t>
      </w:r>
      <w:r w:rsidR="00C31BC1" w:rsidRPr="00B54541">
        <w:t>anti-factor IIa</w:t>
      </w:r>
      <w:r w:rsidRPr="00B54541">
        <w:t xml:space="preserve"> activity ratio, but not for </w:t>
      </w:r>
      <w:r w:rsidR="00B83155" w:rsidRPr="00B54541">
        <w:t>AUC</w:t>
      </w:r>
      <w:r w:rsidR="00B83155" w:rsidRPr="00B54541">
        <w:rPr>
          <w:vertAlign w:val="subscript"/>
        </w:rPr>
        <w:t>0-t</w:t>
      </w:r>
      <w:r w:rsidRPr="00B54541">
        <w:t xml:space="preserve"> and </w:t>
      </w:r>
      <w:r w:rsidR="00B83155" w:rsidRPr="00B54541">
        <w:t>A</w:t>
      </w:r>
      <w:r w:rsidR="00B83155" w:rsidRPr="00B54541">
        <w:rPr>
          <w:vertAlign w:val="subscript"/>
        </w:rPr>
        <w:t>max</w:t>
      </w:r>
      <w:r w:rsidRPr="00B54541">
        <w:t xml:space="preserve"> of TFPI.</w:t>
      </w:r>
      <w:r w:rsidR="00C31BC1" w:rsidRPr="00B54541">
        <w:t xml:space="preserve"> </w:t>
      </w:r>
      <w:r w:rsidRPr="00B54541">
        <w:t>The TFPI findings were impacted by high intra-subject variability, limiting conclusions regarding difference between the test and reference products.</w:t>
      </w:r>
    </w:p>
    <w:p w14:paraId="03EEFEB0" w14:textId="7D5A5E7C" w:rsidR="00533BEC" w:rsidRPr="00B54541" w:rsidRDefault="00533BEC" w:rsidP="00031184">
      <w:r w:rsidRPr="00B54541">
        <w:t xml:space="preserve">The use of EU-sourced </w:t>
      </w:r>
      <w:r w:rsidR="003601A5" w:rsidRPr="00B54541">
        <w:t>Clexane</w:t>
      </w:r>
      <w:r w:rsidRPr="00B54541">
        <w:t xml:space="preserve"> as the reference product in this study is acceptable based on </w:t>
      </w:r>
      <w:r w:rsidR="005774A8" w:rsidRPr="00B54541">
        <w:t xml:space="preserve">the </w:t>
      </w:r>
      <w:r w:rsidRPr="00B54541">
        <w:t>TGA regulatory guidance</w:t>
      </w:r>
      <w:r w:rsidRPr="00B54541">
        <w:rPr>
          <w:vertAlign w:val="superscript"/>
        </w:rPr>
        <w:footnoteReference w:id="7"/>
      </w:r>
      <w:r w:rsidRPr="00B54541">
        <w:t xml:space="preserve"> and the quality similarity study comparing EU- and </w:t>
      </w:r>
      <w:r w:rsidR="00463500" w:rsidRPr="00B54541">
        <w:t>Australian</w:t>
      </w:r>
      <w:r w:rsidRPr="00B54541">
        <w:t xml:space="preserve">-sourced </w:t>
      </w:r>
      <w:r w:rsidR="003601A5" w:rsidRPr="00B54541">
        <w:t>Clexane</w:t>
      </w:r>
      <w:r w:rsidRPr="00B54541">
        <w:t>.</w:t>
      </w:r>
      <w:r w:rsidR="00C31BC1" w:rsidRPr="00B54541">
        <w:t xml:space="preserve"> </w:t>
      </w:r>
      <w:r w:rsidRPr="00B54541">
        <w:t xml:space="preserve">Bioequivalence was assessed only in the </w:t>
      </w:r>
      <w:r w:rsidR="005D4F6B" w:rsidRPr="00B54541">
        <w:t>subcutaneous</w:t>
      </w:r>
      <w:r w:rsidRPr="00B54541">
        <w:t xml:space="preserve"> setting.</w:t>
      </w:r>
      <w:r w:rsidR="00C31BC1" w:rsidRPr="00B54541">
        <w:t xml:space="preserve"> </w:t>
      </w:r>
      <w:r w:rsidRPr="00B54541">
        <w:t xml:space="preserve">The absence of an </w:t>
      </w:r>
      <w:r w:rsidR="005D4F6B" w:rsidRPr="00B54541">
        <w:t>intravenous</w:t>
      </w:r>
      <w:r w:rsidRPr="00B54541">
        <w:t xml:space="preserve"> study is acceptable because the </w:t>
      </w:r>
      <w:r w:rsidR="005D4F6B" w:rsidRPr="00B54541">
        <w:t>subcutaneous</w:t>
      </w:r>
      <w:r w:rsidRPr="00B54541">
        <w:t xml:space="preserve"> study informs both absorption and elimination.</w:t>
      </w:r>
      <w:r w:rsidRPr="00B54541">
        <w:rPr>
          <w:vertAlign w:val="superscript"/>
        </w:rPr>
        <w:footnoteReference w:id="8"/>
      </w:r>
      <w:r w:rsidR="00C31BC1" w:rsidRPr="00B54541">
        <w:t xml:space="preserve"> </w:t>
      </w:r>
      <w:r w:rsidRPr="00B54541">
        <w:t xml:space="preserve">This approach is consistent with Scientific Advice provided by CHMP and the revised </w:t>
      </w:r>
      <w:r w:rsidR="003C448B" w:rsidRPr="003C448B">
        <w:t xml:space="preserve">Guideline on Non-clinical and Clinical Development of Similar Biological Medicinal Products Containing Low Molecular-Weight-Heparins </w:t>
      </w:r>
      <w:r w:rsidRPr="00B54541">
        <w:t>adopted by CHMP in 2016.</w:t>
      </w:r>
      <w:r w:rsidR="00881A70" w:rsidRPr="00881A70">
        <w:rPr>
          <w:vertAlign w:val="superscript"/>
        </w:rPr>
        <w:fldChar w:fldCharType="begin"/>
      </w:r>
      <w:r w:rsidR="00881A70" w:rsidRPr="00881A70">
        <w:rPr>
          <w:vertAlign w:val="superscript"/>
        </w:rPr>
        <w:instrText xml:space="preserve"> NOTEREF _Ref153809362 \h </w:instrText>
      </w:r>
      <w:r w:rsidR="00881A70">
        <w:rPr>
          <w:vertAlign w:val="superscript"/>
        </w:rPr>
        <w:instrText xml:space="preserve"> \* MERGEFORMAT </w:instrText>
      </w:r>
      <w:r w:rsidR="00881A70" w:rsidRPr="00881A70">
        <w:rPr>
          <w:vertAlign w:val="superscript"/>
        </w:rPr>
      </w:r>
      <w:r w:rsidR="00881A70" w:rsidRPr="00881A70">
        <w:rPr>
          <w:vertAlign w:val="superscript"/>
        </w:rPr>
        <w:fldChar w:fldCharType="separate"/>
      </w:r>
      <w:r w:rsidR="0075357A">
        <w:rPr>
          <w:vertAlign w:val="superscript"/>
        </w:rPr>
        <w:t>5</w:t>
      </w:r>
      <w:r w:rsidR="00881A70" w:rsidRPr="00881A70">
        <w:rPr>
          <w:vertAlign w:val="superscript"/>
        </w:rPr>
        <w:fldChar w:fldCharType="end"/>
      </w:r>
      <w:r w:rsidR="00C31BC1" w:rsidRPr="00B54541">
        <w:t xml:space="preserve"> </w:t>
      </w:r>
      <w:r w:rsidRPr="00B54541">
        <w:t xml:space="preserve">The </w:t>
      </w:r>
      <w:r w:rsidR="005E70D7" w:rsidRPr="00B54541">
        <w:t>sponsor</w:t>
      </w:r>
      <w:r w:rsidRPr="00B54541">
        <w:t>’s justification for extrapolating the PK/PD findings from Study 411/13 for the 40</w:t>
      </w:r>
      <w:r w:rsidR="00997530" w:rsidRPr="00B54541">
        <w:t> </w:t>
      </w:r>
      <w:r w:rsidRPr="00B54541">
        <w:t>mg/0.4 mL strength to the other proposed strengths and the 150 mg/mL formulation is acceptable.</w:t>
      </w:r>
    </w:p>
    <w:p w14:paraId="02AD694D" w14:textId="602D2070" w:rsidR="00533BEC" w:rsidRPr="00B54541" w:rsidRDefault="00533BEC" w:rsidP="00031184">
      <w:r w:rsidRPr="00B54541">
        <w:t xml:space="preserve">No clinical efficacy and safety study comparing </w:t>
      </w:r>
      <w:r w:rsidR="003601A5" w:rsidRPr="00B54541">
        <w:t>Exarane</w:t>
      </w:r>
      <w:r w:rsidRPr="00B54541">
        <w:t xml:space="preserve"> to </w:t>
      </w:r>
      <w:r w:rsidR="003601A5" w:rsidRPr="00B54541">
        <w:t>Clexane</w:t>
      </w:r>
      <w:r w:rsidRPr="00B54541">
        <w:t xml:space="preserve"> has been conducted.</w:t>
      </w:r>
      <w:r w:rsidR="00C31BC1" w:rsidRPr="00B54541">
        <w:t xml:space="preserve"> </w:t>
      </w:r>
      <w:r w:rsidRPr="00B54541">
        <w:t>Comparative safety data are limited to the randomised, open-label, single-dose, 2-way cross</w:t>
      </w:r>
      <w:r w:rsidR="004C7FC0" w:rsidRPr="00B54541">
        <w:noBreakHyphen/>
      </w:r>
      <w:r w:rsidRPr="00B54541">
        <w:t>over PK/PD study in 20 healthy subjects.</w:t>
      </w:r>
      <w:r w:rsidR="00C31BC1" w:rsidRPr="00B54541">
        <w:t xml:space="preserve"> </w:t>
      </w:r>
      <w:r w:rsidRPr="00B54541">
        <w:rPr>
          <w:i/>
          <w:iCs/>
        </w:rPr>
        <w:t>In vitro</w:t>
      </w:r>
      <w:r w:rsidRPr="00B54541">
        <w:t xml:space="preserve"> immunogenicity studies showed no differences in </w:t>
      </w:r>
      <w:r w:rsidRPr="00B54541">
        <w:rPr>
          <w:i/>
          <w:iCs/>
        </w:rPr>
        <w:t>in vitro</w:t>
      </w:r>
      <w:r w:rsidRPr="00B54541">
        <w:t xml:space="preserve"> immunogenicity between </w:t>
      </w:r>
      <w:r w:rsidR="003601A5" w:rsidRPr="00B54541">
        <w:t>Exarane</w:t>
      </w:r>
      <w:r w:rsidRPr="00B54541">
        <w:t xml:space="preserve"> and </w:t>
      </w:r>
      <w:r w:rsidR="003601A5" w:rsidRPr="00B54541">
        <w:t>Clexane</w:t>
      </w:r>
      <w:r w:rsidRPr="00B54541">
        <w:t xml:space="preserve"> in terms of binding PF4, effect on PF4 structure, formation of PF4-enoxaparin </w:t>
      </w:r>
      <w:r w:rsidR="0080528E" w:rsidRPr="00B54541">
        <w:t xml:space="preserve">ultra large complexes </w:t>
      </w:r>
      <w:r w:rsidRPr="00B54541">
        <w:t xml:space="preserve">and </w:t>
      </w:r>
      <w:r w:rsidR="0080528E" w:rsidRPr="00B54541">
        <w:t xml:space="preserve">size of the </w:t>
      </w:r>
      <w:r w:rsidRPr="00B54541">
        <w:t xml:space="preserve">complexes, as well as the </w:t>
      </w:r>
      <w:r w:rsidRPr="00B54541">
        <w:rPr>
          <w:i/>
          <w:iCs/>
        </w:rPr>
        <w:t>in vitro</w:t>
      </w:r>
      <w:r w:rsidRPr="00B54541">
        <w:t xml:space="preserve"> immunogenic activity of PF4-enoxaparin complexes on peripheral blood mononuclear cells and on cultured human umbilical vein endothelial cells.</w:t>
      </w:r>
    </w:p>
    <w:p w14:paraId="51AD6DC3" w14:textId="68E53091" w:rsidR="00533BEC" w:rsidRPr="00B54541" w:rsidRDefault="00533BEC" w:rsidP="00031184">
      <w:r w:rsidRPr="00B54541">
        <w:t xml:space="preserve">A conclusion of similar efficacy and safety is based on similarity to </w:t>
      </w:r>
      <w:r w:rsidR="003601A5" w:rsidRPr="00B54541">
        <w:t>Clexane</w:t>
      </w:r>
      <w:r w:rsidRPr="00B54541">
        <w:t xml:space="preserve"> with regard to physicochemical properties, biological function, and PD equivalence, supported by the </w:t>
      </w:r>
      <w:r w:rsidRPr="00B54541">
        <w:rPr>
          <w:i/>
          <w:iCs/>
        </w:rPr>
        <w:t>in vitro</w:t>
      </w:r>
      <w:r w:rsidRPr="00B54541">
        <w:t xml:space="preserve"> immunogenicity findings.</w:t>
      </w:r>
      <w:r w:rsidR="00C31BC1" w:rsidRPr="00B54541">
        <w:t xml:space="preserve"> </w:t>
      </w:r>
      <w:r w:rsidRPr="00B54541">
        <w:t xml:space="preserve">This approach is consistent with the revised </w:t>
      </w:r>
      <w:r w:rsidR="00881A70" w:rsidRPr="00881A70">
        <w:t xml:space="preserve">), Guideline on Non-clinical and Clinical Development of Similar Biological Medicinal Products Containing Low Molecular-Weight-Heparins </w:t>
      </w:r>
      <w:r w:rsidRPr="00B54541">
        <w:t>adopted by the CHMP/EMA in 2016,</w:t>
      </w:r>
      <w:r w:rsidR="00D6104B" w:rsidRPr="00D6104B">
        <w:rPr>
          <w:vertAlign w:val="superscript"/>
        </w:rPr>
        <w:fldChar w:fldCharType="begin"/>
      </w:r>
      <w:r w:rsidR="00D6104B" w:rsidRPr="00D6104B">
        <w:rPr>
          <w:vertAlign w:val="superscript"/>
        </w:rPr>
        <w:instrText xml:space="preserve"> NOTEREF _Ref153868691 \h </w:instrText>
      </w:r>
      <w:r w:rsidR="00D6104B">
        <w:rPr>
          <w:vertAlign w:val="superscript"/>
        </w:rPr>
        <w:instrText xml:space="preserve"> \* MERGEFORMAT </w:instrText>
      </w:r>
      <w:r w:rsidR="00D6104B" w:rsidRPr="00D6104B">
        <w:rPr>
          <w:vertAlign w:val="superscript"/>
        </w:rPr>
      </w:r>
      <w:r w:rsidR="00D6104B" w:rsidRPr="00D6104B">
        <w:rPr>
          <w:vertAlign w:val="superscript"/>
        </w:rPr>
        <w:fldChar w:fldCharType="separate"/>
      </w:r>
      <w:r w:rsidR="0075357A">
        <w:rPr>
          <w:vertAlign w:val="superscript"/>
        </w:rPr>
        <w:t>6</w:t>
      </w:r>
      <w:r w:rsidR="00D6104B" w:rsidRPr="00D6104B">
        <w:rPr>
          <w:vertAlign w:val="superscript"/>
        </w:rPr>
        <w:fldChar w:fldCharType="end"/>
      </w:r>
      <w:r w:rsidR="00D6104B" w:rsidRPr="00D6104B">
        <w:rPr>
          <w:vertAlign w:val="superscript"/>
        </w:rPr>
        <w:t>,</w:t>
      </w:r>
      <w:r w:rsidR="00881A70" w:rsidRPr="00D6104B">
        <w:rPr>
          <w:vertAlign w:val="superscript"/>
        </w:rPr>
        <w:footnoteReference w:id="9"/>
      </w:r>
      <w:r w:rsidRPr="00B54541">
        <w:t xml:space="preserve"> as well as the 2014 Guideline </w:t>
      </w:r>
      <w:r w:rsidRPr="00B54541">
        <w:lastRenderedPageBreak/>
        <w:t>on similar biological medicinal products.</w:t>
      </w:r>
      <w:r w:rsidRPr="00B54541">
        <w:rPr>
          <w:vertAlign w:val="superscript"/>
        </w:rPr>
        <w:footnoteReference w:id="10"/>
      </w:r>
      <w:r w:rsidR="00C31BC1" w:rsidRPr="00B54541">
        <w:t xml:space="preserve"> </w:t>
      </w:r>
      <w:r w:rsidRPr="00B54541">
        <w:t xml:space="preserve">In contrast, the original guideline for the development of </w:t>
      </w:r>
      <w:r w:rsidR="006279AB" w:rsidRPr="00B54541">
        <w:t>low molecular weight heparin</w:t>
      </w:r>
      <w:r w:rsidRPr="00B54541">
        <w:t xml:space="preserve"> biosimilars adopted in 2009</w:t>
      </w:r>
      <w:bookmarkStart w:id="63" w:name="_Ref153869092"/>
      <w:r w:rsidR="00F03404">
        <w:rPr>
          <w:rStyle w:val="FootnoteReference"/>
        </w:rPr>
        <w:footnoteReference w:id="11"/>
      </w:r>
      <w:bookmarkEnd w:id="63"/>
      <w:r w:rsidRPr="00B54541">
        <w:t xml:space="preserve"> required a comparative efficacy and safety study.</w:t>
      </w:r>
    </w:p>
    <w:p w14:paraId="0558B3ED" w14:textId="7C60C736" w:rsidR="00533BEC" w:rsidRDefault="00533BEC" w:rsidP="00031184">
      <w:r w:rsidRPr="00B54541">
        <w:t xml:space="preserve">The regulatory history of enoxaparin in Australia, including the registration of </w:t>
      </w:r>
      <w:r w:rsidR="003601A5" w:rsidRPr="00B54541">
        <w:t>Enoxapo</w:t>
      </w:r>
      <w:r w:rsidRPr="00B54541">
        <w:t xml:space="preserve"> as the first enoxaparin biosimilar in Australia, is relevant to this application.</w:t>
      </w:r>
      <w:r w:rsidR="00C31BC1" w:rsidRPr="00B54541">
        <w:t xml:space="preserve"> </w:t>
      </w:r>
      <w:r w:rsidRPr="00B54541">
        <w:t xml:space="preserve">Following a long and complicated process, </w:t>
      </w:r>
      <w:r w:rsidR="003601A5" w:rsidRPr="00B54541">
        <w:t>Enoxapo</w:t>
      </w:r>
      <w:r w:rsidRPr="00B54541">
        <w:t xml:space="preserve"> was approved without a comparative efficacy and safety study.</w:t>
      </w:r>
      <w:r w:rsidR="00C31BC1" w:rsidRPr="00B54541">
        <w:t xml:space="preserve"> </w:t>
      </w:r>
      <w:r w:rsidRPr="00B54541">
        <w:t xml:space="preserve">The regulatory history for </w:t>
      </w:r>
      <w:r w:rsidR="003601A5" w:rsidRPr="00B54541">
        <w:t>Enoxapo</w:t>
      </w:r>
      <w:r w:rsidRPr="00B54541">
        <w:t xml:space="preserve"> is outlined and described in further detail in the </w:t>
      </w:r>
      <w:proofErr w:type="spellStart"/>
      <w:r w:rsidR="003601A5" w:rsidRPr="00B54541">
        <w:t>Enoxapo</w:t>
      </w:r>
      <w:proofErr w:type="spellEnd"/>
      <w:r w:rsidRPr="00B54541">
        <w:t xml:space="preserve"> AusPAR.</w:t>
      </w:r>
      <w:r w:rsidR="00D8397E" w:rsidRPr="00D8397E">
        <w:rPr>
          <w:vertAlign w:val="superscript"/>
        </w:rPr>
        <w:fldChar w:fldCharType="begin"/>
      </w:r>
      <w:r w:rsidR="00D8397E" w:rsidRPr="00D8397E">
        <w:rPr>
          <w:vertAlign w:val="superscript"/>
        </w:rPr>
        <w:instrText xml:space="preserve"> NOTEREF _Ref153868691 \h </w:instrText>
      </w:r>
      <w:r w:rsidR="00D8397E">
        <w:rPr>
          <w:vertAlign w:val="superscript"/>
        </w:rPr>
        <w:instrText xml:space="preserve"> \* MERGEFORMAT </w:instrText>
      </w:r>
      <w:r w:rsidR="00D8397E" w:rsidRPr="00D8397E">
        <w:rPr>
          <w:vertAlign w:val="superscript"/>
        </w:rPr>
      </w:r>
      <w:r w:rsidR="00D8397E" w:rsidRPr="00D8397E">
        <w:rPr>
          <w:vertAlign w:val="superscript"/>
        </w:rPr>
        <w:fldChar w:fldCharType="separate"/>
      </w:r>
      <w:r w:rsidR="0075357A">
        <w:rPr>
          <w:vertAlign w:val="superscript"/>
        </w:rPr>
        <w:t>6</w:t>
      </w:r>
      <w:r w:rsidR="00D8397E" w:rsidRPr="00D8397E">
        <w:rPr>
          <w:vertAlign w:val="superscript"/>
        </w:rPr>
        <w:fldChar w:fldCharType="end"/>
      </w:r>
      <w:r w:rsidR="00C31BC1" w:rsidRPr="00B54541">
        <w:t xml:space="preserve"> </w:t>
      </w:r>
      <w:r w:rsidRPr="00B54541">
        <w:t xml:space="preserve">It is noted that the decision of the Delegate to set aside the original decision and make a substitute decision to register </w:t>
      </w:r>
      <w:r w:rsidR="003601A5" w:rsidRPr="00B54541">
        <w:t>Enoxapo</w:t>
      </w:r>
      <w:r w:rsidRPr="00B54541">
        <w:t xml:space="preserve"> included the following reasons which are pertinent to the assessment of efficacy and safety in the current application:</w:t>
      </w:r>
    </w:p>
    <w:p w14:paraId="5EF1A725" w14:textId="395827FA" w:rsidR="00FD79F5" w:rsidRPr="00B550E8" w:rsidRDefault="00B550E8" w:rsidP="00B550E8">
      <w:pPr>
        <w:ind w:left="720"/>
        <w:rPr>
          <w:i/>
          <w:iCs/>
        </w:rPr>
      </w:pPr>
      <w:r>
        <w:rPr>
          <w:i/>
          <w:iCs/>
        </w:rPr>
        <w:t>‘</w:t>
      </w:r>
      <w:r w:rsidR="00A36AB8" w:rsidRPr="00B550E8">
        <w:rPr>
          <w:i/>
          <w:iCs/>
        </w:rPr>
        <w:t>Subsequent to the adoption by the TGA of the EMA guideline document, EMEA/CHMP/BMWP/118264/2007 Guideline on non-clinical and clinical development of similar biological medicinal products containing low-molecular-weight-heparins</w:t>
      </w:r>
      <w:r w:rsidR="00F50792" w:rsidRPr="00B550E8">
        <w:rPr>
          <w:i/>
          <w:iCs/>
        </w:rPr>
        <w:t xml:space="preserve"> </w:t>
      </w:r>
      <w:r w:rsidR="00A36AB8" w:rsidRPr="00B550E8">
        <w:rPr>
          <w:i/>
          <w:iCs/>
        </w:rPr>
        <w:t>there have been advances in the field of physicochemical characterisation such that convincing analytical data can substitute for clinical data, at least for clinical efficacy in some cases</w:t>
      </w:r>
      <w:r w:rsidR="00D76AA5" w:rsidRPr="00B550E8">
        <w:rPr>
          <w:i/>
          <w:iCs/>
        </w:rPr>
        <w:t>.</w:t>
      </w:r>
    </w:p>
    <w:p w14:paraId="38DCAB0E" w14:textId="560DFA5C" w:rsidR="00FD79F5" w:rsidRPr="00B550E8" w:rsidRDefault="00FD79F5" w:rsidP="00B550E8">
      <w:pPr>
        <w:ind w:left="720"/>
        <w:rPr>
          <w:i/>
          <w:iCs/>
        </w:rPr>
      </w:pPr>
      <w:r w:rsidRPr="00B550E8">
        <w:rPr>
          <w:i/>
          <w:iCs/>
        </w:rPr>
        <w:t>In keeping with those advances, the EMA guidance document was revised.  As part of that revision clinical data requirements were amended such that clinical trial data is no longer considered essential, providing similarity of physicochemical characteristics of the biosimilar and the reference LMWH has been convincingly shown and similar efficacy and safety can be ensured by other means.</w:t>
      </w:r>
    </w:p>
    <w:p w14:paraId="5A463200" w14:textId="05A99CDD" w:rsidR="004E76AE" w:rsidRPr="00B550E8" w:rsidRDefault="004E76AE" w:rsidP="00B550E8">
      <w:pPr>
        <w:ind w:left="720"/>
        <w:rPr>
          <w:i/>
          <w:iCs/>
        </w:rPr>
      </w:pPr>
      <w:r w:rsidRPr="00B550E8">
        <w:rPr>
          <w:i/>
          <w:iCs/>
        </w:rPr>
        <w:t>Consistent with the TGA’s approach to revisions to EMA guidelines that the TGA has previously adopted, the Delegate considers that the revised guideline should also be adopted by the TGA, and that its recommendations should apply to this application to register Apotex’s enoxaparin sodium. The Delegate notes that the TGA has taken no view to date on the revised EMA guideline, and that no objections to the guideline revisions have been expressed by the TGA.</w:t>
      </w:r>
    </w:p>
    <w:p w14:paraId="61B8C6C2" w14:textId="32600336" w:rsidR="00533BEC" w:rsidRPr="00B550E8" w:rsidRDefault="00CE6754" w:rsidP="00B550E8">
      <w:pPr>
        <w:ind w:left="720"/>
        <w:rPr>
          <w:i/>
          <w:iCs/>
        </w:rPr>
      </w:pPr>
      <w:r w:rsidRPr="00B550E8">
        <w:rPr>
          <w:i/>
          <w:iCs/>
        </w:rPr>
        <w:t>Having regard to the recommendations in the revised EMA guideline, the Delegate does not consider that a clinical trial to demonstrate efficacy and safety of the revised formulation is required to conclude biosimilarity of Apotex’s enoxaparin sodium with Clexane.</w:t>
      </w:r>
    </w:p>
    <w:p w14:paraId="08ADF8BD" w14:textId="188479DA" w:rsidR="00533BEC" w:rsidRPr="00B550E8" w:rsidRDefault="00B550E8" w:rsidP="00112BD6">
      <w:pPr>
        <w:pageBreakBefore/>
        <w:ind w:left="720"/>
        <w:rPr>
          <w:i/>
          <w:iCs/>
        </w:rPr>
      </w:pPr>
      <w:r w:rsidRPr="00B550E8">
        <w:rPr>
          <w:i/>
          <w:iCs/>
        </w:rPr>
        <w:lastRenderedPageBreak/>
        <w:t>The requirements of the revised EMEA/CHMP/BMWP/118264/2007 Rev 1 Guideline on non-clinical and clinical development of similar biological medicinal products containing low-molecular-weight-heparins are consistent with those of the TGA adopted guideline CHMP/437/04 Rev 1 Guideline on similar biological medicinal products in that in neither document is there an absolute requirement for a comparative clinical safety and efficacy assessment for a biosimilar product. This is dependent whether similar efficacy and safety can clearly be deduced from the similarity of physicochemical characteristics, biological activity/potency, and pharmacokinetic and/or pharmacodynamic profiles of the biosimilar and the reference product. In addition, it requires that the impurity profile and the nature of excipients of the biosimilar itself do not give rise to concern.</w:t>
      </w:r>
      <w:r>
        <w:rPr>
          <w:i/>
          <w:iCs/>
        </w:rPr>
        <w:t>’</w:t>
      </w:r>
    </w:p>
    <w:p w14:paraId="5B9DB314" w14:textId="106571DB" w:rsidR="00533BEC" w:rsidRPr="00B54541" w:rsidRDefault="00533BEC" w:rsidP="00031184">
      <w:r w:rsidRPr="00B54541">
        <w:t xml:space="preserve">Overall, the submitted data support a conclusion of biosimilarity of </w:t>
      </w:r>
      <w:r w:rsidR="003601A5" w:rsidRPr="00B54541">
        <w:t>Exarane</w:t>
      </w:r>
      <w:r w:rsidRPr="00B54541">
        <w:t xml:space="preserve"> to </w:t>
      </w:r>
      <w:r w:rsidR="003601A5" w:rsidRPr="00B54541">
        <w:t>Clexane</w:t>
      </w:r>
      <w:r w:rsidRPr="00B54541">
        <w:t xml:space="preserve"> based on similarity of physicochemical and functional properties, and equivalence of PD parameters.</w:t>
      </w:r>
    </w:p>
    <w:p w14:paraId="4BEBF981" w14:textId="77777777" w:rsidR="00533BEC" w:rsidRPr="00B54541" w:rsidRDefault="00533BEC" w:rsidP="00533BEC">
      <w:pPr>
        <w:pStyle w:val="Heading4"/>
        <w:rPr>
          <w:lang w:eastAsia="ja-JP"/>
        </w:rPr>
      </w:pPr>
      <w:bookmarkStart w:id="64" w:name="_Toc160184697"/>
      <w:r w:rsidRPr="00B54541">
        <w:rPr>
          <w:lang w:eastAsia="ja-JP"/>
        </w:rPr>
        <w:t>Limitations of the data</w:t>
      </w:r>
      <w:bookmarkEnd w:id="64"/>
    </w:p>
    <w:p w14:paraId="36CFB1A4" w14:textId="17BA8634" w:rsidR="00533BEC" w:rsidRPr="00B54541" w:rsidRDefault="00533BEC" w:rsidP="00031184">
      <w:r w:rsidRPr="00B54541">
        <w:t>A comparative clinical efficacy and safety study was not conducted.</w:t>
      </w:r>
      <w:r w:rsidR="00C31BC1" w:rsidRPr="00B54541">
        <w:t xml:space="preserve"> </w:t>
      </w:r>
      <w:r w:rsidRPr="00B54541">
        <w:t>The</w:t>
      </w:r>
      <w:r w:rsidR="00C31BC1" w:rsidRPr="00B54541">
        <w:t xml:space="preserve"> </w:t>
      </w:r>
      <w:r w:rsidRPr="00B54541">
        <w:t>CHMP Guideline on Non</w:t>
      </w:r>
      <w:r w:rsidR="007774D4">
        <w:noBreakHyphen/>
        <w:t>c</w:t>
      </w:r>
      <w:r w:rsidRPr="00B54541">
        <w:t>linical and Clinical Development of Similar Biological Medicinal Products containing Low Molecular Weight Heparins adopted in 2009</w:t>
      </w:r>
      <w:r w:rsidR="001821B6" w:rsidRPr="001821B6">
        <w:rPr>
          <w:vertAlign w:val="superscript"/>
        </w:rPr>
        <w:fldChar w:fldCharType="begin"/>
      </w:r>
      <w:r w:rsidR="001821B6" w:rsidRPr="001821B6">
        <w:rPr>
          <w:vertAlign w:val="superscript"/>
        </w:rPr>
        <w:instrText xml:space="preserve"> NOTEREF _Ref153869092 \h </w:instrText>
      </w:r>
      <w:r w:rsidR="001821B6">
        <w:rPr>
          <w:vertAlign w:val="superscript"/>
        </w:rPr>
        <w:instrText xml:space="preserve"> \* MERGEFORMAT </w:instrText>
      </w:r>
      <w:r w:rsidR="001821B6" w:rsidRPr="001821B6">
        <w:rPr>
          <w:vertAlign w:val="superscript"/>
        </w:rPr>
      </w:r>
      <w:r w:rsidR="001821B6" w:rsidRPr="001821B6">
        <w:rPr>
          <w:vertAlign w:val="superscript"/>
        </w:rPr>
        <w:fldChar w:fldCharType="separate"/>
      </w:r>
      <w:r w:rsidR="0075357A">
        <w:rPr>
          <w:vertAlign w:val="superscript"/>
        </w:rPr>
        <w:t>11</w:t>
      </w:r>
      <w:r w:rsidR="001821B6" w:rsidRPr="001821B6">
        <w:rPr>
          <w:vertAlign w:val="superscript"/>
        </w:rPr>
        <w:fldChar w:fldCharType="end"/>
      </w:r>
      <w:r w:rsidRPr="00B54541">
        <w:t xml:space="preserve"> required a comparative efficacy and safety study to support a conclusion of biosimilarity, but the revised guideline adopted by CHMP in 2016</w:t>
      </w:r>
      <w:r w:rsidR="00624735" w:rsidRPr="00624735">
        <w:rPr>
          <w:vertAlign w:val="superscript"/>
        </w:rPr>
        <w:fldChar w:fldCharType="begin"/>
      </w:r>
      <w:r w:rsidR="00624735" w:rsidRPr="00624735">
        <w:rPr>
          <w:vertAlign w:val="superscript"/>
        </w:rPr>
        <w:instrText xml:space="preserve"> NOTEREF _Ref153809362 \h </w:instrText>
      </w:r>
      <w:r w:rsidR="00624735">
        <w:rPr>
          <w:vertAlign w:val="superscript"/>
        </w:rPr>
        <w:instrText xml:space="preserve"> \* MERGEFORMAT </w:instrText>
      </w:r>
      <w:r w:rsidR="00624735" w:rsidRPr="00624735">
        <w:rPr>
          <w:vertAlign w:val="superscript"/>
        </w:rPr>
      </w:r>
      <w:r w:rsidR="00624735" w:rsidRPr="00624735">
        <w:rPr>
          <w:vertAlign w:val="superscript"/>
        </w:rPr>
        <w:fldChar w:fldCharType="separate"/>
      </w:r>
      <w:r w:rsidR="0075357A">
        <w:rPr>
          <w:vertAlign w:val="superscript"/>
        </w:rPr>
        <w:t>5</w:t>
      </w:r>
      <w:r w:rsidR="00624735" w:rsidRPr="00624735">
        <w:rPr>
          <w:vertAlign w:val="superscript"/>
        </w:rPr>
        <w:fldChar w:fldCharType="end"/>
      </w:r>
      <w:r w:rsidRPr="00B54541">
        <w:t xml:space="preserve"> has removed the requirement for a comparative efficacy and safety study provided that biosimilarity is demonstrated in physicochemical, functional and PD comparisons, and the impurity profile and the nature of the excipients do not create uncertainties with regard to their impact on safety and immunogenicity.</w:t>
      </w:r>
    </w:p>
    <w:p w14:paraId="58DEAA02" w14:textId="1ECD94A9" w:rsidR="00533BEC" w:rsidRPr="00B54541" w:rsidRDefault="00533BEC" w:rsidP="00031184">
      <w:r w:rsidRPr="00B54541">
        <w:t xml:space="preserve">The lack of clinical immunogenicity data was addressed by submitting an enhanced assay strategy evaluating the immunogenic potential of </w:t>
      </w:r>
      <w:r w:rsidR="003601A5" w:rsidRPr="00B54541">
        <w:t>Exarane</w:t>
      </w:r>
      <w:r w:rsidRPr="00B54541">
        <w:t xml:space="preserve"> compared to </w:t>
      </w:r>
      <w:r w:rsidR="003601A5" w:rsidRPr="00B54541">
        <w:t>Clexane</w:t>
      </w:r>
      <w:r w:rsidRPr="00B54541">
        <w:t xml:space="preserve"> across a comprehensive range of </w:t>
      </w:r>
      <w:r w:rsidRPr="00B54541">
        <w:rPr>
          <w:i/>
          <w:iCs/>
        </w:rPr>
        <w:t>in vitro</w:t>
      </w:r>
      <w:r w:rsidRPr="00B54541">
        <w:t xml:space="preserve"> studies.</w:t>
      </w:r>
    </w:p>
    <w:p w14:paraId="712CE8DD" w14:textId="77777777" w:rsidR="00533BEC" w:rsidRPr="00B54541" w:rsidRDefault="00533BEC" w:rsidP="00533BEC">
      <w:pPr>
        <w:pStyle w:val="Heading4"/>
      </w:pPr>
      <w:bookmarkStart w:id="65" w:name="_Toc160184698"/>
      <w:r w:rsidRPr="00B54541">
        <w:t>Proposed Indications</w:t>
      </w:r>
      <w:bookmarkEnd w:id="65"/>
    </w:p>
    <w:p w14:paraId="62EE53D4" w14:textId="4558042E" w:rsidR="00533BEC" w:rsidRPr="00B54541" w:rsidRDefault="00533BEC" w:rsidP="00031184">
      <w:r w:rsidRPr="00B54541">
        <w:t xml:space="preserve">The proposed indications are the same as the reference product, </w:t>
      </w:r>
      <w:r w:rsidR="003601A5" w:rsidRPr="00B54541">
        <w:t>Clexane</w:t>
      </w:r>
      <w:r w:rsidRPr="00B54541">
        <w:t>.</w:t>
      </w:r>
      <w:r w:rsidR="00C31BC1" w:rsidRPr="00B54541">
        <w:t xml:space="preserve"> </w:t>
      </w:r>
      <w:r w:rsidRPr="00B54541">
        <w:t xml:space="preserve">The demonstration of biosimilarity supports the use of </w:t>
      </w:r>
      <w:r w:rsidR="003601A5" w:rsidRPr="00B54541">
        <w:t>Exarane</w:t>
      </w:r>
      <w:r w:rsidRPr="00B54541">
        <w:t xml:space="preserve"> in all of the indications approved for </w:t>
      </w:r>
      <w:r w:rsidR="003601A5" w:rsidRPr="00B54541">
        <w:t>Clexane</w:t>
      </w:r>
      <w:r w:rsidRPr="00B54541">
        <w:t>, including indications involving alternative routes of administration (intravenous or into the arterial line of the dialysis circuit).</w:t>
      </w:r>
    </w:p>
    <w:p w14:paraId="3916F296" w14:textId="77777777" w:rsidR="00C22214" w:rsidRPr="00B54541" w:rsidRDefault="00C22214" w:rsidP="00C22214">
      <w:pPr>
        <w:pStyle w:val="Heading4"/>
      </w:pPr>
      <w:bookmarkStart w:id="66" w:name="_Toc98931933"/>
      <w:bookmarkStart w:id="67" w:name="_Toc160184699"/>
      <w:r w:rsidRPr="00B54541">
        <w:t>Proposed action</w:t>
      </w:r>
      <w:bookmarkEnd w:id="66"/>
      <w:bookmarkEnd w:id="67"/>
    </w:p>
    <w:p w14:paraId="07931F13" w14:textId="1DD552A8" w:rsidR="00562D70" w:rsidRPr="00B54541" w:rsidRDefault="00562D70" w:rsidP="00031184">
      <w:r w:rsidRPr="00B54541">
        <w:t xml:space="preserve">The submitted data support a conclusion of biosimilarity of </w:t>
      </w:r>
      <w:r w:rsidR="003601A5" w:rsidRPr="00B54541">
        <w:t>Exarane</w:t>
      </w:r>
      <w:r w:rsidRPr="00B54541">
        <w:t xml:space="preserve"> to </w:t>
      </w:r>
      <w:r w:rsidR="003601A5" w:rsidRPr="00B54541">
        <w:t>Clexane</w:t>
      </w:r>
      <w:r w:rsidRPr="00B54541">
        <w:t xml:space="preserve"> based on similarity of physicochemical and functional characteristics, and equivalence of PD parameters.</w:t>
      </w:r>
      <w:r w:rsidR="00C31BC1" w:rsidRPr="00B54541">
        <w:t xml:space="preserve"> </w:t>
      </w:r>
      <w:r w:rsidRPr="00B54541">
        <w:t xml:space="preserve">There is no clinical study comparing the efficacy and safety of </w:t>
      </w:r>
      <w:r w:rsidR="003601A5" w:rsidRPr="00B54541">
        <w:t>Exarane</w:t>
      </w:r>
      <w:r w:rsidRPr="00B54541">
        <w:t xml:space="preserve"> to </w:t>
      </w:r>
      <w:r w:rsidR="003601A5" w:rsidRPr="00B54541">
        <w:t>Clexane</w:t>
      </w:r>
      <w:r w:rsidRPr="00B54541">
        <w:t xml:space="preserve">, but </w:t>
      </w:r>
      <w:r w:rsidR="00A01EC9" w:rsidRPr="00B54541">
        <w:t>the Delegate is</w:t>
      </w:r>
      <w:r w:rsidRPr="00B54541">
        <w:t xml:space="preserve"> satisfied that the efficacy and safety of </w:t>
      </w:r>
      <w:r w:rsidR="003601A5" w:rsidRPr="00B54541">
        <w:t>Exarane</w:t>
      </w:r>
      <w:r w:rsidRPr="00B54541">
        <w:t xml:space="preserve"> are expected to be similar to </w:t>
      </w:r>
      <w:r w:rsidR="003601A5" w:rsidRPr="00B54541">
        <w:t>Clexane</w:t>
      </w:r>
      <w:r w:rsidRPr="00B54541">
        <w:t xml:space="preserve"> based on the submitted dataset demonstrating biosimilarity.</w:t>
      </w:r>
      <w:r w:rsidR="00C31BC1" w:rsidRPr="00B54541">
        <w:t xml:space="preserve"> </w:t>
      </w:r>
      <w:r w:rsidRPr="00B54541">
        <w:t xml:space="preserve">The revised CHMP guideline has not yet been formally adopted in Australia, but it was taken into consideration in the registration of </w:t>
      </w:r>
      <w:r w:rsidR="003601A5" w:rsidRPr="00B54541">
        <w:t>Enoxapo</w:t>
      </w:r>
      <w:r w:rsidRPr="00B54541">
        <w:t xml:space="preserve"> as the first enoxaparin biosimilar in Australia, and </w:t>
      </w:r>
      <w:r w:rsidR="00A01EC9" w:rsidRPr="00B54541">
        <w:t xml:space="preserve">the Delegate is </w:t>
      </w:r>
      <w:r w:rsidRPr="00B54541">
        <w:t xml:space="preserve">satisfied that it is a relevant consideration in the assessment of the biosimilarity of </w:t>
      </w:r>
      <w:r w:rsidR="003601A5" w:rsidRPr="00B54541">
        <w:t>Exarane</w:t>
      </w:r>
      <w:r w:rsidRPr="00B54541">
        <w:t xml:space="preserve"> to </w:t>
      </w:r>
      <w:r w:rsidR="003601A5" w:rsidRPr="00B54541">
        <w:t>Clexane</w:t>
      </w:r>
      <w:r w:rsidRPr="00B54541">
        <w:t>.</w:t>
      </w:r>
    </w:p>
    <w:p w14:paraId="6D238ADD" w14:textId="17526AF4" w:rsidR="00562D70" w:rsidRPr="00B54541" w:rsidRDefault="00562D70" w:rsidP="00562D70">
      <w:r w:rsidRPr="00B54541">
        <w:t xml:space="preserve">The outstanding GMP issues </w:t>
      </w:r>
      <w:r w:rsidR="00A01EC9" w:rsidRPr="00B54541">
        <w:t>were</w:t>
      </w:r>
      <w:r w:rsidRPr="00B54541">
        <w:t xml:space="preserve"> resolved before this application </w:t>
      </w:r>
      <w:r w:rsidR="00A01EC9" w:rsidRPr="00B54541">
        <w:t>was</w:t>
      </w:r>
      <w:r w:rsidRPr="00B54541">
        <w:t xml:space="preserve"> approved.</w:t>
      </w:r>
    </w:p>
    <w:p w14:paraId="318CFABC" w14:textId="77777777" w:rsidR="00C22214" w:rsidRPr="00B54541" w:rsidRDefault="00C22214" w:rsidP="00C22214">
      <w:pPr>
        <w:pStyle w:val="Heading4"/>
      </w:pPr>
      <w:bookmarkStart w:id="68" w:name="_Toc98931936"/>
      <w:bookmarkStart w:id="69" w:name="_Toc160184700"/>
      <w:bookmarkStart w:id="70" w:name="_Toc247691532"/>
      <w:bookmarkStart w:id="71" w:name="_Toc314842516"/>
      <w:r w:rsidRPr="00B54541">
        <w:lastRenderedPageBreak/>
        <w:t>Advisory Committee considerations</w:t>
      </w:r>
      <w:bookmarkEnd w:id="68"/>
      <w:bookmarkEnd w:id="69"/>
    </w:p>
    <w:p w14:paraId="087BB9CB" w14:textId="50AF9522" w:rsidR="00C22214" w:rsidRPr="00B54541" w:rsidRDefault="00C22214" w:rsidP="00C22214">
      <w:pPr>
        <w:rPr>
          <w:bCs/>
          <w:szCs w:val="22"/>
        </w:rPr>
      </w:pPr>
      <w:r w:rsidRPr="00B54541">
        <w:rPr>
          <w:bCs/>
          <w:szCs w:val="22"/>
        </w:rPr>
        <w:t xml:space="preserve">The </w:t>
      </w:r>
      <w:hyperlink r:id="rId31" w:history="1">
        <w:r w:rsidRPr="00B54541">
          <w:rPr>
            <w:rStyle w:val="Hyperlink"/>
            <w:szCs w:val="22"/>
          </w:rPr>
          <w:t>Advisory Committee on Medicines (ACM)</w:t>
        </w:r>
      </w:hyperlink>
      <w:r w:rsidRPr="00B54541">
        <w:rPr>
          <w:szCs w:val="22"/>
        </w:rPr>
        <w:t>,</w:t>
      </w:r>
      <w:r w:rsidRPr="00B54541">
        <w:rPr>
          <w:bCs/>
          <w:szCs w:val="22"/>
        </w:rPr>
        <w:t xml:space="preserve"> having considered the evaluations and the Delegate’s overview, as well as the sponsor’s response to these documents, advised the following.</w:t>
      </w:r>
    </w:p>
    <w:p w14:paraId="0D935CC4" w14:textId="77777777" w:rsidR="00C22214" w:rsidRPr="00B54541" w:rsidRDefault="00C22214" w:rsidP="00C22214">
      <w:pPr>
        <w:pStyle w:val="Heading5"/>
      </w:pPr>
      <w:r w:rsidRPr="00B54541">
        <w:t>Specific advice to the Delegate</w:t>
      </w:r>
    </w:p>
    <w:p w14:paraId="6F2D762A" w14:textId="5BD244CC" w:rsidR="001B20BE" w:rsidRPr="00B54541" w:rsidRDefault="001B20BE" w:rsidP="001B20BE">
      <w:pPr>
        <w:pStyle w:val="Numberbullet0"/>
        <w:numPr>
          <w:ilvl w:val="0"/>
          <w:numId w:val="22"/>
        </w:numPr>
        <w:spacing w:after="120"/>
        <w:ind w:left="425" w:hanging="425"/>
        <w:rPr>
          <w:b/>
          <w:bCs/>
          <w:i/>
          <w:iCs/>
        </w:rPr>
      </w:pPr>
      <w:r w:rsidRPr="00B54541">
        <w:rPr>
          <w:b/>
          <w:bCs/>
          <w:i/>
          <w:iCs/>
        </w:rPr>
        <w:t xml:space="preserve">What is ACM’s advice regarding the adequacy of the submitted dataset to support a conclusion of similar efficacy and safety of </w:t>
      </w:r>
      <w:r w:rsidR="003601A5" w:rsidRPr="00B54541">
        <w:rPr>
          <w:b/>
          <w:bCs/>
          <w:i/>
          <w:iCs/>
        </w:rPr>
        <w:t>Exarane</w:t>
      </w:r>
      <w:r w:rsidRPr="00B54541">
        <w:rPr>
          <w:b/>
          <w:bCs/>
          <w:i/>
          <w:iCs/>
        </w:rPr>
        <w:t xml:space="preserve"> to </w:t>
      </w:r>
      <w:r w:rsidR="003601A5" w:rsidRPr="00B54541">
        <w:rPr>
          <w:b/>
          <w:bCs/>
          <w:i/>
          <w:iCs/>
        </w:rPr>
        <w:t>Clexane</w:t>
      </w:r>
      <w:r w:rsidRPr="00B54541">
        <w:rPr>
          <w:b/>
          <w:bCs/>
          <w:i/>
          <w:iCs/>
        </w:rPr>
        <w:t>?</w:t>
      </w:r>
    </w:p>
    <w:p w14:paraId="3E1B202B" w14:textId="4195A2A3" w:rsidR="001B20BE" w:rsidRPr="00B54541" w:rsidRDefault="001B20BE" w:rsidP="00031184">
      <w:r w:rsidRPr="00B54541">
        <w:t>The ACM considered the revised 2016 EMA guidance on nonclinical and clinical development of similar biological medicinal products containing low molecular weight heparins (EMEA/CHMP/BMWP/118264/2007 Rev. 1)</w:t>
      </w:r>
      <w:r w:rsidR="00E80766" w:rsidRPr="00E80766">
        <w:rPr>
          <w:vertAlign w:val="superscript"/>
        </w:rPr>
        <w:fldChar w:fldCharType="begin"/>
      </w:r>
      <w:r w:rsidR="00E80766" w:rsidRPr="00E80766">
        <w:rPr>
          <w:vertAlign w:val="superscript"/>
        </w:rPr>
        <w:instrText xml:space="preserve"> NOTEREF _Ref153809362 \h </w:instrText>
      </w:r>
      <w:r w:rsidR="00E80766">
        <w:rPr>
          <w:vertAlign w:val="superscript"/>
        </w:rPr>
        <w:instrText xml:space="preserve"> \* MERGEFORMAT </w:instrText>
      </w:r>
      <w:r w:rsidR="00E80766" w:rsidRPr="00E80766">
        <w:rPr>
          <w:vertAlign w:val="superscript"/>
        </w:rPr>
      </w:r>
      <w:r w:rsidR="00E80766" w:rsidRPr="00E80766">
        <w:rPr>
          <w:vertAlign w:val="superscript"/>
        </w:rPr>
        <w:fldChar w:fldCharType="separate"/>
      </w:r>
      <w:r w:rsidR="0075357A">
        <w:rPr>
          <w:vertAlign w:val="superscript"/>
        </w:rPr>
        <w:t>5</w:t>
      </w:r>
      <w:r w:rsidR="00E80766" w:rsidRPr="00E80766">
        <w:rPr>
          <w:vertAlign w:val="superscript"/>
        </w:rPr>
        <w:fldChar w:fldCharType="end"/>
      </w:r>
      <w:r w:rsidRPr="00B54541">
        <w:t xml:space="preserve"> for Exarane. The guideline states pivotal evidence for similar efficacy will be derived from the similarity demonstrated in the physicochemical, functional and pharmacodynamic comparisons, and that a dedicated comparative clinical efficacy trial is not required. The 2016 guideline has not yet been formally adopted by the TGA. The ACM noted that the 2016 guideline was taken into consideration in the approval of the first enoxaparin biosimilar in Australia in 2020.</w:t>
      </w:r>
    </w:p>
    <w:p w14:paraId="31ADF5A7" w14:textId="6CB7E077" w:rsidR="001B20BE" w:rsidRPr="00B54541" w:rsidRDefault="001B20BE" w:rsidP="00031184">
      <w:r w:rsidRPr="00B54541">
        <w:t xml:space="preserve">The ACM agreed the data sets and approach submitted by the sponsor support the conclusion of similar efficacy and safety between Exarane and Clexane despite no </w:t>
      </w:r>
      <w:r w:rsidR="00305269" w:rsidRPr="00B54541">
        <w:t>head-to-head</w:t>
      </w:r>
      <w:r w:rsidRPr="00B54541">
        <w:t xml:space="preserve"> comparison via a clinical efficacy trial.</w:t>
      </w:r>
    </w:p>
    <w:p w14:paraId="5291EA2A" w14:textId="77777777" w:rsidR="00C22214" w:rsidRPr="00B54541" w:rsidRDefault="00C22214" w:rsidP="00C22214">
      <w:pPr>
        <w:pStyle w:val="Heading5"/>
      </w:pPr>
      <w:r w:rsidRPr="00B54541">
        <w:t>Conclusion</w:t>
      </w:r>
    </w:p>
    <w:p w14:paraId="0967913C" w14:textId="77777777" w:rsidR="005F19F4" w:rsidRPr="00B54541" w:rsidRDefault="005F19F4" w:rsidP="00031184">
      <w:r w:rsidRPr="00B54541">
        <w:t>The ACM considered this product to have an overall positive benefit-risk profile for the indication:</w:t>
      </w:r>
    </w:p>
    <w:p w14:paraId="653B54D4" w14:textId="77777777" w:rsidR="005F19F4" w:rsidRPr="00B54541" w:rsidRDefault="005F19F4" w:rsidP="00031184">
      <w:pPr>
        <w:pStyle w:val="ListBullet2"/>
        <w:numPr>
          <w:ilvl w:val="0"/>
          <w:numId w:val="27"/>
        </w:numPr>
        <w:rPr>
          <w:i/>
          <w:iCs/>
        </w:rPr>
      </w:pPr>
      <w:r w:rsidRPr="00B54541">
        <w:rPr>
          <w:i/>
          <w:iCs/>
        </w:rPr>
        <w:t>Prevention of thrombo-embolic disorders of venous origin in patients undergoing orthopaedic and general surgery.</w:t>
      </w:r>
    </w:p>
    <w:p w14:paraId="30324566" w14:textId="77777777" w:rsidR="005F19F4" w:rsidRPr="00B54541" w:rsidRDefault="005F19F4" w:rsidP="00031184">
      <w:pPr>
        <w:pStyle w:val="ListBullet2"/>
        <w:numPr>
          <w:ilvl w:val="0"/>
          <w:numId w:val="27"/>
        </w:numPr>
        <w:rPr>
          <w:i/>
          <w:iCs/>
        </w:rPr>
      </w:pPr>
      <w:r w:rsidRPr="00B54541">
        <w:rPr>
          <w:i/>
          <w:iCs/>
        </w:rPr>
        <w:t>Prophylaxis of venous thromboembolism in medical patients bedridden due to acute illness.</w:t>
      </w:r>
    </w:p>
    <w:p w14:paraId="139D219D" w14:textId="77777777" w:rsidR="005F19F4" w:rsidRPr="00B54541" w:rsidRDefault="005F19F4" w:rsidP="00031184">
      <w:pPr>
        <w:pStyle w:val="ListBullet2"/>
        <w:numPr>
          <w:ilvl w:val="0"/>
          <w:numId w:val="27"/>
        </w:numPr>
        <w:rPr>
          <w:i/>
          <w:iCs/>
        </w:rPr>
      </w:pPr>
      <w:r w:rsidRPr="00B54541">
        <w:rPr>
          <w:i/>
          <w:iCs/>
        </w:rPr>
        <w:t>Prevention of thrombosis in extra-corporeal circulation during haemodialysis.</w:t>
      </w:r>
    </w:p>
    <w:p w14:paraId="0E1F496C" w14:textId="77777777" w:rsidR="005F19F4" w:rsidRPr="00B54541" w:rsidRDefault="005F19F4" w:rsidP="00031184">
      <w:pPr>
        <w:pStyle w:val="ListBullet2"/>
        <w:numPr>
          <w:ilvl w:val="0"/>
          <w:numId w:val="27"/>
        </w:numPr>
        <w:rPr>
          <w:i/>
          <w:iCs/>
        </w:rPr>
      </w:pPr>
      <w:r w:rsidRPr="00B54541">
        <w:rPr>
          <w:i/>
          <w:iCs/>
        </w:rPr>
        <w:t>Treatment of established deep vein thrombosis.</w:t>
      </w:r>
    </w:p>
    <w:p w14:paraId="61506F5A" w14:textId="77777777" w:rsidR="005F19F4" w:rsidRPr="00B54541" w:rsidRDefault="005F19F4" w:rsidP="00031184">
      <w:pPr>
        <w:pStyle w:val="ListBullet2"/>
        <w:numPr>
          <w:ilvl w:val="0"/>
          <w:numId w:val="27"/>
        </w:numPr>
        <w:rPr>
          <w:i/>
          <w:iCs/>
        </w:rPr>
      </w:pPr>
      <w:r w:rsidRPr="00B54541">
        <w:rPr>
          <w:i/>
          <w:iCs/>
        </w:rPr>
        <w:t>Treatment of unstable angina and non-Q-wave myocardial infarction, administered concurrently with aspirin.</w:t>
      </w:r>
    </w:p>
    <w:p w14:paraId="65CCB599" w14:textId="76E09ADA" w:rsidR="005F19F4" w:rsidRPr="00B54541" w:rsidRDefault="005F19F4" w:rsidP="00031184">
      <w:pPr>
        <w:pStyle w:val="ListBullet2"/>
        <w:numPr>
          <w:ilvl w:val="0"/>
          <w:numId w:val="27"/>
        </w:numPr>
        <w:rPr>
          <w:i/>
          <w:iCs/>
        </w:rPr>
      </w:pPr>
      <w:r w:rsidRPr="00B54541">
        <w:rPr>
          <w:i/>
          <w:iCs/>
        </w:rPr>
        <w:t xml:space="preserve">Treatment of acute ST-segment </w:t>
      </w:r>
      <w:r w:rsidR="00C00D87" w:rsidRPr="00B54541">
        <w:rPr>
          <w:i/>
          <w:iCs/>
        </w:rPr>
        <w:t>elevation myocardial infarction</w:t>
      </w:r>
      <w:r w:rsidRPr="00B54541">
        <w:rPr>
          <w:i/>
          <w:iCs/>
        </w:rPr>
        <w:t xml:space="preserve"> (STEMI) as an adjunctive to thrombolytic treatment, including patients to be managed medically or with subsequent </w:t>
      </w:r>
      <w:r w:rsidR="00C37B92" w:rsidRPr="00B54541">
        <w:rPr>
          <w:i/>
          <w:iCs/>
        </w:rPr>
        <w:t>percutaneous coronary intervention</w:t>
      </w:r>
      <w:r w:rsidRPr="00B54541">
        <w:rPr>
          <w:i/>
          <w:iCs/>
        </w:rPr>
        <w:t xml:space="preserve"> (PCI).</w:t>
      </w:r>
    </w:p>
    <w:p w14:paraId="307F236C" w14:textId="77777777" w:rsidR="00C22214" w:rsidRPr="00B54541" w:rsidRDefault="00C22214" w:rsidP="00112BD6">
      <w:pPr>
        <w:pStyle w:val="Heading2"/>
        <w:pageBreakBefore/>
      </w:pPr>
      <w:bookmarkStart w:id="72" w:name="_Toc103679300"/>
      <w:bookmarkStart w:id="73" w:name="_Toc160184701"/>
      <w:r w:rsidRPr="00B54541">
        <w:lastRenderedPageBreak/>
        <w:t>Outcome</w:t>
      </w:r>
      <w:bookmarkEnd w:id="70"/>
      <w:bookmarkEnd w:id="71"/>
      <w:bookmarkEnd w:id="72"/>
      <w:bookmarkEnd w:id="73"/>
    </w:p>
    <w:p w14:paraId="4EF22939" w14:textId="123464EF" w:rsidR="00C22214" w:rsidRPr="00B54541" w:rsidRDefault="00C22214" w:rsidP="00031184">
      <w:r w:rsidRPr="00B54541">
        <w:t xml:space="preserve">Based on a review of quality, safety, and efficacy, the TGA </w:t>
      </w:r>
      <w:r w:rsidR="00B46DFB" w:rsidRPr="00B54541">
        <w:t>decided to</w:t>
      </w:r>
      <w:r w:rsidRPr="00B54541">
        <w:t xml:space="preserve"> regist</w:t>
      </w:r>
      <w:r w:rsidR="00B46DFB" w:rsidRPr="00B54541">
        <w:t>er</w:t>
      </w:r>
      <w:r w:rsidRPr="00B54541">
        <w:t xml:space="preserve"> </w:t>
      </w:r>
      <w:r w:rsidR="00A0154F" w:rsidRPr="00B54541">
        <w:t>Exarane (enoxaparin sodium) 20 mg/0.2 mL, 40 mg/0.4 mL, 60 mg/0.6 mL, 80 mg/0.8 mL, 100 mg/1 mL and Exarane Forte (enoxaparin sodium) 120mg/0.8mL, 150mg/1mL, solution for injection, prefilled syringe</w:t>
      </w:r>
      <w:r w:rsidRPr="00B54541">
        <w:t>:</w:t>
      </w:r>
    </w:p>
    <w:p w14:paraId="51E7C235" w14:textId="77777777" w:rsidR="00A0154F" w:rsidRPr="00B54541" w:rsidRDefault="00A0154F" w:rsidP="00A0154F">
      <w:pPr>
        <w:pStyle w:val="ListBullet2"/>
        <w:numPr>
          <w:ilvl w:val="0"/>
          <w:numId w:val="17"/>
        </w:numPr>
        <w:rPr>
          <w:i/>
          <w:iCs/>
        </w:rPr>
      </w:pPr>
      <w:r w:rsidRPr="00B54541">
        <w:rPr>
          <w:i/>
          <w:iCs/>
        </w:rPr>
        <w:t>Prevention of thrombo-embolic disorders of venous origin in patients undergoing orthopaedic and general surgery.</w:t>
      </w:r>
    </w:p>
    <w:p w14:paraId="43123D73" w14:textId="77777777" w:rsidR="00A0154F" w:rsidRPr="00B54541" w:rsidRDefault="00A0154F" w:rsidP="00A0154F">
      <w:pPr>
        <w:pStyle w:val="ListBullet2"/>
        <w:numPr>
          <w:ilvl w:val="0"/>
          <w:numId w:val="17"/>
        </w:numPr>
        <w:rPr>
          <w:i/>
          <w:iCs/>
        </w:rPr>
      </w:pPr>
      <w:r w:rsidRPr="00B54541">
        <w:rPr>
          <w:i/>
          <w:iCs/>
        </w:rPr>
        <w:t>Prophylaxis of venous thromboembolism in medical patients bedridden due to acute illness.</w:t>
      </w:r>
    </w:p>
    <w:p w14:paraId="2DCC4895" w14:textId="77777777" w:rsidR="00A0154F" w:rsidRPr="00B54541" w:rsidRDefault="00A0154F" w:rsidP="00A0154F">
      <w:pPr>
        <w:pStyle w:val="ListBullet2"/>
        <w:numPr>
          <w:ilvl w:val="0"/>
          <w:numId w:val="17"/>
        </w:numPr>
        <w:rPr>
          <w:i/>
          <w:iCs/>
        </w:rPr>
      </w:pPr>
      <w:r w:rsidRPr="00B54541">
        <w:rPr>
          <w:i/>
          <w:iCs/>
        </w:rPr>
        <w:t>Prevention of thrombosis in extra-corporeal circulation during haemodialysis.</w:t>
      </w:r>
    </w:p>
    <w:p w14:paraId="110953E0" w14:textId="77777777" w:rsidR="00A0154F" w:rsidRPr="00B54541" w:rsidRDefault="00A0154F" w:rsidP="00A0154F">
      <w:pPr>
        <w:pStyle w:val="ListBullet2"/>
        <w:numPr>
          <w:ilvl w:val="0"/>
          <w:numId w:val="17"/>
        </w:numPr>
        <w:rPr>
          <w:i/>
          <w:iCs/>
        </w:rPr>
      </w:pPr>
      <w:r w:rsidRPr="00B54541">
        <w:rPr>
          <w:i/>
          <w:iCs/>
        </w:rPr>
        <w:t>Treatment of established deep vein thrombosis.</w:t>
      </w:r>
    </w:p>
    <w:p w14:paraId="2DE36063" w14:textId="77777777" w:rsidR="00A0154F" w:rsidRPr="00B54541" w:rsidRDefault="00A0154F" w:rsidP="00A0154F">
      <w:pPr>
        <w:pStyle w:val="ListBullet2"/>
        <w:numPr>
          <w:ilvl w:val="0"/>
          <w:numId w:val="17"/>
        </w:numPr>
        <w:rPr>
          <w:i/>
          <w:iCs/>
        </w:rPr>
      </w:pPr>
      <w:r w:rsidRPr="00B54541">
        <w:rPr>
          <w:i/>
          <w:iCs/>
        </w:rPr>
        <w:t>Treatment of unstable angina and non-Q-wave myocardial infarction, administered concurrently with aspirin.</w:t>
      </w:r>
    </w:p>
    <w:p w14:paraId="06F58FA8" w14:textId="4E3779C9" w:rsidR="00A0154F" w:rsidRPr="00B54541" w:rsidRDefault="00A0154F" w:rsidP="00A0154F">
      <w:pPr>
        <w:pStyle w:val="ListBullet2"/>
        <w:numPr>
          <w:ilvl w:val="0"/>
          <w:numId w:val="17"/>
        </w:numPr>
        <w:rPr>
          <w:i/>
          <w:iCs/>
        </w:rPr>
      </w:pPr>
      <w:r w:rsidRPr="00B54541">
        <w:rPr>
          <w:i/>
          <w:iCs/>
        </w:rPr>
        <w:t xml:space="preserve">Treatment of acute ST-segment </w:t>
      </w:r>
      <w:r w:rsidR="00C00D87" w:rsidRPr="00B54541">
        <w:rPr>
          <w:i/>
          <w:iCs/>
        </w:rPr>
        <w:t>elevation myocardial infarction</w:t>
      </w:r>
      <w:r w:rsidRPr="00B54541">
        <w:rPr>
          <w:i/>
          <w:iCs/>
        </w:rPr>
        <w:t xml:space="preserve"> (STEMI) as an adjunctive to thrombolytic treatment, including patients to be managed medically or with subsequent </w:t>
      </w:r>
      <w:r w:rsidR="00C37B92" w:rsidRPr="00B54541">
        <w:rPr>
          <w:i/>
          <w:iCs/>
        </w:rPr>
        <w:t>percutaneous coronary intervention</w:t>
      </w:r>
      <w:r w:rsidRPr="00B54541">
        <w:rPr>
          <w:i/>
          <w:iCs/>
        </w:rPr>
        <w:t xml:space="preserve"> (PCI).</w:t>
      </w:r>
    </w:p>
    <w:p w14:paraId="0D732DA4" w14:textId="77777777" w:rsidR="00854D98" w:rsidRPr="00B54541" w:rsidRDefault="00854D98" w:rsidP="00854D98">
      <w:pPr>
        <w:pStyle w:val="Heading3"/>
      </w:pPr>
      <w:bookmarkStart w:id="74" w:name="_Toc103679301"/>
      <w:bookmarkStart w:id="75" w:name="_Toc160184702"/>
      <w:r w:rsidRPr="00B54541">
        <w:t>Specific conditions of registration applying to these goods</w:t>
      </w:r>
      <w:bookmarkEnd w:id="74"/>
      <w:bookmarkEnd w:id="75"/>
    </w:p>
    <w:p w14:paraId="3C83AAE8" w14:textId="4FCCD06A" w:rsidR="00A022F7" w:rsidRPr="00B54541" w:rsidRDefault="00A022F7" w:rsidP="005F19F4">
      <w:pPr>
        <w:pStyle w:val="ListBullet"/>
      </w:pPr>
      <w:r w:rsidRPr="00B54541">
        <w:t>Laboratory testing and</w:t>
      </w:r>
      <w:r w:rsidR="00C31BC1" w:rsidRPr="00B54541">
        <w:t xml:space="preserve"> </w:t>
      </w:r>
      <w:r w:rsidRPr="00B54541">
        <w:t>compliance with Certified Product Details (CPD)</w:t>
      </w:r>
    </w:p>
    <w:p w14:paraId="224047C5" w14:textId="77777777" w:rsidR="00A022F7" w:rsidRPr="00B54541" w:rsidRDefault="00A022F7" w:rsidP="005F19F4">
      <w:pPr>
        <w:pStyle w:val="ListBullet2"/>
      </w:pPr>
      <w:r w:rsidRPr="00B54541">
        <w:t>All batches of Exarane and Exarane Forte supplied in Australia must comply with the product details and specifications approved during evaluation and detailed in the Certified Product Details (CPD).</w:t>
      </w:r>
    </w:p>
    <w:p w14:paraId="170E20F8" w14:textId="52544920" w:rsidR="00A022F7" w:rsidRPr="00B54541" w:rsidRDefault="00A022F7" w:rsidP="005F19F4">
      <w:pPr>
        <w:pStyle w:val="ListBullet2"/>
      </w:pPr>
      <w:r w:rsidRPr="00B54541">
        <w:t xml:space="preserve">When requested by the TGA, the sponsor should be prepared to provide product samples, specified reference materials and documentary evidence to enable the TGA to conduct laboratory testing on the Product. Outcomes of laboratory testing are published biannually in the TGA Database of Laboratory Testing Results </w:t>
      </w:r>
      <w:hyperlink r:id="rId32" w:history="1">
        <w:r w:rsidR="00CA1CFF" w:rsidRPr="00B54541">
          <w:rPr>
            <w:rStyle w:val="Hyperlink"/>
          </w:rPr>
          <w:t>http://www.tga.gov.au/ws-labs-index</w:t>
        </w:r>
      </w:hyperlink>
      <w:r w:rsidR="00CA1CFF" w:rsidRPr="00B54541">
        <w:t xml:space="preserve"> </w:t>
      </w:r>
      <w:r w:rsidRPr="00B54541">
        <w:t>and periodically in testing reports on the TGA website.</w:t>
      </w:r>
    </w:p>
    <w:p w14:paraId="141379C0" w14:textId="472214DF" w:rsidR="00A022F7" w:rsidRPr="00B54541" w:rsidRDefault="00A022F7" w:rsidP="005F19F4">
      <w:pPr>
        <w:pStyle w:val="ListBullet"/>
      </w:pPr>
      <w:r w:rsidRPr="00B54541">
        <w:t>Certified Product Details</w:t>
      </w:r>
    </w:p>
    <w:p w14:paraId="30BF78A2" w14:textId="6262FC8F" w:rsidR="00A022F7" w:rsidRPr="00B54541" w:rsidRDefault="00A022F7" w:rsidP="005F19F4">
      <w:pPr>
        <w:pStyle w:val="ListBullet"/>
        <w:numPr>
          <w:ilvl w:val="0"/>
          <w:numId w:val="0"/>
        </w:numPr>
        <w:ind w:left="360"/>
      </w:pPr>
      <w:r w:rsidRPr="00B54541">
        <w:t>The Certified Product Details (CPD), as described in Guidance 7: Certified Product Details of the Australian Regulatory Guidelines for Prescription Medicines (ARGPM) [</w:t>
      </w:r>
      <w:hyperlink r:id="rId33" w:history="1">
        <w:r w:rsidRPr="00B54541">
          <w:rPr>
            <w:rStyle w:val="Hyperlink"/>
          </w:rPr>
          <w:t>http://www.tga.gov.au/industry/pm-argpm-guidance-7.htm</w:t>
        </w:r>
      </w:hyperlink>
      <w:r w:rsidRPr="00B54541">
        <w:t>], in PDF format, for the above products should be provided upon registration of these therapeutic goods. In addition, an updated CPD should be provided when changes to finished product specifications and test methods are approved in a Category 3 application or notified through a self-assessable change.</w:t>
      </w:r>
    </w:p>
    <w:p w14:paraId="451DC3FC" w14:textId="2D1EC6E2" w:rsidR="00C22214" w:rsidRPr="00B54541" w:rsidRDefault="00C22214" w:rsidP="00C22214">
      <w:pPr>
        <w:pStyle w:val="Heading2"/>
      </w:pPr>
      <w:bookmarkStart w:id="76" w:name="_Toc103679303"/>
      <w:bookmarkStart w:id="77" w:name="_Toc160184703"/>
      <w:r w:rsidRPr="00B54541">
        <w:t>Attachment 1. Product Information</w:t>
      </w:r>
      <w:bookmarkEnd w:id="76"/>
      <w:bookmarkEnd w:id="77"/>
    </w:p>
    <w:p w14:paraId="74F59983" w14:textId="67B35085" w:rsidR="00675F81" w:rsidRPr="00B54541" w:rsidRDefault="00675F81" w:rsidP="00675F81">
      <w:pPr>
        <w:rPr>
          <w:szCs w:val="22"/>
        </w:rPr>
      </w:pPr>
      <w:r w:rsidRPr="00B54541">
        <w:rPr>
          <w:szCs w:val="22"/>
        </w:rPr>
        <w:t xml:space="preserve">The </w:t>
      </w:r>
      <w:hyperlink r:id="rId34" w:history="1">
        <w:r w:rsidRPr="00B54541">
          <w:rPr>
            <w:rStyle w:val="Hyperlink"/>
            <w:szCs w:val="22"/>
          </w:rPr>
          <w:t>Product Information</w:t>
        </w:r>
      </w:hyperlink>
      <w:r w:rsidRPr="00B54541">
        <w:rPr>
          <w:szCs w:val="22"/>
        </w:rPr>
        <w:t xml:space="preserve"> (</w:t>
      </w:r>
      <w:hyperlink r:id="rId35" w:history="1">
        <w:r w:rsidRPr="00B54541">
          <w:rPr>
            <w:rStyle w:val="Hyperlink"/>
            <w:szCs w:val="22"/>
          </w:rPr>
          <w:t>PI</w:t>
        </w:r>
      </w:hyperlink>
      <w:r w:rsidRPr="00B54541">
        <w:rPr>
          <w:szCs w:val="22"/>
        </w:rPr>
        <w:t>) approved with the submission</w:t>
      </w:r>
      <w:r w:rsidR="0017005C" w:rsidRPr="00B54541">
        <w:rPr>
          <w:szCs w:val="22"/>
        </w:rPr>
        <w:t xml:space="preserve"> for </w:t>
      </w:r>
      <w:r w:rsidR="003601A5" w:rsidRPr="00B54541">
        <w:t>Exarane</w:t>
      </w:r>
      <w:r w:rsidR="003163BC" w:rsidRPr="00B54541">
        <w:t xml:space="preserve"> </w:t>
      </w:r>
      <w:r w:rsidRPr="00B54541">
        <w:rPr>
          <w:szCs w:val="22"/>
        </w:rPr>
        <w:t xml:space="preserve">which is described in this AusPAR can be found as Attachment 1. </w:t>
      </w:r>
      <w:r w:rsidR="0025785B" w:rsidRPr="00B54541">
        <w:t xml:space="preserve">It may have been superseded. </w:t>
      </w:r>
      <w:r w:rsidRPr="00B54541">
        <w:rPr>
          <w:szCs w:val="22"/>
        </w:rPr>
        <w:t xml:space="preserve">For the most recent PI and </w:t>
      </w:r>
      <w:hyperlink r:id="rId36" w:history="1">
        <w:r w:rsidRPr="00B54541">
          <w:rPr>
            <w:rStyle w:val="Hyperlink"/>
            <w:szCs w:val="22"/>
          </w:rPr>
          <w:t>Consumer Medicines Information</w:t>
        </w:r>
      </w:hyperlink>
      <w:r w:rsidRPr="00B54541">
        <w:rPr>
          <w:szCs w:val="22"/>
        </w:rPr>
        <w:t xml:space="preserve"> (CMI), please refer to the TGA </w:t>
      </w:r>
      <w:hyperlink r:id="rId37" w:history="1">
        <w:r w:rsidRPr="00B54541">
          <w:rPr>
            <w:rStyle w:val="Hyperlink"/>
            <w:szCs w:val="22"/>
          </w:rPr>
          <w:t>PI/CMI search facility.</w:t>
        </w:r>
      </w:hyperlink>
    </w:p>
    <w:p w14:paraId="40740B65" w14:textId="754AD885" w:rsidR="00C22214" w:rsidRPr="00B54541" w:rsidRDefault="00C22214" w:rsidP="00112BD6">
      <w:r w:rsidRPr="00B54541">
        <w:rPr>
          <w:szCs w:val="22"/>
        </w:rPr>
        <w:t xml:space="preserve">The PI for </w:t>
      </w:r>
      <w:r w:rsidR="003601A5" w:rsidRPr="00B54541">
        <w:rPr>
          <w:szCs w:val="22"/>
        </w:rPr>
        <w:t>Exarane</w:t>
      </w:r>
      <w:r w:rsidR="00A94108" w:rsidRPr="00B54541">
        <w:rPr>
          <w:szCs w:val="22"/>
        </w:rPr>
        <w:t xml:space="preserve"> </w:t>
      </w:r>
      <w:r w:rsidR="003601A5" w:rsidRPr="00B54541">
        <w:rPr>
          <w:szCs w:val="22"/>
        </w:rPr>
        <w:t>Forte</w:t>
      </w:r>
      <w:r w:rsidR="00A94108" w:rsidRPr="00B54541">
        <w:rPr>
          <w:szCs w:val="22"/>
        </w:rPr>
        <w:t xml:space="preserve"> </w:t>
      </w:r>
      <w:r w:rsidRPr="00B54541">
        <w:rPr>
          <w:szCs w:val="22"/>
        </w:rPr>
        <w:t>is identical except for the product name.</w:t>
      </w:r>
      <w:r w:rsidR="00112BD6">
        <w:rPr>
          <w:szCs w:val="22"/>
        </w:rPr>
        <w:t xml:space="preserve"> </w:t>
      </w:r>
    </w:p>
    <w:p w14:paraId="53357BF3" w14:textId="276457B5" w:rsidR="00C22214" w:rsidRPr="00B54541" w:rsidRDefault="00C22214" w:rsidP="00C22214">
      <w:pPr>
        <w:rPr>
          <w:lang w:eastAsia="ja-JP"/>
        </w:rPr>
        <w:sectPr w:rsidR="00C22214" w:rsidRPr="00B54541" w:rsidSect="007452E8">
          <w:headerReference w:type="default" r:id="rId38"/>
          <w:footerReference w:type="default" r:id="rId39"/>
          <w:pgSz w:w="11906" w:h="16838" w:code="9"/>
          <w:pgMar w:top="1134" w:right="1418" w:bottom="1361" w:left="1418" w:header="573" w:footer="567" w:gutter="0"/>
          <w:cols w:space="708"/>
          <w:docGrid w:linePitch="360"/>
        </w:sectPr>
      </w:pPr>
    </w:p>
    <w:tbl>
      <w:tblPr>
        <w:tblW w:w="9145" w:type="dxa"/>
        <w:jc w:val="center"/>
        <w:tblLayout w:type="fixed"/>
        <w:tblCellMar>
          <w:left w:w="0" w:type="dxa"/>
          <w:right w:w="0" w:type="dxa"/>
        </w:tblCellMar>
        <w:tblLook w:val="04A0" w:firstRow="1" w:lastRow="0" w:firstColumn="1" w:lastColumn="0" w:noHBand="0" w:noVBand="1"/>
      </w:tblPr>
      <w:tblGrid>
        <w:gridCol w:w="9145"/>
      </w:tblGrid>
      <w:tr w:rsidR="00F02AEC" w:rsidRPr="00B54541" w14:paraId="3C0C07BF" w14:textId="77777777" w:rsidTr="007452E8">
        <w:trPr>
          <w:trHeight w:hRule="exact" w:val="565"/>
          <w:jc w:val="center"/>
        </w:trPr>
        <w:tc>
          <w:tcPr>
            <w:tcW w:w="9145" w:type="dxa"/>
          </w:tcPr>
          <w:bookmarkEnd w:id="3"/>
          <w:bookmarkEnd w:id="4"/>
          <w:p w14:paraId="7E090B86" w14:textId="77777777" w:rsidR="00F02AEC" w:rsidRPr="00B54541" w:rsidRDefault="00F02AEC" w:rsidP="007452E8">
            <w:pPr>
              <w:pStyle w:val="TGASignoff"/>
            </w:pPr>
            <w:r w:rsidRPr="00B54541">
              <w:lastRenderedPageBreak/>
              <w:t>Therapeutic Goods Administration</w:t>
            </w:r>
          </w:p>
        </w:tc>
      </w:tr>
      <w:tr w:rsidR="00F02AEC" w:rsidRPr="00B54541" w14:paraId="70F47EA1" w14:textId="77777777" w:rsidTr="007452E8">
        <w:trPr>
          <w:trHeight w:val="963"/>
          <w:jc w:val="center"/>
        </w:trPr>
        <w:tc>
          <w:tcPr>
            <w:tcW w:w="9145" w:type="dxa"/>
            <w:tcMar>
              <w:top w:w="28" w:type="dxa"/>
            </w:tcMar>
          </w:tcPr>
          <w:p w14:paraId="3491EBCD" w14:textId="77777777" w:rsidR="00F02AEC" w:rsidRPr="00B54541" w:rsidRDefault="00F02AEC" w:rsidP="007452E8">
            <w:pPr>
              <w:pStyle w:val="Address"/>
              <w:jc w:val="center"/>
            </w:pPr>
            <w:r w:rsidRPr="00B54541">
              <w:t>PO Box 100 Woden ACT 2606 Australia</w:t>
            </w:r>
          </w:p>
          <w:p w14:paraId="5D0FE0E7" w14:textId="693EE3AC" w:rsidR="00F02AEC" w:rsidRPr="00B54541" w:rsidRDefault="00F02AEC">
            <w:pPr>
              <w:pStyle w:val="Address"/>
              <w:jc w:val="center"/>
              <w:rPr>
                <w:sz w:val="22"/>
                <w:szCs w:val="22"/>
              </w:rPr>
            </w:pPr>
            <w:r w:rsidRPr="00B54541">
              <w:t xml:space="preserve">Email: </w:t>
            </w:r>
            <w:hyperlink r:id="rId40" w:history="1">
              <w:r w:rsidRPr="00B54541">
                <w:rPr>
                  <w:rStyle w:val="Hyperlink"/>
                </w:rPr>
                <w:t>info@tga.gov.au</w:t>
              </w:r>
            </w:hyperlink>
            <w:r w:rsidRPr="00B54541">
              <w:t xml:space="preserve">  Phone: 1800 020 653  Fax: 02 6203 1605</w:t>
            </w:r>
          </w:p>
          <w:p w14:paraId="4533D80F" w14:textId="26BAD90F" w:rsidR="00F02AEC" w:rsidRPr="00B54541" w:rsidRDefault="00112BD6">
            <w:pPr>
              <w:pStyle w:val="Address"/>
              <w:jc w:val="center"/>
              <w:rPr>
                <w:rStyle w:val="Hyperlink"/>
                <w:b/>
                <w:color w:val="auto"/>
                <w:sz w:val="22"/>
              </w:rPr>
            </w:pPr>
            <w:hyperlink r:id="rId41" w:history="1">
              <w:r w:rsidR="00F02AEC" w:rsidRPr="00B54541">
                <w:rPr>
                  <w:rStyle w:val="Hyperlink"/>
                  <w:b/>
                </w:rPr>
                <w:t>https://www.tga.gov.au</w:t>
              </w:r>
            </w:hyperlink>
          </w:p>
        </w:tc>
      </w:tr>
      <w:tr w:rsidR="00F02AEC" w:rsidRPr="00215D48" w14:paraId="2AD74347" w14:textId="77777777" w:rsidTr="007452E8">
        <w:trPr>
          <w:trHeight w:val="251"/>
          <w:jc w:val="center"/>
        </w:trPr>
        <w:tc>
          <w:tcPr>
            <w:tcW w:w="9145" w:type="dxa"/>
            <w:tcMar>
              <w:top w:w="28" w:type="dxa"/>
            </w:tcMar>
          </w:tcPr>
          <w:p w14:paraId="6EAAD5C1" w14:textId="77777777" w:rsidR="00F02AEC" w:rsidRPr="00215D48" w:rsidRDefault="00F02AEC" w:rsidP="007452E8">
            <w:pPr>
              <w:pStyle w:val="Address"/>
              <w:jc w:val="center"/>
            </w:pPr>
            <w:r w:rsidRPr="00B54541">
              <w:t>Reference/Publication #</w:t>
            </w:r>
          </w:p>
        </w:tc>
      </w:tr>
    </w:tbl>
    <w:p w14:paraId="788B80FD" w14:textId="77777777" w:rsidR="007452E8" w:rsidRDefault="007452E8"/>
    <w:sectPr w:rsidR="007452E8" w:rsidSect="007452E8">
      <w:headerReference w:type="first" r:id="rId42"/>
      <w:footerReference w:type="first" r:id="rId43"/>
      <w:pgSz w:w="11906" w:h="16838" w:code="9"/>
      <w:pgMar w:top="13571" w:right="1701" w:bottom="567" w:left="1701" w:header="1134"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08F0D" w14:textId="77777777" w:rsidR="00AD2404" w:rsidRDefault="00AD2404" w:rsidP="00F02AEC">
      <w:pPr>
        <w:spacing w:after="0" w:line="240" w:lineRule="auto"/>
      </w:pPr>
      <w:r>
        <w:separator/>
      </w:r>
    </w:p>
  </w:endnote>
  <w:endnote w:type="continuationSeparator" w:id="0">
    <w:p w14:paraId="56C819CC" w14:textId="77777777" w:rsidR="00AD2404" w:rsidRDefault="00AD2404" w:rsidP="00F02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3">
    <w:altName w:val="Symbol"/>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7452E8" w:rsidRPr="00257138" w14:paraId="162D69C2" w14:textId="77777777" w:rsidTr="007452E8">
      <w:trPr>
        <w:trHeight w:val="423"/>
      </w:trPr>
      <w:tc>
        <w:tcPr>
          <w:tcW w:w="4360" w:type="dxa"/>
          <w:tcBorders>
            <w:top w:val="single" w:sz="4" w:space="0" w:color="auto"/>
          </w:tcBorders>
        </w:tcPr>
        <w:p w14:paraId="32E1B782" w14:textId="77777777" w:rsidR="007452E8" w:rsidRDefault="007452E8" w:rsidP="007452E8">
          <w:pPr>
            <w:pStyle w:val="Footer"/>
          </w:pPr>
        </w:p>
        <w:p w14:paraId="1849C07C" w14:textId="77777777" w:rsidR="007452E8" w:rsidRPr="00257138" w:rsidRDefault="007452E8" w:rsidP="007452E8">
          <w:pPr>
            <w:pStyle w:val="Footer"/>
          </w:pPr>
          <w:r w:rsidRPr="00257138">
            <w:t>Document title</w:t>
          </w:r>
        </w:p>
      </w:tc>
      <w:tc>
        <w:tcPr>
          <w:tcW w:w="4360" w:type="dxa"/>
          <w:tcBorders>
            <w:top w:val="single" w:sz="4" w:space="0" w:color="auto"/>
          </w:tcBorders>
        </w:tcPr>
        <w:sdt>
          <w:sdtPr>
            <w:id w:val="1087729233"/>
            <w:docPartObj>
              <w:docPartGallery w:val="Page Numbers (Top of Page)"/>
              <w:docPartUnique/>
            </w:docPartObj>
          </w:sdtPr>
          <w:sdtEndPr/>
          <w:sdtContent>
            <w:p w14:paraId="606A08BF" w14:textId="77777777" w:rsidR="007452E8" w:rsidRDefault="007452E8" w:rsidP="007452E8">
              <w:pPr>
                <w:pStyle w:val="Footer"/>
                <w:jc w:val="right"/>
              </w:pPr>
            </w:p>
            <w:p w14:paraId="5EDE6DF6" w14:textId="77777777" w:rsidR="007452E8" w:rsidRPr="00257138" w:rsidRDefault="007452E8" w:rsidP="007452E8">
              <w:pPr>
                <w:pStyle w:val="Footer"/>
                <w:jc w:val="right"/>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fldSimple w:instr=" NUMPAGES  ">
                <w:r>
                  <w:rPr>
                    <w:noProof/>
                  </w:rPr>
                  <w:t>2</w:t>
                </w:r>
              </w:fldSimple>
            </w:p>
          </w:sdtContent>
        </w:sdt>
      </w:tc>
    </w:tr>
    <w:tr w:rsidR="007452E8" w:rsidRPr="00257138" w14:paraId="280F09C8" w14:textId="77777777" w:rsidTr="007452E8">
      <w:trPr>
        <w:trHeight w:val="263"/>
      </w:trPr>
      <w:tc>
        <w:tcPr>
          <w:tcW w:w="4360" w:type="dxa"/>
        </w:tcPr>
        <w:p w14:paraId="673F06D3" w14:textId="77777777" w:rsidR="007452E8" w:rsidRPr="00257138" w:rsidRDefault="007452E8" w:rsidP="007452E8">
          <w:pPr>
            <w:pStyle w:val="Footer"/>
          </w:pPr>
          <w:r w:rsidRPr="00257138">
            <w:t xml:space="preserve">V1.0 </w:t>
          </w:r>
          <w:r>
            <w:t>Month</w:t>
          </w:r>
          <w:r w:rsidRPr="00257138">
            <w:t xml:space="preserve"> 201</w:t>
          </w:r>
          <w:r>
            <w:t>2</w:t>
          </w:r>
        </w:p>
      </w:tc>
      <w:tc>
        <w:tcPr>
          <w:tcW w:w="4360" w:type="dxa"/>
        </w:tcPr>
        <w:p w14:paraId="77F5B433" w14:textId="77777777" w:rsidR="007452E8" w:rsidRPr="00257138" w:rsidRDefault="007452E8" w:rsidP="007452E8">
          <w:pPr>
            <w:pStyle w:val="Footer"/>
            <w:jc w:val="right"/>
          </w:pPr>
        </w:p>
      </w:tc>
    </w:tr>
  </w:tbl>
  <w:p w14:paraId="63F6FDDE" w14:textId="77777777" w:rsidR="007452E8" w:rsidRPr="00826007" w:rsidRDefault="007452E8" w:rsidP="007452E8">
    <w:pPr>
      <w:pStyle w:val="Footer"/>
      <w:tabs>
        <w:tab w:val="left" w:pos="7620"/>
        <w:tab w:val="right" w:pos="850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A29C" w14:textId="77777777" w:rsidR="007452E8" w:rsidRDefault="007452E8" w:rsidP="007452E8">
    <w:pPr>
      <w:pStyle w:val="Footer"/>
      <w:ind w:left="-1701"/>
    </w:pPr>
    <w:r w:rsidRPr="002B29B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338"/>
      <w:gridCol w:w="1734"/>
    </w:tblGrid>
    <w:tr w:rsidR="007452E8" w:rsidRPr="004A3084" w14:paraId="6266BC33" w14:textId="77777777" w:rsidTr="007452E8">
      <w:trPr>
        <w:trHeight w:val="423"/>
      </w:trPr>
      <w:tc>
        <w:tcPr>
          <w:tcW w:w="7338" w:type="dxa"/>
          <w:tcBorders>
            <w:top w:val="single" w:sz="4" w:space="0" w:color="auto"/>
          </w:tcBorders>
        </w:tcPr>
        <w:p w14:paraId="3C421323" w14:textId="16978A3E" w:rsidR="007452E8" w:rsidRPr="004A3084" w:rsidRDefault="007452E8" w:rsidP="007452E8">
          <w:pPr>
            <w:pStyle w:val="Footer"/>
          </w:pPr>
          <w:r w:rsidRPr="00487162">
            <w:t>AusPA</w:t>
          </w:r>
          <w:r>
            <w:t xml:space="preserve">R - </w:t>
          </w:r>
          <w:r w:rsidR="003601A5">
            <w:t>Exarane</w:t>
          </w:r>
          <w:r w:rsidR="00C537BC" w:rsidRPr="00C537BC">
            <w:t xml:space="preserve"> and </w:t>
          </w:r>
          <w:r w:rsidR="003601A5">
            <w:t>Exarane</w:t>
          </w:r>
          <w:r w:rsidR="00C537BC" w:rsidRPr="00C537BC">
            <w:t xml:space="preserve"> </w:t>
          </w:r>
          <w:r w:rsidR="003601A5" w:rsidRPr="00C537BC">
            <w:t xml:space="preserve">Forte </w:t>
          </w:r>
          <w:r w:rsidR="00C537BC" w:rsidRPr="00C537BC">
            <w:t>- enoxaparin sodium - Juno Pharmaceuticals Pty Ltd - PM-2021-04339-1-3</w:t>
          </w:r>
          <w:r>
            <w:br/>
          </w:r>
          <w:r w:rsidR="00583FE2">
            <w:t xml:space="preserve">FINAL </w:t>
          </w:r>
          <w:r w:rsidR="00D6199A">
            <w:t xml:space="preserve">1 </w:t>
          </w:r>
          <w:r w:rsidR="00583FE2">
            <w:t>March</w:t>
          </w:r>
          <w:r w:rsidR="00C537BC">
            <w:t xml:space="preserve"> 202</w:t>
          </w:r>
          <w:r w:rsidR="0046430C">
            <w:t>4</w:t>
          </w:r>
        </w:p>
      </w:tc>
      <w:tc>
        <w:tcPr>
          <w:tcW w:w="1734" w:type="dxa"/>
          <w:tcBorders>
            <w:top w:val="single" w:sz="4" w:space="0" w:color="auto"/>
          </w:tcBorders>
        </w:tcPr>
        <w:sdt>
          <w:sdtPr>
            <w:id w:val="11571659"/>
            <w:docPartObj>
              <w:docPartGallery w:val="Page Numbers (Top of Page)"/>
              <w:docPartUnique/>
            </w:docPartObj>
          </w:sdtPr>
          <w:sdtEndPr/>
          <w:sdtContent>
            <w:p w14:paraId="4DE4ED0C" w14:textId="29F65FFD" w:rsidR="007452E8" w:rsidRPr="004A3084" w:rsidRDefault="007452E8" w:rsidP="007452E8">
              <w:pPr>
                <w:pStyle w:val="Footer"/>
                <w:jc w:val="right"/>
              </w:pPr>
              <w:r w:rsidRPr="004A3084">
                <w:t xml:space="preserve">Page </w:t>
              </w:r>
              <w:r>
                <w:fldChar w:fldCharType="begin"/>
              </w:r>
              <w:r>
                <w:instrText xml:space="preserve"> PAGE </w:instrText>
              </w:r>
              <w:r>
                <w:fldChar w:fldCharType="separate"/>
              </w:r>
              <w:r w:rsidR="006D6B44">
                <w:rPr>
                  <w:noProof/>
                </w:rPr>
                <w:t>13</w:t>
              </w:r>
              <w:r>
                <w:rPr>
                  <w:noProof/>
                </w:rPr>
                <w:fldChar w:fldCharType="end"/>
              </w:r>
              <w:r w:rsidRPr="004A3084">
                <w:t xml:space="preserve"> of </w:t>
              </w:r>
              <w:fldSimple w:instr=" NUMPAGES  ">
                <w:r w:rsidR="006D6B44">
                  <w:rPr>
                    <w:noProof/>
                  </w:rPr>
                  <w:t>17</w:t>
                </w:r>
              </w:fldSimple>
            </w:p>
          </w:sdtContent>
        </w:sdt>
      </w:tc>
    </w:tr>
  </w:tbl>
  <w:p w14:paraId="1A4EDE60" w14:textId="77777777" w:rsidR="007452E8" w:rsidRPr="00826007" w:rsidRDefault="007452E8" w:rsidP="007452E8">
    <w:pPr>
      <w:pStyle w:val="Footer"/>
      <w:tabs>
        <w:tab w:val="left" w:pos="7620"/>
        <w:tab w:val="right" w:pos="8504"/>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F70A" w14:textId="77777777" w:rsidR="007452E8" w:rsidRPr="008E3C43" w:rsidRDefault="007452E8" w:rsidP="00745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EA672" w14:textId="77777777" w:rsidR="00AD2404" w:rsidRDefault="00AD2404" w:rsidP="00F02AEC">
      <w:pPr>
        <w:spacing w:after="0" w:line="240" w:lineRule="auto"/>
      </w:pPr>
      <w:r>
        <w:separator/>
      </w:r>
    </w:p>
  </w:footnote>
  <w:footnote w:type="continuationSeparator" w:id="0">
    <w:p w14:paraId="468953D1" w14:textId="77777777" w:rsidR="00AD2404" w:rsidRDefault="00AD2404" w:rsidP="00F02AEC">
      <w:pPr>
        <w:spacing w:after="0" w:line="240" w:lineRule="auto"/>
      </w:pPr>
      <w:r>
        <w:continuationSeparator/>
      </w:r>
    </w:p>
  </w:footnote>
  <w:footnote w:id="1">
    <w:p w14:paraId="68402A9B" w14:textId="42E6F8E0" w:rsidR="007452E8" w:rsidRPr="00A93DC6" w:rsidRDefault="007452E8">
      <w:pPr>
        <w:pStyle w:val="FootnoteText"/>
        <w:rPr>
          <w:lang w:val="en-GB"/>
        </w:rPr>
      </w:pPr>
      <w:r>
        <w:rPr>
          <w:rStyle w:val="FootnoteReference"/>
        </w:rPr>
        <w:footnoteRef/>
      </w:r>
      <w:r>
        <w:t xml:space="preserve"> </w:t>
      </w:r>
      <w:r w:rsidR="00FB236E">
        <w:t>This is the original indication proposed by the sponsor</w:t>
      </w:r>
      <w:r w:rsidR="00FB236E">
        <w:rPr>
          <w:lang w:val="en-GB"/>
        </w:rPr>
        <w:t xml:space="preserve"> when the TGA commenced the evaluation of this submission. It </w:t>
      </w:r>
      <w:r w:rsidRPr="007452E8">
        <w:rPr>
          <w:lang w:val="en-GB"/>
        </w:rPr>
        <w:t xml:space="preserve">may </w:t>
      </w:r>
      <w:r w:rsidR="00FB236E">
        <w:rPr>
          <w:lang w:val="en-GB"/>
        </w:rPr>
        <w:t>differ</w:t>
      </w:r>
      <w:r w:rsidRPr="007452E8">
        <w:rPr>
          <w:lang w:val="en-GB"/>
        </w:rPr>
        <w:t xml:space="preserve"> to the final indication approved by th</w:t>
      </w:r>
      <w:r w:rsidR="00FB236E">
        <w:rPr>
          <w:lang w:val="en-GB"/>
        </w:rPr>
        <w:t xml:space="preserve">e TGA and registered </w:t>
      </w:r>
      <w:r w:rsidR="005C4B46">
        <w:rPr>
          <w:lang w:val="en-GB"/>
        </w:rPr>
        <w:t xml:space="preserve">in </w:t>
      </w:r>
      <w:r w:rsidR="00FB236E">
        <w:rPr>
          <w:lang w:val="en-GB"/>
        </w:rPr>
        <w:t>the Australian Register of Therapeutic Goods.</w:t>
      </w:r>
    </w:p>
  </w:footnote>
  <w:footnote w:id="2">
    <w:p w14:paraId="7627471F" w14:textId="2D471885" w:rsidR="0031316D" w:rsidRDefault="0031316D" w:rsidP="007667E1">
      <w:pPr>
        <w:pStyle w:val="FootnoteText"/>
      </w:pPr>
      <w:r>
        <w:rPr>
          <w:rStyle w:val="FootnoteReference"/>
        </w:rPr>
        <w:footnoteRef/>
      </w:r>
      <w:r>
        <w:t xml:space="preserve"> </w:t>
      </w:r>
      <w:r w:rsidR="00F411D6">
        <w:t xml:space="preserve">Therapeutic Goods Administration (TGA) </w:t>
      </w:r>
      <w:r w:rsidR="007667E1">
        <w:t>Australian Product Information – Clexane and Clexane Forte (Enoxaparin Sodium). Available at</w:t>
      </w:r>
      <w:r w:rsidR="00EB00F3">
        <w:t xml:space="preserve">: </w:t>
      </w:r>
      <w:hyperlink r:id="rId1" w:history="1">
        <w:r w:rsidR="00EB00F3" w:rsidRPr="00392053">
          <w:rPr>
            <w:rStyle w:val="Hyperlink"/>
          </w:rPr>
          <w:t>https://www.ebs.tga.gov.au/ebs/picmi/picmirepository.nsf/pdf?OpenAgent=&amp;id=CP-2010-PI-06891-3&amp;d=20231218172310101</w:t>
        </w:r>
      </w:hyperlink>
      <w:r w:rsidR="00EB00F3">
        <w:t>.</w:t>
      </w:r>
    </w:p>
  </w:footnote>
  <w:footnote w:id="3">
    <w:p w14:paraId="224CD836" w14:textId="773C8A3F" w:rsidR="001431B9" w:rsidRDefault="001431B9">
      <w:pPr>
        <w:pStyle w:val="FootnoteText"/>
      </w:pPr>
      <w:r>
        <w:rPr>
          <w:rStyle w:val="FootnoteReference"/>
        </w:rPr>
        <w:footnoteRef/>
      </w:r>
      <w:r>
        <w:t xml:space="preserve"> In this report the ‘</w:t>
      </w:r>
      <w:r w:rsidRPr="00C133A3">
        <w:t>Delegate</w:t>
      </w:r>
      <w:r>
        <w:t>’</w:t>
      </w:r>
      <w:r w:rsidRPr="00C133A3">
        <w:t xml:space="preserve"> </w:t>
      </w:r>
      <w:r>
        <w:t xml:space="preserve">is the </w:t>
      </w:r>
      <w:r w:rsidRPr="00C133A3">
        <w:t xml:space="preserve">Delegate of the Secretary of the Department of Health and Aged Care who </w:t>
      </w:r>
      <w:r>
        <w:t>decided the submission</w:t>
      </w:r>
      <w:r w:rsidRPr="00C133A3">
        <w:t xml:space="preserve"> under section 25 of the Act.</w:t>
      </w:r>
    </w:p>
  </w:footnote>
  <w:footnote w:id="4">
    <w:p w14:paraId="74FA9702" w14:textId="4606D89A" w:rsidR="00711DEF" w:rsidRDefault="00711DEF">
      <w:pPr>
        <w:pStyle w:val="FootnoteText"/>
      </w:pPr>
      <w:r>
        <w:rPr>
          <w:rStyle w:val="FootnoteReference"/>
        </w:rPr>
        <w:footnoteRef/>
      </w:r>
      <w:r>
        <w:t xml:space="preserve"> </w:t>
      </w:r>
      <w:r w:rsidRPr="00EB00F3">
        <w:rPr>
          <w:b/>
          <w:bCs/>
        </w:rPr>
        <w:t>Good Laboratory Practice (GLP)</w:t>
      </w:r>
      <w:r w:rsidRPr="00711DEF">
        <w:t xml:space="preserve"> is a code of standards following the International Council on Harmonisation (ICH) relevant to testing of medicines in laboratories during drug development.</w:t>
      </w:r>
    </w:p>
  </w:footnote>
  <w:footnote w:id="5">
    <w:p w14:paraId="7DD3BC03" w14:textId="4FFF6FCF" w:rsidR="0081189D" w:rsidRDefault="0081189D">
      <w:pPr>
        <w:pStyle w:val="FootnoteText"/>
      </w:pPr>
      <w:r>
        <w:rPr>
          <w:rStyle w:val="FootnoteReference"/>
        </w:rPr>
        <w:footnoteRef/>
      </w:r>
      <w:r>
        <w:t xml:space="preserve"> </w:t>
      </w:r>
      <w:r w:rsidRPr="0081189D">
        <w:t>European Medicines Agency (EMEA), Committee for Medicinal Products for Human Use (CHMP), Guideline on Non-clinical and Clinical Development of Similar Biological Medicinal Products Containing Low Molecular-Weight-Heparins, EMEA/CHMP/BMWP/118264/2007 Rev. 1, 10 November 2016.</w:t>
      </w:r>
    </w:p>
  </w:footnote>
  <w:footnote w:id="6">
    <w:p w14:paraId="7E268CF2" w14:textId="07A1D218" w:rsidR="00816AD2" w:rsidRDefault="00816AD2" w:rsidP="00816AD2">
      <w:pPr>
        <w:pStyle w:val="FootnoteText"/>
      </w:pPr>
      <w:r>
        <w:rPr>
          <w:rStyle w:val="FootnoteReference"/>
        </w:rPr>
        <w:footnoteRef/>
      </w:r>
      <w:r>
        <w:t xml:space="preserve"> </w:t>
      </w:r>
      <w:r w:rsidR="00F411D6">
        <w:t xml:space="preserve">Therapeutic Goods Administration (TGA) </w:t>
      </w:r>
      <w:r w:rsidR="00DD6BFB" w:rsidRPr="00DD6BFB">
        <w:t>Australian Public Assessment Report</w:t>
      </w:r>
      <w:r w:rsidR="00DD6BFB">
        <w:t xml:space="preserve"> for </w:t>
      </w:r>
      <w:r w:rsidR="008C0E0E" w:rsidRPr="008C0E0E">
        <w:t xml:space="preserve">Enoxapo </w:t>
      </w:r>
      <w:r w:rsidR="008C0E0E">
        <w:t>(</w:t>
      </w:r>
      <w:r w:rsidR="00E67698" w:rsidRPr="00E67698">
        <w:t>Enoxaparin sodium</w:t>
      </w:r>
      <w:r w:rsidR="008C0E0E">
        <w:t>). Available a</w:t>
      </w:r>
      <w:r w:rsidR="00F411D6">
        <w:t xml:space="preserve">t: </w:t>
      </w:r>
      <w:hyperlink r:id="rId2" w:history="1">
        <w:r w:rsidR="00F411D6" w:rsidRPr="00392053">
          <w:rPr>
            <w:rStyle w:val="Hyperlink"/>
          </w:rPr>
          <w:t>https://www.tga.gov.au/resources/auspar/auspar-enoxaparin-sodium-0</w:t>
        </w:r>
      </w:hyperlink>
      <w:r w:rsidR="00F411D6">
        <w:t>.</w:t>
      </w:r>
    </w:p>
  </w:footnote>
  <w:footnote w:id="7">
    <w:p w14:paraId="404CC9D9" w14:textId="6EF82653" w:rsidR="00533BEC" w:rsidRDefault="00533BEC" w:rsidP="00533BEC">
      <w:pPr>
        <w:pStyle w:val="FootnoteText"/>
      </w:pPr>
      <w:r>
        <w:rPr>
          <w:rStyle w:val="FootnoteReference"/>
        </w:rPr>
        <w:footnoteRef/>
      </w:r>
      <w:r>
        <w:t xml:space="preserve"> </w:t>
      </w:r>
      <w:r w:rsidR="00C55D96">
        <w:t xml:space="preserve">Therapeutic Goods Administration (TGA) </w:t>
      </w:r>
      <w:r w:rsidR="00936CBC" w:rsidRPr="00936CBC">
        <w:t>Biopharmaceutic studies</w:t>
      </w:r>
      <w:r w:rsidR="00C55D96">
        <w:t xml:space="preserve">, </w:t>
      </w:r>
      <w:r w:rsidR="00C55D96" w:rsidRPr="00C55D96">
        <w:t>16 December 2019</w:t>
      </w:r>
      <w:r w:rsidR="00C55D96">
        <w:t xml:space="preserve">. Available at: </w:t>
      </w:r>
      <w:hyperlink w:history="1"/>
      <w:hyperlink r:id="rId3" w:history="1">
        <w:r w:rsidR="00C55D96" w:rsidRPr="00011A17">
          <w:rPr>
            <w:rStyle w:val="Hyperlink"/>
          </w:rPr>
          <w:t>https://www.tga.gov.au/resources/resource/guidance/biopharmaceutic-studies.</w:t>
        </w:r>
      </w:hyperlink>
    </w:p>
  </w:footnote>
  <w:footnote w:id="8">
    <w:p w14:paraId="5CE86A7D" w14:textId="39421F21" w:rsidR="00533BEC" w:rsidRDefault="00533BEC" w:rsidP="00533BEC">
      <w:pPr>
        <w:pStyle w:val="FootnoteText"/>
      </w:pPr>
      <w:r>
        <w:rPr>
          <w:rStyle w:val="FootnoteReference"/>
        </w:rPr>
        <w:footnoteRef/>
      </w:r>
      <w:r>
        <w:rPr>
          <w:lang w:eastAsia="ja-JP"/>
        </w:rPr>
        <w:t xml:space="preserve"> </w:t>
      </w:r>
      <w:r w:rsidR="00C55D96" w:rsidRPr="00C55D96">
        <w:t>European Medicines Agency (EMEA), Committee for Medicinal Products for Human Use (CHMP), Guideline on Similar Biological Medicinal Products Containing Biotechnology-Derived Proteins as Active Substance: Non-clinical and Clinical Issues, EMEA/CHMP/BMWP/42832/2005 Rev.1, 1 July 2015.</w:t>
      </w:r>
    </w:p>
  </w:footnote>
  <w:footnote w:id="9">
    <w:p w14:paraId="2AB494C7" w14:textId="014113D4" w:rsidR="00881A70" w:rsidRPr="00E80766" w:rsidRDefault="00881A70" w:rsidP="00881A70">
      <w:pPr>
        <w:pStyle w:val="FootnoteText"/>
      </w:pPr>
      <w:r>
        <w:rPr>
          <w:rStyle w:val="FootnoteReference"/>
        </w:rPr>
        <w:footnoteRef/>
      </w:r>
      <w:r>
        <w:t xml:space="preserve"> Quote</w:t>
      </w:r>
      <w:r w:rsidR="00D11C69">
        <w:t>d</w:t>
      </w:r>
      <w:r>
        <w:t xml:space="preserve"> from </w:t>
      </w:r>
      <w:r w:rsidRPr="00E80766">
        <w:t>European Medicines Agency (EMEA), Committee for Medicinal Products for Human Use (CHMP), Guideline on Non-clinical and Clinical Development of Similar Biological Medicinal Products Containing Low Molecular-Weight-Heparins, EMEA/CHMP/BMWP/118264/2007 Rev. 1, 10 November 2016.</w:t>
      </w:r>
    </w:p>
    <w:p w14:paraId="6CBC4DF6" w14:textId="77777777" w:rsidR="00881A70" w:rsidRPr="0005320C" w:rsidRDefault="00881A70" w:rsidP="00881A70">
      <w:pPr>
        <w:pStyle w:val="FootnoteText"/>
        <w:rPr>
          <w:i/>
          <w:iCs/>
        </w:rPr>
      </w:pPr>
      <w:r w:rsidRPr="0005320C">
        <w:rPr>
          <w:i/>
          <w:iCs/>
        </w:rPr>
        <w:t>‘Pivotal evidence for similar efficacy will be derived from the similarity demonstrated in physicochemical, functional and pharmacodynamic comparisons. A dedicated comparative efficacy trial is therefore not considered necessary.’ ‘Biosimilar and reference LMWH [low molecular weight heparin] should exhibit convincingly similar physicochemical and functional characteristics and pharmacodynamic profiles. Under this premise, adverse effects that are related to exaggerated pharmacological effects (for example, bleeding) can be expected at similar frequencies. If, in addition, the impurity profile and the nature of excipients of the biosimilar do not create uncertainties with regard to their impact on safety/ immunogenicity, a safety/immunogenicity study may not be needed. In this case, further exploration of the immunogenic potential as suggested in section 4 (Non-clinical studies) should be performed.’</w:t>
      </w:r>
    </w:p>
  </w:footnote>
  <w:footnote w:id="10">
    <w:p w14:paraId="00F00246" w14:textId="0C46553F" w:rsidR="0005320C" w:rsidRPr="0005320C" w:rsidRDefault="00533BEC" w:rsidP="0005320C">
      <w:pPr>
        <w:pStyle w:val="FootnoteText"/>
      </w:pPr>
      <w:r>
        <w:rPr>
          <w:rStyle w:val="FootnoteReference"/>
        </w:rPr>
        <w:footnoteRef/>
      </w:r>
      <w:r>
        <w:t xml:space="preserve"> </w:t>
      </w:r>
      <w:r w:rsidR="00D11C69">
        <w:t xml:space="preserve">Quoted from </w:t>
      </w:r>
      <w:r w:rsidR="0085657D" w:rsidRPr="0005320C">
        <w:t xml:space="preserve">European Medicines Agency (EMEA), Committee for Medicinal Products for Human Use (CHMP), Guideline on similar biological medicinal products, </w:t>
      </w:r>
      <w:r w:rsidR="0005320C" w:rsidRPr="0005320C">
        <w:t>CHMP/437/04 Rev 1, 23 October 2014.</w:t>
      </w:r>
    </w:p>
    <w:p w14:paraId="463C6EF9" w14:textId="5607B678" w:rsidR="00533BEC" w:rsidRPr="0005320C" w:rsidRDefault="008518DF" w:rsidP="0005320C">
      <w:pPr>
        <w:pStyle w:val="FootnoteText"/>
        <w:rPr>
          <w:i/>
          <w:iCs/>
        </w:rPr>
      </w:pPr>
      <w:r w:rsidRPr="0005320C">
        <w:rPr>
          <w:i/>
          <w:iCs/>
        </w:rPr>
        <w:t>‘</w:t>
      </w:r>
      <w:r w:rsidR="00533BEC" w:rsidRPr="0005320C">
        <w:rPr>
          <w:i/>
          <w:iCs/>
        </w:rPr>
        <w:t>In specific circumstances, a confirmatory clinical trial may not be necessary. This requires that similar efficacy and safety can clearly be deduced from the similarity of physicochemical characteristics, biological activity/potency, and PK and/or PD profiles of the biosimilar and the reference product. In addition, it requires that the impurity profile and the nature of excipients of the biosimilar itself do not give rise to concern.</w:t>
      </w:r>
      <w:r w:rsidRPr="0005320C">
        <w:rPr>
          <w:i/>
          <w:iCs/>
        </w:rPr>
        <w:t>’</w:t>
      </w:r>
    </w:p>
  </w:footnote>
  <w:footnote w:id="11">
    <w:p w14:paraId="1BEE8554" w14:textId="1A692706" w:rsidR="00F03404" w:rsidRDefault="00F03404" w:rsidP="00F66DA6">
      <w:pPr>
        <w:pStyle w:val="FootnoteText"/>
      </w:pPr>
      <w:r>
        <w:rPr>
          <w:rStyle w:val="FootnoteReference"/>
        </w:rPr>
        <w:footnoteRef/>
      </w:r>
      <w:r>
        <w:t xml:space="preserve"> </w:t>
      </w:r>
      <w:r w:rsidRPr="00F03404">
        <w:t>European Medicines Agency (EMEA), Committee for Medicinal Products for Human Use (CHMP),</w:t>
      </w:r>
      <w:r w:rsidR="00F66DA6" w:rsidRPr="00F66DA6">
        <w:t xml:space="preserve"> </w:t>
      </w:r>
      <w:r w:rsidR="00F66DA6">
        <w:t xml:space="preserve">Guideline on Non-clinical and Clinical Development Of Similar Biological Medicinal Products Containing Low-Molecular-Weight-Heparins, </w:t>
      </w:r>
      <w:r w:rsidR="001821B6" w:rsidRPr="001821B6">
        <w:t>EMEA/CHMP/BMWP/118264/2007</w:t>
      </w:r>
      <w:r w:rsidR="001821B6">
        <w:t xml:space="preserve">, </w:t>
      </w:r>
      <w:r w:rsidR="001821B6" w:rsidRPr="001821B6">
        <w:t>19 March 2009</w:t>
      </w:r>
      <w:r w:rsidR="001821B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3517" w14:textId="77777777" w:rsidR="007452E8" w:rsidRPr="00CB0550" w:rsidRDefault="007452E8" w:rsidP="00CB0550">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7452E8" w:rsidRPr="002B29B2" w14:paraId="3E15C3BC" w14:textId="77777777" w:rsidTr="007452E8">
      <w:trPr>
        <w:trHeight w:hRule="exact" w:val="8845"/>
      </w:trPr>
      <w:tc>
        <w:tcPr>
          <w:tcW w:w="11964" w:type="dxa"/>
          <w:vAlign w:val="center"/>
        </w:tcPr>
        <w:p w14:paraId="6FDE4BFB" w14:textId="77777777" w:rsidR="007452E8" w:rsidRPr="002B29B2" w:rsidRDefault="00112BD6" w:rsidP="007452E8">
          <w:pPr>
            <w:ind w:left="-57"/>
            <w:rPr>
              <w:noProof/>
            </w:rPr>
          </w:pPr>
          <w:sdt>
            <w:sdtPr>
              <w:rPr>
                <w:noProof/>
              </w:rPr>
              <w:id w:val="1926993388"/>
              <w:showingPlcHdr/>
              <w:picture/>
            </w:sdtPr>
            <w:sdtEndPr/>
            <w:sdtContent>
              <w:r w:rsidR="007452E8" w:rsidRPr="00F71E1E">
                <w:rPr>
                  <w:noProof/>
                  <w:lang w:val="en-GB" w:eastAsia="en-GB"/>
                </w:rPr>
                <w:drawing>
                  <wp:inline distT="0" distB="0" distL="0" distR="0" wp14:anchorId="5C7F8AC9" wp14:editId="23FC1BBE">
                    <wp:extent cx="7631430" cy="5523865"/>
                    <wp:effectExtent l="0" t="0" r="762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1"/>
                            <pic:cNvPicPr>
                              <a:picLocks noChangeAspect="1" noChangeArrowheads="1"/>
                            </pic:cNvPicPr>
                          </pic:nvPicPr>
                          <pic:blipFill>
                            <a:blip r:embed="rId1" cstate="print"/>
                            <a:srcRect/>
                            <a:stretch>
                              <a:fillRect/>
                            </a:stretch>
                          </pic:blipFill>
                          <pic:spPr bwMode="auto">
                            <a:xfrm>
                              <a:off x="0" y="0"/>
                              <a:ext cx="7631430" cy="5523865"/>
                            </a:xfrm>
                            <a:prstGeom prst="rect">
                              <a:avLst/>
                            </a:prstGeom>
                            <a:noFill/>
                            <a:ln w="9525">
                              <a:noFill/>
                              <a:miter lim="800000"/>
                              <a:headEnd/>
                              <a:tailEnd/>
                            </a:ln>
                          </pic:spPr>
                        </pic:pic>
                      </a:graphicData>
                    </a:graphic>
                  </wp:inline>
                </w:drawing>
              </w:r>
            </w:sdtContent>
          </w:sdt>
        </w:p>
      </w:tc>
    </w:tr>
  </w:tbl>
  <w:p w14:paraId="6402DE55" w14:textId="77777777" w:rsidR="007452E8" w:rsidRDefault="007452E8" w:rsidP="007452E8">
    <w:pPr>
      <w:rPr>
        <w:noProof/>
      </w:rPr>
    </w:pPr>
    <w:r>
      <w:rPr>
        <w:noProof/>
        <w:lang w:val="en-GB" w:eastAsia="en-GB"/>
      </w:rPr>
      <w:drawing>
        <wp:anchor distT="0" distB="0" distL="114300" distR="114300" simplePos="0" relativeHeight="251661312" behindDoc="0" locked="0" layoutInCell="1" allowOverlap="1" wp14:anchorId="19C10218" wp14:editId="1C7A23CB">
          <wp:simplePos x="0" y="0"/>
          <wp:positionH relativeFrom="column">
            <wp:posOffset>-400050</wp:posOffset>
          </wp:positionH>
          <wp:positionV relativeFrom="paragraph">
            <wp:posOffset>-116205</wp:posOffset>
          </wp:positionV>
          <wp:extent cx="2676525" cy="621665"/>
          <wp:effectExtent l="0" t="0" r="9525" b="6985"/>
          <wp:wrapTopAndBottom/>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76525" cy="6216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B29B2">
      <w:rPr>
        <w:noProof/>
        <w:lang w:val="en-GB" w:eastAsia="en-GB"/>
      </w:rPr>
      <w:drawing>
        <wp:anchor distT="0" distB="0" distL="114300" distR="114300" simplePos="0" relativeHeight="251660288" behindDoc="0" locked="0" layoutInCell="0" allowOverlap="1" wp14:anchorId="14BBEAC1" wp14:editId="0829B6F3">
          <wp:simplePos x="0" y="0"/>
          <wp:positionH relativeFrom="page">
            <wp:align>left</wp:align>
          </wp:positionH>
          <wp:positionV relativeFrom="page">
            <wp:posOffset>3239495</wp:posOffset>
          </wp:positionV>
          <wp:extent cx="7663815" cy="4323091"/>
          <wp:effectExtent l="0" t="0" r="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663815" cy="43230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632D" w14:textId="77777777" w:rsidR="007452E8" w:rsidRDefault="007452E8" w:rsidP="007452E8">
    <w:pPr>
      <w:pStyle w:val="Header"/>
    </w:pPr>
    <w:r w:rsidRPr="000F5176">
      <w:t>Therapeutic Goods Administration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477B" w14:textId="77777777" w:rsidR="007452E8" w:rsidRPr="00FE501F" w:rsidRDefault="007452E8" w:rsidP="007452E8">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53F11"/>
    <w:multiLevelType w:val="multilevel"/>
    <w:tmpl w:val="9B4A173E"/>
    <w:styleLink w:val="NumberBullet"/>
    <w:lvl w:ilvl="0">
      <w:start w:val="1"/>
      <w:numFmt w:val="decimal"/>
      <w:pStyle w:val="Numberbullet0"/>
      <w:lvlText w:val="%1."/>
      <w:lvlJc w:val="left"/>
      <w:pPr>
        <w:ind w:left="360" w:hanging="360"/>
      </w:pPr>
      <w:rPr>
        <w:rFonts w:ascii="Arial" w:hAnsi="Arial"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 w15:restartNumberingAfterBreak="0">
    <w:nsid w:val="11954162"/>
    <w:multiLevelType w:val="hybridMultilevel"/>
    <w:tmpl w:val="21E0E150"/>
    <w:lvl w:ilvl="0" w:tplc="66A8C192">
      <w:start w:val="1"/>
      <w:numFmt w:val="bullet"/>
      <w:lvlText w:val=""/>
      <w:lvlJc w:val="left"/>
      <w:pPr>
        <w:ind w:left="720" w:hanging="360"/>
      </w:pPr>
      <w:rPr>
        <w:rFonts w:ascii="Symbol" w:hAnsi="Symbol"/>
      </w:rPr>
    </w:lvl>
    <w:lvl w:ilvl="1" w:tplc="816C6ABA">
      <w:start w:val="1"/>
      <w:numFmt w:val="bullet"/>
      <w:lvlText w:val=""/>
      <w:lvlJc w:val="left"/>
      <w:pPr>
        <w:ind w:left="720" w:hanging="360"/>
      </w:pPr>
      <w:rPr>
        <w:rFonts w:ascii="Symbol" w:hAnsi="Symbol"/>
      </w:rPr>
    </w:lvl>
    <w:lvl w:ilvl="2" w:tplc="FA228082">
      <w:start w:val="1"/>
      <w:numFmt w:val="bullet"/>
      <w:lvlText w:val=""/>
      <w:lvlJc w:val="left"/>
      <w:pPr>
        <w:ind w:left="720" w:hanging="360"/>
      </w:pPr>
      <w:rPr>
        <w:rFonts w:ascii="Symbol" w:hAnsi="Symbol"/>
      </w:rPr>
    </w:lvl>
    <w:lvl w:ilvl="3" w:tplc="5FFA528C">
      <w:start w:val="1"/>
      <w:numFmt w:val="bullet"/>
      <w:lvlText w:val=""/>
      <w:lvlJc w:val="left"/>
      <w:pPr>
        <w:ind w:left="720" w:hanging="360"/>
      </w:pPr>
      <w:rPr>
        <w:rFonts w:ascii="Symbol" w:hAnsi="Symbol"/>
      </w:rPr>
    </w:lvl>
    <w:lvl w:ilvl="4" w:tplc="1ADE0C1E">
      <w:start w:val="1"/>
      <w:numFmt w:val="bullet"/>
      <w:lvlText w:val=""/>
      <w:lvlJc w:val="left"/>
      <w:pPr>
        <w:ind w:left="720" w:hanging="360"/>
      </w:pPr>
      <w:rPr>
        <w:rFonts w:ascii="Symbol" w:hAnsi="Symbol"/>
      </w:rPr>
    </w:lvl>
    <w:lvl w:ilvl="5" w:tplc="1FC2A16A">
      <w:start w:val="1"/>
      <w:numFmt w:val="bullet"/>
      <w:lvlText w:val=""/>
      <w:lvlJc w:val="left"/>
      <w:pPr>
        <w:ind w:left="720" w:hanging="360"/>
      </w:pPr>
      <w:rPr>
        <w:rFonts w:ascii="Symbol" w:hAnsi="Symbol"/>
      </w:rPr>
    </w:lvl>
    <w:lvl w:ilvl="6" w:tplc="CC9273EE">
      <w:start w:val="1"/>
      <w:numFmt w:val="bullet"/>
      <w:lvlText w:val=""/>
      <w:lvlJc w:val="left"/>
      <w:pPr>
        <w:ind w:left="720" w:hanging="360"/>
      </w:pPr>
      <w:rPr>
        <w:rFonts w:ascii="Symbol" w:hAnsi="Symbol"/>
      </w:rPr>
    </w:lvl>
    <w:lvl w:ilvl="7" w:tplc="D0167D44">
      <w:start w:val="1"/>
      <w:numFmt w:val="bullet"/>
      <w:lvlText w:val=""/>
      <w:lvlJc w:val="left"/>
      <w:pPr>
        <w:ind w:left="720" w:hanging="360"/>
      </w:pPr>
      <w:rPr>
        <w:rFonts w:ascii="Symbol" w:hAnsi="Symbol"/>
      </w:rPr>
    </w:lvl>
    <w:lvl w:ilvl="8" w:tplc="19C639C8">
      <w:start w:val="1"/>
      <w:numFmt w:val="bullet"/>
      <w:lvlText w:val=""/>
      <w:lvlJc w:val="left"/>
      <w:pPr>
        <w:ind w:left="720" w:hanging="360"/>
      </w:pPr>
      <w:rPr>
        <w:rFonts w:ascii="Symbol" w:hAnsi="Symbol"/>
      </w:rPr>
    </w:lvl>
  </w:abstractNum>
  <w:abstractNum w:abstractNumId="2" w15:restartNumberingAfterBreak="0">
    <w:nsid w:val="124924E2"/>
    <w:multiLevelType w:val="hybridMultilevel"/>
    <w:tmpl w:val="3170F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15:restartNumberingAfterBreak="0">
    <w:nsid w:val="168F13E9"/>
    <w:multiLevelType w:val="multilevel"/>
    <w:tmpl w:val="520883D8"/>
    <w:styleLink w:val="ListBullets"/>
    <w:lvl w:ilvl="0">
      <w:start w:val="4"/>
      <w:numFmt w:val="bullet"/>
      <w:pStyle w:val="ListBullet"/>
      <w:lvlText w:val="•"/>
      <w:lvlJc w:val="left"/>
      <w:pPr>
        <w:ind w:left="360" w:hanging="360"/>
      </w:pPr>
      <w:rPr>
        <w:rFonts w:ascii="Cambria" w:eastAsia="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17A53F58"/>
    <w:multiLevelType w:val="hybridMultilevel"/>
    <w:tmpl w:val="9006CE9C"/>
    <w:lvl w:ilvl="0" w:tplc="CCE608D2">
      <w:start w:val="1"/>
      <w:numFmt w:val="bullet"/>
      <w:lvlText w:val=""/>
      <w:lvlJc w:val="left"/>
      <w:pPr>
        <w:ind w:left="720" w:hanging="360"/>
      </w:pPr>
      <w:rPr>
        <w:rFonts w:ascii="Symbol" w:hAnsi="Symbol"/>
      </w:rPr>
    </w:lvl>
    <w:lvl w:ilvl="1" w:tplc="DD000D32">
      <w:start w:val="1"/>
      <w:numFmt w:val="bullet"/>
      <w:lvlText w:val=""/>
      <w:lvlJc w:val="left"/>
      <w:pPr>
        <w:ind w:left="720" w:hanging="360"/>
      </w:pPr>
      <w:rPr>
        <w:rFonts w:ascii="Symbol" w:hAnsi="Symbol"/>
      </w:rPr>
    </w:lvl>
    <w:lvl w:ilvl="2" w:tplc="B9A68454">
      <w:start w:val="1"/>
      <w:numFmt w:val="bullet"/>
      <w:lvlText w:val=""/>
      <w:lvlJc w:val="left"/>
      <w:pPr>
        <w:ind w:left="720" w:hanging="360"/>
      </w:pPr>
      <w:rPr>
        <w:rFonts w:ascii="Symbol" w:hAnsi="Symbol"/>
      </w:rPr>
    </w:lvl>
    <w:lvl w:ilvl="3" w:tplc="0F56BB88">
      <w:start w:val="1"/>
      <w:numFmt w:val="bullet"/>
      <w:lvlText w:val=""/>
      <w:lvlJc w:val="left"/>
      <w:pPr>
        <w:ind w:left="720" w:hanging="360"/>
      </w:pPr>
      <w:rPr>
        <w:rFonts w:ascii="Symbol" w:hAnsi="Symbol"/>
      </w:rPr>
    </w:lvl>
    <w:lvl w:ilvl="4" w:tplc="CD46838A">
      <w:start w:val="1"/>
      <w:numFmt w:val="bullet"/>
      <w:lvlText w:val=""/>
      <w:lvlJc w:val="left"/>
      <w:pPr>
        <w:ind w:left="720" w:hanging="360"/>
      </w:pPr>
      <w:rPr>
        <w:rFonts w:ascii="Symbol" w:hAnsi="Symbol"/>
      </w:rPr>
    </w:lvl>
    <w:lvl w:ilvl="5" w:tplc="BBAA1BCC">
      <w:start w:val="1"/>
      <w:numFmt w:val="bullet"/>
      <w:lvlText w:val=""/>
      <w:lvlJc w:val="left"/>
      <w:pPr>
        <w:ind w:left="720" w:hanging="360"/>
      </w:pPr>
      <w:rPr>
        <w:rFonts w:ascii="Symbol" w:hAnsi="Symbol"/>
      </w:rPr>
    </w:lvl>
    <w:lvl w:ilvl="6" w:tplc="BF04908C">
      <w:start w:val="1"/>
      <w:numFmt w:val="bullet"/>
      <w:lvlText w:val=""/>
      <w:lvlJc w:val="left"/>
      <w:pPr>
        <w:ind w:left="720" w:hanging="360"/>
      </w:pPr>
      <w:rPr>
        <w:rFonts w:ascii="Symbol" w:hAnsi="Symbol"/>
      </w:rPr>
    </w:lvl>
    <w:lvl w:ilvl="7" w:tplc="E4DC650E">
      <w:start w:val="1"/>
      <w:numFmt w:val="bullet"/>
      <w:lvlText w:val=""/>
      <w:lvlJc w:val="left"/>
      <w:pPr>
        <w:ind w:left="720" w:hanging="360"/>
      </w:pPr>
      <w:rPr>
        <w:rFonts w:ascii="Symbol" w:hAnsi="Symbol"/>
      </w:rPr>
    </w:lvl>
    <w:lvl w:ilvl="8" w:tplc="2CE8444E">
      <w:start w:val="1"/>
      <w:numFmt w:val="bullet"/>
      <w:lvlText w:val=""/>
      <w:lvlJc w:val="left"/>
      <w:pPr>
        <w:ind w:left="720" w:hanging="360"/>
      </w:pPr>
      <w:rPr>
        <w:rFonts w:ascii="Symbol" w:hAnsi="Symbol"/>
      </w:rPr>
    </w:lvl>
  </w:abstractNum>
  <w:abstractNum w:abstractNumId="6" w15:restartNumberingAfterBreak="0">
    <w:nsid w:val="23FB1C56"/>
    <w:multiLevelType w:val="multilevel"/>
    <w:tmpl w:val="339EBC96"/>
    <w:lvl w:ilvl="0">
      <w:start w:val="1"/>
      <w:numFmt w:val="bullet"/>
      <w:pStyle w:val="ListBullet-dotick"/>
      <w:lvlText w:val=""/>
      <w:lvlJc w:val="left"/>
      <w:pPr>
        <w:ind w:left="360" w:hanging="360"/>
      </w:pPr>
      <w:rPr>
        <w:rFonts w:ascii="Wingdings" w:hAnsi="Wingdings" w:hint="default"/>
        <w:b/>
        <w:i w:val="0"/>
        <w:color w:val="00B050"/>
        <w:sz w:val="24"/>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7" w15:restartNumberingAfterBreak="0">
    <w:nsid w:val="28562F4C"/>
    <w:multiLevelType w:val="hybridMultilevel"/>
    <w:tmpl w:val="4F5E5D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A1D28BF"/>
    <w:multiLevelType w:val="hybridMultilevel"/>
    <w:tmpl w:val="A85EBE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BD92A58"/>
    <w:multiLevelType w:val="hybridMultilevel"/>
    <w:tmpl w:val="632E52AA"/>
    <w:lvl w:ilvl="0" w:tplc="0C090001">
      <w:start w:val="1"/>
      <w:numFmt w:val="bullet"/>
      <w:lvlText w:val=""/>
      <w:lvlJc w:val="left"/>
      <w:pPr>
        <w:ind w:left="6" w:hanging="360"/>
      </w:pPr>
      <w:rPr>
        <w:rFonts w:ascii="Symbol" w:hAnsi="Symbol" w:hint="default"/>
      </w:rPr>
    </w:lvl>
    <w:lvl w:ilvl="1" w:tplc="0C090003">
      <w:start w:val="1"/>
      <w:numFmt w:val="bullet"/>
      <w:lvlText w:val="o"/>
      <w:lvlJc w:val="left"/>
      <w:pPr>
        <w:ind w:left="726" w:hanging="360"/>
      </w:pPr>
      <w:rPr>
        <w:rFonts w:ascii="Courier New" w:hAnsi="Courier New" w:cs="Courier New" w:hint="default"/>
      </w:rPr>
    </w:lvl>
    <w:lvl w:ilvl="2" w:tplc="0C090005">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0" w15:restartNumberingAfterBreak="0">
    <w:nsid w:val="46836578"/>
    <w:multiLevelType w:val="hybridMultilevel"/>
    <w:tmpl w:val="F350D9EC"/>
    <w:lvl w:ilvl="0" w:tplc="B8AAF4A2">
      <w:start w:val="1"/>
      <w:numFmt w:val="bullet"/>
      <w:lvlText w:val=""/>
      <w:lvlJc w:val="left"/>
      <w:pPr>
        <w:ind w:left="720" w:hanging="360"/>
      </w:pPr>
      <w:rPr>
        <w:rFonts w:ascii="Symbol" w:hAnsi="Symbol"/>
      </w:rPr>
    </w:lvl>
    <w:lvl w:ilvl="1" w:tplc="B63ED5FC">
      <w:start w:val="1"/>
      <w:numFmt w:val="bullet"/>
      <w:lvlText w:val=""/>
      <w:lvlJc w:val="left"/>
      <w:pPr>
        <w:ind w:left="720" w:hanging="360"/>
      </w:pPr>
      <w:rPr>
        <w:rFonts w:ascii="Symbol" w:hAnsi="Symbol"/>
      </w:rPr>
    </w:lvl>
    <w:lvl w:ilvl="2" w:tplc="C9C41D84">
      <w:start w:val="1"/>
      <w:numFmt w:val="bullet"/>
      <w:lvlText w:val=""/>
      <w:lvlJc w:val="left"/>
      <w:pPr>
        <w:ind w:left="720" w:hanging="360"/>
      </w:pPr>
      <w:rPr>
        <w:rFonts w:ascii="Symbol" w:hAnsi="Symbol"/>
      </w:rPr>
    </w:lvl>
    <w:lvl w:ilvl="3" w:tplc="A9FCBD70">
      <w:start w:val="1"/>
      <w:numFmt w:val="bullet"/>
      <w:lvlText w:val=""/>
      <w:lvlJc w:val="left"/>
      <w:pPr>
        <w:ind w:left="720" w:hanging="360"/>
      </w:pPr>
      <w:rPr>
        <w:rFonts w:ascii="Symbol" w:hAnsi="Symbol"/>
      </w:rPr>
    </w:lvl>
    <w:lvl w:ilvl="4" w:tplc="28B4DAE8">
      <w:start w:val="1"/>
      <w:numFmt w:val="bullet"/>
      <w:lvlText w:val=""/>
      <w:lvlJc w:val="left"/>
      <w:pPr>
        <w:ind w:left="720" w:hanging="360"/>
      </w:pPr>
      <w:rPr>
        <w:rFonts w:ascii="Symbol" w:hAnsi="Symbol"/>
      </w:rPr>
    </w:lvl>
    <w:lvl w:ilvl="5" w:tplc="7C5A0216">
      <w:start w:val="1"/>
      <w:numFmt w:val="bullet"/>
      <w:lvlText w:val=""/>
      <w:lvlJc w:val="left"/>
      <w:pPr>
        <w:ind w:left="720" w:hanging="360"/>
      </w:pPr>
      <w:rPr>
        <w:rFonts w:ascii="Symbol" w:hAnsi="Symbol"/>
      </w:rPr>
    </w:lvl>
    <w:lvl w:ilvl="6" w:tplc="5D96E20E">
      <w:start w:val="1"/>
      <w:numFmt w:val="bullet"/>
      <w:lvlText w:val=""/>
      <w:lvlJc w:val="left"/>
      <w:pPr>
        <w:ind w:left="720" w:hanging="360"/>
      </w:pPr>
      <w:rPr>
        <w:rFonts w:ascii="Symbol" w:hAnsi="Symbol"/>
      </w:rPr>
    </w:lvl>
    <w:lvl w:ilvl="7" w:tplc="B96E25EA">
      <w:start w:val="1"/>
      <w:numFmt w:val="bullet"/>
      <w:lvlText w:val=""/>
      <w:lvlJc w:val="left"/>
      <w:pPr>
        <w:ind w:left="720" w:hanging="360"/>
      </w:pPr>
      <w:rPr>
        <w:rFonts w:ascii="Symbol" w:hAnsi="Symbol"/>
      </w:rPr>
    </w:lvl>
    <w:lvl w:ilvl="8" w:tplc="ECF04C6A">
      <w:start w:val="1"/>
      <w:numFmt w:val="bullet"/>
      <w:lvlText w:val=""/>
      <w:lvlJc w:val="left"/>
      <w:pPr>
        <w:ind w:left="720" w:hanging="360"/>
      </w:pPr>
      <w:rPr>
        <w:rFonts w:ascii="Symbol" w:hAnsi="Symbol"/>
      </w:rPr>
    </w:lvl>
  </w:abstractNum>
  <w:abstractNum w:abstractNumId="11" w15:restartNumberingAfterBreak="0">
    <w:nsid w:val="48D9005C"/>
    <w:multiLevelType w:val="hybridMultilevel"/>
    <w:tmpl w:val="E4427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8727EB"/>
    <w:multiLevelType w:val="hybridMultilevel"/>
    <w:tmpl w:val="933E5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DB0E79"/>
    <w:multiLevelType w:val="hybridMultilevel"/>
    <w:tmpl w:val="D95410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F7912C9"/>
    <w:multiLevelType w:val="multilevel"/>
    <w:tmpl w:val="D6F4F1DE"/>
    <w:lvl w:ilvl="0">
      <w:start w:val="1"/>
      <w:numFmt w:val="bullet"/>
      <w:pStyle w:val="ListBullet-donotcross"/>
      <w:lvlText w:val=""/>
      <w:lvlJc w:val="left"/>
      <w:pPr>
        <w:ind w:left="785" w:hanging="360"/>
      </w:pPr>
      <w:rPr>
        <w:rFonts w:ascii="Wingdings" w:hAnsi="Wingdings" w:hint="default"/>
        <w:b/>
        <w:i w:val="0"/>
        <w:color w:val="800000"/>
        <w:sz w:val="26"/>
        <w:szCs w:val="22"/>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5" w15:restartNumberingAfterBreak="0">
    <w:nsid w:val="4F8D23DB"/>
    <w:multiLevelType w:val="hybridMultilevel"/>
    <w:tmpl w:val="9A4A81D0"/>
    <w:lvl w:ilvl="0" w:tplc="898EA3AA">
      <w:start w:val="1"/>
      <w:numFmt w:val="bullet"/>
      <w:lvlText w:val=""/>
      <w:lvlJc w:val="left"/>
      <w:pPr>
        <w:ind w:left="720" w:hanging="360"/>
      </w:pPr>
      <w:rPr>
        <w:rFonts w:ascii="Symbol" w:hAnsi="Symbol"/>
      </w:rPr>
    </w:lvl>
    <w:lvl w:ilvl="1" w:tplc="403E12E2">
      <w:start w:val="1"/>
      <w:numFmt w:val="bullet"/>
      <w:lvlText w:val=""/>
      <w:lvlJc w:val="left"/>
      <w:pPr>
        <w:ind w:left="720" w:hanging="360"/>
      </w:pPr>
      <w:rPr>
        <w:rFonts w:ascii="Symbol" w:hAnsi="Symbol"/>
      </w:rPr>
    </w:lvl>
    <w:lvl w:ilvl="2" w:tplc="C678A248">
      <w:start w:val="1"/>
      <w:numFmt w:val="bullet"/>
      <w:lvlText w:val=""/>
      <w:lvlJc w:val="left"/>
      <w:pPr>
        <w:ind w:left="720" w:hanging="360"/>
      </w:pPr>
      <w:rPr>
        <w:rFonts w:ascii="Symbol" w:hAnsi="Symbol"/>
      </w:rPr>
    </w:lvl>
    <w:lvl w:ilvl="3" w:tplc="4EE4EEBA">
      <w:start w:val="1"/>
      <w:numFmt w:val="bullet"/>
      <w:lvlText w:val=""/>
      <w:lvlJc w:val="left"/>
      <w:pPr>
        <w:ind w:left="720" w:hanging="360"/>
      </w:pPr>
      <w:rPr>
        <w:rFonts w:ascii="Symbol" w:hAnsi="Symbol"/>
      </w:rPr>
    </w:lvl>
    <w:lvl w:ilvl="4" w:tplc="F31E8080">
      <w:start w:val="1"/>
      <w:numFmt w:val="bullet"/>
      <w:lvlText w:val=""/>
      <w:lvlJc w:val="left"/>
      <w:pPr>
        <w:ind w:left="720" w:hanging="360"/>
      </w:pPr>
      <w:rPr>
        <w:rFonts w:ascii="Symbol" w:hAnsi="Symbol"/>
      </w:rPr>
    </w:lvl>
    <w:lvl w:ilvl="5" w:tplc="261AFD6A">
      <w:start w:val="1"/>
      <w:numFmt w:val="bullet"/>
      <w:lvlText w:val=""/>
      <w:lvlJc w:val="left"/>
      <w:pPr>
        <w:ind w:left="720" w:hanging="360"/>
      </w:pPr>
      <w:rPr>
        <w:rFonts w:ascii="Symbol" w:hAnsi="Symbol"/>
      </w:rPr>
    </w:lvl>
    <w:lvl w:ilvl="6" w:tplc="94FC1AF8">
      <w:start w:val="1"/>
      <w:numFmt w:val="bullet"/>
      <w:lvlText w:val=""/>
      <w:lvlJc w:val="left"/>
      <w:pPr>
        <w:ind w:left="720" w:hanging="360"/>
      </w:pPr>
      <w:rPr>
        <w:rFonts w:ascii="Symbol" w:hAnsi="Symbol"/>
      </w:rPr>
    </w:lvl>
    <w:lvl w:ilvl="7" w:tplc="FF503C7C">
      <w:start w:val="1"/>
      <w:numFmt w:val="bullet"/>
      <w:lvlText w:val=""/>
      <w:lvlJc w:val="left"/>
      <w:pPr>
        <w:ind w:left="720" w:hanging="360"/>
      </w:pPr>
      <w:rPr>
        <w:rFonts w:ascii="Symbol" w:hAnsi="Symbol"/>
      </w:rPr>
    </w:lvl>
    <w:lvl w:ilvl="8" w:tplc="E8B4BDE6">
      <w:start w:val="1"/>
      <w:numFmt w:val="bullet"/>
      <w:lvlText w:val=""/>
      <w:lvlJc w:val="left"/>
      <w:pPr>
        <w:ind w:left="720" w:hanging="360"/>
      </w:pPr>
      <w:rPr>
        <w:rFonts w:ascii="Symbol" w:hAnsi="Symbol"/>
      </w:rPr>
    </w:lvl>
  </w:abstractNum>
  <w:abstractNum w:abstractNumId="16"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97942D7"/>
    <w:multiLevelType w:val="hybridMultilevel"/>
    <w:tmpl w:val="6BA2B5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7F1C69"/>
    <w:multiLevelType w:val="hybridMultilevel"/>
    <w:tmpl w:val="253CC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D22096"/>
    <w:multiLevelType w:val="hybridMultilevel"/>
    <w:tmpl w:val="9DF2F518"/>
    <w:lvl w:ilvl="0" w:tplc="480AF4BC">
      <w:start w:val="1"/>
      <w:numFmt w:val="bullet"/>
      <w:lvlText w:val=""/>
      <w:lvlJc w:val="left"/>
      <w:pPr>
        <w:ind w:left="720" w:hanging="360"/>
      </w:pPr>
      <w:rPr>
        <w:rFonts w:ascii="Symbol" w:hAnsi="Symbol"/>
      </w:rPr>
    </w:lvl>
    <w:lvl w:ilvl="1" w:tplc="519064D0">
      <w:start w:val="1"/>
      <w:numFmt w:val="bullet"/>
      <w:lvlText w:val=""/>
      <w:lvlJc w:val="left"/>
      <w:pPr>
        <w:ind w:left="720" w:hanging="360"/>
      </w:pPr>
      <w:rPr>
        <w:rFonts w:ascii="Symbol" w:hAnsi="Symbol"/>
      </w:rPr>
    </w:lvl>
    <w:lvl w:ilvl="2" w:tplc="D5968F16">
      <w:start w:val="1"/>
      <w:numFmt w:val="bullet"/>
      <w:lvlText w:val=""/>
      <w:lvlJc w:val="left"/>
      <w:pPr>
        <w:ind w:left="720" w:hanging="360"/>
      </w:pPr>
      <w:rPr>
        <w:rFonts w:ascii="Symbol" w:hAnsi="Symbol"/>
      </w:rPr>
    </w:lvl>
    <w:lvl w:ilvl="3" w:tplc="E800FA06">
      <w:start w:val="1"/>
      <w:numFmt w:val="bullet"/>
      <w:lvlText w:val=""/>
      <w:lvlJc w:val="left"/>
      <w:pPr>
        <w:ind w:left="720" w:hanging="360"/>
      </w:pPr>
      <w:rPr>
        <w:rFonts w:ascii="Symbol" w:hAnsi="Symbol"/>
      </w:rPr>
    </w:lvl>
    <w:lvl w:ilvl="4" w:tplc="6BCA7B38">
      <w:start w:val="1"/>
      <w:numFmt w:val="bullet"/>
      <w:lvlText w:val=""/>
      <w:lvlJc w:val="left"/>
      <w:pPr>
        <w:ind w:left="720" w:hanging="360"/>
      </w:pPr>
      <w:rPr>
        <w:rFonts w:ascii="Symbol" w:hAnsi="Symbol"/>
      </w:rPr>
    </w:lvl>
    <w:lvl w:ilvl="5" w:tplc="AA40038E">
      <w:start w:val="1"/>
      <w:numFmt w:val="bullet"/>
      <w:lvlText w:val=""/>
      <w:lvlJc w:val="left"/>
      <w:pPr>
        <w:ind w:left="720" w:hanging="360"/>
      </w:pPr>
      <w:rPr>
        <w:rFonts w:ascii="Symbol" w:hAnsi="Symbol"/>
      </w:rPr>
    </w:lvl>
    <w:lvl w:ilvl="6" w:tplc="D34480EE">
      <w:start w:val="1"/>
      <w:numFmt w:val="bullet"/>
      <w:lvlText w:val=""/>
      <w:lvlJc w:val="left"/>
      <w:pPr>
        <w:ind w:left="720" w:hanging="360"/>
      </w:pPr>
      <w:rPr>
        <w:rFonts w:ascii="Symbol" w:hAnsi="Symbol"/>
      </w:rPr>
    </w:lvl>
    <w:lvl w:ilvl="7" w:tplc="BABE86B6">
      <w:start w:val="1"/>
      <w:numFmt w:val="bullet"/>
      <w:lvlText w:val=""/>
      <w:lvlJc w:val="left"/>
      <w:pPr>
        <w:ind w:left="720" w:hanging="360"/>
      </w:pPr>
      <w:rPr>
        <w:rFonts w:ascii="Symbol" w:hAnsi="Symbol"/>
      </w:rPr>
    </w:lvl>
    <w:lvl w:ilvl="8" w:tplc="5AD2833C">
      <w:start w:val="1"/>
      <w:numFmt w:val="bullet"/>
      <w:lvlText w:val=""/>
      <w:lvlJc w:val="left"/>
      <w:pPr>
        <w:ind w:left="720" w:hanging="360"/>
      </w:pPr>
      <w:rPr>
        <w:rFonts w:ascii="Symbol" w:hAnsi="Symbol"/>
      </w:rPr>
    </w:lvl>
  </w:abstractNum>
  <w:abstractNum w:abstractNumId="20" w15:restartNumberingAfterBreak="0">
    <w:nsid w:val="61320079"/>
    <w:multiLevelType w:val="hybridMultilevel"/>
    <w:tmpl w:val="A098514E"/>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1" w15:restartNumberingAfterBreak="0">
    <w:nsid w:val="67817EDA"/>
    <w:multiLevelType w:val="hybridMultilevel"/>
    <w:tmpl w:val="8D3015BA"/>
    <w:lvl w:ilvl="0" w:tplc="10BC561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6379A9"/>
    <w:multiLevelType w:val="hybridMultilevel"/>
    <w:tmpl w:val="4FE8D072"/>
    <w:lvl w:ilvl="0" w:tplc="40AA1BA0">
      <w:start w:val="1"/>
      <w:numFmt w:val="bullet"/>
      <w:lvlText w:val=""/>
      <w:lvlJc w:val="left"/>
      <w:pPr>
        <w:ind w:left="720" w:hanging="360"/>
      </w:pPr>
      <w:rPr>
        <w:rFonts w:ascii="Symbol" w:hAnsi="Symbol"/>
      </w:rPr>
    </w:lvl>
    <w:lvl w:ilvl="1" w:tplc="15A0EAC8">
      <w:start w:val="1"/>
      <w:numFmt w:val="bullet"/>
      <w:lvlText w:val=""/>
      <w:lvlJc w:val="left"/>
      <w:pPr>
        <w:ind w:left="720" w:hanging="360"/>
      </w:pPr>
      <w:rPr>
        <w:rFonts w:ascii="Symbol" w:hAnsi="Symbol"/>
      </w:rPr>
    </w:lvl>
    <w:lvl w:ilvl="2" w:tplc="A2A06F8A">
      <w:start w:val="1"/>
      <w:numFmt w:val="bullet"/>
      <w:lvlText w:val=""/>
      <w:lvlJc w:val="left"/>
      <w:pPr>
        <w:ind w:left="720" w:hanging="360"/>
      </w:pPr>
      <w:rPr>
        <w:rFonts w:ascii="Symbol" w:hAnsi="Symbol"/>
      </w:rPr>
    </w:lvl>
    <w:lvl w:ilvl="3" w:tplc="638C4750">
      <w:start w:val="1"/>
      <w:numFmt w:val="bullet"/>
      <w:lvlText w:val=""/>
      <w:lvlJc w:val="left"/>
      <w:pPr>
        <w:ind w:left="720" w:hanging="360"/>
      </w:pPr>
      <w:rPr>
        <w:rFonts w:ascii="Symbol" w:hAnsi="Symbol"/>
      </w:rPr>
    </w:lvl>
    <w:lvl w:ilvl="4" w:tplc="593CA732">
      <w:start w:val="1"/>
      <w:numFmt w:val="bullet"/>
      <w:lvlText w:val=""/>
      <w:lvlJc w:val="left"/>
      <w:pPr>
        <w:ind w:left="720" w:hanging="360"/>
      </w:pPr>
      <w:rPr>
        <w:rFonts w:ascii="Symbol" w:hAnsi="Symbol"/>
      </w:rPr>
    </w:lvl>
    <w:lvl w:ilvl="5" w:tplc="A2B0A4B0">
      <w:start w:val="1"/>
      <w:numFmt w:val="bullet"/>
      <w:lvlText w:val=""/>
      <w:lvlJc w:val="left"/>
      <w:pPr>
        <w:ind w:left="720" w:hanging="360"/>
      </w:pPr>
      <w:rPr>
        <w:rFonts w:ascii="Symbol" w:hAnsi="Symbol"/>
      </w:rPr>
    </w:lvl>
    <w:lvl w:ilvl="6" w:tplc="60CE26AE">
      <w:start w:val="1"/>
      <w:numFmt w:val="bullet"/>
      <w:lvlText w:val=""/>
      <w:lvlJc w:val="left"/>
      <w:pPr>
        <w:ind w:left="720" w:hanging="360"/>
      </w:pPr>
      <w:rPr>
        <w:rFonts w:ascii="Symbol" w:hAnsi="Symbol"/>
      </w:rPr>
    </w:lvl>
    <w:lvl w:ilvl="7" w:tplc="488A39BE">
      <w:start w:val="1"/>
      <w:numFmt w:val="bullet"/>
      <w:lvlText w:val=""/>
      <w:lvlJc w:val="left"/>
      <w:pPr>
        <w:ind w:left="720" w:hanging="360"/>
      </w:pPr>
      <w:rPr>
        <w:rFonts w:ascii="Symbol" w:hAnsi="Symbol"/>
      </w:rPr>
    </w:lvl>
    <w:lvl w:ilvl="8" w:tplc="C188F4DC">
      <w:start w:val="1"/>
      <w:numFmt w:val="bullet"/>
      <w:lvlText w:val=""/>
      <w:lvlJc w:val="left"/>
      <w:pPr>
        <w:ind w:left="720" w:hanging="360"/>
      </w:pPr>
      <w:rPr>
        <w:rFonts w:ascii="Symbol" w:hAnsi="Symbol"/>
      </w:rPr>
    </w:lvl>
  </w:abstractNum>
  <w:abstractNum w:abstractNumId="23" w15:restartNumberingAfterBreak="0">
    <w:nsid w:val="7DF3330A"/>
    <w:multiLevelType w:val="hybridMultilevel"/>
    <w:tmpl w:val="9D287DB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4" w15:restartNumberingAfterBreak="0">
    <w:nsid w:val="7FBA48EB"/>
    <w:multiLevelType w:val="hybridMultilevel"/>
    <w:tmpl w:val="F24C0E20"/>
    <w:lvl w:ilvl="0" w:tplc="0C090001">
      <w:start w:val="1"/>
      <w:numFmt w:val="bullet"/>
      <w:lvlText w:val=""/>
      <w:lvlJc w:val="left"/>
      <w:pPr>
        <w:ind w:left="6" w:hanging="360"/>
      </w:pPr>
      <w:rPr>
        <w:rFonts w:ascii="Symbol" w:hAnsi="Symbol" w:hint="default"/>
      </w:rPr>
    </w:lvl>
    <w:lvl w:ilvl="1" w:tplc="0C090001">
      <w:start w:val="1"/>
      <w:numFmt w:val="bullet"/>
      <w:lvlText w:val=""/>
      <w:lvlJc w:val="left"/>
      <w:pPr>
        <w:ind w:left="726" w:hanging="360"/>
      </w:pPr>
      <w:rPr>
        <w:rFonts w:ascii="Symbol" w:hAnsi="Symbol" w:hint="default"/>
      </w:rPr>
    </w:lvl>
    <w:lvl w:ilvl="2" w:tplc="0C090005">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num w:numId="1" w16cid:durableId="1032997172">
    <w:abstractNumId w:val="4"/>
  </w:num>
  <w:num w:numId="2" w16cid:durableId="1856573705">
    <w:abstractNumId w:val="0"/>
  </w:num>
  <w:num w:numId="3" w16cid:durableId="357703499">
    <w:abstractNumId w:val="3"/>
  </w:num>
  <w:num w:numId="4" w16cid:durableId="1869176708">
    <w:abstractNumId w:val="16"/>
  </w:num>
  <w:num w:numId="5" w16cid:durableId="1652950129">
    <w:abstractNumId w:val="6"/>
  </w:num>
  <w:num w:numId="6" w16cid:durableId="1053193207">
    <w:abstractNumId w:val="14"/>
  </w:num>
  <w:num w:numId="7" w16cid:durableId="201135927">
    <w:abstractNumId w:val="0"/>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8" w16cid:durableId="1604608059">
    <w:abstractNumId w:val="15"/>
  </w:num>
  <w:num w:numId="9" w16cid:durableId="173421270">
    <w:abstractNumId w:val="1"/>
  </w:num>
  <w:num w:numId="10" w16cid:durableId="2108043357">
    <w:abstractNumId w:val="5"/>
  </w:num>
  <w:num w:numId="11" w16cid:durableId="1725904230">
    <w:abstractNumId w:val="10"/>
  </w:num>
  <w:num w:numId="12" w16cid:durableId="141579354">
    <w:abstractNumId w:val="19"/>
  </w:num>
  <w:num w:numId="13" w16cid:durableId="283735081">
    <w:abstractNumId w:val="22"/>
  </w:num>
  <w:num w:numId="14" w16cid:durableId="435297475">
    <w:abstractNumId w:val="12"/>
  </w:num>
  <w:num w:numId="15" w16cid:durableId="669257303">
    <w:abstractNumId w:val="21"/>
  </w:num>
  <w:num w:numId="16" w16cid:durableId="601494596">
    <w:abstractNumId w:val="8"/>
  </w:num>
  <w:num w:numId="17" w16cid:durableId="1316883788">
    <w:abstractNumId w:val="13"/>
  </w:num>
  <w:num w:numId="18" w16cid:durableId="2132622645">
    <w:abstractNumId w:val="17"/>
  </w:num>
  <w:num w:numId="19" w16cid:durableId="1581255753">
    <w:abstractNumId w:val="11"/>
  </w:num>
  <w:num w:numId="20" w16cid:durableId="318964692">
    <w:abstractNumId w:val="18"/>
  </w:num>
  <w:num w:numId="21" w16cid:durableId="1603562552">
    <w:abstractNumId w:val="23"/>
  </w:num>
  <w:num w:numId="22" w16cid:durableId="12607487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7236536">
    <w:abstractNumId w:val="2"/>
  </w:num>
  <w:num w:numId="24" w16cid:durableId="721096677">
    <w:abstractNumId w:val="7"/>
  </w:num>
  <w:num w:numId="25" w16cid:durableId="449007904">
    <w:abstractNumId w:val="24"/>
  </w:num>
  <w:num w:numId="26" w16cid:durableId="1808039402">
    <w:abstractNumId w:val="9"/>
  </w:num>
  <w:num w:numId="27" w16cid:durableId="11720646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C2"/>
    <w:rsid w:val="00000E6E"/>
    <w:rsid w:val="00004431"/>
    <w:rsid w:val="00005062"/>
    <w:rsid w:val="0001006B"/>
    <w:rsid w:val="0001064C"/>
    <w:rsid w:val="00013346"/>
    <w:rsid w:val="0001384A"/>
    <w:rsid w:val="000241B9"/>
    <w:rsid w:val="00031184"/>
    <w:rsid w:val="00032A0F"/>
    <w:rsid w:val="00040D8D"/>
    <w:rsid w:val="00046423"/>
    <w:rsid w:val="0005320C"/>
    <w:rsid w:val="0006104E"/>
    <w:rsid w:val="000640BD"/>
    <w:rsid w:val="00065839"/>
    <w:rsid w:val="00065FDF"/>
    <w:rsid w:val="00071036"/>
    <w:rsid w:val="00077844"/>
    <w:rsid w:val="000848EC"/>
    <w:rsid w:val="00084A20"/>
    <w:rsid w:val="00090510"/>
    <w:rsid w:val="000917AE"/>
    <w:rsid w:val="00094B81"/>
    <w:rsid w:val="000975AA"/>
    <w:rsid w:val="00097711"/>
    <w:rsid w:val="000A1C79"/>
    <w:rsid w:val="000B6B15"/>
    <w:rsid w:val="000C25A7"/>
    <w:rsid w:val="000D78EC"/>
    <w:rsid w:val="000D7934"/>
    <w:rsid w:val="000E2597"/>
    <w:rsid w:val="000E2FC3"/>
    <w:rsid w:val="000E6746"/>
    <w:rsid w:val="000F3ED3"/>
    <w:rsid w:val="000F7B51"/>
    <w:rsid w:val="00101BEE"/>
    <w:rsid w:val="00101CE6"/>
    <w:rsid w:val="00101FB1"/>
    <w:rsid w:val="0010558A"/>
    <w:rsid w:val="001101FF"/>
    <w:rsid w:val="00111041"/>
    <w:rsid w:val="00112BD6"/>
    <w:rsid w:val="00117457"/>
    <w:rsid w:val="0012473C"/>
    <w:rsid w:val="00127A74"/>
    <w:rsid w:val="0013132F"/>
    <w:rsid w:val="0013306D"/>
    <w:rsid w:val="00133F80"/>
    <w:rsid w:val="0013528C"/>
    <w:rsid w:val="001431B9"/>
    <w:rsid w:val="001442A2"/>
    <w:rsid w:val="001468CA"/>
    <w:rsid w:val="001500A8"/>
    <w:rsid w:val="00155D85"/>
    <w:rsid w:val="00165D28"/>
    <w:rsid w:val="00165F2C"/>
    <w:rsid w:val="0017005C"/>
    <w:rsid w:val="00175CD8"/>
    <w:rsid w:val="001821B6"/>
    <w:rsid w:val="00182BD8"/>
    <w:rsid w:val="001901F9"/>
    <w:rsid w:val="00194CB3"/>
    <w:rsid w:val="001974CE"/>
    <w:rsid w:val="001A76F9"/>
    <w:rsid w:val="001B06FF"/>
    <w:rsid w:val="001B1703"/>
    <w:rsid w:val="001B1A02"/>
    <w:rsid w:val="001B20BE"/>
    <w:rsid w:val="001C1C2E"/>
    <w:rsid w:val="001C31A1"/>
    <w:rsid w:val="001C3FA2"/>
    <w:rsid w:val="001C5EE2"/>
    <w:rsid w:val="001D0077"/>
    <w:rsid w:val="001E407B"/>
    <w:rsid w:val="001E7FC6"/>
    <w:rsid w:val="001F0698"/>
    <w:rsid w:val="001F2502"/>
    <w:rsid w:val="001F37EF"/>
    <w:rsid w:val="001F6838"/>
    <w:rsid w:val="001F70A5"/>
    <w:rsid w:val="002017A9"/>
    <w:rsid w:val="0020235D"/>
    <w:rsid w:val="0020369B"/>
    <w:rsid w:val="0020478D"/>
    <w:rsid w:val="00207B4D"/>
    <w:rsid w:val="0021132E"/>
    <w:rsid w:val="002117B1"/>
    <w:rsid w:val="00217CCE"/>
    <w:rsid w:val="002203B1"/>
    <w:rsid w:val="00226F39"/>
    <w:rsid w:val="002334AD"/>
    <w:rsid w:val="00241B60"/>
    <w:rsid w:val="0025785B"/>
    <w:rsid w:val="00257969"/>
    <w:rsid w:val="00257D8F"/>
    <w:rsid w:val="00270CA7"/>
    <w:rsid w:val="00280048"/>
    <w:rsid w:val="002831F9"/>
    <w:rsid w:val="0028489E"/>
    <w:rsid w:val="002848DE"/>
    <w:rsid w:val="00285587"/>
    <w:rsid w:val="0028794E"/>
    <w:rsid w:val="002926EF"/>
    <w:rsid w:val="002A5841"/>
    <w:rsid w:val="002B10BB"/>
    <w:rsid w:val="002B1EDF"/>
    <w:rsid w:val="002B2061"/>
    <w:rsid w:val="002C1232"/>
    <w:rsid w:val="002C1E44"/>
    <w:rsid w:val="002C5C92"/>
    <w:rsid w:val="002C5E29"/>
    <w:rsid w:val="002D0478"/>
    <w:rsid w:val="002D454D"/>
    <w:rsid w:val="002D7127"/>
    <w:rsid w:val="002E02BD"/>
    <w:rsid w:val="002E1E12"/>
    <w:rsid w:val="002F130F"/>
    <w:rsid w:val="002F599E"/>
    <w:rsid w:val="003008D8"/>
    <w:rsid w:val="00301D9A"/>
    <w:rsid w:val="00303959"/>
    <w:rsid w:val="00305269"/>
    <w:rsid w:val="00306E72"/>
    <w:rsid w:val="00312AC3"/>
    <w:rsid w:val="0031316D"/>
    <w:rsid w:val="00314430"/>
    <w:rsid w:val="003163BC"/>
    <w:rsid w:val="003216CF"/>
    <w:rsid w:val="0032351A"/>
    <w:rsid w:val="00323690"/>
    <w:rsid w:val="00324B33"/>
    <w:rsid w:val="00327488"/>
    <w:rsid w:val="00336FE1"/>
    <w:rsid w:val="00342D56"/>
    <w:rsid w:val="003456E7"/>
    <w:rsid w:val="00346EC2"/>
    <w:rsid w:val="003477F9"/>
    <w:rsid w:val="00351A95"/>
    <w:rsid w:val="00352757"/>
    <w:rsid w:val="0035444D"/>
    <w:rsid w:val="00356D62"/>
    <w:rsid w:val="003601A5"/>
    <w:rsid w:val="00363EE3"/>
    <w:rsid w:val="00372F88"/>
    <w:rsid w:val="003735F3"/>
    <w:rsid w:val="00374729"/>
    <w:rsid w:val="00376523"/>
    <w:rsid w:val="00387298"/>
    <w:rsid w:val="00387984"/>
    <w:rsid w:val="00390537"/>
    <w:rsid w:val="00395140"/>
    <w:rsid w:val="003A2422"/>
    <w:rsid w:val="003A4409"/>
    <w:rsid w:val="003B149C"/>
    <w:rsid w:val="003C0FDB"/>
    <w:rsid w:val="003C1192"/>
    <w:rsid w:val="003C2113"/>
    <w:rsid w:val="003C448B"/>
    <w:rsid w:val="003C55E2"/>
    <w:rsid w:val="003C5DE4"/>
    <w:rsid w:val="003C63D5"/>
    <w:rsid w:val="003C7AA8"/>
    <w:rsid w:val="003D71A1"/>
    <w:rsid w:val="003E7ABF"/>
    <w:rsid w:val="003F375A"/>
    <w:rsid w:val="003F410D"/>
    <w:rsid w:val="0041688F"/>
    <w:rsid w:val="0042376F"/>
    <w:rsid w:val="004246B8"/>
    <w:rsid w:val="004248F1"/>
    <w:rsid w:val="00426B7D"/>
    <w:rsid w:val="00431253"/>
    <w:rsid w:val="00433318"/>
    <w:rsid w:val="0044026E"/>
    <w:rsid w:val="00442A56"/>
    <w:rsid w:val="004444B0"/>
    <w:rsid w:val="0045060B"/>
    <w:rsid w:val="00455ED9"/>
    <w:rsid w:val="004626FF"/>
    <w:rsid w:val="00463500"/>
    <w:rsid w:val="0046430C"/>
    <w:rsid w:val="00470A52"/>
    <w:rsid w:val="00471BD5"/>
    <w:rsid w:val="004733D2"/>
    <w:rsid w:val="004756BE"/>
    <w:rsid w:val="00477C4E"/>
    <w:rsid w:val="00477F07"/>
    <w:rsid w:val="00481503"/>
    <w:rsid w:val="00481D12"/>
    <w:rsid w:val="004854A6"/>
    <w:rsid w:val="00487E3E"/>
    <w:rsid w:val="00491A55"/>
    <w:rsid w:val="00494C3E"/>
    <w:rsid w:val="00497DF1"/>
    <w:rsid w:val="004A0E9E"/>
    <w:rsid w:val="004A318E"/>
    <w:rsid w:val="004A57E8"/>
    <w:rsid w:val="004B3081"/>
    <w:rsid w:val="004B4A09"/>
    <w:rsid w:val="004C41CE"/>
    <w:rsid w:val="004C631B"/>
    <w:rsid w:val="004C7FC0"/>
    <w:rsid w:val="004D2F00"/>
    <w:rsid w:val="004D31D8"/>
    <w:rsid w:val="004D5388"/>
    <w:rsid w:val="004D7810"/>
    <w:rsid w:val="004E3B29"/>
    <w:rsid w:val="004E76AE"/>
    <w:rsid w:val="004E7F16"/>
    <w:rsid w:val="004F18EC"/>
    <w:rsid w:val="004F689E"/>
    <w:rsid w:val="00500D68"/>
    <w:rsid w:val="005164B9"/>
    <w:rsid w:val="00523A19"/>
    <w:rsid w:val="0053128D"/>
    <w:rsid w:val="005328CE"/>
    <w:rsid w:val="0053377D"/>
    <w:rsid w:val="00533BEC"/>
    <w:rsid w:val="00535DFE"/>
    <w:rsid w:val="005373B5"/>
    <w:rsid w:val="00537AB7"/>
    <w:rsid w:val="00542AE7"/>
    <w:rsid w:val="0054669B"/>
    <w:rsid w:val="00547C91"/>
    <w:rsid w:val="00551B46"/>
    <w:rsid w:val="005610D1"/>
    <w:rsid w:val="00562D70"/>
    <w:rsid w:val="00562F42"/>
    <w:rsid w:val="00565739"/>
    <w:rsid w:val="0056766D"/>
    <w:rsid w:val="00575215"/>
    <w:rsid w:val="005774A8"/>
    <w:rsid w:val="00583FE2"/>
    <w:rsid w:val="0058575E"/>
    <w:rsid w:val="0058783C"/>
    <w:rsid w:val="005905D5"/>
    <w:rsid w:val="005911AE"/>
    <w:rsid w:val="005926E2"/>
    <w:rsid w:val="0059313A"/>
    <w:rsid w:val="00593399"/>
    <w:rsid w:val="005969BF"/>
    <w:rsid w:val="005A340A"/>
    <w:rsid w:val="005A54EA"/>
    <w:rsid w:val="005A5913"/>
    <w:rsid w:val="005B023F"/>
    <w:rsid w:val="005B02A2"/>
    <w:rsid w:val="005B1417"/>
    <w:rsid w:val="005B69CF"/>
    <w:rsid w:val="005C3F07"/>
    <w:rsid w:val="005C47B9"/>
    <w:rsid w:val="005C4B46"/>
    <w:rsid w:val="005C5DC5"/>
    <w:rsid w:val="005C709E"/>
    <w:rsid w:val="005D2089"/>
    <w:rsid w:val="005D4F6B"/>
    <w:rsid w:val="005D7514"/>
    <w:rsid w:val="005E0FC6"/>
    <w:rsid w:val="005E1A7B"/>
    <w:rsid w:val="005E231F"/>
    <w:rsid w:val="005E3C0A"/>
    <w:rsid w:val="005E70D7"/>
    <w:rsid w:val="005F02E5"/>
    <w:rsid w:val="005F19F4"/>
    <w:rsid w:val="00602D6E"/>
    <w:rsid w:val="00602F99"/>
    <w:rsid w:val="00605C05"/>
    <w:rsid w:val="00611351"/>
    <w:rsid w:val="0061217D"/>
    <w:rsid w:val="0062056A"/>
    <w:rsid w:val="00624735"/>
    <w:rsid w:val="006277A1"/>
    <w:rsid w:val="006279AB"/>
    <w:rsid w:val="00633BD7"/>
    <w:rsid w:val="00634580"/>
    <w:rsid w:val="00634884"/>
    <w:rsid w:val="006351D9"/>
    <w:rsid w:val="00637130"/>
    <w:rsid w:val="0063751A"/>
    <w:rsid w:val="00637F0E"/>
    <w:rsid w:val="006423F2"/>
    <w:rsid w:val="00650234"/>
    <w:rsid w:val="0066044B"/>
    <w:rsid w:val="006630AA"/>
    <w:rsid w:val="00663544"/>
    <w:rsid w:val="00666539"/>
    <w:rsid w:val="00666911"/>
    <w:rsid w:val="00675F81"/>
    <w:rsid w:val="0068143E"/>
    <w:rsid w:val="00684C2B"/>
    <w:rsid w:val="0068507D"/>
    <w:rsid w:val="00691AF2"/>
    <w:rsid w:val="00692B80"/>
    <w:rsid w:val="00692CCD"/>
    <w:rsid w:val="00692D51"/>
    <w:rsid w:val="00694DD7"/>
    <w:rsid w:val="0069636B"/>
    <w:rsid w:val="006968CC"/>
    <w:rsid w:val="006A1762"/>
    <w:rsid w:val="006A1F0B"/>
    <w:rsid w:val="006A277A"/>
    <w:rsid w:val="006A5973"/>
    <w:rsid w:val="006B7126"/>
    <w:rsid w:val="006C0FBB"/>
    <w:rsid w:val="006C3259"/>
    <w:rsid w:val="006C6B86"/>
    <w:rsid w:val="006D4553"/>
    <w:rsid w:val="006D4A35"/>
    <w:rsid w:val="006D6B44"/>
    <w:rsid w:val="006D793A"/>
    <w:rsid w:val="006E0CE2"/>
    <w:rsid w:val="006E27FE"/>
    <w:rsid w:val="00701110"/>
    <w:rsid w:val="00702E91"/>
    <w:rsid w:val="0070330F"/>
    <w:rsid w:val="00703624"/>
    <w:rsid w:val="007046ED"/>
    <w:rsid w:val="007072A1"/>
    <w:rsid w:val="00710BC5"/>
    <w:rsid w:val="00711DEF"/>
    <w:rsid w:val="007121CA"/>
    <w:rsid w:val="0072003B"/>
    <w:rsid w:val="00721059"/>
    <w:rsid w:val="007211E6"/>
    <w:rsid w:val="00721366"/>
    <w:rsid w:val="007220C4"/>
    <w:rsid w:val="007251CE"/>
    <w:rsid w:val="00732361"/>
    <w:rsid w:val="007357B9"/>
    <w:rsid w:val="00741AB9"/>
    <w:rsid w:val="00742D03"/>
    <w:rsid w:val="00744216"/>
    <w:rsid w:val="007452E8"/>
    <w:rsid w:val="00746990"/>
    <w:rsid w:val="00747093"/>
    <w:rsid w:val="00750D70"/>
    <w:rsid w:val="0075357A"/>
    <w:rsid w:val="0075683E"/>
    <w:rsid w:val="007575D0"/>
    <w:rsid w:val="00763D80"/>
    <w:rsid w:val="007662E0"/>
    <w:rsid w:val="007667E1"/>
    <w:rsid w:val="00776AC5"/>
    <w:rsid w:val="00776E9C"/>
    <w:rsid w:val="007774D4"/>
    <w:rsid w:val="007816D8"/>
    <w:rsid w:val="0078377B"/>
    <w:rsid w:val="00784150"/>
    <w:rsid w:val="007875C9"/>
    <w:rsid w:val="00793272"/>
    <w:rsid w:val="00794B64"/>
    <w:rsid w:val="007967C3"/>
    <w:rsid w:val="007A0A33"/>
    <w:rsid w:val="007A7170"/>
    <w:rsid w:val="007B04DE"/>
    <w:rsid w:val="007B0AE6"/>
    <w:rsid w:val="007C0F0B"/>
    <w:rsid w:val="007C4511"/>
    <w:rsid w:val="007C57BC"/>
    <w:rsid w:val="007D04CA"/>
    <w:rsid w:val="007D0A2B"/>
    <w:rsid w:val="007D12A1"/>
    <w:rsid w:val="007D40E5"/>
    <w:rsid w:val="007D4138"/>
    <w:rsid w:val="007E141B"/>
    <w:rsid w:val="007E4178"/>
    <w:rsid w:val="007F0A77"/>
    <w:rsid w:val="007F410F"/>
    <w:rsid w:val="007F50D3"/>
    <w:rsid w:val="007F6A24"/>
    <w:rsid w:val="007F6B1F"/>
    <w:rsid w:val="00804897"/>
    <w:rsid w:val="0080528E"/>
    <w:rsid w:val="0081189D"/>
    <w:rsid w:val="00816AD2"/>
    <w:rsid w:val="0082589C"/>
    <w:rsid w:val="008261C5"/>
    <w:rsid w:val="008329DB"/>
    <w:rsid w:val="008361C5"/>
    <w:rsid w:val="0083628F"/>
    <w:rsid w:val="00837AB9"/>
    <w:rsid w:val="00850637"/>
    <w:rsid w:val="008518DF"/>
    <w:rsid w:val="0085353B"/>
    <w:rsid w:val="00854D98"/>
    <w:rsid w:val="00855CE1"/>
    <w:rsid w:val="0085657D"/>
    <w:rsid w:val="0085751E"/>
    <w:rsid w:val="00860B29"/>
    <w:rsid w:val="008622E8"/>
    <w:rsid w:val="008645EE"/>
    <w:rsid w:val="00870144"/>
    <w:rsid w:val="00873D7A"/>
    <w:rsid w:val="00877CB3"/>
    <w:rsid w:val="008804CF"/>
    <w:rsid w:val="00881A70"/>
    <w:rsid w:val="00882AB0"/>
    <w:rsid w:val="00882D58"/>
    <w:rsid w:val="00882DF0"/>
    <w:rsid w:val="00882F19"/>
    <w:rsid w:val="00883D35"/>
    <w:rsid w:val="00884569"/>
    <w:rsid w:val="00887A51"/>
    <w:rsid w:val="00890D9B"/>
    <w:rsid w:val="00891C6C"/>
    <w:rsid w:val="00893CCD"/>
    <w:rsid w:val="00894690"/>
    <w:rsid w:val="008964B3"/>
    <w:rsid w:val="008B0960"/>
    <w:rsid w:val="008B1CB5"/>
    <w:rsid w:val="008C0E0E"/>
    <w:rsid w:val="008C2D69"/>
    <w:rsid w:val="008C49C6"/>
    <w:rsid w:val="008C754C"/>
    <w:rsid w:val="008D56C9"/>
    <w:rsid w:val="008D6A54"/>
    <w:rsid w:val="008E0BA1"/>
    <w:rsid w:val="008E2585"/>
    <w:rsid w:val="008E2D7A"/>
    <w:rsid w:val="008E3C5D"/>
    <w:rsid w:val="008F3215"/>
    <w:rsid w:val="008F4A62"/>
    <w:rsid w:val="008F4CDE"/>
    <w:rsid w:val="008F7256"/>
    <w:rsid w:val="0090424C"/>
    <w:rsid w:val="0090605E"/>
    <w:rsid w:val="009060AC"/>
    <w:rsid w:val="00910792"/>
    <w:rsid w:val="009108CE"/>
    <w:rsid w:val="00911D92"/>
    <w:rsid w:val="009131B8"/>
    <w:rsid w:val="00915A9F"/>
    <w:rsid w:val="00916455"/>
    <w:rsid w:val="00930D58"/>
    <w:rsid w:val="00935AAA"/>
    <w:rsid w:val="009367BE"/>
    <w:rsid w:val="00936CBC"/>
    <w:rsid w:val="0095031E"/>
    <w:rsid w:val="009525A4"/>
    <w:rsid w:val="00954297"/>
    <w:rsid w:val="00955609"/>
    <w:rsid w:val="00956199"/>
    <w:rsid w:val="00960A56"/>
    <w:rsid w:val="00966EF1"/>
    <w:rsid w:val="00967223"/>
    <w:rsid w:val="009751F7"/>
    <w:rsid w:val="00981112"/>
    <w:rsid w:val="0098350E"/>
    <w:rsid w:val="009937F6"/>
    <w:rsid w:val="0099404F"/>
    <w:rsid w:val="00996FA5"/>
    <w:rsid w:val="00997530"/>
    <w:rsid w:val="009B2431"/>
    <w:rsid w:val="009B5662"/>
    <w:rsid w:val="009C2211"/>
    <w:rsid w:val="009C2917"/>
    <w:rsid w:val="009C40E8"/>
    <w:rsid w:val="009C45C5"/>
    <w:rsid w:val="009C6E32"/>
    <w:rsid w:val="009E6858"/>
    <w:rsid w:val="009E6F8C"/>
    <w:rsid w:val="009F405F"/>
    <w:rsid w:val="00A0154F"/>
    <w:rsid w:val="00A01C56"/>
    <w:rsid w:val="00A01EC9"/>
    <w:rsid w:val="00A022F7"/>
    <w:rsid w:val="00A02613"/>
    <w:rsid w:val="00A32C50"/>
    <w:rsid w:val="00A3438B"/>
    <w:rsid w:val="00A358E7"/>
    <w:rsid w:val="00A36AB8"/>
    <w:rsid w:val="00A4380B"/>
    <w:rsid w:val="00A47375"/>
    <w:rsid w:val="00A51728"/>
    <w:rsid w:val="00A51A2D"/>
    <w:rsid w:val="00A52F8D"/>
    <w:rsid w:val="00A5596B"/>
    <w:rsid w:val="00A629C3"/>
    <w:rsid w:val="00A63C07"/>
    <w:rsid w:val="00A63D9B"/>
    <w:rsid w:val="00A704DC"/>
    <w:rsid w:val="00A7587A"/>
    <w:rsid w:val="00A80BA3"/>
    <w:rsid w:val="00A93DC6"/>
    <w:rsid w:val="00A94108"/>
    <w:rsid w:val="00A9411A"/>
    <w:rsid w:val="00A96912"/>
    <w:rsid w:val="00AA4A4B"/>
    <w:rsid w:val="00AA6682"/>
    <w:rsid w:val="00AB1F1B"/>
    <w:rsid w:val="00AB7C5C"/>
    <w:rsid w:val="00AB7CBF"/>
    <w:rsid w:val="00AC1120"/>
    <w:rsid w:val="00AD0111"/>
    <w:rsid w:val="00AD2404"/>
    <w:rsid w:val="00AD4C72"/>
    <w:rsid w:val="00AD53DF"/>
    <w:rsid w:val="00AD5451"/>
    <w:rsid w:val="00AE1947"/>
    <w:rsid w:val="00AF16D9"/>
    <w:rsid w:val="00AF1C8B"/>
    <w:rsid w:val="00AF299B"/>
    <w:rsid w:val="00AF7E43"/>
    <w:rsid w:val="00B02AE0"/>
    <w:rsid w:val="00B05326"/>
    <w:rsid w:val="00B05B87"/>
    <w:rsid w:val="00B075A9"/>
    <w:rsid w:val="00B07625"/>
    <w:rsid w:val="00B14545"/>
    <w:rsid w:val="00B14E60"/>
    <w:rsid w:val="00B17BA2"/>
    <w:rsid w:val="00B26DC3"/>
    <w:rsid w:val="00B30B9D"/>
    <w:rsid w:val="00B341C9"/>
    <w:rsid w:val="00B35D22"/>
    <w:rsid w:val="00B368BD"/>
    <w:rsid w:val="00B415DF"/>
    <w:rsid w:val="00B4574D"/>
    <w:rsid w:val="00B468E1"/>
    <w:rsid w:val="00B46BC0"/>
    <w:rsid w:val="00B46DFB"/>
    <w:rsid w:val="00B46FCD"/>
    <w:rsid w:val="00B512E9"/>
    <w:rsid w:val="00B5141B"/>
    <w:rsid w:val="00B54541"/>
    <w:rsid w:val="00B550E8"/>
    <w:rsid w:val="00B55681"/>
    <w:rsid w:val="00B56E5D"/>
    <w:rsid w:val="00B57AAD"/>
    <w:rsid w:val="00B72B16"/>
    <w:rsid w:val="00B75B25"/>
    <w:rsid w:val="00B80408"/>
    <w:rsid w:val="00B81397"/>
    <w:rsid w:val="00B83155"/>
    <w:rsid w:val="00B925DB"/>
    <w:rsid w:val="00B967FF"/>
    <w:rsid w:val="00B974B9"/>
    <w:rsid w:val="00BA3F6D"/>
    <w:rsid w:val="00BA4BE6"/>
    <w:rsid w:val="00BA4FC0"/>
    <w:rsid w:val="00BA61E0"/>
    <w:rsid w:val="00BA7F7D"/>
    <w:rsid w:val="00BB1C14"/>
    <w:rsid w:val="00BB3EBA"/>
    <w:rsid w:val="00BB644A"/>
    <w:rsid w:val="00BB6847"/>
    <w:rsid w:val="00BB7F8F"/>
    <w:rsid w:val="00BC716A"/>
    <w:rsid w:val="00BD07DF"/>
    <w:rsid w:val="00BD26F4"/>
    <w:rsid w:val="00BD5DBD"/>
    <w:rsid w:val="00BD5DF6"/>
    <w:rsid w:val="00BE0041"/>
    <w:rsid w:val="00BE2DAE"/>
    <w:rsid w:val="00BE640F"/>
    <w:rsid w:val="00BF4638"/>
    <w:rsid w:val="00C00D87"/>
    <w:rsid w:val="00C059D0"/>
    <w:rsid w:val="00C07551"/>
    <w:rsid w:val="00C1109F"/>
    <w:rsid w:val="00C12D65"/>
    <w:rsid w:val="00C133AB"/>
    <w:rsid w:val="00C20B56"/>
    <w:rsid w:val="00C22214"/>
    <w:rsid w:val="00C26F72"/>
    <w:rsid w:val="00C309A7"/>
    <w:rsid w:val="00C31BC1"/>
    <w:rsid w:val="00C335AB"/>
    <w:rsid w:val="00C37B92"/>
    <w:rsid w:val="00C407AB"/>
    <w:rsid w:val="00C4323D"/>
    <w:rsid w:val="00C52B7B"/>
    <w:rsid w:val="00C537BC"/>
    <w:rsid w:val="00C547CD"/>
    <w:rsid w:val="00C55D96"/>
    <w:rsid w:val="00C56C85"/>
    <w:rsid w:val="00C570FF"/>
    <w:rsid w:val="00C57CEA"/>
    <w:rsid w:val="00C60FEC"/>
    <w:rsid w:val="00C6574E"/>
    <w:rsid w:val="00C707FD"/>
    <w:rsid w:val="00C76DEB"/>
    <w:rsid w:val="00C7735C"/>
    <w:rsid w:val="00C816C6"/>
    <w:rsid w:val="00C863A7"/>
    <w:rsid w:val="00C912F4"/>
    <w:rsid w:val="00C9156F"/>
    <w:rsid w:val="00C9581A"/>
    <w:rsid w:val="00C97D29"/>
    <w:rsid w:val="00CA12AF"/>
    <w:rsid w:val="00CA1CFF"/>
    <w:rsid w:val="00CB027D"/>
    <w:rsid w:val="00CB0550"/>
    <w:rsid w:val="00CB6813"/>
    <w:rsid w:val="00CC351E"/>
    <w:rsid w:val="00CC7084"/>
    <w:rsid w:val="00CD7F09"/>
    <w:rsid w:val="00CE4AD9"/>
    <w:rsid w:val="00CE6754"/>
    <w:rsid w:val="00CF5311"/>
    <w:rsid w:val="00CF6A55"/>
    <w:rsid w:val="00CF6DC6"/>
    <w:rsid w:val="00CF6DCF"/>
    <w:rsid w:val="00D01275"/>
    <w:rsid w:val="00D01DDB"/>
    <w:rsid w:val="00D0341C"/>
    <w:rsid w:val="00D078BE"/>
    <w:rsid w:val="00D10C88"/>
    <w:rsid w:val="00D11C69"/>
    <w:rsid w:val="00D13F8A"/>
    <w:rsid w:val="00D16F60"/>
    <w:rsid w:val="00D217B9"/>
    <w:rsid w:val="00D22981"/>
    <w:rsid w:val="00D3349B"/>
    <w:rsid w:val="00D424A8"/>
    <w:rsid w:val="00D42AE3"/>
    <w:rsid w:val="00D561AC"/>
    <w:rsid w:val="00D6036F"/>
    <w:rsid w:val="00D6104B"/>
    <w:rsid w:val="00D6199A"/>
    <w:rsid w:val="00D62877"/>
    <w:rsid w:val="00D63760"/>
    <w:rsid w:val="00D6703F"/>
    <w:rsid w:val="00D734EB"/>
    <w:rsid w:val="00D74B4D"/>
    <w:rsid w:val="00D76AA5"/>
    <w:rsid w:val="00D80E75"/>
    <w:rsid w:val="00D82713"/>
    <w:rsid w:val="00D8397E"/>
    <w:rsid w:val="00D86F00"/>
    <w:rsid w:val="00D918D5"/>
    <w:rsid w:val="00D91F36"/>
    <w:rsid w:val="00D94C8E"/>
    <w:rsid w:val="00DA58A3"/>
    <w:rsid w:val="00DB1372"/>
    <w:rsid w:val="00DB192C"/>
    <w:rsid w:val="00DB1CF3"/>
    <w:rsid w:val="00DB1D46"/>
    <w:rsid w:val="00DB5425"/>
    <w:rsid w:val="00DB72A6"/>
    <w:rsid w:val="00DC6611"/>
    <w:rsid w:val="00DD6BFB"/>
    <w:rsid w:val="00DD6EB6"/>
    <w:rsid w:val="00DE1344"/>
    <w:rsid w:val="00DE734D"/>
    <w:rsid w:val="00DF5BFE"/>
    <w:rsid w:val="00DF6899"/>
    <w:rsid w:val="00E00D79"/>
    <w:rsid w:val="00E0523F"/>
    <w:rsid w:val="00E053C8"/>
    <w:rsid w:val="00E06CB4"/>
    <w:rsid w:val="00E147CD"/>
    <w:rsid w:val="00E17D4E"/>
    <w:rsid w:val="00E23E50"/>
    <w:rsid w:val="00E26213"/>
    <w:rsid w:val="00E274DF"/>
    <w:rsid w:val="00E30FCF"/>
    <w:rsid w:val="00E34D66"/>
    <w:rsid w:val="00E362C4"/>
    <w:rsid w:val="00E46CC2"/>
    <w:rsid w:val="00E47E0C"/>
    <w:rsid w:val="00E51813"/>
    <w:rsid w:val="00E52C0B"/>
    <w:rsid w:val="00E53D3F"/>
    <w:rsid w:val="00E5579B"/>
    <w:rsid w:val="00E56BCD"/>
    <w:rsid w:val="00E57FF4"/>
    <w:rsid w:val="00E64666"/>
    <w:rsid w:val="00E67698"/>
    <w:rsid w:val="00E679D1"/>
    <w:rsid w:val="00E67C1C"/>
    <w:rsid w:val="00E77C1D"/>
    <w:rsid w:val="00E806B3"/>
    <w:rsid w:val="00E80766"/>
    <w:rsid w:val="00E81D58"/>
    <w:rsid w:val="00E85D47"/>
    <w:rsid w:val="00E91F11"/>
    <w:rsid w:val="00E9706D"/>
    <w:rsid w:val="00EA3AF4"/>
    <w:rsid w:val="00EB00F3"/>
    <w:rsid w:val="00EB2EF1"/>
    <w:rsid w:val="00EB3873"/>
    <w:rsid w:val="00ED3030"/>
    <w:rsid w:val="00EE2664"/>
    <w:rsid w:val="00EF2214"/>
    <w:rsid w:val="00EF3F0B"/>
    <w:rsid w:val="00EF5583"/>
    <w:rsid w:val="00F0289D"/>
    <w:rsid w:val="00F02AEC"/>
    <w:rsid w:val="00F03404"/>
    <w:rsid w:val="00F03CC0"/>
    <w:rsid w:val="00F07572"/>
    <w:rsid w:val="00F113F3"/>
    <w:rsid w:val="00F147E0"/>
    <w:rsid w:val="00F157FC"/>
    <w:rsid w:val="00F2509D"/>
    <w:rsid w:val="00F30AF3"/>
    <w:rsid w:val="00F35511"/>
    <w:rsid w:val="00F35B23"/>
    <w:rsid w:val="00F411D6"/>
    <w:rsid w:val="00F43CD1"/>
    <w:rsid w:val="00F45AE0"/>
    <w:rsid w:val="00F50792"/>
    <w:rsid w:val="00F60CF2"/>
    <w:rsid w:val="00F657B4"/>
    <w:rsid w:val="00F66DA6"/>
    <w:rsid w:val="00F7649F"/>
    <w:rsid w:val="00F8083B"/>
    <w:rsid w:val="00F865A7"/>
    <w:rsid w:val="00F91BA1"/>
    <w:rsid w:val="00FA0754"/>
    <w:rsid w:val="00FA19CA"/>
    <w:rsid w:val="00FA1BC9"/>
    <w:rsid w:val="00FA49C3"/>
    <w:rsid w:val="00FA56A6"/>
    <w:rsid w:val="00FA6592"/>
    <w:rsid w:val="00FA7531"/>
    <w:rsid w:val="00FB236E"/>
    <w:rsid w:val="00FB3F7B"/>
    <w:rsid w:val="00FB4C2A"/>
    <w:rsid w:val="00FC2107"/>
    <w:rsid w:val="00FC294F"/>
    <w:rsid w:val="00FC48FE"/>
    <w:rsid w:val="00FC6927"/>
    <w:rsid w:val="00FC6F56"/>
    <w:rsid w:val="00FD79F5"/>
    <w:rsid w:val="00FE087C"/>
    <w:rsid w:val="00FE0D0D"/>
    <w:rsid w:val="00FE79A0"/>
    <w:rsid w:val="00FF09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4C024"/>
  <w15:chartTrackingRefBased/>
  <w15:docId w15:val="{3B7A0CE6-F5BB-4D40-8ED5-1531A62F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49C"/>
    <w:rPr>
      <w:rFonts w:ascii="Cambria" w:hAnsi="Cambria"/>
      <w:sz w:val="22"/>
    </w:rPr>
  </w:style>
  <w:style w:type="paragraph" w:styleId="Heading2">
    <w:name w:val="heading 2"/>
    <w:basedOn w:val="Normal"/>
    <w:next w:val="Normal"/>
    <w:link w:val="Heading2Char"/>
    <w:qFormat/>
    <w:rsid w:val="00F02AEC"/>
    <w:pPr>
      <w:keepNext/>
      <w:keepLines/>
      <w:spacing w:before="480" w:line="240" w:lineRule="atLeast"/>
      <w:outlineLvl w:val="1"/>
    </w:pPr>
    <w:rPr>
      <w:rFonts w:ascii="Arial" w:eastAsia="Times New Roman" w:hAnsi="Arial" w:cs="Times New Roman"/>
      <w:b/>
      <w:bCs/>
      <w:color w:val="001871"/>
      <w:sz w:val="38"/>
      <w:szCs w:val="38"/>
    </w:rPr>
  </w:style>
  <w:style w:type="paragraph" w:styleId="Heading3">
    <w:name w:val="heading 3"/>
    <w:basedOn w:val="Normal"/>
    <w:next w:val="Normal"/>
    <w:link w:val="Heading3Char"/>
    <w:qFormat/>
    <w:rsid w:val="00F02AEC"/>
    <w:pPr>
      <w:keepNext/>
      <w:keepLines/>
      <w:spacing w:before="480" w:line="240" w:lineRule="atLeast"/>
      <w:outlineLvl w:val="2"/>
    </w:pPr>
    <w:rPr>
      <w:rFonts w:ascii="Arial" w:eastAsia="Times New Roman" w:hAnsi="Arial" w:cs="Times New Roman"/>
      <w:b/>
      <w:bCs/>
      <w:color w:val="001871"/>
      <w:sz w:val="32"/>
      <w:szCs w:val="32"/>
    </w:rPr>
  </w:style>
  <w:style w:type="paragraph" w:styleId="Heading4">
    <w:name w:val="heading 4"/>
    <w:basedOn w:val="Normal"/>
    <w:next w:val="Normal"/>
    <w:link w:val="Heading4Char"/>
    <w:qFormat/>
    <w:rsid w:val="00F02AEC"/>
    <w:pPr>
      <w:keepNext/>
      <w:keepLines/>
      <w:spacing w:before="360" w:line="240" w:lineRule="atLeast"/>
      <w:outlineLvl w:val="3"/>
    </w:pPr>
    <w:rPr>
      <w:rFonts w:ascii="Arial" w:eastAsia="Cambria" w:hAnsi="Arial" w:cs="Times New Roman"/>
      <w:b/>
      <w:bCs/>
      <w:color w:val="001871"/>
      <w:sz w:val="28"/>
      <w:szCs w:val="26"/>
    </w:rPr>
  </w:style>
  <w:style w:type="paragraph" w:styleId="Heading5">
    <w:name w:val="heading 5"/>
    <w:basedOn w:val="Normal"/>
    <w:next w:val="Normal"/>
    <w:link w:val="Heading5Char"/>
    <w:uiPriority w:val="9"/>
    <w:rsid w:val="00F02AEC"/>
    <w:pPr>
      <w:keepNext/>
      <w:keepLines/>
      <w:spacing w:before="240" w:line="240" w:lineRule="atLeast"/>
      <w:outlineLvl w:val="4"/>
    </w:pPr>
    <w:rPr>
      <w:rFonts w:ascii="Arial" w:eastAsia="Times New Roman" w:hAnsi="Arial" w:cs="Times New Roman"/>
      <w:b/>
      <w:bCs/>
      <w:i/>
      <w:color w:val="001871"/>
      <w:sz w:val="26"/>
      <w:szCs w:val="26"/>
    </w:rPr>
  </w:style>
  <w:style w:type="paragraph" w:styleId="Heading6">
    <w:name w:val="heading 6"/>
    <w:basedOn w:val="Normal"/>
    <w:next w:val="Normal"/>
    <w:link w:val="Heading6Char"/>
    <w:uiPriority w:val="9"/>
    <w:rsid w:val="00F02AEC"/>
    <w:pPr>
      <w:keepNext/>
      <w:keepLines/>
      <w:spacing w:before="240" w:line="240" w:lineRule="atLeast"/>
      <w:outlineLvl w:val="5"/>
    </w:pPr>
    <w:rPr>
      <w:rFonts w:ascii="Arial" w:eastAsia="Times New Roman" w:hAnsi="Arial" w:cs="Times New Roman"/>
      <w:b/>
      <w:bCs/>
      <w:i/>
      <w:color w:val="001871"/>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TGAblue2023">
    <w:name w:val="Table TGA blue 2023"/>
    <w:basedOn w:val="TableNormal"/>
    <w:uiPriority w:val="99"/>
    <w:qFormat/>
    <w:rsid w:val="008329DB"/>
    <w:pPr>
      <w:spacing w:before="80" w:after="40" w:line="264" w:lineRule="auto"/>
      <w:ind w:left="113"/>
    </w:pPr>
    <w:rPr>
      <w:rFonts w:ascii="Arial" w:eastAsia="Cambria" w:hAnsi="Arial" w:cs="Times New Roman"/>
      <w:color w:val="000000"/>
      <w:sz w:val="18"/>
      <w:szCs w:val="21"/>
      <w:lang w:eastAsia="en-AU"/>
    </w:rPr>
    <w:tblPr>
      <w:tblBorders>
        <w:top w:val="single" w:sz="4" w:space="0" w:color="263287"/>
        <w:left w:val="single" w:sz="4" w:space="0" w:color="263287"/>
        <w:bottom w:val="single" w:sz="4" w:space="0" w:color="263287"/>
        <w:right w:val="single" w:sz="4" w:space="0" w:color="263287"/>
        <w:insideH w:val="single" w:sz="4" w:space="0" w:color="263287"/>
        <w:insideV w:val="single" w:sz="4" w:space="0" w:color="263287"/>
      </w:tblBorders>
    </w:tblPr>
    <w:trPr>
      <w:cantSplit/>
    </w:trPr>
    <w:tcPr>
      <w:shd w:val="clear" w:color="auto" w:fill="FFFFFF" w:themeFill="background1"/>
    </w:tcPr>
    <w:tblStylePr w:type="firstRow">
      <w:pPr>
        <w:keepNext/>
        <w:wordWrap/>
      </w:pPr>
      <w:rPr>
        <w:rFonts w:ascii="Arial" w:hAnsi="Arial"/>
        <w:b/>
        <w:color w:val="263287"/>
        <w:sz w:val="22"/>
      </w:rPr>
      <w:tblPr/>
      <w:trPr>
        <w:tblHeader/>
      </w:trPr>
      <w:tcPr>
        <w:shd w:val="clear" w:color="auto" w:fill="DEEAF6" w:themeFill="accent5" w:themeFillTint="33"/>
      </w:tcPr>
    </w:tblStylePr>
    <w:tblStylePr w:type="firstCol">
      <w:pPr>
        <w:keepNext w:val="0"/>
        <w:wordWrap/>
      </w:pPr>
    </w:tblStylePr>
  </w:style>
  <w:style w:type="character" w:customStyle="1" w:styleId="Heading2Char">
    <w:name w:val="Heading 2 Char"/>
    <w:basedOn w:val="DefaultParagraphFont"/>
    <w:link w:val="Heading2"/>
    <w:rsid w:val="00F02AEC"/>
    <w:rPr>
      <w:rFonts w:ascii="Arial" w:eastAsia="Times New Roman" w:hAnsi="Arial" w:cs="Times New Roman"/>
      <w:b/>
      <w:bCs/>
      <w:color w:val="001871"/>
      <w:sz w:val="38"/>
      <w:szCs w:val="38"/>
    </w:rPr>
  </w:style>
  <w:style w:type="character" w:customStyle="1" w:styleId="Heading3Char">
    <w:name w:val="Heading 3 Char"/>
    <w:basedOn w:val="DefaultParagraphFont"/>
    <w:link w:val="Heading3"/>
    <w:rsid w:val="00F02AEC"/>
    <w:rPr>
      <w:rFonts w:ascii="Arial" w:eastAsia="Times New Roman" w:hAnsi="Arial" w:cs="Times New Roman"/>
      <w:b/>
      <w:bCs/>
      <w:color w:val="001871"/>
      <w:sz w:val="32"/>
      <w:szCs w:val="32"/>
    </w:rPr>
  </w:style>
  <w:style w:type="character" w:customStyle="1" w:styleId="Heading4Char">
    <w:name w:val="Heading 4 Char"/>
    <w:basedOn w:val="DefaultParagraphFont"/>
    <w:link w:val="Heading4"/>
    <w:rsid w:val="00F02AEC"/>
    <w:rPr>
      <w:rFonts w:ascii="Arial" w:eastAsia="Cambria" w:hAnsi="Arial" w:cs="Times New Roman"/>
      <w:b/>
      <w:bCs/>
      <w:color w:val="001871"/>
      <w:sz w:val="28"/>
      <w:szCs w:val="26"/>
    </w:rPr>
  </w:style>
  <w:style w:type="character" w:customStyle="1" w:styleId="Heading5Char">
    <w:name w:val="Heading 5 Char"/>
    <w:basedOn w:val="DefaultParagraphFont"/>
    <w:link w:val="Heading5"/>
    <w:uiPriority w:val="9"/>
    <w:rsid w:val="00F02AEC"/>
    <w:rPr>
      <w:rFonts w:ascii="Arial" w:eastAsia="Times New Roman" w:hAnsi="Arial" w:cs="Times New Roman"/>
      <w:b/>
      <w:bCs/>
      <w:i/>
      <w:color w:val="001871"/>
      <w:sz w:val="26"/>
      <w:szCs w:val="26"/>
    </w:rPr>
  </w:style>
  <w:style w:type="character" w:customStyle="1" w:styleId="Heading6Char">
    <w:name w:val="Heading 6 Char"/>
    <w:basedOn w:val="DefaultParagraphFont"/>
    <w:link w:val="Heading6"/>
    <w:uiPriority w:val="9"/>
    <w:rsid w:val="00F02AEC"/>
    <w:rPr>
      <w:rFonts w:ascii="Arial" w:eastAsia="Times New Roman" w:hAnsi="Arial" w:cs="Times New Roman"/>
      <w:b/>
      <w:bCs/>
      <w:i/>
      <w:color w:val="001871"/>
      <w:sz w:val="24"/>
      <w:szCs w:val="21"/>
    </w:rPr>
  </w:style>
  <w:style w:type="paragraph" w:styleId="Date">
    <w:name w:val="Date"/>
    <w:basedOn w:val="Normal"/>
    <w:next w:val="Normal"/>
    <w:link w:val="DateChar"/>
    <w:uiPriority w:val="99"/>
    <w:rsid w:val="00F02AEC"/>
    <w:pPr>
      <w:spacing w:before="120" w:after="0" w:line="240" w:lineRule="atLeast"/>
    </w:pPr>
    <w:rPr>
      <w:rFonts w:ascii="Arial" w:eastAsia="Cambria" w:hAnsi="Arial" w:cs="Times New Roman"/>
      <w:color w:val="333F4A"/>
      <w:sz w:val="28"/>
    </w:rPr>
  </w:style>
  <w:style w:type="character" w:customStyle="1" w:styleId="DateChar">
    <w:name w:val="Date Char"/>
    <w:basedOn w:val="DefaultParagraphFont"/>
    <w:link w:val="Date"/>
    <w:uiPriority w:val="99"/>
    <w:rsid w:val="00F02AEC"/>
    <w:rPr>
      <w:rFonts w:ascii="Arial" w:eastAsia="Cambria" w:hAnsi="Arial" w:cs="Times New Roman"/>
      <w:color w:val="333F4A"/>
      <w:sz w:val="28"/>
      <w:szCs w:val="20"/>
    </w:rPr>
  </w:style>
  <w:style w:type="paragraph" w:styleId="Footer">
    <w:name w:val="footer"/>
    <w:basedOn w:val="Normal"/>
    <w:link w:val="FooterChar"/>
    <w:uiPriority w:val="99"/>
    <w:rsid w:val="0056766D"/>
    <w:pPr>
      <w:tabs>
        <w:tab w:val="center" w:pos="4513"/>
        <w:tab w:val="right" w:pos="9026"/>
      </w:tabs>
      <w:spacing w:after="0" w:line="240" w:lineRule="auto"/>
    </w:pPr>
    <w:rPr>
      <w:rFonts w:eastAsia="Cambria" w:cs="Times New Roman"/>
      <w:color w:val="333F4A"/>
      <w:sz w:val="17"/>
    </w:rPr>
  </w:style>
  <w:style w:type="character" w:customStyle="1" w:styleId="FooterChar">
    <w:name w:val="Footer Char"/>
    <w:basedOn w:val="DefaultParagraphFont"/>
    <w:link w:val="Footer"/>
    <w:uiPriority w:val="99"/>
    <w:rsid w:val="0056766D"/>
    <w:rPr>
      <w:rFonts w:ascii="Cambria" w:eastAsia="Cambria" w:hAnsi="Cambria" w:cs="Times New Roman"/>
      <w:color w:val="333F4A"/>
      <w:sz w:val="17"/>
    </w:rPr>
  </w:style>
  <w:style w:type="paragraph" w:styleId="Header">
    <w:name w:val="header"/>
    <w:basedOn w:val="Normal"/>
    <w:link w:val="HeaderChar"/>
    <w:uiPriority w:val="99"/>
    <w:rsid w:val="00F02AEC"/>
    <w:pPr>
      <w:pBdr>
        <w:bottom w:val="single" w:sz="4" w:space="3" w:color="auto"/>
      </w:pBdr>
      <w:tabs>
        <w:tab w:val="center" w:pos="4513"/>
        <w:tab w:val="right" w:pos="9026"/>
      </w:tabs>
      <w:spacing w:after="0" w:line="240" w:lineRule="auto"/>
      <w:jc w:val="right"/>
    </w:pPr>
    <w:rPr>
      <w:rFonts w:ascii="Arial" w:eastAsia="Cambria" w:hAnsi="Arial" w:cs="Times New Roman"/>
      <w:color w:val="333F4A"/>
      <w:sz w:val="17"/>
    </w:rPr>
  </w:style>
  <w:style w:type="character" w:customStyle="1" w:styleId="HeaderChar">
    <w:name w:val="Header Char"/>
    <w:basedOn w:val="DefaultParagraphFont"/>
    <w:link w:val="Header"/>
    <w:uiPriority w:val="99"/>
    <w:rsid w:val="00F02AEC"/>
    <w:rPr>
      <w:rFonts w:ascii="Arial" w:eastAsia="Cambria" w:hAnsi="Arial" w:cs="Times New Roman"/>
      <w:color w:val="333F4A"/>
      <w:sz w:val="17"/>
      <w:szCs w:val="20"/>
    </w:rPr>
  </w:style>
  <w:style w:type="character" w:styleId="Hyperlink">
    <w:name w:val="Hyperlink"/>
    <w:basedOn w:val="DefaultParagraphFont"/>
    <w:uiPriority w:val="99"/>
    <w:unhideWhenUsed/>
    <w:rsid w:val="0056766D"/>
    <w:rPr>
      <w:rFonts w:ascii="Cambria" w:hAnsi="Cambria"/>
      <w:color w:val="0000FF"/>
      <w:u w:val="single"/>
    </w:rPr>
  </w:style>
  <w:style w:type="paragraph" w:customStyle="1" w:styleId="LegalCopy">
    <w:name w:val="Legal Copy"/>
    <w:basedOn w:val="Footer"/>
    <w:rsid w:val="0056766D"/>
  </w:style>
  <w:style w:type="paragraph" w:customStyle="1" w:styleId="LegalSubheading">
    <w:name w:val="Legal Subheading"/>
    <w:basedOn w:val="Footer"/>
    <w:rsid w:val="0056766D"/>
    <w:pPr>
      <w:outlineLvl w:val="1"/>
    </w:pPr>
    <w:rPr>
      <w:b/>
    </w:rPr>
  </w:style>
  <w:style w:type="paragraph" w:styleId="ListBullet">
    <w:name w:val="List Bullet"/>
    <w:basedOn w:val="Normal"/>
    <w:uiPriority w:val="2"/>
    <w:qFormat/>
    <w:rsid w:val="00FC6F56"/>
    <w:pPr>
      <w:numPr>
        <w:numId w:val="1"/>
      </w:numPr>
      <w:spacing w:before="120" w:after="180" w:line="240" w:lineRule="atLeast"/>
    </w:pPr>
    <w:rPr>
      <w:rFonts w:eastAsia="Cambria" w:cs="Times New Roman"/>
      <w:color w:val="000000" w:themeColor="text1"/>
    </w:rPr>
  </w:style>
  <w:style w:type="paragraph" w:styleId="ListBullet2">
    <w:name w:val="List Bullet 2"/>
    <w:basedOn w:val="Normal"/>
    <w:uiPriority w:val="2"/>
    <w:qFormat/>
    <w:rsid w:val="00FC6F56"/>
    <w:pPr>
      <w:numPr>
        <w:ilvl w:val="1"/>
        <w:numId w:val="1"/>
      </w:numPr>
      <w:spacing w:before="120" w:after="180" w:line="240" w:lineRule="atLeast"/>
      <w:ind w:left="850" w:hanging="425"/>
    </w:pPr>
    <w:rPr>
      <w:rFonts w:eastAsia="Cambria" w:cs="Times New Roman"/>
      <w:color w:val="000000" w:themeColor="text1"/>
    </w:rPr>
  </w:style>
  <w:style w:type="paragraph" w:styleId="ListBullet3">
    <w:name w:val="List Bullet 3"/>
    <w:basedOn w:val="Normal"/>
    <w:uiPriority w:val="2"/>
    <w:qFormat/>
    <w:rsid w:val="00FC6F56"/>
    <w:pPr>
      <w:numPr>
        <w:numId w:val="3"/>
      </w:numPr>
      <w:spacing w:before="120" w:after="180" w:line="240" w:lineRule="atLeast"/>
      <w:ind w:left="1276" w:hanging="425"/>
    </w:pPr>
    <w:rPr>
      <w:rFonts w:eastAsia="Cambria" w:cs="Times New Roman"/>
    </w:rPr>
  </w:style>
  <w:style w:type="numbering" w:customStyle="1" w:styleId="ListBullets">
    <w:name w:val="ListBullets"/>
    <w:uiPriority w:val="99"/>
    <w:locked/>
    <w:rsid w:val="00F02AEC"/>
    <w:pPr>
      <w:numPr>
        <w:numId w:val="1"/>
      </w:numPr>
    </w:pPr>
  </w:style>
  <w:style w:type="paragraph" w:customStyle="1" w:styleId="Numberbullet0">
    <w:name w:val="Number bullet"/>
    <w:basedOn w:val="ListBullet"/>
    <w:uiPriority w:val="2"/>
    <w:qFormat/>
    <w:rsid w:val="00FC6F56"/>
    <w:pPr>
      <w:numPr>
        <w:numId w:val="2"/>
      </w:numPr>
    </w:pPr>
  </w:style>
  <w:style w:type="paragraph" w:customStyle="1" w:styleId="Numberbullet2">
    <w:name w:val="Number bullet 2"/>
    <w:basedOn w:val="ListBullet2"/>
    <w:uiPriority w:val="2"/>
    <w:qFormat/>
    <w:rsid w:val="00F02AEC"/>
    <w:pPr>
      <w:numPr>
        <w:numId w:val="2"/>
      </w:numPr>
      <w:ind w:left="850" w:hanging="425"/>
    </w:pPr>
  </w:style>
  <w:style w:type="paragraph" w:customStyle="1" w:styleId="Numberbullet3">
    <w:name w:val="Number bullet 3"/>
    <w:basedOn w:val="Normal"/>
    <w:uiPriority w:val="2"/>
    <w:qFormat/>
    <w:rsid w:val="00F02AEC"/>
    <w:pPr>
      <w:numPr>
        <w:numId w:val="4"/>
      </w:numPr>
      <w:spacing w:before="120" w:after="180" w:line="240" w:lineRule="atLeast"/>
      <w:ind w:left="1361" w:hanging="397"/>
    </w:pPr>
    <w:rPr>
      <w:rFonts w:ascii="Arial" w:eastAsia="Cambria" w:hAnsi="Arial" w:cs="Times New Roman"/>
      <w:color w:val="333F48"/>
    </w:rPr>
  </w:style>
  <w:style w:type="numbering" w:customStyle="1" w:styleId="NumberBullet">
    <w:name w:val="NumberBullet"/>
    <w:uiPriority w:val="99"/>
    <w:locked/>
    <w:rsid w:val="00F02AEC"/>
    <w:pPr>
      <w:numPr>
        <w:numId w:val="2"/>
      </w:numPr>
    </w:pPr>
  </w:style>
  <w:style w:type="paragraph" w:styleId="Subtitle">
    <w:name w:val="Subtitle"/>
    <w:basedOn w:val="Normal"/>
    <w:link w:val="SubtitleChar"/>
    <w:uiPriority w:val="11"/>
    <w:rsid w:val="00F02AEC"/>
    <w:pPr>
      <w:numPr>
        <w:ilvl w:val="1"/>
      </w:numPr>
      <w:spacing w:after="0" w:line="240" w:lineRule="atLeast"/>
      <w:ind w:left="170"/>
    </w:pPr>
    <w:rPr>
      <w:rFonts w:ascii="Arial" w:eastAsia="Times New Roman" w:hAnsi="Arial" w:cs="Times New Roman"/>
      <w:bCs/>
      <w:iCs/>
      <w:color w:val="006BA6"/>
      <w:sz w:val="40"/>
      <w:szCs w:val="24"/>
    </w:rPr>
  </w:style>
  <w:style w:type="character" w:customStyle="1" w:styleId="SubtitleChar">
    <w:name w:val="Subtitle Char"/>
    <w:basedOn w:val="DefaultParagraphFont"/>
    <w:link w:val="Subtitle"/>
    <w:uiPriority w:val="11"/>
    <w:rsid w:val="00F02AEC"/>
    <w:rPr>
      <w:rFonts w:ascii="Arial" w:eastAsia="Times New Roman" w:hAnsi="Arial" w:cs="Times New Roman"/>
      <w:bCs/>
      <w:iCs/>
      <w:color w:val="006BA6"/>
      <w:sz w:val="40"/>
      <w:szCs w:val="24"/>
    </w:rPr>
  </w:style>
  <w:style w:type="table" w:styleId="TableGrid">
    <w:name w:val="Table Grid"/>
    <w:basedOn w:val="TableNormal"/>
    <w:uiPriority w:val="59"/>
    <w:rsid w:val="00F02AEC"/>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ASignoff">
    <w:name w:val="TGA Signoff"/>
    <w:basedOn w:val="Normal"/>
    <w:rsid w:val="00F02AEC"/>
    <w:pPr>
      <w:spacing w:before="120" w:after="360" w:line="240" w:lineRule="atLeast"/>
      <w:jc w:val="center"/>
    </w:pPr>
    <w:rPr>
      <w:rFonts w:ascii="Arial" w:eastAsia="Cambria" w:hAnsi="Arial" w:cs="Times New Roman"/>
      <w:b/>
      <w:color w:val="333F48"/>
      <w:sz w:val="28"/>
    </w:rPr>
  </w:style>
  <w:style w:type="paragraph" w:styleId="Title">
    <w:name w:val="Title"/>
    <w:link w:val="TitleChar"/>
    <w:uiPriority w:val="10"/>
    <w:rsid w:val="00F02AEC"/>
    <w:pPr>
      <w:spacing w:line="240" w:lineRule="auto"/>
      <w:contextualSpacing/>
      <w:outlineLvl w:val="0"/>
    </w:pPr>
    <w:rPr>
      <w:rFonts w:ascii="Arial" w:eastAsia="Times New Roman" w:hAnsi="Arial" w:cs="Times New Roman"/>
      <w:color w:val="001871"/>
      <w:spacing w:val="5"/>
      <w:kern w:val="28"/>
      <w:sz w:val="52"/>
      <w:szCs w:val="52"/>
    </w:rPr>
  </w:style>
  <w:style w:type="character" w:customStyle="1" w:styleId="TitleChar">
    <w:name w:val="Title Char"/>
    <w:basedOn w:val="DefaultParagraphFont"/>
    <w:link w:val="Title"/>
    <w:uiPriority w:val="10"/>
    <w:rsid w:val="00F02AEC"/>
    <w:rPr>
      <w:rFonts w:ascii="Arial" w:eastAsia="Times New Roman" w:hAnsi="Arial" w:cs="Times New Roman"/>
      <w:color w:val="001871"/>
      <w:spacing w:val="5"/>
      <w:kern w:val="28"/>
      <w:sz w:val="52"/>
      <w:szCs w:val="52"/>
    </w:rPr>
  </w:style>
  <w:style w:type="paragraph" w:styleId="TOC1">
    <w:name w:val="toc 1"/>
    <w:basedOn w:val="Normal"/>
    <w:next w:val="Normal"/>
    <w:uiPriority w:val="39"/>
    <w:unhideWhenUsed/>
    <w:rsid w:val="00F02AEC"/>
    <w:pPr>
      <w:keepNext/>
      <w:keepLines/>
      <w:tabs>
        <w:tab w:val="right" w:leader="underscore" w:pos="8505"/>
      </w:tabs>
      <w:spacing w:before="120" w:after="200" w:line="240" w:lineRule="atLeast"/>
    </w:pPr>
    <w:rPr>
      <w:rFonts w:ascii="Arial" w:eastAsia="Cambria" w:hAnsi="Arial" w:cs="Times New Roman"/>
      <w:b/>
      <w:color w:val="333F48"/>
      <w:sz w:val="32"/>
    </w:rPr>
  </w:style>
  <w:style w:type="paragraph" w:styleId="TOC2">
    <w:name w:val="toc 2"/>
    <w:basedOn w:val="Normal"/>
    <w:next w:val="Normal"/>
    <w:uiPriority w:val="39"/>
    <w:unhideWhenUsed/>
    <w:rsid w:val="00F02AEC"/>
    <w:pPr>
      <w:keepNext/>
      <w:keepLines/>
      <w:tabs>
        <w:tab w:val="right" w:leader="underscore" w:pos="8505"/>
      </w:tabs>
      <w:spacing w:before="120" w:after="100" w:line="240" w:lineRule="atLeast"/>
      <w:ind w:left="425"/>
    </w:pPr>
    <w:rPr>
      <w:rFonts w:ascii="Arial" w:eastAsia="Cambria" w:hAnsi="Arial" w:cs="Times New Roman"/>
      <w:b/>
      <w:color w:val="333F48"/>
      <w:sz w:val="25"/>
    </w:rPr>
  </w:style>
  <w:style w:type="paragraph" w:styleId="TOC3">
    <w:name w:val="toc 3"/>
    <w:basedOn w:val="Normal"/>
    <w:next w:val="Normal"/>
    <w:uiPriority w:val="39"/>
    <w:unhideWhenUsed/>
    <w:rsid w:val="00F02AEC"/>
    <w:pPr>
      <w:keepNext/>
      <w:keepLines/>
      <w:tabs>
        <w:tab w:val="right" w:leader="hyphen" w:pos="8505"/>
      </w:tabs>
      <w:spacing w:before="120" w:after="100" w:line="240" w:lineRule="atLeast"/>
      <w:ind w:left="851"/>
    </w:pPr>
    <w:rPr>
      <w:rFonts w:ascii="Arial" w:eastAsia="Cambria" w:hAnsi="Arial" w:cs="Times New Roman"/>
      <w:b/>
      <w:color w:val="333F48"/>
    </w:rPr>
  </w:style>
  <w:style w:type="paragraph" w:styleId="FootnoteText">
    <w:name w:val="footnote text"/>
    <w:basedOn w:val="Normal"/>
    <w:link w:val="FootnoteTextChar"/>
    <w:uiPriority w:val="99"/>
    <w:qFormat/>
    <w:rsid w:val="00FE087C"/>
    <w:pPr>
      <w:keepLines/>
      <w:spacing w:after="0" w:line="240" w:lineRule="atLeast"/>
    </w:pPr>
    <w:rPr>
      <w:rFonts w:eastAsia="Cambria" w:cs="Times New Roman"/>
      <w:color w:val="333F48"/>
      <w:sz w:val="17"/>
    </w:rPr>
  </w:style>
  <w:style w:type="character" w:customStyle="1" w:styleId="FootnoteTextChar">
    <w:name w:val="Footnote Text Char"/>
    <w:basedOn w:val="DefaultParagraphFont"/>
    <w:link w:val="FootnoteText"/>
    <w:uiPriority w:val="99"/>
    <w:rsid w:val="00FE087C"/>
    <w:rPr>
      <w:rFonts w:ascii="Cambria" w:eastAsia="Cambria" w:hAnsi="Cambria" w:cs="Times New Roman"/>
      <w:color w:val="333F48"/>
      <w:sz w:val="17"/>
    </w:rPr>
  </w:style>
  <w:style w:type="character" w:styleId="FootnoteReference">
    <w:name w:val="footnote reference"/>
    <w:basedOn w:val="DefaultParagraphFont"/>
    <w:uiPriority w:val="99"/>
    <w:semiHidden/>
    <w:unhideWhenUsed/>
    <w:rsid w:val="00F02AEC"/>
    <w:rPr>
      <w:vertAlign w:val="superscript"/>
    </w:rPr>
  </w:style>
  <w:style w:type="paragraph" w:customStyle="1" w:styleId="NonTOCheading2">
    <w:name w:val="Non TOC heading 2"/>
    <w:basedOn w:val="Normal"/>
    <w:next w:val="Normal"/>
    <w:rsid w:val="00F02AEC"/>
    <w:pPr>
      <w:keepNext/>
      <w:keepLines/>
      <w:pageBreakBefore/>
      <w:spacing w:after="180" w:line="240" w:lineRule="atLeast"/>
      <w:outlineLvl w:val="1"/>
    </w:pPr>
    <w:rPr>
      <w:rFonts w:ascii="Arial" w:eastAsia="Cambria" w:hAnsi="Arial" w:cs="Times New Roman"/>
      <w:b/>
      <w:color w:val="001871"/>
      <w:sz w:val="38"/>
    </w:rPr>
  </w:style>
  <w:style w:type="paragraph" w:customStyle="1" w:styleId="Headernoline">
    <w:name w:val="Header no line"/>
    <w:basedOn w:val="Header"/>
    <w:rsid w:val="00F02AEC"/>
    <w:pPr>
      <w:pBdr>
        <w:bottom w:val="none" w:sz="0" w:space="0" w:color="auto"/>
      </w:pBdr>
      <w:spacing w:line="240" w:lineRule="atLeast"/>
    </w:pPr>
  </w:style>
  <w:style w:type="paragraph" w:customStyle="1" w:styleId="Address">
    <w:name w:val="Address"/>
    <w:basedOn w:val="Normal"/>
    <w:rsid w:val="00F02AEC"/>
    <w:pPr>
      <w:spacing w:after="0" w:line="240" w:lineRule="auto"/>
    </w:pPr>
    <w:rPr>
      <w:rFonts w:ascii="Arial" w:eastAsia="Cambria" w:hAnsi="Arial" w:cs="Times New Roman"/>
      <w:color w:val="333F48"/>
      <w:sz w:val="21"/>
    </w:rPr>
  </w:style>
  <w:style w:type="paragraph" w:customStyle="1" w:styleId="ListBullet-dotick">
    <w:name w:val="List Bullet - do (tick)"/>
    <w:basedOn w:val="ListBullet"/>
    <w:autoRedefine/>
    <w:uiPriority w:val="1"/>
    <w:rsid w:val="00F02AEC"/>
    <w:pPr>
      <w:numPr>
        <w:numId w:val="5"/>
      </w:numPr>
      <w:tabs>
        <w:tab w:val="left" w:pos="425"/>
      </w:tabs>
    </w:pPr>
  </w:style>
  <w:style w:type="paragraph" w:customStyle="1" w:styleId="ListBullet-donotcross">
    <w:name w:val="List Bullet - do not (cross)"/>
    <w:basedOn w:val="ListBullet"/>
    <w:autoRedefine/>
    <w:uiPriority w:val="1"/>
    <w:rsid w:val="00F02AEC"/>
    <w:pPr>
      <w:numPr>
        <w:numId w:val="6"/>
      </w:numPr>
      <w:ind w:left="357" w:hanging="357"/>
    </w:pPr>
    <w:rPr>
      <w:rFonts w:eastAsiaTheme="minorHAnsi" w:cstheme="minorBidi"/>
      <w:szCs w:val="22"/>
    </w:rPr>
  </w:style>
  <w:style w:type="table" w:customStyle="1" w:styleId="TGABlack2023">
    <w:name w:val="TGA Black 2023"/>
    <w:basedOn w:val="TableTGAblue2023"/>
    <w:uiPriority w:val="99"/>
    <w:rsid w:val="00FA49C3"/>
    <w:pPr>
      <w:spacing w:line="240" w:lineRule="auto"/>
    </w:pPr>
    <w:tblPr>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Pr>
    <w:tcPr>
      <w:shd w:val="clear" w:color="auto" w:fill="FFFFFF" w:themeFill="background1"/>
    </w:tcPr>
    <w:tblStylePr w:type="firstRow">
      <w:pPr>
        <w:keepNext/>
        <w:wordWrap/>
      </w:pPr>
      <w:rPr>
        <w:rFonts w:ascii="Arial" w:hAnsi="Arial"/>
        <w:b/>
        <w:color w:val="FFFFFF" w:themeColor="background1"/>
        <w:sz w:val="22"/>
      </w:rPr>
      <w:tblPr/>
      <w:trPr>
        <w:tblHeader/>
      </w:trPr>
      <w:tcPr>
        <w:shd w:val="clear" w:color="auto" w:fill="171717" w:themeFill="background2" w:themeFillShade="1A"/>
      </w:tcPr>
    </w:tblStylePr>
    <w:tblStylePr w:type="firstCol">
      <w:pPr>
        <w:keepNext w:val="0"/>
        <w:wordWrap/>
      </w:pPr>
    </w:tblStylePr>
  </w:style>
  <w:style w:type="paragraph" w:customStyle="1" w:styleId="NonTOCHeading20">
    <w:name w:val="Non TOC Heading 2"/>
    <w:basedOn w:val="Normal"/>
    <w:rsid w:val="00346EC2"/>
    <w:pPr>
      <w:spacing w:before="240" w:line="240" w:lineRule="atLeast"/>
      <w:outlineLvl w:val="1"/>
    </w:pPr>
    <w:rPr>
      <w:rFonts w:ascii="Arial" w:eastAsia="Cambria" w:hAnsi="Arial" w:cs="Times New Roman"/>
      <w:b/>
      <w:sz w:val="32"/>
      <w:szCs w:val="22"/>
    </w:rPr>
  </w:style>
  <w:style w:type="table" w:customStyle="1" w:styleId="TableTGAblue">
    <w:name w:val="Table TGA blue"/>
    <w:basedOn w:val="TableNormal"/>
    <w:uiPriority w:val="99"/>
    <w:qFormat/>
    <w:rsid w:val="00324B33"/>
    <w:pPr>
      <w:spacing w:after="0" w:line="240" w:lineRule="auto"/>
      <w:ind w:left="170" w:right="170"/>
    </w:pPr>
    <w:rPr>
      <w:rFonts w:ascii="Cambria" w:hAnsi="Cambria" w:cs="Times New Roman"/>
      <w:color w:val="000000" w:themeColor="text1"/>
      <w:sz w:val="22"/>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paragraph" w:customStyle="1" w:styleId="Instructions">
    <w:name w:val="Instructions"/>
    <w:basedOn w:val="Normal"/>
    <w:next w:val="Normal"/>
    <w:uiPriority w:val="1"/>
    <w:qFormat/>
    <w:rsid w:val="00324B33"/>
    <w:pPr>
      <w:spacing w:before="120" w:line="240" w:lineRule="atLeast"/>
    </w:pPr>
    <w:rPr>
      <w:rFonts w:eastAsia="Cambria" w:cs="Times New Roman"/>
      <w:i/>
      <w:color w:val="007099"/>
      <w:szCs w:val="22"/>
    </w:rPr>
  </w:style>
  <w:style w:type="paragraph" w:customStyle="1" w:styleId="TableTitle">
    <w:name w:val="Table Title"/>
    <w:basedOn w:val="Normal"/>
    <w:rsid w:val="00324B33"/>
    <w:pPr>
      <w:keepNext/>
      <w:spacing w:before="120" w:line="240" w:lineRule="atLeast"/>
    </w:pPr>
    <w:rPr>
      <w:rFonts w:eastAsia="Cambria" w:cs="Times New Roman"/>
      <w:b/>
      <w:szCs w:val="22"/>
    </w:rPr>
  </w:style>
  <w:style w:type="paragraph" w:customStyle="1" w:styleId="TableDescription">
    <w:name w:val="Table Description"/>
    <w:basedOn w:val="Normal"/>
    <w:qFormat/>
    <w:rsid w:val="00854D98"/>
    <w:pPr>
      <w:spacing w:before="120" w:line="240" w:lineRule="auto"/>
    </w:pPr>
    <w:rPr>
      <w:rFonts w:eastAsia="Cambria" w:cs="Times New Roman"/>
      <w:sz w:val="18"/>
      <w:szCs w:val="19"/>
    </w:rPr>
  </w:style>
  <w:style w:type="character" w:styleId="CommentReference">
    <w:name w:val="annotation reference"/>
    <w:basedOn w:val="DefaultParagraphFont"/>
    <w:uiPriority w:val="99"/>
    <w:semiHidden/>
    <w:unhideWhenUsed/>
    <w:rsid w:val="00E47E0C"/>
    <w:rPr>
      <w:sz w:val="16"/>
      <w:szCs w:val="16"/>
    </w:rPr>
  </w:style>
  <w:style w:type="paragraph" w:styleId="CommentText">
    <w:name w:val="annotation text"/>
    <w:basedOn w:val="Normal"/>
    <w:link w:val="CommentTextChar"/>
    <w:uiPriority w:val="99"/>
    <w:unhideWhenUsed/>
    <w:rsid w:val="00E47E0C"/>
    <w:pPr>
      <w:spacing w:line="240" w:lineRule="auto"/>
    </w:pPr>
  </w:style>
  <w:style w:type="character" w:customStyle="1" w:styleId="CommentTextChar">
    <w:name w:val="Comment Text Char"/>
    <w:basedOn w:val="DefaultParagraphFont"/>
    <w:link w:val="CommentText"/>
    <w:uiPriority w:val="99"/>
    <w:rsid w:val="00E47E0C"/>
    <w:rPr>
      <w:rFonts w:ascii="Cambria" w:hAnsi="Cambria"/>
    </w:rPr>
  </w:style>
  <w:style w:type="paragraph" w:styleId="CommentSubject">
    <w:name w:val="annotation subject"/>
    <w:basedOn w:val="CommentText"/>
    <w:next w:val="CommentText"/>
    <w:link w:val="CommentSubjectChar"/>
    <w:uiPriority w:val="99"/>
    <w:semiHidden/>
    <w:unhideWhenUsed/>
    <w:rsid w:val="00E47E0C"/>
    <w:rPr>
      <w:b/>
      <w:bCs/>
    </w:rPr>
  </w:style>
  <w:style w:type="character" w:customStyle="1" w:styleId="CommentSubjectChar">
    <w:name w:val="Comment Subject Char"/>
    <w:basedOn w:val="CommentTextChar"/>
    <w:link w:val="CommentSubject"/>
    <w:uiPriority w:val="99"/>
    <w:semiHidden/>
    <w:rsid w:val="00E47E0C"/>
    <w:rPr>
      <w:rFonts w:ascii="Cambria" w:hAnsi="Cambria"/>
      <w:b/>
      <w:bCs/>
    </w:rPr>
  </w:style>
  <w:style w:type="paragraph" w:styleId="BalloonText">
    <w:name w:val="Balloon Text"/>
    <w:basedOn w:val="Normal"/>
    <w:link w:val="BalloonTextChar"/>
    <w:uiPriority w:val="99"/>
    <w:semiHidden/>
    <w:unhideWhenUsed/>
    <w:rsid w:val="00D637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760"/>
    <w:rPr>
      <w:rFonts w:ascii="Segoe UI" w:hAnsi="Segoe UI" w:cs="Segoe UI"/>
      <w:sz w:val="18"/>
      <w:szCs w:val="18"/>
    </w:rPr>
  </w:style>
  <w:style w:type="character" w:styleId="FollowedHyperlink">
    <w:name w:val="FollowedHyperlink"/>
    <w:basedOn w:val="DefaultParagraphFont"/>
    <w:uiPriority w:val="99"/>
    <w:semiHidden/>
    <w:unhideWhenUsed/>
    <w:rsid w:val="001C1C2E"/>
    <w:rPr>
      <w:color w:val="954F72" w:themeColor="followedHyperlink"/>
      <w:u w:val="single"/>
    </w:rPr>
  </w:style>
  <w:style w:type="paragraph" w:styleId="Revision">
    <w:name w:val="Revision"/>
    <w:hidden/>
    <w:uiPriority w:val="99"/>
    <w:semiHidden/>
    <w:rsid w:val="008964B3"/>
    <w:pPr>
      <w:spacing w:after="0" w:line="240" w:lineRule="auto"/>
    </w:pPr>
    <w:rPr>
      <w:rFonts w:ascii="Cambria" w:hAnsi="Cambria"/>
    </w:rPr>
  </w:style>
  <w:style w:type="character" w:styleId="UnresolvedMention">
    <w:name w:val="Unresolved Mention"/>
    <w:basedOn w:val="DefaultParagraphFont"/>
    <w:uiPriority w:val="99"/>
    <w:semiHidden/>
    <w:unhideWhenUsed/>
    <w:rsid w:val="00966EF1"/>
    <w:rPr>
      <w:color w:val="605E5C"/>
      <w:shd w:val="clear" w:color="auto" w:fill="E1DFDD"/>
    </w:rPr>
  </w:style>
  <w:style w:type="paragraph" w:customStyle="1" w:styleId="TableText">
    <w:name w:val="Table Text"/>
    <w:basedOn w:val="FootnoteText"/>
    <w:qFormat/>
    <w:rsid w:val="005B69CF"/>
    <w:rPr>
      <w:color w:val="000000" w:themeColor="text1"/>
      <w:sz w:val="22"/>
      <w:lang w:val="en-GB"/>
    </w:rPr>
  </w:style>
  <w:style w:type="paragraph" w:customStyle="1" w:styleId="FigureTitle">
    <w:name w:val="Figure Title"/>
    <w:basedOn w:val="Normal"/>
    <w:qFormat/>
    <w:rsid w:val="00FC6F56"/>
    <w:rPr>
      <w:b/>
    </w:rPr>
  </w:style>
  <w:style w:type="paragraph" w:styleId="Caption">
    <w:name w:val="caption"/>
    <w:basedOn w:val="Normal"/>
    <w:next w:val="Normal"/>
    <w:uiPriority w:val="35"/>
    <w:unhideWhenUsed/>
    <w:qFormat/>
    <w:rsid w:val="0098350E"/>
    <w:pPr>
      <w:spacing w:after="200" w:line="240" w:lineRule="auto"/>
    </w:pPr>
    <w:rPr>
      <w:i/>
      <w:iCs/>
      <w:color w:val="44546A" w:themeColor="text2"/>
      <w:sz w:val="18"/>
      <w:szCs w:val="18"/>
    </w:rPr>
  </w:style>
  <w:style w:type="paragraph" w:customStyle="1" w:styleId="FigureDescription">
    <w:name w:val="Figure Description"/>
    <w:basedOn w:val="FigureTitle"/>
    <w:qFormat/>
    <w:rsid w:val="0010558A"/>
    <w:pPr>
      <w:spacing w:before="120"/>
    </w:pPr>
    <w:rPr>
      <w:b w:val="0"/>
      <w:sz w:val="19"/>
    </w:rPr>
  </w:style>
  <w:style w:type="paragraph" w:styleId="ListParagraph">
    <w:name w:val="List Paragraph"/>
    <w:basedOn w:val="Normal"/>
    <w:link w:val="ListParagraphChar"/>
    <w:uiPriority w:val="99"/>
    <w:qFormat/>
    <w:rsid w:val="006B7126"/>
    <w:pPr>
      <w:spacing w:after="160"/>
      <w:ind w:left="720"/>
      <w:contextualSpacing/>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6B7126"/>
    <w:rPr>
      <w:rFonts w:ascii="Times New Roman" w:hAnsi="Times New Roman" w:cs="Times New Roman"/>
      <w:sz w:val="24"/>
      <w:szCs w:val="24"/>
    </w:rPr>
  </w:style>
  <w:style w:type="paragraph" w:customStyle="1" w:styleId="Indication">
    <w:name w:val="Indication"/>
    <w:basedOn w:val="Normal"/>
    <w:next w:val="Normal"/>
    <w:qFormat/>
    <w:rsid w:val="00BA3F6D"/>
    <w:pPr>
      <w:spacing w:before="120" w:line="240" w:lineRule="atLeast"/>
      <w:ind w:left="720"/>
      <w:contextualSpacing/>
    </w:pPr>
    <w:rPr>
      <w:i/>
      <w:color w:val="000000" w:themeColor="text1"/>
    </w:rPr>
  </w:style>
  <w:style w:type="paragraph" w:customStyle="1" w:styleId="DelegatesQuestions">
    <w:name w:val="Delegate's Questions"/>
    <w:basedOn w:val="Numberbullet0"/>
    <w:qFormat/>
    <w:rsid w:val="007575D0"/>
    <w:rPr>
      <w:b/>
      <w:bCs/>
      <w:i/>
      <w:iCs/>
    </w:rPr>
  </w:style>
  <w:style w:type="character" w:customStyle="1" w:styleId="ema-glossary-term">
    <w:name w:val="ema-glossary-term"/>
    <w:basedOn w:val="DefaultParagraphFont"/>
    <w:rsid w:val="00602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15028">
      <w:bodyDiv w:val="1"/>
      <w:marLeft w:val="0"/>
      <w:marRight w:val="0"/>
      <w:marTop w:val="0"/>
      <w:marBottom w:val="0"/>
      <w:divBdr>
        <w:top w:val="none" w:sz="0" w:space="0" w:color="auto"/>
        <w:left w:val="none" w:sz="0" w:space="0" w:color="auto"/>
        <w:bottom w:val="none" w:sz="0" w:space="0" w:color="auto"/>
        <w:right w:val="none" w:sz="0" w:space="0" w:color="auto"/>
      </w:divBdr>
    </w:div>
    <w:div w:id="695735718">
      <w:bodyDiv w:val="1"/>
      <w:marLeft w:val="0"/>
      <w:marRight w:val="0"/>
      <w:marTop w:val="0"/>
      <w:marBottom w:val="0"/>
      <w:divBdr>
        <w:top w:val="none" w:sz="0" w:space="0" w:color="auto"/>
        <w:left w:val="none" w:sz="0" w:space="0" w:color="auto"/>
        <w:bottom w:val="none" w:sz="0" w:space="0" w:color="auto"/>
        <w:right w:val="none" w:sz="0" w:space="0" w:color="auto"/>
      </w:divBdr>
    </w:div>
    <w:div w:id="1293705804">
      <w:bodyDiv w:val="1"/>
      <w:marLeft w:val="0"/>
      <w:marRight w:val="0"/>
      <w:marTop w:val="0"/>
      <w:marBottom w:val="0"/>
      <w:divBdr>
        <w:top w:val="none" w:sz="0" w:space="0" w:color="auto"/>
        <w:left w:val="none" w:sz="0" w:space="0" w:color="auto"/>
        <w:bottom w:val="none" w:sz="0" w:space="0" w:color="auto"/>
        <w:right w:val="none" w:sz="0" w:space="0" w:color="auto"/>
      </w:divBdr>
    </w:div>
    <w:div w:id="204120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ga.gov.au/australian-public-assessment-report-auspar-guidance" TargetMode="External"/><Relationship Id="rId18" Type="http://schemas.openxmlformats.org/officeDocument/2006/relationships/hyperlink" Target="https://www.tga.gov.au/how-we-regulate/supply-therapeutic-good-0/supply-prescription-medicine/application-process/prescription-medicines-registration-process" TargetMode="External"/><Relationship Id="rId26" Type="http://schemas.openxmlformats.org/officeDocument/2006/relationships/hyperlink" Target="https://www.tga.gov.au/resources/resource/guidance/risk-management-plans-medicines-and-biologicals/when-rmp-required"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hyperlink" Target="https://www.tga.gov.au/products/australian-register-therapeutic-goods-artg/product-information-one" TargetMode="External"/><Relationship Id="rId42"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tga.gov.au/" TargetMode="External"/><Relationship Id="rId17" Type="http://schemas.openxmlformats.org/officeDocument/2006/relationships/hyperlink" Target="https://www.tga.gov.au/obstetric-drug-information-services" TargetMode="External"/><Relationship Id="rId25" Type="http://schemas.openxmlformats.org/officeDocument/2006/relationships/image" Target="media/image10.png"/><Relationship Id="rId33" Type="http://schemas.openxmlformats.org/officeDocument/2006/relationships/hyperlink" Target="http://www.tga.gov.au/industry/pm-argpm-guidance-7.htm"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tga.gov.au/products/medicines/find-information-about-medicine/prescribing-medicines-pregnancy-database" TargetMode="External"/><Relationship Id="rId20" Type="http://schemas.openxmlformats.org/officeDocument/2006/relationships/image" Target="media/image5.png"/><Relationship Id="rId29" Type="http://schemas.openxmlformats.org/officeDocument/2006/relationships/hyperlink" Target="https://www.tga.gov.au/resources/resource/guidance/risk-management-plans-medicines-and-biologicals/australia-specific-annex-eu-rmp" TargetMode="External"/><Relationship Id="rId41" Type="http://schemas.openxmlformats.org/officeDocument/2006/relationships/hyperlink" Target="https://www.tg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hyperlink" Target="http://www.tga.gov.au/ws-labs-index" TargetMode="External"/><Relationship Id="rId37" Type="http://schemas.openxmlformats.org/officeDocument/2006/relationships/hyperlink" Target="https://www.tga.gov.au/picmi-search-facility" TargetMode="External"/><Relationship Id="rId40" Type="http://schemas.openxmlformats.org/officeDocument/2006/relationships/hyperlink" Target="mailto:info@tga.gov.a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ga.gov.au/black-triangle-scheme" TargetMode="External"/><Relationship Id="rId23" Type="http://schemas.openxmlformats.org/officeDocument/2006/relationships/image" Target="media/image8.png"/><Relationship Id="rId28" Type="http://schemas.openxmlformats.org/officeDocument/2006/relationships/hyperlink" Target="https://www.tga.gov.au/tgas-risk-management-approach" TargetMode="External"/><Relationship Id="rId36" Type="http://schemas.openxmlformats.org/officeDocument/2006/relationships/hyperlink" Target="https://www.tga.gov.au/products/australian-register-therapeutic-goods-artg/consumer-medicines-information-cmi" TargetMode="External"/><Relationship Id="rId10" Type="http://schemas.openxmlformats.org/officeDocument/2006/relationships/header" Target="header2.xml"/><Relationship Id="rId19" Type="http://schemas.openxmlformats.org/officeDocument/2006/relationships/image" Target="media/image4.emf"/><Relationship Id="rId31" Type="http://schemas.openxmlformats.org/officeDocument/2006/relationships/hyperlink" Target="https://www.tga.gov.au/committee/advisory-committee-medicines-ac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tga.copyright@tga.gov.au" TargetMode="External"/><Relationship Id="rId22" Type="http://schemas.openxmlformats.org/officeDocument/2006/relationships/image" Target="media/image7.png"/><Relationship Id="rId27" Type="http://schemas.openxmlformats.org/officeDocument/2006/relationships/hyperlink" Target="https://www.tga.gov.au/publication/risk-management-plans-medicines-and-biologicals" TargetMode="External"/><Relationship Id="rId30" Type="http://schemas.openxmlformats.org/officeDocument/2006/relationships/hyperlink" Target="https://www.tga.gov.au/resources/resource/guidance/risk-management-plans-medicines-and-biologicals/australia-specific-annex-eu-rmp" TargetMode="External"/><Relationship Id="rId35" Type="http://schemas.openxmlformats.org/officeDocument/2006/relationships/hyperlink" Target="https://www.tga.gov.au/products/australian-register-therapeutic-goods-artg/product-information-one" TargetMode="External"/><Relationship Id="rId43"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www.tga.gov.au/resources/resource/guidance/biopharmaceutic-studies." TargetMode="External"/><Relationship Id="rId2" Type="http://schemas.openxmlformats.org/officeDocument/2006/relationships/hyperlink" Target="https://www.tga.gov.au/resources/auspar/auspar-enoxaparin-sodium-0" TargetMode="External"/><Relationship Id="rId1" Type="http://schemas.openxmlformats.org/officeDocument/2006/relationships/hyperlink" Target="https://www.ebs.tga.gov.au/ebs/picmi/picmirepository.nsf/pdf?OpenAgent=&amp;id=CP-2010-PI-06891-3&amp;d=20231218172310101"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1AE68-6449-47E6-9F10-0220946B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6844</Words>
  <Characters>38740</Characters>
  <Application>Microsoft Office Word</Application>
  <DocSecurity>0</DocSecurity>
  <Lines>1019</Lines>
  <Paragraphs>624</Paragraphs>
  <ScaleCrop>false</ScaleCrop>
  <HeadingPairs>
    <vt:vector size="2" baseType="variant">
      <vt:variant>
        <vt:lpstr>Title</vt:lpstr>
      </vt:variant>
      <vt:variant>
        <vt:i4>1</vt:i4>
      </vt:variant>
    </vt:vector>
  </HeadingPairs>
  <TitlesOfParts>
    <vt:vector size="1" baseType="lpstr">
      <vt:lpstr>Australian public assessment report for</vt:lpstr>
    </vt:vector>
  </TitlesOfParts>
  <Company>Department of Health and Aged Care</Company>
  <LinksUpToDate>false</LinksUpToDate>
  <CharactersWithSpaces>44960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Exarane/Exarane Forte</dc:title>
  <dc:subject>Prescription medicines</dc:subject>
  <dc:creator>Therapeutic Goods Administration</dc:creator>
  <cp:keywords/>
  <dc:description/>
  <cp:lastModifiedBy>LACK, Janet</cp:lastModifiedBy>
  <cp:revision>3</cp:revision>
  <dcterms:created xsi:type="dcterms:W3CDTF">2024-03-04T03:06:00Z</dcterms:created>
  <dcterms:modified xsi:type="dcterms:W3CDTF">2024-03-04T03:11:00Z</dcterms:modified>
</cp:coreProperties>
</file>