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77D5BD18" w:rsidR="00F02AEC" w:rsidRPr="00215D48" w:rsidRDefault="00346EC2" w:rsidP="007452E8">
            <w:pPr>
              <w:pStyle w:val="Title"/>
            </w:pPr>
            <w:r w:rsidRPr="00346EC2">
              <w:t xml:space="preserve">Australian Public Assessment Report for </w:t>
            </w:r>
            <w:r w:rsidR="000F7371" w:rsidRPr="000F7371">
              <w:t>N</w:t>
            </w:r>
            <w:r w:rsidR="000F7371">
              <w:t>urtec ODT</w:t>
            </w:r>
          </w:p>
        </w:tc>
      </w:tr>
      <w:tr w:rsidR="00F02AEC" w:rsidRPr="00215D48" w14:paraId="318A40A3" w14:textId="77777777" w:rsidTr="00346EC2">
        <w:trPr>
          <w:trHeight w:val="995"/>
        </w:trPr>
        <w:tc>
          <w:tcPr>
            <w:tcW w:w="8720" w:type="dxa"/>
          </w:tcPr>
          <w:p w14:paraId="1AA7C701" w14:textId="400A0519" w:rsidR="00F02AEC" w:rsidRPr="00215D48" w:rsidRDefault="00346EC2" w:rsidP="007452E8">
            <w:pPr>
              <w:pStyle w:val="Subtitle"/>
              <w:ind w:left="0"/>
            </w:pPr>
            <w:r w:rsidRPr="00346EC2">
              <w:t xml:space="preserve">Active ingredient: </w:t>
            </w:r>
            <w:r w:rsidR="00191520">
              <w:t>R</w:t>
            </w:r>
            <w:r w:rsidR="00191520" w:rsidRPr="00191520">
              <w:t>imegepant (as sulfate)</w:t>
            </w:r>
          </w:p>
        </w:tc>
      </w:tr>
      <w:tr w:rsidR="00346EC2" w:rsidRPr="00215D48" w14:paraId="362CCAE4" w14:textId="77777777" w:rsidTr="007452E8">
        <w:trPr>
          <w:trHeight w:val="1916"/>
        </w:trPr>
        <w:tc>
          <w:tcPr>
            <w:tcW w:w="8720" w:type="dxa"/>
          </w:tcPr>
          <w:p w14:paraId="709C45C0" w14:textId="053A20FA" w:rsidR="00346EC2" w:rsidRPr="00215D48" w:rsidRDefault="00346EC2" w:rsidP="007452E8">
            <w:pPr>
              <w:pStyle w:val="Subtitle"/>
              <w:ind w:left="0"/>
            </w:pPr>
            <w:r w:rsidRPr="00346EC2">
              <w:t>Sponsor:</w:t>
            </w:r>
            <w:r w:rsidR="00A619B1">
              <w:t xml:space="preserve"> </w:t>
            </w:r>
            <w:r w:rsidR="00A619B1" w:rsidRPr="00A619B1">
              <w:t>Pfizer Australia Pty Ltd</w:t>
            </w:r>
          </w:p>
        </w:tc>
      </w:tr>
      <w:tr w:rsidR="00F02AEC" w:rsidRPr="00215D48" w14:paraId="37F2AA1F" w14:textId="77777777" w:rsidTr="007452E8">
        <w:tc>
          <w:tcPr>
            <w:tcW w:w="8720" w:type="dxa"/>
          </w:tcPr>
          <w:p w14:paraId="1FDE8DCD" w14:textId="7FEABF7F" w:rsidR="00F02AEC" w:rsidRPr="00215D48" w:rsidRDefault="00834F8B" w:rsidP="007452E8">
            <w:pPr>
              <w:pStyle w:val="Date"/>
            </w:pPr>
            <w:r>
              <w:t xml:space="preserve">March </w:t>
            </w:r>
            <w:r w:rsidR="00784BA2">
              <w:t>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0999DC3A"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63F8DC88"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41AFEE13"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shd w:val="clear" w:color="auto" w:fill="E6E6E6"/>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7729ADEF" w14:textId="11897744" w:rsidR="00834F8B"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rPr>
              <w:color w:val="2B579A"/>
              <w:shd w:val="clear" w:color="auto" w:fill="E6E6E6"/>
            </w:rPr>
            <w:fldChar w:fldCharType="begin"/>
          </w:r>
          <w:r w:rsidRPr="00215D48">
            <w:instrText xml:space="preserve"> TOC \h \z \u \t "Heading 2,1,Heading 3,2,Heading 4,3" </w:instrText>
          </w:r>
          <w:r w:rsidRPr="00215D48">
            <w:rPr>
              <w:color w:val="2B579A"/>
              <w:shd w:val="clear" w:color="auto" w:fill="E6E6E6"/>
            </w:rPr>
            <w:fldChar w:fldCharType="separate"/>
          </w:r>
          <w:hyperlink w:anchor="_Toc160177841" w:history="1">
            <w:r w:rsidR="00834F8B" w:rsidRPr="001B46E7">
              <w:rPr>
                <w:rStyle w:val="Hyperlink"/>
                <w:noProof/>
              </w:rPr>
              <w:t>List of abbreviations</w:t>
            </w:r>
            <w:r w:rsidR="00834F8B">
              <w:rPr>
                <w:noProof/>
                <w:webHidden/>
              </w:rPr>
              <w:tab/>
            </w:r>
            <w:r w:rsidR="00834F8B">
              <w:rPr>
                <w:noProof/>
                <w:webHidden/>
              </w:rPr>
              <w:fldChar w:fldCharType="begin"/>
            </w:r>
            <w:r w:rsidR="00834F8B">
              <w:rPr>
                <w:noProof/>
                <w:webHidden/>
              </w:rPr>
              <w:instrText xml:space="preserve"> PAGEREF _Toc160177841 \h </w:instrText>
            </w:r>
            <w:r w:rsidR="00834F8B">
              <w:rPr>
                <w:noProof/>
                <w:webHidden/>
              </w:rPr>
            </w:r>
            <w:r w:rsidR="00834F8B">
              <w:rPr>
                <w:noProof/>
                <w:webHidden/>
              </w:rPr>
              <w:fldChar w:fldCharType="separate"/>
            </w:r>
            <w:r w:rsidR="00834F8B">
              <w:rPr>
                <w:noProof/>
                <w:webHidden/>
              </w:rPr>
              <w:t>4</w:t>
            </w:r>
            <w:r w:rsidR="00834F8B">
              <w:rPr>
                <w:noProof/>
                <w:webHidden/>
              </w:rPr>
              <w:fldChar w:fldCharType="end"/>
            </w:r>
          </w:hyperlink>
        </w:p>
        <w:p w14:paraId="1502AC94" w14:textId="6D9B6C90" w:rsidR="00834F8B" w:rsidRDefault="00DE785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177842" w:history="1">
            <w:r w:rsidR="00834F8B" w:rsidRPr="001B46E7">
              <w:rPr>
                <w:rStyle w:val="Hyperlink"/>
                <w:noProof/>
              </w:rPr>
              <w:t>Product submission</w:t>
            </w:r>
            <w:r w:rsidR="00834F8B">
              <w:rPr>
                <w:noProof/>
                <w:webHidden/>
              </w:rPr>
              <w:tab/>
            </w:r>
            <w:r w:rsidR="00834F8B">
              <w:rPr>
                <w:noProof/>
                <w:webHidden/>
              </w:rPr>
              <w:fldChar w:fldCharType="begin"/>
            </w:r>
            <w:r w:rsidR="00834F8B">
              <w:rPr>
                <w:noProof/>
                <w:webHidden/>
              </w:rPr>
              <w:instrText xml:space="preserve"> PAGEREF _Toc160177842 \h </w:instrText>
            </w:r>
            <w:r w:rsidR="00834F8B">
              <w:rPr>
                <w:noProof/>
                <w:webHidden/>
              </w:rPr>
            </w:r>
            <w:r w:rsidR="00834F8B">
              <w:rPr>
                <w:noProof/>
                <w:webHidden/>
              </w:rPr>
              <w:fldChar w:fldCharType="separate"/>
            </w:r>
            <w:r w:rsidR="00834F8B">
              <w:rPr>
                <w:noProof/>
                <w:webHidden/>
              </w:rPr>
              <w:t>5</w:t>
            </w:r>
            <w:r w:rsidR="00834F8B">
              <w:rPr>
                <w:noProof/>
                <w:webHidden/>
              </w:rPr>
              <w:fldChar w:fldCharType="end"/>
            </w:r>
          </w:hyperlink>
        </w:p>
        <w:p w14:paraId="22A35BE5" w14:textId="3A926C4C" w:rsidR="00834F8B" w:rsidRDefault="00DE785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77843" w:history="1">
            <w:r w:rsidR="00834F8B" w:rsidRPr="001B46E7">
              <w:rPr>
                <w:rStyle w:val="Hyperlink"/>
                <w:noProof/>
                <w:lang w:eastAsia="en-AU"/>
              </w:rPr>
              <w:t>Submission details</w:t>
            </w:r>
            <w:r w:rsidR="00834F8B">
              <w:rPr>
                <w:noProof/>
                <w:webHidden/>
              </w:rPr>
              <w:tab/>
            </w:r>
            <w:r w:rsidR="00834F8B">
              <w:rPr>
                <w:noProof/>
                <w:webHidden/>
              </w:rPr>
              <w:fldChar w:fldCharType="begin"/>
            </w:r>
            <w:r w:rsidR="00834F8B">
              <w:rPr>
                <w:noProof/>
                <w:webHidden/>
              </w:rPr>
              <w:instrText xml:space="preserve"> PAGEREF _Toc160177843 \h </w:instrText>
            </w:r>
            <w:r w:rsidR="00834F8B">
              <w:rPr>
                <w:noProof/>
                <w:webHidden/>
              </w:rPr>
            </w:r>
            <w:r w:rsidR="00834F8B">
              <w:rPr>
                <w:noProof/>
                <w:webHidden/>
              </w:rPr>
              <w:fldChar w:fldCharType="separate"/>
            </w:r>
            <w:r w:rsidR="00834F8B">
              <w:rPr>
                <w:noProof/>
                <w:webHidden/>
              </w:rPr>
              <w:t>5</w:t>
            </w:r>
            <w:r w:rsidR="00834F8B">
              <w:rPr>
                <w:noProof/>
                <w:webHidden/>
              </w:rPr>
              <w:fldChar w:fldCharType="end"/>
            </w:r>
          </w:hyperlink>
        </w:p>
        <w:p w14:paraId="70092785" w14:textId="40348711" w:rsidR="00834F8B" w:rsidRDefault="00DE785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77844" w:history="1">
            <w:r w:rsidR="00834F8B" w:rsidRPr="001B46E7">
              <w:rPr>
                <w:rStyle w:val="Hyperlink"/>
                <w:noProof/>
              </w:rPr>
              <w:t>Product background</w:t>
            </w:r>
            <w:r w:rsidR="00834F8B">
              <w:rPr>
                <w:noProof/>
                <w:webHidden/>
              </w:rPr>
              <w:tab/>
            </w:r>
            <w:r w:rsidR="00834F8B">
              <w:rPr>
                <w:noProof/>
                <w:webHidden/>
              </w:rPr>
              <w:fldChar w:fldCharType="begin"/>
            </w:r>
            <w:r w:rsidR="00834F8B">
              <w:rPr>
                <w:noProof/>
                <w:webHidden/>
              </w:rPr>
              <w:instrText xml:space="preserve"> PAGEREF _Toc160177844 \h </w:instrText>
            </w:r>
            <w:r w:rsidR="00834F8B">
              <w:rPr>
                <w:noProof/>
                <w:webHidden/>
              </w:rPr>
            </w:r>
            <w:r w:rsidR="00834F8B">
              <w:rPr>
                <w:noProof/>
                <w:webHidden/>
              </w:rPr>
              <w:fldChar w:fldCharType="separate"/>
            </w:r>
            <w:r w:rsidR="00834F8B">
              <w:rPr>
                <w:noProof/>
                <w:webHidden/>
              </w:rPr>
              <w:t>6</w:t>
            </w:r>
            <w:r w:rsidR="00834F8B">
              <w:rPr>
                <w:noProof/>
                <w:webHidden/>
              </w:rPr>
              <w:fldChar w:fldCharType="end"/>
            </w:r>
          </w:hyperlink>
        </w:p>
        <w:p w14:paraId="2A3E1686" w14:textId="0A704780"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45" w:history="1">
            <w:r w:rsidR="00834F8B" w:rsidRPr="001B46E7">
              <w:rPr>
                <w:rStyle w:val="Hyperlink"/>
                <w:noProof/>
              </w:rPr>
              <w:t>The disease/condition</w:t>
            </w:r>
            <w:r w:rsidR="00834F8B">
              <w:rPr>
                <w:noProof/>
                <w:webHidden/>
              </w:rPr>
              <w:tab/>
            </w:r>
            <w:r w:rsidR="00834F8B">
              <w:rPr>
                <w:noProof/>
                <w:webHidden/>
              </w:rPr>
              <w:fldChar w:fldCharType="begin"/>
            </w:r>
            <w:r w:rsidR="00834F8B">
              <w:rPr>
                <w:noProof/>
                <w:webHidden/>
              </w:rPr>
              <w:instrText xml:space="preserve"> PAGEREF _Toc160177845 \h </w:instrText>
            </w:r>
            <w:r w:rsidR="00834F8B">
              <w:rPr>
                <w:noProof/>
                <w:webHidden/>
              </w:rPr>
            </w:r>
            <w:r w:rsidR="00834F8B">
              <w:rPr>
                <w:noProof/>
                <w:webHidden/>
              </w:rPr>
              <w:fldChar w:fldCharType="separate"/>
            </w:r>
            <w:r w:rsidR="00834F8B">
              <w:rPr>
                <w:noProof/>
                <w:webHidden/>
              </w:rPr>
              <w:t>6</w:t>
            </w:r>
            <w:r w:rsidR="00834F8B">
              <w:rPr>
                <w:noProof/>
                <w:webHidden/>
              </w:rPr>
              <w:fldChar w:fldCharType="end"/>
            </w:r>
          </w:hyperlink>
        </w:p>
        <w:p w14:paraId="2AF2DA3D" w14:textId="11B0CE8C"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46" w:history="1">
            <w:r w:rsidR="00834F8B" w:rsidRPr="001B46E7">
              <w:rPr>
                <w:rStyle w:val="Hyperlink"/>
                <w:noProof/>
              </w:rPr>
              <w:t>Current treatment options</w:t>
            </w:r>
            <w:r w:rsidR="00834F8B">
              <w:rPr>
                <w:noProof/>
                <w:webHidden/>
              </w:rPr>
              <w:tab/>
            </w:r>
            <w:r w:rsidR="00834F8B">
              <w:rPr>
                <w:noProof/>
                <w:webHidden/>
              </w:rPr>
              <w:fldChar w:fldCharType="begin"/>
            </w:r>
            <w:r w:rsidR="00834F8B">
              <w:rPr>
                <w:noProof/>
                <w:webHidden/>
              </w:rPr>
              <w:instrText xml:space="preserve"> PAGEREF _Toc160177846 \h </w:instrText>
            </w:r>
            <w:r w:rsidR="00834F8B">
              <w:rPr>
                <w:noProof/>
                <w:webHidden/>
              </w:rPr>
            </w:r>
            <w:r w:rsidR="00834F8B">
              <w:rPr>
                <w:noProof/>
                <w:webHidden/>
              </w:rPr>
              <w:fldChar w:fldCharType="separate"/>
            </w:r>
            <w:r w:rsidR="00834F8B">
              <w:rPr>
                <w:noProof/>
                <w:webHidden/>
              </w:rPr>
              <w:t>7</w:t>
            </w:r>
            <w:r w:rsidR="00834F8B">
              <w:rPr>
                <w:noProof/>
                <w:webHidden/>
              </w:rPr>
              <w:fldChar w:fldCharType="end"/>
            </w:r>
          </w:hyperlink>
        </w:p>
        <w:p w14:paraId="41AB1B8B" w14:textId="141E6A3B"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47" w:history="1">
            <w:r w:rsidR="00834F8B" w:rsidRPr="001B46E7">
              <w:rPr>
                <w:rStyle w:val="Hyperlink"/>
                <w:noProof/>
              </w:rPr>
              <w:t>Clinical rationale</w:t>
            </w:r>
            <w:r w:rsidR="00834F8B">
              <w:rPr>
                <w:noProof/>
                <w:webHidden/>
              </w:rPr>
              <w:tab/>
            </w:r>
            <w:r w:rsidR="00834F8B">
              <w:rPr>
                <w:noProof/>
                <w:webHidden/>
              </w:rPr>
              <w:fldChar w:fldCharType="begin"/>
            </w:r>
            <w:r w:rsidR="00834F8B">
              <w:rPr>
                <w:noProof/>
                <w:webHidden/>
              </w:rPr>
              <w:instrText xml:space="preserve"> PAGEREF _Toc160177847 \h </w:instrText>
            </w:r>
            <w:r w:rsidR="00834F8B">
              <w:rPr>
                <w:noProof/>
                <w:webHidden/>
              </w:rPr>
            </w:r>
            <w:r w:rsidR="00834F8B">
              <w:rPr>
                <w:noProof/>
                <w:webHidden/>
              </w:rPr>
              <w:fldChar w:fldCharType="separate"/>
            </w:r>
            <w:r w:rsidR="00834F8B">
              <w:rPr>
                <w:noProof/>
                <w:webHidden/>
              </w:rPr>
              <w:t>7</w:t>
            </w:r>
            <w:r w:rsidR="00834F8B">
              <w:rPr>
                <w:noProof/>
                <w:webHidden/>
              </w:rPr>
              <w:fldChar w:fldCharType="end"/>
            </w:r>
          </w:hyperlink>
        </w:p>
        <w:p w14:paraId="5C4C84FA" w14:textId="40CFEEEC" w:rsidR="00834F8B" w:rsidRDefault="00DE785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77848" w:history="1">
            <w:r w:rsidR="00834F8B" w:rsidRPr="001B46E7">
              <w:rPr>
                <w:rStyle w:val="Hyperlink"/>
                <w:noProof/>
              </w:rPr>
              <w:t>Regulatory status</w:t>
            </w:r>
            <w:r w:rsidR="00834F8B">
              <w:rPr>
                <w:noProof/>
                <w:webHidden/>
              </w:rPr>
              <w:tab/>
            </w:r>
            <w:r w:rsidR="00834F8B">
              <w:rPr>
                <w:noProof/>
                <w:webHidden/>
              </w:rPr>
              <w:fldChar w:fldCharType="begin"/>
            </w:r>
            <w:r w:rsidR="00834F8B">
              <w:rPr>
                <w:noProof/>
                <w:webHidden/>
              </w:rPr>
              <w:instrText xml:space="preserve"> PAGEREF _Toc160177848 \h </w:instrText>
            </w:r>
            <w:r w:rsidR="00834F8B">
              <w:rPr>
                <w:noProof/>
                <w:webHidden/>
              </w:rPr>
            </w:r>
            <w:r w:rsidR="00834F8B">
              <w:rPr>
                <w:noProof/>
                <w:webHidden/>
              </w:rPr>
              <w:fldChar w:fldCharType="separate"/>
            </w:r>
            <w:r w:rsidR="00834F8B">
              <w:rPr>
                <w:noProof/>
                <w:webHidden/>
              </w:rPr>
              <w:t>8</w:t>
            </w:r>
            <w:r w:rsidR="00834F8B">
              <w:rPr>
                <w:noProof/>
                <w:webHidden/>
              </w:rPr>
              <w:fldChar w:fldCharType="end"/>
            </w:r>
          </w:hyperlink>
        </w:p>
        <w:p w14:paraId="7E9650B8" w14:textId="2EE2739A"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49" w:history="1">
            <w:r w:rsidR="00834F8B" w:rsidRPr="001B46E7">
              <w:rPr>
                <w:rStyle w:val="Hyperlink"/>
                <w:noProof/>
              </w:rPr>
              <w:t>Australian regulatory status</w:t>
            </w:r>
            <w:r w:rsidR="00834F8B">
              <w:rPr>
                <w:noProof/>
                <w:webHidden/>
              </w:rPr>
              <w:tab/>
            </w:r>
            <w:r w:rsidR="00834F8B">
              <w:rPr>
                <w:noProof/>
                <w:webHidden/>
              </w:rPr>
              <w:fldChar w:fldCharType="begin"/>
            </w:r>
            <w:r w:rsidR="00834F8B">
              <w:rPr>
                <w:noProof/>
                <w:webHidden/>
              </w:rPr>
              <w:instrText xml:space="preserve"> PAGEREF _Toc160177849 \h </w:instrText>
            </w:r>
            <w:r w:rsidR="00834F8B">
              <w:rPr>
                <w:noProof/>
                <w:webHidden/>
              </w:rPr>
            </w:r>
            <w:r w:rsidR="00834F8B">
              <w:rPr>
                <w:noProof/>
                <w:webHidden/>
              </w:rPr>
              <w:fldChar w:fldCharType="separate"/>
            </w:r>
            <w:r w:rsidR="00834F8B">
              <w:rPr>
                <w:noProof/>
                <w:webHidden/>
              </w:rPr>
              <w:t>8</w:t>
            </w:r>
            <w:r w:rsidR="00834F8B">
              <w:rPr>
                <w:noProof/>
                <w:webHidden/>
              </w:rPr>
              <w:fldChar w:fldCharType="end"/>
            </w:r>
          </w:hyperlink>
        </w:p>
        <w:p w14:paraId="67A3A43E" w14:textId="5E7B0331"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50" w:history="1">
            <w:r w:rsidR="00834F8B" w:rsidRPr="001B46E7">
              <w:rPr>
                <w:rStyle w:val="Hyperlink"/>
                <w:noProof/>
              </w:rPr>
              <w:t>Foreign regulatory status</w:t>
            </w:r>
            <w:r w:rsidR="00834F8B">
              <w:rPr>
                <w:noProof/>
                <w:webHidden/>
              </w:rPr>
              <w:tab/>
            </w:r>
            <w:r w:rsidR="00834F8B">
              <w:rPr>
                <w:noProof/>
                <w:webHidden/>
              </w:rPr>
              <w:fldChar w:fldCharType="begin"/>
            </w:r>
            <w:r w:rsidR="00834F8B">
              <w:rPr>
                <w:noProof/>
                <w:webHidden/>
              </w:rPr>
              <w:instrText xml:space="preserve"> PAGEREF _Toc160177850 \h </w:instrText>
            </w:r>
            <w:r w:rsidR="00834F8B">
              <w:rPr>
                <w:noProof/>
                <w:webHidden/>
              </w:rPr>
            </w:r>
            <w:r w:rsidR="00834F8B">
              <w:rPr>
                <w:noProof/>
                <w:webHidden/>
              </w:rPr>
              <w:fldChar w:fldCharType="separate"/>
            </w:r>
            <w:r w:rsidR="00834F8B">
              <w:rPr>
                <w:noProof/>
                <w:webHidden/>
              </w:rPr>
              <w:t>8</w:t>
            </w:r>
            <w:r w:rsidR="00834F8B">
              <w:rPr>
                <w:noProof/>
                <w:webHidden/>
              </w:rPr>
              <w:fldChar w:fldCharType="end"/>
            </w:r>
          </w:hyperlink>
        </w:p>
        <w:p w14:paraId="0BE0D30A" w14:textId="57664A2D" w:rsidR="00834F8B" w:rsidRDefault="00DE785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177851" w:history="1">
            <w:r w:rsidR="00834F8B" w:rsidRPr="001B46E7">
              <w:rPr>
                <w:rStyle w:val="Hyperlink"/>
                <w:noProof/>
              </w:rPr>
              <w:t>Registration timeline</w:t>
            </w:r>
            <w:r w:rsidR="00834F8B">
              <w:rPr>
                <w:noProof/>
                <w:webHidden/>
              </w:rPr>
              <w:tab/>
            </w:r>
            <w:r w:rsidR="00834F8B">
              <w:rPr>
                <w:noProof/>
                <w:webHidden/>
              </w:rPr>
              <w:fldChar w:fldCharType="begin"/>
            </w:r>
            <w:r w:rsidR="00834F8B">
              <w:rPr>
                <w:noProof/>
                <w:webHidden/>
              </w:rPr>
              <w:instrText xml:space="preserve"> PAGEREF _Toc160177851 \h </w:instrText>
            </w:r>
            <w:r w:rsidR="00834F8B">
              <w:rPr>
                <w:noProof/>
                <w:webHidden/>
              </w:rPr>
            </w:r>
            <w:r w:rsidR="00834F8B">
              <w:rPr>
                <w:noProof/>
                <w:webHidden/>
              </w:rPr>
              <w:fldChar w:fldCharType="separate"/>
            </w:r>
            <w:r w:rsidR="00834F8B">
              <w:rPr>
                <w:noProof/>
                <w:webHidden/>
              </w:rPr>
              <w:t>9</w:t>
            </w:r>
            <w:r w:rsidR="00834F8B">
              <w:rPr>
                <w:noProof/>
                <w:webHidden/>
              </w:rPr>
              <w:fldChar w:fldCharType="end"/>
            </w:r>
          </w:hyperlink>
        </w:p>
        <w:p w14:paraId="4B0CEB6B" w14:textId="37882A2E" w:rsidR="00834F8B" w:rsidRDefault="00DE785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177852" w:history="1">
            <w:r w:rsidR="00834F8B" w:rsidRPr="001B46E7">
              <w:rPr>
                <w:rStyle w:val="Hyperlink"/>
                <w:noProof/>
              </w:rPr>
              <w:t>Submission overview and risk/benefit assessment</w:t>
            </w:r>
            <w:r w:rsidR="00834F8B">
              <w:rPr>
                <w:noProof/>
                <w:webHidden/>
              </w:rPr>
              <w:tab/>
            </w:r>
            <w:r w:rsidR="00834F8B">
              <w:rPr>
                <w:noProof/>
                <w:webHidden/>
              </w:rPr>
              <w:fldChar w:fldCharType="begin"/>
            </w:r>
            <w:r w:rsidR="00834F8B">
              <w:rPr>
                <w:noProof/>
                <w:webHidden/>
              </w:rPr>
              <w:instrText xml:space="preserve"> PAGEREF _Toc160177852 \h </w:instrText>
            </w:r>
            <w:r w:rsidR="00834F8B">
              <w:rPr>
                <w:noProof/>
                <w:webHidden/>
              </w:rPr>
            </w:r>
            <w:r w:rsidR="00834F8B">
              <w:rPr>
                <w:noProof/>
                <w:webHidden/>
              </w:rPr>
              <w:fldChar w:fldCharType="separate"/>
            </w:r>
            <w:r w:rsidR="00834F8B">
              <w:rPr>
                <w:noProof/>
                <w:webHidden/>
              </w:rPr>
              <w:t>10</w:t>
            </w:r>
            <w:r w:rsidR="00834F8B">
              <w:rPr>
                <w:noProof/>
                <w:webHidden/>
              </w:rPr>
              <w:fldChar w:fldCharType="end"/>
            </w:r>
          </w:hyperlink>
        </w:p>
        <w:p w14:paraId="49B037F8" w14:textId="1B149BBB" w:rsidR="00834F8B" w:rsidRDefault="00DE785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77853" w:history="1">
            <w:r w:rsidR="00834F8B" w:rsidRPr="001B46E7">
              <w:rPr>
                <w:rStyle w:val="Hyperlink"/>
                <w:noProof/>
              </w:rPr>
              <w:t>Quality</w:t>
            </w:r>
            <w:r w:rsidR="00834F8B">
              <w:rPr>
                <w:noProof/>
                <w:webHidden/>
              </w:rPr>
              <w:tab/>
            </w:r>
            <w:r w:rsidR="00834F8B">
              <w:rPr>
                <w:noProof/>
                <w:webHidden/>
              </w:rPr>
              <w:fldChar w:fldCharType="begin"/>
            </w:r>
            <w:r w:rsidR="00834F8B">
              <w:rPr>
                <w:noProof/>
                <w:webHidden/>
              </w:rPr>
              <w:instrText xml:space="preserve"> PAGEREF _Toc160177853 \h </w:instrText>
            </w:r>
            <w:r w:rsidR="00834F8B">
              <w:rPr>
                <w:noProof/>
                <w:webHidden/>
              </w:rPr>
            </w:r>
            <w:r w:rsidR="00834F8B">
              <w:rPr>
                <w:noProof/>
                <w:webHidden/>
              </w:rPr>
              <w:fldChar w:fldCharType="separate"/>
            </w:r>
            <w:r w:rsidR="00834F8B">
              <w:rPr>
                <w:noProof/>
                <w:webHidden/>
              </w:rPr>
              <w:t>10</w:t>
            </w:r>
            <w:r w:rsidR="00834F8B">
              <w:rPr>
                <w:noProof/>
                <w:webHidden/>
              </w:rPr>
              <w:fldChar w:fldCharType="end"/>
            </w:r>
          </w:hyperlink>
        </w:p>
        <w:p w14:paraId="0860059B" w14:textId="0CDCE9F0" w:rsidR="00834F8B" w:rsidRDefault="00DE785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77854" w:history="1">
            <w:r w:rsidR="00834F8B" w:rsidRPr="001B46E7">
              <w:rPr>
                <w:rStyle w:val="Hyperlink"/>
                <w:noProof/>
              </w:rPr>
              <w:t>Nonclinical</w:t>
            </w:r>
            <w:r w:rsidR="00834F8B">
              <w:rPr>
                <w:noProof/>
                <w:webHidden/>
              </w:rPr>
              <w:tab/>
            </w:r>
            <w:r w:rsidR="00834F8B">
              <w:rPr>
                <w:noProof/>
                <w:webHidden/>
              </w:rPr>
              <w:fldChar w:fldCharType="begin"/>
            </w:r>
            <w:r w:rsidR="00834F8B">
              <w:rPr>
                <w:noProof/>
                <w:webHidden/>
              </w:rPr>
              <w:instrText xml:space="preserve"> PAGEREF _Toc160177854 \h </w:instrText>
            </w:r>
            <w:r w:rsidR="00834F8B">
              <w:rPr>
                <w:noProof/>
                <w:webHidden/>
              </w:rPr>
            </w:r>
            <w:r w:rsidR="00834F8B">
              <w:rPr>
                <w:noProof/>
                <w:webHidden/>
              </w:rPr>
              <w:fldChar w:fldCharType="separate"/>
            </w:r>
            <w:r w:rsidR="00834F8B">
              <w:rPr>
                <w:noProof/>
                <w:webHidden/>
              </w:rPr>
              <w:t>11</w:t>
            </w:r>
            <w:r w:rsidR="00834F8B">
              <w:rPr>
                <w:noProof/>
                <w:webHidden/>
              </w:rPr>
              <w:fldChar w:fldCharType="end"/>
            </w:r>
          </w:hyperlink>
        </w:p>
        <w:p w14:paraId="66C3BCFC" w14:textId="32D6A091" w:rsidR="00834F8B" w:rsidRDefault="00DE785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77855" w:history="1">
            <w:r w:rsidR="00834F8B" w:rsidRPr="001B46E7">
              <w:rPr>
                <w:rStyle w:val="Hyperlink"/>
                <w:noProof/>
              </w:rPr>
              <w:t>Clinical</w:t>
            </w:r>
            <w:r w:rsidR="00834F8B">
              <w:rPr>
                <w:noProof/>
                <w:webHidden/>
              </w:rPr>
              <w:tab/>
            </w:r>
            <w:r w:rsidR="00834F8B">
              <w:rPr>
                <w:noProof/>
                <w:webHidden/>
              </w:rPr>
              <w:fldChar w:fldCharType="begin"/>
            </w:r>
            <w:r w:rsidR="00834F8B">
              <w:rPr>
                <w:noProof/>
                <w:webHidden/>
              </w:rPr>
              <w:instrText xml:space="preserve"> PAGEREF _Toc160177855 \h </w:instrText>
            </w:r>
            <w:r w:rsidR="00834F8B">
              <w:rPr>
                <w:noProof/>
                <w:webHidden/>
              </w:rPr>
            </w:r>
            <w:r w:rsidR="00834F8B">
              <w:rPr>
                <w:noProof/>
                <w:webHidden/>
              </w:rPr>
              <w:fldChar w:fldCharType="separate"/>
            </w:r>
            <w:r w:rsidR="00834F8B">
              <w:rPr>
                <w:noProof/>
                <w:webHidden/>
              </w:rPr>
              <w:t>12</w:t>
            </w:r>
            <w:r w:rsidR="00834F8B">
              <w:rPr>
                <w:noProof/>
                <w:webHidden/>
              </w:rPr>
              <w:fldChar w:fldCharType="end"/>
            </w:r>
          </w:hyperlink>
        </w:p>
        <w:p w14:paraId="7E35F9CB" w14:textId="43112689"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56" w:history="1">
            <w:r w:rsidR="00834F8B" w:rsidRPr="001B46E7">
              <w:rPr>
                <w:rStyle w:val="Hyperlink"/>
                <w:noProof/>
              </w:rPr>
              <w:t>Summary of clinical studies</w:t>
            </w:r>
            <w:r w:rsidR="00834F8B">
              <w:rPr>
                <w:noProof/>
                <w:webHidden/>
              </w:rPr>
              <w:tab/>
            </w:r>
            <w:r w:rsidR="00834F8B">
              <w:rPr>
                <w:noProof/>
                <w:webHidden/>
              </w:rPr>
              <w:fldChar w:fldCharType="begin"/>
            </w:r>
            <w:r w:rsidR="00834F8B">
              <w:rPr>
                <w:noProof/>
                <w:webHidden/>
              </w:rPr>
              <w:instrText xml:space="preserve"> PAGEREF _Toc160177856 \h </w:instrText>
            </w:r>
            <w:r w:rsidR="00834F8B">
              <w:rPr>
                <w:noProof/>
                <w:webHidden/>
              </w:rPr>
            </w:r>
            <w:r w:rsidR="00834F8B">
              <w:rPr>
                <w:noProof/>
                <w:webHidden/>
              </w:rPr>
              <w:fldChar w:fldCharType="separate"/>
            </w:r>
            <w:r w:rsidR="00834F8B">
              <w:rPr>
                <w:noProof/>
                <w:webHidden/>
              </w:rPr>
              <w:t>12</w:t>
            </w:r>
            <w:r w:rsidR="00834F8B">
              <w:rPr>
                <w:noProof/>
                <w:webHidden/>
              </w:rPr>
              <w:fldChar w:fldCharType="end"/>
            </w:r>
          </w:hyperlink>
        </w:p>
        <w:p w14:paraId="77BCD050" w14:textId="63EF16E6"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57" w:history="1">
            <w:r w:rsidR="00834F8B" w:rsidRPr="001B46E7">
              <w:rPr>
                <w:rStyle w:val="Hyperlink"/>
                <w:noProof/>
              </w:rPr>
              <w:t>Pharmacology</w:t>
            </w:r>
            <w:r w:rsidR="00834F8B">
              <w:rPr>
                <w:noProof/>
                <w:webHidden/>
              </w:rPr>
              <w:tab/>
            </w:r>
            <w:r w:rsidR="00834F8B">
              <w:rPr>
                <w:noProof/>
                <w:webHidden/>
              </w:rPr>
              <w:fldChar w:fldCharType="begin"/>
            </w:r>
            <w:r w:rsidR="00834F8B">
              <w:rPr>
                <w:noProof/>
                <w:webHidden/>
              </w:rPr>
              <w:instrText xml:space="preserve"> PAGEREF _Toc160177857 \h </w:instrText>
            </w:r>
            <w:r w:rsidR="00834F8B">
              <w:rPr>
                <w:noProof/>
                <w:webHidden/>
              </w:rPr>
            </w:r>
            <w:r w:rsidR="00834F8B">
              <w:rPr>
                <w:noProof/>
                <w:webHidden/>
              </w:rPr>
              <w:fldChar w:fldCharType="separate"/>
            </w:r>
            <w:r w:rsidR="00834F8B">
              <w:rPr>
                <w:noProof/>
                <w:webHidden/>
              </w:rPr>
              <w:t>12</w:t>
            </w:r>
            <w:r w:rsidR="00834F8B">
              <w:rPr>
                <w:noProof/>
                <w:webHidden/>
              </w:rPr>
              <w:fldChar w:fldCharType="end"/>
            </w:r>
          </w:hyperlink>
        </w:p>
        <w:p w14:paraId="219078BD" w14:textId="0F65D5E0"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58" w:history="1">
            <w:r w:rsidR="00834F8B" w:rsidRPr="001B46E7">
              <w:rPr>
                <w:rStyle w:val="Hyperlink"/>
                <w:noProof/>
              </w:rPr>
              <w:t>Efficacy</w:t>
            </w:r>
            <w:r w:rsidR="00834F8B">
              <w:rPr>
                <w:noProof/>
                <w:webHidden/>
              </w:rPr>
              <w:tab/>
            </w:r>
            <w:r w:rsidR="00834F8B">
              <w:rPr>
                <w:noProof/>
                <w:webHidden/>
              </w:rPr>
              <w:fldChar w:fldCharType="begin"/>
            </w:r>
            <w:r w:rsidR="00834F8B">
              <w:rPr>
                <w:noProof/>
                <w:webHidden/>
              </w:rPr>
              <w:instrText xml:space="preserve"> PAGEREF _Toc160177858 \h </w:instrText>
            </w:r>
            <w:r w:rsidR="00834F8B">
              <w:rPr>
                <w:noProof/>
                <w:webHidden/>
              </w:rPr>
            </w:r>
            <w:r w:rsidR="00834F8B">
              <w:rPr>
                <w:noProof/>
                <w:webHidden/>
              </w:rPr>
              <w:fldChar w:fldCharType="separate"/>
            </w:r>
            <w:r w:rsidR="00834F8B">
              <w:rPr>
                <w:noProof/>
                <w:webHidden/>
              </w:rPr>
              <w:t>17</w:t>
            </w:r>
            <w:r w:rsidR="00834F8B">
              <w:rPr>
                <w:noProof/>
                <w:webHidden/>
              </w:rPr>
              <w:fldChar w:fldCharType="end"/>
            </w:r>
          </w:hyperlink>
        </w:p>
        <w:p w14:paraId="3E749EE3" w14:textId="634CF26C"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59" w:history="1">
            <w:r w:rsidR="00834F8B" w:rsidRPr="001B46E7">
              <w:rPr>
                <w:rStyle w:val="Hyperlink"/>
                <w:noProof/>
              </w:rPr>
              <w:t>Safety</w:t>
            </w:r>
            <w:r w:rsidR="00834F8B">
              <w:rPr>
                <w:noProof/>
                <w:webHidden/>
              </w:rPr>
              <w:tab/>
            </w:r>
            <w:r w:rsidR="00834F8B">
              <w:rPr>
                <w:noProof/>
                <w:webHidden/>
              </w:rPr>
              <w:fldChar w:fldCharType="begin"/>
            </w:r>
            <w:r w:rsidR="00834F8B">
              <w:rPr>
                <w:noProof/>
                <w:webHidden/>
              </w:rPr>
              <w:instrText xml:space="preserve"> PAGEREF _Toc160177859 \h </w:instrText>
            </w:r>
            <w:r w:rsidR="00834F8B">
              <w:rPr>
                <w:noProof/>
                <w:webHidden/>
              </w:rPr>
            </w:r>
            <w:r w:rsidR="00834F8B">
              <w:rPr>
                <w:noProof/>
                <w:webHidden/>
              </w:rPr>
              <w:fldChar w:fldCharType="separate"/>
            </w:r>
            <w:r w:rsidR="00834F8B">
              <w:rPr>
                <w:noProof/>
                <w:webHidden/>
              </w:rPr>
              <w:t>26</w:t>
            </w:r>
            <w:r w:rsidR="00834F8B">
              <w:rPr>
                <w:noProof/>
                <w:webHidden/>
              </w:rPr>
              <w:fldChar w:fldCharType="end"/>
            </w:r>
          </w:hyperlink>
        </w:p>
        <w:p w14:paraId="1B003519" w14:textId="176C09B4" w:rsidR="00834F8B" w:rsidRDefault="00DE785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77860" w:history="1">
            <w:r w:rsidR="00834F8B" w:rsidRPr="001B46E7">
              <w:rPr>
                <w:rStyle w:val="Hyperlink"/>
                <w:noProof/>
                <w:lang w:eastAsia="en-AU"/>
              </w:rPr>
              <w:t>Risk management plan</w:t>
            </w:r>
            <w:r w:rsidR="00834F8B">
              <w:rPr>
                <w:noProof/>
                <w:webHidden/>
              </w:rPr>
              <w:tab/>
            </w:r>
            <w:r w:rsidR="00834F8B">
              <w:rPr>
                <w:noProof/>
                <w:webHidden/>
              </w:rPr>
              <w:fldChar w:fldCharType="begin"/>
            </w:r>
            <w:r w:rsidR="00834F8B">
              <w:rPr>
                <w:noProof/>
                <w:webHidden/>
              </w:rPr>
              <w:instrText xml:space="preserve"> PAGEREF _Toc160177860 \h </w:instrText>
            </w:r>
            <w:r w:rsidR="00834F8B">
              <w:rPr>
                <w:noProof/>
                <w:webHidden/>
              </w:rPr>
            </w:r>
            <w:r w:rsidR="00834F8B">
              <w:rPr>
                <w:noProof/>
                <w:webHidden/>
              </w:rPr>
              <w:fldChar w:fldCharType="separate"/>
            </w:r>
            <w:r w:rsidR="00834F8B">
              <w:rPr>
                <w:noProof/>
                <w:webHidden/>
              </w:rPr>
              <w:t>29</w:t>
            </w:r>
            <w:r w:rsidR="00834F8B">
              <w:rPr>
                <w:noProof/>
                <w:webHidden/>
              </w:rPr>
              <w:fldChar w:fldCharType="end"/>
            </w:r>
          </w:hyperlink>
        </w:p>
        <w:p w14:paraId="7201B042" w14:textId="268448AC" w:rsidR="00834F8B" w:rsidRDefault="00DE785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77861" w:history="1">
            <w:r w:rsidR="00834F8B" w:rsidRPr="001B46E7">
              <w:rPr>
                <w:rStyle w:val="Hyperlink"/>
                <w:noProof/>
              </w:rPr>
              <w:t>Risk-benefit analysis</w:t>
            </w:r>
            <w:r w:rsidR="00834F8B">
              <w:rPr>
                <w:noProof/>
                <w:webHidden/>
              </w:rPr>
              <w:tab/>
            </w:r>
            <w:r w:rsidR="00834F8B">
              <w:rPr>
                <w:noProof/>
                <w:webHidden/>
              </w:rPr>
              <w:fldChar w:fldCharType="begin"/>
            </w:r>
            <w:r w:rsidR="00834F8B">
              <w:rPr>
                <w:noProof/>
                <w:webHidden/>
              </w:rPr>
              <w:instrText xml:space="preserve"> PAGEREF _Toc160177861 \h </w:instrText>
            </w:r>
            <w:r w:rsidR="00834F8B">
              <w:rPr>
                <w:noProof/>
                <w:webHidden/>
              </w:rPr>
            </w:r>
            <w:r w:rsidR="00834F8B">
              <w:rPr>
                <w:noProof/>
                <w:webHidden/>
              </w:rPr>
              <w:fldChar w:fldCharType="separate"/>
            </w:r>
            <w:r w:rsidR="00834F8B">
              <w:rPr>
                <w:noProof/>
                <w:webHidden/>
              </w:rPr>
              <w:t>30</w:t>
            </w:r>
            <w:r w:rsidR="00834F8B">
              <w:rPr>
                <w:noProof/>
                <w:webHidden/>
              </w:rPr>
              <w:fldChar w:fldCharType="end"/>
            </w:r>
          </w:hyperlink>
        </w:p>
        <w:p w14:paraId="45D3CC50" w14:textId="0CAD186B"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62" w:history="1">
            <w:r w:rsidR="00834F8B" w:rsidRPr="001B46E7">
              <w:rPr>
                <w:rStyle w:val="Hyperlink"/>
                <w:noProof/>
              </w:rPr>
              <w:t>Delegate’s considerations</w:t>
            </w:r>
            <w:r w:rsidR="00834F8B">
              <w:rPr>
                <w:noProof/>
                <w:webHidden/>
              </w:rPr>
              <w:tab/>
            </w:r>
            <w:r w:rsidR="00834F8B">
              <w:rPr>
                <w:noProof/>
                <w:webHidden/>
              </w:rPr>
              <w:fldChar w:fldCharType="begin"/>
            </w:r>
            <w:r w:rsidR="00834F8B">
              <w:rPr>
                <w:noProof/>
                <w:webHidden/>
              </w:rPr>
              <w:instrText xml:space="preserve"> PAGEREF _Toc160177862 \h </w:instrText>
            </w:r>
            <w:r w:rsidR="00834F8B">
              <w:rPr>
                <w:noProof/>
                <w:webHidden/>
              </w:rPr>
            </w:r>
            <w:r w:rsidR="00834F8B">
              <w:rPr>
                <w:noProof/>
                <w:webHidden/>
              </w:rPr>
              <w:fldChar w:fldCharType="separate"/>
            </w:r>
            <w:r w:rsidR="00834F8B">
              <w:rPr>
                <w:noProof/>
                <w:webHidden/>
              </w:rPr>
              <w:t>30</w:t>
            </w:r>
            <w:r w:rsidR="00834F8B">
              <w:rPr>
                <w:noProof/>
                <w:webHidden/>
              </w:rPr>
              <w:fldChar w:fldCharType="end"/>
            </w:r>
          </w:hyperlink>
        </w:p>
        <w:p w14:paraId="6951E81C" w14:textId="25252F94"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63" w:history="1">
            <w:r w:rsidR="00834F8B" w:rsidRPr="001B46E7">
              <w:rPr>
                <w:rStyle w:val="Hyperlink"/>
                <w:noProof/>
              </w:rPr>
              <w:t>Proposed action</w:t>
            </w:r>
            <w:r w:rsidR="00834F8B">
              <w:rPr>
                <w:noProof/>
                <w:webHidden/>
              </w:rPr>
              <w:tab/>
            </w:r>
            <w:r w:rsidR="00834F8B">
              <w:rPr>
                <w:noProof/>
                <w:webHidden/>
              </w:rPr>
              <w:fldChar w:fldCharType="begin"/>
            </w:r>
            <w:r w:rsidR="00834F8B">
              <w:rPr>
                <w:noProof/>
                <w:webHidden/>
              </w:rPr>
              <w:instrText xml:space="preserve"> PAGEREF _Toc160177863 \h </w:instrText>
            </w:r>
            <w:r w:rsidR="00834F8B">
              <w:rPr>
                <w:noProof/>
                <w:webHidden/>
              </w:rPr>
            </w:r>
            <w:r w:rsidR="00834F8B">
              <w:rPr>
                <w:noProof/>
                <w:webHidden/>
              </w:rPr>
              <w:fldChar w:fldCharType="separate"/>
            </w:r>
            <w:r w:rsidR="00834F8B">
              <w:rPr>
                <w:noProof/>
                <w:webHidden/>
              </w:rPr>
              <w:t>33</w:t>
            </w:r>
            <w:r w:rsidR="00834F8B">
              <w:rPr>
                <w:noProof/>
                <w:webHidden/>
              </w:rPr>
              <w:fldChar w:fldCharType="end"/>
            </w:r>
          </w:hyperlink>
        </w:p>
        <w:p w14:paraId="06426C37" w14:textId="6E106DA6" w:rsidR="00834F8B" w:rsidRDefault="00DE785D">
          <w:pPr>
            <w:pStyle w:val="TOC3"/>
            <w:rPr>
              <w:rFonts w:asciiTheme="minorHAnsi" w:eastAsiaTheme="minorEastAsia" w:hAnsiTheme="minorHAnsi" w:cstheme="minorBidi"/>
              <w:b w:val="0"/>
              <w:noProof/>
              <w:color w:val="auto"/>
              <w:kern w:val="2"/>
              <w:szCs w:val="22"/>
              <w:lang w:eastAsia="en-AU"/>
              <w14:ligatures w14:val="standardContextual"/>
            </w:rPr>
          </w:pPr>
          <w:hyperlink w:anchor="_Toc160177864" w:history="1">
            <w:r w:rsidR="00834F8B" w:rsidRPr="001B46E7">
              <w:rPr>
                <w:rStyle w:val="Hyperlink"/>
                <w:noProof/>
              </w:rPr>
              <w:t>Advisory Committee considerations</w:t>
            </w:r>
            <w:r w:rsidR="00834F8B">
              <w:rPr>
                <w:noProof/>
                <w:webHidden/>
              </w:rPr>
              <w:tab/>
            </w:r>
            <w:r w:rsidR="00834F8B">
              <w:rPr>
                <w:noProof/>
                <w:webHidden/>
              </w:rPr>
              <w:fldChar w:fldCharType="begin"/>
            </w:r>
            <w:r w:rsidR="00834F8B">
              <w:rPr>
                <w:noProof/>
                <w:webHidden/>
              </w:rPr>
              <w:instrText xml:space="preserve"> PAGEREF _Toc160177864 \h </w:instrText>
            </w:r>
            <w:r w:rsidR="00834F8B">
              <w:rPr>
                <w:noProof/>
                <w:webHidden/>
              </w:rPr>
            </w:r>
            <w:r w:rsidR="00834F8B">
              <w:rPr>
                <w:noProof/>
                <w:webHidden/>
              </w:rPr>
              <w:fldChar w:fldCharType="separate"/>
            </w:r>
            <w:r w:rsidR="00834F8B">
              <w:rPr>
                <w:noProof/>
                <w:webHidden/>
              </w:rPr>
              <w:t>33</w:t>
            </w:r>
            <w:r w:rsidR="00834F8B">
              <w:rPr>
                <w:noProof/>
                <w:webHidden/>
              </w:rPr>
              <w:fldChar w:fldCharType="end"/>
            </w:r>
          </w:hyperlink>
        </w:p>
        <w:p w14:paraId="3D3E3EFD" w14:textId="779D7717" w:rsidR="00834F8B" w:rsidRDefault="00DE785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177865" w:history="1">
            <w:r w:rsidR="00834F8B" w:rsidRPr="001B46E7">
              <w:rPr>
                <w:rStyle w:val="Hyperlink"/>
                <w:noProof/>
              </w:rPr>
              <w:t>Outcome</w:t>
            </w:r>
            <w:r w:rsidR="00834F8B">
              <w:rPr>
                <w:noProof/>
                <w:webHidden/>
              </w:rPr>
              <w:tab/>
            </w:r>
            <w:r w:rsidR="00834F8B">
              <w:rPr>
                <w:noProof/>
                <w:webHidden/>
              </w:rPr>
              <w:fldChar w:fldCharType="begin"/>
            </w:r>
            <w:r w:rsidR="00834F8B">
              <w:rPr>
                <w:noProof/>
                <w:webHidden/>
              </w:rPr>
              <w:instrText xml:space="preserve"> PAGEREF _Toc160177865 \h </w:instrText>
            </w:r>
            <w:r w:rsidR="00834F8B">
              <w:rPr>
                <w:noProof/>
                <w:webHidden/>
              </w:rPr>
            </w:r>
            <w:r w:rsidR="00834F8B">
              <w:rPr>
                <w:noProof/>
                <w:webHidden/>
              </w:rPr>
              <w:fldChar w:fldCharType="separate"/>
            </w:r>
            <w:r w:rsidR="00834F8B">
              <w:rPr>
                <w:noProof/>
                <w:webHidden/>
              </w:rPr>
              <w:t>35</w:t>
            </w:r>
            <w:r w:rsidR="00834F8B">
              <w:rPr>
                <w:noProof/>
                <w:webHidden/>
              </w:rPr>
              <w:fldChar w:fldCharType="end"/>
            </w:r>
          </w:hyperlink>
        </w:p>
        <w:p w14:paraId="180354EB" w14:textId="470E8AF7" w:rsidR="00834F8B" w:rsidRDefault="00DE785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77866" w:history="1">
            <w:r w:rsidR="00834F8B" w:rsidRPr="001B46E7">
              <w:rPr>
                <w:rStyle w:val="Hyperlink"/>
                <w:noProof/>
              </w:rPr>
              <w:t>Specific conditions of registration applying to these goods</w:t>
            </w:r>
            <w:r w:rsidR="00834F8B">
              <w:rPr>
                <w:noProof/>
                <w:webHidden/>
              </w:rPr>
              <w:tab/>
            </w:r>
            <w:r w:rsidR="00834F8B">
              <w:rPr>
                <w:noProof/>
                <w:webHidden/>
              </w:rPr>
              <w:fldChar w:fldCharType="begin"/>
            </w:r>
            <w:r w:rsidR="00834F8B">
              <w:rPr>
                <w:noProof/>
                <w:webHidden/>
              </w:rPr>
              <w:instrText xml:space="preserve"> PAGEREF _Toc160177866 \h </w:instrText>
            </w:r>
            <w:r w:rsidR="00834F8B">
              <w:rPr>
                <w:noProof/>
                <w:webHidden/>
              </w:rPr>
            </w:r>
            <w:r w:rsidR="00834F8B">
              <w:rPr>
                <w:noProof/>
                <w:webHidden/>
              </w:rPr>
              <w:fldChar w:fldCharType="separate"/>
            </w:r>
            <w:r w:rsidR="00834F8B">
              <w:rPr>
                <w:noProof/>
                <w:webHidden/>
              </w:rPr>
              <w:t>35</w:t>
            </w:r>
            <w:r w:rsidR="00834F8B">
              <w:rPr>
                <w:noProof/>
                <w:webHidden/>
              </w:rPr>
              <w:fldChar w:fldCharType="end"/>
            </w:r>
          </w:hyperlink>
        </w:p>
        <w:p w14:paraId="52DD6927" w14:textId="180288AD" w:rsidR="00834F8B" w:rsidRDefault="00DE785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177867" w:history="1">
            <w:r w:rsidR="00834F8B" w:rsidRPr="001B46E7">
              <w:rPr>
                <w:rStyle w:val="Hyperlink"/>
                <w:noProof/>
              </w:rPr>
              <w:t>Attachment 1. Product Information</w:t>
            </w:r>
            <w:r w:rsidR="00834F8B">
              <w:rPr>
                <w:noProof/>
                <w:webHidden/>
              </w:rPr>
              <w:tab/>
            </w:r>
            <w:r w:rsidR="00834F8B">
              <w:rPr>
                <w:noProof/>
                <w:webHidden/>
              </w:rPr>
              <w:fldChar w:fldCharType="begin"/>
            </w:r>
            <w:r w:rsidR="00834F8B">
              <w:rPr>
                <w:noProof/>
                <w:webHidden/>
              </w:rPr>
              <w:instrText xml:space="preserve"> PAGEREF _Toc160177867 \h </w:instrText>
            </w:r>
            <w:r w:rsidR="00834F8B">
              <w:rPr>
                <w:noProof/>
                <w:webHidden/>
              </w:rPr>
            </w:r>
            <w:r w:rsidR="00834F8B">
              <w:rPr>
                <w:noProof/>
                <w:webHidden/>
              </w:rPr>
              <w:fldChar w:fldCharType="separate"/>
            </w:r>
            <w:r w:rsidR="00834F8B">
              <w:rPr>
                <w:noProof/>
                <w:webHidden/>
              </w:rPr>
              <w:t>35</w:t>
            </w:r>
            <w:r w:rsidR="00834F8B">
              <w:rPr>
                <w:noProof/>
                <w:webHidden/>
              </w:rPr>
              <w:fldChar w:fldCharType="end"/>
            </w:r>
          </w:hyperlink>
        </w:p>
        <w:p w14:paraId="77659F2D" w14:textId="1317D656" w:rsidR="00F02AEC" w:rsidRPr="00215D48" w:rsidRDefault="00F02AEC" w:rsidP="007452E8">
          <w:r w:rsidRPr="00215D48">
            <w:rPr>
              <w:color w:val="2B579A"/>
              <w:shd w:val="clear" w:color="auto" w:fill="E6E6E6"/>
            </w:rPr>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60177841"/>
      <w:bookmarkStart w:id="3" w:name="_Toc323739589"/>
      <w:bookmarkStart w:id="4" w:name="_Toc356305216"/>
      <w:r>
        <w:lastRenderedPageBreak/>
        <w:t>List of abbreviations</w:t>
      </w:r>
      <w:bookmarkEnd w:id="0"/>
      <w:bookmarkEnd w:id="1"/>
      <w:bookmarkEnd w:id="2"/>
    </w:p>
    <w:tbl>
      <w:tblPr>
        <w:tblStyle w:val="TableTGAblue2023"/>
        <w:tblW w:w="9430" w:type="dxa"/>
        <w:tblLook w:val="04A0" w:firstRow="1" w:lastRow="0" w:firstColumn="1" w:lastColumn="0" w:noHBand="0" w:noVBand="1"/>
      </w:tblPr>
      <w:tblGrid>
        <w:gridCol w:w="2263"/>
        <w:gridCol w:w="7167"/>
      </w:tblGrid>
      <w:tr w:rsidR="00833858" w:rsidRPr="003D71A1" w14:paraId="4833F33B" w14:textId="777777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01FA83E9" w14:textId="77777777" w:rsidR="00833858" w:rsidRPr="007C71D5" w:rsidRDefault="00833858">
            <w:pPr>
              <w:rPr>
                <w:szCs w:val="22"/>
              </w:rPr>
            </w:pPr>
            <w:bookmarkStart w:id="5" w:name="_Hlk133418605"/>
            <w:r w:rsidRPr="007C71D5">
              <w:rPr>
                <w:szCs w:val="22"/>
              </w:rPr>
              <w:t>Abbreviation</w:t>
            </w:r>
          </w:p>
        </w:tc>
        <w:tc>
          <w:tcPr>
            <w:tcW w:w="7167" w:type="dxa"/>
          </w:tcPr>
          <w:p w14:paraId="02A327A1" w14:textId="77777777" w:rsidR="00833858" w:rsidRPr="007C71D5" w:rsidRDefault="00833858">
            <w:pPr>
              <w:cnfStyle w:val="100000000000" w:firstRow="1" w:lastRow="0" w:firstColumn="0" w:lastColumn="0" w:oddVBand="0" w:evenVBand="0" w:oddHBand="0" w:evenHBand="0" w:firstRowFirstColumn="0" w:firstRowLastColumn="0" w:lastRowFirstColumn="0" w:lastRowLastColumn="0"/>
              <w:rPr>
                <w:szCs w:val="22"/>
              </w:rPr>
            </w:pPr>
            <w:r w:rsidRPr="007C71D5">
              <w:rPr>
                <w:szCs w:val="22"/>
              </w:rPr>
              <w:t>Meaning</w:t>
            </w:r>
          </w:p>
        </w:tc>
      </w:tr>
      <w:tr w:rsidR="00833858" w:rsidRPr="002B2C82" w14:paraId="3AF4746D"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C06FAA9" w14:textId="77777777" w:rsidR="00833858" w:rsidRPr="006B2645" w:rsidRDefault="00833858">
            <w:pPr>
              <w:rPr>
                <w:rFonts w:cstheme="minorHAnsi"/>
                <w:szCs w:val="24"/>
              </w:rPr>
            </w:pPr>
            <w:r w:rsidRPr="006B2645">
              <w:rPr>
                <w:rFonts w:cstheme="minorHAnsi"/>
                <w:szCs w:val="24"/>
              </w:rPr>
              <w:t>ACM</w:t>
            </w:r>
          </w:p>
        </w:tc>
        <w:tc>
          <w:tcPr>
            <w:tcW w:w="7167" w:type="dxa"/>
          </w:tcPr>
          <w:p w14:paraId="02CAD906"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B2645">
              <w:rPr>
                <w:szCs w:val="24"/>
              </w:rPr>
              <w:t>Advisory Committee on Medicines</w:t>
            </w:r>
          </w:p>
        </w:tc>
      </w:tr>
      <w:tr w:rsidR="00833858" w:rsidRPr="002B2C82" w14:paraId="09453CCC"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F234ABF" w14:textId="77777777" w:rsidR="00833858" w:rsidRPr="006B2645" w:rsidRDefault="00833858">
            <w:pPr>
              <w:rPr>
                <w:rFonts w:cstheme="minorHAnsi"/>
                <w:szCs w:val="32"/>
              </w:rPr>
            </w:pPr>
            <w:r w:rsidRPr="006B2645">
              <w:rPr>
                <w:rFonts w:cstheme="minorHAnsi"/>
                <w:szCs w:val="32"/>
              </w:rPr>
              <w:t>ALP</w:t>
            </w:r>
          </w:p>
        </w:tc>
        <w:tc>
          <w:tcPr>
            <w:tcW w:w="7167" w:type="dxa"/>
          </w:tcPr>
          <w:p w14:paraId="17F7675E"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szCs w:val="32"/>
              </w:rPr>
            </w:pPr>
            <w:r w:rsidRPr="006B2645">
              <w:rPr>
                <w:szCs w:val="32"/>
              </w:rPr>
              <w:t>Alkaline phosphatase</w:t>
            </w:r>
          </w:p>
        </w:tc>
      </w:tr>
      <w:tr w:rsidR="00833858" w:rsidRPr="002B2C82" w14:paraId="5D0268D3"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03A01B3" w14:textId="77777777" w:rsidR="00833858" w:rsidRPr="006B2645" w:rsidRDefault="00833858">
            <w:pPr>
              <w:rPr>
                <w:rFonts w:cstheme="minorHAnsi"/>
                <w:szCs w:val="22"/>
              </w:rPr>
            </w:pPr>
            <w:r w:rsidRPr="006B2645">
              <w:rPr>
                <w:rFonts w:cstheme="minorHAnsi"/>
                <w:szCs w:val="24"/>
              </w:rPr>
              <w:t>ALT</w:t>
            </w:r>
          </w:p>
        </w:tc>
        <w:tc>
          <w:tcPr>
            <w:tcW w:w="7167" w:type="dxa"/>
          </w:tcPr>
          <w:p w14:paraId="0C601496"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22"/>
              </w:rPr>
            </w:pPr>
            <w:r w:rsidRPr="006B2645">
              <w:rPr>
                <w:szCs w:val="24"/>
              </w:rPr>
              <w:t>Alanine aminotransferase</w:t>
            </w:r>
          </w:p>
        </w:tc>
      </w:tr>
      <w:tr w:rsidR="00833858" w:rsidRPr="002B2C82" w14:paraId="0D4CFCB6"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07C588B" w14:textId="77777777" w:rsidR="00833858" w:rsidRPr="006B2645" w:rsidRDefault="00833858">
            <w:pPr>
              <w:rPr>
                <w:rFonts w:cstheme="minorHAnsi"/>
                <w:szCs w:val="24"/>
              </w:rPr>
            </w:pPr>
            <w:r w:rsidRPr="006B2645">
              <w:rPr>
                <w:rFonts w:cstheme="minorHAnsi"/>
                <w:szCs w:val="24"/>
              </w:rPr>
              <w:t>ASA</w:t>
            </w:r>
          </w:p>
        </w:tc>
        <w:tc>
          <w:tcPr>
            <w:tcW w:w="7167" w:type="dxa"/>
          </w:tcPr>
          <w:p w14:paraId="7D5DA9EE"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B2645">
              <w:rPr>
                <w:rFonts w:cstheme="minorHAnsi"/>
                <w:szCs w:val="24"/>
              </w:rPr>
              <w:t>Australia specific annex</w:t>
            </w:r>
          </w:p>
        </w:tc>
      </w:tr>
      <w:tr w:rsidR="00833858" w:rsidRPr="002B2C82" w14:paraId="482AEA67"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D877F4C" w14:textId="77777777" w:rsidR="00833858" w:rsidRPr="006B2645" w:rsidRDefault="00833858">
            <w:pPr>
              <w:rPr>
                <w:rFonts w:cstheme="minorHAnsi"/>
                <w:szCs w:val="32"/>
              </w:rPr>
            </w:pPr>
            <w:r w:rsidRPr="006B2645">
              <w:rPr>
                <w:rFonts w:cstheme="minorHAnsi"/>
                <w:szCs w:val="32"/>
              </w:rPr>
              <w:t>AST</w:t>
            </w:r>
          </w:p>
        </w:tc>
        <w:tc>
          <w:tcPr>
            <w:tcW w:w="7167" w:type="dxa"/>
          </w:tcPr>
          <w:p w14:paraId="322B74C1"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32"/>
              </w:rPr>
            </w:pPr>
            <w:r w:rsidRPr="006B2645">
              <w:rPr>
                <w:szCs w:val="32"/>
              </w:rPr>
              <w:t>Aspartate aminotransferase</w:t>
            </w:r>
          </w:p>
        </w:tc>
      </w:tr>
      <w:tr w:rsidR="00833858" w:rsidRPr="002B2C82" w14:paraId="1DB04E96"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16F468A" w14:textId="77777777" w:rsidR="00833858" w:rsidRPr="006B2645" w:rsidRDefault="00833858">
            <w:pPr>
              <w:rPr>
                <w:rFonts w:cstheme="minorHAnsi"/>
                <w:szCs w:val="24"/>
              </w:rPr>
            </w:pPr>
            <w:r w:rsidRPr="006B2645">
              <w:rPr>
                <w:rFonts w:cstheme="minorHAnsi"/>
                <w:szCs w:val="24"/>
              </w:rPr>
              <w:t>AUC</w:t>
            </w:r>
          </w:p>
        </w:tc>
        <w:tc>
          <w:tcPr>
            <w:tcW w:w="7167" w:type="dxa"/>
          </w:tcPr>
          <w:p w14:paraId="14F1DCCD"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B2645">
              <w:rPr>
                <w:rFonts w:cstheme="minorHAnsi"/>
                <w:szCs w:val="24"/>
              </w:rPr>
              <w:t>Area under the concentration-time curve</w:t>
            </w:r>
          </w:p>
        </w:tc>
      </w:tr>
      <w:tr w:rsidR="00833858" w:rsidRPr="002B2C82" w14:paraId="745AA1FF"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FC3871E" w14:textId="77777777" w:rsidR="00833858" w:rsidRPr="006B2645" w:rsidRDefault="00833858">
            <w:pPr>
              <w:rPr>
                <w:rFonts w:cstheme="minorHAnsi"/>
                <w:szCs w:val="22"/>
              </w:rPr>
            </w:pPr>
            <w:r w:rsidRPr="006B2645">
              <w:rPr>
                <w:rFonts w:cstheme="minorHAnsi"/>
                <w:szCs w:val="22"/>
              </w:rPr>
              <w:t>CGRP</w:t>
            </w:r>
          </w:p>
        </w:tc>
        <w:tc>
          <w:tcPr>
            <w:tcW w:w="7167" w:type="dxa"/>
          </w:tcPr>
          <w:p w14:paraId="5B234D55"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B2645">
              <w:rPr>
                <w:szCs w:val="24"/>
              </w:rPr>
              <w:t>Calcitonin gene</w:t>
            </w:r>
            <w:r w:rsidRPr="006B2645">
              <w:rPr>
                <w:szCs w:val="24"/>
              </w:rPr>
              <w:noBreakHyphen/>
              <w:t>related peptide</w:t>
            </w:r>
          </w:p>
        </w:tc>
      </w:tr>
      <w:tr w:rsidR="00833858" w:rsidRPr="002B2C82" w14:paraId="15A3FB6A"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405B7F6" w14:textId="77777777" w:rsidR="00833858" w:rsidRPr="006B2645" w:rsidRDefault="00833858">
            <w:pPr>
              <w:rPr>
                <w:rFonts w:cstheme="minorHAnsi"/>
                <w:szCs w:val="22"/>
              </w:rPr>
            </w:pPr>
            <w:r w:rsidRPr="006B2645">
              <w:rPr>
                <w:rFonts w:cstheme="minorHAnsi"/>
                <w:szCs w:val="22"/>
              </w:rPr>
              <w:t>CHMP</w:t>
            </w:r>
          </w:p>
        </w:tc>
        <w:tc>
          <w:tcPr>
            <w:tcW w:w="7167" w:type="dxa"/>
          </w:tcPr>
          <w:p w14:paraId="7A6F29D0"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szCs w:val="22"/>
              </w:rPr>
            </w:pPr>
            <w:r w:rsidRPr="006B2645">
              <w:rPr>
                <w:szCs w:val="22"/>
              </w:rPr>
              <w:t>Committee for Medicinal Products for Human Use</w:t>
            </w:r>
          </w:p>
        </w:tc>
      </w:tr>
      <w:tr w:rsidR="00833858" w:rsidRPr="002B2C82" w14:paraId="219E396C"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EF0C5E2" w14:textId="77777777" w:rsidR="00833858" w:rsidRPr="006B2645" w:rsidRDefault="00833858">
            <w:pPr>
              <w:rPr>
                <w:rFonts w:cstheme="minorHAnsi"/>
                <w:szCs w:val="32"/>
              </w:rPr>
            </w:pPr>
            <w:r w:rsidRPr="006B2645">
              <w:rPr>
                <w:rFonts w:cstheme="minorHAnsi"/>
                <w:szCs w:val="32"/>
              </w:rPr>
              <w:t>CI</w:t>
            </w:r>
          </w:p>
        </w:tc>
        <w:tc>
          <w:tcPr>
            <w:tcW w:w="7167" w:type="dxa"/>
          </w:tcPr>
          <w:p w14:paraId="05E447AC"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32"/>
              </w:rPr>
            </w:pPr>
            <w:r w:rsidRPr="006B2645">
              <w:rPr>
                <w:rFonts w:cstheme="minorHAnsi"/>
                <w:szCs w:val="32"/>
              </w:rPr>
              <w:t>Confidence interval</w:t>
            </w:r>
          </w:p>
        </w:tc>
      </w:tr>
      <w:tr w:rsidR="00833858" w:rsidRPr="002B2C82" w14:paraId="06FE852F"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E0DB6F4" w14:textId="77777777" w:rsidR="00833858" w:rsidRPr="006B2645" w:rsidRDefault="00833858">
            <w:pPr>
              <w:rPr>
                <w:rFonts w:cstheme="minorHAnsi"/>
                <w:szCs w:val="24"/>
              </w:rPr>
            </w:pPr>
            <w:r w:rsidRPr="006B2645">
              <w:rPr>
                <w:rFonts w:cstheme="minorHAnsi"/>
                <w:szCs w:val="24"/>
              </w:rPr>
              <w:t>C</w:t>
            </w:r>
            <w:r w:rsidRPr="006B2645">
              <w:rPr>
                <w:rFonts w:cstheme="minorHAnsi"/>
                <w:szCs w:val="24"/>
                <w:vertAlign w:val="subscript"/>
              </w:rPr>
              <w:t>max</w:t>
            </w:r>
          </w:p>
        </w:tc>
        <w:tc>
          <w:tcPr>
            <w:tcW w:w="7167" w:type="dxa"/>
          </w:tcPr>
          <w:p w14:paraId="7F309CDB"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B2645">
              <w:rPr>
                <w:rFonts w:cstheme="minorHAnsi"/>
                <w:szCs w:val="24"/>
              </w:rPr>
              <w:t>Maximum concentration</w:t>
            </w:r>
          </w:p>
        </w:tc>
      </w:tr>
      <w:tr w:rsidR="00833858" w:rsidRPr="002B2C82" w14:paraId="3A2EE06A"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D4806DB" w14:textId="77777777" w:rsidR="00833858" w:rsidRPr="006B2645" w:rsidRDefault="00833858">
            <w:pPr>
              <w:rPr>
                <w:rFonts w:cstheme="minorHAnsi"/>
                <w:color w:val="auto"/>
                <w:szCs w:val="22"/>
              </w:rPr>
            </w:pPr>
            <w:r w:rsidRPr="006B2645">
              <w:rPr>
                <w:rFonts w:cstheme="minorHAnsi"/>
                <w:color w:val="auto"/>
                <w:szCs w:val="22"/>
              </w:rPr>
              <w:t>CMI</w:t>
            </w:r>
          </w:p>
        </w:tc>
        <w:tc>
          <w:tcPr>
            <w:tcW w:w="7167" w:type="dxa"/>
          </w:tcPr>
          <w:p w14:paraId="7F3BF4E5"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B2645">
              <w:rPr>
                <w:rFonts w:cstheme="minorHAnsi"/>
                <w:color w:val="auto"/>
                <w:szCs w:val="22"/>
              </w:rPr>
              <w:t>Consumer Medicines Information</w:t>
            </w:r>
          </w:p>
        </w:tc>
      </w:tr>
      <w:tr w:rsidR="00833858" w:rsidRPr="00106388" w14:paraId="79DC9FB0"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36419A7" w14:textId="77777777" w:rsidR="00833858" w:rsidRPr="006B2645" w:rsidRDefault="00833858">
            <w:pPr>
              <w:rPr>
                <w:rFonts w:cstheme="minorHAnsi"/>
                <w:szCs w:val="24"/>
              </w:rPr>
            </w:pPr>
            <w:r w:rsidRPr="006B2645">
              <w:rPr>
                <w:rFonts w:cstheme="minorHAnsi"/>
                <w:szCs w:val="24"/>
              </w:rPr>
              <w:t>CYP</w:t>
            </w:r>
          </w:p>
        </w:tc>
        <w:tc>
          <w:tcPr>
            <w:tcW w:w="7167" w:type="dxa"/>
          </w:tcPr>
          <w:p w14:paraId="2238D8A9"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B2645">
              <w:rPr>
                <w:rFonts w:cstheme="minorHAnsi"/>
                <w:szCs w:val="24"/>
              </w:rPr>
              <w:t>Cytochrome P450</w:t>
            </w:r>
          </w:p>
        </w:tc>
      </w:tr>
      <w:tr w:rsidR="00833858" w:rsidRPr="00A31F08" w14:paraId="24F826C5"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FE70A0B" w14:textId="77777777" w:rsidR="00833858" w:rsidRPr="006B2645" w:rsidRDefault="00833858">
            <w:pPr>
              <w:rPr>
                <w:rFonts w:cstheme="minorHAnsi"/>
                <w:szCs w:val="22"/>
              </w:rPr>
            </w:pPr>
            <w:r w:rsidRPr="006B2645">
              <w:rPr>
                <w:rFonts w:cstheme="minorHAnsi"/>
                <w:szCs w:val="22"/>
              </w:rPr>
              <w:t>eGFR</w:t>
            </w:r>
          </w:p>
        </w:tc>
        <w:tc>
          <w:tcPr>
            <w:tcW w:w="7167" w:type="dxa"/>
          </w:tcPr>
          <w:p w14:paraId="7D78F912"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22"/>
              </w:rPr>
            </w:pPr>
            <w:r w:rsidRPr="006B2645">
              <w:rPr>
                <w:szCs w:val="22"/>
              </w:rPr>
              <w:t>Estimated glomerular filtration rate</w:t>
            </w:r>
          </w:p>
        </w:tc>
      </w:tr>
      <w:tr w:rsidR="00833858" w:rsidRPr="002B2C82" w14:paraId="49593375"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EF41786" w14:textId="77777777" w:rsidR="00833858" w:rsidRPr="006B2645" w:rsidRDefault="00833858">
            <w:pPr>
              <w:rPr>
                <w:rFonts w:cstheme="minorHAnsi"/>
                <w:szCs w:val="32"/>
              </w:rPr>
            </w:pPr>
            <w:r w:rsidRPr="006B2645">
              <w:rPr>
                <w:rFonts w:cstheme="minorHAnsi"/>
                <w:szCs w:val="32"/>
              </w:rPr>
              <w:t>EMA</w:t>
            </w:r>
          </w:p>
        </w:tc>
        <w:tc>
          <w:tcPr>
            <w:tcW w:w="7167" w:type="dxa"/>
          </w:tcPr>
          <w:p w14:paraId="55376637"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32"/>
              </w:rPr>
            </w:pPr>
            <w:r w:rsidRPr="006B2645">
              <w:rPr>
                <w:rFonts w:cstheme="minorHAnsi"/>
                <w:szCs w:val="32"/>
              </w:rPr>
              <w:t>European Medicines Agency</w:t>
            </w:r>
          </w:p>
        </w:tc>
      </w:tr>
      <w:tr w:rsidR="00833858" w:rsidRPr="002B2C82" w14:paraId="46CE0DAE"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E17E36C" w14:textId="77777777" w:rsidR="00833858" w:rsidRPr="006B2645" w:rsidRDefault="00833858">
            <w:pPr>
              <w:rPr>
                <w:rFonts w:cstheme="minorHAnsi"/>
                <w:szCs w:val="32"/>
              </w:rPr>
            </w:pPr>
            <w:r w:rsidRPr="006B2645">
              <w:rPr>
                <w:rFonts w:cstheme="minorHAnsi"/>
                <w:szCs w:val="32"/>
              </w:rPr>
              <w:t>mITT</w:t>
            </w:r>
          </w:p>
        </w:tc>
        <w:tc>
          <w:tcPr>
            <w:tcW w:w="7167" w:type="dxa"/>
          </w:tcPr>
          <w:p w14:paraId="757C90DB"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szCs w:val="32"/>
              </w:rPr>
            </w:pPr>
            <w:r w:rsidRPr="006B2645">
              <w:rPr>
                <w:szCs w:val="32"/>
              </w:rPr>
              <w:t>Modified intention to treat</w:t>
            </w:r>
          </w:p>
        </w:tc>
      </w:tr>
      <w:tr w:rsidR="00833858" w:rsidRPr="002B2C82" w14:paraId="34AFAFF6"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9EFAA3E" w14:textId="77777777" w:rsidR="00833858" w:rsidRPr="006B2645" w:rsidRDefault="00833858">
            <w:pPr>
              <w:rPr>
                <w:rFonts w:cstheme="minorHAnsi"/>
                <w:szCs w:val="24"/>
              </w:rPr>
            </w:pPr>
            <w:r w:rsidRPr="006B2645">
              <w:rPr>
                <w:rFonts w:cstheme="minorHAnsi"/>
                <w:szCs w:val="24"/>
              </w:rPr>
              <w:t>NSAID</w:t>
            </w:r>
          </w:p>
        </w:tc>
        <w:tc>
          <w:tcPr>
            <w:tcW w:w="7167" w:type="dxa"/>
          </w:tcPr>
          <w:p w14:paraId="2A630B27"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B2645">
              <w:rPr>
                <w:szCs w:val="24"/>
              </w:rPr>
              <w:t>Non-steroidal anti-inflammatory drug</w:t>
            </w:r>
          </w:p>
        </w:tc>
      </w:tr>
      <w:tr w:rsidR="00833858" w:rsidRPr="002B2C82" w14:paraId="6E5EDDCC"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2FE2D35" w14:textId="77777777" w:rsidR="00833858" w:rsidRPr="006B2645" w:rsidRDefault="00833858">
            <w:pPr>
              <w:rPr>
                <w:rFonts w:cstheme="minorHAnsi"/>
                <w:szCs w:val="24"/>
              </w:rPr>
            </w:pPr>
            <w:r w:rsidRPr="006B2645">
              <w:rPr>
                <w:rFonts w:cstheme="minorHAnsi"/>
                <w:szCs w:val="24"/>
              </w:rPr>
              <w:t>ODT</w:t>
            </w:r>
          </w:p>
        </w:tc>
        <w:tc>
          <w:tcPr>
            <w:tcW w:w="7167" w:type="dxa"/>
          </w:tcPr>
          <w:p w14:paraId="7C1936F9"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B2645">
              <w:rPr>
                <w:iCs/>
                <w:szCs w:val="24"/>
              </w:rPr>
              <w:t>Oral dispersible tablet</w:t>
            </w:r>
          </w:p>
        </w:tc>
      </w:tr>
      <w:tr w:rsidR="00833858" w:rsidRPr="002B2C82" w14:paraId="404422EE"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86FD850" w14:textId="77777777" w:rsidR="00833858" w:rsidRPr="006B2645" w:rsidRDefault="00833858">
            <w:pPr>
              <w:rPr>
                <w:rFonts w:cstheme="minorHAnsi"/>
                <w:color w:val="auto"/>
                <w:szCs w:val="22"/>
              </w:rPr>
            </w:pPr>
            <w:r w:rsidRPr="006B2645">
              <w:rPr>
                <w:rFonts w:cstheme="minorHAnsi"/>
                <w:color w:val="auto"/>
                <w:szCs w:val="22"/>
              </w:rPr>
              <w:t>PI</w:t>
            </w:r>
          </w:p>
        </w:tc>
        <w:tc>
          <w:tcPr>
            <w:tcW w:w="7167" w:type="dxa"/>
          </w:tcPr>
          <w:p w14:paraId="05CA62FC"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B2645">
              <w:rPr>
                <w:rFonts w:cstheme="minorHAnsi"/>
                <w:color w:val="auto"/>
                <w:szCs w:val="22"/>
              </w:rPr>
              <w:t>Product Information</w:t>
            </w:r>
          </w:p>
        </w:tc>
      </w:tr>
      <w:tr w:rsidR="00833858" w:rsidRPr="002B2C82" w14:paraId="28FF212E"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0FCE5F2" w14:textId="77777777" w:rsidR="00833858" w:rsidRPr="006B2645" w:rsidRDefault="00833858">
            <w:pPr>
              <w:rPr>
                <w:rFonts w:cstheme="minorHAnsi"/>
                <w:szCs w:val="24"/>
              </w:rPr>
            </w:pPr>
            <w:r w:rsidRPr="006B2645">
              <w:rPr>
                <w:rFonts w:cstheme="minorHAnsi"/>
                <w:szCs w:val="24"/>
              </w:rPr>
              <w:t>PK</w:t>
            </w:r>
          </w:p>
        </w:tc>
        <w:tc>
          <w:tcPr>
            <w:tcW w:w="7167" w:type="dxa"/>
          </w:tcPr>
          <w:p w14:paraId="510E3474"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B2645">
              <w:rPr>
                <w:rFonts w:cstheme="minorHAnsi"/>
                <w:szCs w:val="24"/>
              </w:rPr>
              <w:t>Pharmacokinetic(s)</w:t>
            </w:r>
          </w:p>
        </w:tc>
      </w:tr>
      <w:tr w:rsidR="00833858" w:rsidRPr="002B2C82" w14:paraId="48CAF6BF"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EA8AFC9" w14:textId="77777777" w:rsidR="00833858" w:rsidRPr="006B2645" w:rsidRDefault="00833858">
            <w:pPr>
              <w:rPr>
                <w:rFonts w:cstheme="minorHAnsi"/>
                <w:szCs w:val="32"/>
              </w:rPr>
            </w:pPr>
            <w:r w:rsidRPr="006B2645">
              <w:rPr>
                <w:rFonts w:cstheme="minorHAnsi"/>
                <w:szCs w:val="32"/>
              </w:rPr>
              <w:t>PSUR</w:t>
            </w:r>
          </w:p>
        </w:tc>
        <w:tc>
          <w:tcPr>
            <w:tcW w:w="7167" w:type="dxa"/>
          </w:tcPr>
          <w:p w14:paraId="086C9634" w14:textId="77777777" w:rsidR="00833858" w:rsidRPr="006B2645" w:rsidRDefault="00833858">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szCs w:val="32"/>
              </w:rPr>
            </w:pPr>
            <w:r w:rsidRPr="006B2645">
              <w:rPr>
                <w:szCs w:val="24"/>
              </w:rPr>
              <w:t>Periodic safety update report</w:t>
            </w:r>
          </w:p>
        </w:tc>
      </w:tr>
      <w:tr w:rsidR="00833858" w:rsidRPr="002B2C82" w14:paraId="496C1A3A"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D68DD85" w14:textId="77777777" w:rsidR="00833858" w:rsidRPr="006B2645" w:rsidRDefault="00833858">
            <w:pPr>
              <w:rPr>
                <w:rFonts w:cstheme="minorHAnsi"/>
                <w:color w:val="auto"/>
                <w:szCs w:val="22"/>
              </w:rPr>
            </w:pPr>
            <w:r w:rsidRPr="006B2645">
              <w:rPr>
                <w:rFonts w:cstheme="minorHAnsi"/>
                <w:color w:val="auto"/>
                <w:szCs w:val="22"/>
              </w:rPr>
              <w:t>RMP</w:t>
            </w:r>
          </w:p>
        </w:tc>
        <w:tc>
          <w:tcPr>
            <w:tcW w:w="7167" w:type="dxa"/>
          </w:tcPr>
          <w:p w14:paraId="2B0712E1" w14:textId="77777777" w:rsidR="00833858" w:rsidRPr="006B2645" w:rsidRDefault="00833858">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B2645">
              <w:rPr>
                <w:rFonts w:cstheme="minorHAnsi"/>
                <w:color w:val="auto"/>
                <w:szCs w:val="22"/>
              </w:rPr>
              <w:t>Risk management plan</w:t>
            </w:r>
          </w:p>
        </w:tc>
      </w:tr>
      <w:tr w:rsidR="00833858" w:rsidRPr="002B2C82" w14:paraId="2A73C1D8"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33710C4" w14:textId="77777777" w:rsidR="00833858" w:rsidRPr="006B2645" w:rsidRDefault="00833858">
            <w:pPr>
              <w:rPr>
                <w:rFonts w:cstheme="minorHAnsi"/>
                <w:color w:val="auto"/>
                <w:szCs w:val="22"/>
              </w:rPr>
            </w:pPr>
            <w:r w:rsidRPr="006B2645">
              <w:rPr>
                <w:rFonts w:cstheme="minorHAnsi"/>
                <w:color w:val="auto"/>
                <w:szCs w:val="22"/>
              </w:rPr>
              <w:t>TGA</w:t>
            </w:r>
          </w:p>
        </w:tc>
        <w:tc>
          <w:tcPr>
            <w:tcW w:w="7167" w:type="dxa"/>
          </w:tcPr>
          <w:p w14:paraId="028B060D" w14:textId="77777777" w:rsidR="00833858" w:rsidRPr="006B2645" w:rsidRDefault="00833858">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B2645">
              <w:rPr>
                <w:rFonts w:cstheme="minorHAnsi"/>
                <w:color w:val="auto"/>
                <w:szCs w:val="22"/>
              </w:rPr>
              <w:t>Therapeutic Goods Administration</w:t>
            </w:r>
          </w:p>
        </w:tc>
      </w:tr>
      <w:bookmarkEnd w:id="5"/>
    </w:tbl>
    <w:p w14:paraId="58578454" w14:textId="777AB422" w:rsidR="00324B33" w:rsidRDefault="00324B33" w:rsidP="00324B33">
      <w:pPr>
        <w:rPr>
          <w:i/>
          <w:color w:val="007099"/>
        </w:rPr>
      </w:pPr>
    </w:p>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160177842"/>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160177843"/>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2971EAF6" w:rsidR="00324B33" w:rsidRPr="00BD5DBD" w:rsidRDefault="00324B33" w:rsidP="007452E8">
            <w:pPr>
              <w:rPr>
                <w:i/>
                <w:szCs w:val="22"/>
              </w:rPr>
            </w:pPr>
            <w:r w:rsidRPr="00BD5DBD">
              <w:rPr>
                <w:i/>
                <w:szCs w:val="22"/>
              </w:rPr>
              <w:t>Type of submission:</w:t>
            </w:r>
          </w:p>
        </w:tc>
        <w:tc>
          <w:tcPr>
            <w:tcW w:w="3423" w:type="pct"/>
          </w:tcPr>
          <w:p w14:paraId="4F07C303" w14:textId="4F8C48CF" w:rsidR="00324B33" w:rsidRPr="00BD5DBD" w:rsidRDefault="00324B33" w:rsidP="007452E8">
            <w:pPr>
              <w:rPr>
                <w:szCs w:val="22"/>
              </w:rPr>
            </w:pPr>
            <w:r w:rsidRPr="00BD5DBD">
              <w:rPr>
                <w:szCs w:val="22"/>
              </w:rPr>
              <w:t>New chemical entit</w:t>
            </w:r>
            <w:r w:rsidR="00784BA2">
              <w:rPr>
                <w:szCs w:val="22"/>
              </w:rPr>
              <w:t>y</w:t>
            </w:r>
          </w:p>
        </w:tc>
      </w:tr>
      <w:tr w:rsidR="00324B33" w:rsidRPr="00BD5DBD" w14:paraId="13482B61" w14:textId="77777777" w:rsidTr="00F865A7">
        <w:tc>
          <w:tcPr>
            <w:tcW w:w="1577" w:type="pct"/>
          </w:tcPr>
          <w:p w14:paraId="2C427FCF" w14:textId="2745589F" w:rsidR="00324B33" w:rsidRPr="00BD5DBD" w:rsidRDefault="00324B33" w:rsidP="007452E8">
            <w:pPr>
              <w:rPr>
                <w:i/>
                <w:szCs w:val="22"/>
              </w:rPr>
            </w:pPr>
            <w:r w:rsidRPr="00BD5DBD">
              <w:rPr>
                <w:i/>
                <w:szCs w:val="22"/>
              </w:rPr>
              <w:t>Product name:</w:t>
            </w:r>
          </w:p>
        </w:tc>
        <w:tc>
          <w:tcPr>
            <w:tcW w:w="3423" w:type="pct"/>
          </w:tcPr>
          <w:p w14:paraId="0E2DEF76" w14:textId="193EDF62" w:rsidR="00324B33" w:rsidRPr="00BD5DBD" w:rsidRDefault="00784BA2" w:rsidP="007452E8">
            <w:pPr>
              <w:rPr>
                <w:szCs w:val="22"/>
              </w:rPr>
            </w:pPr>
            <w:r>
              <w:rPr>
                <w:szCs w:val="22"/>
              </w:rPr>
              <w:t>Nurtec ODT</w:t>
            </w:r>
          </w:p>
        </w:tc>
      </w:tr>
      <w:tr w:rsidR="00324B33" w:rsidRPr="00BD5DBD" w14:paraId="01255B5B" w14:textId="77777777" w:rsidTr="00F865A7">
        <w:tc>
          <w:tcPr>
            <w:tcW w:w="1577" w:type="pct"/>
          </w:tcPr>
          <w:p w14:paraId="52B4F3D7" w14:textId="68BACE2E" w:rsidR="00324B33" w:rsidRPr="00BD5DBD" w:rsidRDefault="00324B33" w:rsidP="007452E8">
            <w:pPr>
              <w:rPr>
                <w:i/>
                <w:szCs w:val="22"/>
              </w:rPr>
            </w:pPr>
            <w:r w:rsidRPr="00BD5DBD">
              <w:rPr>
                <w:i/>
                <w:szCs w:val="22"/>
              </w:rPr>
              <w:t>Active ingredient:</w:t>
            </w:r>
          </w:p>
        </w:tc>
        <w:tc>
          <w:tcPr>
            <w:tcW w:w="3423" w:type="pct"/>
          </w:tcPr>
          <w:p w14:paraId="02FB6383" w14:textId="48588898" w:rsidR="00324B33" w:rsidRPr="00BD5DBD" w:rsidRDefault="00BC31E8" w:rsidP="007452E8">
            <w:pPr>
              <w:rPr>
                <w:szCs w:val="22"/>
              </w:rPr>
            </w:pPr>
            <w:r w:rsidRPr="00BC31E8">
              <w:rPr>
                <w:szCs w:val="22"/>
              </w:rPr>
              <w:t>Rimegepant (as sulfate)</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31C7AEAA"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7DF9F708" w:rsidR="00AE1947" w:rsidRPr="00BD5DBD" w:rsidRDefault="00DE602F">
            <w:pPr>
              <w:rPr>
                <w:szCs w:val="22"/>
              </w:rPr>
            </w:pPr>
            <w:r>
              <w:rPr>
                <w:szCs w:val="22"/>
              </w:rPr>
              <w:t>17 July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3C66F58" w:rsidR="00324B33" w:rsidRPr="00BD5DBD" w:rsidRDefault="00DE602F" w:rsidP="007452E8">
            <w:pPr>
              <w:rPr>
                <w:szCs w:val="22"/>
              </w:rPr>
            </w:pPr>
            <w:r>
              <w:rPr>
                <w:szCs w:val="22"/>
              </w:rPr>
              <w:t>27 July 2023</w:t>
            </w:r>
          </w:p>
        </w:tc>
      </w:tr>
      <w:tr w:rsidR="00324B33" w:rsidRPr="00BD5DBD" w14:paraId="547E08D7" w14:textId="77777777" w:rsidTr="00F865A7">
        <w:tc>
          <w:tcPr>
            <w:tcW w:w="1577" w:type="pct"/>
          </w:tcPr>
          <w:p w14:paraId="5030EF30" w14:textId="0AA12BC4" w:rsidR="00324B33" w:rsidRPr="00BD5DBD" w:rsidRDefault="00324B33" w:rsidP="007452E8">
            <w:pPr>
              <w:rPr>
                <w:i/>
                <w:szCs w:val="22"/>
              </w:rPr>
            </w:pPr>
            <w:r w:rsidRPr="00BD5DBD">
              <w:rPr>
                <w:i/>
                <w:szCs w:val="22"/>
              </w:rPr>
              <w:t>ARTG number:</w:t>
            </w:r>
          </w:p>
        </w:tc>
        <w:tc>
          <w:tcPr>
            <w:tcW w:w="3423" w:type="pct"/>
          </w:tcPr>
          <w:p w14:paraId="0054E912" w14:textId="0CDD4558" w:rsidR="00324B33" w:rsidRPr="00BD5DBD" w:rsidRDefault="00103AE2" w:rsidP="007452E8">
            <w:pPr>
              <w:rPr>
                <w:szCs w:val="22"/>
              </w:rPr>
            </w:pPr>
            <w:r w:rsidRPr="00103AE2">
              <w:rPr>
                <w:szCs w:val="22"/>
              </w:rPr>
              <w:t>392434</w:t>
            </w:r>
          </w:p>
        </w:tc>
      </w:tr>
      <w:tr w:rsidR="00324B33" w:rsidRPr="00BD5DBD" w14:paraId="7618393F" w14:textId="77777777" w:rsidTr="00F865A7">
        <w:tc>
          <w:tcPr>
            <w:tcW w:w="1577" w:type="pct"/>
          </w:tcPr>
          <w:p w14:paraId="6C24CEB6" w14:textId="68CF7593" w:rsidR="00E47E0C" w:rsidRPr="00BD5DBD" w:rsidRDefault="00324B33" w:rsidP="007452E8">
            <w:pPr>
              <w:rPr>
                <w:rStyle w:val="Hyperlink"/>
                <w:i/>
                <w:szCs w:val="22"/>
              </w:rPr>
            </w:pPr>
            <w:r w:rsidRPr="00BD5DBD">
              <w:rPr>
                <w:rFonts w:ascii="Wingdings 3" w:hAnsi="Wingdings 3"/>
                <w:szCs w:val="22"/>
                <w:lang w:eastAsia="en-AU"/>
              </w:rPr>
              <w:t></w:t>
            </w:r>
            <w:hyperlink r:id="rId17"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65B147DD"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306E79D" w14:textId="77777777" w:rsidR="00324B33" w:rsidRDefault="001C223A" w:rsidP="007452E8">
            <w:pPr>
              <w:rPr>
                <w:szCs w:val="22"/>
              </w:rPr>
            </w:pPr>
            <w:r w:rsidRPr="001C223A">
              <w:rPr>
                <w:szCs w:val="22"/>
              </w:rPr>
              <w:t>Pfizer Australia Pty Ltd</w:t>
            </w:r>
          </w:p>
          <w:p w14:paraId="68DD94B0" w14:textId="60F91AC4" w:rsidR="001C223A" w:rsidRPr="00BD5DBD" w:rsidRDefault="002B4F38" w:rsidP="007452E8">
            <w:pPr>
              <w:rPr>
                <w:szCs w:val="22"/>
              </w:rPr>
            </w:pPr>
            <w:r w:rsidRPr="002B4F38">
              <w:rPr>
                <w:szCs w:val="22"/>
              </w:rPr>
              <w:t>Level 17, 151 Clarence Street, Sydney, NSW 2000</w:t>
            </w:r>
          </w:p>
        </w:tc>
      </w:tr>
      <w:tr w:rsidR="00324B33" w:rsidRPr="00BD5DBD" w14:paraId="5322B989" w14:textId="77777777" w:rsidTr="00F865A7">
        <w:tc>
          <w:tcPr>
            <w:tcW w:w="1577" w:type="pct"/>
          </w:tcPr>
          <w:p w14:paraId="24F217E3" w14:textId="01F6F253" w:rsidR="00324B33" w:rsidRPr="00BD5DBD" w:rsidRDefault="00324B33" w:rsidP="007452E8">
            <w:pPr>
              <w:rPr>
                <w:i/>
                <w:szCs w:val="22"/>
              </w:rPr>
            </w:pPr>
            <w:r w:rsidRPr="00BD5DBD">
              <w:rPr>
                <w:i/>
                <w:szCs w:val="22"/>
              </w:rPr>
              <w:t>Dose for</w:t>
            </w:r>
            <w:r w:rsidR="002B4F38">
              <w:rPr>
                <w:i/>
                <w:szCs w:val="22"/>
              </w:rPr>
              <w:t>m</w:t>
            </w:r>
            <w:r w:rsidRPr="00BD5DBD">
              <w:rPr>
                <w:i/>
                <w:szCs w:val="22"/>
              </w:rPr>
              <w:t>:</w:t>
            </w:r>
          </w:p>
        </w:tc>
        <w:tc>
          <w:tcPr>
            <w:tcW w:w="3423" w:type="pct"/>
          </w:tcPr>
          <w:p w14:paraId="768B254C" w14:textId="5BBF90EB" w:rsidR="00324B33" w:rsidRPr="00BD5DBD" w:rsidRDefault="001D54B8" w:rsidP="007452E8">
            <w:pPr>
              <w:rPr>
                <w:szCs w:val="22"/>
              </w:rPr>
            </w:pPr>
            <w:r w:rsidRPr="001D54B8">
              <w:rPr>
                <w:szCs w:val="22"/>
              </w:rPr>
              <w:t>Orally disintegrating tablet</w:t>
            </w:r>
          </w:p>
        </w:tc>
      </w:tr>
      <w:tr w:rsidR="00324B33" w:rsidRPr="00BD5DBD" w14:paraId="115243E6" w14:textId="77777777" w:rsidTr="00F865A7">
        <w:tc>
          <w:tcPr>
            <w:tcW w:w="1577" w:type="pct"/>
          </w:tcPr>
          <w:p w14:paraId="7634B062" w14:textId="74EAA65A" w:rsidR="00324B33" w:rsidRPr="00BD5DBD" w:rsidRDefault="00324B33" w:rsidP="007452E8">
            <w:pPr>
              <w:rPr>
                <w:i/>
                <w:szCs w:val="22"/>
              </w:rPr>
            </w:pPr>
            <w:r w:rsidRPr="00BD5DBD">
              <w:rPr>
                <w:i/>
                <w:szCs w:val="22"/>
              </w:rPr>
              <w:t>Strength:</w:t>
            </w:r>
          </w:p>
        </w:tc>
        <w:tc>
          <w:tcPr>
            <w:tcW w:w="3423" w:type="pct"/>
          </w:tcPr>
          <w:p w14:paraId="5E5F83DB" w14:textId="067A43D7" w:rsidR="00324B33" w:rsidRPr="00BD5DBD" w:rsidRDefault="001D54B8" w:rsidP="007452E8">
            <w:pPr>
              <w:rPr>
                <w:szCs w:val="22"/>
              </w:rPr>
            </w:pPr>
            <w:r>
              <w:rPr>
                <w:szCs w:val="22"/>
              </w:rPr>
              <w:t>75 mg</w:t>
            </w:r>
          </w:p>
        </w:tc>
      </w:tr>
      <w:tr w:rsidR="00324B33" w:rsidRPr="00BD5DBD" w14:paraId="34B07BA6" w14:textId="77777777" w:rsidTr="00F865A7">
        <w:tc>
          <w:tcPr>
            <w:tcW w:w="1577" w:type="pct"/>
          </w:tcPr>
          <w:p w14:paraId="1C039224" w14:textId="288E6F15" w:rsidR="00324B33" w:rsidRPr="00BD5DBD" w:rsidRDefault="00324B33" w:rsidP="007452E8">
            <w:pPr>
              <w:rPr>
                <w:i/>
                <w:szCs w:val="22"/>
              </w:rPr>
            </w:pPr>
            <w:r w:rsidRPr="00BD5DBD">
              <w:rPr>
                <w:i/>
                <w:szCs w:val="22"/>
              </w:rPr>
              <w:t>Container:</w:t>
            </w:r>
          </w:p>
        </w:tc>
        <w:tc>
          <w:tcPr>
            <w:tcW w:w="3423" w:type="pct"/>
          </w:tcPr>
          <w:p w14:paraId="500A42C6" w14:textId="0A3A285A" w:rsidR="00324B33" w:rsidRPr="00BD5DBD" w:rsidRDefault="005E550F" w:rsidP="007452E8">
            <w:pPr>
              <w:rPr>
                <w:szCs w:val="22"/>
              </w:rPr>
            </w:pPr>
            <w:r w:rsidRPr="005E550F">
              <w:rPr>
                <w:szCs w:val="22"/>
              </w:rPr>
              <w:t>Blister pack</w:t>
            </w:r>
          </w:p>
        </w:tc>
      </w:tr>
      <w:tr w:rsidR="00324B33" w:rsidRPr="00BD5DBD" w14:paraId="176B6773" w14:textId="77777777" w:rsidTr="00F865A7">
        <w:tc>
          <w:tcPr>
            <w:tcW w:w="1577" w:type="pct"/>
          </w:tcPr>
          <w:p w14:paraId="71846159" w14:textId="3E67E603" w:rsidR="00324B33" w:rsidRPr="00BD5DBD" w:rsidRDefault="00324B33" w:rsidP="007452E8">
            <w:pPr>
              <w:rPr>
                <w:i/>
                <w:szCs w:val="22"/>
              </w:rPr>
            </w:pPr>
            <w:r w:rsidRPr="00BD5DBD">
              <w:rPr>
                <w:i/>
                <w:szCs w:val="22"/>
              </w:rPr>
              <w:t>Pack sizes:</w:t>
            </w:r>
          </w:p>
        </w:tc>
        <w:tc>
          <w:tcPr>
            <w:tcW w:w="3423" w:type="pct"/>
          </w:tcPr>
          <w:p w14:paraId="7E978F8F" w14:textId="387B560F" w:rsidR="00324B33" w:rsidRPr="00BD5DBD" w:rsidRDefault="007675DF" w:rsidP="007452E8">
            <w:pPr>
              <w:rPr>
                <w:szCs w:val="22"/>
              </w:rPr>
            </w:pPr>
            <w:r w:rsidRPr="007675DF">
              <w:rPr>
                <w:szCs w:val="22"/>
              </w:rPr>
              <w:t>2, 4, 8 and 16 tablets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74BD46DF" w14:textId="429B4611" w:rsidR="002D491D" w:rsidRPr="004D6092" w:rsidRDefault="002D491D" w:rsidP="002D491D">
            <w:pPr>
              <w:rPr>
                <w:i/>
                <w:iCs/>
                <w:szCs w:val="22"/>
              </w:rPr>
            </w:pPr>
            <w:r w:rsidRPr="004D6092">
              <w:rPr>
                <w:i/>
                <w:iCs/>
                <w:szCs w:val="22"/>
              </w:rPr>
              <w:t>Nurtec ODT is indicated for:</w:t>
            </w:r>
          </w:p>
          <w:p w14:paraId="1C54C297" w14:textId="59DBD97C" w:rsidR="002D491D" w:rsidRPr="004D6092" w:rsidRDefault="002D491D" w:rsidP="002D491D">
            <w:pPr>
              <w:rPr>
                <w:i/>
                <w:iCs/>
                <w:szCs w:val="22"/>
              </w:rPr>
            </w:pPr>
            <w:r w:rsidRPr="004D6092">
              <w:rPr>
                <w:i/>
                <w:iCs/>
                <w:szCs w:val="22"/>
              </w:rPr>
              <w:t>• acute treatment of migraine with or without aura in adults;</w:t>
            </w:r>
          </w:p>
          <w:p w14:paraId="6E143E2E" w14:textId="417340E1" w:rsidR="00324B33" w:rsidRPr="00BD5DBD" w:rsidRDefault="002D491D" w:rsidP="002D491D">
            <w:pPr>
              <w:rPr>
                <w:szCs w:val="22"/>
              </w:rPr>
            </w:pPr>
            <w:r w:rsidRPr="004D6092">
              <w:rPr>
                <w:i/>
                <w:iCs/>
                <w:szCs w:val="22"/>
              </w:rPr>
              <w:t>• prophylactic treatment of episodic migraine in adults who have at least 4 migraine attacks per month.</w:t>
            </w:r>
          </w:p>
        </w:tc>
      </w:tr>
      <w:tr w:rsidR="00324B33" w:rsidRPr="00BD5DBD" w14:paraId="5AFDEED3" w14:textId="77777777" w:rsidTr="00F865A7">
        <w:tc>
          <w:tcPr>
            <w:tcW w:w="1577" w:type="pct"/>
          </w:tcPr>
          <w:p w14:paraId="03884BD1" w14:textId="4AC1C5FE" w:rsidR="00324B33" w:rsidRPr="00BD5DBD" w:rsidRDefault="00324B33" w:rsidP="007452E8">
            <w:pPr>
              <w:rPr>
                <w:i/>
                <w:szCs w:val="22"/>
              </w:rPr>
            </w:pPr>
            <w:r w:rsidRPr="00BD5DBD">
              <w:rPr>
                <w:i/>
                <w:szCs w:val="22"/>
              </w:rPr>
              <w:t>Route of administration:</w:t>
            </w:r>
          </w:p>
        </w:tc>
        <w:tc>
          <w:tcPr>
            <w:tcW w:w="3423" w:type="pct"/>
          </w:tcPr>
          <w:p w14:paraId="1ED1357E" w14:textId="24E2AB0B" w:rsidR="00324B33" w:rsidRPr="00BD5DBD" w:rsidRDefault="007675DF" w:rsidP="007452E8">
            <w:pPr>
              <w:rPr>
                <w:szCs w:val="22"/>
              </w:rPr>
            </w:pPr>
            <w:r>
              <w:rPr>
                <w:szCs w:val="22"/>
              </w:rPr>
              <w:t>Sublingual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60A2EE10" w14:textId="26A52401" w:rsidR="00CA7B42" w:rsidRPr="00D6356B" w:rsidRDefault="00CA7B42" w:rsidP="00CA7B42">
            <w:pPr>
              <w:ind w:left="3600" w:hanging="3600"/>
            </w:pPr>
            <w:r w:rsidRPr="00D6356B">
              <w:rPr>
                <w:i/>
                <w:iCs/>
              </w:rPr>
              <w:t>Acute treatment of migraine</w:t>
            </w:r>
            <w:r w:rsidR="00833858">
              <w:t xml:space="preserve"> </w:t>
            </w:r>
          </w:p>
          <w:p w14:paraId="6593BD24" w14:textId="74C3D8FE" w:rsidR="00CA7B42" w:rsidRPr="00D6356B" w:rsidRDefault="00CA7B42" w:rsidP="00CA7B42">
            <w:r w:rsidRPr="00D6356B">
              <w:t>The recommended dose is 75 mg rimegepant orally disintegrating tablet, as needed. The maximum dose in a 24</w:t>
            </w:r>
            <w:r w:rsidR="0062669F">
              <w:t> </w:t>
            </w:r>
            <w:r w:rsidRPr="00D6356B">
              <w:t>hour period is 75 mg.</w:t>
            </w:r>
          </w:p>
          <w:p w14:paraId="6FCC0C68" w14:textId="77777777" w:rsidR="00CA7B42" w:rsidRPr="00D6356B" w:rsidRDefault="00CA7B42" w:rsidP="00CA7B42">
            <w:pPr>
              <w:rPr>
                <w:i/>
                <w:iCs/>
              </w:rPr>
            </w:pPr>
            <w:r w:rsidRPr="00D6356B">
              <w:rPr>
                <w:i/>
                <w:iCs/>
              </w:rPr>
              <w:t xml:space="preserve">Prophylaxis of migraine </w:t>
            </w:r>
          </w:p>
          <w:p w14:paraId="0204D511" w14:textId="7E5F5572" w:rsidR="00CA7B42" w:rsidRPr="00D6356B" w:rsidRDefault="00CA7B42" w:rsidP="00CA7B42">
            <w:r w:rsidRPr="00D6356B">
              <w:t>The recommended dose is 75 mg rimegepant every other day. If also requiring rimegepant for the acute treatment of migraine, do not exceed a total dose of 75 mg rimegepant in a 24 hour period.</w:t>
            </w:r>
          </w:p>
          <w:p w14:paraId="4BD4ECF7" w14:textId="3470F86A" w:rsidR="00666911" w:rsidRPr="00CA7B42" w:rsidRDefault="00CA7B42" w:rsidP="007452E8">
            <w:r w:rsidRPr="00D6356B">
              <w:t>Nurtec ODT can be taken with or without meals.</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64DD4E32" w14:textId="77777777" w:rsidR="00746AD8" w:rsidRDefault="00746AD8" w:rsidP="007967C3">
            <w:r>
              <w:t>B1</w:t>
            </w:r>
          </w:p>
          <w:p w14:paraId="30A72FF9" w14:textId="77777777" w:rsidR="00612C9C" w:rsidRDefault="00612C9C" w:rsidP="00612C9C">
            <w:r>
              <w:lastRenderedPageBreak/>
              <w:t>Drugs which have been taken by only a limited number of pregnant women and women of childbearing age, without an increase in the frequency of malformation or other direct or indirect harmful effects on the human fetus having been observed.</w:t>
            </w:r>
          </w:p>
          <w:p w14:paraId="6BFD25D9" w14:textId="18E84085" w:rsidR="00746AD8" w:rsidRDefault="00612C9C" w:rsidP="00612C9C">
            <w:r>
              <w:t>Studies in animals have not shown evidence of an increased occurrence of fetal damage.</w:t>
            </w:r>
          </w:p>
          <w:p w14:paraId="76497789" w14:textId="3966340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8"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9"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2" w:name="_Toc247691503"/>
      <w:bookmarkStart w:id="13" w:name="_Toc314842484"/>
      <w:bookmarkStart w:id="14" w:name="_Toc103679290"/>
      <w:bookmarkStart w:id="15" w:name="_Toc160177844"/>
      <w:r>
        <w:lastRenderedPageBreak/>
        <w:t>Product background</w:t>
      </w:r>
      <w:bookmarkEnd w:id="12"/>
      <w:bookmarkEnd w:id="13"/>
      <w:bookmarkEnd w:id="14"/>
      <w:bookmarkEnd w:id="15"/>
    </w:p>
    <w:p w14:paraId="59BF31D1" w14:textId="02869151" w:rsidR="001500A8" w:rsidRDefault="00324B33" w:rsidP="00065839">
      <w:r w:rsidRPr="00065839">
        <w:t xml:space="preserve">This AusPAR describes the submission by </w:t>
      </w:r>
      <w:r w:rsidR="00567298" w:rsidRPr="00567298">
        <w:t xml:space="preserve">Pfizer Australia Pty Ltd </w:t>
      </w:r>
      <w:r w:rsidRPr="00065839">
        <w:t xml:space="preserve">(the sponsor) to register </w:t>
      </w:r>
      <w:r w:rsidR="00123F15" w:rsidRPr="00123F15">
        <w:t xml:space="preserve">Nurtec ODT </w:t>
      </w:r>
      <w:r w:rsidRPr="00065839">
        <w:t>(</w:t>
      </w:r>
      <w:r w:rsidR="00123F15" w:rsidRPr="00123F15">
        <w:t>rimegepant</w:t>
      </w:r>
      <w:r w:rsidRPr="00065839">
        <w:t>)</w:t>
      </w:r>
      <w:r w:rsidR="00AB52F3">
        <w:t xml:space="preserve"> 75 mg, o</w:t>
      </w:r>
      <w:r w:rsidR="00AB52F3" w:rsidRPr="001D54B8">
        <w:rPr>
          <w:szCs w:val="22"/>
        </w:rPr>
        <w:t>rally disintegrating tablet</w:t>
      </w:r>
      <w:r w:rsidR="00AB52F3">
        <w:rPr>
          <w:szCs w:val="22"/>
        </w:rPr>
        <w:t>, blister packs</w:t>
      </w:r>
      <w:r w:rsidRPr="00065839">
        <w:t xml:space="preserve"> for the following proposed indication:</w:t>
      </w:r>
      <w:r w:rsidR="00D63760" w:rsidRPr="00065839">
        <w:rPr>
          <w:vertAlign w:val="superscript"/>
        </w:rPr>
        <w:footnoteReference w:id="2"/>
      </w:r>
    </w:p>
    <w:p w14:paraId="1BA6D11E" w14:textId="77777777" w:rsidR="002633E6" w:rsidRPr="002633E6" w:rsidRDefault="002633E6" w:rsidP="002633E6">
      <w:pPr>
        <w:ind w:left="720"/>
        <w:rPr>
          <w:i/>
          <w:iCs/>
        </w:rPr>
      </w:pPr>
      <w:r w:rsidRPr="002633E6">
        <w:rPr>
          <w:i/>
          <w:iCs/>
        </w:rPr>
        <w:t>• Acute treatment of migraine with or without aura in adults;</w:t>
      </w:r>
    </w:p>
    <w:p w14:paraId="2464DFF1" w14:textId="1EFF2EE6" w:rsidR="00D85469" w:rsidRDefault="002633E6" w:rsidP="00D85469">
      <w:pPr>
        <w:ind w:left="720"/>
        <w:rPr>
          <w:i/>
          <w:iCs/>
        </w:rPr>
      </w:pPr>
      <w:r w:rsidRPr="002633E6">
        <w:rPr>
          <w:i/>
          <w:iCs/>
        </w:rPr>
        <w:t>• Preventive treatment of episodic migraine in adults who have at least 4 migraine attacks per month.</w:t>
      </w:r>
    </w:p>
    <w:p w14:paraId="53F4B123" w14:textId="5B7A664D" w:rsidR="00D85469" w:rsidRPr="00A43090" w:rsidRDefault="00D85469" w:rsidP="00A43090">
      <w:r w:rsidRPr="00A43090">
        <w:t>Rimegepant is a selective, high affinity, orally administered, small molecule calcitonin gene</w:t>
      </w:r>
      <w:r w:rsidR="00282A3A">
        <w:noBreakHyphen/>
      </w:r>
      <w:r w:rsidRPr="00A43090">
        <w:t xml:space="preserve">related peptide </w:t>
      </w:r>
      <w:r w:rsidRPr="00E12E54">
        <w:t>(CGRP) antagonist. Several lines of evidence suggest that CGRP plays an important role in migraine pathogenesis</w:t>
      </w:r>
      <w:r w:rsidRPr="00A43090">
        <w:t>. Monoclonal antibodies targeting CGRP are effective prophylactic drugs and approved for such use in Australia and around the world.</w:t>
      </w:r>
    </w:p>
    <w:p w14:paraId="1E63A2AE" w14:textId="74DB378C" w:rsidR="00CB6813" w:rsidRDefault="004444B0" w:rsidP="00CB6813">
      <w:pPr>
        <w:pStyle w:val="Heading4"/>
      </w:pPr>
      <w:bookmarkStart w:id="16" w:name="_Toc160177845"/>
      <w:bookmarkStart w:id="17" w:name="_Toc314842485"/>
      <w:bookmarkStart w:id="18" w:name="_Toc247691504"/>
      <w:r>
        <w:t>The d</w:t>
      </w:r>
      <w:r w:rsidR="00CB6813" w:rsidRPr="00C12D65">
        <w:t>isease</w:t>
      </w:r>
      <w:r w:rsidR="00E01E1E">
        <w:t>/condition</w:t>
      </w:r>
      <w:bookmarkEnd w:id="16"/>
    </w:p>
    <w:p w14:paraId="77C978FD" w14:textId="748128D9" w:rsidR="006151DC" w:rsidRPr="00E91DD5" w:rsidRDefault="006151DC" w:rsidP="00E91DD5">
      <w:r w:rsidRPr="00E91DD5">
        <w:t>Migraine is a chronic episodic disorder characterised by headache and associated symptoms such as nausea, dizziness, photophobia and phonophobia. Around 25% of migraine sufferers experience aura prior to the onset of headache. Auras consist of focal neurologic symptoms that are typically of short duration, positive and negative in nature and are reversible. Examples include lines or objects in field of vision, tinnitus, paraesthesia, jerking and limb weakness. Previously thought to be due to abnormal cerebral vaso-activity, migraine is now considered a disorder of primary intra- and extracranial neuronal dysfunction.</w:t>
      </w:r>
      <w:r w:rsidR="00860EBF">
        <w:rPr>
          <w:rStyle w:val="FootnoteReference"/>
        </w:rPr>
        <w:footnoteReference w:id="3"/>
      </w:r>
      <w:r w:rsidRPr="00E91DD5">
        <w:t xml:space="preserve"> Pathophysiological events associated with migraine include cortical spreading depression (especially in relation to the aura), trigeminovascular activation and neuronal sensitisation. Important neurotransmitters involved include calcitonin gene-related peptide </w:t>
      </w:r>
      <w:r w:rsidR="00E12E54">
        <w:t xml:space="preserve">(CGRP) </w:t>
      </w:r>
      <w:r w:rsidRPr="00E91DD5">
        <w:t>and serotonin.</w:t>
      </w:r>
    </w:p>
    <w:p w14:paraId="20D26C72" w14:textId="7EB59E41" w:rsidR="006151DC" w:rsidRPr="00E91DD5" w:rsidRDefault="006151DC" w:rsidP="00E91DD5">
      <w:r w:rsidRPr="00E91DD5">
        <w:lastRenderedPageBreak/>
        <w:t>Migraine is one of the most prevalent and disabling illnesses. Lifetime prevalence in women is 33% and in men is 13%.</w:t>
      </w:r>
      <w:r w:rsidR="00D729F0">
        <w:rPr>
          <w:rStyle w:val="FootnoteReference"/>
        </w:rPr>
        <w:footnoteReference w:id="4"/>
      </w:r>
      <w:r w:rsidRPr="00E91DD5">
        <w:t xml:space="preserve"> It is most prevalent between the ages of 25 and 55. Chronic migraine represents a small subset of the general migraine population and is defined as the presence of headache on 15 or more days per month, with criteria for migraine being met on at least </w:t>
      </w:r>
      <w:r w:rsidR="002A250C">
        <w:t>eight</w:t>
      </w:r>
      <w:r w:rsidRPr="00E91DD5">
        <w:t xml:space="preserve"> of those days. It represents the more severe end of the disease spectrum, being associated with reduced quality of life, functional impairments and increased healthcare resource utilisation. Episodic migraine involves less than 15 headache days per month.</w:t>
      </w:r>
    </w:p>
    <w:p w14:paraId="255E083A" w14:textId="77777777" w:rsidR="00CB6813" w:rsidRDefault="00CB6813" w:rsidP="00CB6813">
      <w:pPr>
        <w:pStyle w:val="Heading4"/>
      </w:pPr>
      <w:bookmarkStart w:id="19" w:name="_Toc160177846"/>
      <w:r>
        <w:t>Current treatment options</w:t>
      </w:r>
      <w:bookmarkEnd w:id="19"/>
    </w:p>
    <w:p w14:paraId="1CD6754F" w14:textId="28EBFF5A" w:rsidR="00B20EDA" w:rsidRPr="00D676B3" w:rsidRDefault="00B20EDA" w:rsidP="00D676B3">
      <w:r w:rsidRPr="00D676B3">
        <w:t>The initial treatment of acute migraine is aspirin, a</w:t>
      </w:r>
      <w:r w:rsidR="00811E0E">
        <w:t xml:space="preserve"> n</w:t>
      </w:r>
      <w:r w:rsidR="00811E0E" w:rsidRPr="00811E0E">
        <w:t>on-steroidal anti-inflammatory drug</w:t>
      </w:r>
      <w:r w:rsidR="00811E0E">
        <w:t xml:space="preserve"> </w:t>
      </w:r>
      <w:r w:rsidR="00811E0E" w:rsidRPr="00E12E54">
        <w:t>(</w:t>
      </w:r>
      <w:r w:rsidRPr="00E12E54">
        <w:t>NSAID</w:t>
      </w:r>
      <w:r w:rsidR="00811E0E" w:rsidRPr="00E12E54">
        <w:t>)</w:t>
      </w:r>
      <w:r w:rsidRPr="00E12E54">
        <w:t xml:space="preserve"> or</w:t>
      </w:r>
      <w:r w:rsidRPr="00D676B3">
        <w:t xml:space="preserve"> paracetamol, with or without an antiemetic, such as metoclopramide or ondansetron. The subsequent line of acute treatment is with an oral triptan. If oral therapy is not feasible, sumatriptan is available in nasal and subcutaneous formulations. For severe symptoms and under appropriate medical supervision, parenteral sumatriptan, ketorolac, chlorpromazine or dexamethasone may be effective.</w:t>
      </w:r>
    </w:p>
    <w:p w14:paraId="6A5F25D9" w14:textId="4C254C7F" w:rsidR="00B20EDA" w:rsidRPr="00D676B3" w:rsidRDefault="00B20EDA" w:rsidP="00D676B3">
      <w:r w:rsidRPr="00D676B3">
        <w:t>The proportion of patients pain</w:t>
      </w:r>
      <w:r w:rsidR="00E12E54">
        <w:t xml:space="preserve"> </w:t>
      </w:r>
      <w:r w:rsidRPr="00D676B3">
        <w:t>free at 2 hours is established as the most meaningful measure for efficacy of the current therapies. Simple analgesics (aspirin, NSAIDs, paracetamol) lead to 2</w:t>
      </w:r>
      <w:r w:rsidR="00D51806" w:rsidRPr="00D676B3">
        <w:t> </w:t>
      </w:r>
      <w:r w:rsidRPr="00D676B3">
        <w:t>hour</w:t>
      </w:r>
      <w:r w:rsidR="00D51806" w:rsidRPr="00D676B3">
        <w:t xml:space="preserve"> </w:t>
      </w:r>
      <w:r w:rsidRPr="00D676B3">
        <w:t>pain free proportions of around 20</w:t>
      </w:r>
      <w:r w:rsidR="00D51806" w:rsidRPr="00D676B3">
        <w:t xml:space="preserve"> to </w:t>
      </w:r>
      <w:r w:rsidRPr="00D676B3">
        <w:t xml:space="preserve">25%. Triptans perform better with proportions of 20 </w:t>
      </w:r>
      <w:r w:rsidR="00D51806" w:rsidRPr="00D676B3">
        <w:t>to</w:t>
      </w:r>
      <w:r w:rsidRPr="00D676B3">
        <w:t xml:space="preserve"> 40%. Of note, triptans are contraindicated in patients with established cardiovascular disease or uncontrolled hypertension. As some patients do not respond adequately (or have contraindications) to the available treatments for acute migraine, there is significant unmet need.</w:t>
      </w:r>
    </w:p>
    <w:p w14:paraId="5F3BE0FA" w14:textId="67E3D713" w:rsidR="00B20EDA" w:rsidRPr="00D676B3" w:rsidRDefault="00B20EDA" w:rsidP="00D676B3">
      <w:r w:rsidRPr="00D676B3">
        <w:t xml:space="preserve">A range of drugs are in use for migraine prophylaxis. Only a proportion have an </w:t>
      </w:r>
      <w:r w:rsidR="005D52EA">
        <w:t>Australian Register of Therapeutic Goods</w:t>
      </w:r>
      <w:r w:rsidRPr="00D676B3">
        <w:t xml:space="preserve"> entry specifying migraine prophylaxis. The appropriate drug for a particular patient generally depends on the co-morbidities present and tolerability. Commonly used oral drugs for migraine prophylaxis include amitriptyline, pizotifen, propranolol, verapamil and topiramate. Botox is another treatment option for more refractory disease.</w:t>
      </w:r>
    </w:p>
    <w:p w14:paraId="06B839AA" w14:textId="53A10371" w:rsidR="006151DC" w:rsidRPr="00D676B3" w:rsidRDefault="00B20EDA" w:rsidP="00D676B3">
      <w:r w:rsidRPr="00D676B3">
        <w:t xml:space="preserve">Four monoclonal antibodies targeting calcitonin gene-related peptide have become available since 2018 (erenumab, galcanezumab, fremanezumab, eptinezumab). Galcanezumab and fremanezumab are </w:t>
      </w:r>
      <w:r w:rsidR="006A7087">
        <w:t xml:space="preserve">pharmaceutical benefits scheme </w:t>
      </w:r>
      <w:r w:rsidRPr="00D676B3">
        <w:t>subsidised therapies. These drugs are indicated for the preventative treatment of migraine in adults and are given by intravenous infusion or subcutaneously, depending on the agent.</w:t>
      </w:r>
    </w:p>
    <w:p w14:paraId="37C47E09" w14:textId="14D3762D" w:rsidR="00CB6813" w:rsidRDefault="00CB6813" w:rsidP="00CB6813">
      <w:pPr>
        <w:pStyle w:val="Heading4"/>
      </w:pPr>
      <w:bookmarkStart w:id="20" w:name="_Toc160177847"/>
      <w:r>
        <w:t>C</w:t>
      </w:r>
      <w:r w:rsidRPr="00DE1344">
        <w:t>linical rational</w:t>
      </w:r>
      <w:r w:rsidR="0025785B">
        <w:t>e</w:t>
      </w:r>
      <w:bookmarkEnd w:id="20"/>
    </w:p>
    <w:p w14:paraId="469AD49B" w14:textId="77777777" w:rsidR="00553272" w:rsidRPr="00553272" w:rsidRDefault="00553272" w:rsidP="00553272">
      <w:r w:rsidRPr="00553272">
        <w:t>Rimegepant binds with high affinity to the human calcitonin gene-related peptide (CGRP) receptor and antagonises CGRP receptor function.</w:t>
      </w:r>
    </w:p>
    <w:p w14:paraId="4DCF1AA2" w14:textId="7A89FB57" w:rsidR="00553272" w:rsidRPr="00553272" w:rsidRDefault="00553272" w:rsidP="00553272">
      <w:r w:rsidRPr="00553272">
        <w:t>Multiple lines of clinical evidence point to a role for CGRP in migraine pathophysiology: 1) serum levels of CGRP are elevated during migraine; 2) treatment with anti-migraine drugs returns CGRP levels to normal coincident with pain relief and 3) intravenous CGRP infusion produces lasting pain in non-migraineurs and migraineurs.</w:t>
      </w:r>
    </w:p>
    <w:p w14:paraId="0D615854" w14:textId="77777777" w:rsidR="00324B33" w:rsidRPr="003F31A2" w:rsidRDefault="00324B33" w:rsidP="00324B33">
      <w:pPr>
        <w:pStyle w:val="Heading3"/>
      </w:pPr>
      <w:bookmarkStart w:id="21" w:name="_Toc103679291"/>
      <w:bookmarkStart w:id="22" w:name="_Toc160177848"/>
      <w:r>
        <w:lastRenderedPageBreak/>
        <w:t>Regulatory status</w:t>
      </w:r>
      <w:bookmarkEnd w:id="17"/>
      <w:bookmarkEnd w:id="18"/>
      <w:bookmarkEnd w:id="21"/>
      <w:bookmarkEnd w:id="22"/>
    </w:p>
    <w:p w14:paraId="72C889D6" w14:textId="7E200950" w:rsidR="0017005C" w:rsidRPr="00BD5DBD" w:rsidRDefault="0017005C" w:rsidP="00741AB9">
      <w:pPr>
        <w:pStyle w:val="Heading4"/>
      </w:pPr>
      <w:bookmarkStart w:id="23" w:name="_Toc160177849"/>
      <w:r w:rsidRPr="00BD5DBD">
        <w:t>Australian regulatory</w:t>
      </w:r>
      <w:r>
        <w:t xml:space="preserve"> sta</w:t>
      </w:r>
      <w:r w:rsidR="0025785B">
        <w:t>t</w:t>
      </w:r>
      <w:r>
        <w:t>us</w:t>
      </w:r>
      <w:bookmarkEnd w:id="23"/>
    </w:p>
    <w:p w14:paraId="6A8633FA" w14:textId="5AB1F936"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4EA56B11" w14:textId="0A1E1495" w:rsidR="00C52B7B" w:rsidRPr="00374B47" w:rsidRDefault="0017005C" w:rsidP="00374B47">
      <w:pPr>
        <w:pStyle w:val="Heading4"/>
      </w:pPr>
      <w:bookmarkStart w:id="24" w:name="_Toc160177850"/>
      <w:r>
        <w:t>Foreign</w:t>
      </w:r>
      <w:r w:rsidRPr="00BD5DBD">
        <w:t xml:space="preserve"> regulatory</w:t>
      </w:r>
      <w:r>
        <w:t xml:space="preserve"> status</w:t>
      </w:r>
      <w:bookmarkEnd w:id="24"/>
    </w:p>
    <w:p w14:paraId="79EC0762" w14:textId="6D295E25" w:rsidR="00C133AB" w:rsidRPr="00C133AB" w:rsidRDefault="00C133AB" w:rsidP="00C52B7B">
      <w:r w:rsidRPr="00BD5DBD">
        <w:rPr>
          <w:szCs w:val="22"/>
        </w:rPr>
        <w:t xml:space="preserve">This submission was submitted through the TGA’s </w:t>
      </w:r>
      <w:hyperlink r:id="rId20" w:history="1">
        <w:r w:rsidRPr="00BD5DBD">
          <w:rPr>
            <w:rStyle w:val="Hyperlink"/>
            <w:szCs w:val="22"/>
          </w:rPr>
          <w:t>Comparable Overseas Regulator</w:t>
        </w:r>
      </w:hyperlink>
      <w:r w:rsidRPr="00BD5DBD">
        <w:rPr>
          <w:szCs w:val="22"/>
        </w:rPr>
        <w:t xml:space="preserve"> (COR-</w:t>
      </w:r>
      <w:r w:rsidR="00641E24">
        <w:rPr>
          <w:szCs w:val="22"/>
        </w:rPr>
        <w:t>B</w:t>
      </w:r>
      <w:r w:rsidRPr="00BD5DBD">
        <w:rPr>
          <w:szCs w:val="22"/>
        </w:rPr>
        <w:t xml:space="preserve">) process, using evaluation reports from </w:t>
      </w:r>
      <w:r w:rsidR="008B47E8">
        <w:rPr>
          <w:szCs w:val="22"/>
        </w:rPr>
        <w:t xml:space="preserve">European </w:t>
      </w:r>
      <w:r w:rsidR="00487650">
        <w:rPr>
          <w:szCs w:val="22"/>
        </w:rPr>
        <w:t>Medicines Agency</w:t>
      </w:r>
      <w:r w:rsidR="000B53AC">
        <w:rPr>
          <w:szCs w:val="22"/>
        </w:rPr>
        <w:t xml:space="preserve"> (EMA)</w:t>
      </w:r>
      <w:r w:rsidRPr="0017005C">
        <w:t>.</w:t>
      </w:r>
      <w:r w:rsidRPr="00BD5DBD">
        <w:rPr>
          <w:iCs/>
          <w:szCs w:val="22"/>
        </w:rPr>
        <w:t xml:space="preserve"> </w:t>
      </w:r>
      <w:r w:rsidRPr="00BD5DBD">
        <w:rPr>
          <w:szCs w:val="22"/>
        </w:rPr>
        <w:t>The full dossier was submitted to the TGA.</w:t>
      </w:r>
    </w:p>
    <w:p w14:paraId="7FDF4A0B" w14:textId="3137B7EA"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p>
    <w:p w14:paraId="19B9E0AC" w14:textId="2AC4BE6A" w:rsidR="00324B33" w:rsidRDefault="00324B33" w:rsidP="00324B33">
      <w:pPr>
        <w:pStyle w:val="TableTitle"/>
      </w:pPr>
      <w:bookmarkStart w:id="25" w:name="_Ref99705479"/>
      <w:r>
        <w:t xml:space="preserve">Table </w:t>
      </w:r>
      <w:r w:rsidR="00DE785D">
        <w:fldChar w:fldCharType="begin"/>
      </w:r>
      <w:r w:rsidR="00DE785D">
        <w:instrText xml:space="preserve"> SEQ Table \* ARABIC </w:instrText>
      </w:r>
      <w:r w:rsidR="00DE785D">
        <w:fldChar w:fldCharType="separate"/>
      </w:r>
      <w:r w:rsidR="00834F8B">
        <w:rPr>
          <w:noProof/>
        </w:rPr>
        <w:t>1</w:t>
      </w:r>
      <w:r w:rsidR="00DE785D">
        <w:rPr>
          <w:noProof/>
        </w:rPr>
        <w:fldChar w:fldCharType="end"/>
      </w:r>
      <w:bookmarkEnd w:id="25"/>
      <w:r>
        <w:t>: International regulatory status</w:t>
      </w:r>
    </w:p>
    <w:tbl>
      <w:tblPr>
        <w:tblStyle w:val="TableTGAblue2023"/>
        <w:tblW w:w="5000" w:type="pct"/>
        <w:tblLook w:val="04A0" w:firstRow="1" w:lastRow="0" w:firstColumn="1" w:lastColumn="0" w:noHBand="0" w:noVBand="1"/>
      </w:tblPr>
      <w:tblGrid>
        <w:gridCol w:w="1777"/>
        <w:gridCol w:w="2026"/>
        <w:gridCol w:w="2066"/>
        <w:gridCol w:w="3191"/>
      </w:tblGrid>
      <w:tr w:rsidR="00324B33" w:rsidRPr="00D01DDB" w14:paraId="405E5D78" w14:textId="16839333" w:rsidTr="008A7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pct"/>
          </w:tcPr>
          <w:p w14:paraId="185B099B" w14:textId="7A4C0E6C" w:rsidR="00324B33" w:rsidRPr="00D01DDB" w:rsidRDefault="00324B33" w:rsidP="00324B33">
            <w:pPr>
              <w:rPr>
                <w:szCs w:val="22"/>
              </w:rPr>
            </w:pPr>
            <w:r w:rsidRPr="00D01DDB">
              <w:rPr>
                <w:szCs w:val="22"/>
              </w:rPr>
              <w:t>Region</w:t>
            </w:r>
          </w:p>
        </w:tc>
        <w:tc>
          <w:tcPr>
            <w:tcW w:w="11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40"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62"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8A791D">
        <w:tc>
          <w:tcPr>
            <w:cnfStyle w:val="001000000000" w:firstRow="0" w:lastRow="0" w:firstColumn="1" w:lastColumn="0" w:oddVBand="0" w:evenVBand="0" w:oddHBand="0" w:evenHBand="0" w:firstRowFirstColumn="0" w:firstRowLastColumn="0" w:lastRowFirstColumn="0" w:lastRowLastColumn="0"/>
            <w:tcW w:w="981" w:type="pct"/>
          </w:tcPr>
          <w:p w14:paraId="4C540DE5" w14:textId="7B018690" w:rsidR="00324B33" w:rsidRPr="00D01DDB" w:rsidRDefault="00DE6565" w:rsidP="00324B33">
            <w:pPr>
              <w:rPr>
                <w:szCs w:val="22"/>
              </w:rPr>
            </w:pPr>
            <w:r>
              <w:rPr>
                <w:szCs w:val="22"/>
              </w:rPr>
              <w:t>United States of America</w:t>
            </w:r>
          </w:p>
        </w:tc>
        <w:tc>
          <w:tcPr>
            <w:tcW w:w="1118" w:type="pct"/>
          </w:tcPr>
          <w:p w14:paraId="4FA5DDA9" w14:textId="0D0FDF0F" w:rsidR="00324B33" w:rsidRPr="00D01DDB" w:rsidRDefault="0022761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27 June 2019 </w:t>
            </w:r>
            <w:r w:rsidR="0098387F">
              <w:rPr>
                <w:szCs w:val="22"/>
              </w:rPr>
              <w:t>28 July 2020</w:t>
            </w:r>
          </w:p>
        </w:tc>
        <w:tc>
          <w:tcPr>
            <w:tcW w:w="1140" w:type="pct"/>
          </w:tcPr>
          <w:p w14:paraId="47E4CE6A" w14:textId="6C9D845E" w:rsidR="00E12E54" w:rsidRDefault="00324B33" w:rsidP="00E12E54">
            <w:pPr>
              <w:spacing w:after="0"/>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98387F">
              <w:rPr>
                <w:szCs w:val="22"/>
              </w:rPr>
              <w:t>27 February 2020</w:t>
            </w:r>
            <w:r w:rsidR="00F0263A">
              <w:rPr>
                <w:szCs w:val="22"/>
              </w:rPr>
              <w:t xml:space="preserve"> (acute)</w:t>
            </w:r>
          </w:p>
          <w:p w14:paraId="29358393" w14:textId="2DE8F417" w:rsidR="0098387F" w:rsidRPr="00D01DDB" w:rsidRDefault="0098387F" w:rsidP="00E12E54">
            <w:pPr>
              <w:spacing w:before="0"/>
              <w:cnfStyle w:val="000000000000" w:firstRow="0" w:lastRow="0" w:firstColumn="0" w:lastColumn="0" w:oddVBand="0" w:evenVBand="0" w:oddHBand="0" w:evenHBand="0" w:firstRowFirstColumn="0" w:firstRowLastColumn="0" w:lastRowFirstColumn="0" w:lastRowLastColumn="0"/>
              <w:rPr>
                <w:szCs w:val="22"/>
              </w:rPr>
            </w:pPr>
            <w:r>
              <w:rPr>
                <w:szCs w:val="22"/>
              </w:rPr>
              <w:t>27 May 2021</w:t>
            </w:r>
            <w:r w:rsidR="00F0263A">
              <w:rPr>
                <w:szCs w:val="22"/>
              </w:rPr>
              <w:t xml:space="preserve"> (prevention)</w:t>
            </w:r>
          </w:p>
        </w:tc>
        <w:tc>
          <w:tcPr>
            <w:tcW w:w="1762" w:type="pct"/>
          </w:tcPr>
          <w:p w14:paraId="7C789AD7" w14:textId="1BC9E4C7" w:rsidR="00592F97" w:rsidRPr="00592F97" w:rsidRDefault="00592F97" w:rsidP="00592F97">
            <w:pPr>
              <w:cnfStyle w:val="000000000000" w:firstRow="0" w:lastRow="0" w:firstColumn="0" w:lastColumn="0" w:oddVBand="0" w:evenVBand="0" w:oddHBand="0" w:evenHBand="0" w:firstRowFirstColumn="0" w:firstRowLastColumn="0" w:lastRowFirstColumn="0" w:lastRowLastColumn="0"/>
              <w:rPr>
                <w:i/>
                <w:iCs/>
                <w:szCs w:val="22"/>
              </w:rPr>
            </w:pPr>
            <w:r w:rsidRPr="00592F97">
              <w:rPr>
                <w:i/>
                <w:iCs/>
                <w:szCs w:val="22"/>
              </w:rPr>
              <w:t>Nurtec ODT is a calcitonin gene-related peptide receptor antagonist indicated for the:</w:t>
            </w:r>
          </w:p>
          <w:p w14:paraId="59E2D9C2" w14:textId="22191EC6" w:rsidR="00592F97" w:rsidRPr="00592F97" w:rsidRDefault="00592F97" w:rsidP="00592F97">
            <w:pPr>
              <w:cnfStyle w:val="000000000000" w:firstRow="0" w:lastRow="0" w:firstColumn="0" w:lastColumn="0" w:oddVBand="0" w:evenVBand="0" w:oddHBand="0" w:evenHBand="0" w:firstRowFirstColumn="0" w:firstRowLastColumn="0" w:lastRowFirstColumn="0" w:lastRowLastColumn="0"/>
              <w:rPr>
                <w:i/>
                <w:iCs/>
                <w:szCs w:val="22"/>
              </w:rPr>
            </w:pPr>
            <w:r w:rsidRPr="00592F97">
              <w:rPr>
                <w:i/>
                <w:iCs/>
                <w:szCs w:val="22"/>
              </w:rPr>
              <w:t>• acute treatment of migraine with or without aura in adults</w:t>
            </w:r>
          </w:p>
          <w:p w14:paraId="05055674" w14:textId="03D66BCC" w:rsidR="00324B33" w:rsidRPr="00D01DDB" w:rsidRDefault="00592F97" w:rsidP="00592F97">
            <w:pPr>
              <w:cnfStyle w:val="000000000000" w:firstRow="0" w:lastRow="0" w:firstColumn="0" w:lastColumn="0" w:oddVBand="0" w:evenVBand="0" w:oddHBand="0" w:evenHBand="0" w:firstRowFirstColumn="0" w:firstRowLastColumn="0" w:lastRowFirstColumn="0" w:lastRowLastColumn="0"/>
              <w:rPr>
                <w:szCs w:val="22"/>
              </w:rPr>
            </w:pPr>
            <w:r w:rsidRPr="00592F97">
              <w:rPr>
                <w:i/>
                <w:iCs/>
                <w:szCs w:val="22"/>
              </w:rPr>
              <w:t>• preventive treatment of episodic migraine in adults</w:t>
            </w:r>
          </w:p>
        </w:tc>
      </w:tr>
      <w:tr w:rsidR="00324B33" w:rsidRPr="00D01DDB" w14:paraId="18B6E2AA" w14:textId="7783D66F" w:rsidTr="008A791D">
        <w:tc>
          <w:tcPr>
            <w:cnfStyle w:val="001000000000" w:firstRow="0" w:lastRow="0" w:firstColumn="1" w:lastColumn="0" w:oddVBand="0" w:evenVBand="0" w:oddHBand="0" w:evenHBand="0" w:firstRowFirstColumn="0" w:firstRowLastColumn="0" w:lastRowFirstColumn="0" w:lastRowLastColumn="0"/>
            <w:tcW w:w="981" w:type="pct"/>
          </w:tcPr>
          <w:p w14:paraId="7F348960" w14:textId="37A9E1E3" w:rsidR="00324B33" w:rsidRPr="00D01DDB" w:rsidRDefault="00DE6565" w:rsidP="00324B33">
            <w:pPr>
              <w:rPr>
                <w:szCs w:val="22"/>
              </w:rPr>
            </w:pPr>
            <w:r>
              <w:rPr>
                <w:szCs w:val="22"/>
              </w:rPr>
              <w:t>European Union</w:t>
            </w:r>
          </w:p>
        </w:tc>
        <w:tc>
          <w:tcPr>
            <w:tcW w:w="1118" w:type="pct"/>
          </w:tcPr>
          <w:p w14:paraId="1D871E57" w14:textId="315FAEAD" w:rsidR="00324B33" w:rsidRPr="00D01DDB" w:rsidRDefault="00C0719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February 2021</w:t>
            </w:r>
          </w:p>
        </w:tc>
        <w:tc>
          <w:tcPr>
            <w:tcW w:w="1140" w:type="pct"/>
          </w:tcPr>
          <w:p w14:paraId="63A3A9D3" w14:textId="25C674F9" w:rsidR="00324B33" w:rsidRPr="00D01DDB" w:rsidRDefault="00C0719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 April 2022</w:t>
            </w:r>
          </w:p>
        </w:tc>
        <w:tc>
          <w:tcPr>
            <w:tcW w:w="1762" w:type="pct"/>
          </w:tcPr>
          <w:p w14:paraId="4D13243E" w14:textId="784EA7E7" w:rsidR="002225B8" w:rsidRPr="002225B8" w:rsidRDefault="002225B8" w:rsidP="002225B8">
            <w:pPr>
              <w:cnfStyle w:val="000000000000" w:firstRow="0" w:lastRow="0" w:firstColumn="0" w:lastColumn="0" w:oddVBand="0" w:evenVBand="0" w:oddHBand="0" w:evenHBand="0" w:firstRowFirstColumn="0" w:firstRowLastColumn="0" w:lastRowFirstColumn="0" w:lastRowLastColumn="0"/>
              <w:rPr>
                <w:i/>
                <w:iCs/>
              </w:rPr>
            </w:pPr>
            <w:r w:rsidRPr="002225B8">
              <w:rPr>
                <w:i/>
                <w:iCs/>
              </w:rPr>
              <w:t>Vydura is indicated for the</w:t>
            </w:r>
          </w:p>
          <w:p w14:paraId="3F7D5DE9" w14:textId="421311BD" w:rsidR="002225B8" w:rsidRPr="002225B8" w:rsidRDefault="002225B8" w:rsidP="002225B8">
            <w:pPr>
              <w:cnfStyle w:val="000000000000" w:firstRow="0" w:lastRow="0" w:firstColumn="0" w:lastColumn="0" w:oddVBand="0" w:evenVBand="0" w:oddHBand="0" w:evenHBand="0" w:firstRowFirstColumn="0" w:firstRowLastColumn="0" w:lastRowFirstColumn="0" w:lastRowLastColumn="0"/>
              <w:rPr>
                <w:i/>
                <w:iCs/>
              </w:rPr>
            </w:pPr>
            <w:r w:rsidRPr="002225B8">
              <w:rPr>
                <w:i/>
                <w:iCs/>
              </w:rPr>
              <w:t>• Acute treatment of migraine with or without aura in adults;</w:t>
            </w:r>
          </w:p>
          <w:p w14:paraId="17C650B8" w14:textId="42AE2DA3" w:rsidR="00324B33" w:rsidRPr="00D01DDB" w:rsidRDefault="002225B8" w:rsidP="002225B8">
            <w:pPr>
              <w:cnfStyle w:val="000000000000" w:firstRow="0" w:lastRow="0" w:firstColumn="0" w:lastColumn="0" w:oddVBand="0" w:evenVBand="0" w:oddHBand="0" w:evenHBand="0" w:firstRowFirstColumn="0" w:firstRowLastColumn="0" w:lastRowFirstColumn="0" w:lastRowLastColumn="0"/>
              <w:rPr>
                <w:szCs w:val="22"/>
              </w:rPr>
            </w:pPr>
            <w:r w:rsidRPr="002225B8">
              <w:rPr>
                <w:i/>
                <w:iCs/>
              </w:rPr>
              <w:t>• Preventive treatment of episodic migraine in adults who have at least 4 migraine attacks per month</w:t>
            </w:r>
          </w:p>
        </w:tc>
      </w:tr>
      <w:tr w:rsidR="00DE6565" w:rsidRPr="00D01DDB" w14:paraId="00AAD5FA" w14:textId="77777777" w:rsidTr="008A791D">
        <w:tc>
          <w:tcPr>
            <w:cnfStyle w:val="001000000000" w:firstRow="0" w:lastRow="0" w:firstColumn="1" w:lastColumn="0" w:oddVBand="0" w:evenVBand="0" w:oddHBand="0" w:evenHBand="0" w:firstRowFirstColumn="0" w:firstRowLastColumn="0" w:lastRowFirstColumn="0" w:lastRowLastColumn="0"/>
            <w:tcW w:w="981" w:type="pct"/>
          </w:tcPr>
          <w:p w14:paraId="53455360" w14:textId="1C454E1F" w:rsidR="00DE6565" w:rsidRDefault="00DE6565" w:rsidP="00324B33">
            <w:pPr>
              <w:rPr>
                <w:szCs w:val="22"/>
              </w:rPr>
            </w:pPr>
            <w:r>
              <w:rPr>
                <w:szCs w:val="22"/>
              </w:rPr>
              <w:t>United Kingdom</w:t>
            </w:r>
          </w:p>
        </w:tc>
        <w:tc>
          <w:tcPr>
            <w:tcW w:w="1118" w:type="pct"/>
          </w:tcPr>
          <w:p w14:paraId="259C63A4" w14:textId="19418A81" w:rsidR="00DE6565" w:rsidRPr="00D01DDB" w:rsidRDefault="0054422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February 2022</w:t>
            </w:r>
          </w:p>
        </w:tc>
        <w:tc>
          <w:tcPr>
            <w:tcW w:w="1140" w:type="pct"/>
          </w:tcPr>
          <w:p w14:paraId="7BA75547" w14:textId="0A40FEE9" w:rsidR="00DE6565" w:rsidRPr="00D01DDB" w:rsidRDefault="0054422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10 June 2022</w:t>
            </w:r>
          </w:p>
        </w:tc>
        <w:tc>
          <w:tcPr>
            <w:tcW w:w="1762" w:type="pct"/>
          </w:tcPr>
          <w:p w14:paraId="40483E7D" w14:textId="35AFEB34" w:rsidR="00E837F2" w:rsidRPr="00E837F2" w:rsidRDefault="00E837F2" w:rsidP="00E837F2">
            <w:pPr>
              <w:cnfStyle w:val="000000000000" w:firstRow="0" w:lastRow="0" w:firstColumn="0" w:lastColumn="0" w:oddVBand="0" w:evenVBand="0" w:oddHBand="0" w:evenHBand="0" w:firstRowFirstColumn="0" w:firstRowLastColumn="0" w:lastRowFirstColumn="0" w:lastRowLastColumn="0"/>
              <w:rPr>
                <w:i/>
                <w:iCs/>
                <w:szCs w:val="22"/>
              </w:rPr>
            </w:pPr>
            <w:r w:rsidRPr="00E837F2">
              <w:rPr>
                <w:i/>
                <w:iCs/>
                <w:szCs w:val="22"/>
              </w:rPr>
              <w:t>Vydura is indicated for the</w:t>
            </w:r>
          </w:p>
          <w:p w14:paraId="369F32C0" w14:textId="7556450D" w:rsidR="00E837F2" w:rsidRPr="00E837F2" w:rsidRDefault="00E837F2" w:rsidP="00E837F2">
            <w:pPr>
              <w:cnfStyle w:val="000000000000" w:firstRow="0" w:lastRow="0" w:firstColumn="0" w:lastColumn="0" w:oddVBand="0" w:evenVBand="0" w:oddHBand="0" w:evenHBand="0" w:firstRowFirstColumn="0" w:firstRowLastColumn="0" w:lastRowFirstColumn="0" w:lastRowLastColumn="0"/>
              <w:rPr>
                <w:i/>
                <w:iCs/>
                <w:szCs w:val="22"/>
              </w:rPr>
            </w:pPr>
            <w:r w:rsidRPr="00E837F2">
              <w:rPr>
                <w:i/>
                <w:iCs/>
                <w:szCs w:val="22"/>
              </w:rPr>
              <w:t>• Acute treatment of migraine with or without aura in adults;</w:t>
            </w:r>
          </w:p>
          <w:p w14:paraId="5D7F88AA" w14:textId="12C71E8E" w:rsidR="00DE6565" w:rsidRPr="00D01DDB" w:rsidRDefault="00E837F2" w:rsidP="00E837F2">
            <w:pPr>
              <w:cnfStyle w:val="000000000000" w:firstRow="0" w:lastRow="0" w:firstColumn="0" w:lastColumn="0" w:oddVBand="0" w:evenVBand="0" w:oddHBand="0" w:evenHBand="0" w:firstRowFirstColumn="0" w:firstRowLastColumn="0" w:lastRowFirstColumn="0" w:lastRowLastColumn="0"/>
              <w:rPr>
                <w:szCs w:val="22"/>
              </w:rPr>
            </w:pPr>
            <w:r w:rsidRPr="00E837F2">
              <w:rPr>
                <w:i/>
                <w:iCs/>
                <w:szCs w:val="22"/>
              </w:rPr>
              <w:t>• Preventive treatment of episodic migraine in adults who have at least 4 migraine attacks per month</w:t>
            </w:r>
          </w:p>
        </w:tc>
      </w:tr>
      <w:tr w:rsidR="00DE6565" w:rsidRPr="00D01DDB" w14:paraId="6403EADE" w14:textId="77777777" w:rsidTr="008A791D">
        <w:tc>
          <w:tcPr>
            <w:cnfStyle w:val="001000000000" w:firstRow="0" w:lastRow="0" w:firstColumn="1" w:lastColumn="0" w:oddVBand="0" w:evenVBand="0" w:oddHBand="0" w:evenHBand="0" w:firstRowFirstColumn="0" w:firstRowLastColumn="0" w:lastRowFirstColumn="0" w:lastRowLastColumn="0"/>
            <w:tcW w:w="981" w:type="pct"/>
          </w:tcPr>
          <w:p w14:paraId="34DF80BB" w14:textId="4FBA2CBE" w:rsidR="00DE6565" w:rsidRDefault="00227618" w:rsidP="00324B33">
            <w:pPr>
              <w:rPr>
                <w:szCs w:val="22"/>
              </w:rPr>
            </w:pPr>
            <w:r>
              <w:rPr>
                <w:szCs w:val="22"/>
              </w:rPr>
              <w:t>Singapore</w:t>
            </w:r>
          </w:p>
        </w:tc>
        <w:tc>
          <w:tcPr>
            <w:tcW w:w="1118" w:type="pct"/>
          </w:tcPr>
          <w:p w14:paraId="7D5A6684" w14:textId="74624E18" w:rsidR="00DE6565" w:rsidRPr="00D01DDB" w:rsidRDefault="0054422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 July 2022</w:t>
            </w:r>
          </w:p>
        </w:tc>
        <w:tc>
          <w:tcPr>
            <w:tcW w:w="1140" w:type="pct"/>
          </w:tcPr>
          <w:p w14:paraId="101BC078" w14:textId="6025F56C" w:rsidR="00DE6565" w:rsidRPr="00D01DDB" w:rsidRDefault="0054422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February </w:t>
            </w:r>
            <w:r w:rsidR="00E837F2">
              <w:rPr>
                <w:szCs w:val="22"/>
              </w:rPr>
              <w:t>2023</w:t>
            </w:r>
          </w:p>
        </w:tc>
        <w:tc>
          <w:tcPr>
            <w:tcW w:w="1762" w:type="pct"/>
          </w:tcPr>
          <w:p w14:paraId="73D2500F" w14:textId="377C314E" w:rsidR="0024369A" w:rsidRPr="001D77DD" w:rsidRDefault="0024369A" w:rsidP="0024369A">
            <w:pPr>
              <w:cnfStyle w:val="000000000000" w:firstRow="0" w:lastRow="0" w:firstColumn="0" w:lastColumn="0" w:oddVBand="0" w:evenVBand="0" w:oddHBand="0" w:evenHBand="0" w:firstRowFirstColumn="0" w:firstRowLastColumn="0" w:lastRowFirstColumn="0" w:lastRowLastColumn="0"/>
              <w:rPr>
                <w:i/>
                <w:iCs/>
                <w:szCs w:val="22"/>
              </w:rPr>
            </w:pPr>
            <w:r w:rsidRPr="001D77DD">
              <w:rPr>
                <w:i/>
                <w:iCs/>
                <w:szCs w:val="22"/>
              </w:rPr>
              <w:t>Nurtec ODT is indicated for the</w:t>
            </w:r>
          </w:p>
          <w:p w14:paraId="16016506" w14:textId="14F35311" w:rsidR="0024369A" w:rsidRPr="001D77DD" w:rsidRDefault="0024369A" w:rsidP="0024369A">
            <w:pPr>
              <w:cnfStyle w:val="000000000000" w:firstRow="0" w:lastRow="0" w:firstColumn="0" w:lastColumn="0" w:oddVBand="0" w:evenVBand="0" w:oddHBand="0" w:evenHBand="0" w:firstRowFirstColumn="0" w:firstRowLastColumn="0" w:lastRowFirstColumn="0" w:lastRowLastColumn="0"/>
              <w:rPr>
                <w:i/>
                <w:iCs/>
                <w:szCs w:val="22"/>
              </w:rPr>
            </w:pPr>
            <w:r w:rsidRPr="001D77DD">
              <w:rPr>
                <w:i/>
                <w:iCs/>
                <w:szCs w:val="22"/>
              </w:rPr>
              <w:t>• Acute treatment of migraine with or without aura in adults;</w:t>
            </w:r>
          </w:p>
          <w:p w14:paraId="13B363AF" w14:textId="39C61258" w:rsidR="00DE6565" w:rsidRPr="00D01DDB" w:rsidRDefault="0024369A" w:rsidP="0024369A">
            <w:pPr>
              <w:cnfStyle w:val="000000000000" w:firstRow="0" w:lastRow="0" w:firstColumn="0" w:lastColumn="0" w:oddVBand="0" w:evenVBand="0" w:oddHBand="0" w:evenHBand="0" w:firstRowFirstColumn="0" w:firstRowLastColumn="0" w:lastRowFirstColumn="0" w:lastRowLastColumn="0"/>
              <w:rPr>
                <w:szCs w:val="22"/>
              </w:rPr>
            </w:pPr>
            <w:r w:rsidRPr="001D77DD">
              <w:rPr>
                <w:i/>
                <w:iCs/>
                <w:szCs w:val="22"/>
              </w:rPr>
              <w:t>• Preventive treatment of episodic migraine in adults who have at least 4 migraine attacks per month</w:t>
            </w:r>
          </w:p>
        </w:tc>
      </w:tr>
      <w:tr w:rsidR="00227618" w:rsidRPr="00D01DDB" w14:paraId="6C6D5D76" w14:textId="77777777" w:rsidTr="008A791D">
        <w:tc>
          <w:tcPr>
            <w:cnfStyle w:val="001000000000" w:firstRow="0" w:lastRow="0" w:firstColumn="1" w:lastColumn="0" w:oddVBand="0" w:evenVBand="0" w:oddHBand="0" w:evenHBand="0" w:firstRowFirstColumn="0" w:firstRowLastColumn="0" w:lastRowFirstColumn="0" w:lastRowLastColumn="0"/>
            <w:tcW w:w="981" w:type="pct"/>
          </w:tcPr>
          <w:p w14:paraId="78878C7C" w14:textId="671C89F4" w:rsidR="00227618" w:rsidRDefault="00227618" w:rsidP="00324B33">
            <w:pPr>
              <w:rPr>
                <w:szCs w:val="22"/>
              </w:rPr>
            </w:pPr>
            <w:r>
              <w:rPr>
                <w:szCs w:val="22"/>
              </w:rPr>
              <w:lastRenderedPageBreak/>
              <w:t>Switzerland</w:t>
            </w:r>
          </w:p>
        </w:tc>
        <w:tc>
          <w:tcPr>
            <w:tcW w:w="1118" w:type="pct"/>
          </w:tcPr>
          <w:p w14:paraId="03257779" w14:textId="5670971B" w:rsidR="00227618" w:rsidRPr="00D01DDB" w:rsidRDefault="00C0719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July 2022</w:t>
            </w:r>
          </w:p>
        </w:tc>
        <w:tc>
          <w:tcPr>
            <w:tcW w:w="1140" w:type="pct"/>
          </w:tcPr>
          <w:p w14:paraId="4F650B56" w14:textId="1EB96F90" w:rsidR="00227618" w:rsidRPr="00D01DDB" w:rsidRDefault="002225B8"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1762" w:type="pct"/>
          </w:tcPr>
          <w:p w14:paraId="7270CCCA" w14:textId="6771697F" w:rsidR="00227618" w:rsidRPr="00D01DDB" w:rsidRDefault="002225B8"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r w:rsidR="00227618" w:rsidRPr="00D01DDB" w14:paraId="71916538" w14:textId="77777777" w:rsidTr="008A791D">
        <w:tc>
          <w:tcPr>
            <w:cnfStyle w:val="001000000000" w:firstRow="0" w:lastRow="0" w:firstColumn="1" w:lastColumn="0" w:oddVBand="0" w:evenVBand="0" w:oddHBand="0" w:evenHBand="0" w:firstRowFirstColumn="0" w:firstRowLastColumn="0" w:lastRowFirstColumn="0" w:lastRowLastColumn="0"/>
            <w:tcW w:w="981" w:type="pct"/>
          </w:tcPr>
          <w:p w14:paraId="3AA77047" w14:textId="5EC0C55E" w:rsidR="00227618" w:rsidRDefault="00227618" w:rsidP="00324B33">
            <w:pPr>
              <w:rPr>
                <w:szCs w:val="22"/>
              </w:rPr>
            </w:pPr>
            <w:r>
              <w:rPr>
                <w:szCs w:val="22"/>
              </w:rPr>
              <w:t>Canada</w:t>
            </w:r>
          </w:p>
        </w:tc>
        <w:tc>
          <w:tcPr>
            <w:tcW w:w="1118" w:type="pct"/>
          </w:tcPr>
          <w:p w14:paraId="448B29BC" w14:textId="2179ECAF" w:rsidR="00227618" w:rsidRPr="00D01DDB" w:rsidRDefault="00C0719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October 2022</w:t>
            </w:r>
          </w:p>
        </w:tc>
        <w:tc>
          <w:tcPr>
            <w:tcW w:w="1140" w:type="pct"/>
          </w:tcPr>
          <w:p w14:paraId="29CCF840" w14:textId="4AF9AD12" w:rsidR="00227618" w:rsidRPr="00D01DDB" w:rsidRDefault="002225B8"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1762" w:type="pct"/>
          </w:tcPr>
          <w:p w14:paraId="375C78C1" w14:textId="04E924CD" w:rsidR="00227618" w:rsidRPr="00D01DDB" w:rsidRDefault="002225B8"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bl>
    <w:p w14:paraId="381FF4E7" w14:textId="4D95E2FC" w:rsidR="008A791D" w:rsidRPr="008A791D" w:rsidRDefault="008A791D" w:rsidP="008A791D">
      <w:pPr>
        <w:spacing w:before="120"/>
      </w:pPr>
      <w:bookmarkStart w:id="26" w:name="_Toc504480011"/>
      <w:bookmarkStart w:id="27" w:name="_Toc103679293"/>
      <w:r w:rsidRPr="008A791D">
        <w:t>Biohaven Pharmaceutical Ireland in February 2021 submitted an application for marketing authorisation for Vydura (</w:t>
      </w:r>
      <w:r w:rsidR="00B025E6">
        <w:t>that is,</w:t>
      </w:r>
      <w:r w:rsidRPr="008A791D">
        <w:t xml:space="preserve"> rimegepant), through the EMA’s centralised procedure. The requested indication was the </w:t>
      </w:r>
      <w:r w:rsidR="00B025E6">
        <w:t>‘</w:t>
      </w:r>
      <w:r w:rsidRPr="008A791D">
        <w:t>comprehensive management of migraine</w:t>
      </w:r>
      <w:r w:rsidR="00B025E6">
        <w:t>’</w:t>
      </w:r>
      <w:r w:rsidRPr="008A791D">
        <w:t xml:space="preserve"> (acute treatment and prophylaxis). Biohaven had previously received scientific advice related to their pivotal </w:t>
      </w:r>
      <w:r w:rsidR="00B025E6">
        <w:t>P</w:t>
      </w:r>
      <w:r w:rsidRPr="008A791D">
        <w:t>hase</w:t>
      </w:r>
      <w:r w:rsidR="00B025E6">
        <w:t xml:space="preserve"> III </w:t>
      </w:r>
      <w:r w:rsidRPr="008A791D">
        <w:t xml:space="preserve">studies. Following a positive </w:t>
      </w:r>
      <w:r w:rsidR="00DE07B7" w:rsidRPr="00E12E54">
        <w:t>Committee for Medicinal Products for Human Use (European Medicines Agency, European Union</w:t>
      </w:r>
      <w:r w:rsidR="00B268C2" w:rsidRPr="00E12E54">
        <w:t xml:space="preserve">, </w:t>
      </w:r>
      <w:r w:rsidRPr="00E12E54">
        <w:t>CHMP</w:t>
      </w:r>
      <w:r w:rsidR="00B268C2" w:rsidRPr="00E12E54">
        <w:t>)</w:t>
      </w:r>
      <w:r w:rsidRPr="00E12E54">
        <w:t xml:space="preserve"> recommendation</w:t>
      </w:r>
      <w:r w:rsidRPr="008A791D">
        <w:t>, rimegepant was granted marketing authorisation on 25 April 2022.</w:t>
      </w:r>
    </w:p>
    <w:p w14:paraId="6D92589C" w14:textId="314ED3CC" w:rsidR="00324B33" w:rsidRDefault="00324B33" w:rsidP="00324B33">
      <w:pPr>
        <w:pStyle w:val="Heading2"/>
      </w:pPr>
      <w:bookmarkStart w:id="28" w:name="_Toc160177851"/>
      <w:r>
        <w:t>Registration timeline</w:t>
      </w:r>
      <w:bookmarkEnd w:id="26"/>
      <w:bookmarkEnd w:id="27"/>
      <w:bookmarkEnd w:id="28"/>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1EFA9AD0" w14:textId="4EE4057F" w:rsidR="0017005C"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44628C5F" w14:textId="49932EED" w:rsidR="00324B33" w:rsidRDefault="00324B33" w:rsidP="002C1232">
      <w:pPr>
        <w:pStyle w:val="TableTitle"/>
      </w:pPr>
      <w:r w:rsidRPr="002C1232">
        <w:t xml:space="preserve">Table </w:t>
      </w:r>
      <w:r w:rsidR="00DE785D">
        <w:fldChar w:fldCharType="begin"/>
      </w:r>
      <w:r w:rsidR="00DE785D">
        <w:instrText xml:space="preserve"> SEQ Table \* ARABIC </w:instrText>
      </w:r>
      <w:r w:rsidR="00DE785D">
        <w:fldChar w:fldCharType="separate"/>
      </w:r>
      <w:r w:rsidR="00834F8B">
        <w:rPr>
          <w:noProof/>
        </w:rPr>
        <w:t>2</w:t>
      </w:r>
      <w:r w:rsidR="00DE785D">
        <w:rPr>
          <w:noProof/>
        </w:rPr>
        <w:fldChar w:fldCharType="end"/>
      </w:r>
      <w:r w:rsidRPr="002C1232">
        <w:t xml:space="preserve">: Timeline for Submission </w:t>
      </w:r>
      <w:r w:rsidR="00777B72" w:rsidRPr="00777B72">
        <w:t>PM-2022-02939-1-1</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01C8D4A4" w:rsidR="00324B33" w:rsidRPr="00D01DDB" w:rsidRDefault="002A5F6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September 2022</w:t>
            </w:r>
          </w:p>
        </w:tc>
      </w:tr>
      <w:tr w:rsidR="00324B33" w:rsidRPr="00D01DDB" w14:paraId="5343781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C037D4E" w14:textId="2B0CE255" w:rsidR="00324B33" w:rsidRPr="00E679D1" w:rsidRDefault="00324B33" w:rsidP="00E679D1">
            <w:r w:rsidRPr="00E679D1">
              <w:t>First round evaluation completed</w:t>
            </w:r>
          </w:p>
        </w:tc>
        <w:tc>
          <w:tcPr>
            <w:tcW w:w="2977" w:type="dxa"/>
          </w:tcPr>
          <w:p w14:paraId="3CEAFAAB" w14:textId="0912152A" w:rsidR="00324B33" w:rsidRPr="00D01DDB" w:rsidRDefault="002A5F6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January 2023</w:t>
            </w:r>
          </w:p>
        </w:tc>
      </w:tr>
      <w:tr w:rsidR="00324B33" w:rsidRPr="00D01DDB" w14:paraId="60DA57C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02EA1147" w14:textId="2853A422" w:rsidR="00324B33" w:rsidRPr="00E679D1" w:rsidRDefault="00324B33" w:rsidP="00E679D1">
            <w:r w:rsidRPr="00E679D1">
              <w:t>Sponsor provides responses on questions raised in first round evaluation</w:t>
            </w:r>
          </w:p>
        </w:tc>
        <w:tc>
          <w:tcPr>
            <w:tcW w:w="2977" w:type="dxa"/>
          </w:tcPr>
          <w:p w14:paraId="68A577C1" w14:textId="7EEB6142" w:rsidR="00324B33" w:rsidRPr="00D01DDB" w:rsidRDefault="00D062B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February 2023</w:t>
            </w:r>
          </w:p>
        </w:tc>
      </w:tr>
      <w:tr w:rsidR="00324B33" w:rsidRPr="00D01DDB" w14:paraId="767E33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324B33" w:rsidRPr="00E679D1" w:rsidRDefault="00324B33" w:rsidP="00E679D1">
            <w:r w:rsidRPr="00E679D1">
              <w:t>Second round evaluation completed</w:t>
            </w:r>
          </w:p>
        </w:tc>
        <w:tc>
          <w:tcPr>
            <w:tcW w:w="2977" w:type="dxa"/>
          </w:tcPr>
          <w:p w14:paraId="4E47DF62" w14:textId="68ECDD0B" w:rsidR="00324B33" w:rsidRPr="00D01DDB" w:rsidRDefault="007F1DF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April 2023</w:t>
            </w:r>
          </w:p>
        </w:tc>
      </w:tr>
      <w:tr w:rsidR="00020FF2" w:rsidRPr="00D01DDB" w14:paraId="6BE6DD3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4764CC8" w14:textId="43DE44A7" w:rsidR="00020FF2" w:rsidRPr="00E679D1" w:rsidRDefault="00020FF2" w:rsidP="00020FF2">
            <w:r>
              <w:t xml:space="preserve">Sponsor’s </w:t>
            </w:r>
            <w:r w:rsidRPr="00020FF2">
              <w:t>notification to the TGA of errors/omissions in evaluation reports</w:t>
            </w:r>
          </w:p>
        </w:tc>
        <w:tc>
          <w:tcPr>
            <w:tcW w:w="2977" w:type="dxa"/>
          </w:tcPr>
          <w:p w14:paraId="196C5433" w14:textId="6A163AE8" w:rsidR="00020FF2" w:rsidRPr="00D01DDB" w:rsidRDefault="00DE2AA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February 2023</w:t>
            </w:r>
          </w:p>
        </w:tc>
      </w:tr>
      <w:tr w:rsidR="00324B33" w:rsidRPr="00D01DDB" w14:paraId="302FCB4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16E9DC1" w14:textId="07492373" w:rsidR="00324B33" w:rsidRPr="00D01DDB" w:rsidRDefault="00324B33" w:rsidP="00324B33">
            <w:pPr>
              <w:rPr>
                <w:szCs w:val="22"/>
              </w:rPr>
            </w:pPr>
            <w:r w:rsidRPr="007F1DFA">
              <w:rPr>
                <w:color w:val="auto"/>
                <w:szCs w:val="22"/>
              </w:rPr>
              <w:t>Delegate’s Overall benefit-risk assessment and request for Advisory Committee advice</w:t>
            </w:r>
            <w:r w:rsidR="007F1DFA" w:rsidRPr="007F1DFA">
              <w:rPr>
                <w:rStyle w:val="FootnoteReference"/>
                <w:color w:val="auto"/>
                <w:szCs w:val="22"/>
              </w:rPr>
              <w:footnoteReference w:id="5"/>
            </w:r>
          </w:p>
        </w:tc>
        <w:tc>
          <w:tcPr>
            <w:tcW w:w="2977" w:type="dxa"/>
          </w:tcPr>
          <w:p w14:paraId="3BA6EF79" w14:textId="14837DC9" w:rsidR="00324B33" w:rsidRPr="00D01DDB" w:rsidRDefault="000A4E4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February 2023</w:t>
            </w:r>
          </w:p>
        </w:tc>
      </w:tr>
      <w:tr w:rsidR="00324B33" w:rsidRPr="00D01DDB" w14:paraId="5832EBC8"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20592DE" w14:textId="1F72CD22" w:rsidR="00324B33" w:rsidRPr="00E679D1" w:rsidRDefault="00324B33" w:rsidP="00E679D1">
            <w:r w:rsidRPr="00E679D1">
              <w:t>Sponsor’s pre-Advisory Committee response</w:t>
            </w:r>
          </w:p>
        </w:tc>
        <w:tc>
          <w:tcPr>
            <w:tcW w:w="2977" w:type="dxa"/>
          </w:tcPr>
          <w:p w14:paraId="5AE04841" w14:textId="522B9BA7" w:rsidR="00324B33" w:rsidRPr="00D01DDB" w:rsidRDefault="00C83A9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March 2023</w:t>
            </w:r>
          </w:p>
        </w:tc>
      </w:tr>
      <w:tr w:rsidR="00324B33" w:rsidRPr="00D01DDB" w14:paraId="5754F7A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9DE187" w14:textId="123446EE" w:rsidR="00324B33" w:rsidRPr="00E679D1" w:rsidRDefault="00324B33" w:rsidP="00E679D1">
            <w:r w:rsidRPr="00E679D1">
              <w:t>Advisory Committee meeting</w:t>
            </w:r>
          </w:p>
        </w:tc>
        <w:tc>
          <w:tcPr>
            <w:tcW w:w="2977" w:type="dxa"/>
          </w:tcPr>
          <w:p w14:paraId="5BE1EDE7" w14:textId="7C2ABC98" w:rsidR="00324B33" w:rsidRPr="00D01DDB" w:rsidRDefault="0089181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and 31 March 2023</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7EBFBBCB" w:rsidR="00324B33" w:rsidRPr="00D01DDB" w:rsidRDefault="007F1DF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July 2023</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977" w:type="dxa"/>
          </w:tcPr>
          <w:p w14:paraId="5A8923FD" w14:textId="6C285B04" w:rsidR="00324B33" w:rsidRPr="00D01DDB" w:rsidRDefault="00FB3C9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July 2023</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7147B0DB" w:rsidR="00324B33" w:rsidRPr="00D01DDB" w:rsidRDefault="007F1DF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159</w:t>
            </w:r>
          </w:p>
        </w:tc>
      </w:tr>
    </w:tbl>
    <w:p w14:paraId="47E88CFC" w14:textId="52215AAF" w:rsidR="00433318" w:rsidRDefault="00433318" w:rsidP="00854D98">
      <w:pPr>
        <w:pStyle w:val="TableDescription"/>
      </w:pPr>
      <w:r w:rsidRPr="00006FAB">
        <w:t>* The COR-B process has a 175 working day evaluation and decision timeframe.</w:t>
      </w:r>
    </w:p>
    <w:p w14:paraId="220925F1" w14:textId="77777777" w:rsidR="00C22214" w:rsidRPr="00792A32" w:rsidRDefault="00C22214" w:rsidP="00C22214">
      <w:pPr>
        <w:pStyle w:val="Heading2"/>
      </w:pPr>
      <w:bookmarkStart w:id="29" w:name="_Toc196046504"/>
      <w:bookmarkStart w:id="30" w:name="_Toc247691527"/>
      <w:bookmarkStart w:id="31" w:name="_Toc314842510"/>
      <w:bookmarkStart w:id="32" w:name="_Toc103679294"/>
      <w:bookmarkStart w:id="33" w:name="_Toc160177852"/>
      <w:r w:rsidRPr="00006FAB">
        <w:lastRenderedPageBreak/>
        <w:t xml:space="preserve">Submission overview </w:t>
      </w:r>
      <w:r w:rsidRPr="00792A32">
        <w:t xml:space="preserve">and </w:t>
      </w:r>
      <w:r>
        <w:t>r</w:t>
      </w:r>
      <w:r w:rsidRPr="00792A32">
        <w:t>isk/</w:t>
      </w:r>
      <w:r>
        <w:t>b</w:t>
      </w:r>
      <w:r w:rsidRPr="00792A32">
        <w:t xml:space="preserve">enefit </w:t>
      </w:r>
      <w:r>
        <w:t>a</w:t>
      </w:r>
      <w:r w:rsidRPr="00792A32">
        <w:t>ssessment</w:t>
      </w:r>
      <w:bookmarkEnd w:id="29"/>
      <w:bookmarkEnd w:id="30"/>
      <w:bookmarkEnd w:id="31"/>
      <w:bookmarkEnd w:id="32"/>
      <w:bookmarkEnd w:id="33"/>
    </w:p>
    <w:p w14:paraId="540151FC" w14:textId="77777777" w:rsidR="00C22214" w:rsidRPr="00BD5DBD" w:rsidRDefault="00C22214" w:rsidP="00BD5DBD">
      <w:pPr>
        <w:rPr>
          <w:szCs w:val="22"/>
        </w:rPr>
      </w:pPr>
      <w:bookmarkStart w:id="34" w:name="_Toc247691528"/>
      <w:bookmarkStart w:id="35" w:name="_Toc314842511"/>
      <w:r w:rsidRPr="00BD5DBD">
        <w:rPr>
          <w:szCs w:val="22"/>
        </w:rPr>
        <w:t>A summary of the TGA’s assessment for this submission is provided below.</w:t>
      </w:r>
    </w:p>
    <w:p w14:paraId="5F5FAA14" w14:textId="77777777" w:rsidR="00C22214" w:rsidRPr="00BD5DBD" w:rsidRDefault="00C22214" w:rsidP="00C22214">
      <w:pPr>
        <w:rPr>
          <w:szCs w:val="22"/>
        </w:rPr>
      </w:pPr>
      <w:r w:rsidRPr="00BD5DBD">
        <w:rPr>
          <w:szCs w:val="22"/>
        </w:rPr>
        <w:t>This section is a TGA summary of wording used in TGA’s evaluation report, which discussed numerous aspects of overseas evaluation reports and included some information that was commercial-in-confidence.</w:t>
      </w:r>
    </w:p>
    <w:p w14:paraId="668E3E84" w14:textId="5AD7F146" w:rsidR="007072A1" w:rsidRDefault="007072A1" w:rsidP="00966EF1">
      <w:pPr>
        <w:rPr>
          <w:szCs w:val="22"/>
        </w:rPr>
      </w:pPr>
      <w:r w:rsidRPr="00BD5DBD">
        <w:rPr>
          <w:szCs w:val="22"/>
        </w:rPr>
        <w:t>Relevant guidelines or guidance documents referred to by the Delegate are listed below:</w:t>
      </w:r>
    </w:p>
    <w:p w14:paraId="5974F906" w14:textId="684F58C8" w:rsidR="000B43B7" w:rsidRDefault="000B43B7" w:rsidP="000B43B7">
      <w:pPr>
        <w:pStyle w:val="ListBullet"/>
        <w:numPr>
          <w:ilvl w:val="0"/>
          <w:numId w:val="14"/>
        </w:numPr>
        <w:spacing w:after="120"/>
        <w:ind w:left="357" w:hanging="357"/>
      </w:pPr>
      <w:r>
        <w:t xml:space="preserve">EMA: </w:t>
      </w:r>
      <w:hyperlink r:id="rId22" w:history="1">
        <w:r w:rsidRPr="0036116E">
          <w:rPr>
            <w:rStyle w:val="Hyperlink"/>
          </w:rPr>
          <w:t>Guideline on Clinical Investigation of Medicinal Products for the Treatment of Migraine</w:t>
        </w:r>
      </w:hyperlink>
      <w:r>
        <w:t xml:space="preserve"> (</w:t>
      </w:r>
      <w:r w:rsidRPr="00EF12E8">
        <w:t>CPMP/EWP/788/01 Rev. 1</w:t>
      </w:r>
      <w:r>
        <w:t>)</w:t>
      </w:r>
    </w:p>
    <w:p w14:paraId="7782376A" w14:textId="77777777" w:rsidR="000B43B7" w:rsidRDefault="000B43B7" w:rsidP="000B43B7">
      <w:pPr>
        <w:pStyle w:val="ListBullet"/>
        <w:numPr>
          <w:ilvl w:val="0"/>
          <w:numId w:val="0"/>
        </w:numPr>
        <w:ind w:left="717" w:hanging="360"/>
      </w:pPr>
      <w:r>
        <w:t>TGA-adopted, effective date: 10 February 2009</w:t>
      </w:r>
    </w:p>
    <w:p w14:paraId="5994CE59" w14:textId="796B814B" w:rsidR="000B43B7" w:rsidRDefault="000B43B7" w:rsidP="000B43B7">
      <w:pPr>
        <w:pStyle w:val="ListBullet"/>
        <w:numPr>
          <w:ilvl w:val="0"/>
          <w:numId w:val="14"/>
        </w:numPr>
        <w:spacing w:after="120"/>
        <w:ind w:left="357" w:hanging="357"/>
      </w:pPr>
      <w:r>
        <w:t xml:space="preserve">EMA: ICH Topic E1 – </w:t>
      </w:r>
      <w:hyperlink r:id="rId23" w:history="1">
        <w:r w:rsidRPr="0068018B">
          <w:rPr>
            <w:rStyle w:val="Hyperlink"/>
          </w:rPr>
          <w:t>Population Exposure – The Extent of Population Exposure to Assess Clinical Safety</w:t>
        </w:r>
      </w:hyperlink>
      <w:r>
        <w:t xml:space="preserve"> (</w:t>
      </w:r>
      <w:r w:rsidRPr="00141339">
        <w:t>CPMP/ICH/375/95</w:t>
      </w:r>
      <w:r>
        <w:t>)</w:t>
      </w:r>
    </w:p>
    <w:p w14:paraId="309B812A" w14:textId="21A331D4" w:rsidR="000B43B7" w:rsidRPr="000B43B7" w:rsidRDefault="000B43B7" w:rsidP="000B43B7">
      <w:pPr>
        <w:pStyle w:val="ListBullet"/>
        <w:numPr>
          <w:ilvl w:val="0"/>
          <w:numId w:val="0"/>
        </w:numPr>
        <w:ind w:left="357"/>
      </w:pPr>
      <w:r>
        <w:t>TGA-adopted, effective date: 12 February 2002</w:t>
      </w:r>
    </w:p>
    <w:p w14:paraId="37F5A1C0" w14:textId="77777777" w:rsidR="00C22214" w:rsidRDefault="00C22214" w:rsidP="00C22214">
      <w:pPr>
        <w:pStyle w:val="Heading3"/>
      </w:pPr>
      <w:bookmarkStart w:id="36" w:name="_Toc103679295"/>
      <w:bookmarkStart w:id="37" w:name="_Toc160177853"/>
      <w:r>
        <w:t>Quality</w:t>
      </w:r>
      <w:bookmarkEnd w:id="34"/>
      <w:bookmarkEnd w:id="35"/>
      <w:bookmarkEnd w:id="36"/>
      <w:bookmarkEnd w:id="37"/>
    </w:p>
    <w:p w14:paraId="54D052C7" w14:textId="31E1336B" w:rsidR="00FA6E0F" w:rsidRPr="00B068D7" w:rsidRDefault="00FA6E0F" w:rsidP="74BC8ECA">
      <w:r w:rsidRPr="00B068D7">
        <w:t xml:space="preserve">Rimegepant is produced by chemical synthesis. The freebase molecular weight is 534.57 Daltons. </w:t>
      </w:r>
      <w:r w:rsidR="16ADC4B4">
        <w:t>The</w:t>
      </w:r>
      <w:r w:rsidRPr="00B068D7">
        <w:t xml:space="preserve"> structure</w:t>
      </w:r>
      <w:r w:rsidR="5472F9B7">
        <w:t xml:space="preserve"> of</w:t>
      </w:r>
      <w:r w:rsidRPr="00B068D7">
        <w:t xml:space="preserve"> </w:t>
      </w:r>
      <w:r w:rsidR="2A6B77B4">
        <w:t xml:space="preserve">rimegepant hemisulfate sesquihydrate </w:t>
      </w:r>
      <w:r w:rsidRPr="00B068D7">
        <w:t xml:space="preserve">is shown in </w:t>
      </w:r>
      <w:r>
        <w:rPr>
          <w:color w:val="2B579A"/>
          <w:shd w:val="clear" w:color="auto" w:fill="E6E6E6"/>
        </w:rPr>
        <w:fldChar w:fldCharType="begin"/>
      </w:r>
      <w:r w:rsidRPr="00B068D7">
        <w:instrText xml:space="preserve"> REF _Ref127796752 \h  \* MERGEFORMAT </w:instrText>
      </w:r>
      <w:r>
        <w:rPr>
          <w:color w:val="2B579A"/>
          <w:shd w:val="clear" w:color="auto" w:fill="E6E6E6"/>
        </w:rPr>
      </w:r>
      <w:r>
        <w:rPr>
          <w:color w:val="2B579A"/>
          <w:shd w:val="clear" w:color="auto" w:fill="E6E6E6"/>
        </w:rPr>
        <w:fldChar w:fldCharType="separate"/>
      </w:r>
      <w:r w:rsidR="00834F8B">
        <w:t>Figure 1</w:t>
      </w:r>
      <w:r>
        <w:rPr>
          <w:color w:val="2B579A"/>
          <w:shd w:val="clear" w:color="auto" w:fill="E6E6E6"/>
        </w:rPr>
        <w:fldChar w:fldCharType="end"/>
      </w:r>
      <w:r w:rsidRPr="00B068D7">
        <w:t>.</w:t>
      </w:r>
    </w:p>
    <w:p w14:paraId="63D4660F" w14:textId="7D981854" w:rsidR="002E0672" w:rsidRDefault="002E0672" w:rsidP="00B068D7">
      <w:pPr>
        <w:pStyle w:val="FigureTitle"/>
      </w:pPr>
      <w:bookmarkStart w:id="38" w:name="_Ref127796752"/>
      <w:r>
        <w:t xml:space="preserve">Figure </w:t>
      </w:r>
      <w:r w:rsidRPr="74BC8ECA">
        <w:rPr>
          <w:color w:val="2B579A"/>
        </w:rPr>
        <w:fldChar w:fldCharType="begin"/>
      </w:r>
      <w:r>
        <w:instrText xml:space="preserve"> SEQ Figure \* ARABIC </w:instrText>
      </w:r>
      <w:r w:rsidRPr="74BC8ECA">
        <w:rPr>
          <w:color w:val="2B579A"/>
        </w:rPr>
        <w:fldChar w:fldCharType="separate"/>
      </w:r>
      <w:r w:rsidR="00834F8B">
        <w:rPr>
          <w:noProof/>
        </w:rPr>
        <w:t>1</w:t>
      </w:r>
      <w:r w:rsidRPr="74BC8ECA">
        <w:rPr>
          <w:color w:val="2B579A"/>
        </w:rPr>
        <w:fldChar w:fldCharType="end"/>
      </w:r>
      <w:bookmarkEnd w:id="38"/>
      <w:r w:rsidR="00491328">
        <w:t xml:space="preserve">: </w:t>
      </w:r>
      <w:r>
        <w:t>Structure</w:t>
      </w:r>
      <w:r w:rsidR="00B068D7">
        <w:t xml:space="preserve"> o</w:t>
      </w:r>
      <w:r w:rsidR="4CE38673">
        <w:t>f</w:t>
      </w:r>
      <w:r w:rsidR="00B068D7">
        <w:t xml:space="preserve"> rimegepant</w:t>
      </w:r>
    </w:p>
    <w:p w14:paraId="665C487B" w14:textId="77777777" w:rsidR="002E0672" w:rsidRDefault="002E0672" w:rsidP="002E0672">
      <w:pPr>
        <w:jc w:val="both"/>
        <w:rPr>
          <w:iCs/>
        </w:rPr>
      </w:pPr>
      <w:r>
        <w:rPr>
          <w:noProof/>
          <w:color w:val="2B579A"/>
          <w:shd w:val="clear" w:color="auto" w:fill="E6E6E6"/>
        </w:rPr>
        <w:drawing>
          <wp:inline distT="0" distB="0" distL="0" distR="0" wp14:anchorId="1558F04B" wp14:editId="449C4A63">
            <wp:extent cx="3771900" cy="2200275"/>
            <wp:effectExtent l="0" t="0" r="0" b="9525"/>
            <wp:docPr id="10" name="Picture 10" descr="Structure or rimege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ucture or rimegepant"/>
                    <pic:cNvPicPr/>
                  </pic:nvPicPr>
                  <pic:blipFill>
                    <a:blip r:embed="rId24"/>
                    <a:stretch>
                      <a:fillRect/>
                    </a:stretch>
                  </pic:blipFill>
                  <pic:spPr>
                    <a:xfrm>
                      <a:off x="0" y="0"/>
                      <a:ext cx="3771900" cy="2200275"/>
                    </a:xfrm>
                    <a:prstGeom prst="rect">
                      <a:avLst/>
                    </a:prstGeom>
                  </pic:spPr>
                </pic:pic>
              </a:graphicData>
            </a:graphic>
          </wp:inline>
        </w:drawing>
      </w:r>
    </w:p>
    <w:p w14:paraId="52F01DB3" w14:textId="0C3C6912" w:rsidR="00C144D6" w:rsidRDefault="00C144D6" w:rsidP="00C144D6">
      <w:r>
        <w:t>The drug substance is rimegepant hemisulfate sesquihydrate also known as BHV-3000 (during the drug development program). The drug substance content of the finished product is labelled according to the free base. Rimegepant has three chiral centres and is a single enantiomer.</w:t>
      </w:r>
    </w:p>
    <w:p w14:paraId="280D8E01" w14:textId="79813F00" w:rsidR="00326135" w:rsidRDefault="006E4176" w:rsidP="00326135">
      <w:r>
        <w:rPr>
          <w:iCs/>
        </w:rPr>
        <w:t xml:space="preserve">The finished product is an oral lyophilisate (as </w:t>
      </w:r>
      <w:r w:rsidRPr="00E12E54">
        <w:rPr>
          <w:iCs/>
        </w:rPr>
        <w:t xml:space="preserve">oral dispersible tablet </w:t>
      </w:r>
      <w:r w:rsidR="00FA242F" w:rsidRPr="00E12E54">
        <w:rPr>
          <w:iCs/>
        </w:rPr>
        <w:t>(</w:t>
      </w:r>
      <w:r w:rsidRPr="00E12E54">
        <w:rPr>
          <w:iCs/>
        </w:rPr>
        <w:t>ODT</w:t>
      </w:r>
      <w:r w:rsidR="00FA242F">
        <w:rPr>
          <w:iCs/>
        </w:rPr>
        <w:t>)</w:t>
      </w:r>
      <w:r>
        <w:rPr>
          <w:iCs/>
        </w:rPr>
        <w:t>)</w:t>
      </w:r>
      <w:r w:rsidR="00354D9F">
        <w:rPr>
          <w:iCs/>
        </w:rPr>
        <w:t xml:space="preserve"> </w:t>
      </w:r>
      <w:r w:rsidR="00354D9F">
        <w:t>presented as a white to off-white, circular, 14</w:t>
      </w:r>
      <w:r w:rsidR="00E12E54">
        <w:t> </w:t>
      </w:r>
      <w:r w:rsidR="00354D9F">
        <w:t xml:space="preserve">mm in diameter, unscored tablet, </w:t>
      </w:r>
      <w:r>
        <w:rPr>
          <w:iCs/>
        </w:rPr>
        <w:t>containing 75</w:t>
      </w:r>
      <w:r w:rsidR="00E12E54">
        <w:rPr>
          <w:iCs/>
        </w:rPr>
        <w:t> </w:t>
      </w:r>
      <w:r>
        <w:rPr>
          <w:iCs/>
        </w:rPr>
        <w:t>mg of rimegepant as sulfate. The formulation rapidly disintegrates in the mouth. It is stable for 48 months when stored in the intended closure system at 20 to 25</w:t>
      </w:r>
      <w:r w:rsidR="00611122">
        <w:rPr>
          <w:iCs/>
        </w:rPr>
        <w:t xml:space="preserve"> °C</w:t>
      </w:r>
      <w:r>
        <w:rPr>
          <w:iCs/>
        </w:rPr>
        <w:t>.</w:t>
      </w:r>
    </w:p>
    <w:p w14:paraId="3087CF83" w14:textId="56782E99" w:rsidR="00326135" w:rsidRDefault="00326135" w:rsidP="00326135">
      <w:r>
        <w:t>Rimegepant is basic and soluble in acid. The oral dispersible tablet is intended to rapidly disintegrate and disperse micronised drug substance in the mouth.</w:t>
      </w:r>
    </w:p>
    <w:p w14:paraId="4750C9F0" w14:textId="77777777" w:rsidR="00690E92" w:rsidRDefault="00690E92" w:rsidP="00690E92">
      <w:r>
        <w:t xml:space="preserve">The excipients are gelatin (obtained from fish), mannitol, </w:t>
      </w:r>
      <w:proofErr w:type="gramStart"/>
      <w:r>
        <w:t>sucralose</w:t>
      </w:r>
      <w:proofErr w:type="gramEnd"/>
      <w:r>
        <w:t xml:space="preserve"> and mint flavour. Other registered products, in particular certain sublingual wafers, are also formulated with mannitol and gelatin. There is routine batch control of disintegration and dissolution.</w:t>
      </w:r>
    </w:p>
    <w:p w14:paraId="5AEE7199" w14:textId="3AD1FEFF" w:rsidR="00256ED5" w:rsidRDefault="00256ED5" w:rsidP="00256ED5">
      <w:pPr>
        <w:jc w:val="both"/>
        <w:rPr>
          <w:iCs/>
        </w:rPr>
      </w:pPr>
      <w:r>
        <w:rPr>
          <w:iCs/>
        </w:rPr>
        <w:lastRenderedPageBreak/>
        <w:t xml:space="preserve">The sponsor has specified that </w:t>
      </w:r>
      <w:r>
        <w:t>the</w:t>
      </w:r>
      <w:r>
        <w:rPr>
          <w:iCs/>
        </w:rPr>
        <w:t xml:space="preserve"> residual content of fish allergen (parvalbumin) in the gelatin is low</w:t>
      </w:r>
      <w:r w:rsidR="25FCA5C6">
        <w:t xml:space="preserve"> and</w:t>
      </w:r>
      <w:r>
        <w:rPr>
          <w:iCs/>
        </w:rPr>
        <w:t xml:space="preserve"> is considered to have a low allergenic risk.</w:t>
      </w:r>
    </w:p>
    <w:p w14:paraId="3A471A7F" w14:textId="4D81C5F1" w:rsidR="00FA6E0F" w:rsidRPr="007F0B82" w:rsidRDefault="00C144D6" w:rsidP="00637F0E">
      <w:r>
        <w:t>The proposed specifications, which control identity, potency, purity and other properties of the drug substance relevant to the dose form are acceptable. Appropriate validation data have been submitted in support of the test procedures.</w:t>
      </w:r>
    </w:p>
    <w:p w14:paraId="2BE90AAE" w14:textId="77777777" w:rsidR="00C22214" w:rsidRDefault="00C22214" w:rsidP="00C22214">
      <w:pPr>
        <w:pStyle w:val="Heading3"/>
      </w:pPr>
      <w:bookmarkStart w:id="39" w:name="_Toc314842512"/>
      <w:bookmarkStart w:id="40" w:name="_Toc103679296"/>
      <w:bookmarkStart w:id="41" w:name="_Toc160177854"/>
      <w:r>
        <w:t>Nonclinical</w:t>
      </w:r>
      <w:bookmarkEnd w:id="39"/>
      <w:bookmarkEnd w:id="40"/>
      <w:bookmarkEnd w:id="41"/>
    </w:p>
    <w:p w14:paraId="794B42C1" w14:textId="0EB9DBCE" w:rsidR="008A60FF" w:rsidRPr="00136449" w:rsidRDefault="008A60FF" w:rsidP="00136449">
      <w:bookmarkStart w:id="42" w:name="_Toc247691530"/>
      <w:bookmarkStart w:id="43" w:name="_Toc314842513"/>
      <w:bookmarkStart w:id="44" w:name="_Toc103679297"/>
      <w:r w:rsidRPr="00136449">
        <w:t xml:space="preserve">The evaluation report was based on the assessments and considerations detailed in reviews conducted by the EMA. In addition two </w:t>
      </w:r>
      <w:r w:rsidRPr="005727C3">
        <w:rPr>
          <w:i/>
          <w:iCs/>
        </w:rPr>
        <w:t>in vivo</w:t>
      </w:r>
      <w:r w:rsidRPr="00136449">
        <w:t xml:space="preserve"> studies and </w:t>
      </w:r>
      <w:r w:rsidR="005727C3">
        <w:t>one</w:t>
      </w:r>
      <w:r w:rsidRPr="00136449">
        <w:t xml:space="preserve"> </w:t>
      </w:r>
      <w:r w:rsidRPr="005727C3">
        <w:rPr>
          <w:i/>
          <w:iCs/>
        </w:rPr>
        <w:t>in vitro</w:t>
      </w:r>
      <w:r w:rsidRPr="00136449">
        <w:t xml:space="preserve"> study were evaluated.</w:t>
      </w:r>
    </w:p>
    <w:p w14:paraId="574CCF76" w14:textId="435F0810" w:rsidR="008A60FF" w:rsidRPr="00136449" w:rsidRDefault="008A60FF" w:rsidP="00136449">
      <w:r w:rsidRPr="00136449">
        <w:t>The submitted</w:t>
      </w:r>
      <w:r w:rsidR="005727C3">
        <w:t xml:space="preserve"> nonclinical</w:t>
      </w:r>
      <w:r w:rsidRPr="00136449">
        <w:t xml:space="preserve"> data was in accordance with relevant ICH guidelines and was overall of high quality.</w:t>
      </w:r>
    </w:p>
    <w:p w14:paraId="38BFCAB1" w14:textId="76E51BD2" w:rsidR="008A60FF" w:rsidRPr="00136449" w:rsidRDefault="008A60FF" w:rsidP="00136449">
      <w:r w:rsidRPr="00CC21AA">
        <w:rPr>
          <w:i/>
          <w:iCs/>
        </w:rPr>
        <w:t>In vitro</w:t>
      </w:r>
      <w:r w:rsidRPr="00136449">
        <w:t xml:space="preserve"> rimegepant inhibited human CGRP-R with picomolar affinity. Affinity at non-human CGRP-R ranged from </w:t>
      </w:r>
      <w:r w:rsidR="00CC21AA">
        <w:t>two</w:t>
      </w:r>
      <w:r w:rsidRPr="00136449">
        <w:t xml:space="preserve"> (monkey) to 6000 (rat) times lower than human. Rimegepant also inhibited </w:t>
      </w:r>
      <w:r w:rsidR="00E12E54">
        <w:t>amylin 1 (</w:t>
      </w:r>
      <w:r w:rsidRPr="00136449">
        <w:t>AMY1</w:t>
      </w:r>
      <w:r w:rsidR="00E12E54">
        <w:t>)</w:t>
      </w:r>
      <w:r w:rsidRPr="00136449">
        <w:t xml:space="preserve"> receptor at clinically relevant concentrations, but no relevant toxicities were observed in animal studies. Standard secondary pharmacology screening did not suggest off</w:t>
      </w:r>
      <w:r w:rsidR="002F78C0">
        <w:noBreakHyphen/>
      </w:r>
      <w:r w:rsidRPr="00136449">
        <w:t>target effects.</w:t>
      </w:r>
    </w:p>
    <w:p w14:paraId="30CFC690" w14:textId="3D561096" w:rsidR="008A60FF" w:rsidRPr="00136449" w:rsidRDefault="008A60FF" w:rsidP="00136449">
      <w:r w:rsidRPr="00136449">
        <w:t xml:space="preserve">In monkeys, no adverse </w:t>
      </w:r>
      <w:r w:rsidR="002F78C0">
        <w:t>central nervous system</w:t>
      </w:r>
      <w:r w:rsidRPr="00136449">
        <w:t>, cardiovascular or respiratory effects were seen. No clinically relevant cardiovascular or haemodynamic effects were seen in studies of</w:t>
      </w:r>
      <w:r w:rsidR="00E12E54" w:rsidRPr="00E12E54">
        <w:t xml:space="preserve"> human ether-a-go-go-related gene</w:t>
      </w:r>
      <w:r w:rsidRPr="00136449">
        <w:t xml:space="preserve"> </w:t>
      </w:r>
      <w:r w:rsidR="00E12E54">
        <w:t>(</w:t>
      </w:r>
      <w:r w:rsidRPr="00136449">
        <w:t>hERG</w:t>
      </w:r>
      <w:r w:rsidR="00E12E54">
        <w:t>)</w:t>
      </w:r>
      <w:r w:rsidRPr="00136449">
        <w:t xml:space="preserve"> and L-type calcium channels and rabbit Purkinje fibres.</w:t>
      </w:r>
    </w:p>
    <w:p w14:paraId="2E01491F" w14:textId="10EB0552" w:rsidR="008A60FF" w:rsidRPr="00136449" w:rsidRDefault="008A60FF" w:rsidP="00136449">
      <w:r w:rsidRPr="00136449">
        <w:t>Animal pharmacokinetics were similar across species, with rapid absorption, a moderate half</w:t>
      </w:r>
      <w:r w:rsidR="002F78C0">
        <w:noBreakHyphen/>
      </w:r>
      <w:r w:rsidRPr="00136449">
        <w:t>life and moderate to high protein binding. In rats, penetration into the brain was limited. There was retention of drug-related material to melanin, particularly in the uveal tract</w:t>
      </w:r>
      <w:r w:rsidR="001A377A">
        <w:t>,</w:t>
      </w:r>
      <w:r w:rsidRPr="00136449">
        <w:t xml:space="preserve"> </w:t>
      </w:r>
      <w:r w:rsidR="003E318F" w:rsidRPr="003A0A61">
        <w:t xml:space="preserve">though this </w:t>
      </w:r>
      <w:r w:rsidR="001A377A">
        <w:t xml:space="preserve">was </w:t>
      </w:r>
      <w:r w:rsidR="003E318F" w:rsidRPr="003A0A61">
        <w:t xml:space="preserve">not associated with any </w:t>
      </w:r>
      <w:r w:rsidR="001A377A">
        <w:t xml:space="preserve">ocular </w:t>
      </w:r>
      <w:r w:rsidR="003E318F" w:rsidRPr="003A0A61">
        <w:t xml:space="preserve">toxicity findings in pigmented animals and </w:t>
      </w:r>
      <w:r w:rsidR="004B7751" w:rsidRPr="00136449">
        <w:t>rimegepant</w:t>
      </w:r>
      <w:r w:rsidR="004B7751">
        <w:t xml:space="preserve"> </w:t>
      </w:r>
      <w:r w:rsidR="001A377A">
        <w:t>was negative</w:t>
      </w:r>
      <w:r w:rsidR="004B7751">
        <w:t xml:space="preserve"> for photo</w:t>
      </w:r>
      <w:r w:rsidR="00767B81">
        <w:t>to</w:t>
      </w:r>
      <w:r w:rsidR="004B7751">
        <w:t>xicity risk</w:t>
      </w:r>
      <w:r w:rsidR="001A377A">
        <w:t xml:space="preserve"> </w:t>
      </w:r>
      <w:r w:rsidR="003810D4">
        <w:t>in vitro</w:t>
      </w:r>
      <w:r w:rsidR="003E318F" w:rsidRPr="003A0A61">
        <w:t xml:space="preserve">. </w:t>
      </w:r>
    </w:p>
    <w:p w14:paraId="025EF6B1" w14:textId="0C73E7F2" w:rsidR="008A60FF" w:rsidRPr="00136449" w:rsidRDefault="008A60FF" w:rsidP="00136449">
      <w:r w:rsidRPr="00E12E54">
        <w:rPr>
          <w:i/>
          <w:iCs/>
        </w:rPr>
        <w:t>In vitro</w:t>
      </w:r>
      <w:r w:rsidRPr="00136449">
        <w:t xml:space="preserve"> studies suggested rimegepant could be sensitive to </w:t>
      </w:r>
      <w:r w:rsidR="009B0F55">
        <w:t>c</w:t>
      </w:r>
      <w:r w:rsidR="009B0F55" w:rsidRPr="009B0F55">
        <w:t>ytochrome P450 isoenzyme 3A4</w:t>
      </w:r>
      <w:r w:rsidR="009B0F55">
        <w:t xml:space="preserve"> </w:t>
      </w:r>
      <w:r w:rsidR="009B0F55" w:rsidRPr="00E12E54">
        <w:t>(</w:t>
      </w:r>
      <w:r w:rsidRPr="00E12E54">
        <w:t>CYP3A4</w:t>
      </w:r>
      <w:r w:rsidR="009B0F55" w:rsidRPr="00E12E54">
        <w:t>)</w:t>
      </w:r>
      <w:r w:rsidRPr="00E12E54">
        <w:t xml:space="preserve"> inhibition or induction and that it is a time dependant CYP3A4 inhibitor itself. It also has the potential to inhibit intestinal </w:t>
      </w:r>
      <w:r w:rsidR="00CF3208" w:rsidRPr="00E12E54">
        <w:t>breast cancer resistance protein (</w:t>
      </w:r>
      <w:r w:rsidRPr="00E12E54">
        <w:t>BCRP</w:t>
      </w:r>
      <w:r w:rsidR="00CF3208" w:rsidRPr="00E12E54">
        <w:t>)</w:t>
      </w:r>
      <w:r w:rsidRPr="00E12E54">
        <w:t xml:space="preserve">, </w:t>
      </w:r>
      <w:r w:rsidR="004A66C7" w:rsidRPr="00E12E54">
        <w:t xml:space="preserve">organic anion transporter </w:t>
      </w:r>
      <w:r w:rsidR="00C83560" w:rsidRPr="00E12E54">
        <w:t xml:space="preserve">P1B3 </w:t>
      </w:r>
      <w:r w:rsidR="004A66C7" w:rsidRPr="00E12E54">
        <w:t>(</w:t>
      </w:r>
      <w:r w:rsidRPr="00E12E54">
        <w:t>OATP1B3</w:t>
      </w:r>
      <w:r w:rsidR="00C83560" w:rsidRPr="00E12E54">
        <w:t>)</w:t>
      </w:r>
      <w:r w:rsidRPr="00E12E54">
        <w:t xml:space="preserve">, </w:t>
      </w:r>
      <w:r w:rsidR="00C83560" w:rsidRPr="00E12E54">
        <w:t>organic cation transporter 2 (</w:t>
      </w:r>
      <w:r w:rsidRPr="00E12E54">
        <w:t>OCT2</w:t>
      </w:r>
      <w:r w:rsidR="00C83560" w:rsidRPr="00E12E54">
        <w:t>)</w:t>
      </w:r>
      <w:r w:rsidRPr="00E12E54">
        <w:t xml:space="preserve"> and </w:t>
      </w:r>
      <w:r w:rsidR="00AD3FB4" w:rsidRPr="00E12E54">
        <w:t>multidrug and toxin extrusion protein 1 (</w:t>
      </w:r>
      <w:r w:rsidRPr="00E12E54">
        <w:t>MATE1</w:t>
      </w:r>
      <w:r w:rsidR="00AD3FB4" w:rsidRPr="00E12E54">
        <w:t>)</w:t>
      </w:r>
      <w:r w:rsidRPr="00E12E54">
        <w:t>.</w:t>
      </w:r>
    </w:p>
    <w:p w14:paraId="102AA245" w14:textId="77777777" w:rsidR="008A60FF" w:rsidRPr="00136449" w:rsidRDefault="008A60FF" w:rsidP="00136449">
      <w:r w:rsidRPr="00136449">
        <w:t>Rimegepant had a low order of acute oral toxicity in rats and low to moderate in monkeys.</w:t>
      </w:r>
    </w:p>
    <w:p w14:paraId="4E9FECDC" w14:textId="77777777" w:rsidR="008A60FF" w:rsidRPr="00136449" w:rsidRDefault="008A60FF" w:rsidP="00136449">
      <w:r w:rsidRPr="00136449">
        <w:t>Rimegepant was not mutagenic (bacterial mutation assay) or clastogenic (</w:t>
      </w:r>
      <w:r w:rsidRPr="007C1200">
        <w:rPr>
          <w:i/>
          <w:iCs/>
        </w:rPr>
        <w:t>in vitro</w:t>
      </w:r>
      <w:r w:rsidRPr="00136449">
        <w:t xml:space="preserve"> human lymphocytes and </w:t>
      </w:r>
      <w:r w:rsidRPr="007C1200">
        <w:rPr>
          <w:i/>
          <w:iCs/>
        </w:rPr>
        <w:t>in vivo</w:t>
      </w:r>
      <w:r w:rsidRPr="00136449">
        <w:t xml:space="preserve"> rat micronucleus). No treatment related increase in tumour incidence was seen in transgenic mice (6 months) or rats (lifespan).</w:t>
      </w:r>
    </w:p>
    <w:p w14:paraId="684EA2D0" w14:textId="7E31B6FB" w:rsidR="008A60FF" w:rsidRPr="00136449" w:rsidRDefault="008A60FF" w:rsidP="00136449">
      <w:r w:rsidRPr="00136449">
        <w:t>No effects were observed on fertility, embryo-fetal development or development (following maternal exposure).</w:t>
      </w:r>
    </w:p>
    <w:p w14:paraId="414E18CD" w14:textId="33A43BF5" w:rsidR="008A60FF" w:rsidRPr="00E471A3" w:rsidRDefault="008A60FF" w:rsidP="008804CF">
      <w:r w:rsidRPr="00136449">
        <w:t>The nonclinical evaluat</w:t>
      </w:r>
      <w:r w:rsidR="00A4443B">
        <w:t>ion</w:t>
      </w:r>
      <w:r w:rsidRPr="00136449">
        <w:t xml:space="preserve"> found that</w:t>
      </w:r>
      <w:r w:rsidR="00A4443B">
        <w:t xml:space="preserve"> the nonclinical data was acceptable. I</w:t>
      </w:r>
      <w:r w:rsidR="00E471A3">
        <w:t xml:space="preserve">t was recommended that the pregnancy category be amended from </w:t>
      </w:r>
      <w:r w:rsidR="00DE5E6D">
        <w:t>category</w:t>
      </w:r>
      <w:r w:rsidR="00E471A3">
        <w:t xml:space="preserve"> B2 to category B1.</w:t>
      </w:r>
      <w:r w:rsidR="00E471A3">
        <w:rPr>
          <w:rStyle w:val="FootnoteReference"/>
        </w:rPr>
        <w:footnoteReference w:id="6"/>
      </w:r>
      <w:r w:rsidR="00E471A3">
        <w:t xml:space="preserve"> There are no nonclinical objections to registration of Nurtec ODT.</w:t>
      </w:r>
    </w:p>
    <w:p w14:paraId="35B580A5" w14:textId="69B9BE44" w:rsidR="00C22214" w:rsidRDefault="00C22214" w:rsidP="008804CF">
      <w:pPr>
        <w:pStyle w:val="Heading3"/>
      </w:pPr>
      <w:bookmarkStart w:id="45" w:name="_Toc160177855"/>
      <w:r>
        <w:lastRenderedPageBreak/>
        <w:t>Clinical</w:t>
      </w:r>
      <w:bookmarkEnd w:id="42"/>
      <w:bookmarkEnd w:id="43"/>
      <w:bookmarkEnd w:id="44"/>
      <w:bookmarkEnd w:id="45"/>
    </w:p>
    <w:p w14:paraId="32B0DEDA" w14:textId="77777777" w:rsidR="00C22214" w:rsidRPr="00433318" w:rsidRDefault="00C22214" w:rsidP="00433318">
      <w:pPr>
        <w:pStyle w:val="Heading4"/>
      </w:pPr>
      <w:bookmarkStart w:id="46" w:name="_Toc98931928"/>
      <w:bookmarkStart w:id="47" w:name="_Toc160177856"/>
      <w:r>
        <w:t>Summary of clinical studies</w:t>
      </w:r>
      <w:bookmarkEnd w:id="46"/>
      <w:bookmarkEnd w:id="47"/>
    </w:p>
    <w:p w14:paraId="46622364" w14:textId="2C728F95" w:rsidR="00C22214" w:rsidRDefault="00C22214" w:rsidP="00170A97">
      <w:r w:rsidRPr="00170A97">
        <w:t>The clinical dossier consisted of</w:t>
      </w:r>
      <w:r w:rsidR="007357B9" w:rsidRPr="00170A97">
        <w:t>:</w:t>
      </w:r>
      <w:r w:rsidRPr="00170A97">
        <w:t xml:space="preserve"> </w:t>
      </w:r>
    </w:p>
    <w:p w14:paraId="724C79D6" w14:textId="20BBA51A" w:rsidR="0009409C" w:rsidRDefault="00A27FAF" w:rsidP="00B64EE1">
      <w:pPr>
        <w:pStyle w:val="ListBullet"/>
      </w:pPr>
      <w:r>
        <w:t xml:space="preserve">24 Phase </w:t>
      </w:r>
      <w:r w:rsidR="00B64EE1">
        <w:t>I studies</w:t>
      </w:r>
    </w:p>
    <w:p w14:paraId="74AF0F30" w14:textId="7A66F92D" w:rsidR="00A27FAF" w:rsidRDefault="00321509" w:rsidP="00B64EE1">
      <w:pPr>
        <w:pStyle w:val="ListBullet"/>
      </w:pPr>
      <w:r>
        <w:t>1</w:t>
      </w:r>
      <w:r w:rsidR="00897754">
        <w:t xml:space="preserve"> Phase </w:t>
      </w:r>
      <w:r w:rsidR="00B64EE1">
        <w:t>II study</w:t>
      </w:r>
    </w:p>
    <w:p w14:paraId="2B25836D" w14:textId="1C51BDB9" w:rsidR="00321509" w:rsidRDefault="00321509" w:rsidP="00B64EE1">
      <w:pPr>
        <w:pStyle w:val="ListBullet"/>
      </w:pPr>
      <w:r>
        <w:t xml:space="preserve">2 Phase </w:t>
      </w:r>
      <w:r w:rsidR="00B64EE1">
        <w:t>II/III studies</w:t>
      </w:r>
    </w:p>
    <w:p w14:paraId="05AAE8C2" w14:textId="1ED0BE83" w:rsidR="00321509" w:rsidRDefault="00B64EE1" w:rsidP="00B64EE1">
      <w:pPr>
        <w:pStyle w:val="ListBullet"/>
      </w:pPr>
      <w:r>
        <w:t>4 Phase III studies</w:t>
      </w:r>
    </w:p>
    <w:p w14:paraId="2CF95E29" w14:textId="77777777" w:rsidR="000245FC" w:rsidRPr="00901283" w:rsidRDefault="000245FC" w:rsidP="000245FC">
      <w:pPr>
        <w:pStyle w:val="Heading4"/>
        <w:jc w:val="both"/>
        <w:rPr>
          <w:rFonts w:eastAsia="Times New Roman"/>
          <w:b w:val="0"/>
          <w:i/>
          <w:color w:val="7295D2" w:themeColor="accent1" w:themeTint="BF"/>
        </w:rPr>
      </w:pPr>
      <w:bookmarkStart w:id="48" w:name="_Toc160177857"/>
      <w:r w:rsidRPr="00AA53F4">
        <w:t>Pharmacology</w:t>
      </w:r>
      <w:bookmarkEnd w:id="48"/>
    </w:p>
    <w:p w14:paraId="759E0496" w14:textId="07F604DD" w:rsidR="000245FC" w:rsidRDefault="000245FC" w:rsidP="000245FC">
      <w:pPr>
        <w:pStyle w:val="Heading5"/>
        <w:jc w:val="both"/>
        <w:rPr>
          <w:b w:val="0"/>
          <w:color w:val="7295D2" w:themeColor="accent1" w:themeTint="BF"/>
        </w:rPr>
      </w:pPr>
      <w:r w:rsidRPr="00AA53F4">
        <w:t>Pharmacokinetics</w:t>
      </w:r>
    </w:p>
    <w:p w14:paraId="4A22E973" w14:textId="2EA10287" w:rsidR="000245FC" w:rsidRPr="009D65BD" w:rsidRDefault="000245FC" w:rsidP="009D65BD">
      <w:r w:rsidRPr="009D65BD">
        <w:t>Rimegepant is eliminated unchanged in faeces and urine, as well as undergoing metabolism. Rimegepant is the predominant circulating species. Metabolism is via CYP3A4 and to a lesser extent</w:t>
      </w:r>
      <w:r w:rsidR="00A8352B" w:rsidRPr="00A8352B">
        <w:t xml:space="preserve"> cytochrome P450 isoenzyme</w:t>
      </w:r>
      <w:r w:rsidR="00A8352B">
        <w:t xml:space="preserve"> </w:t>
      </w:r>
      <w:r w:rsidR="00A8352B" w:rsidRPr="00E12E54">
        <w:t>2C9</w:t>
      </w:r>
      <w:r w:rsidRPr="00E12E54">
        <w:t xml:space="preserve"> </w:t>
      </w:r>
      <w:r w:rsidR="00A8352B" w:rsidRPr="00E12E54">
        <w:t>(</w:t>
      </w:r>
      <w:r w:rsidRPr="00E12E54">
        <w:t>CYP2C9</w:t>
      </w:r>
      <w:r w:rsidR="00A8352B" w:rsidRPr="00E12E54">
        <w:t>)</w:t>
      </w:r>
      <w:r w:rsidRPr="00E12E54">
        <w:t>.</w:t>
      </w:r>
      <w:r w:rsidRPr="009D65BD">
        <w:t xml:space="preserve"> Significant drug interactions with strong inhibitors and inducers of CYP3A4 have been demonstrated in clinical studies.</w:t>
      </w:r>
    </w:p>
    <w:p w14:paraId="3862BD77" w14:textId="77777777" w:rsidR="000245FC" w:rsidRPr="009D65BD" w:rsidRDefault="000245FC" w:rsidP="009D65BD">
      <w:r w:rsidRPr="009D65BD">
        <w:t xml:space="preserve">Three formulations of rimegepant were used during the development process: a free-base capsule, a rimegepant sulfate tablet and a rimegepant sulfate oral dispersible tablet </w:t>
      </w:r>
      <w:r w:rsidRPr="00E12E54">
        <w:t>(ODT)</w:t>
      </w:r>
      <w:r w:rsidRPr="009D65BD">
        <w:t xml:space="preserve"> using the Zydis formulation. Both the tablet and ODT were utilised in the pivotal clinical studies. The ODT is the final commercialised formulation.</w:t>
      </w:r>
    </w:p>
    <w:p w14:paraId="3F0B4C28" w14:textId="07693515" w:rsidR="000245FC" w:rsidRPr="009D65BD" w:rsidRDefault="00084A7F" w:rsidP="009D65BD">
      <w:r>
        <w:t xml:space="preserve">Study </w:t>
      </w:r>
      <w:r w:rsidR="000245FC" w:rsidRPr="009D65BD">
        <w:t xml:space="preserve">CN170001 investigated the effect of pH lowering with famotidine on a capsule formulation of rimegepant. Famotidine reduced the </w:t>
      </w:r>
      <w:r w:rsidR="00742D18">
        <w:t xml:space="preserve">maximum </w:t>
      </w:r>
      <w:r w:rsidR="00742D18" w:rsidRPr="00E12E54">
        <w:t>concentration (</w:t>
      </w:r>
      <w:r w:rsidR="000245FC" w:rsidRPr="00E12E54">
        <w:t>C</w:t>
      </w:r>
      <w:r w:rsidR="000245FC" w:rsidRPr="00E12E54">
        <w:rPr>
          <w:vertAlign w:val="subscript"/>
        </w:rPr>
        <w:t>max</w:t>
      </w:r>
      <w:r w:rsidR="00742D18" w:rsidRPr="00E12E54">
        <w:t>)</w:t>
      </w:r>
      <w:r w:rsidR="000245FC" w:rsidRPr="00E12E54">
        <w:t xml:space="preserve"> by</w:t>
      </w:r>
      <w:r w:rsidR="000245FC" w:rsidRPr="009D65BD">
        <w:t xml:space="preserve"> 75% and the </w:t>
      </w:r>
      <w:r w:rsidR="00742D18">
        <w:t xml:space="preserve">area under the </w:t>
      </w:r>
      <w:r w:rsidR="003C27A7">
        <w:t>concentration</w:t>
      </w:r>
      <w:r w:rsidR="00893F20">
        <w:t>-</w:t>
      </w:r>
      <w:r w:rsidR="003C27A7">
        <w:t xml:space="preserve">time </w:t>
      </w:r>
      <w:r w:rsidR="00742D18">
        <w:t xml:space="preserve">curve </w:t>
      </w:r>
      <w:r w:rsidR="003C27A7">
        <w:t>(</w:t>
      </w:r>
      <w:r w:rsidR="000245FC" w:rsidRPr="00E12E54">
        <w:t>AUC</w:t>
      </w:r>
      <w:r w:rsidR="003C27A7">
        <w:t>)</w:t>
      </w:r>
      <w:r w:rsidR="000245FC" w:rsidRPr="009D65BD">
        <w:t xml:space="preserve"> by 57%. This reduction in exposure was mitigated by the development of the tablet hemisulfate sesquihydrate formulation. Note that retrospective analyses of the clinical efficacy data did not find a change in efficacy with concomitant </w:t>
      </w:r>
      <w:r w:rsidR="008A7895">
        <w:t>proton pump inhibitor</w:t>
      </w:r>
      <w:r w:rsidR="000245FC" w:rsidRPr="009D65BD">
        <w:t xml:space="preserve"> use.</w:t>
      </w:r>
    </w:p>
    <w:p w14:paraId="2F7570C6" w14:textId="23FC4FEC" w:rsidR="000245FC" w:rsidRPr="009D65BD" w:rsidRDefault="000245FC" w:rsidP="009D65BD">
      <w:r w:rsidRPr="009D65BD">
        <w:t>Study CN1700</w:t>
      </w:r>
      <w:r w:rsidR="003A108C">
        <w:t>0</w:t>
      </w:r>
      <w:r w:rsidRPr="009D65BD">
        <w:t xml:space="preserve">6 investigated the absolute bioavailability, mass balance recovery, metabolism and pharmacokinetics following radiolabelled and unlabelled oral rimegepant and radiolabelled intravenous rimegepant. The study included </w:t>
      </w:r>
      <w:r w:rsidR="00C428FD">
        <w:t>eight</w:t>
      </w:r>
      <w:r w:rsidRPr="009D65BD">
        <w:t xml:space="preserve"> healthy, male subjects. The geometric mean absolute bioavailability was 64%. Rimegepant was the primary circulating component. Following an oral radiolabelled dose, 78% of the radioactivity was detected in the faeces and 24% in the urine. Unchanged rimegepant was the major component in faeces (42%) and urine (51%).</w:t>
      </w:r>
    </w:p>
    <w:p w14:paraId="47743864" w14:textId="12869A51" w:rsidR="000245FC" w:rsidRPr="009D65BD" w:rsidRDefault="000245FC" w:rsidP="009D65BD">
      <w:r w:rsidRPr="009D65BD">
        <w:t xml:space="preserve">Study BHV3000-110, Part 1, investigated the relative bioavailability of the </w:t>
      </w:r>
      <w:r w:rsidRPr="006D08F1">
        <w:t>75</w:t>
      </w:r>
      <w:r w:rsidR="006D08F1">
        <w:t> </w:t>
      </w:r>
      <w:r w:rsidRPr="006D08F1">
        <w:t>mg</w:t>
      </w:r>
      <w:r w:rsidRPr="009D65BD">
        <w:t xml:space="preserve"> tablet and the 75</w:t>
      </w:r>
      <w:r w:rsidR="006D08F1">
        <w:t> </w:t>
      </w:r>
      <w:r w:rsidRPr="009D65BD">
        <w:t>mg ODT formulation. Bioequivalence in terms of both AUC and C</w:t>
      </w:r>
      <w:r w:rsidRPr="006D08F1">
        <w:rPr>
          <w:vertAlign w:val="subscript"/>
        </w:rPr>
        <w:t>max</w:t>
      </w:r>
      <w:r w:rsidRPr="009D65BD">
        <w:t xml:space="preserve"> was shown. Part 2 investigated the relative bioavailability of the ODT administered on top the tongue or sublingually. Bioequivalence of the administration sites was found in terms of the AUC. The C</w:t>
      </w:r>
      <w:r w:rsidRPr="00B90D5F">
        <w:rPr>
          <w:vertAlign w:val="subscript"/>
        </w:rPr>
        <w:t>max</w:t>
      </w:r>
      <w:r w:rsidRPr="009D65BD">
        <w:t xml:space="preserve"> was 10% higher when administered sublingually. Median</w:t>
      </w:r>
      <w:r w:rsidR="007D5D0D" w:rsidRPr="007D5D0D">
        <w:t xml:space="preserve"> </w:t>
      </w:r>
      <w:r w:rsidR="007D5D0D">
        <w:t>t</w:t>
      </w:r>
      <w:r w:rsidR="007D5D0D" w:rsidRPr="007D5D0D">
        <w:t>ime to maximum concentration</w:t>
      </w:r>
      <w:r w:rsidR="00E12E54">
        <w:t xml:space="preserve"> </w:t>
      </w:r>
      <w:r w:rsidRPr="009D65BD">
        <w:t>was 30 minutes earlier with sublingual administration.</w:t>
      </w:r>
    </w:p>
    <w:p w14:paraId="50A433B6" w14:textId="21DFDDC7" w:rsidR="000245FC" w:rsidRPr="009D65BD" w:rsidRDefault="000245FC" w:rsidP="009D65BD">
      <w:r w:rsidRPr="009D65BD">
        <w:t>Study BHV3000-111 compared the pharmacokinetics and safety of rimegepant in healthy Japanese (n</w:t>
      </w:r>
      <w:r w:rsidR="00BE7DA3">
        <w:t> </w:t>
      </w:r>
      <w:r w:rsidRPr="009D65BD">
        <w:t>=</w:t>
      </w:r>
      <w:r w:rsidR="00BE7DA3">
        <w:t> </w:t>
      </w:r>
      <w:r w:rsidRPr="009D65BD">
        <w:t>24) and healthy Caucasian (n</w:t>
      </w:r>
      <w:r w:rsidR="00BE7DA3">
        <w:t> </w:t>
      </w:r>
      <w:r w:rsidRPr="009D65BD">
        <w:t>=</w:t>
      </w:r>
      <w:r w:rsidR="00BE7DA3">
        <w:t> </w:t>
      </w:r>
      <w:r w:rsidRPr="009D65BD">
        <w:t>26) subjects. Three doses (75</w:t>
      </w:r>
      <w:r w:rsidR="00BE7DA3">
        <w:t> </w:t>
      </w:r>
      <w:r w:rsidRPr="009D65BD">
        <w:t>mg, 150</w:t>
      </w:r>
      <w:r w:rsidR="00BE7DA3">
        <w:t> </w:t>
      </w:r>
      <w:r w:rsidRPr="009D65BD">
        <w:t>mg, 25</w:t>
      </w:r>
      <w:r w:rsidR="00BE7DA3">
        <w:t> </w:t>
      </w:r>
      <w:r w:rsidRPr="009D65BD">
        <w:t xml:space="preserve">mg) were investigated, dosed daily for 14 consecutive days. There was an increase in exposure in Japanese subjects, which was more pronounced on </w:t>
      </w:r>
      <w:r w:rsidR="00047CA0">
        <w:t>D</w:t>
      </w:r>
      <w:r w:rsidRPr="009D65BD">
        <w:t xml:space="preserve">ay 1 compared with </w:t>
      </w:r>
      <w:r w:rsidR="00047CA0">
        <w:t>D</w:t>
      </w:r>
      <w:r w:rsidRPr="009D65BD">
        <w:t>ay 14. The increase was about 30% for C</w:t>
      </w:r>
      <w:r w:rsidRPr="00047CA0">
        <w:rPr>
          <w:vertAlign w:val="subscript"/>
        </w:rPr>
        <w:t>max</w:t>
      </w:r>
      <w:r w:rsidRPr="009D65BD">
        <w:t xml:space="preserve"> and AUC on </w:t>
      </w:r>
      <w:r w:rsidR="00047CA0">
        <w:t>D</w:t>
      </w:r>
      <w:r w:rsidRPr="009D65BD">
        <w:t xml:space="preserve">ay 1 (less on </w:t>
      </w:r>
      <w:r w:rsidR="00047CA0">
        <w:t>D</w:t>
      </w:r>
      <w:r w:rsidRPr="009D65BD">
        <w:t>ay 14).</w:t>
      </w:r>
    </w:p>
    <w:p w14:paraId="4660AFB9" w14:textId="438402B5" w:rsidR="000245FC" w:rsidRPr="009D65BD" w:rsidRDefault="000245FC" w:rsidP="009D65BD">
      <w:r w:rsidRPr="009D65BD">
        <w:lastRenderedPageBreak/>
        <w:t>Study BHV3000-113, Part 1, investigated the relative bioavailability of 75</w:t>
      </w:r>
      <w:r w:rsidR="00461970">
        <w:t> </w:t>
      </w:r>
      <w:r w:rsidRPr="009D65BD">
        <w:t>mg ODT formulation and the 75</w:t>
      </w:r>
      <w:r w:rsidR="00461970">
        <w:t> </w:t>
      </w:r>
      <w:r w:rsidRPr="009D65BD">
        <w:t>mg tablet on top of the tongue. Bioequivalence of the ODT and the tablet was shown. Part 2 investigated the effect of a high-fat meal on the bioavailability of the ODT formulation administered on top of the tongue. The geometric mean ratios (fed/fasted) of the AUC and C</w:t>
      </w:r>
      <w:r w:rsidRPr="0084353C">
        <w:rPr>
          <w:vertAlign w:val="subscript"/>
        </w:rPr>
        <w:t>max</w:t>
      </w:r>
      <w:r w:rsidRPr="009D65BD">
        <w:t xml:space="preserve"> were 62.3% and 46.6% respectively, indicating reduced exposure in the presence of a high fat meal.</w:t>
      </w:r>
    </w:p>
    <w:p w14:paraId="0642278C" w14:textId="5E44D73F" w:rsidR="000245FC" w:rsidRPr="009D65BD" w:rsidRDefault="000245FC" w:rsidP="009D65BD">
      <w:r w:rsidRPr="009D65BD">
        <w:t xml:space="preserve">Study BHV3000-112 investigated the effect of a high fat meal on the </w:t>
      </w:r>
      <w:r w:rsidR="006D3FD3" w:rsidRPr="00E12E54">
        <w:t>pharmacokinetics (</w:t>
      </w:r>
      <w:r w:rsidRPr="00E12E54">
        <w:t>PK</w:t>
      </w:r>
      <w:r w:rsidR="006D3FD3" w:rsidRPr="00E12E54">
        <w:t>)</w:t>
      </w:r>
      <w:r w:rsidRPr="00E12E54">
        <w:t xml:space="preserve"> of</w:t>
      </w:r>
      <w:r w:rsidRPr="009D65BD">
        <w:t xml:space="preserve"> the </w:t>
      </w:r>
      <w:r w:rsidRPr="0084353C">
        <w:t>75</w:t>
      </w:r>
      <w:r w:rsidR="0084353C">
        <w:t> </w:t>
      </w:r>
      <w:r w:rsidRPr="0084353C">
        <w:t>mg</w:t>
      </w:r>
      <w:r w:rsidRPr="009D65BD">
        <w:t xml:space="preserve"> tablet and the 75</w:t>
      </w:r>
      <w:r w:rsidR="0084353C">
        <w:t> </w:t>
      </w:r>
      <w:r w:rsidRPr="009D65BD">
        <w:t>mg ODT formulation administered sublingually. The geometric mean ratios (fed/fasted) for AUC and C</w:t>
      </w:r>
      <w:r w:rsidRPr="0084353C">
        <w:rPr>
          <w:vertAlign w:val="subscript"/>
        </w:rPr>
        <w:t>max</w:t>
      </w:r>
      <w:r w:rsidRPr="009D65BD">
        <w:t xml:space="preserve"> were 68.3% and 58.8% respectively with the ODT, indicating reduced exposure in the presence of a high fat meal.</w:t>
      </w:r>
    </w:p>
    <w:p w14:paraId="32F3E972" w14:textId="309BD2A3" w:rsidR="000245FC" w:rsidRPr="009D65BD" w:rsidRDefault="000245FC" w:rsidP="009D65BD">
      <w:r w:rsidRPr="009D65BD">
        <w:t>Study BHV3000-120 investigated the effect of a low-fat</w:t>
      </w:r>
      <w:r w:rsidR="006D3FD3">
        <w:t xml:space="preserve">, </w:t>
      </w:r>
      <w:r w:rsidRPr="009D65BD">
        <w:t>low</w:t>
      </w:r>
      <w:r w:rsidR="006D3FD3">
        <w:t>-</w:t>
      </w:r>
      <w:r w:rsidRPr="009D65BD">
        <w:t>calorie meal on the PK of 75</w:t>
      </w:r>
      <w:r w:rsidR="006D3FD3">
        <w:t> </w:t>
      </w:r>
      <w:r w:rsidRPr="009D65BD">
        <w:t>mg rimegepant ODT administered sublingually. The geometric mean ratios (fed/fasted) for AUC and C</w:t>
      </w:r>
      <w:r w:rsidRPr="006D3FD3">
        <w:rPr>
          <w:vertAlign w:val="subscript"/>
        </w:rPr>
        <w:t>max</w:t>
      </w:r>
      <w:r w:rsidRPr="009D65BD">
        <w:t xml:space="preserve"> were 71.8% and 63.9% respectively, indicating reduced exposure in the presence of a </w:t>
      </w:r>
      <w:r w:rsidR="006D3FD3" w:rsidRPr="009D65BD">
        <w:t>low</w:t>
      </w:r>
      <w:r w:rsidR="006D3FD3">
        <w:noBreakHyphen/>
      </w:r>
      <w:r w:rsidR="006D3FD3" w:rsidRPr="009D65BD">
        <w:t>fat, low-calorie</w:t>
      </w:r>
      <w:r w:rsidRPr="009D65BD">
        <w:t xml:space="preserve"> meal.</w:t>
      </w:r>
    </w:p>
    <w:p w14:paraId="524F8E1C" w14:textId="05EF827F" w:rsidR="000245FC" w:rsidRPr="009D65BD" w:rsidRDefault="000245FC" w:rsidP="009D65BD">
      <w:r w:rsidRPr="009D65BD">
        <w:t xml:space="preserve">Study BHV3000-117 investigated the dose proportionality of </w:t>
      </w:r>
      <w:r w:rsidR="00EA125C">
        <w:t>three</w:t>
      </w:r>
      <w:r w:rsidRPr="009D65BD">
        <w:t xml:space="preserve"> doses of the ODT formulation (10</w:t>
      </w:r>
      <w:r w:rsidR="00EA125C">
        <w:t> </w:t>
      </w:r>
      <w:r w:rsidRPr="009D65BD">
        <w:t>mg, 25</w:t>
      </w:r>
      <w:r w:rsidR="00EA125C">
        <w:t> </w:t>
      </w:r>
      <w:r w:rsidRPr="009D65BD">
        <w:t>mg, 75</w:t>
      </w:r>
      <w:r w:rsidR="00EA125C">
        <w:t> </w:t>
      </w:r>
      <w:r w:rsidRPr="009D65BD">
        <w:t xml:space="preserve">mg). </w:t>
      </w:r>
      <w:r w:rsidR="00E12E54">
        <w:t xml:space="preserve">Time to maximum concentration </w:t>
      </w:r>
      <w:r w:rsidRPr="009D65BD">
        <w:t>and</w:t>
      </w:r>
      <w:r w:rsidR="00EA125C">
        <w:t xml:space="preserve"> half-life </w:t>
      </w:r>
      <w:r w:rsidRPr="009D65BD">
        <w:t>were increased for the 75</w:t>
      </w:r>
      <w:r w:rsidR="00EA125C">
        <w:t> </w:t>
      </w:r>
      <w:r w:rsidRPr="009D65BD">
        <w:t>mg dose. There was a slightly greater than dose-proportional increase in exposure with increasing dose.</w:t>
      </w:r>
    </w:p>
    <w:p w14:paraId="510B9DE4" w14:textId="31E9F183" w:rsidR="000245FC" w:rsidRPr="009D65BD" w:rsidRDefault="000245FC" w:rsidP="009D65BD">
      <w:r w:rsidRPr="009D65BD">
        <w:t xml:space="preserve">Study BMS-927711, part A, was a first-in-human </w:t>
      </w:r>
      <w:r w:rsidR="00847ADF">
        <w:t>P</w:t>
      </w:r>
      <w:r w:rsidRPr="009D65BD">
        <w:t xml:space="preserve">hase </w:t>
      </w:r>
      <w:r w:rsidR="00847ADF">
        <w:t>I</w:t>
      </w:r>
      <w:r w:rsidRPr="009D65BD">
        <w:t xml:space="preserve"> study looking at single ascending doses of rimegepant (25</w:t>
      </w:r>
      <w:r w:rsidR="00847ADF">
        <w:t> </w:t>
      </w:r>
      <w:r w:rsidRPr="009D65BD">
        <w:t xml:space="preserve">mg </w:t>
      </w:r>
      <w:r w:rsidR="00847ADF">
        <w:t>to</w:t>
      </w:r>
      <w:r w:rsidRPr="009D65BD">
        <w:t xml:space="preserve"> 1500</w:t>
      </w:r>
      <w:r w:rsidR="00847ADF">
        <w:t> </w:t>
      </w:r>
      <w:r w:rsidRPr="009D65BD">
        <w:t>mg), including the effect of gastric pH lowering with famotidine and the effect of food. Famotidine reduced the AUC to 43% and the C</w:t>
      </w:r>
      <w:r w:rsidRPr="00DF292F">
        <w:rPr>
          <w:vertAlign w:val="subscript"/>
        </w:rPr>
        <w:t>max</w:t>
      </w:r>
      <w:r w:rsidRPr="009D65BD">
        <w:t xml:space="preserve"> to 26%. Food modestly increased the exposure. Part B looked at multiple ascending doses (75</w:t>
      </w:r>
      <w:r w:rsidR="00F71849">
        <w:t> </w:t>
      </w:r>
      <w:r w:rsidRPr="009D65BD">
        <w:t xml:space="preserve">mg </w:t>
      </w:r>
      <w:r w:rsidR="00F71849">
        <w:t xml:space="preserve">to </w:t>
      </w:r>
      <w:r w:rsidRPr="009D65BD">
        <w:t>600</w:t>
      </w:r>
      <w:r w:rsidR="00F71849">
        <w:t> </w:t>
      </w:r>
      <w:r w:rsidRPr="009D65BD">
        <w:t>mg; 300</w:t>
      </w:r>
      <w:r w:rsidR="00F71849">
        <w:t> </w:t>
      </w:r>
      <w:r w:rsidRPr="009D65BD">
        <w:t xml:space="preserve">mg </w:t>
      </w:r>
      <w:r w:rsidR="00C35023">
        <w:t xml:space="preserve">twice a day </w:t>
      </w:r>
      <w:r w:rsidRPr="009D65BD">
        <w:t>with doses 2</w:t>
      </w:r>
      <w:r w:rsidR="00C35023">
        <w:t xml:space="preserve"> hours</w:t>
      </w:r>
      <w:r w:rsidRPr="009D65BD">
        <w:t xml:space="preserve"> apart) given once daily for 14 days. The accumulation index ranged from 1.4 (doses between 75</w:t>
      </w:r>
      <w:r w:rsidR="00C35023">
        <w:t xml:space="preserve"> mg to </w:t>
      </w:r>
      <w:r w:rsidRPr="009D65BD">
        <w:t>300</w:t>
      </w:r>
      <w:r w:rsidR="00C35023">
        <w:t> </w:t>
      </w:r>
      <w:r w:rsidRPr="009D65BD">
        <w:t>mg daily) to 1.6 (400</w:t>
      </w:r>
      <w:r w:rsidR="00C35023">
        <w:t> </w:t>
      </w:r>
      <w:r w:rsidRPr="009D65BD">
        <w:t>mg) to 2.3 (600</w:t>
      </w:r>
      <w:r w:rsidR="00C35023">
        <w:t> </w:t>
      </w:r>
      <w:r w:rsidRPr="009D65BD">
        <w:t>mg).</w:t>
      </w:r>
    </w:p>
    <w:p w14:paraId="45B505E0" w14:textId="5E26C7DE" w:rsidR="000245FC" w:rsidRPr="009D65BD" w:rsidRDefault="000245FC" w:rsidP="009D65BD">
      <w:r w:rsidRPr="009D65BD">
        <w:t xml:space="preserve">Study CN170004 investigated the PK profile of </w:t>
      </w:r>
      <w:r w:rsidR="00C35023">
        <w:t>two</w:t>
      </w:r>
      <w:r w:rsidRPr="009D65BD">
        <w:t xml:space="preserve"> dose levels (300</w:t>
      </w:r>
      <w:r w:rsidR="00C35023">
        <w:t> </w:t>
      </w:r>
      <w:r w:rsidRPr="009D65BD">
        <w:t>mg and 600</w:t>
      </w:r>
      <w:r w:rsidR="00C35023">
        <w:t> </w:t>
      </w:r>
      <w:r w:rsidRPr="009D65BD">
        <w:t>mg) in migraine subjects both during an attack and in the absence of an attack. The exposure to both doses was higher during a migraine attack</w:t>
      </w:r>
      <w:r w:rsidR="003E318F">
        <w:t>.</w:t>
      </w:r>
    </w:p>
    <w:p w14:paraId="4CAF383E" w14:textId="56AFAEE9" w:rsidR="000245FC" w:rsidRPr="009D65BD" w:rsidRDefault="000245FC" w:rsidP="009D65BD">
      <w:r w:rsidRPr="009D65BD">
        <w:t>Study BHV3000-106 investigated the PK of rimegepant 75</w:t>
      </w:r>
      <w:r w:rsidR="00D25798">
        <w:t> </w:t>
      </w:r>
      <w:r w:rsidRPr="009D65BD">
        <w:t>mg tablet in subjects with normal renal function and mild (</w:t>
      </w:r>
      <w:r w:rsidR="000A37E0">
        <w:t>e</w:t>
      </w:r>
      <w:r w:rsidR="000A37E0" w:rsidRPr="000A37E0">
        <w:t>stimated glomerular filtration rate</w:t>
      </w:r>
      <w:r w:rsidR="000A37E0">
        <w:t xml:space="preserve"> (</w:t>
      </w:r>
      <w:r w:rsidRPr="009D65BD">
        <w:t>eGFR</w:t>
      </w:r>
      <w:r w:rsidR="000A37E0">
        <w:t>)</w:t>
      </w:r>
      <w:r w:rsidRPr="009D65BD">
        <w:t xml:space="preserve"> 60 </w:t>
      </w:r>
      <w:r w:rsidR="000A37E0">
        <w:t>t</w:t>
      </w:r>
      <w:r w:rsidR="00E12E54">
        <w:t>o</w:t>
      </w:r>
      <w:r w:rsidRPr="009D65BD">
        <w:t xml:space="preserve"> 89), moderate (eGFR 30</w:t>
      </w:r>
      <w:r w:rsidR="000A37E0">
        <w:t xml:space="preserve"> to </w:t>
      </w:r>
      <w:r w:rsidRPr="009D65BD">
        <w:t xml:space="preserve">59) and severe (eGFR </w:t>
      </w:r>
      <w:r w:rsidR="000A37E0">
        <w:t>less than</w:t>
      </w:r>
      <w:r w:rsidRPr="009D65BD">
        <w:t xml:space="preserve"> 30) renal impairment. Whilst the AUCs were similar in the mild and severe renal impairment group, the AUC was increased in moderate renal impairment (140% compared with control). The C</w:t>
      </w:r>
      <w:r w:rsidRPr="000A37E0">
        <w:rPr>
          <w:vertAlign w:val="subscript"/>
        </w:rPr>
        <w:t>max</w:t>
      </w:r>
      <w:r w:rsidRPr="009D65BD">
        <w:t xml:space="preserve"> was increased in the mild renal impairment group and decreased in the moderate and severe groups. The unbound AUC was found to be higher in subjects with severe renal impairment.</w:t>
      </w:r>
    </w:p>
    <w:p w14:paraId="790D8281" w14:textId="3600AF06" w:rsidR="000245FC" w:rsidRPr="009D65BD" w:rsidRDefault="000245FC" w:rsidP="009D65BD">
      <w:r w:rsidRPr="009D65BD">
        <w:t>Study BHV3000-107 investigated the PK of rimegepant 75</w:t>
      </w:r>
      <w:r w:rsidR="0070295E">
        <w:t> </w:t>
      </w:r>
      <w:r w:rsidRPr="009D65BD">
        <w:t>mg tablet in subjects with normal hepatic function and mild (Child-Pugh A), moderate (Child-Pugh B) and severe (Child-Pugh C) hepatic impairment.</w:t>
      </w:r>
      <w:r w:rsidR="005E7DEB">
        <w:rPr>
          <w:rStyle w:val="FootnoteReference"/>
        </w:rPr>
        <w:footnoteReference w:id="7"/>
      </w:r>
      <w:r w:rsidRPr="009D65BD">
        <w:t xml:space="preserve"> Subjects with mild and moderate hepatic impairment had no significant difference in AUC or C</w:t>
      </w:r>
      <w:r w:rsidRPr="005E7DEB">
        <w:rPr>
          <w:vertAlign w:val="subscript"/>
        </w:rPr>
        <w:t>max</w:t>
      </w:r>
      <w:r w:rsidRPr="009D65BD">
        <w:t xml:space="preserve"> compared with controls. Subjects with severe hepatic impairment had increased AUC and C</w:t>
      </w:r>
      <w:r w:rsidRPr="005E7DEB">
        <w:rPr>
          <w:vertAlign w:val="subscript"/>
        </w:rPr>
        <w:t>max</w:t>
      </w:r>
      <w:r w:rsidRPr="009D65BD">
        <w:t xml:space="preserve"> compared with controls (ratios 202% and 190%, respectively).</w:t>
      </w:r>
    </w:p>
    <w:p w14:paraId="165482DB" w14:textId="230AAC9D" w:rsidR="000245FC" w:rsidRPr="009D65BD" w:rsidRDefault="000245FC" w:rsidP="009D65BD">
      <w:r w:rsidRPr="009D65BD">
        <w:t xml:space="preserve">Study BHV3000-108 investigated the PK of rimegepant in elderly </w:t>
      </w:r>
      <w:r w:rsidR="005E7DEB">
        <w:t>(</w:t>
      </w:r>
      <w:r w:rsidRPr="009D65BD">
        <w:t>65 years</w:t>
      </w:r>
      <w:r w:rsidR="006A14E4">
        <w:t xml:space="preserve"> and older</w:t>
      </w:r>
      <w:r w:rsidRPr="009D65BD">
        <w:t>) and non</w:t>
      </w:r>
      <w:r w:rsidR="006A14E4">
        <w:noBreakHyphen/>
      </w:r>
      <w:r w:rsidRPr="009D65BD">
        <w:t>elderly patients (18</w:t>
      </w:r>
      <w:r w:rsidR="006A14E4">
        <w:t xml:space="preserve"> to </w:t>
      </w:r>
      <w:r w:rsidRPr="009D65BD">
        <w:t>45 years). The AUC and C</w:t>
      </w:r>
      <w:r w:rsidRPr="006A14E4">
        <w:rPr>
          <w:vertAlign w:val="subscript"/>
        </w:rPr>
        <w:t>max</w:t>
      </w:r>
      <w:r w:rsidRPr="009D65BD">
        <w:t xml:space="preserve"> were similar in the two groups, although the</w:t>
      </w:r>
      <w:r w:rsidR="00E12E54">
        <w:t xml:space="preserve"> half-life </w:t>
      </w:r>
      <w:r w:rsidRPr="009D65BD">
        <w:t>was significantly increased (by 4.9 hours) in elderly subjects.</w:t>
      </w:r>
    </w:p>
    <w:p w14:paraId="432CC5EE" w14:textId="6CE461E3" w:rsidR="000245FC" w:rsidRPr="009D65BD" w:rsidRDefault="000245FC" w:rsidP="009D65BD">
      <w:r w:rsidRPr="009D65BD">
        <w:lastRenderedPageBreak/>
        <w:t>The effect of co</w:t>
      </w:r>
      <w:r w:rsidR="006A14E4">
        <w:t>-</w:t>
      </w:r>
      <w:r w:rsidRPr="009D65BD">
        <w:t>administered drugs on the PK of rimegepant has been investigated (</w:t>
      </w:r>
      <w:r w:rsidRPr="009D65BD">
        <w:rPr>
          <w:color w:val="2B579A"/>
          <w:shd w:val="clear" w:color="auto" w:fill="E6E6E6"/>
        </w:rPr>
        <w:fldChar w:fldCharType="begin"/>
      </w:r>
      <w:r w:rsidRPr="009D65BD">
        <w:instrText xml:space="preserve"> REF _Ref121391004 \h  \* MERGEFORMAT </w:instrText>
      </w:r>
      <w:r w:rsidRPr="009D65BD">
        <w:rPr>
          <w:color w:val="2B579A"/>
          <w:shd w:val="clear" w:color="auto" w:fill="E6E6E6"/>
        </w:rPr>
      </w:r>
      <w:r w:rsidRPr="009D65BD">
        <w:rPr>
          <w:color w:val="2B579A"/>
          <w:shd w:val="clear" w:color="auto" w:fill="E6E6E6"/>
        </w:rPr>
        <w:fldChar w:fldCharType="separate"/>
      </w:r>
      <w:r w:rsidR="00834F8B">
        <w:t>Figure 2</w:t>
      </w:r>
      <w:r w:rsidRPr="009D65BD">
        <w:rPr>
          <w:color w:val="2B579A"/>
          <w:shd w:val="clear" w:color="auto" w:fill="E6E6E6"/>
        </w:rPr>
        <w:fldChar w:fldCharType="end"/>
      </w:r>
      <w:r w:rsidRPr="009D65BD">
        <w:t>). The largest effect was seen for itraconazole (strong CYP3A4 inhibitor) which increased the AUC approximately 4-fold. CYP3A4 induction with rifampicin led to a significant decrease in both the C</w:t>
      </w:r>
      <w:r w:rsidRPr="00CC0C35">
        <w:rPr>
          <w:vertAlign w:val="subscript"/>
        </w:rPr>
        <w:t>max</w:t>
      </w:r>
      <w:r w:rsidRPr="009D65BD">
        <w:t xml:space="preserve"> and AUC of rimegepant.</w:t>
      </w:r>
    </w:p>
    <w:p w14:paraId="27B2020C" w14:textId="24774EBD" w:rsidR="000245FC" w:rsidRDefault="000245FC" w:rsidP="00560C3B">
      <w:pPr>
        <w:pStyle w:val="FigureTitle"/>
      </w:pPr>
      <w:bookmarkStart w:id="49" w:name="_Ref121391004"/>
      <w:r>
        <w:t xml:space="preserve">Figure </w:t>
      </w:r>
      <w:r w:rsidR="00DE785D">
        <w:fldChar w:fldCharType="begin"/>
      </w:r>
      <w:r w:rsidR="00DE785D">
        <w:instrText xml:space="preserve"> SEQ Figure \* ARABIC </w:instrText>
      </w:r>
      <w:r w:rsidR="00DE785D">
        <w:fldChar w:fldCharType="separate"/>
      </w:r>
      <w:r w:rsidR="00834F8B">
        <w:rPr>
          <w:noProof/>
        </w:rPr>
        <w:t>2</w:t>
      </w:r>
      <w:r w:rsidR="00DE785D">
        <w:rPr>
          <w:noProof/>
        </w:rPr>
        <w:fldChar w:fldCharType="end"/>
      </w:r>
      <w:bookmarkEnd w:id="49"/>
      <w:r w:rsidR="00560C3B">
        <w:rPr>
          <w:noProof/>
        </w:rPr>
        <w:t>:</w:t>
      </w:r>
      <w:r>
        <w:t xml:space="preserve"> Effect of </w:t>
      </w:r>
      <w:r w:rsidR="00D4276C">
        <w:t>c</w:t>
      </w:r>
      <w:r>
        <w:t xml:space="preserve">o-administered </w:t>
      </w:r>
      <w:r w:rsidR="00D4276C">
        <w:t>d</w:t>
      </w:r>
      <w:r>
        <w:t xml:space="preserve">rugs on the </w:t>
      </w:r>
      <w:r w:rsidR="00560C3B">
        <w:t>e</w:t>
      </w:r>
      <w:r>
        <w:t xml:space="preserve">xposure of </w:t>
      </w:r>
      <w:r w:rsidR="00560C3B">
        <w:t>r</w:t>
      </w:r>
      <w:r>
        <w:t>imegepant</w:t>
      </w:r>
    </w:p>
    <w:p w14:paraId="5C5B285B" w14:textId="7BDAEF96" w:rsidR="00D4276C" w:rsidRDefault="00D4276C" w:rsidP="00D4276C">
      <w:r>
        <w:rPr>
          <w:noProof/>
          <w:color w:val="2B579A"/>
          <w:shd w:val="clear" w:color="auto" w:fill="E6E6E6"/>
        </w:rPr>
        <w:drawing>
          <wp:inline distT="0" distB="0" distL="0" distR="0" wp14:anchorId="19265185" wp14:editId="59245B8B">
            <wp:extent cx="5191125" cy="4263337"/>
            <wp:effectExtent l="0" t="0" r="0" b="4445"/>
            <wp:docPr id="14" name="Picture 14" descr="Effect of co-administered drugs on the exposure of rimege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ffect of co-administered drugs on the exposure of rimegepant"/>
                    <pic:cNvPicPr/>
                  </pic:nvPicPr>
                  <pic:blipFill rotWithShape="1">
                    <a:blip r:embed="rId25"/>
                    <a:srcRect l="496"/>
                    <a:stretch/>
                  </pic:blipFill>
                  <pic:spPr bwMode="auto">
                    <a:xfrm>
                      <a:off x="0" y="0"/>
                      <a:ext cx="5191125" cy="4263337"/>
                    </a:xfrm>
                    <a:prstGeom prst="rect">
                      <a:avLst/>
                    </a:prstGeom>
                    <a:ln>
                      <a:noFill/>
                    </a:ln>
                    <a:extLst>
                      <a:ext uri="{53640926-AAD7-44D8-BBD7-CCE9431645EC}">
                        <a14:shadowObscured xmlns:a14="http://schemas.microsoft.com/office/drawing/2010/main"/>
                      </a:ext>
                    </a:extLst>
                  </pic:spPr>
                </pic:pic>
              </a:graphicData>
            </a:graphic>
          </wp:inline>
        </w:drawing>
      </w:r>
    </w:p>
    <w:p w14:paraId="558F5D97" w14:textId="4B796EC1" w:rsidR="00560C3B" w:rsidRPr="00104957" w:rsidRDefault="00560C3B" w:rsidP="00104957">
      <w:pPr>
        <w:pStyle w:val="FigureDescription"/>
      </w:pPr>
      <w:r w:rsidRPr="00104957">
        <w:t>1 Observed inhibition is ascribed to P-gp only. Strong BCRP inhibitors do not require dose frequency adjustment.</w:t>
      </w:r>
      <w:r w:rsidR="00104957" w:rsidRPr="00104957">
        <w:t xml:space="preserve"> </w:t>
      </w:r>
      <w:r w:rsidRPr="00104957">
        <w:t>Source: BHV3000-103 CSR,</w:t>
      </w:r>
      <w:r w:rsidR="00F1207F" w:rsidRPr="00104957">
        <w:t xml:space="preserve"> </w:t>
      </w:r>
      <w:r w:rsidRPr="00104957">
        <w:t>BHV3000-104 CSR, BHV3000-105 CSR, BHV3000-112 CSR,</w:t>
      </w:r>
      <w:r w:rsidR="00F1207F" w:rsidRPr="00104957">
        <w:t xml:space="preserve"> </w:t>
      </w:r>
      <w:r w:rsidRPr="00104957">
        <w:t xml:space="preserve">and BHV3000-122 </w:t>
      </w:r>
      <w:r w:rsidR="00E12E54">
        <w:t>p</w:t>
      </w:r>
      <w:r w:rsidRPr="00104957">
        <w:t>reliminary PK analysis memo</w:t>
      </w:r>
    </w:p>
    <w:p w14:paraId="2B23D16F" w14:textId="36DE11AE" w:rsidR="000245FC" w:rsidRDefault="000245FC" w:rsidP="000245FC">
      <w:pPr>
        <w:jc w:val="both"/>
      </w:pPr>
      <w:r>
        <w:t xml:space="preserve">The effects of rimegepant on co-administered drugs have been investigated and the results are shown in </w:t>
      </w:r>
      <w:r>
        <w:rPr>
          <w:color w:val="2B579A"/>
          <w:shd w:val="clear" w:color="auto" w:fill="E6E6E6"/>
        </w:rPr>
        <w:fldChar w:fldCharType="begin"/>
      </w:r>
      <w:r>
        <w:instrText xml:space="preserve"> REF _Ref121391258 \h  \* MERGEFORMAT </w:instrText>
      </w:r>
      <w:r>
        <w:rPr>
          <w:color w:val="2B579A"/>
          <w:shd w:val="clear" w:color="auto" w:fill="E6E6E6"/>
        </w:rPr>
      </w:r>
      <w:r>
        <w:rPr>
          <w:color w:val="2B579A"/>
          <w:shd w:val="clear" w:color="auto" w:fill="E6E6E6"/>
        </w:rPr>
        <w:fldChar w:fldCharType="separate"/>
      </w:r>
      <w:r w:rsidR="00834F8B">
        <w:t xml:space="preserve">Figure </w:t>
      </w:r>
      <w:r w:rsidR="00834F8B">
        <w:rPr>
          <w:noProof/>
        </w:rPr>
        <w:t>3</w:t>
      </w:r>
      <w:r>
        <w:rPr>
          <w:color w:val="2B579A"/>
          <w:shd w:val="clear" w:color="auto" w:fill="E6E6E6"/>
        </w:rPr>
        <w:fldChar w:fldCharType="end"/>
      </w:r>
      <w:r>
        <w:t>.</w:t>
      </w:r>
    </w:p>
    <w:p w14:paraId="0FF177BC" w14:textId="457CD3E3" w:rsidR="000245FC" w:rsidRDefault="000245FC" w:rsidP="007157A6">
      <w:pPr>
        <w:pStyle w:val="FigureTitle"/>
      </w:pPr>
      <w:bookmarkStart w:id="50" w:name="_Ref121391258"/>
      <w:r>
        <w:lastRenderedPageBreak/>
        <w:t xml:space="preserve">Figure </w:t>
      </w:r>
      <w:r w:rsidR="00DE785D">
        <w:fldChar w:fldCharType="begin"/>
      </w:r>
      <w:r w:rsidR="00DE785D">
        <w:instrText xml:space="preserve"> SEQ Figure \* ARABIC </w:instrText>
      </w:r>
      <w:r w:rsidR="00DE785D">
        <w:fldChar w:fldCharType="separate"/>
      </w:r>
      <w:r w:rsidR="00834F8B">
        <w:rPr>
          <w:noProof/>
        </w:rPr>
        <w:t>3</w:t>
      </w:r>
      <w:r w:rsidR="00DE785D">
        <w:rPr>
          <w:noProof/>
        </w:rPr>
        <w:fldChar w:fldCharType="end"/>
      </w:r>
      <w:bookmarkEnd w:id="50"/>
      <w:r w:rsidR="007157A6">
        <w:rPr>
          <w:noProof/>
        </w:rPr>
        <w:t>:</w:t>
      </w:r>
      <w:r>
        <w:t xml:space="preserve"> Effect of </w:t>
      </w:r>
      <w:r w:rsidR="007157A6">
        <w:t>r</w:t>
      </w:r>
      <w:r>
        <w:t xml:space="preserve">imegepant on the </w:t>
      </w:r>
      <w:r w:rsidR="007157A6">
        <w:t>e</w:t>
      </w:r>
      <w:r>
        <w:t xml:space="preserve">xposure of </w:t>
      </w:r>
      <w:r w:rsidR="007157A6">
        <w:t>c</w:t>
      </w:r>
      <w:r>
        <w:t xml:space="preserve">o-administered </w:t>
      </w:r>
      <w:r w:rsidR="007157A6">
        <w:t>d</w:t>
      </w:r>
      <w:r>
        <w:t>rugs</w:t>
      </w:r>
    </w:p>
    <w:p w14:paraId="43F0D447" w14:textId="12B8B514" w:rsidR="00BC206D" w:rsidRDefault="00BC206D" w:rsidP="00BC206D">
      <w:r>
        <w:rPr>
          <w:noProof/>
          <w:color w:val="2B579A"/>
          <w:shd w:val="clear" w:color="auto" w:fill="E6E6E6"/>
        </w:rPr>
        <w:drawing>
          <wp:inline distT="0" distB="0" distL="0" distR="0" wp14:anchorId="530773BE" wp14:editId="35EF9735">
            <wp:extent cx="5162550" cy="2939049"/>
            <wp:effectExtent l="0" t="0" r="0" b="0"/>
            <wp:docPr id="1" name="Picture 1" descr="Effect of rimegepant on the exposure of co-administered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ffect of rimegepant on the exposure of co-administered drugs"/>
                    <pic:cNvPicPr/>
                  </pic:nvPicPr>
                  <pic:blipFill rotWithShape="1">
                    <a:blip r:embed="rId26"/>
                    <a:srcRect l="4465"/>
                    <a:stretch/>
                  </pic:blipFill>
                  <pic:spPr bwMode="auto">
                    <a:xfrm>
                      <a:off x="0" y="0"/>
                      <a:ext cx="5168243" cy="2942290"/>
                    </a:xfrm>
                    <a:prstGeom prst="rect">
                      <a:avLst/>
                    </a:prstGeom>
                    <a:ln>
                      <a:noFill/>
                    </a:ln>
                    <a:extLst>
                      <a:ext uri="{53640926-AAD7-44D8-BBD7-CCE9431645EC}">
                        <a14:shadowObscured xmlns:a14="http://schemas.microsoft.com/office/drawing/2010/main"/>
                      </a:ext>
                    </a:extLst>
                  </pic:spPr>
                </pic:pic>
              </a:graphicData>
            </a:graphic>
          </wp:inline>
        </w:drawing>
      </w:r>
    </w:p>
    <w:p w14:paraId="5A2357A9" w14:textId="00A96779" w:rsidR="00732F51" w:rsidRPr="00732F51" w:rsidRDefault="00732F51" w:rsidP="00732F51">
      <w:pPr>
        <w:pStyle w:val="FigureDescription"/>
      </w:pPr>
      <w:r w:rsidRPr="00732F51">
        <w:t>Source: CN170007 CSR, BHV3000-114 CSR, BHV3000-101 CSR, BHV3000-119 CSR</w:t>
      </w:r>
    </w:p>
    <w:p w14:paraId="30E2167C" w14:textId="1D652506" w:rsidR="000245FC" w:rsidRDefault="000245FC" w:rsidP="000245FC">
      <w:pPr>
        <w:pStyle w:val="Heading5"/>
        <w:jc w:val="both"/>
        <w:rPr>
          <w:b w:val="0"/>
          <w:color w:val="7295D2" w:themeColor="accent1" w:themeTint="BF"/>
        </w:rPr>
      </w:pPr>
      <w:r w:rsidRPr="00AA53F4">
        <w:t xml:space="preserve">Population </w:t>
      </w:r>
      <w:r w:rsidR="00E12E54">
        <w:t>pharmacokinetic</w:t>
      </w:r>
      <w:r w:rsidRPr="00AA53F4">
        <w:t xml:space="preserve"> data</w:t>
      </w:r>
    </w:p>
    <w:p w14:paraId="6C856FCE" w14:textId="511D7C47" w:rsidR="000245FC" w:rsidRPr="00E12E54" w:rsidRDefault="000245FC" w:rsidP="00E12E54">
      <w:r w:rsidRPr="00E12E54">
        <w:t xml:space="preserve">A </w:t>
      </w:r>
      <w:r w:rsidR="007157A6" w:rsidRPr="00E12E54">
        <w:t>population pharmacokinetic</w:t>
      </w:r>
      <w:r w:rsidRPr="00E12E54">
        <w:t xml:space="preserve"> model was developed based on studies in healthy volunteers, subjects with renal impairment, subjects with hepatic impairment and elderly subjects (</w:t>
      </w:r>
      <w:r w:rsidR="007E54D2" w:rsidRPr="00E12E54">
        <w:t xml:space="preserve">Studies </w:t>
      </w:r>
      <w:r w:rsidRPr="00E12E54">
        <w:t xml:space="preserve">BHV3000-102, </w:t>
      </w:r>
      <w:r w:rsidR="007E54D2" w:rsidRPr="00E12E54">
        <w:t>BHV3000-</w:t>
      </w:r>
      <w:r w:rsidRPr="00E12E54">
        <w:t xml:space="preserve">103, </w:t>
      </w:r>
      <w:r w:rsidR="007E54D2" w:rsidRPr="00E12E54">
        <w:t>BHV3000-</w:t>
      </w:r>
      <w:r w:rsidRPr="00E12E54">
        <w:t xml:space="preserve">105, </w:t>
      </w:r>
      <w:r w:rsidR="007E54D2" w:rsidRPr="00E12E54">
        <w:t>BHV3000-</w:t>
      </w:r>
      <w:r w:rsidRPr="00E12E54">
        <w:t xml:space="preserve">106, </w:t>
      </w:r>
      <w:r w:rsidR="007E54D2" w:rsidRPr="00E12E54">
        <w:t>BHV3000-</w:t>
      </w:r>
      <w:r w:rsidRPr="00E12E54">
        <w:t xml:space="preserve">107, </w:t>
      </w:r>
      <w:r w:rsidR="007E54D2" w:rsidRPr="00E12E54">
        <w:t>BHV3000-</w:t>
      </w:r>
      <w:r w:rsidRPr="00E12E54">
        <w:t xml:space="preserve">108, </w:t>
      </w:r>
      <w:r w:rsidR="007E54D2" w:rsidRPr="00E12E54">
        <w:t>BHV3000-</w:t>
      </w:r>
      <w:r w:rsidRPr="00E12E54">
        <w:t xml:space="preserve">110 and </w:t>
      </w:r>
      <w:r w:rsidR="007E54D2" w:rsidRPr="00E12E54">
        <w:t>BHV3000-</w:t>
      </w:r>
      <w:r w:rsidRPr="00E12E54">
        <w:t>1</w:t>
      </w:r>
      <w:r w:rsidR="00767E8D">
        <w:t>1</w:t>
      </w:r>
      <w:r w:rsidRPr="00E12E54">
        <w:t xml:space="preserve">2). A total of 8781 concentration observations from 257 subjects were considered (1284 excluded due to being below the limit of quantitation). The final base structural model comprised </w:t>
      </w:r>
      <w:r w:rsidR="00AE08F0">
        <w:t xml:space="preserve">of </w:t>
      </w:r>
      <w:r w:rsidR="007E54D2" w:rsidRPr="00E12E54">
        <w:t>two</w:t>
      </w:r>
      <w:r w:rsidR="003D2EA1">
        <w:t>-</w:t>
      </w:r>
      <w:r w:rsidRPr="00E12E54">
        <w:t>compartment</w:t>
      </w:r>
      <w:r w:rsidR="003D2EA1">
        <w:t xml:space="preserve"> dispo</w:t>
      </w:r>
      <w:r w:rsidRPr="00E12E54">
        <w:t>s</w:t>
      </w:r>
      <w:r w:rsidR="003D2EA1">
        <w:t>ition</w:t>
      </w:r>
      <w:r w:rsidR="00B21A13">
        <w:t xml:space="preserve"> model</w:t>
      </w:r>
      <w:r w:rsidRPr="00E12E54">
        <w:t>. The following statistically significant covariates were identified in the final model:</w:t>
      </w:r>
    </w:p>
    <w:p w14:paraId="561F2D18" w14:textId="56CD05E4" w:rsidR="000245FC" w:rsidRPr="007157A6" w:rsidRDefault="000245FC" w:rsidP="00224C3C">
      <w:pPr>
        <w:pStyle w:val="ListBullet"/>
      </w:pPr>
      <w:r w:rsidRPr="007157A6">
        <w:t>Allometric weight scaling on clearance and volume parameters</w:t>
      </w:r>
      <w:r w:rsidR="00224C3C">
        <w:t>.</w:t>
      </w:r>
    </w:p>
    <w:p w14:paraId="0511C3EB" w14:textId="1267E0FC" w:rsidR="000245FC" w:rsidRPr="007157A6" w:rsidRDefault="000245FC" w:rsidP="00224C3C">
      <w:pPr>
        <w:pStyle w:val="ListBullet"/>
      </w:pPr>
      <w:r w:rsidRPr="007157A6">
        <w:t>Fluconazole and itraconazole use, severe/moderate hepatic impairment on elimination clearance</w:t>
      </w:r>
      <w:r w:rsidR="00224C3C">
        <w:t>.</w:t>
      </w:r>
    </w:p>
    <w:p w14:paraId="1595CBD1" w14:textId="63164E8E" w:rsidR="000245FC" w:rsidRPr="007157A6" w:rsidRDefault="00224C3C" w:rsidP="00224C3C">
      <w:pPr>
        <w:pStyle w:val="ListBullet"/>
      </w:pPr>
      <w:r>
        <w:t>F</w:t>
      </w:r>
      <w:r w:rsidR="000245FC" w:rsidRPr="007157A6">
        <w:t>ed status, itraconazole use, capsule formulation, and ODT on transit absorption rate constant</w:t>
      </w:r>
      <w:r>
        <w:t>.</w:t>
      </w:r>
    </w:p>
    <w:p w14:paraId="2EB8C24E" w14:textId="34A62D45" w:rsidR="000245FC" w:rsidRPr="007157A6" w:rsidRDefault="00224C3C" w:rsidP="00224C3C">
      <w:pPr>
        <w:pStyle w:val="ListBullet"/>
      </w:pPr>
      <w:r>
        <w:t>F</w:t>
      </w:r>
      <w:r w:rsidR="000245FC" w:rsidRPr="007157A6">
        <w:t>ed status on bioavailability</w:t>
      </w:r>
      <w:r>
        <w:t>.</w:t>
      </w:r>
    </w:p>
    <w:p w14:paraId="0102F8B7" w14:textId="77777777" w:rsidR="000245FC" w:rsidRPr="007157A6" w:rsidRDefault="000245FC" w:rsidP="007157A6">
      <w:r w:rsidRPr="007157A6">
        <w:t>Itraconazole (strong CYP3A4 inhibitor) was considered the only clinically significant covariate.</w:t>
      </w:r>
    </w:p>
    <w:p w14:paraId="6A0C37CE" w14:textId="77777777" w:rsidR="000245FC" w:rsidRPr="007157A6" w:rsidRDefault="000245FC" w:rsidP="007157A6">
      <w:r w:rsidRPr="007157A6">
        <w:t>The model performed well using goodness of fit plots, visual predictive checks and an external data set.</w:t>
      </w:r>
    </w:p>
    <w:p w14:paraId="4AFA94EB" w14:textId="28A37F45" w:rsidR="000245FC" w:rsidRPr="0096533C" w:rsidRDefault="00736BC8" w:rsidP="00736BC8">
      <w:r>
        <w:t xml:space="preserve">Population pharmacokinetic </w:t>
      </w:r>
      <w:r w:rsidR="000245FC" w:rsidRPr="007157A6">
        <w:t>modelling found a terminal half-life of 11 hours following a single 75</w:t>
      </w:r>
      <w:r w:rsidR="00E12E54">
        <w:t> </w:t>
      </w:r>
      <w:r w:rsidR="000245FC" w:rsidRPr="007157A6">
        <w:t>mg dose.</w:t>
      </w:r>
    </w:p>
    <w:p w14:paraId="0A2FE732" w14:textId="598E8848" w:rsidR="000245FC" w:rsidRDefault="000245FC" w:rsidP="000245FC">
      <w:pPr>
        <w:pStyle w:val="Heading5"/>
        <w:jc w:val="both"/>
        <w:rPr>
          <w:b w:val="0"/>
          <w:color w:val="7295D2" w:themeColor="accent1" w:themeTint="BF"/>
        </w:rPr>
      </w:pPr>
      <w:r w:rsidRPr="00AA53F4">
        <w:t>Pharmacodynamics</w:t>
      </w:r>
    </w:p>
    <w:p w14:paraId="29191808" w14:textId="2EDD2511" w:rsidR="000245FC" w:rsidRDefault="000245FC" w:rsidP="0024313C">
      <w:r w:rsidRPr="00BE3E43">
        <w:t xml:space="preserve">Study CN170003 investigated </w:t>
      </w:r>
      <w:r w:rsidR="003B59B0">
        <w:t>six</w:t>
      </w:r>
      <w:r w:rsidRPr="00BE3E43">
        <w:t xml:space="preserve"> different doses of rimegepant (10</w:t>
      </w:r>
      <w:r w:rsidR="00752219">
        <w:t> </w:t>
      </w:r>
      <w:r w:rsidRPr="00BE3E43">
        <w:t>mg, 25</w:t>
      </w:r>
      <w:r w:rsidR="00752219">
        <w:t> </w:t>
      </w:r>
      <w:r w:rsidRPr="00BE3E43">
        <w:t>mg, 75</w:t>
      </w:r>
      <w:r w:rsidR="00752219">
        <w:t> </w:t>
      </w:r>
      <w:r w:rsidRPr="00BE3E43">
        <w:t>mg, 150</w:t>
      </w:r>
      <w:r w:rsidR="00752219">
        <w:t> </w:t>
      </w:r>
      <w:r w:rsidRPr="00BE3E43">
        <w:t>mg, 300</w:t>
      </w:r>
      <w:r w:rsidR="00752219">
        <w:t> </w:t>
      </w:r>
      <w:r w:rsidRPr="00BE3E43">
        <w:t>mg, 600</w:t>
      </w:r>
      <w:r w:rsidR="00752219">
        <w:t> </w:t>
      </w:r>
      <w:r w:rsidRPr="00BE3E43">
        <w:t>mg) for their effect on a single acute migraine (</w:t>
      </w:r>
      <w:r w:rsidR="00752219">
        <w:t>that is,</w:t>
      </w:r>
      <w:r w:rsidRPr="00BE3E43">
        <w:t xml:space="preserve"> dose finding study). The study also included placebo and active (sumatriptan 100</w:t>
      </w:r>
      <w:r w:rsidR="00752219">
        <w:t> </w:t>
      </w:r>
      <w:r w:rsidRPr="00BE3E43">
        <w:t xml:space="preserve">mg) controls. Subjects were included if they had at least a </w:t>
      </w:r>
      <w:r w:rsidR="00E12E54">
        <w:t xml:space="preserve">one </w:t>
      </w:r>
      <w:r w:rsidRPr="00BE3E43">
        <w:t xml:space="preserve">year migraine history, average attack duration 4 </w:t>
      </w:r>
      <w:r w:rsidR="00BF0A6C">
        <w:t>to</w:t>
      </w:r>
      <w:r w:rsidRPr="00BE3E43">
        <w:t xml:space="preserve"> 72</w:t>
      </w:r>
      <w:r w:rsidR="00BF0A6C">
        <w:t xml:space="preserve"> </w:t>
      </w:r>
      <w:r w:rsidRPr="00BE3E43">
        <w:t>h</w:t>
      </w:r>
      <w:r w:rsidR="00BF0A6C">
        <w:t>ours</w:t>
      </w:r>
      <w:r w:rsidRPr="00BE3E43">
        <w:t xml:space="preserve"> and not more than </w:t>
      </w:r>
      <w:r w:rsidR="00BF0A6C">
        <w:t>eight</w:t>
      </w:r>
      <w:r w:rsidRPr="00BE3E43">
        <w:t xml:space="preserve"> moderate</w:t>
      </w:r>
      <w:r w:rsidR="00E12E54">
        <w:t xml:space="preserve"> to </w:t>
      </w:r>
      <w:r w:rsidRPr="00BE3E43">
        <w:t>severe attacks per month in the previous 3 months. In this study, 885</w:t>
      </w:r>
      <w:r w:rsidR="00FB6E9C">
        <w:t> </w:t>
      </w:r>
      <w:r w:rsidRPr="00BE3E43">
        <w:t>subjects were randomised and 812 completed. The 75</w:t>
      </w:r>
      <w:r w:rsidR="00FB6E9C">
        <w:t> </w:t>
      </w:r>
      <w:r w:rsidRPr="00BE3E43">
        <w:t xml:space="preserve">mg rimegepant dose was found to </w:t>
      </w:r>
      <w:r w:rsidRPr="00BE3E43">
        <w:lastRenderedPageBreak/>
        <w:t>have nearly the same efficacy (as measured by pain freedom at 2</w:t>
      </w:r>
      <w:r w:rsidR="00FB6E9C">
        <w:t xml:space="preserve"> hours</w:t>
      </w:r>
      <w:r w:rsidRPr="00BE3E43">
        <w:t xml:space="preserve"> post-dose) as the 150</w:t>
      </w:r>
      <w:r w:rsidR="00FB6E9C">
        <w:t> </w:t>
      </w:r>
      <w:r w:rsidRPr="00BE3E43">
        <w:t>mg dose and the sumatriptan (</w:t>
      </w:r>
      <w:r w:rsidRPr="00BE3E43">
        <w:rPr>
          <w:color w:val="2B579A"/>
          <w:shd w:val="clear" w:color="auto" w:fill="E6E6E6"/>
        </w:rPr>
        <w:fldChar w:fldCharType="begin"/>
      </w:r>
      <w:r w:rsidRPr="00BE3E43">
        <w:instrText xml:space="preserve"> REF _Ref126235360 \h  \* MERGEFORMAT </w:instrText>
      </w:r>
      <w:r w:rsidRPr="00BE3E43">
        <w:rPr>
          <w:color w:val="2B579A"/>
          <w:shd w:val="clear" w:color="auto" w:fill="E6E6E6"/>
        </w:rPr>
      </w:r>
      <w:r w:rsidRPr="00BE3E43">
        <w:rPr>
          <w:color w:val="2B579A"/>
          <w:shd w:val="clear" w:color="auto" w:fill="E6E6E6"/>
        </w:rPr>
        <w:fldChar w:fldCharType="separate"/>
      </w:r>
      <w:r w:rsidR="00834F8B">
        <w:t>Figure 4</w:t>
      </w:r>
      <w:r w:rsidRPr="00BE3E43">
        <w:rPr>
          <w:color w:val="2B579A"/>
          <w:shd w:val="clear" w:color="auto" w:fill="E6E6E6"/>
        </w:rPr>
        <w:fldChar w:fldCharType="end"/>
      </w:r>
      <w:r w:rsidRPr="00BE3E43">
        <w:t>).</w:t>
      </w:r>
    </w:p>
    <w:p w14:paraId="42BBC665" w14:textId="767282E9" w:rsidR="000245FC" w:rsidRDefault="000245FC" w:rsidP="006970E8">
      <w:pPr>
        <w:pStyle w:val="FigureTitle"/>
      </w:pPr>
      <w:bookmarkStart w:id="51" w:name="_Ref126235360"/>
      <w:r>
        <w:t xml:space="preserve">Figure </w:t>
      </w:r>
      <w:r w:rsidR="00DE785D">
        <w:fldChar w:fldCharType="begin"/>
      </w:r>
      <w:r w:rsidR="00DE785D">
        <w:instrText xml:space="preserve"> SEQ Figure \* ARABIC </w:instrText>
      </w:r>
      <w:r w:rsidR="00DE785D">
        <w:fldChar w:fldCharType="separate"/>
      </w:r>
      <w:r w:rsidR="00834F8B">
        <w:rPr>
          <w:noProof/>
        </w:rPr>
        <w:t>4</w:t>
      </w:r>
      <w:r w:rsidR="00DE785D">
        <w:rPr>
          <w:noProof/>
        </w:rPr>
        <w:fldChar w:fldCharType="end"/>
      </w:r>
      <w:bookmarkEnd w:id="51"/>
      <w:r w:rsidR="00FB6E9C">
        <w:t xml:space="preserve">: </w:t>
      </w:r>
      <w:r>
        <w:t>Phase 2b primary endpoin</w:t>
      </w:r>
      <w:r w:rsidR="006970E8">
        <w:t xml:space="preserve">t, </w:t>
      </w:r>
      <w:r>
        <w:t>rimegepant pain freedom at 2</w:t>
      </w:r>
      <w:r w:rsidR="006970E8">
        <w:t xml:space="preserve"> </w:t>
      </w:r>
      <w:r>
        <w:t>h</w:t>
      </w:r>
      <w:r w:rsidR="006970E8">
        <w:t>ours</w:t>
      </w:r>
      <w:r>
        <w:t xml:space="preserve"> post dose</w:t>
      </w:r>
    </w:p>
    <w:p w14:paraId="38B6E237" w14:textId="77777777" w:rsidR="000245FC" w:rsidRDefault="000245FC" w:rsidP="000245FC">
      <w:pPr>
        <w:jc w:val="both"/>
      </w:pPr>
      <w:r>
        <w:rPr>
          <w:noProof/>
          <w:color w:val="2B579A"/>
          <w:shd w:val="clear" w:color="auto" w:fill="E6E6E6"/>
        </w:rPr>
        <w:drawing>
          <wp:inline distT="0" distB="0" distL="0" distR="0" wp14:anchorId="6DA534C7" wp14:editId="73F5C303">
            <wp:extent cx="4979035" cy="3194685"/>
            <wp:effectExtent l="0" t="0" r="0" b="5715"/>
            <wp:docPr id="5" name="Picture 5" descr="Phase 2b primary endpoint, rimegepant pain freedom at 2 hours post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ase 2b primary endpoint, rimegepant pain freedom at 2 hours post dose"/>
                    <pic:cNvPicPr/>
                  </pic:nvPicPr>
                  <pic:blipFill rotWithShape="1">
                    <a:blip r:embed="rId27"/>
                    <a:srcRect l="13128"/>
                    <a:stretch/>
                  </pic:blipFill>
                  <pic:spPr bwMode="auto">
                    <a:xfrm>
                      <a:off x="0" y="0"/>
                      <a:ext cx="4979035" cy="3194685"/>
                    </a:xfrm>
                    <a:prstGeom prst="rect">
                      <a:avLst/>
                    </a:prstGeom>
                    <a:ln>
                      <a:noFill/>
                    </a:ln>
                    <a:extLst>
                      <a:ext uri="{53640926-AAD7-44D8-BBD7-CCE9431645EC}">
                        <a14:shadowObscured xmlns:a14="http://schemas.microsoft.com/office/drawing/2010/main"/>
                      </a:ext>
                    </a:extLst>
                  </pic:spPr>
                </pic:pic>
              </a:graphicData>
            </a:graphic>
          </wp:inline>
        </w:drawing>
      </w:r>
    </w:p>
    <w:p w14:paraId="5B11236F" w14:textId="31A67336" w:rsidR="000245FC" w:rsidRPr="00107D3B" w:rsidRDefault="000245FC" w:rsidP="00107D3B">
      <w:r w:rsidRPr="00107D3B">
        <w:t>Study BHV3000-114 investigated the effect of rimegepant on resting blood pressure when co</w:t>
      </w:r>
      <w:r w:rsidR="00E12E54">
        <w:noBreakHyphen/>
      </w:r>
      <w:r w:rsidRPr="00107D3B">
        <w:t xml:space="preserve">administered with sumatriptan in healthy adults. Sumatriptan was given as </w:t>
      </w:r>
      <w:r w:rsidR="00107D3B">
        <w:t>two</w:t>
      </w:r>
      <w:r w:rsidRPr="00107D3B">
        <w:t xml:space="preserve"> subcutaneous injections (12</w:t>
      </w:r>
      <w:r w:rsidR="00107D3B">
        <w:t> </w:t>
      </w:r>
      <w:r w:rsidRPr="00107D3B">
        <w:t xml:space="preserve">mg total) on </w:t>
      </w:r>
      <w:r w:rsidR="00107D3B">
        <w:t>D</w:t>
      </w:r>
      <w:r w:rsidRPr="00107D3B">
        <w:t xml:space="preserve">ay 1 and </w:t>
      </w:r>
      <w:r w:rsidR="00107D3B">
        <w:t>D</w:t>
      </w:r>
      <w:r w:rsidRPr="00107D3B">
        <w:t>ay 5. Rimegepant tablet 75</w:t>
      </w:r>
      <w:r w:rsidR="00C530FD">
        <w:t> </w:t>
      </w:r>
      <w:r w:rsidRPr="00107D3B">
        <w:t xml:space="preserve">mg daily or placebo was given on </w:t>
      </w:r>
      <w:r w:rsidR="00C530FD">
        <w:t>D</w:t>
      </w:r>
      <w:r w:rsidRPr="00107D3B">
        <w:t xml:space="preserve">ay 2 to </w:t>
      </w:r>
      <w:r w:rsidR="00C530FD">
        <w:t>D</w:t>
      </w:r>
      <w:r w:rsidRPr="00107D3B">
        <w:t>ay 5. No significant effect on blood pressure was detected.</w:t>
      </w:r>
    </w:p>
    <w:p w14:paraId="3B892FCB" w14:textId="2FC51C59" w:rsidR="000245FC" w:rsidRPr="00107D3B" w:rsidRDefault="000245FC" w:rsidP="00107D3B">
      <w:r w:rsidRPr="00107D3B">
        <w:t>Study 180099 was a thorough QTc study using a 4-way crossover design. The treatments were rimegepant 75</w:t>
      </w:r>
      <w:r w:rsidR="00C530FD">
        <w:t> </w:t>
      </w:r>
      <w:r w:rsidRPr="00107D3B">
        <w:t>mg, rimegepant 300</w:t>
      </w:r>
      <w:r w:rsidR="00C530FD">
        <w:t> </w:t>
      </w:r>
      <w:r w:rsidRPr="00107D3B">
        <w:t>mg, moxifloxacin (positive control) and placebo. The two doses of rimegepant and placebo had the same QTcF pattern, whereas moxifloxacin was associated with a QTcF maximum increase of 14 milliseconds.</w:t>
      </w:r>
      <w:r w:rsidR="00CF3414">
        <w:rPr>
          <w:rStyle w:val="FootnoteReference"/>
        </w:rPr>
        <w:footnoteReference w:id="8"/>
      </w:r>
    </w:p>
    <w:p w14:paraId="18FB49C1" w14:textId="2EE20C0C" w:rsidR="000245FC" w:rsidRPr="00107D3B" w:rsidRDefault="000245FC" w:rsidP="00107D3B">
      <w:r w:rsidRPr="00107D3B">
        <w:t>The reason for the dosing regimen for migraine prevention being 75</w:t>
      </w:r>
      <w:r w:rsidR="004E0B07">
        <w:t> </w:t>
      </w:r>
      <w:r w:rsidRPr="00107D3B">
        <w:t>mg every other day is based on the following:</w:t>
      </w:r>
    </w:p>
    <w:p w14:paraId="7B491DC4" w14:textId="35EC96A6" w:rsidR="000245FC" w:rsidRPr="00107D3B" w:rsidRDefault="000245FC" w:rsidP="00036A01">
      <w:pPr>
        <w:pStyle w:val="ListBullet"/>
      </w:pPr>
      <w:r w:rsidRPr="00107D3B">
        <w:t>Studies CN170003, BHV3000-301, BHV3000-302</w:t>
      </w:r>
      <w:r w:rsidR="00036A01">
        <w:t xml:space="preserve"> and </w:t>
      </w:r>
      <w:r w:rsidRPr="00107D3B">
        <w:t>BHV3000-303 have demonstrated a durable effect of a single 75</w:t>
      </w:r>
      <w:r w:rsidR="00036A01">
        <w:t> </w:t>
      </w:r>
      <w:r w:rsidRPr="00107D3B">
        <w:t>mg dose on pain and function in acute migraine, lasting up to 48</w:t>
      </w:r>
      <w:r w:rsidR="00E12E54">
        <w:t> </w:t>
      </w:r>
      <w:r w:rsidR="00036A01">
        <w:t>hours.</w:t>
      </w:r>
    </w:p>
    <w:p w14:paraId="3F07F24C" w14:textId="72DC713E" w:rsidR="000245FC" w:rsidRPr="00107D3B" w:rsidRDefault="000245FC" w:rsidP="00036A01">
      <w:pPr>
        <w:pStyle w:val="ListBullet"/>
      </w:pPr>
      <w:r w:rsidRPr="00107D3B">
        <w:t>It has not been shown that constant high (</w:t>
      </w:r>
      <w:r w:rsidR="00036A01">
        <w:t xml:space="preserve">greater than </w:t>
      </w:r>
      <w:r w:rsidRPr="00107D3B">
        <w:t>90%) CGRP blockade is required for adequate migraine prophylaxis. Constant blockade may theoretically be associated with adverse effects such as constipation.</w:t>
      </w:r>
    </w:p>
    <w:p w14:paraId="2EE71E75" w14:textId="274E6E85" w:rsidR="000245FC" w:rsidRPr="00107D3B" w:rsidRDefault="000245FC" w:rsidP="00036A01">
      <w:pPr>
        <w:pStyle w:val="ListBullet"/>
      </w:pPr>
      <w:r w:rsidRPr="00107D3B">
        <w:t xml:space="preserve">The </w:t>
      </w:r>
      <w:r w:rsidR="00E45409">
        <w:t>s</w:t>
      </w:r>
      <w:r w:rsidRPr="00107D3B">
        <w:t>ponsor believes that prophylaxis can be achieved with a period of high CGRP blockade, a longer period of partial blockade and a short period of minimal blockade. This is achieved through every other day dosing (during which the PK at each dose resembles the PK of a single dose)</w:t>
      </w:r>
      <w:r w:rsidR="00E45409">
        <w:t>.</w:t>
      </w:r>
    </w:p>
    <w:p w14:paraId="738847F7" w14:textId="77777777" w:rsidR="000245FC" w:rsidRDefault="000245FC" w:rsidP="000245FC">
      <w:pPr>
        <w:pStyle w:val="Heading4"/>
        <w:jc w:val="both"/>
      </w:pPr>
      <w:bookmarkStart w:id="52" w:name="_Toc160177858"/>
      <w:r w:rsidRPr="00AA53F4">
        <w:lastRenderedPageBreak/>
        <w:t>Efficacy</w:t>
      </w:r>
      <w:bookmarkEnd w:id="52"/>
    </w:p>
    <w:p w14:paraId="4E3DCA49" w14:textId="2DF5987C" w:rsidR="000245FC" w:rsidRPr="00E45409" w:rsidRDefault="000245FC" w:rsidP="00E45409">
      <w:r w:rsidRPr="00E45409">
        <w:t xml:space="preserve">Four pivotal efficacy studies </w:t>
      </w:r>
      <w:r w:rsidR="00E45409">
        <w:t>were</w:t>
      </w:r>
      <w:r w:rsidRPr="00E45409">
        <w:t xml:space="preserve"> evaluated by the EMA:</w:t>
      </w:r>
    </w:p>
    <w:p w14:paraId="33864097" w14:textId="77777777" w:rsidR="000245FC" w:rsidRPr="00E45409" w:rsidRDefault="000245FC" w:rsidP="00E45409">
      <w:pPr>
        <w:pStyle w:val="ListBullet"/>
      </w:pPr>
      <w:r w:rsidRPr="00E45409">
        <w:t>BHV3000-301 with tablet for acute migraine</w:t>
      </w:r>
    </w:p>
    <w:p w14:paraId="4068B42D" w14:textId="77777777" w:rsidR="000245FC" w:rsidRPr="00E45409" w:rsidRDefault="000245FC" w:rsidP="00E45409">
      <w:pPr>
        <w:pStyle w:val="ListBullet"/>
      </w:pPr>
      <w:r w:rsidRPr="00E45409">
        <w:t>BHV3000-302 with tablet for acute migraine</w:t>
      </w:r>
    </w:p>
    <w:p w14:paraId="0BD4FB97" w14:textId="77777777" w:rsidR="000245FC" w:rsidRPr="00E45409" w:rsidRDefault="000245FC" w:rsidP="00E45409">
      <w:pPr>
        <w:pStyle w:val="ListBullet"/>
      </w:pPr>
      <w:r w:rsidRPr="00E45409">
        <w:t>BHV3000-303 with ODT for acute migraine</w:t>
      </w:r>
    </w:p>
    <w:p w14:paraId="04C49026" w14:textId="77777777" w:rsidR="000245FC" w:rsidRPr="00E45409" w:rsidRDefault="000245FC" w:rsidP="00E45409">
      <w:pPr>
        <w:pStyle w:val="ListBullet"/>
      </w:pPr>
      <w:r w:rsidRPr="00E45409">
        <w:t>BHV-3000-305 with tablet for migraine prophylaxis</w:t>
      </w:r>
    </w:p>
    <w:p w14:paraId="23D1E03F" w14:textId="031C2616" w:rsidR="00E45409" w:rsidRDefault="006A0FF5" w:rsidP="00E45409">
      <w:pPr>
        <w:pStyle w:val="Heading5"/>
      </w:pPr>
      <w:r>
        <w:t>Studies BHV3000-301, BHV3000-30</w:t>
      </w:r>
      <w:r w:rsidR="00944852">
        <w:t>2 and BHV3000-303</w:t>
      </w:r>
    </w:p>
    <w:p w14:paraId="03DAAF71" w14:textId="6B334985" w:rsidR="000245FC" w:rsidRPr="00944852" w:rsidRDefault="00944852" w:rsidP="00944852">
      <w:r w:rsidRPr="00944852">
        <w:t xml:space="preserve">Studies </w:t>
      </w:r>
      <w:r w:rsidR="000245FC" w:rsidRPr="00944852">
        <w:t>BHV3000-301</w:t>
      </w:r>
      <w:r w:rsidRPr="00944852">
        <w:t>, BHV3000-</w:t>
      </w:r>
      <w:r w:rsidR="000245FC" w:rsidRPr="00944852">
        <w:t>302</w:t>
      </w:r>
      <w:r w:rsidRPr="00944852">
        <w:t xml:space="preserve"> and BHV3000-</w:t>
      </w:r>
      <w:r w:rsidR="000245FC" w:rsidRPr="00944852">
        <w:t xml:space="preserve">303 had similar study designs and requirements. They were </w:t>
      </w:r>
      <w:r>
        <w:t>P</w:t>
      </w:r>
      <w:r w:rsidR="000245FC" w:rsidRPr="00944852">
        <w:t xml:space="preserve">hase </w:t>
      </w:r>
      <w:r>
        <w:t>III</w:t>
      </w:r>
      <w:r w:rsidR="000245FC" w:rsidRPr="00944852">
        <w:t>, double</w:t>
      </w:r>
      <w:r w:rsidR="00E12E54">
        <w:t xml:space="preserve"> </w:t>
      </w:r>
      <w:r w:rsidR="000245FC" w:rsidRPr="00944852">
        <w:t>blind, randomi</w:t>
      </w:r>
      <w:r w:rsidR="00A04B9F">
        <w:t>s</w:t>
      </w:r>
      <w:r w:rsidR="000245FC" w:rsidRPr="00944852">
        <w:t>ed, placebo</w:t>
      </w:r>
      <w:r w:rsidR="00A04B9F">
        <w:t xml:space="preserve"> </w:t>
      </w:r>
      <w:r w:rsidR="000245FC" w:rsidRPr="00944852">
        <w:t>controlled, multicentre, outpatient studies of the safety and efficacy of a single dose of rimegepant 75</w:t>
      </w:r>
      <w:r w:rsidR="00A04B9F">
        <w:t> </w:t>
      </w:r>
      <w:r w:rsidR="000245FC" w:rsidRPr="00944852">
        <w:t>mg (tablet or ODT) compared to placebo in the treatment of migraine with moderate to severe pain. The total duration of the study was up to 11 weeks. Following the screening period there was an acute treatment phase that could last up to 45 days during which the subject could treat one migraine that reached moderate to severe pain intensity. Participants were randomised 1:1 and dispensed one dose of study medication. Evaluation occurred from onset of migraine to 48 hours post dose. End of treatment occurred within 7 days of dosing.</w:t>
      </w:r>
    </w:p>
    <w:p w14:paraId="778926EA" w14:textId="0A223901" w:rsidR="000245FC" w:rsidRPr="00332D0D" w:rsidRDefault="000245FC" w:rsidP="00332D0D">
      <w:r w:rsidRPr="00332D0D">
        <w:t>Men and women aged 18 year</w:t>
      </w:r>
      <w:r w:rsidR="00E12E54">
        <w:t>s</w:t>
      </w:r>
      <w:r w:rsidRPr="00332D0D">
        <w:t xml:space="preserve"> of age and older with at least a </w:t>
      </w:r>
      <w:r w:rsidR="00E12E54">
        <w:t>one</w:t>
      </w:r>
      <w:r w:rsidRPr="00332D0D">
        <w:t xml:space="preserve"> year history of migraines and the following features:</w:t>
      </w:r>
    </w:p>
    <w:p w14:paraId="63A6C6EE" w14:textId="79D9E029" w:rsidR="000245FC" w:rsidRPr="00332D0D" w:rsidRDefault="000245FC" w:rsidP="00332D0D">
      <w:pPr>
        <w:pStyle w:val="ListBullet"/>
      </w:pPr>
      <w:r w:rsidRPr="00332D0D">
        <w:t>Migraine onset before 50 years of age</w:t>
      </w:r>
      <w:r w:rsidR="00332D0D">
        <w:t>.</w:t>
      </w:r>
    </w:p>
    <w:p w14:paraId="102A9645" w14:textId="1F078524" w:rsidR="000245FC" w:rsidRPr="00332D0D" w:rsidRDefault="000245FC" w:rsidP="00332D0D">
      <w:pPr>
        <w:pStyle w:val="ListBullet"/>
      </w:pPr>
      <w:r w:rsidRPr="00332D0D">
        <w:t xml:space="preserve">Average duration of untreated attacks 4 </w:t>
      </w:r>
      <w:r w:rsidR="005C3E7E">
        <w:t>to</w:t>
      </w:r>
      <w:r w:rsidRPr="00332D0D">
        <w:t xml:space="preserve"> 72 hours</w:t>
      </w:r>
      <w:r w:rsidR="005C3E7E">
        <w:t>.</w:t>
      </w:r>
    </w:p>
    <w:p w14:paraId="4CD38791" w14:textId="4D4D8630" w:rsidR="000245FC" w:rsidRPr="00332D0D" w:rsidRDefault="005C3E7E" w:rsidP="00332D0D">
      <w:pPr>
        <w:pStyle w:val="ListBullet"/>
      </w:pPr>
      <w:r>
        <w:t>Eight or less</w:t>
      </w:r>
      <w:r w:rsidR="000245FC" w:rsidRPr="00332D0D">
        <w:t xml:space="preserve"> moderate to severe attacks per month in previous 3 months</w:t>
      </w:r>
      <w:r>
        <w:t>.</w:t>
      </w:r>
    </w:p>
    <w:p w14:paraId="6A04AFD9" w14:textId="3221AD70" w:rsidR="000245FC" w:rsidRPr="00332D0D" w:rsidRDefault="000245FC" w:rsidP="00332D0D">
      <w:pPr>
        <w:pStyle w:val="ListBullet"/>
      </w:pPr>
      <w:r w:rsidRPr="00332D0D">
        <w:t>Ability to distinguish between migraine attacks and tension/cluster headaches</w:t>
      </w:r>
      <w:r w:rsidR="005C3E7E">
        <w:t>.</w:t>
      </w:r>
    </w:p>
    <w:p w14:paraId="50DB006E" w14:textId="0DB48F62" w:rsidR="000245FC" w:rsidRPr="00332D0D" w:rsidRDefault="000245FC" w:rsidP="00332D0D">
      <w:pPr>
        <w:pStyle w:val="ListBullet"/>
      </w:pPr>
      <w:r w:rsidRPr="00332D0D">
        <w:t xml:space="preserve">Consistent attacks numbering at least </w:t>
      </w:r>
      <w:r w:rsidR="005C3E7E">
        <w:t xml:space="preserve">two </w:t>
      </w:r>
      <w:r w:rsidRPr="00332D0D">
        <w:t>of moderate to severe intensity per month for the 3 months prior to screening and during the screening period</w:t>
      </w:r>
      <w:r w:rsidR="005C3E7E">
        <w:t>.</w:t>
      </w:r>
    </w:p>
    <w:p w14:paraId="7CAC6BAD" w14:textId="7EF19A4E" w:rsidR="000245FC" w:rsidRPr="00332D0D" w:rsidRDefault="005C3E7E" w:rsidP="00332D0D">
      <w:pPr>
        <w:pStyle w:val="ListBullet"/>
      </w:pPr>
      <w:r>
        <w:t xml:space="preserve">Less than </w:t>
      </w:r>
      <w:r w:rsidR="000245FC" w:rsidRPr="00332D0D">
        <w:t>15 days with any type of headache per month for the 3 months prior to screening and during the screening period</w:t>
      </w:r>
      <w:r>
        <w:t>.</w:t>
      </w:r>
    </w:p>
    <w:p w14:paraId="7DABC561" w14:textId="6460D292" w:rsidR="000245FC" w:rsidRPr="00332D0D" w:rsidRDefault="000245FC" w:rsidP="00332D0D">
      <w:pPr>
        <w:pStyle w:val="ListBullet"/>
      </w:pPr>
      <w:r w:rsidRPr="00332D0D">
        <w:t>If on prophylactic migraine treatment, that the dose has been stable for at least 3 months</w:t>
      </w:r>
      <w:r w:rsidR="00C94204">
        <w:t>.</w:t>
      </w:r>
    </w:p>
    <w:p w14:paraId="41C00C0E" w14:textId="77777777" w:rsidR="000245FC" w:rsidRPr="00332D0D" w:rsidRDefault="000245FC" w:rsidP="00C94204">
      <w:pPr>
        <w:pStyle w:val="ListBullet"/>
        <w:numPr>
          <w:ilvl w:val="0"/>
          <w:numId w:val="0"/>
        </w:numPr>
      </w:pPr>
      <w:r w:rsidRPr="00332D0D">
        <w:t>Major exclusion criteria were:</w:t>
      </w:r>
    </w:p>
    <w:p w14:paraId="7F9B4BA0" w14:textId="2146C280" w:rsidR="000245FC" w:rsidRPr="00332D0D" w:rsidRDefault="000245FC" w:rsidP="00C94204">
      <w:pPr>
        <w:pStyle w:val="ListBullet"/>
      </w:pPr>
      <w:r w:rsidRPr="00332D0D">
        <w:t>History of basilar or hemiplegic migraine</w:t>
      </w:r>
      <w:r w:rsidR="00C94204">
        <w:t>.</w:t>
      </w:r>
    </w:p>
    <w:p w14:paraId="03B13177" w14:textId="32A05AA1" w:rsidR="000245FC" w:rsidRPr="00332D0D" w:rsidRDefault="000245FC" w:rsidP="00C94204">
      <w:pPr>
        <w:pStyle w:val="ListBullet"/>
      </w:pPr>
      <w:r w:rsidRPr="00332D0D">
        <w:t>Uncontrolled, unstable or recently diagnosed cardiovascular disease</w:t>
      </w:r>
      <w:r w:rsidR="00C94204">
        <w:t>.</w:t>
      </w:r>
    </w:p>
    <w:p w14:paraId="3FC34AEB" w14:textId="4CC199D2" w:rsidR="000245FC" w:rsidRPr="00332D0D" w:rsidRDefault="000245FC" w:rsidP="00C94204">
      <w:pPr>
        <w:pStyle w:val="ListBullet"/>
      </w:pPr>
      <w:r w:rsidRPr="00332D0D">
        <w:t>Uncontrolled hypertension and/or diabetes</w:t>
      </w:r>
      <w:r w:rsidR="00C94204">
        <w:t>.</w:t>
      </w:r>
    </w:p>
    <w:p w14:paraId="421DE50D" w14:textId="3A36E422" w:rsidR="000245FC" w:rsidRPr="00332D0D" w:rsidRDefault="000245FC" w:rsidP="00C94204">
      <w:pPr>
        <w:pStyle w:val="ListBullet"/>
      </w:pPr>
      <w:r w:rsidRPr="00332D0D">
        <w:t>Significant neurological, psychiatric or pain syndromes</w:t>
      </w:r>
      <w:r w:rsidR="00C94204">
        <w:t>.</w:t>
      </w:r>
    </w:p>
    <w:p w14:paraId="0FE8E8BC" w14:textId="0C75D30C" w:rsidR="000245FC" w:rsidRPr="00332D0D" w:rsidRDefault="00E12E54" w:rsidP="00C94204">
      <w:pPr>
        <w:pStyle w:val="ListBullet"/>
      </w:pPr>
      <w:r w:rsidRPr="00E12E54">
        <w:rPr>
          <w:szCs w:val="22"/>
        </w:rPr>
        <w:t>Estimated glomerular filtration rate</w:t>
      </w:r>
      <w:r w:rsidRPr="00E12E54">
        <w:t xml:space="preserve"> (</w:t>
      </w:r>
      <w:r w:rsidR="000245FC" w:rsidRPr="00E12E54">
        <w:t>eGFR</w:t>
      </w:r>
      <w:r>
        <w:t>)</w:t>
      </w:r>
      <w:r w:rsidR="00E7636A">
        <w:t xml:space="preserve"> </w:t>
      </w:r>
      <w:r w:rsidR="003D26E0">
        <w:t>modification of diet in renal disease less than or equal to</w:t>
      </w:r>
      <w:r w:rsidR="000245FC" w:rsidRPr="00332D0D">
        <w:t xml:space="preserve"> 40 mL/min/1.73m</w:t>
      </w:r>
      <w:r w:rsidR="000245FC" w:rsidRPr="003D26E0">
        <w:rPr>
          <w:vertAlign w:val="superscript"/>
        </w:rPr>
        <w:t>2</w:t>
      </w:r>
      <w:r w:rsidR="003D26E0">
        <w:t>.</w:t>
      </w:r>
    </w:p>
    <w:p w14:paraId="753532EF" w14:textId="570D4082" w:rsidR="000245FC" w:rsidRPr="00133195" w:rsidRDefault="000245FC" w:rsidP="00133195">
      <w:r w:rsidRPr="00133195">
        <w:t xml:space="preserve">Rescue medication use during the acute studies was allowed from 2 hours </w:t>
      </w:r>
      <w:r w:rsidR="00E12E54">
        <w:t xml:space="preserve">post </w:t>
      </w:r>
      <w:r w:rsidRPr="00133195">
        <w:t xml:space="preserve">study drug. Triptans were only permitted from 48 </w:t>
      </w:r>
      <w:r w:rsidR="00133195" w:rsidRPr="00133195">
        <w:t>hours</w:t>
      </w:r>
      <w:r w:rsidRPr="00133195">
        <w:t xml:space="preserve"> post study drug. Assessments conducted after any rescue medication use were classified as failures.</w:t>
      </w:r>
    </w:p>
    <w:p w14:paraId="350CE8AE" w14:textId="77777777" w:rsidR="00DE785D" w:rsidRDefault="00DE785D" w:rsidP="00133195"/>
    <w:p w14:paraId="14EFF556" w14:textId="04867396" w:rsidR="000245FC" w:rsidRPr="00133195" w:rsidRDefault="000245FC" w:rsidP="00133195">
      <w:r w:rsidRPr="00133195">
        <w:lastRenderedPageBreak/>
        <w:t xml:space="preserve">The study had </w:t>
      </w:r>
      <w:r w:rsidR="00133195" w:rsidRPr="00133195">
        <w:t>two</w:t>
      </w:r>
      <w:r w:rsidRPr="00133195">
        <w:t xml:space="preserve"> co-primary endpoints:</w:t>
      </w:r>
    </w:p>
    <w:p w14:paraId="54A3971E" w14:textId="35CD4384" w:rsidR="000245FC" w:rsidRPr="00133195" w:rsidRDefault="000245FC" w:rsidP="00133195">
      <w:pPr>
        <w:pStyle w:val="ListBullet"/>
      </w:pPr>
      <w:r w:rsidRPr="00133195">
        <w:t>Freedom from pain at 2 hours post-dose (using 4 point Likert scale, 0</w:t>
      </w:r>
      <w:r w:rsidR="00E12E54">
        <w:t> </w:t>
      </w:r>
      <w:r w:rsidRPr="00133195">
        <w:t>=</w:t>
      </w:r>
      <w:r w:rsidR="00E12E54">
        <w:t> </w:t>
      </w:r>
      <w:r w:rsidRPr="00133195">
        <w:t>none, 1</w:t>
      </w:r>
      <w:r w:rsidR="00E12E54">
        <w:t> </w:t>
      </w:r>
      <w:r w:rsidRPr="00133195">
        <w:t>=</w:t>
      </w:r>
      <w:r w:rsidR="00E12E54">
        <w:t> </w:t>
      </w:r>
      <w:r w:rsidRPr="00133195">
        <w:t>mild, 2</w:t>
      </w:r>
      <w:r w:rsidR="00E12E54">
        <w:t> </w:t>
      </w:r>
      <w:r w:rsidRPr="00133195">
        <w:t>=</w:t>
      </w:r>
      <w:r w:rsidR="00E12E54">
        <w:t> </w:t>
      </w:r>
      <w:r w:rsidRPr="00133195">
        <w:t>moderate, 3</w:t>
      </w:r>
      <w:r w:rsidR="00E12E54">
        <w:t> </w:t>
      </w:r>
      <w:r w:rsidRPr="00133195">
        <w:t>=</w:t>
      </w:r>
      <w:r w:rsidR="00E12E54">
        <w:t> </w:t>
      </w:r>
      <w:r w:rsidRPr="00133195">
        <w:t>severe).</w:t>
      </w:r>
    </w:p>
    <w:p w14:paraId="22E9408D" w14:textId="15C97118" w:rsidR="000245FC" w:rsidRPr="00133195" w:rsidRDefault="000245FC" w:rsidP="00133195">
      <w:pPr>
        <w:pStyle w:val="ListBullet"/>
      </w:pPr>
      <w:r w:rsidRPr="00133195">
        <w:t>Freedom from most bothersome symptom at 2 hours post</w:t>
      </w:r>
      <w:r w:rsidR="00E12E54">
        <w:t>-</w:t>
      </w:r>
      <w:r w:rsidRPr="00133195">
        <w:t>dose (using binary scale, 0</w:t>
      </w:r>
      <w:r w:rsidR="00E12E54">
        <w:t> </w:t>
      </w:r>
      <w:r w:rsidRPr="00133195">
        <w:t>=</w:t>
      </w:r>
      <w:r w:rsidR="00E12E54">
        <w:t> </w:t>
      </w:r>
      <w:r w:rsidRPr="00133195">
        <w:t>absent, 1</w:t>
      </w:r>
      <w:r w:rsidR="00E12E54">
        <w:t> </w:t>
      </w:r>
      <w:r w:rsidRPr="00133195">
        <w:t>=</w:t>
      </w:r>
      <w:r w:rsidR="00E12E54">
        <w:t> </w:t>
      </w:r>
      <w:r w:rsidRPr="00133195">
        <w:t>present)</w:t>
      </w:r>
      <w:r w:rsidR="008B55D3">
        <w:t>.</w:t>
      </w:r>
    </w:p>
    <w:p w14:paraId="695E3537" w14:textId="0D9DD4CF" w:rsidR="000245FC" w:rsidRPr="008B55D3" w:rsidRDefault="000245FC" w:rsidP="008B55D3">
      <w:r w:rsidRPr="008B55D3">
        <w:t>Hierarchically arranged secondary endpoints were (there were differences between</w:t>
      </w:r>
      <w:r w:rsidR="00BE1BEC">
        <w:t xml:space="preserve"> Study</w:t>
      </w:r>
      <w:r w:rsidR="00E12E54">
        <w:t> </w:t>
      </w:r>
      <w:r w:rsidR="00BE1BEC" w:rsidRPr="00944852">
        <w:t xml:space="preserve">BHV3000-303 </w:t>
      </w:r>
      <w:r w:rsidR="00BE1BEC">
        <w:t>a</w:t>
      </w:r>
      <w:r w:rsidRPr="008B55D3">
        <w:t>nd</w:t>
      </w:r>
      <w:r w:rsidR="00BE1BEC">
        <w:t xml:space="preserve"> Studies </w:t>
      </w:r>
      <w:r w:rsidR="00BE1BEC" w:rsidRPr="00944852">
        <w:t>BHV3000-301</w:t>
      </w:r>
      <w:r w:rsidR="00E12E54">
        <w:t xml:space="preserve"> and </w:t>
      </w:r>
      <w:r w:rsidR="00BE1BEC" w:rsidRPr="00944852">
        <w:t>BHV3000-302</w:t>
      </w:r>
      <w:r w:rsidRPr="008B55D3">
        <w:t xml:space="preserve"> in terms of the number of endpoints and the order):</w:t>
      </w:r>
    </w:p>
    <w:p w14:paraId="5E2C7092" w14:textId="1F7F3EB4" w:rsidR="000245FC" w:rsidRPr="008B55D3" w:rsidRDefault="000245FC" w:rsidP="008B55D3">
      <w:pPr>
        <w:pStyle w:val="ListBullet"/>
      </w:pPr>
      <w:r w:rsidRPr="008B55D3">
        <w:t>Pain relief at 2 hours post-dose</w:t>
      </w:r>
      <w:r w:rsidR="00BE1BEC">
        <w:t>.</w:t>
      </w:r>
    </w:p>
    <w:p w14:paraId="69E778F6" w14:textId="6F952F7E" w:rsidR="000245FC" w:rsidRPr="008B55D3" w:rsidRDefault="000245FC" w:rsidP="008B55D3">
      <w:pPr>
        <w:pStyle w:val="ListBullet"/>
      </w:pPr>
      <w:r w:rsidRPr="008B55D3">
        <w:t>Sustained pain relief from 2 to 24 hours</w:t>
      </w:r>
      <w:r w:rsidR="00BE1BEC">
        <w:t>.</w:t>
      </w:r>
    </w:p>
    <w:p w14:paraId="70187318" w14:textId="494BE624" w:rsidR="000245FC" w:rsidRPr="008B55D3" w:rsidRDefault="000245FC" w:rsidP="008B55D3">
      <w:pPr>
        <w:pStyle w:val="ListBullet"/>
      </w:pPr>
      <w:r w:rsidRPr="008B55D3">
        <w:t>Sustained pain freedom from 2 to 24 hours</w:t>
      </w:r>
      <w:r w:rsidR="00BE1BEC">
        <w:t>.</w:t>
      </w:r>
    </w:p>
    <w:p w14:paraId="750457FA" w14:textId="7FC8C62C" w:rsidR="000245FC" w:rsidRPr="008B55D3" w:rsidRDefault="000245FC" w:rsidP="008B55D3">
      <w:pPr>
        <w:pStyle w:val="ListBullet"/>
      </w:pPr>
      <w:r w:rsidRPr="008B55D3">
        <w:t>Response from 2 to 48 hours post-dose</w:t>
      </w:r>
      <w:r w:rsidR="00BE1BEC">
        <w:t>.</w:t>
      </w:r>
    </w:p>
    <w:p w14:paraId="42B00031" w14:textId="1F84B910" w:rsidR="000245FC" w:rsidRPr="00E12E54" w:rsidRDefault="000245FC" w:rsidP="008B55D3">
      <w:pPr>
        <w:pStyle w:val="ListBullet"/>
      </w:pPr>
      <w:r w:rsidRPr="008B55D3">
        <w:t xml:space="preserve">Freedom from </w:t>
      </w:r>
      <w:r w:rsidRPr="00E12E54">
        <w:t>photophobia/phonophobia/nausea</w:t>
      </w:r>
      <w:r w:rsidR="00BE1BEC" w:rsidRPr="00E12E54">
        <w:t>.</w:t>
      </w:r>
    </w:p>
    <w:p w14:paraId="750420B4" w14:textId="61743558" w:rsidR="000245FC" w:rsidRPr="00BE1BEC" w:rsidRDefault="000245FC" w:rsidP="00BE1BEC">
      <w:r w:rsidRPr="00E12E54">
        <w:t xml:space="preserve">The </w:t>
      </w:r>
      <w:r w:rsidR="003D4C35" w:rsidRPr="00E12E54">
        <w:t xml:space="preserve">modified intention to treat </w:t>
      </w:r>
      <w:r w:rsidRPr="00E12E54">
        <w:t>(</w:t>
      </w:r>
      <w:r w:rsidR="003D4C35" w:rsidRPr="00E12E54">
        <w:t>mITT</w:t>
      </w:r>
      <w:r w:rsidRPr="00E12E54">
        <w:t>) efficacy population</w:t>
      </w:r>
      <w:r w:rsidRPr="00BE1BEC">
        <w:t xml:space="preserve"> were randomi</w:t>
      </w:r>
      <w:r w:rsidR="003D4C35">
        <w:t>s</w:t>
      </w:r>
      <w:r w:rsidRPr="00BE1BEC">
        <w:t>ed subjects who took study medication, had baseline migraine of moderate to severe pain intensity and provided at least 2 post-baseline efficacy data point</w:t>
      </w:r>
      <w:r w:rsidR="00E12E54">
        <w:t>s</w:t>
      </w:r>
      <w:r w:rsidRPr="00BE1BEC">
        <w:t>. Rimegepant was tested for superiority using a 2-sided alpha of 0.05 using Cochran-Mantel-Haenszel tests stratified by use of prophylactic medication (yes or no). Type 1 error was controlled in the secondary endpoint analysis by using a hierarchical gate-keeping procedure. Sensitivity analyses assessed the influence of missing data.</w:t>
      </w:r>
    </w:p>
    <w:p w14:paraId="3A678F7A" w14:textId="327202CD" w:rsidR="000245FC" w:rsidRPr="00BE1BEC" w:rsidRDefault="000245FC" w:rsidP="00BE1BEC">
      <w:r w:rsidRPr="00BE1BEC">
        <w:t xml:space="preserve">In </w:t>
      </w:r>
      <w:r w:rsidR="00E9754C">
        <w:t>S</w:t>
      </w:r>
      <w:r w:rsidRPr="00BE1BEC">
        <w:t>tudy BHV3000-301</w:t>
      </w:r>
      <w:r w:rsidR="00D87EFB">
        <w:t>,</w:t>
      </w:r>
      <w:r w:rsidRPr="00BE1BEC">
        <w:t xml:space="preserve"> 546 subjects were randomised to </w:t>
      </w:r>
      <w:r w:rsidR="00193254">
        <w:t xml:space="preserve">and treated with </w:t>
      </w:r>
      <w:r w:rsidRPr="00BE1BEC">
        <w:t>rimegepant and 549 to placebo</w:t>
      </w:r>
      <w:r w:rsidR="00E142C0">
        <w:t>. Out of these</w:t>
      </w:r>
      <w:r w:rsidRPr="00BE1BEC">
        <w:t xml:space="preserve"> 99.1% completed in the rimegepant group and reasons for discontinuation were loss to follow up and withdrawal by subject. In the placebo group 98.4% completed and reasons for discontinuation were loss to follow up, no occurrence of a moderate to severe migraine and withdrawal by subject.</w:t>
      </w:r>
    </w:p>
    <w:p w14:paraId="31F81F5A" w14:textId="7E2B379B" w:rsidR="000245FC" w:rsidRPr="00BE1BEC" w:rsidRDefault="000245FC" w:rsidP="00BE1BEC">
      <w:r w:rsidRPr="00BE1BEC">
        <w:t xml:space="preserve">In </w:t>
      </w:r>
      <w:r w:rsidR="00997062">
        <w:t>S</w:t>
      </w:r>
      <w:r w:rsidRPr="00BE1BEC">
        <w:t>tudy BHV3000-302</w:t>
      </w:r>
      <w:r w:rsidR="00D87EFB">
        <w:t>,</w:t>
      </w:r>
      <w:r w:rsidRPr="00BE1BEC">
        <w:t xml:space="preserve"> 543 subjects were randomised to</w:t>
      </w:r>
      <w:r w:rsidR="00193254">
        <w:t xml:space="preserve"> and treated with</w:t>
      </w:r>
      <w:r w:rsidRPr="00BE1BEC">
        <w:t xml:space="preserve"> rimegepant and 540 to placebo</w:t>
      </w:r>
      <w:r w:rsidR="004F665D">
        <w:t>. Out of these</w:t>
      </w:r>
      <w:r w:rsidRPr="00BE1BEC">
        <w:t xml:space="preserve"> 99.1% completed in the rimegepant group and reasons for discontinuation were loss to follow up, never experienced a moderate to severe migraine, other and technical problems. In the placebo group 99.8% completed and the only reason for discontinuation was loss to follow up.</w:t>
      </w:r>
    </w:p>
    <w:p w14:paraId="16D785FB" w14:textId="48AA9339" w:rsidR="000245FC" w:rsidRPr="00BE1BEC" w:rsidRDefault="000245FC" w:rsidP="00BE1BEC">
      <w:r w:rsidRPr="00BE1BEC">
        <w:t xml:space="preserve">In </w:t>
      </w:r>
      <w:r w:rsidR="00997062">
        <w:t>S</w:t>
      </w:r>
      <w:r w:rsidRPr="00BE1BEC">
        <w:t>tudy BHV3000-303</w:t>
      </w:r>
      <w:r w:rsidR="00997062">
        <w:t>,</w:t>
      </w:r>
      <w:r w:rsidRPr="00BE1BEC">
        <w:t xml:space="preserve"> 682 subjects were randomised to</w:t>
      </w:r>
      <w:r w:rsidR="003902E7">
        <w:t xml:space="preserve"> and treated with</w:t>
      </w:r>
      <w:r w:rsidRPr="00BE1BEC">
        <w:t xml:space="preserve"> rimegepant and 6</w:t>
      </w:r>
      <w:r w:rsidR="003E318F">
        <w:t>93</w:t>
      </w:r>
      <w:r w:rsidRPr="00BE1BEC">
        <w:t xml:space="preserve"> to placebo</w:t>
      </w:r>
      <w:r w:rsidR="004F665D">
        <w:t>. Out of these</w:t>
      </w:r>
      <w:r w:rsidRPr="00BE1BEC">
        <w:t xml:space="preserve"> 99.6% completed in the rimegepant group and the reason for discontinuation was loss to follow up. In the placebo group 99.4% completed and reasons for discontinuation were loss to follow up, protocol deviation and withdrawal by subject.</w:t>
      </w:r>
    </w:p>
    <w:p w14:paraId="653BB032" w14:textId="4519B3DC" w:rsidR="000245FC" w:rsidRPr="00BE1BEC" w:rsidRDefault="000245FC" w:rsidP="00BE1BEC">
      <w:r w:rsidRPr="00BE1BEC">
        <w:t xml:space="preserve">Baseline characteristics were similar across the </w:t>
      </w:r>
      <w:r w:rsidR="00524100">
        <w:t xml:space="preserve">three </w:t>
      </w:r>
      <w:r w:rsidRPr="00BE1BEC">
        <w:t>single dose acute migraine studies. The mean age was 40</w:t>
      </w:r>
      <w:r w:rsidR="00524100">
        <w:t xml:space="preserve"> to </w:t>
      </w:r>
      <w:r w:rsidRPr="00BE1BEC">
        <w:t xml:space="preserve">42 and most patients were </w:t>
      </w:r>
      <w:r w:rsidR="00E12E54">
        <w:t>W</w:t>
      </w:r>
      <w:r w:rsidRPr="00BE1BEC">
        <w:t>hite (73</w:t>
      </w:r>
      <w:r w:rsidR="00524100">
        <w:t xml:space="preserve"> to </w:t>
      </w:r>
      <w:r w:rsidRPr="00BE1BEC">
        <w:t>82%) and female (85</w:t>
      </w:r>
      <w:r w:rsidR="00524100">
        <w:t xml:space="preserve"> to </w:t>
      </w:r>
      <w:r w:rsidRPr="00BE1BEC">
        <w:t xml:space="preserve">89%). The mean </w:t>
      </w:r>
      <w:r w:rsidR="00524100">
        <w:t>body max index</w:t>
      </w:r>
      <w:r w:rsidRPr="00BE1BEC">
        <w:t xml:space="preserve"> was around 31</w:t>
      </w:r>
      <w:r w:rsidR="00524100">
        <w:t> </w:t>
      </w:r>
      <w:r w:rsidRPr="00BE1BEC">
        <w:t>kg/m</w:t>
      </w:r>
      <w:r w:rsidRPr="00524100">
        <w:rPr>
          <w:vertAlign w:val="superscript"/>
        </w:rPr>
        <w:t>2</w:t>
      </w:r>
      <w:r w:rsidRPr="00BE1BEC">
        <w:t>. Around a third of the subjects experienced aura with their migraines and most (65</w:t>
      </w:r>
      <w:r w:rsidR="00524100">
        <w:t xml:space="preserve"> to </w:t>
      </w:r>
      <w:r w:rsidRPr="00BE1BEC">
        <w:t xml:space="preserve">75%) had at least </w:t>
      </w:r>
      <w:r w:rsidR="00524100">
        <w:t>four</w:t>
      </w:r>
      <w:r w:rsidRPr="00BE1BEC">
        <w:t xml:space="preserve"> attacks per month. The majority (93</w:t>
      </w:r>
      <w:r w:rsidR="00524100">
        <w:t xml:space="preserve"> to </w:t>
      </w:r>
      <w:r w:rsidRPr="00BE1BEC">
        <w:t xml:space="preserve">96%) were not </w:t>
      </w:r>
      <w:r w:rsidR="00524100">
        <w:t>‘</w:t>
      </w:r>
      <w:r w:rsidRPr="00BE1BEC">
        <w:t>triptan non-responders</w:t>
      </w:r>
      <w:r w:rsidR="00524100">
        <w:t>’</w:t>
      </w:r>
      <w:r w:rsidRPr="00BE1BEC">
        <w:t xml:space="preserve"> (</w:t>
      </w:r>
      <w:r w:rsidR="00524100">
        <w:t>that is,</w:t>
      </w:r>
      <w:r w:rsidRPr="00BE1BEC">
        <w:t xml:space="preserve"> they responded to triptans). Only a very small proportion (around 1%) had cardiovascular risk that would contraindicate triptans. Around 83</w:t>
      </w:r>
      <w:r w:rsidR="009B31C0">
        <w:t xml:space="preserve"> to </w:t>
      </w:r>
      <w:r w:rsidRPr="00BE1BEC">
        <w:t>86% were not using prophylactic migraine medication.</w:t>
      </w:r>
    </w:p>
    <w:p w14:paraId="3DE348FA" w14:textId="4F3C4C4E" w:rsidR="000245FC" w:rsidRPr="00BE1BEC" w:rsidRDefault="000245FC" w:rsidP="00BE1BEC">
      <w:r w:rsidRPr="00BE1BEC">
        <w:t xml:space="preserve">The primary efficacy results for the </w:t>
      </w:r>
      <w:r w:rsidR="009B31C0">
        <w:t>three</w:t>
      </w:r>
      <w:r w:rsidRPr="00BE1BEC">
        <w:t xml:space="preserve"> single dose trials are shown in </w:t>
      </w:r>
      <w:r w:rsidRPr="00BE1BEC">
        <w:rPr>
          <w:color w:val="2B579A"/>
          <w:shd w:val="clear" w:color="auto" w:fill="E6E6E6"/>
        </w:rPr>
        <w:fldChar w:fldCharType="begin"/>
      </w:r>
      <w:r w:rsidRPr="00BE1BEC">
        <w:instrText xml:space="preserve"> REF _Ref121481565 \h  \* MERGEFORMAT </w:instrText>
      </w:r>
      <w:r w:rsidRPr="00BE1BEC">
        <w:rPr>
          <w:color w:val="2B579A"/>
          <w:shd w:val="clear" w:color="auto" w:fill="E6E6E6"/>
        </w:rPr>
      </w:r>
      <w:r w:rsidRPr="00BE1BEC">
        <w:rPr>
          <w:color w:val="2B579A"/>
          <w:shd w:val="clear" w:color="auto" w:fill="E6E6E6"/>
        </w:rPr>
        <w:fldChar w:fldCharType="separate"/>
      </w:r>
      <w:r w:rsidR="00834F8B">
        <w:t>Table 3</w:t>
      </w:r>
      <w:r w:rsidRPr="00BE1BEC">
        <w:rPr>
          <w:color w:val="2B579A"/>
          <w:shd w:val="clear" w:color="auto" w:fill="E6E6E6"/>
        </w:rPr>
        <w:fldChar w:fldCharType="end"/>
      </w:r>
      <w:r w:rsidRPr="00BE1BEC">
        <w:t>.</w:t>
      </w:r>
    </w:p>
    <w:p w14:paraId="53737E5A" w14:textId="279BC9FF" w:rsidR="000245FC" w:rsidRDefault="000245FC" w:rsidP="009B31C0">
      <w:pPr>
        <w:pStyle w:val="TableTitle"/>
      </w:pPr>
      <w:bookmarkStart w:id="53" w:name="_Ref121481565"/>
      <w:r>
        <w:lastRenderedPageBreak/>
        <w:t xml:space="preserve">Table </w:t>
      </w:r>
      <w:r w:rsidR="00DE785D">
        <w:fldChar w:fldCharType="begin"/>
      </w:r>
      <w:r w:rsidR="00DE785D">
        <w:instrText xml:space="preserve"> SEQ Table \* ARABIC </w:instrText>
      </w:r>
      <w:r w:rsidR="00DE785D">
        <w:fldChar w:fldCharType="separate"/>
      </w:r>
      <w:r w:rsidR="00834F8B">
        <w:rPr>
          <w:noProof/>
        </w:rPr>
        <w:t>3</w:t>
      </w:r>
      <w:r w:rsidR="00DE785D">
        <w:rPr>
          <w:noProof/>
        </w:rPr>
        <w:fldChar w:fldCharType="end"/>
      </w:r>
      <w:bookmarkEnd w:id="53"/>
      <w:r w:rsidR="009B31C0">
        <w:rPr>
          <w:noProof/>
        </w:rPr>
        <w:t>:</w:t>
      </w:r>
      <w:r>
        <w:t xml:space="preserve"> </w:t>
      </w:r>
      <w:bookmarkStart w:id="54" w:name="_Hlk157596009"/>
      <w:r>
        <w:t xml:space="preserve">Co-primary efficacy endpoints - </w:t>
      </w:r>
      <w:r w:rsidR="009B31C0" w:rsidRPr="003D4C35">
        <w:t>modified intention to treat</w:t>
      </w:r>
      <w:r>
        <w:t xml:space="preserve"> in </w:t>
      </w:r>
      <w:r w:rsidR="009B31C0">
        <w:t>P</w:t>
      </w:r>
      <w:r>
        <w:t xml:space="preserve">hase </w:t>
      </w:r>
      <w:r w:rsidR="009B31C0">
        <w:t>III</w:t>
      </w:r>
      <w:r>
        <w:t xml:space="preserve"> single dose migraine studies</w:t>
      </w:r>
      <w:bookmarkEnd w:id="54"/>
    </w:p>
    <w:p w14:paraId="0B5F85D0" w14:textId="0CA2E9C4" w:rsidR="005579B8" w:rsidRDefault="005579B8" w:rsidP="00DE785D">
      <w:r>
        <w:rPr>
          <w:noProof/>
          <w:shd w:val="clear" w:color="auto" w:fill="E6E6E6"/>
        </w:rPr>
        <w:drawing>
          <wp:inline distT="0" distB="0" distL="0" distR="0" wp14:anchorId="60EECB62" wp14:editId="7A49F99A">
            <wp:extent cx="5759450" cy="2092325"/>
            <wp:effectExtent l="0" t="0" r="0" b="3175"/>
            <wp:docPr id="16" name="Picture 16" descr="Co-primary efficacy endpoints - modified intention to treat in Phase III single dose migrain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primary efficacy endpoints - modified intention to treat in Phase III single dose migraine studies"/>
                    <pic:cNvPicPr/>
                  </pic:nvPicPr>
                  <pic:blipFill>
                    <a:blip r:embed="rId28"/>
                    <a:stretch>
                      <a:fillRect/>
                    </a:stretch>
                  </pic:blipFill>
                  <pic:spPr>
                    <a:xfrm>
                      <a:off x="0" y="0"/>
                      <a:ext cx="5759450" cy="2092325"/>
                    </a:xfrm>
                    <a:prstGeom prst="rect">
                      <a:avLst/>
                    </a:prstGeom>
                  </pic:spPr>
                </pic:pic>
              </a:graphicData>
            </a:graphic>
          </wp:inline>
        </w:drawing>
      </w:r>
    </w:p>
    <w:p w14:paraId="2B917E42" w14:textId="7AE05C7C" w:rsidR="000245FC" w:rsidRPr="003A70C9" w:rsidRDefault="000245FC" w:rsidP="003A70C9">
      <w:r w:rsidRPr="003A70C9">
        <w:t xml:space="preserve">There was a statistically significant risk difference between rimegepant and placebo for pain freedom at 2 hours. The risk differences were 10.37% in </w:t>
      </w:r>
      <w:r w:rsidR="00E12E54">
        <w:t xml:space="preserve">Study </w:t>
      </w:r>
      <w:r w:rsidRPr="003A70C9">
        <w:t xml:space="preserve">BHV3000-303, 7.59% in </w:t>
      </w:r>
      <w:r w:rsidR="00E12E54">
        <w:t xml:space="preserve">Study </w:t>
      </w:r>
      <w:r w:rsidRPr="003A70C9">
        <w:t xml:space="preserve">BHV3000-302 and 4.91% in </w:t>
      </w:r>
      <w:r w:rsidR="00E12E54">
        <w:t xml:space="preserve">Study </w:t>
      </w:r>
      <w:r w:rsidRPr="003A70C9">
        <w:t xml:space="preserve">BHV3000-301. Note that the highest absolute risk of being pain free across all three studies was only 21.2%, with rimegepant in </w:t>
      </w:r>
      <w:r w:rsidR="00E12E54">
        <w:t xml:space="preserve">Study </w:t>
      </w:r>
      <w:r w:rsidRPr="003A70C9">
        <w:t xml:space="preserve">BHV3000-303. There was a statistically significant risk difference between rimegepant and placebo for being free from most bothersome symptom at 2 hours. The risk differences were 8.29% in </w:t>
      </w:r>
      <w:r w:rsidR="00E12E54">
        <w:t>Study </w:t>
      </w:r>
      <w:r w:rsidRPr="003A70C9">
        <w:t xml:space="preserve">BHV3000-303, 12.38% in </w:t>
      </w:r>
      <w:r w:rsidR="00E12E54">
        <w:t xml:space="preserve">Study </w:t>
      </w:r>
      <w:r w:rsidRPr="003A70C9">
        <w:t xml:space="preserve">BHV3000-302 and 8.9% in </w:t>
      </w:r>
      <w:r w:rsidR="00E12E54">
        <w:t xml:space="preserve">Study </w:t>
      </w:r>
      <w:r w:rsidRPr="003A70C9">
        <w:t>BHV3000-301.</w:t>
      </w:r>
    </w:p>
    <w:p w14:paraId="07A56E51" w14:textId="77777777" w:rsidR="000245FC" w:rsidRPr="003A70C9" w:rsidRDefault="000245FC" w:rsidP="003A70C9">
      <w:r w:rsidRPr="003A70C9">
        <w:t>The secondary endpoint results were:</w:t>
      </w:r>
    </w:p>
    <w:p w14:paraId="7085BFB6" w14:textId="0AC08288" w:rsidR="000245FC" w:rsidRPr="00AB3C31" w:rsidRDefault="000245FC" w:rsidP="00AB3C31">
      <w:pPr>
        <w:pStyle w:val="ListBullet"/>
      </w:pPr>
      <w:r w:rsidRPr="00AB3C31">
        <w:t xml:space="preserve">Consistent statistically significant superiority over placebo was shown for freedom of photophobia and phonophobia at 2 hours post-dose across all </w:t>
      </w:r>
      <w:r w:rsidR="00AB3C31">
        <w:t>three</w:t>
      </w:r>
      <w:r w:rsidRPr="00AB3C31">
        <w:t xml:space="preserve"> studies</w:t>
      </w:r>
      <w:r w:rsidR="00AB3C31">
        <w:t>.</w:t>
      </w:r>
    </w:p>
    <w:p w14:paraId="5618A25A" w14:textId="77777777" w:rsidR="000245FC" w:rsidRPr="00AB3C31" w:rsidRDefault="000245FC" w:rsidP="00AB3C31">
      <w:pPr>
        <w:pStyle w:val="ListBullet"/>
      </w:pPr>
      <w:r w:rsidRPr="00AB3C31">
        <w:t>A trend towards superiority over placebo was shown for freedom of nausea across the studies. As nausea was less frequent (approximately 60%) than other symptoms present at onset of migraine, this endpoint was possibly underpowered to show a benefit.</w:t>
      </w:r>
    </w:p>
    <w:p w14:paraId="0A192CA4" w14:textId="77777777" w:rsidR="000245FC" w:rsidRPr="00AB3C31" w:rsidRDefault="000245FC" w:rsidP="00AB3C31">
      <w:pPr>
        <w:pStyle w:val="ListBullet"/>
      </w:pPr>
      <w:r w:rsidRPr="00AB3C31">
        <w:t>As the freedom from nausea at 2 hours was not significant, further secondary endpoints were not considered statistically significant.</w:t>
      </w:r>
    </w:p>
    <w:p w14:paraId="680627F0" w14:textId="7CA35AB6" w:rsidR="00257458" w:rsidRDefault="00257458" w:rsidP="00257458">
      <w:pPr>
        <w:pStyle w:val="Heading5"/>
      </w:pPr>
      <w:r>
        <w:t xml:space="preserve">Study </w:t>
      </w:r>
      <w:r w:rsidRPr="004303D6">
        <w:t>BHV3000-305</w:t>
      </w:r>
    </w:p>
    <w:p w14:paraId="02D2502C" w14:textId="29985194" w:rsidR="000245FC" w:rsidRPr="00257458" w:rsidRDefault="00257458" w:rsidP="00257458">
      <w:r w:rsidRPr="00257458">
        <w:t xml:space="preserve">Study </w:t>
      </w:r>
      <w:r w:rsidR="000245FC" w:rsidRPr="00257458">
        <w:t>BHV3000-305 was a multicentre, randomised, placebo controlled study of the safety and efficacy of rimegepant 75</w:t>
      </w:r>
      <w:r w:rsidR="00E4636F">
        <w:t> </w:t>
      </w:r>
      <w:r w:rsidR="000245FC" w:rsidRPr="00257458">
        <w:t xml:space="preserve">mg every other day in migraine prophylaxis. It consisted of </w:t>
      </w:r>
      <w:r w:rsidR="00E4636F">
        <w:t>four</w:t>
      </w:r>
      <w:r w:rsidR="000245FC" w:rsidRPr="00257458">
        <w:t xml:space="preserve"> phases: screening, 12 week double</w:t>
      </w:r>
      <w:r w:rsidR="00E4636F">
        <w:t xml:space="preserve"> </w:t>
      </w:r>
      <w:r w:rsidR="000245FC" w:rsidRPr="00257458">
        <w:t>blind treatment phase, 52 week open</w:t>
      </w:r>
      <w:r w:rsidR="00E4636F">
        <w:t xml:space="preserve"> </w:t>
      </w:r>
      <w:r w:rsidR="000245FC" w:rsidRPr="00257458">
        <w:t>label extension phase and an 8 week follow up safety phase. During the 28 day screening phase, subjects documented migraine occurrence, intensity and characteristics using an e-Diary. After this and if they were eligible, subjects were randomi</w:t>
      </w:r>
      <w:r w:rsidR="00E4636F">
        <w:t>s</w:t>
      </w:r>
      <w:r w:rsidR="000245FC" w:rsidRPr="00257458">
        <w:t>ed to either rimegepant 75</w:t>
      </w:r>
      <w:r w:rsidR="00E4636F">
        <w:t> </w:t>
      </w:r>
      <w:r w:rsidR="000245FC" w:rsidRPr="00257458">
        <w:t>mg or placebo every other day. If migraine occurred during the double blind phase, subjects could take standard of care medication.</w:t>
      </w:r>
    </w:p>
    <w:p w14:paraId="595A4B20" w14:textId="30ADB341" w:rsidR="000245FC" w:rsidRPr="00257458" w:rsidRDefault="000245FC" w:rsidP="00257458">
      <w:r w:rsidRPr="00257458">
        <w:t>Following the double</w:t>
      </w:r>
      <w:r w:rsidR="00F15381">
        <w:t xml:space="preserve"> </w:t>
      </w:r>
      <w:r w:rsidRPr="00257458">
        <w:t>blind period, subjects could enter the open</w:t>
      </w:r>
      <w:r w:rsidR="00F15381">
        <w:t> </w:t>
      </w:r>
      <w:r w:rsidRPr="00257458">
        <w:t>label phase during which they took rimegepant 75</w:t>
      </w:r>
      <w:r w:rsidR="00F15381">
        <w:t> </w:t>
      </w:r>
      <w:r w:rsidRPr="00257458">
        <w:t>mg every other day. Migraines during this period subjects were able to treat with a 75</w:t>
      </w:r>
      <w:r w:rsidR="00F15381">
        <w:t> </w:t>
      </w:r>
      <w:r w:rsidRPr="00257458">
        <w:t xml:space="preserve">mg dose of rimegepant (on days they were not scheduled to take it, </w:t>
      </w:r>
      <w:r w:rsidR="00F15381">
        <w:t>that is,</w:t>
      </w:r>
      <w:r w:rsidRPr="00257458">
        <w:t xml:space="preserve"> a maximum of 75</w:t>
      </w:r>
      <w:r w:rsidR="00F15381">
        <w:t> </w:t>
      </w:r>
      <w:r w:rsidRPr="00257458">
        <w:t>mg per day could be taken). Subjects who completed the open</w:t>
      </w:r>
      <w:r w:rsidR="00F15381">
        <w:t xml:space="preserve"> </w:t>
      </w:r>
      <w:r w:rsidRPr="00257458">
        <w:t xml:space="preserve">label phase, as well as those discontinuing earlier, had a </w:t>
      </w:r>
      <w:r w:rsidR="00F15381">
        <w:t>2</w:t>
      </w:r>
      <w:r w:rsidRPr="00257458">
        <w:t xml:space="preserve"> week and 8 week safety follow-up visit.</w:t>
      </w:r>
    </w:p>
    <w:p w14:paraId="7800EBBB" w14:textId="77777777" w:rsidR="000245FC" w:rsidRPr="00F15381" w:rsidRDefault="000245FC" w:rsidP="00F15381">
      <w:r w:rsidRPr="00F15381">
        <w:t>The migraine and headache history criteria were:</w:t>
      </w:r>
    </w:p>
    <w:p w14:paraId="5660655C" w14:textId="706A10C0" w:rsidR="000245FC" w:rsidRPr="00F15381" w:rsidRDefault="00F15381" w:rsidP="00F15381">
      <w:pPr>
        <w:pStyle w:val="ListBullet"/>
      </w:pPr>
      <w:r>
        <w:t>O</w:t>
      </w:r>
      <w:r w:rsidR="000245FC" w:rsidRPr="00F15381">
        <w:t xml:space="preserve">nset of migraine </w:t>
      </w:r>
      <w:r>
        <w:t xml:space="preserve">less than </w:t>
      </w:r>
      <w:r w:rsidR="000245FC" w:rsidRPr="00F15381">
        <w:t>50 years of age</w:t>
      </w:r>
      <w:r>
        <w:t>.</w:t>
      </w:r>
    </w:p>
    <w:p w14:paraId="4B1D6126" w14:textId="309BD4F6" w:rsidR="000245FC" w:rsidRPr="00F15381" w:rsidRDefault="00F15381" w:rsidP="00F15381">
      <w:pPr>
        <w:pStyle w:val="ListBullet"/>
      </w:pPr>
      <w:r>
        <w:t>U</w:t>
      </w:r>
      <w:r w:rsidR="000245FC" w:rsidRPr="00F15381">
        <w:t xml:space="preserve">ntreated migraine attacks last 4 </w:t>
      </w:r>
      <w:r>
        <w:t>to</w:t>
      </w:r>
      <w:r w:rsidR="000245FC" w:rsidRPr="00F15381">
        <w:t xml:space="preserve"> 72 hours</w:t>
      </w:r>
      <w:r>
        <w:t>.</w:t>
      </w:r>
    </w:p>
    <w:p w14:paraId="4124C9C5" w14:textId="3957999E" w:rsidR="000245FC" w:rsidRPr="00F15381" w:rsidRDefault="00F15381" w:rsidP="00F15381">
      <w:pPr>
        <w:pStyle w:val="ListBullet"/>
      </w:pPr>
      <w:r>
        <w:lastRenderedPageBreak/>
        <w:t>Four</w:t>
      </w:r>
      <w:r w:rsidR="000245FC" w:rsidRPr="00F15381">
        <w:t xml:space="preserve"> </w:t>
      </w:r>
      <w:r>
        <w:t>to</w:t>
      </w:r>
      <w:r w:rsidR="000245FC" w:rsidRPr="00F15381">
        <w:t xml:space="preserve"> 18 moderate to severe migraine attacks per month over previous 3 months</w:t>
      </w:r>
      <w:r>
        <w:t>.</w:t>
      </w:r>
    </w:p>
    <w:p w14:paraId="3B5D51AD" w14:textId="6BC35EFA" w:rsidR="000245FC" w:rsidRPr="00F15381" w:rsidRDefault="001207C9" w:rsidP="00F15381">
      <w:pPr>
        <w:pStyle w:val="ListBullet"/>
      </w:pPr>
      <w:r>
        <w:t>Six or more</w:t>
      </w:r>
      <w:r w:rsidR="000245FC" w:rsidRPr="00F15381">
        <w:t xml:space="preserve"> migraine days during the observation period</w:t>
      </w:r>
      <w:r>
        <w:t>.</w:t>
      </w:r>
    </w:p>
    <w:p w14:paraId="06131BCA" w14:textId="411F9C46" w:rsidR="000245FC" w:rsidRPr="00F15381" w:rsidRDefault="000245FC" w:rsidP="00F15381">
      <w:pPr>
        <w:pStyle w:val="ListBullet"/>
      </w:pPr>
      <w:r w:rsidRPr="00F15381">
        <w:t>Ability to distinguish migraine from tension/cluster headaches</w:t>
      </w:r>
      <w:r w:rsidR="001207C9">
        <w:t>.</w:t>
      </w:r>
    </w:p>
    <w:p w14:paraId="261DC1DE" w14:textId="4FB54494" w:rsidR="000245FC" w:rsidRPr="00F15381" w:rsidRDefault="000245FC" w:rsidP="00F15381">
      <w:pPr>
        <w:pStyle w:val="ListBullet"/>
      </w:pPr>
      <w:r w:rsidRPr="00F15381">
        <w:t>Other prophylactic migraine therapy permitted, as long as dose stable over previous 3</w:t>
      </w:r>
      <w:r w:rsidR="001207C9">
        <w:t> </w:t>
      </w:r>
      <w:r w:rsidRPr="00F15381">
        <w:t>months</w:t>
      </w:r>
      <w:r w:rsidR="001207C9">
        <w:t>.</w:t>
      </w:r>
    </w:p>
    <w:p w14:paraId="5EA31EF0" w14:textId="2634B209" w:rsidR="000245FC" w:rsidRPr="00F15381" w:rsidRDefault="000245FC" w:rsidP="00F15381">
      <w:pPr>
        <w:pStyle w:val="ListBullet"/>
      </w:pPr>
      <w:r w:rsidRPr="00F15381">
        <w:t xml:space="preserve">Only </w:t>
      </w:r>
      <w:r w:rsidR="001207C9">
        <w:t>one</w:t>
      </w:r>
      <w:r w:rsidRPr="00F15381">
        <w:t xml:space="preserve"> prophylactic migraine therapy permissible during the double blind period, excluding any CGRP antagonists</w:t>
      </w:r>
      <w:r w:rsidR="001207C9">
        <w:t>.</w:t>
      </w:r>
    </w:p>
    <w:p w14:paraId="32E6CD5B" w14:textId="4E9EC9ED" w:rsidR="000245FC" w:rsidRPr="00F15381" w:rsidRDefault="000245FC" w:rsidP="00F15381">
      <w:pPr>
        <w:pStyle w:val="ListBullet"/>
      </w:pPr>
      <w:r w:rsidRPr="00F15381">
        <w:t>Other CGRP antagonist use not permitted throughout study</w:t>
      </w:r>
      <w:r w:rsidR="001207C9">
        <w:t>.</w:t>
      </w:r>
    </w:p>
    <w:p w14:paraId="5B60F2AD" w14:textId="07C93898" w:rsidR="000245FC" w:rsidRPr="001207C9" w:rsidRDefault="000245FC" w:rsidP="001207C9">
      <w:r w:rsidRPr="001207C9">
        <w:t>During the double</w:t>
      </w:r>
      <w:r w:rsidR="001207C9">
        <w:t xml:space="preserve"> </w:t>
      </w:r>
      <w:r w:rsidRPr="001207C9">
        <w:t>blind phase rescue medication, including triptans, was permitted. During the open</w:t>
      </w:r>
      <w:r w:rsidR="001207C9">
        <w:t xml:space="preserve"> </w:t>
      </w:r>
      <w:r w:rsidRPr="001207C9">
        <w:t>label phase, additional rimegepant could be used as rescue therapy, as explained above. Triptans were not allowed during the open</w:t>
      </w:r>
      <w:r w:rsidR="001207C9">
        <w:t xml:space="preserve"> </w:t>
      </w:r>
      <w:r w:rsidRPr="001207C9">
        <w:t>label phase.</w:t>
      </w:r>
    </w:p>
    <w:p w14:paraId="314AAFCA" w14:textId="6E1A6F4A" w:rsidR="000245FC" w:rsidRPr="001207C9" w:rsidRDefault="000245FC" w:rsidP="001207C9">
      <w:r w:rsidRPr="001207C9">
        <w:t xml:space="preserve">The primary efficacy endpoint was the change from the observation period in the mean number of migraine days per month during the </w:t>
      </w:r>
      <w:r w:rsidR="00A1772E">
        <w:t>W</w:t>
      </w:r>
      <w:r w:rsidRPr="001207C9">
        <w:t>eek 9 to 12 period of the double blind phase.</w:t>
      </w:r>
    </w:p>
    <w:p w14:paraId="1946A32A" w14:textId="0C48FBA2" w:rsidR="000245FC" w:rsidRPr="001207C9" w:rsidRDefault="000245FC" w:rsidP="001207C9">
      <w:r w:rsidRPr="001207C9">
        <w:t xml:space="preserve">There were </w:t>
      </w:r>
      <w:r w:rsidR="00A1772E">
        <w:t>six</w:t>
      </w:r>
      <w:r w:rsidRPr="001207C9">
        <w:t xml:space="preserve"> hierarchically arrange</w:t>
      </w:r>
      <w:r w:rsidR="00E12E54">
        <w:t>d</w:t>
      </w:r>
      <w:r w:rsidRPr="001207C9">
        <w:t xml:space="preserve"> secondary efficacy endpoints:</w:t>
      </w:r>
    </w:p>
    <w:p w14:paraId="45EE4060" w14:textId="725ED4DA" w:rsidR="000245FC" w:rsidRPr="00A1772E" w:rsidRDefault="000245FC" w:rsidP="00A1772E">
      <w:pPr>
        <w:pStyle w:val="ListBullet"/>
      </w:pPr>
      <w:r w:rsidRPr="00A1772E">
        <w:t xml:space="preserve">Percentage of subjects with 50% </w:t>
      </w:r>
      <w:r w:rsidR="00F22109">
        <w:t xml:space="preserve">or greater </w:t>
      </w:r>
      <w:r w:rsidRPr="00A1772E">
        <w:t>reduction in number of moderate to severe migraine days in last 4 weeks of double</w:t>
      </w:r>
      <w:r w:rsidR="00F22109">
        <w:t xml:space="preserve"> </w:t>
      </w:r>
      <w:r w:rsidRPr="00A1772E">
        <w:t>blind phase (compared with observation period)</w:t>
      </w:r>
      <w:r w:rsidR="00F22109">
        <w:t>.</w:t>
      </w:r>
    </w:p>
    <w:p w14:paraId="60286C9A" w14:textId="2CA439F5" w:rsidR="000245FC" w:rsidRPr="00A1772E" w:rsidRDefault="000245FC" w:rsidP="00A1772E">
      <w:pPr>
        <w:pStyle w:val="ListBullet"/>
      </w:pPr>
      <w:r w:rsidRPr="00A1772E">
        <w:t xml:space="preserve">Change from </w:t>
      </w:r>
      <w:r w:rsidR="00F22109">
        <w:t>B</w:t>
      </w:r>
      <w:r w:rsidRPr="00A1772E">
        <w:t>aseline in mean number of migraine days per month over the whole double</w:t>
      </w:r>
      <w:r w:rsidR="00F22109">
        <w:t xml:space="preserve"> </w:t>
      </w:r>
      <w:r w:rsidRPr="00A1772E">
        <w:t>blind phase</w:t>
      </w:r>
      <w:r w:rsidR="00F22109">
        <w:t>.</w:t>
      </w:r>
    </w:p>
    <w:p w14:paraId="6B7B4969" w14:textId="05752F44" w:rsidR="0047182B" w:rsidRDefault="0047182B" w:rsidP="0047182B">
      <w:pPr>
        <w:pStyle w:val="ListBullet"/>
      </w:pPr>
      <w:r>
        <w:t xml:space="preserve">Rescue medication days per month in the last month of the </w:t>
      </w:r>
      <w:proofErr w:type="gramStart"/>
      <w:r>
        <w:t>double blind</w:t>
      </w:r>
      <w:proofErr w:type="gramEnd"/>
      <w:r>
        <w:t xml:space="preserve"> phase</w:t>
      </w:r>
      <w:r w:rsidR="00834F8B">
        <w:t>.</w:t>
      </w:r>
    </w:p>
    <w:p w14:paraId="09DB45F6" w14:textId="7F43EA2A" w:rsidR="000245FC" w:rsidRPr="00A1772E" w:rsidRDefault="000245FC" w:rsidP="0047182B">
      <w:pPr>
        <w:pStyle w:val="ListBullet"/>
      </w:pPr>
      <w:r w:rsidRPr="00A1772E">
        <w:t xml:space="preserve">Change from </w:t>
      </w:r>
      <w:r w:rsidR="00F22109">
        <w:t>B</w:t>
      </w:r>
      <w:r w:rsidRPr="00A1772E">
        <w:t xml:space="preserve">aseline in mean number of migraine days during </w:t>
      </w:r>
      <w:r w:rsidR="00F22109">
        <w:t>W</w:t>
      </w:r>
      <w:r w:rsidRPr="00A1772E">
        <w:t xml:space="preserve">eeks 1 to 4 of </w:t>
      </w:r>
      <w:proofErr w:type="gramStart"/>
      <w:r w:rsidRPr="00A1772E">
        <w:t>double</w:t>
      </w:r>
      <w:r w:rsidR="00F22109">
        <w:t xml:space="preserve"> </w:t>
      </w:r>
      <w:r w:rsidRPr="00A1772E">
        <w:t>blind</w:t>
      </w:r>
      <w:proofErr w:type="gramEnd"/>
      <w:r w:rsidRPr="00A1772E">
        <w:t xml:space="preserve"> phase</w:t>
      </w:r>
      <w:r w:rsidR="00F22109">
        <w:t>.</w:t>
      </w:r>
    </w:p>
    <w:p w14:paraId="3C17A511" w14:textId="4AEA7724" w:rsidR="000245FC" w:rsidRPr="00A1772E" w:rsidRDefault="000245FC" w:rsidP="00A1772E">
      <w:pPr>
        <w:pStyle w:val="ListBullet"/>
      </w:pPr>
      <w:r w:rsidRPr="00A1772E">
        <w:t xml:space="preserve">Change from </w:t>
      </w:r>
      <w:r w:rsidR="00F22109">
        <w:t>B</w:t>
      </w:r>
      <w:r w:rsidRPr="00A1772E">
        <w:t xml:space="preserve">aseline in </w:t>
      </w:r>
      <w:r w:rsidR="00E12E54">
        <w:t>m</w:t>
      </w:r>
      <w:r w:rsidRPr="00A1772E">
        <w:t xml:space="preserve">igraine </w:t>
      </w:r>
      <w:r w:rsidR="00E12E54">
        <w:t>s</w:t>
      </w:r>
      <w:r w:rsidRPr="00A1772E">
        <w:t xml:space="preserve">pecific </w:t>
      </w:r>
      <w:r w:rsidR="00E12E54">
        <w:t>q</w:t>
      </w:r>
      <w:r w:rsidRPr="00A1772E">
        <w:t xml:space="preserve">uality of </w:t>
      </w:r>
      <w:r w:rsidR="00E12E54">
        <w:t>l</w:t>
      </w:r>
      <w:r w:rsidRPr="00A1772E">
        <w:t xml:space="preserve">ife </w:t>
      </w:r>
      <w:r w:rsidR="00E12E54">
        <w:t>q</w:t>
      </w:r>
      <w:r w:rsidRPr="00A1772E">
        <w:t xml:space="preserve">uestionnaire restrictive role function domain score at </w:t>
      </w:r>
      <w:r w:rsidR="00ED1425">
        <w:t>W</w:t>
      </w:r>
      <w:r w:rsidRPr="00A1772E">
        <w:t>eek 12 in double</w:t>
      </w:r>
      <w:r w:rsidR="00ED1425">
        <w:t xml:space="preserve"> </w:t>
      </w:r>
      <w:r w:rsidRPr="00A1772E">
        <w:t>blind phase</w:t>
      </w:r>
      <w:r w:rsidR="00ED1425">
        <w:t>.</w:t>
      </w:r>
    </w:p>
    <w:p w14:paraId="72244794" w14:textId="57285822" w:rsidR="000245FC" w:rsidRPr="00A1772E" w:rsidRDefault="000245FC" w:rsidP="00A1772E">
      <w:pPr>
        <w:pStyle w:val="ListBullet"/>
      </w:pPr>
      <w:r w:rsidRPr="00A1772E">
        <w:t xml:space="preserve">Change from </w:t>
      </w:r>
      <w:r w:rsidR="00ED1425">
        <w:t>B</w:t>
      </w:r>
      <w:r w:rsidRPr="00A1772E">
        <w:t xml:space="preserve">aseline in the </w:t>
      </w:r>
      <w:r w:rsidR="00E12E54">
        <w:t>m</w:t>
      </w:r>
      <w:r w:rsidRPr="00A1772E">
        <w:t xml:space="preserve">igraine </w:t>
      </w:r>
      <w:r w:rsidR="00E12E54">
        <w:t>d</w:t>
      </w:r>
      <w:r w:rsidRPr="00A1772E">
        <w:t xml:space="preserve">isability </w:t>
      </w:r>
      <w:r w:rsidR="00E12E54">
        <w:t>a</w:t>
      </w:r>
      <w:r w:rsidRPr="00A1772E">
        <w:t xml:space="preserve">ssessment total score at </w:t>
      </w:r>
      <w:r w:rsidR="00ED1425">
        <w:t>W</w:t>
      </w:r>
      <w:r w:rsidRPr="00A1772E">
        <w:t>eek 12 in double</w:t>
      </w:r>
      <w:r w:rsidR="00ED1425">
        <w:t xml:space="preserve"> </w:t>
      </w:r>
      <w:r w:rsidRPr="00A1772E">
        <w:t>blind phase</w:t>
      </w:r>
      <w:r w:rsidR="00ED1425">
        <w:t>.</w:t>
      </w:r>
    </w:p>
    <w:p w14:paraId="74DAE0C3" w14:textId="64FF21EE" w:rsidR="000245FC" w:rsidRPr="00382E1B" w:rsidRDefault="000245FC" w:rsidP="00382E1B">
      <w:r w:rsidRPr="00382E1B">
        <w:t xml:space="preserve">The primary efficacy mITT population consisted of subjects with 14 days </w:t>
      </w:r>
      <w:r w:rsidR="00382E1B" w:rsidRPr="00382E1B">
        <w:t xml:space="preserve">or greater </w:t>
      </w:r>
      <w:r w:rsidRPr="00382E1B">
        <w:t>of e</w:t>
      </w:r>
      <w:r w:rsidR="00382E1B">
        <w:t>-</w:t>
      </w:r>
      <w:r w:rsidRPr="00382E1B">
        <w:t>Diary efficacy data in both the observation period and at least a 4 week interval of the double</w:t>
      </w:r>
      <w:r w:rsidR="00382E1B">
        <w:t xml:space="preserve"> </w:t>
      </w:r>
      <w:r w:rsidRPr="00382E1B">
        <w:t>blind phase. The primary endpoint was analysed using a generalised linear mixed effect model. Sensitivity analyses were conducted to investigate the effect of missing data.</w:t>
      </w:r>
    </w:p>
    <w:p w14:paraId="0BED9D8B" w14:textId="2FC659C5" w:rsidR="000245FC" w:rsidRPr="00382E1B" w:rsidRDefault="000245FC" w:rsidP="00382E1B">
      <w:r w:rsidRPr="00382E1B">
        <w:t>Overall</w:t>
      </w:r>
      <w:r w:rsidR="00E12E54">
        <w:t>,</w:t>
      </w:r>
      <w:r w:rsidRPr="00382E1B">
        <w:t xml:space="preserve"> 747 subjects were randomised and 370 received rimegepant and 371 received placebo in the double blind phase. Out of these, 84.5% completed the double blind phase. In the rimegepant arm, discontinuation was due to adverse event (1.4%), baseline laboratory values (2.2%), lack of efficacy (0.3%), loss to follow up (5.1%), non-compliance (1.6%), protocol deviation (1.1%) and withdrawal by subject (3%). In the placebo arm, discontinuation was due to adverse event (0.5%), baseline laboratory values (3.5%), lack of efficacy (0.3%), loss to follow up (3.2%), non-compliance (1.3%), protocol deviation (1.</w:t>
      </w:r>
      <w:r w:rsidR="003E318F">
        <w:t>3</w:t>
      </w:r>
      <w:r w:rsidRPr="00382E1B">
        <w:t>%) and withdrawal by subject (5.9%). The majority of subjects in both arms (81.5%) continued in the open</w:t>
      </w:r>
      <w:r w:rsidR="006713ED">
        <w:t xml:space="preserve"> </w:t>
      </w:r>
      <w:r w:rsidRPr="00382E1B">
        <w:t>label extension phase.</w:t>
      </w:r>
    </w:p>
    <w:p w14:paraId="35C184FC" w14:textId="2C413FFB" w:rsidR="000245FC" w:rsidRPr="00382E1B" w:rsidRDefault="000245FC" w:rsidP="00382E1B">
      <w:r w:rsidRPr="00382E1B">
        <w:t xml:space="preserve">The median age was 40 and most were </w:t>
      </w:r>
      <w:r w:rsidR="00E12E54">
        <w:t>W</w:t>
      </w:r>
      <w:r w:rsidRPr="00382E1B">
        <w:t xml:space="preserve">hite (81.2%) and female (83%). In terms of migraine history, the median number of moderate to severe migraine attacks per month was </w:t>
      </w:r>
      <w:r w:rsidR="006713ED">
        <w:t>eight</w:t>
      </w:r>
      <w:r w:rsidRPr="00382E1B">
        <w:t xml:space="preserve">. The most common </w:t>
      </w:r>
      <w:r w:rsidR="00E12E54">
        <w:t xml:space="preserve">most bothersome symptom </w:t>
      </w:r>
      <w:r w:rsidRPr="00382E1B">
        <w:t>was photophobia (57%) and most did not have aura (60%). Chronic migraine was reported in 20</w:t>
      </w:r>
      <w:r w:rsidR="0037557F">
        <w:t xml:space="preserve"> to </w:t>
      </w:r>
      <w:r w:rsidRPr="00382E1B">
        <w:t>25% of subjects.</w:t>
      </w:r>
    </w:p>
    <w:p w14:paraId="5C1786D2" w14:textId="7A4CB407" w:rsidR="000245FC" w:rsidRPr="00382E1B" w:rsidRDefault="000245FC" w:rsidP="00382E1B">
      <w:r w:rsidRPr="00382E1B">
        <w:lastRenderedPageBreak/>
        <w:t xml:space="preserve">In the double blind phase, the mITT included 695 (the main reason for exclusion was </w:t>
      </w:r>
      <w:r w:rsidR="00F4239A">
        <w:t>less than</w:t>
      </w:r>
      <w:r w:rsidRPr="00382E1B">
        <w:t xml:space="preserve"> 14 days of efficacy data available). Rimegepant 75</w:t>
      </w:r>
      <w:r w:rsidR="00F4239A">
        <w:t> </w:t>
      </w:r>
      <w:r w:rsidRPr="00382E1B">
        <w:t xml:space="preserve">mg taken every other day was superior to placebo in terms of the change from </w:t>
      </w:r>
      <w:r w:rsidR="00F4239A">
        <w:t>B</w:t>
      </w:r>
      <w:r w:rsidRPr="00382E1B">
        <w:t>aseline (observation period) to the final month of the double blind period in mean number of migraine days per month. The difference was -0.8 days per month (</w:t>
      </w:r>
      <w:r w:rsidR="00B93E6E">
        <w:t>that is,</w:t>
      </w:r>
      <w:r w:rsidRPr="00382E1B">
        <w:t xml:space="preserve"> a reduction of 0.8 days with rimegepant) (p</w:t>
      </w:r>
      <w:r w:rsidR="00B93E6E">
        <w:t> </w:t>
      </w:r>
      <w:r w:rsidRPr="00382E1B">
        <w:t>=</w:t>
      </w:r>
      <w:r w:rsidR="00B93E6E">
        <w:t> </w:t>
      </w:r>
      <w:r w:rsidRPr="00382E1B">
        <w:t>0.0099). A sensitivity analysis utilising jump-to-reference to impute missing data, the absolute difference between rimegepant and placebo was -0.7 migraine days per month (p</w:t>
      </w:r>
      <w:r w:rsidR="00B93E6E">
        <w:t> </w:t>
      </w:r>
      <w:r w:rsidRPr="00382E1B">
        <w:t>=</w:t>
      </w:r>
      <w:r w:rsidR="00B93E6E">
        <w:t> </w:t>
      </w:r>
      <w:r w:rsidRPr="00382E1B">
        <w:t>0.0099).</w:t>
      </w:r>
    </w:p>
    <w:p w14:paraId="0D9C06E0" w14:textId="77777777" w:rsidR="000245FC" w:rsidRPr="00382E1B" w:rsidRDefault="000245FC" w:rsidP="00382E1B">
      <w:r w:rsidRPr="00382E1B">
        <w:t>Secondary endpoints:</w:t>
      </w:r>
    </w:p>
    <w:p w14:paraId="35C07806" w14:textId="634C468F" w:rsidR="000245FC" w:rsidRPr="00B93E6E" w:rsidRDefault="000245FC" w:rsidP="00B93E6E">
      <w:pPr>
        <w:pStyle w:val="ListBullet"/>
      </w:pPr>
      <w:r w:rsidRPr="00B93E6E">
        <w:t xml:space="preserve">Over the entire 12 week double blind phase, there were less migraine days compared with </w:t>
      </w:r>
      <w:r w:rsidR="00E12E54">
        <w:t>B</w:t>
      </w:r>
      <w:r w:rsidRPr="00B93E6E">
        <w:t xml:space="preserve">aseline in the rimegepant arm compared with the placebo arm (-3.6 </w:t>
      </w:r>
      <w:r w:rsidR="002B6550">
        <w:t>versus</w:t>
      </w:r>
      <w:r w:rsidRPr="00B93E6E">
        <w:t xml:space="preserve"> -2.7 respectively, p</w:t>
      </w:r>
      <w:r w:rsidR="002B6550">
        <w:t> </w:t>
      </w:r>
      <w:r w:rsidRPr="00B93E6E">
        <w:t>=</w:t>
      </w:r>
      <w:r w:rsidR="002B6550">
        <w:t> </w:t>
      </w:r>
      <w:r w:rsidRPr="00B93E6E">
        <w:t>0.0017)</w:t>
      </w:r>
      <w:r w:rsidR="002B6550">
        <w:t>.</w:t>
      </w:r>
    </w:p>
    <w:p w14:paraId="33C93DF2" w14:textId="2BC7A8C3" w:rsidR="000245FC" w:rsidRPr="00B93E6E" w:rsidRDefault="000245FC" w:rsidP="00B93E6E">
      <w:pPr>
        <w:pStyle w:val="ListBullet"/>
      </w:pPr>
      <w:r w:rsidRPr="00B93E6E">
        <w:t>There was no statistically significant difference in rescue medication use between the two arms, during any particular 4 week period or during the entire 12 week double blind phase. There was a trend to reduced use with rimegepant however the</w:t>
      </w:r>
      <w:r w:rsidR="002B6550">
        <w:t xml:space="preserve"> </w:t>
      </w:r>
      <w:r w:rsidRPr="00B93E6E">
        <w:t>absolute differences were small.</w:t>
      </w:r>
    </w:p>
    <w:p w14:paraId="4A5A367E" w14:textId="128820B5" w:rsidR="000245FC" w:rsidRPr="00B93E6E" w:rsidRDefault="009408A7" w:rsidP="00B93E6E">
      <w:pPr>
        <w:pStyle w:val="ListBullet"/>
      </w:pPr>
      <w:r>
        <w:t xml:space="preserve">Overall, </w:t>
      </w:r>
      <w:r w:rsidR="000245FC" w:rsidRPr="00B93E6E">
        <w:t>7.6% more subjects in the rimegepant arm compared with the placebo arm were able to achieve a 50% reduction in migraine days during the last 4 week period of the 12</w:t>
      </w:r>
      <w:r>
        <w:t> </w:t>
      </w:r>
      <w:r w:rsidR="000245FC" w:rsidRPr="00B93E6E">
        <w:t xml:space="preserve">week double blind phase (49.1% </w:t>
      </w:r>
      <w:r>
        <w:t xml:space="preserve">versus </w:t>
      </w:r>
      <w:r w:rsidR="000245FC" w:rsidRPr="00B93E6E">
        <w:t>41.5%; p</w:t>
      </w:r>
      <w:r>
        <w:t> </w:t>
      </w:r>
      <w:r w:rsidR="000245FC" w:rsidRPr="00B93E6E">
        <w:t>=</w:t>
      </w:r>
      <w:r>
        <w:t> </w:t>
      </w:r>
      <w:r w:rsidR="000245FC" w:rsidRPr="00B93E6E">
        <w:t>0.0438).</w:t>
      </w:r>
    </w:p>
    <w:p w14:paraId="01E967DA" w14:textId="34977123" w:rsidR="000245FC" w:rsidRPr="00B93E6E" w:rsidRDefault="000245FC" w:rsidP="00B93E6E">
      <w:pPr>
        <w:pStyle w:val="ListBullet"/>
      </w:pPr>
      <w:r w:rsidRPr="00B93E6E">
        <w:t xml:space="preserve">There was no difference in change in </w:t>
      </w:r>
      <w:r w:rsidR="00B77CBE">
        <w:t>migraine disability assessment</w:t>
      </w:r>
      <w:r w:rsidR="00987941">
        <w:t xml:space="preserve"> </w:t>
      </w:r>
      <w:r w:rsidRPr="00B93E6E">
        <w:t>score between the two groups.</w:t>
      </w:r>
    </w:p>
    <w:p w14:paraId="7241D522" w14:textId="09D8D970" w:rsidR="000245FC" w:rsidRPr="00987941" w:rsidRDefault="000245FC" w:rsidP="00987941">
      <w:r w:rsidRPr="00987941">
        <w:t xml:space="preserve">During the open label phase subjects originally assigned to either rimegepant or placebo maintained a reduction of around </w:t>
      </w:r>
      <w:r w:rsidR="00BE3A36">
        <w:t xml:space="preserve">five </w:t>
      </w:r>
      <w:r w:rsidRPr="00987941">
        <w:t xml:space="preserve">migraine days per month compared to the </w:t>
      </w:r>
      <w:r w:rsidR="00BE3A36">
        <w:t>b</w:t>
      </w:r>
      <w:r w:rsidRPr="00987941">
        <w:t>aseline observation period (</w:t>
      </w:r>
      <w:r w:rsidRPr="00987941">
        <w:rPr>
          <w:color w:val="2B579A"/>
          <w:shd w:val="clear" w:color="auto" w:fill="E6E6E6"/>
        </w:rPr>
        <w:fldChar w:fldCharType="begin"/>
      </w:r>
      <w:r w:rsidRPr="00987941">
        <w:instrText xml:space="preserve"> REF _Ref121492087 \h  \* MERGEFORMAT </w:instrText>
      </w:r>
      <w:r w:rsidRPr="00987941">
        <w:rPr>
          <w:color w:val="2B579A"/>
          <w:shd w:val="clear" w:color="auto" w:fill="E6E6E6"/>
        </w:rPr>
      </w:r>
      <w:r w:rsidRPr="00987941">
        <w:rPr>
          <w:color w:val="2B579A"/>
          <w:shd w:val="clear" w:color="auto" w:fill="E6E6E6"/>
        </w:rPr>
        <w:fldChar w:fldCharType="separate"/>
      </w:r>
      <w:r w:rsidR="00834F8B">
        <w:t>Figure 5</w:t>
      </w:r>
      <w:r w:rsidRPr="00987941">
        <w:rPr>
          <w:color w:val="2B579A"/>
          <w:shd w:val="clear" w:color="auto" w:fill="E6E6E6"/>
        </w:rPr>
        <w:fldChar w:fldCharType="end"/>
      </w:r>
      <w:r w:rsidRPr="00987941">
        <w:t>). Whilst this is consistent with maintenance of efficacy up to 10</w:t>
      </w:r>
      <w:r w:rsidR="00BE3A36">
        <w:t> </w:t>
      </w:r>
      <w:r w:rsidRPr="00987941">
        <w:t>months, it is not possible to definitively attribute this to rimegepant in the absence of a comparator group.</w:t>
      </w:r>
    </w:p>
    <w:p w14:paraId="629A695F" w14:textId="776861B4" w:rsidR="000245FC" w:rsidRDefault="000245FC" w:rsidP="00BE3A36">
      <w:pPr>
        <w:pStyle w:val="FigureTitle"/>
      </w:pPr>
      <w:bookmarkStart w:id="55" w:name="_Ref121492087"/>
      <w:r>
        <w:t xml:space="preserve">Figure </w:t>
      </w:r>
      <w:r w:rsidR="00DE785D">
        <w:fldChar w:fldCharType="begin"/>
      </w:r>
      <w:r w:rsidR="00DE785D">
        <w:instrText xml:space="preserve"> SEQ Figure \* ARABIC </w:instrText>
      </w:r>
      <w:r w:rsidR="00DE785D">
        <w:fldChar w:fldCharType="separate"/>
      </w:r>
      <w:r w:rsidR="00834F8B">
        <w:rPr>
          <w:noProof/>
        </w:rPr>
        <w:t>5</w:t>
      </w:r>
      <w:r w:rsidR="00DE785D">
        <w:rPr>
          <w:noProof/>
        </w:rPr>
        <w:fldChar w:fldCharType="end"/>
      </w:r>
      <w:bookmarkEnd w:id="55"/>
      <w:r w:rsidR="00BE3A36">
        <w:rPr>
          <w:noProof/>
        </w:rPr>
        <w:t xml:space="preserve">: </w:t>
      </w:r>
      <w:r>
        <w:t>Longitudinal plot of total migraine days per month mean change from the observational period over time on open</w:t>
      </w:r>
      <w:r w:rsidR="00C7529D">
        <w:t xml:space="preserve"> </w:t>
      </w:r>
      <w:r>
        <w:t xml:space="preserve">label rimegepant </w:t>
      </w:r>
      <w:r w:rsidR="00C7529D">
        <w:t>–</w:t>
      </w:r>
      <w:r>
        <w:t xml:space="preserve"> </w:t>
      </w:r>
      <w:r w:rsidR="00C7529D">
        <w:t>modified intention to treat</w:t>
      </w:r>
      <w:r>
        <w:t xml:space="preserve"> subjects</w:t>
      </w:r>
    </w:p>
    <w:p w14:paraId="5FB4AC1B" w14:textId="51F49926" w:rsidR="006B6026" w:rsidRDefault="006B6026" w:rsidP="00DE785D">
      <w:r>
        <w:rPr>
          <w:noProof/>
          <w:shd w:val="clear" w:color="auto" w:fill="E6E6E6"/>
        </w:rPr>
        <w:drawing>
          <wp:inline distT="0" distB="0" distL="0" distR="0" wp14:anchorId="2FA41628" wp14:editId="08C5BD1E">
            <wp:extent cx="5581816" cy="3433625"/>
            <wp:effectExtent l="0" t="0" r="0" b="0"/>
            <wp:docPr id="17" name="Picture 17" descr="Longitudinal plot of total migraine days per month mean change from the observational period over time on open label rimegepant – modified intention to treat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ngitudinal plot of total migraine days per month mean change from the observational period over time on open label rimegepant – modified intention to treat subjects"/>
                    <pic:cNvPicPr/>
                  </pic:nvPicPr>
                  <pic:blipFill rotWithShape="1">
                    <a:blip r:embed="rId29"/>
                    <a:srcRect l="992"/>
                    <a:stretch/>
                  </pic:blipFill>
                  <pic:spPr bwMode="auto">
                    <a:xfrm>
                      <a:off x="0" y="0"/>
                      <a:ext cx="5585963" cy="3436176"/>
                    </a:xfrm>
                    <a:prstGeom prst="rect">
                      <a:avLst/>
                    </a:prstGeom>
                    <a:ln>
                      <a:noFill/>
                    </a:ln>
                    <a:extLst>
                      <a:ext uri="{53640926-AAD7-44D8-BBD7-CCE9431645EC}">
                        <a14:shadowObscured xmlns:a14="http://schemas.microsoft.com/office/drawing/2010/main"/>
                      </a:ext>
                    </a:extLst>
                  </pic:spPr>
                </pic:pic>
              </a:graphicData>
            </a:graphic>
          </wp:inline>
        </w:drawing>
      </w:r>
    </w:p>
    <w:p w14:paraId="3BD6F348" w14:textId="4DA3A900" w:rsidR="000245FC" w:rsidRPr="00E12E54" w:rsidRDefault="000245FC" w:rsidP="00E12E54">
      <w:r w:rsidRPr="00E12E54">
        <w:lastRenderedPageBreak/>
        <w:t xml:space="preserve">The EMA evaluation of the data included only partial data for those subjects treated in the open label extension. As part of the current application to the TGA for registration, the </w:t>
      </w:r>
      <w:r w:rsidR="00E12E54">
        <w:t>s</w:t>
      </w:r>
      <w:r w:rsidRPr="00E12E54">
        <w:t xml:space="preserve">ponsor has submitted a </w:t>
      </w:r>
      <w:r w:rsidR="00841178">
        <w:t>clinical study report</w:t>
      </w:r>
      <w:r w:rsidRPr="00E12E54">
        <w:t xml:space="preserve"> addendum which presents complete data for the 52 week open label extension, as well as additional data for the entire 64 week period.</w:t>
      </w:r>
    </w:p>
    <w:p w14:paraId="403FDC03" w14:textId="3CB06766" w:rsidR="000245FC" w:rsidRPr="00E12E54" w:rsidRDefault="000245FC" w:rsidP="00E12E54">
      <w:r w:rsidRPr="00E12E54">
        <w:t>Most patients who completed the double blind phase entered the open label extension (302</w:t>
      </w:r>
      <w:r w:rsidR="00841178">
        <w:t xml:space="preserve"> out of </w:t>
      </w:r>
      <w:r w:rsidRPr="00E12E54">
        <w:t>370 in rimegepant arm and 301</w:t>
      </w:r>
      <w:r w:rsidR="00841178">
        <w:t xml:space="preserve"> out of </w:t>
      </w:r>
      <w:r w:rsidRPr="00E12E54">
        <w:t>371 in placebo arm). Of these 603 subjects, 71% completed the open label extension. The most common reasons for not completing were withdrawal by subject (57</w:t>
      </w:r>
      <w:r w:rsidR="00841178">
        <w:t xml:space="preserve"> subjects</w:t>
      </w:r>
      <w:r w:rsidRPr="00E12E54">
        <w:t>), lost to follow-up (32</w:t>
      </w:r>
      <w:r w:rsidR="00841178">
        <w:t xml:space="preserve"> subjects</w:t>
      </w:r>
      <w:r w:rsidRPr="00E12E54">
        <w:t>), non-compliance (29</w:t>
      </w:r>
      <w:r w:rsidR="00841178">
        <w:t> subjects</w:t>
      </w:r>
      <w:r w:rsidRPr="00E12E54">
        <w:t xml:space="preserve">), </w:t>
      </w:r>
      <w:r w:rsidR="00841178">
        <w:t>adverse event</w:t>
      </w:r>
      <w:r w:rsidRPr="00E12E54">
        <w:t xml:space="preserve"> (19</w:t>
      </w:r>
      <w:r w:rsidR="00841178">
        <w:t xml:space="preserve"> subjects</w:t>
      </w:r>
      <w:r w:rsidRPr="00E12E54">
        <w:t>) and physician decision (18</w:t>
      </w:r>
      <w:r w:rsidR="00841178">
        <w:t xml:space="preserve"> subjects</w:t>
      </w:r>
      <w:r w:rsidRPr="00E12E54">
        <w:t>).</w:t>
      </w:r>
    </w:p>
    <w:p w14:paraId="6CE8242C" w14:textId="5F9353B9" w:rsidR="000245FC" w:rsidRPr="00E12E54" w:rsidRDefault="000245FC" w:rsidP="00E12E54">
      <w:r w:rsidRPr="00E12E54">
        <w:t>The open label results suggest that subjects initially randomised to placebo could achieve a similar reduction in migraine days per month once commenced on rimegepant. Over the subsequent 13 months there appeared to be sustained reduction in migraine days per month (</w:t>
      </w:r>
      <w:r w:rsidRPr="00E12E54">
        <w:rPr>
          <w:color w:val="2B579A"/>
          <w:shd w:val="clear" w:color="auto" w:fill="E6E6E6"/>
        </w:rPr>
        <w:fldChar w:fldCharType="begin"/>
      </w:r>
      <w:r w:rsidRPr="00E12E54">
        <w:instrText xml:space="preserve"> REF _Ref126320132 \h  \* MERGEFORMAT </w:instrText>
      </w:r>
      <w:r w:rsidRPr="00E12E54">
        <w:rPr>
          <w:color w:val="2B579A"/>
          <w:shd w:val="clear" w:color="auto" w:fill="E6E6E6"/>
        </w:rPr>
      </w:r>
      <w:r w:rsidRPr="00E12E54">
        <w:rPr>
          <w:color w:val="2B579A"/>
          <w:shd w:val="clear" w:color="auto" w:fill="E6E6E6"/>
        </w:rPr>
        <w:fldChar w:fldCharType="separate"/>
      </w:r>
      <w:r w:rsidR="00834F8B">
        <w:t>Figure 6</w:t>
      </w:r>
      <w:r w:rsidRPr="00E12E54">
        <w:rPr>
          <w:color w:val="2B579A"/>
          <w:shd w:val="clear" w:color="auto" w:fill="E6E6E6"/>
        </w:rPr>
        <w:fldChar w:fldCharType="end"/>
      </w:r>
      <w:r w:rsidRPr="00E12E54">
        <w:t>). These data are limited due to the absence of a comparator arm and the likelihood of non-responders to withdraw from the trial.</w:t>
      </w:r>
    </w:p>
    <w:p w14:paraId="1792621B" w14:textId="5628BCF5" w:rsidR="000245FC" w:rsidRDefault="000245FC" w:rsidP="00325824">
      <w:pPr>
        <w:pStyle w:val="FigureTitle"/>
      </w:pPr>
      <w:bookmarkStart w:id="56" w:name="_Ref126320132"/>
      <w:r>
        <w:t xml:space="preserve">Figure </w:t>
      </w:r>
      <w:r w:rsidR="00DE785D">
        <w:fldChar w:fldCharType="begin"/>
      </w:r>
      <w:r w:rsidR="00DE785D">
        <w:instrText xml:space="preserve"> SEQ Figure \* ARABIC </w:instrText>
      </w:r>
      <w:r w:rsidR="00DE785D">
        <w:fldChar w:fldCharType="separate"/>
      </w:r>
      <w:r w:rsidR="00834F8B">
        <w:rPr>
          <w:noProof/>
        </w:rPr>
        <w:t>6</w:t>
      </w:r>
      <w:r w:rsidR="00DE785D">
        <w:rPr>
          <w:noProof/>
        </w:rPr>
        <w:fldChar w:fldCharType="end"/>
      </w:r>
      <w:bookmarkEnd w:id="56"/>
      <w:r w:rsidR="00325824">
        <w:rPr>
          <w:noProof/>
        </w:rPr>
        <w:t>:</w:t>
      </w:r>
      <w:r>
        <w:t xml:space="preserve"> Longitudinal </w:t>
      </w:r>
      <w:r w:rsidR="00325824">
        <w:t>p</w:t>
      </w:r>
      <w:r>
        <w:t>lot of total migraine days per month mean change from observational period over time on open label rimegepant</w:t>
      </w:r>
    </w:p>
    <w:p w14:paraId="62A0222A" w14:textId="29294977" w:rsidR="001829EA" w:rsidRDefault="001829EA" w:rsidP="00DE785D">
      <w:r>
        <w:rPr>
          <w:noProof/>
          <w:shd w:val="clear" w:color="auto" w:fill="E6E6E6"/>
        </w:rPr>
        <w:drawing>
          <wp:inline distT="0" distB="0" distL="0" distR="0" wp14:anchorId="2FF430B3" wp14:editId="3CAB5CB1">
            <wp:extent cx="5759450" cy="2669540"/>
            <wp:effectExtent l="0" t="0" r="0" b="0"/>
            <wp:docPr id="18" name="Picture 18" descr="Longitudinal plot of total migraine days per month mean change from observational period over time on open label rimege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ngitudinal plot of total migraine days per month mean change from observational period over time on open label rimegepant"/>
                    <pic:cNvPicPr/>
                  </pic:nvPicPr>
                  <pic:blipFill>
                    <a:blip r:embed="rId30"/>
                    <a:stretch>
                      <a:fillRect/>
                    </a:stretch>
                  </pic:blipFill>
                  <pic:spPr>
                    <a:xfrm>
                      <a:off x="0" y="0"/>
                      <a:ext cx="5759450" cy="2669540"/>
                    </a:xfrm>
                    <a:prstGeom prst="rect">
                      <a:avLst/>
                    </a:prstGeom>
                  </pic:spPr>
                </pic:pic>
              </a:graphicData>
            </a:graphic>
          </wp:inline>
        </w:drawing>
      </w:r>
    </w:p>
    <w:p w14:paraId="7AC02AA1" w14:textId="6B6E8D85" w:rsidR="00000DB9" w:rsidRDefault="00000DB9" w:rsidP="00000DB9">
      <w:pPr>
        <w:pStyle w:val="Heading5"/>
      </w:pPr>
      <w:r w:rsidRPr="002D2FA8">
        <w:t>Study BHV3000-201</w:t>
      </w:r>
    </w:p>
    <w:p w14:paraId="06915C77" w14:textId="6E549456" w:rsidR="000245FC" w:rsidRPr="002D2FA8" w:rsidRDefault="000245FC" w:rsidP="002D2FA8">
      <w:r w:rsidRPr="002D2FA8">
        <w:t xml:space="preserve">Supportive </w:t>
      </w:r>
      <w:r w:rsidR="002D2FA8">
        <w:t>S</w:t>
      </w:r>
      <w:r w:rsidRPr="002D2FA8">
        <w:t>tudy BHV3000-201 was a multicentre, open</w:t>
      </w:r>
      <w:r w:rsidR="002D2FA8">
        <w:t xml:space="preserve"> l</w:t>
      </w:r>
      <w:r w:rsidRPr="002D2FA8">
        <w:t>abel safety and tolerability study of long term rimegepant (mainly dosed on an as required basis, although there was a small every other day dosing group). As this was a safety study, there were no primary or secondary endpoints for efficacy. Exploratory endpoints included the number of migraine headache days and severity of migraine attacks during the period that subjects were treated with rimegepant compared with during the observation period. The study included 52 week enrolment groups (one with migraines occurring 2</w:t>
      </w:r>
      <w:r w:rsidR="002D2FA8">
        <w:t xml:space="preserve"> to </w:t>
      </w:r>
      <w:r w:rsidRPr="002D2FA8">
        <w:t>8 days per month and the other with migraine occurring 9</w:t>
      </w:r>
      <w:r w:rsidR="002D2FA8">
        <w:t xml:space="preserve"> to </w:t>
      </w:r>
      <w:r w:rsidRPr="002D2FA8">
        <w:t>14 days per month) who used rimegepant as required (up to 75</w:t>
      </w:r>
      <w:r w:rsidR="002D2FA8">
        <w:t> </w:t>
      </w:r>
      <w:r w:rsidRPr="002D2FA8">
        <w:t>mg daily). The study also included a 12 week enrolment group. One subgroup used rimegepant 75</w:t>
      </w:r>
      <w:r w:rsidR="002D2FA8">
        <w:t> </w:t>
      </w:r>
      <w:r w:rsidRPr="002D2FA8">
        <w:t>mg every other daily and as required (</w:t>
      </w:r>
      <w:r w:rsidR="002D2FA8">
        <w:t>that is,</w:t>
      </w:r>
      <w:r w:rsidRPr="002D2FA8">
        <w:t xml:space="preserve"> 75</w:t>
      </w:r>
      <w:r w:rsidR="002D2FA8">
        <w:t> </w:t>
      </w:r>
      <w:r w:rsidRPr="002D2FA8">
        <w:t xml:space="preserve">mg on non-scheduled dosing days) and the other group used rimegepant as required, as well as </w:t>
      </w:r>
      <w:r w:rsidR="002D2FA8">
        <w:t>a</w:t>
      </w:r>
      <w:r w:rsidRPr="002D2FA8">
        <w:t xml:space="preserve"> </w:t>
      </w:r>
      <w:r w:rsidR="002D2FA8">
        <w:t>United States Food and Drug Administration (</w:t>
      </w:r>
      <w:r w:rsidRPr="002D2FA8">
        <w:t>FDA</w:t>
      </w:r>
      <w:r w:rsidR="002D2FA8">
        <w:t xml:space="preserve">) </w:t>
      </w:r>
      <w:r w:rsidRPr="002D2FA8">
        <w:t xml:space="preserve">approved CGRP antagonist biologic (only 13 subjects were treated in this latter group). Triptans were not allowed during the long term treatment phase, but were allowed during the </w:t>
      </w:r>
      <w:r w:rsidR="002D2FA8">
        <w:t>one</w:t>
      </w:r>
      <w:r w:rsidRPr="002D2FA8">
        <w:t xml:space="preserve"> month preceding observation period. The numbers of patients in each enrolment group and the exposure over their respective study periods is shown in </w:t>
      </w:r>
      <w:r w:rsidRPr="002D2FA8">
        <w:rPr>
          <w:color w:val="2B579A"/>
          <w:shd w:val="clear" w:color="auto" w:fill="E6E6E6"/>
        </w:rPr>
        <w:fldChar w:fldCharType="begin"/>
      </w:r>
      <w:r w:rsidRPr="002D2FA8">
        <w:instrText xml:space="preserve"> REF _Ref126242954 \h  \* MERGEFORMAT </w:instrText>
      </w:r>
      <w:r w:rsidRPr="002D2FA8">
        <w:rPr>
          <w:color w:val="2B579A"/>
          <w:shd w:val="clear" w:color="auto" w:fill="E6E6E6"/>
        </w:rPr>
      </w:r>
      <w:r w:rsidRPr="002D2FA8">
        <w:rPr>
          <w:color w:val="2B579A"/>
          <w:shd w:val="clear" w:color="auto" w:fill="E6E6E6"/>
        </w:rPr>
        <w:fldChar w:fldCharType="separate"/>
      </w:r>
      <w:r w:rsidR="00834F8B">
        <w:t>Figure 7</w:t>
      </w:r>
      <w:r w:rsidRPr="002D2FA8">
        <w:rPr>
          <w:color w:val="2B579A"/>
          <w:shd w:val="clear" w:color="auto" w:fill="E6E6E6"/>
        </w:rPr>
        <w:fldChar w:fldCharType="end"/>
      </w:r>
      <w:r w:rsidRPr="002D2FA8">
        <w:t>.</w:t>
      </w:r>
    </w:p>
    <w:p w14:paraId="1194E413" w14:textId="408830EF" w:rsidR="000245FC" w:rsidRDefault="000245FC" w:rsidP="002D2FA8">
      <w:pPr>
        <w:pStyle w:val="FigureTitle"/>
      </w:pPr>
      <w:bookmarkStart w:id="57" w:name="_Ref126242954"/>
      <w:r>
        <w:lastRenderedPageBreak/>
        <w:t xml:space="preserve">Figure </w:t>
      </w:r>
      <w:r w:rsidR="00DE785D">
        <w:fldChar w:fldCharType="begin"/>
      </w:r>
      <w:r w:rsidR="00DE785D">
        <w:instrText xml:space="preserve"> SEQ Figure \* ARABIC </w:instrText>
      </w:r>
      <w:r w:rsidR="00DE785D">
        <w:fldChar w:fldCharType="separate"/>
      </w:r>
      <w:r w:rsidR="00834F8B">
        <w:rPr>
          <w:noProof/>
        </w:rPr>
        <w:t>7</w:t>
      </w:r>
      <w:r w:rsidR="00DE785D">
        <w:rPr>
          <w:noProof/>
        </w:rPr>
        <w:fldChar w:fldCharType="end"/>
      </w:r>
      <w:bookmarkEnd w:id="57"/>
      <w:r w:rsidR="002D2FA8">
        <w:rPr>
          <w:noProof/>
        </w:rPr>
        <w:t>:</w:t>
      </w:r>
      <w:r>
        <w:t xml:space="preserve"> Time in long</w:t>
      </w:r>
      <w:r w:rsidR="002D2FA8">
        <w:t xml:space="preserve"> </w:t>
      </w:r>
      <w:r>
        <w:t>term treatment period</w:t>
      </w:r>
      <w:r w:rsidR="002D2FA8">
        <w:t xml:space="preserve">, </w:t>
      </w:r>
      <w:r>
        <w:t>cumulative and average rimegepant exposure</w:t>
      </w:r>
      <w:r w:rsidR="002D2FA8">
        <w:t xml:space="preserve"> for</w:t>
      </w:r>
      <w:r>
        <w:t xml:space="preserve"> treated subjects</w:t>
      </w:r>
    </w:p>
    <w:p w14:paraId="782C80C6" w14:textId="214DA630" w:rsidR="002D2FA8" w:rsidRPr="002D2FA8" w:rsidRDefault="002D2FA8" w:rsidP="00DE785D">
      <w:r>
        <w:rPr>
          <w:noProof/>
          <w:shd w:val="clear" w:color="auto" w:fill="E6E6E6"/>
        </w:rPr>
        <w:drawing>
          <wp:inline distT="0" distB="0" distL="0" distR="0" wp14:anchorId="3AED3D1B" wp14:editId="587263A4">
            <wp:extent cx="5689600" cy="3440430"/>
            <wp:effectExtent l="0" t="0" r="6350" b="7620"/>
            <wp:docPr id="2" name="Picture 2" descr="Time in long term treatment period, cumulative and average rimegepant exposure for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 in long term treatment period, cumulative and average rimegepant exposure for treated subjects"/>
                    <pic:cNvPicPr/>
                  </pic:nvPicPr>
                  <pic:blipFill rotWithShape="1">
                    <a:blip r:embed="rId31"/>
                    <a:srcRect l="1213"/>
                    <a:stretch/>
                  </pic:blipFill>
                  <pic:spPr bwMode="auto">
                    <a:xfrm>
                      <a:off x="0" y="0"/>
                      <a:ext cx="5689600" cy="3440430"/>
                    </a:xfrm>
                    <a:prstGeom prst="rect">
                      <a:avLst/>
                    </a:prstGeom>
                    <a:ln>
                      <a:noFill/>
                    </a:ln>
                    <a:extLst>
                      <a:ext uri="{53640926-AAD7-44D8-BBD7-CCE9431645EC}">
                        <a14:shadowObscured xmlns:a14="http://schemas.microsoft.com/office/drawing/2010/main"/>
                      </a:ext>
                    </a:extLst>
                  </pic:spPr>
                </pic:pic>
              </a:graphicData>
            </a:graphic>
          </wp:inline>
        </w:drawing>
      </w:r>
    </w:p>
    <w:p w14:paraId="130A258E" w14:textId="56A6481F" w:rsidR="000245FC" w:rsidRDefault="000245FC" w:rsidP="002D2FA8">
      <w:r w:rsidRPr="002D2FA8">
        <w:t>The largest differen</w:t>
      </w:r>
      <w:r w:rsidR="002D2FA8" w:rsidRPr="002D2FA8">
        <w:t>ce</w:t>
      </w:r>
      <w:r w:rsidRPr="002D2FA8">
        <w:t xml:space="preserve"> between treatment period and observation period was for the rimegepant every other day and as required group (</w:t>
      </w:r>
      <w:r w:rsidRPr="002D2FA8">
        <w:rPr>
          <w:color w:val="2B579A"/>
          <w:shd w:val="clear" w:color="auto" w:fill="E6E6E6"/>
        </w:rPr>
        <w:fldChar w:fldCharType="begin"/>
      </w:r>
      <w:r w:rsidRPr="002D2FA8">
        <w:instrText xml:space="preserve"> REF _Ref126325577 \h  \* MERGEFORMAT </w:instrText>
      </w:r>
      <w:r w:rsidRPr="002D2FA8">
        <w:rPr>
          <w:color w:val="2B579A"/>
          <w:shd w:val="clear" w:color="auto" w:fill="E6E6E6"/>
        </w:rPr>
      </w:r>
      <w:r w:rsidRPr="002D2FA8">
        <w:rPr>
          <w:color w:val="2B579A"/>
          <w:shd w:val="clear" w:color="auto" w:fill="E6E6E6"/>
        </w:rPr>
        <w:fldChar w:fldCharType="separate"/>
      </w:r>
      <w:r w:rsidR="00834F8B">
        <w:t>Table 4</w:t>
      </w:r>
      <w:r w:rsidRPr="002D2FA8">
        <w:rPr>
          <w:color w:val="2B579A"/>
          <w:shd w:val="clear" w:color="auto" w:fill="E6E6E6"/>
        </w:rPr>
        <w:fldChar w:fldCharType="end"/>
      </w:r>
      <w:r w:rsidRPr="002D2FA8">
        <w:t>). The difference in mean number of migraine days was -2.2 (</w:t>
      </w:r>
      <w:r w:rsidR="002D2FA8" w:rsidRPr="002D2FA8">
        <w:t>confidence inte</w:t>
      </w:r>
      <w:r w:rsidR="002D2FA8" w:rsidRPr="00841178">
        <w:t>rval (</w:t>
      </w:r>
      <w:r w:rsidRPr="00841178">
        <w:t>CI</w:t>
      </w:r>
      <w:r w:rsidR="002D2FA8" w:rsidRPr="00841178">
        <w:t>)</w:t>
      </w:r>
      <w:r w:rsidRPr="00841178">
        <w:t>: -2</w:t>
      </w:r>
      <w:r w:rsidRPr="002D2FA8">
        <w:t>.55 to -1.83). For the more severe migraine sufferers who were taking as required rimegepant (</w:t>
      </w:r>
      <w:r w:rsidR="002D2FA8" w:rsidRPr="002D2FA8">
        <w:t>that is,</w:t>
      </w:r>
      <w:r w:rsidRPr="002D2FA8">
        <w:t xml:space="preserve"> group </w:t>
      </w:r>
      <w:r w:rsidR="002D2FA8" w:rsidRPr="002D2FA8">
        <w:t xml:space="preserve">as needed </w:t>
      </w:r>
      <w:r w:rsidRPr="002D2FA8">
        <w:t>9</w:t>
      </w:r>
      <w:r w:rsidR="002D2FA8" w:rsidRPr="002D2FA8">
        <w:t xml:space="preserve"> to </w:t>
      </w:r>
      <w:r w:rsidRPr="002D2FA8">
        <w:t>14) the difference</w:t>
      </w:r>
      <w:r w:rsidR="00841178">
        <w:t xml:space="preserve"> </w:t>
      </w:r>
      <w:r w:rsidRPr="002D2FA8">
        <w:t>was</w:t>
      </w:r>
      <w:r w:rsidR="00841178">
        <w:t xml:space="preserve"> </w:t>
      </w:r>
      <w:r w:rsidR="00841178">
        <w:noBreakHyphen/>
        <w:t>0</w:t>
      </w:r>
      <w:r w:rsidRPr="002D2FA8">
        <w:t xml:space="preserve">.9 (CI: -1.28 to </w:t>
      </w:r>
      <w:r w:rsidR="00841178">
        <w:t>-</w:t>
      </w:r>
      <w:r w:rsidRPr="002D2FA8">
        <w:t>0.52) and for the less severe sufferers (</w:t>
      </w:r>
      <w:r w:rsidR="002D2FA8">
        <w:t>that is,</w:t>
      </w:r>
      <w:r w:rsidRPr="002D2FA8">
        <w:t xml:space="preserve"> group </w:t>
      </w:r>
      <w:r w:rsidR="00841178">
        <w:t>as needed</w:t>
      </w:r>
      <w:r w:rsidRPr="002D2FA8">
        <w:t xml:space="preserve"> 2</w:t>
      </w:r>
      <w:r w:rsidR="002D2FA8">
        <w:t xml:space="preserve"> to </w:t>
      </w:r>
      <w:r w:rsidRPr="002D2FA8">
        <w:t>8) the difference was 0.1 (CI: -0.10 to 0.28).</w:t>
      </w:r>
    </w:p>
    <w:p w14:paraId="074F6758" w14:textId="58EA39DE" w:rsidR="000245FC" w:rsidRDefault="000245FC" w:rsidP="002D2FA8">
      <w:pPr>
        <w:pStyle w:val="TableTitle"/>
      </w:pPr>
      <w:bookmarkStart w:id="58" w:name="_Ref126325577"/>
      <w:r>
        <w:t xml:space="preserve">Table </w:t>
      </w:r>
      <w:r w:rsidR="00DE785D">
        <w:fldChar w:fldCharType="begin"/>
      </w:r>
      <w:r w:rsidR="00DE785D">
        <w:instrText xml:space="preserve"> SEQ Table \* ARABIC </w:instrText>
      </w:r>
      <w:r w:rsidR="00DE785D">
        <w:fldChar w:fldCharType="separate"/>
      </w:r>
      <w:r w:rsidR="00834F8B">
        <w:rPr>
          <w:noProof/>
        </w:rPr>
        <w:t>4</w:t>
      </w:r>
      <w:r w:rsidR="00DE785D">
        <w:rPr>
          <w:noProof/>
        </w:rPr>
        <w:fldChar w:fldCharType="end"/>
      </w:r>
      <w:bookmarkEnd w:id="58"/>
      <w:r w:rsidR="002D2FA8">
        <w:rPr>
          <w:noProof/>
        </w:rPr>
        <w:t>:</w:t>
      </w:r>
      <w:r>
        <w:t xml:space="preserve"> Number of migraine days per </w:t>
      </w:r>
      <w:r w:rsidR="002D2FA8">
        <w:t>four</w:t>
      </w:r>
      <w:r>
        <w:t xml:space="preserve"> weeks on long</w:t>
      </w:r>
      <w:r w:rsidR="002D2FA8">
        <w:t xml:space="preserve"> </w:t>
      </w:r>
      <w:r>
        <w:t>term treatment</w:t>
      </w:r>
      <w:r w:rsidR="002D2FA8">
        <w:t xml:space="preserve"> -</w:t>
      </w:r>
      <w:r>
        <w:t xml:space="preserve"> values, changes and percent changes from observation period</w:t>
      </w:r>
    </w:p>
    <w:p w14:paraId="6CC42D2E" w14:textId="62F6C157" w:rsidR="002D2FA8" w:rsidRDefault="002D2FA8" w:rsidP="00DE785D">
      <w:r>
        <w:rPr>
          <w:noProof/>
          <w:shd w:val="clear" w:color="auto" w:fill="E6E6E6"/>
        </w:rPr>
        <w:drawing>
          <wp:inline distT="0" distB="0" distL="0" distR="0" wp14:anchorId="2F6409BD" wp14:editId="08A6345B">
            <wp:extent cx="5759450" cy="2698750"/>
            <wp:effectExtent l="0" t="0" r="0" b="6350"/>
            <wp:docPr id="3" name="Picture 3" descr="Number of migraine days per four weeks on long term treatment - values, changes and percent changes from observ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umber of migraine days per four weeks on long term treatment - values, changes and percent changes from observation period"/>
                    <pic:cNvPicPr/>
                  </pic:nvPicPr>
                  <pic:blipFill rotWithShape="1">
                    <a:blip r:embed="rId32"/>
                    <a:srcRect t="857" b="8058"/>
                    <a:stretch/>
                  </pic:blipFill>
                  <pic:spPr bwMode="auto">
                    <a:xfrm>
                      <a:off x="0" y="0"/>
                      <a:ext cx="5759450" cy="2698750"/>
                    </a:xfrm>
                    <a:prstGeom prst="rect">
                      <a:avLst/>
                    </a:prstGeom>
                    <a:ln>
                      <a:noFill/>
                    </a:ln>
                    <a:extLst>
                      <a:ext uri="{53640926-AAD7-44D8-BBD7-CCE9431645EC}">
                        <a14:shadowObscured xmlns:a14="http://schemas.microsoft.com/office/drawing/2010/main"/>
                      </a:ext>
                    </a:extLst>
                  </pic:spPr>
                </pic:pic>
              </a:graphicData>
            </a:graphic>
          </wp:inline>
        </w:drawing>
      </w:r>
    </w:p>
    <w:p w14:paraId="3C7EAE08" w14:textId="3744E856" w:rsidR="002D2FA8" w:rsidRDefault="002D2FA8" w:rsidP="00DE785D">
      <w:pPr>
        <w:pStyle w:val="Heading5"/>
        <w:pageBreakBefore/>
      </w:pPr>
      <w:r>
        <w:lastRenderedPageBreak/>
        <w:t xml:space="preserve">Study </w:t>
      </w:r>
      <w:r w:rsidRPr="00BA7390">
        <w:t>BHV3000-310</w:t>
      </w:r>
    </w:p>
    <w:p w14:paraId="26F45FB5" w14:textId="2433408D" w:rsidR="000245FC" w:rsidRPr="002D2FA8" w:rsidRDefault="000245FC" w:rsidP="002D2FA8">
      <w:r w:rsidRPr="002D2FA8">
        <w:t>Study BHV3000-310 was not included in the dossier submitted to the EMA and has been submitted to the TGA in its entirety for evaluation. It was a multicentre</w:t>
      </w:r>
      <w:r w:rsidR="002D2FA8">
        <w:t>,</w:t>
      </w:r>
      <w:r w:rsidRPr="002D2FA8">
        <w:t xml:space="preserve"> </w:t>
      </w:r>
      <w:r w:rsidR="002D2FA8">
        <w:t>P</w:t>
      </w:r>
      <w:r w:rsidRPr="002D2FA8">
        <w:t xml:space="preserve">hase </w:t>
      </w:r>
      <w:r w:rsidR="002D2FA8">
        <w:t>III</w:t>
      </w:r>
      <w:r w:rsidRPr="002D2FA8">
        <w:t>, randomised, double blind, placebo</w:t>
      </w:r>
      <w:r w:rsidR="002D2FA8">
        <w:t xml:space="preserve"> </w:t>
      </w:r>
      <w:r w:rsidRPr="002D2FA8">
        <w:t>controlled study of rimegepant 75</w:t>
      </w:r>
      <w:r w:rsidR="002D2FA8">
        <w:t> </w:t>
      </w:r>
      <w:r w:rsidRPr="002D2FA8">
        <w:t>mg ODT in the treatment of moderate or severe migraine. The study was conducted in China and Korea. The study included a screen period of up to 28 days, an acute phase up to 45 days, followed by end of treatment 7 days after rimegepant administration.</w:t>
      </w:r>
    </w:p>
    <w:p w14:paraId="08086884" w14:textId="77777777" w:rsidR="000245FC" w:rsidRPr="002D2FA8" w:rsidRDefault="000245FC" w:rsidP="002D2FA8">
      <w:r w:rsidRPr="002D2FA8">
        <w:t>The co-primary endpoints were pain freedom at 2 hours post-dose and freedom from the most bothersome symptom at 2 hours post-dose.</w:t>
      </w:r>
    </w:p>
    <w:p w14:paraId="459E478D" w14:textId="77777777" w:rsidR="000245FC" w:rsidRPr="002D2FA8" w:rsidRDefault="000245FC" w:rsidP="002D2FA8">
      <w:r w:rsidRPr="002D2FA8">
        <w:t>The key secondary endpoints were:</w:t>
      </w:r>
    </w:p>
    <w:p w14:paraId="642BBD85" w14:textId="205848F0" w:rsidR="000245FC" w:rsidRPr="002A04AD" w:rsidRDefault="000245FC" w:rsidP="002D2FA8">
      <w:pPr>
        <w:pStyle w:val="ListBullet"/>
      </w:pPr>
      <w:r>
        <w:t>P</w:t>
      </w:r>
      <w:r w:rsidRPr="002A04AD">
        <w:t>ain relief at 2 hours post-dose</w:t>
      </w:r>
      <w:r w:rsidRPr="008C1B90">
        <w:t xml:space="preserve"> </w:t>
      </w:r>
      <w:r>
        <w:t>(</w:t>
      </w:r>
      <w:r w:rsidRPr="00752F52">
        <w:t xml:space="preserve">assessed using the number of subjects that reported a moderate or severe pain level at </w:t>
      </w:r>
      <w:r w:rsidR="002D2FA8">
        <w:t>B</w:t>
      </w:r>
      <w:r w:rsidRPr="00752F52">
        <w:t>aseline and then reported a pain level of none or mild at 2</w:t>
      </w:r>
      <w:r w:rsidR="002D2FA8">
        <w:t> </w:t>
      </w:r>
      <w:r w:rsidRPr="00752F52">
        <w:t>hours post-dose</w:t>
      </w:r>
      <w:r>
        <w:t>)</w:t>
      </w:r>
      <w:r w:rsidR="002D2FA8">
        <w:t>.</w:t>
      </w:r>
    </w:p>
    <w:p w14:paraId="7D127439" w14:textId="599A2C3A" w:rsidR="000245FC" w:rsidRPr="002A04AD" w:rsidRDefault="000245FC" w:rsidP="002D2FA8">
      <w:pPr>
        <w:pStyle w:val="ListBullet"/>
      </w:pPr>
      <w:r w:rsidRPr="002A04AD">
        <w:t xml:space="preserve">Functional </w:t>
      </w:r>
      <w:r w:rsidR="002D2FA8">
        <w:t>d</w:t>
      </w:r>
      <w:r w:rsidRPr="002A04AD">
        <w:t xml:space="preserve">isability </w:t>
      </w:r>
      <w:r w:rsidR="002D2FA8">
        <w:t>s</w:t>
      </w:r>
      <w:r w:rsidRPr="002A04AD">
        <w:t>cale</w:t>
      </w:r>
      <w:r>
        <w:t xml:space="preserve"> at 2 hours post-dose (</w:t>
      </w:r>
      <w:r w:rsidRPr="00752F52">
        <w:t xml:space="preserve">assessed using the number of subjects that self-reported as </w:t>
      </w:r>
      <w:r w:rsidR="002D2FA8">
        <w:t>‘</w:t>
      </w:r>
      <w:r w:rsidRPr="00752F52">
        <w:t>normal</w:t>
      </w:r>
      <w:r w:rsidR="002D2FA8">
        <w:t>’</w:t>
      </w:r>
      <w:r w:rsidRPr="00752F52">
        <w:t xml:space="preserve"> on the </w:t>
      </w:r>
      <w:r w:rsidR="00841178">
        <w:t>functional disability scale</w:t>
      </w:r>
      <w:r w:rsidRPr="00752F52">
        <w:t xml:space="preserve"> in the subset of subjects that reported any level of disability just prior to taking study medication</w:t>
      </w:r>
      <w:r>
        <w:t>)</w:t>
      </w:r>
      <w:r w:rsidR="002D2FA8">
        <w:t>.</w:t>
      </w:r>
    </w:p>
    <w:p w14:paraId="4801B7E7" w14:textId="597C06E8" w:rsidR="000245FC" w:rsidRPr="002A04AD" w:rsidRDefault="000245FC" w:rsidP="002D2FA8">
      <w:pPr>
        <w:pStyle w:val="ListBullet"/>
      </w:pPr>
      <w:r>
        <w:t>U</w:t>
      </w:r>
      <w:r w:rsidRPr="002A04AD">
        <w:t>se of rescue medications through 24 hours post-dose</w:t>
      </w:r>
      <w:r w:rsidR="002D2FA8">
        <w:t>.</w:t>
      </w:r>
    </w:p>
    <w:p w14:paraId="04F8E2E0" w14:textId="0621C84E" w:rsidR="000245FC" w:rsidRPr="002A04AD" w:rsidRDefault="000245FC" w:rsidP="002D2FA8">
      <w:pPr>
        <w:pStyle w:val="ListBullet"/>
      </w:pPr>
      <w:r>
        <w:t>S</w:t>
      </w:r>
      <w:r w:rsidRPr="002A04AD">
        <w:t>ustained pain freedom from 2 to 24 hours post-dose</w:t>
      </w:r>
      <w:r w:rsidR="002D2FA8">
        <w:t>.</w:t>
      </w:r>
    </w:p>
    <w:p w14:paraId="5B246990" w14:textId="590DF987" w:rsidR="000245FC" w:rsidRPr="002A04AD" w:rsidRDefault="000245FC" w:rsidP="002D2FA8">
      <w:pPr>
        <w:pStyle w:val="ListBullet"/>
      </w:pPr>
      <w:r>
        <w:t>S</w:t>
      </w:r>
      <w:r w:rsidRPr="002A04AD">
        <w:t>ustained pain freedom from 2 to 48 hours post-dose</w:t>
      </w:r>
      <w:r w:rsidR="002D2FA8">
        <w:t>.</w:t>
      </w:r>
    </w:p>
    <w:p w14:paraId="1EF2B060" w14:textId="77777777" w:rsidR="000245FC" w:rsidRPr="002D2FA8" w:rsidRDefault="000245FC" w:rsidP="002D2FA8">
      <w:r w:rsidRPr="002D2FA8">
        <w:t>The major inclusion criteria were:</w:t>
      </w:r>
    </w:p>
    <w:p w14:paraId="5F651E67" w14:textId="082A9BCB" w:rsidR="000245FC" w:rsidRDefault="000245FC" w:rsidP="002D2FA8">
      <w:pPr>
        <w:pStyle w:val="ListBullet"/>
      </w:pPr>
      <w:r>
        <w:t>Male and female 18 years</w:t>
      </w:r>
      <w:r w:rsidR="002D2FA8">
        <w:t xml:space="preserve"> or older.</w:t>
      </w:r>
    </w:p>
    <w:p w14:paraId="454C32DB" w14:textId="65A775DD" w:rsidR="000245FC" w:rsidRDefault="000245FC" w:rsidP="002D2FA8">
      <w:pPr>
        <w:pStyle w:val="ListBullet"/>
      </w:pPr>
      <w:r>
        <w:t>A diagnosis of migraine with or without aura</w:t>
      </w:r>
      <w:r w:rsidR="002D2FA8">
        <w:t>.</w:t>
      </w:r>
    </w:p>
    <w:p w14:paraId="1747C272" w14:textId="64618530" w:rsidR="000245FC" w:rsidRDefault="000245FC" w:rsidP="002D2FA8">
      <w:pPr>
        <w:pStyle w:val="ListBullet"/>
      </w:pPr>
      <w:r>
        <w:t>No clinically significant medical or laboratory abnormality</w:t>
      </w:r>
      <w:r w:rsidR="002D2FA8">
        <w:t>.</w:t>
      </w:r>
    </w:p>
    <w:p w14:paraId="36FB3C72" w14:textId="77777777" w:rsidR="000245FC" w:rsidRPr="002D2FA8" w:rsidRDefault="000245FC" w:rsidP="002D2FA8">
      <w:r w:rsidRPr="002D2FA8">
        <w:t>The major exclusion criteria were:</w:t>
      </w:r>
    </w:p>
    <w:p w14:paraId="5F4AC19F" w14:textId="7C2B9A40" w:rsidR="000245FC" w:rsidRPr="002D2FA8" w:rsidRDefault="000245FC" w:rsidP="002D2FA8">
      <w:pPr>
        <w:pStyle w:val="ListBullet"/>
      </w:pPr>
      <w:r w:rsidRPr="002D2FA8">
        <w:t>History of migraine with brainstem aura</w:t>
      </w:r>
      <w:r w:rsidR="002D2FA8">
        <w:t>.</w:t>
      </w:r>
    </w:p>
    <w:p w14:paraId="51F2D34B" w14:textId="2FC97D3E" w:rsidR="000245FC" w:rsidRPr="002D2FA8" w:rsidRDefault="000245FC" w:rsidP="002D2FA8">
      <w:pPr>
        <w:pStyle w:val="ListBullet"/>
      </w:pPr>
      <w:r w:rsidRPr="002D2FA8">
        <w:t>Hemiplegic migraine</w:t>
      </w:r>
      <w:r w:rsidR="002D2FA8">
        <w:t>.</w:t>
      </w:r>
    </w:p>
    <w:p w14:paraId="6BA0B89D" w14:textId="5FD66DE4" w:rsidR="000245FC" w:rsidRPr="002D2FA8" w:rsidRDefault="000245FC" w:rsidP="002D2FA8">
      <w:pPr>
        <w:pStyle w:val="ListBullet"/>
      </w:pPr>
      <w:r w:rsidRPr="002D2FA8">
        <w:t>Uncontrolled/unstable/recent onset cardiovascular disease</w:t>
      </w:r>
      <w:r w:rsidR="002D2FA8">
        <w:t>.</w:t>
      </w:r>
    </w:p>
    <w:p w14:paraId="0FD74D1C" w14:textId="4042B0C6" w:rsidR="000245FC" w:rsidRPr="002D2FA8" w:rsidRDefault="000245FC" w:rsidP="002D2FA8">
      <w:pPr>
        <w:pStyle w:val="ListBullet"/>
      </w:pPr>
      <w:r w:rsidRPr="002D2FA8">
        <w:t>Uncontrolled hypertension or diabetes</w:t>
      </w:r>
      <w:r w:rsidR="002D2FA8">
        <w:t>.</w:t>
      </w:r>
    </w:p>
    <w:p w14:paraId="51B5D834" w14:textId="598479D0" w:rsidR="000245FC" w:rsidRPr="002D2FA8" w:rsidRDefault="000245FC" w:rsidP="002D2FA8">
      <w:pPr>
        <w:pStyle w:val="ListBullet"/>
      </w:pPr>
      <w:r w:rsidRPr="002D2FA8">
        <w:t>Major psychiatric diagnoses which may interfere with study assessments</w:t>
      </w:r>
      <w:r w:rsidR="002D2FA8">
        <w:t>.</w:t>
      </w:r>
    </w:p>
    <w:p w14:paraId="48342319" w14:textId="77777777" w:rsidR="000245FC" w:rsidRPr="002D2FA8" w:rsidRDefault="000245FC" w:rsidP="002D2FA8">
      <w:r w:rsidRPr="002D2FA8">
        <w:t>Subjects were instructed to take study medication under the tongue when the headache reached moderate to severe intensity. Permissible rescue medications included aspirin, ibuprofen, paracetamol, NSAID, antiemetics or baclofen. Prophylactic migraine medications were permitted as long as the dose had been stable for at least 3 months.</w:t>
      </w:r>
    </w:p>
    <w:p w14:paraId="1333589E" w14:textId="603B366D" w:rsidR="000245FC" w:rsidRPr="002D2FA8" w:rsidRDefault="000245FC" w:rsidP="002D2FA8">
      <w:r w:rsidRPr="002D2FA8">
        <w:t xml:space="preserve">For a sample size of 715 it was estimated that 85% would experience a migraine during the study. A sample size of 600 would allow detection of a difference in both co-primary endpoints at 90% power. The modified intention to </w:t>
      </w:r>
      <w:r w:rsidRPr="00841178">
        <w:t>treat (mITT)</w:t>
      </w:r>
      <w:r w:rsidRPr="002D2FA8">
        <w:t xml:space="preserve"> population was the primary efficacy population and consisted of those subjects who both experienced a migraine at the time of treatment and provided at least </w:t>
      </w:r>
      <w:r w:rsidR="00841178">
        <w:t>one</w:t>
      </w:r>
      <w:r w:rsidRPr="002D2FA8">
        <w:t xml:space="preserve"> post-treatment efficacy data point. Endpoints were stratified by use of prophylactic migraine medication and country.</w:t>
      </w:r>
    </w:p>
    <w:p w14:paraId="33DB5368" w14:textId="651C8963" w:rsidR="000245FC" w:rsidRPr="002D2FA8" w:rsidRDefault="000245FC" w:rsidP="002D2FA8">
      <w:r w:rsidRPr="002D2FA8">
        <w:lastRenderedPageBreak/>
        <w:t>Overall</w:t>
      </w:r>
      <w:r w:rsidR="002D2FA8">
        <w:t>,</w:t>
      </w:r>
      <w:r w:rsidRPr="002D2FA8">
        <w:t xml:space="preserve"> 1431 subjects were randomised to rimegepant (n</w:t>
      </w:r>
      <w:r w:rsidR="002D2FA8">
        <w:t> </w:t>
      </w:r>
      <w:r w:rsidRPr="002D2FA8">
        <w:t>=</w:t>
      </w:r>
      <w:r w:rsidR="002D2FA8">
        <w:t> </w:t>
      </w:r>
      <w:r w:rsidRPr="002D2FA8">
        <w:t>716) or placebo (n</w:t>
      </w:r>
      <w:r w:rsidR="002D2FA8">
        <w:t> </w:t>
      </w:r>
      <w:r w:rsidRPr="002D2FA8">
        <w:t>=</w:t>
      </w:r>
      <w:r w:rsidR="002D2FA8">
        <w:t> </w:t>
      </w:r>
      <w:r w:rsidRPr="002D2FA8">
        <w:t xml:space="preserve">715), with 1413 completing the acute phase of the study. Of those who discontinued during the acute phase, </w:t>
      </w:r>
      <w:r w:rsidR="002D2FA8">
        <w:t>six</w:t>
      </w:r>
      <w:r w:rsidRPr="002D2FA8">
        <w:t xml:space="preserve"> self-withdrew, </w:t>
      </w:r>
      <w:r w:rsidR="002D2FA8">
        <w:t>two</w:t>
      </w:r>
      <w:r w:rsidRPr="002D2FA8">
        <w:t xml:space="preserve"> had </w:t>
      </w:r>
      <w:r w:rsidR="002D2FA8">
        <w:t>adverse events</w:t>
      </w:r>
      <w:r w:rsidRPr="002D2FA8">
        <w:t xml:space="preserve"> (</w:t>
      </w:r>
      <w:r w:rsidR="002D2FA8">
        <w:t>one</w:t>
      </w:r>
      <w:r w:rsidRPr="002D2FA8">
        <w:t xml:space="preserve"> in each arm), </w:t>
      </w:r>
      <w:r w:rsidR="002D2FA8">
        <w:t xml:space="preserve">one </w:t>
      </w:r>
      <w:r w:rsidRPr="002D2FA8">
        <w:t>had COVID</w:t>
      </w:r>
      <w:r w:rsidR="002D2FA8">
        <w:t>-19</w:t>
      </w:r>
      <w:r w:rsidRPr="002D2FA8">
        <w:t xml:space="preserve"> and </w:t>
      </w:r>
      <w:r w:rsidR="002D2FA8">
        <w:t>nine</w:t>
      </w:r>
      <w:r w:rsidRPr="002D2FA8">
        <w:t xml:space="preserve"> withdrew for other reasons. The mITT population included 1340 subjects. The reasons for not being in the mITT was not having a qualifying migraine (50 subjects), not being treated due to other reasons (30 subjects</w:t>
      </w:r>
      <w:r w:rsidR="002D2FA8" w:rsidRPr="002D2FA8">
        <w:t>),</w:t>
      </w:r>
      <w:r w:rsidRPr="002D2FA8">
        <w:t xml:space="preserve"> and not being treated for an unknown reason (</w:t>
      </w:r>
      <w:r w:rsidR="002D2FA8">
        <w:t>nine</w:t>
      </w:r>
      <w:r w:rsidRPr="002D2FA8">
        <w:t xml:space="preserve"> subjects).</w:t>
      </w:r>
    </w:p>
    <w:p w14:paraId="001B847E" w14:textId="70B344E4" w:rsidR="000245FC" w:rsidRPr="002D2FA8" w:rsidRDefault="000245FC" w:rsidP="002D2FA8">
      <w:r w:rsidRPr="002D2FA8">
        <w:t>The median age of subjects was 36.5 (range 18</w:t>
      </w:r>
      <w:r w:rsidR="002D2FA8">
        <w:t xml:space="preserve"> to </w:t>
      </w:r>
      <w:r w:rsidRPr="002D2FA8">
        <w:t>71) and most were female (81%) and from China (80.1%). Migraine characteristics were balanced between arms with median number of moderate to severe episodes per month 3.3, symptoms lasting between 4</w:t>
      </w:r>
      <w:r w:rsidR="002D2FA8">
        <w:t xml:space="preserve"> to </w:t>
      </w:r>
      <w:r w:rsidRPr="002D2FA8">
        <w:t>72 hours (100%) and most bothersome symptoms of nausea (54.4%), phonophobia (26.4%) and photophobia (89.7%). Migraine without aura was most common (89.7%). Prophylactic medication use was relatively uncommon (73 subjects).</w:t>
      </w:r>
    </w:p>
    <w:p w14:paraId="3AB682BB" w14:textId="5B27F112" w:rsidR="000245FC" w:rsidRPr="002D2FA8" w:rsidRDefault="000245FC" w:rsidP="002D2FA8">
      <w:r w:rsidRPr="002D2FA8">
        <w:t>For the primary efficacy outcome, pain freedom at 2 hours occurred in 19.8% of subjects who took rimegepant and 10.7% who took placebo. The common risk difference was 9.2% (CI:</w:t>
      </w:r>
      <w:r w:rsidR="002D2FA8">
        <w:t> </w:t>
      </w:r>
      <w:r w:rsidRPr="002D2FA8">
        <w:t>5.4</w:t>
      </w:r>
      <w:r w:rsidR="002D2FA8">
        <w:t xml:space="preserve"> to </w:t>
      </w:r>
      <w:r w:rsidRPr="002D2FA8">
        <w:t>13%;</w:t>
      </w:r>
      <w:r w:rsidR="002D2FA8">
        <w:t> </w:t>
      </w:r>
      <w:r w:rsidRPr="002D2FA8">
        <w:t>p</w:t>
      </w:r>
      <w:r w:rsidR="002D2FA8">
        <w:t> </w:t>
      </w:r>
      <w:r w:rsidRPr="002D2FA8">
        <w:t>&lt;</w:t>
      </w:r>
      <w:r w:rsidR="00841178">
        <w:t> </w:t>
      </w:r>
      <w:r w:rsidRPr="002D2FA8">
        <w:t>0.0001). Freedom from most bothersome symptom occurred in 50.5% of rimegepant subjects and 35.8% in placebo subjects, with a common risk difference of 14.8% (CI:</w:t>
      </w:r>
      <w:r w:rsidR="002D2FA8">
        <w:t> </w:t>
      </w:r>
      <w:r w:rsidRPr="002D2FA8">
        <w:t>9.6</w:t>
      </w:r>
      <w:r w:rsidR="002D2FA8">
        <w:t xml:space="preserve"> to </w:t>
      </w:r>
      <w:r w:rsidRPr="002D2FA8">
        <w:t>20%</w:t>
      </w:r>
      <w:r w:rsidR="002D2FA8">
        <w:t>; </w:t>
      </w:r>
      <w:r w:rsidRPr="002D2FA8">
        <w:t>p</w:t>
      </w:r>
      <w:r w:rsidR="002D2FA8">
        <w:t> </w:t>
      </w:r>
      <w:r w:rsidRPr="002D2FA8">
        <w:t>&lt;</w:t>
      </w:r>
      <w:r w:rsidR="00841178">
        <w:t> </w:t>
      </w:r>
      <w:r w:rsidRPr="002D2FA8">
        <w:t>0.0001). Stratified results and sensitivity analyses were consistent with the main efficacy analysis.</w:t>
      </w:r>
    </w:p>
    <w:p w14:paraId="06C2192E" w14:textId="58152651" w:rsidR="000245FC" w:rsidRPr="002D2FA8" w:rsidRDefault="000245FC" w:rsidP="002D2FA8">
      <w:r w:rsidRPr="002D2FA8">
        <w:t xml:space="preserve">All </w:t>
      </w:r>
      <w:r w:rsidR="002D2FA8">
        <w:t>five</w:t>
      </w:r>
      <w:r w:rsidRPr="002D2FA8">
        <w:t xml:space="preserve"> secondary endpoints mentioned above had statistically significant findings favouring rimegepant over placebo.</w:t>
      </w:r>
    </w:p>
    <w:p w14:paraId="5F4CA205" w14:textId="77777777" w:rsidR="000245FC" w:rsidRPr="002D2FA8" w:rsidRDefault="000245FC" w:rsidP="002D2FA8">
      <w:pPr>
        <w:pStyle w:val="Heading4"/>
      </w:pPr>
      <w:bookmarkStart w:id="59" w:name="_Toc160177859"/>
      <w:r w:rsidRPr="00AA53F4">
        <w:t>Safety</w:t>
      </w:r>
      <w:bookmarkEnd w:id="59"/>
    </w:p>
    <w:p w14:paraId="19F08F62" w14:textId="768EED0F" w:rsidR="000245FC" w:rsidRPr="002D2FA8" w:rsidRDefault="000245FC" w:rsidP="002D2FA8">
      <w:r w:rsidRPr="002D2FA8">
        <w:t>The safety data set includes healthy subjects and subjects with migraine in single dose and multiple dose studies. Overall</w:t>
      </w:r>
      <w:r w:rsidR="002D2FA8">
        <w:t>,</w:t>
      </w:r>
      <w:r w:rsidRPr="002D2FA8">
        <w:t xml:space="preserve"> 4,136 subjects have been exposed to rimegepant, including 1,857 in single dose migraine trials and 2,471 in multiple dose migraine trials. The multiple dose subjects include</w:t>
      </w:r>
      <w:r w:rsidR="002D2FA8">
        <w:t>d</w:t>
      </w:r>
      <w:r w:rsidRPr="002D2FA8">
        <w:t xml:space="preserve"> 456 who were previously exposed to rimegepant in single dose trials.</w:t>
      </w:r>
    </w:p>
    <w:p w14:paraId="3CB955DA" w14:textId="5F15A15A" w:rsidR="000245FC" w:rsidRPr="002D2FA8" w:rsidRDefault="000245FC" w:rsidP="002D2FA8">
      <w:r w:rsidRPr="002D2FA8">
        <w:t xml:space="preserve">Amongst 1,800 subjects in </w:t>
      </w:r>
      <w:r w:rsidR="002D2FA8">
        <w:t xml:space="preserve">Study </w:t>
      </w:r>
      <w:r w:rsidRPr="002D2FA8">
        <w:t xml:space="preserve">BHV3000-201 (multiple dose studies with different dosing strategies as described in efficacy section above), the average rimegepant exposure was </w:t>
      </w:r>
      <w:r w:rsidR="00841178">
        <w:t>two</w:t>
      </w:r>
      <w:r w:rsidRPr="002D2FA8">
        <w:t xml:space="preserve"> </w:t>
      </w:r>
      <w:r w:rsidR="002D2FA8">
        <w:t xml:space="preserve">or more </w:t>
      </w:r>
      <w:r w:rsidRPr="002D2FA8">
        <w:t xml:space="preserve">tablets per 4 weeks and 954 subjects were treated for </w:t>
      </w:r>
      <w:r w:rsidR="00E12E54">
        <w:t xml:space="preserve">one </w:t>
      </w:r>
      <w:r w:rsidRPr="002D2FA8">
        <w:t>year</w:t>
      </w:r>
      <w:r w:rsidR="002D2FA8">
        <w:t xml:space="preserve"> or longer</w:t>
      </w:r>
      <w:r w:rsidRPr="002D2FA8">
        <w:t>. A total of 112,014 doses of rimegepant 75</w:t>
      </w:r>
      <w:r w:rsidR="002D2FA8">
        <w:t> </w:t>
      </w:r>
      <w:r w:rsidRPr="002D2FA8">
        <w:t>mg were administered in the study.</w:t>
      </w:r>
    </w:p>
    <w:p w14:paraId="2D1F6F54" w14:textId="4F769E6C" w:rsidR="000245FC" w:rsidRPr="002D2FA8" w:rsidRDefault="000245FC" w:rsidP="002D2FA8">
      <w:r w:rsidRPr="002D2FA8">
        <w:t xml:space="preserve">In the pivotal prophylaxis </w:t>
      </w:r>
      <w:r w:rsidR="002D2FA8">
        <w:t>S</w:t>
      </w:r>
      <w:r w:rsidRPr="002D2FA8">
        <w:t>tudy BHV3000-305, taking into account both the double blind portion and the reported open label extension (n</w:t>
      </w:r>
      <w:r w:rsidR="002D2FA8">
        <w:t> </w:t>
      </w:r>
      <w:r w:rsidRPr="002D2FA8">
        <w:t>=</w:t>
      </w:r>
      <w:r w:rsidR="002D2FA8">
        <w:t> </w:t>
      </w:r>
      <w:r w:rsidRPr="002D2FA8">
        <w:t>671), the median time on study drug was 48.7 weeks and the median cumulative exposure was 172 tablets. This represents the bulk of safety data relating to long</w:t>
      </w:r>
      <w:r w:rsidR="002D2FA8">
        <w:t xml:space="preserve"> </w:t>
      </w:r>
      <w:r w:rsidRPr="002D2FA8">
        <w:t xml:space="preserve">term second daily use of </w:t>
      </w:r>
      <w:proofErr w:type="spellStart"/>
      <w:r w:rsidRPr="002D2FA8">
        <w:t>rimegepant</w:t>
      </w:r>
      <w:proofErr w:type="spellEnd"/>
      <w:r w:rsidRPr="002D2FA8">
        <w:t xml:space="preserve"> (</w:t>
      </w:r>
      <w:r w:rsidRPr="002D2FA8">
        <w:rPr>
          <w:color w:val="2B579A"/>
          <w:shd w:val="clear" w:color="auto" w:fill="E6E6E6"/>
        </w:rPr>
        <w:fldChar w:fldCharType="begin"/>
      </w:r>
      <w:r w:rsidRPr="002D2FA8">
        <w:instrText xml:space="preserve"> REF _Ref126328027 \h  \* MERGEFORMAT </w:instrText>
      </w:r>
      <w:r w:rsidRPr="002D2FA8">
        <w:rPr>
          <w:color w:val="2B579A"/>
          <w:shd w:val="clear" w:color="auto" w:fill="E6E6E6"/>
        </w:rPr>
      </w:r>
      <w:r w:rsidRPr="002D2FA8">
        <w:rPr>
          <w:color w:val="2B579A"/>
          <w:shd w:val="clear" w:color="auto" w:fill="E6E6E6"/>
        </w:rPr>
        <w:fldChar w:fldCharType="separate"/>
      </w:r>
      <w:r w:rsidR="00834F8B">
        <w:t>Table 5</w:t>
      </w:r>
      <w:r w:rsidRPr="002D2FA8">
        <w:rPr>
          <w:color w:val="2B579A"/>
          <w:shd w:val="clear" w:color="auto" w:fill="E6E6E6"/>
        </w:rPr>
        <w:fldChar w:fldCharType="end"/>
      </w:r>
      <w:r w:rsidRPr="002D2FA8">
        <w:t>).</w:t>
      </w:r>
    </w:p>
    <w:p w14:paraId="29FEA8E8" w14:textId="52D7E1BE" w:rsidR="000245FC" w:rsidRDefault="000245FC" w:rsidP="002D2FA8">
      <w:pPr>
        <w:pStyle w:val="TableTitle"/>
      </w:pPr>
      <w:bookmarkStart w:id="60" w:name="_Ref126328027"/>
      <w:r>
        <w:lastRenderedPageBreak/>
        <w:t xml:space="preserve">Table </w:t>
      </w:r>
      <w:r w:rsidR="00DE785D">
        <w:fldChar w:fldCharType="begin"/>
      </w:r>
      <w:r w:rsidR="00DE785D">
        <w:instrText xml:space="preserve"> SEQ Table \* ARABIC </w:instrText>
      </w:r>
      <w:r w:rsidR="00DE785D">
        <w:fldChar w:fldCharType="separate"/>
      </w:r>
      <w:r w:rsidR="00834F8B">
        <w:rPr>
          <w:noProof/>
        </w:rPr>
        <w:t>5</w:t>
      </w:r>
      <w:r w:rsidR="00DE785D">
        <w:rPr>
          <w:noProof/>
        </w:rPr>
        <w:fldChar w:fldCharType="end"/>
      </w:r>
      <w:bookmarkEnd w:id="60"/>
      <w:r w:rsidR="002D2FA8">
        <w:rPr>
          <w:noProof/>
        </w:rPr>
        <w:t>:</w:t>
      </w:r>
      <w:r>
        <w:t xml:space="preserve"> </w:t>
      </w:r>
      <w:bookmarkStart w:id="61" w:name="_Hlk157598252"/>
      <w:r>
        <w:t>Summary of e</w:t>
      </w:r>
      <w:r w:rsidR="002D2FA8">
        <w:t>-</w:t>
      </w:r>
      <w:r>
        <w:t xml:space="preserve">Diary </w:t>
      </w:r>
      <w:r w:rsidR="002D2FA8">
        <w:t>e</w:t>
      </w:r>
      <w:r>
        <w:t>xposure in</w:t>
      </w:r>
      <w:r w:rsidR="002D2FA8">
        <w:t xml:space="preserve"> Study</w:t>
      </w:r>
      <w:r>
        <w:t xml:space="preserve"> BHV3000-305 and </w:t>
      </w:r>
      <w:r w:rsidR="002D2FA8">
        <w:t xml:space="preserve">Study </w:t>
      </w:r>
      <w:r>
        <w:t>BHV3000-201</w:t>
      </w:r>
      <w:r w:rsidR="002D2FA8">
        <w:t>,</w:t>
      </w:r>
      <w:r>
        <w:t xml:space="preserve"> 12 week group</w:t>
      </w:r>
      <w:bookmarkEnd w:id="61"/>
    </w:p>
    <w:p w14:paraId="29A29962" w14:textId="77777777" w:rsidR="000245FC" w:rsidRDefault="000245FC" w:rsidP="000245FC">
      <w:pPr>
        <w:jc w:val="both"/>
      </w:pPr>
      <w:r>
        <w:rPr>
          <w:noProof/>
          <w:color w:val="2B579A"/>
          <w:shd w:val="clear" w:color="auto" w:fill="E6E6E6"/>
        </w:rPr>
        <w:drawing>
          <wp:inline distT="0" distB="0" distL="0" distR="0" wp14:anchorId="40418910" wp14:editId="4D7A9786">
            <wp:extent cx="5647055" cy="2794000"/>
            <wp:effectExtent l="0" t="0" r="0" b="6350"/>
            <wp:docPr id="9" name="Picture 9" descr="Summary of e-Diary exposure in Study BHV3000-305 and Study BHV3000-201, 12 wee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mmary of e-Diary exposure in Study BHV3000-305 and Study BHV3000-201, 12 week group"/>
                    <pic:cNvPicPr/>
                  </pic:nvPicPr>
                  <pic:blipFill rotWithShape="1">
                    <a:blip r:embed="rId33"/>
                    <a:srcRect l="2548" t="2529" r="5385" b="2997"/>
                    <a:stretch/>
                  </pic:blipFill>
                  <pic:spPr bwMode="auto">
                    <a:xfrm>
                      <a:off x="0" y="0"/>
                      <a:ext cx="5656130" cy="2798490"/>
                    </a:xfrm>
                    <a:prstGeom prst="rect">
                      <a:avLst/>
                    </a:prstGeom>
                    <a:ln>
                      <a:noFill/>
                    </a:ln>
                    <a:extLst>
                      <a:ext uri="{53640926-AAD7-44D8-BBD7-CCE9431645EC}">
                        <a14:shadowObscured xmlns:a14="http://schemas.microsoft.com/office/drawing/2010/main"/>
                      </a:ext>
                    </a:extLst>
                  </pic:spPr>
                </pic:pic>
              </a:graphicData>
            </a:graphic>
          </wp:inline>
        </w:drawing>
      </w:r>
    </w:p>
    <w:p w14:paraId="5DE31AEB" w14:textId="77777777" w:rsidR="000245FC" w:rsidRPr="00EA08B5" w:rsidRDefault="000245FC" w:rsidP="002D2FA8">
      <w:pPr>
        <w:pStyle w:val="Heading5"/>
      </w:pPr>
      <w:r w:rsidRPr="00EA08B5">
        <w:t>Single dose studies</w:t>
      </w:r>
    </w:p>
    <w:p w14:paraId="6C8C8CCC" w14:textId="1F9A34B7" w:rsidR="000245FC" w:rsidRPr="002D2FA8" w:rsidRDefault="000245FC" w:rsidP="002D2FA8">
      <w:r w:rsidRPr="002D2FA8">
        <w:t xml:space="preserve">The </w:t>
      </w:r>
      <w:r w:rsidR="002D2FA8">
        <w:t>s</w:t>
      </w:r>
      <w:r w:rsidRPr="002D2FA8">
        <w:t xml:space="preserve">ponsor reported on treatment </w:t>
      </w:r>
      <w:r w:rsidR="002D2FA8">
        <w:t>adverse events (</w:t>
      </w:r>
      <w:r w:rsidRPr="002D2FA8">
        <w:t>as distinct from treatment</w:t>
      </w:r>
      <w:r w:rsidR="002D2FA8">
        <w:t>-</w:t>
      </w:r>
      <w:r w:rsidRPr="002D2FA8">
        <w:t xml:space="preserve">emergent </w:t>
      </w:r>
      <w:r w:rsidR="002D2FA8">
        <w:t>adverse events</w:t>
      </w:r>
      <w:r w:rsidRPr="002D2FA8">
        <w:t xml:space="preserve">) as those which occurred from drug administration until 7 days. For the pooled single dose </w:t>
      </w:r>
      <w:r w:rsidR="002D2FA8">
        <w:t>P</w:t>
      </w:r>
      <w:r w:rsidRPr="002D2FA8">
        <w:t xml:space="preserve">hase </w:t>
      </w:r>
      <w:r w:rsidR="002D2FA8">
        <w:t>III</w:t>
      </w:r>
      <w:r w:rsidRPr="002D2FA8">
        <w:t xml:space="preserve"> studies, 10.8% of subjects experienced on treatment </w:t>
      </w:r>
      <w:r w:rsidR="002D2FA8">
        <w:t>adverse events</w:t>
      </w:r>
      <w:r w:rsidRPr="002D2FA8">
        <w:t xml:space="preserve"> in the rimegepant arm compared with 8.6% in the placebo arm. The most frequent reported were nausea (1.5%) and urinary tract infection (0.8%). The only severe </w:t>
      </w:r>
      <w:r w:rsidR="002D2FA8">
        <w:t>adverse event</w:t>
      </w:r>
      <w:r w:rsidRPr="002D2FA8">
        <w:t xml:space="preserve"> considered related to study drug was diarrhoea in </w:t>
      </w:r>
      <w:r w:rsidR="002D2FA8">
        <w:t>two</w:t>
      </w:r>
      <w:r w:rsidRPr="002D2FA8">
        <w:t xml:space="preserve"> subjects (0.1%).</w:t>
      </w:r>
    </w:p>
    <w:p w14:paraId="67026FBC" w14:textId="1B1AFEA6" w:rsidR="000245FC" w:rsidRPr="002D2FA8" w:rsidRDefault="000245FC" w:rsidP="002D2FA8">
      <w:r w:rsidRPr="002D2FA8">
        <w:t xml:space="preserve">In the </w:t>
      </w:r>
      <w:r w:rsidR="002D2FA8">
        <w:t>P</w:t>
      </w:r>
      <w:r w:rsidRPr="002D2FA8">
        <w:t xml:space="preserve">hase </w:t>
      </w:r>
      <w:r w:rsidR="002D2FA8">
        <w:t>III</w:t>
      </w:r>
      <w:r w:rsidRPr="002D2FA8">
        <w:t xml:space="preserve"> single dose studies there was </w:t>
      </w:r>
      <w:r w:rsidR="002D2FA8">
        <w:t>one</w:t>
      </w:r>
      <w:r w:rsidRPr="002D2FA8">
        <w:t xml:space="preserve"> on treatment </w:t>
      </w:r>
      <w:r w:rsidR="002D2FA8">
        <w:t>serious adverse event</w:t>
      </w:r>
      <w:r w:rsidRPr="002D2FA8">
        <w:t xml:space="preserve"> in the rimegepant group (back pain) and </w:t>
      </w:r>
      <w:r w:rsidR="002D2FA8">
        <w:t>two</w:t>
      </w:r>
      <w:r w:rsidRPr="002D2FA8">
        <w:t xml:space="preserve"> on treatment </w:t>
      </w:r>
      <w:r w:rsidR="002D2FA8">
        <w:t>serious adverse events</w:t>
      </w:r>
      <w:r w:rsidRPr="002D2FA8">
        <w:t xml:space="preserve"> in the placebo group (chest pain and urinary tract infection). There were no deaths.</w:t>
      </w:r>
    </w:p>
    <w:p w14:paraId="6385626D" w14:textId="77777777" w:rsidR="000245FC" w:rsidRPr="002D2FA8" w:rsidRDefault="000245FC" w:rsidP="002D2FA8">
      <w:r w:rsidRPr="002D2FA8">
        <w:t>There were no significant laboratory findings.</w:t>
      </w:r>
    </w:p>
    <w:p w14:paraId="0F1DD55B" w14:textId="77777777" w:rsidR="000245FC" w:rsidRPr="00EA08B5" w:rsidRDefault="000245FC" w:rsidP="002D2FA8">
      <w:pPr>
        <w:pStyle w:val="Heading5"/>
      </w:pPr>
      <w:r w:rsidRPr="00EA08B5">
        <w:t>Multiple dose studies</w:t>
      </w:r>
    </w:p>
    <w:p w14:paraId="068EAACD" w14:textId="35FBB887" w:rsidR="000245FC" w:rsidRPr="002D2FA8" w:rsidRDefault="000245FC" w:rsidP="002D2FA8">
      <w:r w:rsidRPr="002D2FA8">
        <w:t xml:space="preserve">In </w:t>
      </w:r>
      <w:r w:rsidR="002D2FA8" w:rsidRPr="002D2FA8">
        <w:t xml:space="preserve">Study </w:t>
      </w:r>
      <w:r w:rsidRPr="002D2FA8">
        <w:t xml:space="preserve">BHV3000-305 (rimegepant second daily prophylaxis study), the </w:t>
      </w:r>
      <w:r w:rsidR="002D2FA8">
        <w:t>adverse events</w:t>
      </w:r>
      <w:r w:rsidRPr="002D2FA8">
        <w:t xml:space="preserve"> during the double blind period were generally comparable with placebo and consistent with the single dose studies. The on treatment </w:t>
      </w:r>
      <w:r w:rsidR="002D2FA8">
        <w:t>adverse events</w:t>
      </w:r>
      <w:r w:rsidRPr="002D2FA8">
        <w:t xml:space="preserve"> reported in this study that occurred in 2%</w:t>
      </w:r>
      <w:r w:rsidR="002D2FA8">
        <w:t xml:space="preserve"> or less</w:t>
      </w:r>
      <w:r w:rsidRPr="002D2FA8">
        <w:t xml:space="preserve"> of subjects were nasopharyngitis, urinary tract infection, upper respiratory tract infection, sinusitis, influenza, nausea and back pain. There was a severe </w:t>
      </w:r>
      <w:r w:rsidR="002D2FA8">
        <w:t>adverse event</w:t>
      </w:r>
      <w:r w:rsidRPr="002D2FA8">
        <w:t xml:space="preserve"> considered related in each arm during the double blind period. </w:t>
      </w:r>
      <w:r w:rsidR="002D2FA8">
        <w:t>Serious adverse events</w:t>
      </w:r>
      <w:r w:rsidRPr="002D2FA8">
        <w:t xml:space="preserve"> were reported in </w:t>
      </w:r>
      <w:r w:rsidR="002D2FA8">
        <w:t>three</w:t>
      </w:r>
      <w:r w:rsidRPr="002D2FA8">
        <w:t xml:space="preserve"> subjects in the rimegepant group (gastroenteritis, malignant melanoma, suicide attempt) and </w:t>
      </w:r>
      <w:r w:rsidR="002D2FA8">
        <w:t>four</w:t>
      </w:r>
      <w:r w:rsidRPr="002D2FA8">
        <w:t xml:space="preserve"> subjects in the placebo group (appendicitis, pneumonia, pyelonephritis, overdose) during the double blind period.</w:t>
      </w:r>
    </w:p>
    <w:p w14:paraId="2A3B2A6E" w14:textId="41D3365B" w:rsidR="000245FC" w:rsidRPr="002D2FA8" w:rsidRDefault="000245FC" w:rsidP="002D2FA8">
      <w:r w:rsidRPr="002D2FA8">
        <w:t xml:space="preserve">Twenty (3%) of subjects had </w:t>
      </w:r>
      <w:r w:rsidR="002D2FA8">
        <w:t>treatment-emergent adverse events</w:t>
      </w:r>
      <w:r w:rsidRPr="002D2FA8">
        <w:t xml:space="preserve"> leading to discontinuation of rimegepant in </w:t>
      </w:r>
      <w:r w:rsidR="002D2FA8">
        <w:t xml:space="preserve">Study </w:t>
      </w:r>
      <w:r w:rsidRPr="002D2FA8">
        <w:t>BHV3000-305 during the double blind (n</w:t>
      </w:r>
      <w:r w:rsidR="002D2FA8">
        <w:t> </w:t>
      </w:r>
      <w:r w:rsidRPr="002D2FA8">
        <w:t>=</w:t>
      </w:r>
      <w:r w:rsidR="002D2FA8">
        <w:t> </w:t>
      </w:r>
      <w:r w:rsidRPr="002D2FA8">
        <w:t>6) and open label (n</w:t>
      </w:r>
      <w:r w:rsidR="002D2FA8">
        <w:t> </w:t>
      </w:r>
      <w:r w:rsidRPr="002D2FA8">
        <w:t>=</w:t>
      </w:r>
      <w:r w:rsidR="002D2FA8">
        <w:t> </w:t>
      </w:r>
      <w:r w:rsidRPr="002D2FA8">
        <w:t xml:space="preserve">14) phases. The </w:t>
      </w:r>
      <w:r w:rsidR="002D2FA8">
        <w:t>adverse events</w:t>
      </w:r>
      <w:r w:rsidRPr="002D2FA8">
        <w:t xml:space="preserve"> reported in more than </w:t>
      </w:r>
      <w:r w:rsidR="002D2FA8">
        <w:t>one</w:t>
      </w:r>
      <w:r w:rsidRPr="002D2FA8">
        <w:t xml:space="preserve"> subjects were anxiety, depression, nausea and </w:t>
      </w:r>
      <w:r w:rsidR="002D2FA8">
        <w:t>a</w:t>
      </w:r>
      <w:r w:rsidR="002D2FA8" w:rsidRPr="002D2FA8">
        <w:t xml:space="preserve">lanine </w:t>
      </w:r>
      <w:r w:rsidR="002D2FA8" w:rsidRPr="00841178">
        <w:t>aminotransferase (</w:t>
      </w:r>
      <w:r w:rsidRPr="00841178">
        <w:t>ALT</w:t>
      </w:r>
      <w:r w:rsidR="002D2FA8" w:rsidRPr="00841178">
        <w:t>)</w:t>
      </w:r>
      <w:r w:rsidRPr="00841178">
        <w:t xml:space="preserve"> increased</w:t>
      </w:r>
      <w:r w:rsidRPr="002D2FA8">
        <w:t>. One myocardial infarction was reported during the open label phase</w:t>
      </w:r>
      <w:r w:rsidR="00841178">
        <w:t xml:space="preserve"> </w:t>
      </w:r>
      <w:r w:rsidRPr="002D2FA8">
        <w:t>but was not considered as related.</w:t>
      </w:r>
    </w:p>
    <w:p w14:paraId="3AD77B07" w14:textId="105A26C4" w:rsidR="000245FC" w:rsidRPr="002D2FA8" w:rsidRDefault="000245FC" w:rsidP="002D2FA8">
      <w:r w:rsidRPr="002D2FA8">
        <w:t xml:space="preserve">There were </w:t>
      </w:r>
      <w:r w:rsidR="002D2FA8">
        <w:t>two</w:t>
      </w:r>
      <w:r w:rsidRPr="002D2FA8">
        <w:t xml:space="preserve"> deaths during </w:t>
      </w:r>
      <w:r w:rsidR="002D2FA8">
        <w:t xml:space="preserve">Study </w:t>
      </w:r>
      <w:r w:rsidRPr="002D2FA8">
        <w:t xml:space="preserve">BHV3000-305 that occurred during the open label extension and were considered not related by the investigators. One subject died from septic </w:t>
      </w:r>
      <w:r w:rsidRPr="002D2FA8">
        <w:lastRenderedPageBreak/>
        <w:t>shock following hospitalisation for diverticulitis. Another subject died from aortic aneurysm occurring on a background of Marfan’s syndrome.</w:t>
      </w:r>
    </w:p>
    <w:p w14:paraId="779796CD" w14:textId="22DCB6B4" w:rsidR="000245FC" w:rsidRPr="002D2FA8" w:rsidRDefault="000245FC" w:rsidP="002D2FA8">
      <w:r w:rsidRPr="002D2FA8">
        <w:t xml:space="preserve">In </w:t>
      </w:r>
      <w:r w:rsidR="002D2FA8" w:rsidRPr="002D2FA8">
        <w:t xml:space="preserve">Study </w:t>
      </w:r>
      <w:r w:rsidRPr="002D2FA8">
        <w:t>BHV3000-201</w:t>
      </w:r>
      <w:r w:rsidR="002D2FA8" w:rsidRPr="002D2FA8">
        <w:t xml:space="preserve"> </w:t>
      </w:r>
      <w:r w:rsidRPr="002D2FA8">
        <w:t xml:space="preserve">60.4% of subjects experienced on-treatment </w:t>
      </w:r>
      <w:r w:rsidR="002D2FA8">
        <w:t>adverse events</w:t>
      </w:r>
      <w:r w:rsidRPr="002D2FA8">
        <w:t xml:space="preserve">. Those occurring in at least 2% were upper respiratory tract infection, nasopharyngitis, sinusitis, urinary tract infection, influenza, bronchitis, nausea, back pain, arthralgia and dizziness. In this study 47 subjects (2.6%) experienced </w:t>
      </w:r>
      <w:r w:rsidR="002D2FA8">
        <w:t>serious adverse events</w:t>
      </w:r>
      <w:r w:rsidRPr="002D2FA8">
        <w:t xml:space="preserve">, with the following reported in more than </w:t>
      </w:r>
      <w:r w:rsidR="002D2FA8">
        <w:t>one</w:t>
      </w:r>
      <w:r w:rsidRPr="002D2FA8">
        <w:t xml:space="preserve"> subject: accidental overdose (n</w:t>
      </w:r>
      <w:r w:rsidR="002D2FA8">
        <w:t> </w:t>
      </w:r>
      <w:r w:rsidRPr="002D2FA8">
        <w:t>=</w:t>
      </w:r>
      <w:r w:rsidR="002D2FA8">
        <w:t> </w:t>
      </w:r>
      <w:r w:rsidRPr="002D2FA8">
        <w:t>3), appendicitis (n</w:t>
      </w:r>
      <w:r w:rsidR="002D2FA8">
        <w:t> </w:t>
      </w:r>
      <w:r w:rsidRPr="002D2FA8">
        <w:t>=</w:t>
      </w:r>
      <w:r w:rsidR="002D2FA8">
        <w:t> </w:t>
      </w:r>
      <w:r w:rsidRPr="002D2FA8">
        <w:t>3), osteoarthritis (n</w:t>
      </w:r>
      <w:r w:rsidR="002D2FA8">
        <w:t> </w:t>
      </w:r>
      <w:r w:rsidRPr="002D2FA8">
        <w:t>=</w:t>
      </w:r>
      <w:r w:rsidR="002D2FA8">
        <w:t> </w:t>
      </w:r>
      <w:r w:rsidRPr="002D2FA8">
        <w:t>3), pulmonary embolism (n</w:t>
      </w:r>
      <w:r w:rsidR="002D2FA8">
        <w:t> </w:t>
      </w:r>
      <w:r w:rsidRPr="002D2FA8">
        <w:t>=</w:t>
      </w:r>
      <w:r w:rsidR="002D2FA8">
        <w:t> </w:t>
      </w:r>
      <w:r w:rsidRPr="002D2FA8">
        <w:t>3), constipation (n</w:t>
      </w:r>
      <w:r w:rsidR="002D2FA8">
        <w:t> </w:t>
      </w:r>
      <w:r w:rsidRPr="002D2FA8">
        <w:t>=</w:t>
      </w:r>
      <w:r w:rsidR="002D2FA8">
        <w:t> </w:t>
      </w:r>
      <w:r w:rsidRPr="002D2FA8">
        <w:t>2), pneumonia (n</w:t>
      </w:r>
      <w:r w:rsidR="002D2FA8">
        <w:t> </w:t>
      </w:r>
      <w:r w:rsidRPr="002D2FA8">
        <w:t>=</w:t>
      </w:r>
      <w:r w:rsidR="002D2FA8">
        <w:t> </w:t>
      </w:r>
      <w:r w:rsidRPr="002D2FA8">
        <w:t>2) and sepsis (n</w:t>
      </w:r>
      <w:r w:rsidR="002D2FA8">
        <w:t> </w:t>
      </w:r>
      <w:r w:rsidRPr="002D2FA8">
        <w:t>=</w:t>
      </w:r>
      <w:r w:rsidR="002D2FA8">
        <w:t> </w:t>
      </w:r>
      <w:r w:rsidRPr="002D2FA8">
        <w:t xml:space="preserve">2). In this study 48 (2.7%) of subjects had on-treatment </w:t>
      </w:r>
      <w:r w:rsidR="002D2FA8">
        <w:t>adverse events</w:t>
      </w:r>
      <w:r w:rsidRPr="002D2FA8">
        <w:t xml:space="preserve"> that lead to discontinuation. </w:t>
      </w:r>
      <w:r w:rsidR="002D2FA8">
        <w:t xml:space="preserve">Adverse events </w:t>
      </w:r>
      <w:r w:rsidRPr="002D2FA8">
        <w:t xml:space="preserve">leading to discontinuation occurring in more than </w:t>
      </w:r>
      <w:r w:rsidR="002D2FA8">
        <w:t>one</w:t>
      </w:r>
      <w:r w:rsidRPr="002D2FA8">
        <w:t xml:space="preserve"> subject were dizziness, ALT increased, </w:t>
      </w:r>
      <w:r w:rsidR="002D2FA8">
        <w:t>a</w:t>
      </w:r>
      <w:r w:rsidR="002D2FA8" w:rsidRPr="002D2FA8">
        <w:t xml:space="preserve">spartate </w:t>
      </w:r>
      <w:r w:rsidR="002D2FA8" w:rsidRPr="00841178">
        <w:t>aminotransferase (</w:t>
      </w:r>
      <w:r w:rsidRPr="00841178">
        <w:t>AST</w:t>
      </w:r>
      <w:r w:rsidR="002D2FA8" w:rsidRPr="00841178">
        <w:t>)</w:t>
      </w:r>
      <w:r w:rsidRPr="00841178">
        <w:t xml:space="preserve"> increased</w:t>
      </w:r>
      <w:r w:rsidRPr="002D2FA8">
        <w:t>, anxiety, arthralgia, blood creatine phosphokinase increased, constipation, depression, hot flush, suicidal ideation and vertigo.</w:t>
      </w:r>
    </w:p>
    <w:p w14:paraId="0D813FD2" w14:textId="77777777" w:rsidR="000245FC" w:rsidRPr="002D2FA8" w:rsidRDefault="000245FC" w:rsidP="002D2FA8">
      <w:r w:rsidRPr="002D2FA8">
        <w:t>There were no significant laboratory findings.</w:t>
      </w:r>
    </w:p>
    <w:p w14:paraId="327A0CD1" w14:textId="0C292C62" w:rsidR="000245FC" w:rsidRPr="00466C99" w:rsidRDefault="002D2FA8" w:rsidP="002D2FA8">
      <w:pPr>
        <w:pStyle w:val="Heading5"/>
      </w:pPr>
      <w:r>
        <w:t xml:space="preserve">Adverse events </w:t>
      </w:r>
      <w:r w:rsidR="000245FC" w:rsidRPr="00466C99">
        <w:t>of special interest</w:t>
      </w:r>
    </w:p>
    <w:p w14:paraId="0F4A8A3E" w14:textId="1BB3E462" w:rsidR="000245FC" w:rsidRPr="002D2FA8" w:rsidRDefault="000245FC" w:rsidP="002D2FA8">
      <w:r w:rsidRPr="002D2FA8">
        <w:t>Gastrointestina</w:t>
      </w:r>
      <w:r w:rsidR="002D2FA8" w:rsidRPr="002D2FA8">
        <w:t xml:space="preserve">l: </w:t>
      </w:r>
      <w:r w:rsidRPr="002D2FA8">
        <w:t>during double blind treatment every other day (</w:t>
      </w:r>
      <w:r w:rsidR="002D2FA8" w:rsidRPr="002D2FA8">
        <w:t xml:space="preserve">Study </w:t>
      </w:r>
      <w:r w:rsidRPr="002D2FA8">
        <w:t xml:space="preserve">BHV3000-305) the following gastrointestinal </w:t>
      </w:r>
      <w:r w:rsidR="002D2FA8">
        <w:t xml:space="preserve">adverse events </w:t>
      </w:r>
      <w:r w:rsidRPr="002D2FA8">
        <w:t>occurred at frequency 1%</w:t>
      </w:r>
      <w:r w:rsidR="002D2FA8">
        <w:t xml:space="preserve"> or greater</w:t>
      </w:r>
      <w:r w:rsidRPr="002D2FA8">
        <w:t>: nausea (2.7% v</w:t>
      </w:r>
      <w:r w:rsidR="002D2FA8">
        <w:t>ersus</w:t>
      </w:r>
      <w:r w:rsidRPr="002D2FA8">
        <w:t xml:space="preserve"> 0.8% with placebo), diarrhoea (1.6% v</w:t>
      </w:r>
      <w:r w:rsidR="002D2FA8">
        <w:t>ersus</w:t>
      </w:r>
      <w:r w:rsidRPr="002D2FA8">
        <w:t xml:space="preserve"> 1.1% with placebo) and constipation (1.1% v</w:t>
      </w:r>
      <w:r w:rsidR="002D2FA8">
        <w:t xml:space="preserve">ersus </w:t>
      </w:r>
      <w:r w:rsidRPr="002D2FA8">
        <w:t>0.5% with placebo).</w:t>
      </w:r>
    </w:p>
    <w:p w14:paraId="39A6179C" w14:textId="39C30BEB" w:rsidR="000245FC" w:rsidRPr="002D2FA8" w:rsidRDefault="000245FC" w:rsidP="002D2FA8">
      <w:r w:rsidRPr="002D2FA8">
        <w:t>Sleep disturbance</w:t>
      </w:r>
      <w:r w:rsidR="002D2FA8" w:rsidRPr="002D2FA8">
        <w:t>: i</w:t>
      </w:r>
      <w:r w:rsidRPr="002D2FA8">
        <w:t>nfrequent event in multiple dose studies in both rimegepant and placebo arms.</w:t>
      </w:r>
    </w:p>
    <w:p w14:paraId="33E48028" w14:textId="2094A6F4" w:rsidR="000245FC" w:rsidRPr="002D2FA8" w:rsidRDefault="000245FC" w:rsidP="002D2FA8">
      <w:r w:rsidRPr="002D2FA8">
        <w:t>Raynaud’s phenomenon</w:t>
      </w:r>
      <w:r w:rsidR="002D2FA8" w:rsidRPr="002D2FA8">
        <w:t>:</w:t>
      </w:r>
      <w:r w:rsidRPr="002D2FA8">
        <w:t xml:space="preserve"> only </w:t>
      </w:r>
      <w:r w:rsidR="002D2FA8">
        <w:t>one</w:t>
      </w:r>
      <w:r w:rsidRPr="002D2FA8">
        <w:t xml:space="preserve"> event of Raynaud’s was reported across the clinical studies (one subject in </w:t>
      </w:r>
      <w:r w:rsidR="002D2FA8">
        <w:t xml:space="preserve">Study </w:t>
      </w:r>
      <w:r w:rsidRPr="002D2FA8">
        <w:t xml:space="preserve">BHV3000-201 had a moderate </w:t>
      </w:r>
      <w:r w:rsidR="002D2FA8">
        <w:t>adverse event</w:t>
      </w:r>
      <w:r w:rsidRPr="002D2FA8">
        <w:t xml:space="preserve"> </w:t>
      </w:r>
      <w:r w:rsidR="002D2FA8">
        <w:t>‘</w:t>
      </w:r>
      <w:r w:rsidRPr="002D2FA8">
        <w:t>worsening of Raynaud’s</w:t>
      </w:r>
      <w:r w:rsidR="002D2FA8">
        <w:t>’</w:t>
      </w:r>
      <w:r w:rsidRPr="002D2FA8">
        <w:t xml:space="preserve"> which was not reported in the subject’s past history).</w:t>
      </w:r>
    </w:p>
    <w:p w14:paraId="6015591E" w14:textId="622AB32C" w:rsidR="000245FC" w:rsidRPr="002D2FA8" w:rsidRDefault="000245FC" w:rsidP="002D2FA8">
      <w:r w:rsidRPr="002D2FA8">
        <w:t>Liver function abnormalities</w:t>
      </w:r>
      <w:r w:rsidR="002D2FA8" w:rsidRPr="002D2FA8">
        <w:t>:</w:t>
      </w:r>
      <w:r w:rsidRPr="002D2FA8">
        <w:t xml:space="preserve"> these were infrequent during the single dose studies and occurred with similar frequency in both arms. During the open label safety study (</w:t>
      </w:r>
      <w:r w:rsidR="002D2FA8">
        <w:t xml:space="preserve">Study </w:t>
      </w:r>
      <w:r w:rsidRPr="002D2FA8">
        <w:t xml:space="preserve">BHV3000-201) frequencies above the upper limit of normal were 9.0% for ALT, 6.8% for AST, 1.7% for bilirubin and 3.6% for </w:t>
      </w:r>
      <w:r w:rsidR="002D2FA8">
        <w:t>a</w:t>
      </w:r>
      <w:r w:rsidR="002D2FA8" w:rsidRPr="002D2FA8">
        <w:t xml:space="preserve">lkaline </w:t>
      </w:r>
      <w:r w:rsidR="002D2FA8" w:rsidRPr="00841178">
        <w:t>phosphatase (</w:t>
      </w:r>
      <w:r w:rsidRPr="00841178">
        <w:t>ALP</w:t>
      </w:r>
      <w:r w:rsidR="002D2FA8" w:rsidRPr="00841178">
        <w:t>)</w:t>
      </w:r>
      <w:r w:rsidRPr="00841178">
        <w:t xml:space="preserve">. An external panel of liver experts determined that there were no Hy’s law cases (the two </w:t>
      </w:r>
      <w:r w:rsidR="002D2FA8" w:rsidRPr="00841178">
        <w:t>‘</w:t>
      </w:r>
      <w:r w:rsidRPr="00841178">
        <w:t>possible</w:t>
      </w:r>
      <w:r w:rsidR="002D2FA8" w:rsidRPr="00841178">
        <w:t>’</w:t>
      </w:r>
      <w:r w:rsidR="002D2FA8">
        <w:t xml:space="preserve"> </w:t>
      </w:r>
      <w:r w:rsidRPr="002D2FA8">
        <w:t xml:space="preserve">Hy’s law cases had gallstone and mercaptopurine </w:t>
      </w:r>
      <w:r w:rsidR="00841178">
        <w:t xml:space="preserve">as </w:t>
      </w:r>
      <w:r w:rsidRPr="002D2FA8">
        <w:t>alternative explanations) and there was no signal for drug induced liver injury due to rimegepant up to 64 weeks of at least every other day treatment.</w:t>
      </w:r>
    </w:p>
    <w:p w14:paraId="5CCAFCA2" w14:textId="77777777" w:rsidR="00833858" w:rsidRDefault="000245FC" w:rsidP="002D2FA8">
      <w:r w:rsidRPr="002D2FA8">
        <w:t>During the double blind period of the pivotal migraine prophylaxis study (</w:t>
      </w:r>
      <w:r w:rsidR="002D2FA8">
        <w:t xml:space="preserve">Study </w:t>
      </w:r>
      <w:r w:rsidRPr="002D2FA8">
        <w:t xml:space="preserve">BHV3000-305) </w:t>
      </w:r>
      <w:r w:rsidR="002D2FA8">
        <w:t xml:space="preserve">liver function </w:t>
      </w:r>
      <w:r w:rsidR="002D2FA8" w:rsidRPr="00841178">
        <w:t>test</w:t>
      </w:r>
      <w:r w:rsidRPr="002D2FA8">
        <w:t xml:space="preserve"> elevations were comparable between rimegepant and placebo. There was one severe hepatic related </w:t>
      </w:r>
      <w:r w:rsidR="002D2FA8">
        <w:t>adverse event</w:t>
      </w:r>
      <w:r w:rsidRPr="002D2FA8">
        <w:t xml:space="preserve"> during the open label study. Overall</w:t>
      </w:r>
      <w:r w:rsidR="002D2FA8">
        <w:t>,</w:t>
      </w:r>
      <w:r w:rsidRPr="002D2FA8">
        <w:t xml:space="preserve"> in </w:t>
      </w:r>
      <w:r w:rsidR="002D2FA8">
        <w:t>S</w:t>
      </w:r>
      <w:r w:rsidRPr="002D2FA8">
        <w:t>tudy</w:t>
      </w:r>
      <w:r w:rsidR="002D2FA8">
        <w:t> </w:t>
      </w:r>
      <w:r w:rsidRPr="002D2FA8">
        <w:t>BHV3000</w:t>
      </w:r>
      <w:r w:rsidR="00841178">
        <w:noBreakHyphen/>
      </w:r>
      <w:r w:rsidRPr="002D2FA8">
        <w:t xml:space="preserve">305 </w:t>
      </w:r>
      <w:r w:rsidR="002D2FA8">
        <w:t>six</w:t>
      </w:r>
      <w:r w:rsidRPr="002D2FA8">
        <w:t xml:space="preserve"> subjects receiving rimegepant had liver related concerns (raised transaminases, raised ALP, raised bilirubin, cirrhosis, hepatitis, liver failure or jaundice) that were considered as </w:t>
      </w:r>
      <w:r w:rsidR="002D2FA8">
        <w:t>‘</w:t>
      </w:r>
      <w:r w:rsidRPr="002D2FA8">
        <w:t>possibly</w:t>
      </w:r>
      <w:r w:rsidR="002D2FA8">
        <w:t>’</w:t>
      </w:r>
      <w:r w:rsidRPr="002D2FA8">
        <w:t xml:space="preserve"> representing </w:t>
      </w:r>
      <w:r w:rsidR="002D2FA8">
        <w:t>drug-induced liver injury</w:t>
      </w:r>
      <w:r w:rsidR="00833858">
        <w:t>.</w:t>
      </w:r>
    </w:p>
    <w:p w14:paraId="2176355F" w14:textId="2AD587E4" w:rsidR="000245FC" w:rsidRPr="002D2FA8" w:rsidRDefault="000245FC" w:rsidP="002D2FA8">
      <w:r w:rsidRPr="002D2FA8">
        <w:t>Systolic blood pressures over 160 were infrequent (1.3%) in the long term open label safety study.</w:t>
      </w:r>
    </w:p>
    <w:p w14:paraId="4EEA4F7C" w14:textId="63559CB6" w:rsidR="000245FC" w:rsidRPr="002D2FA8" w:rsidRDefault="000245FC" w:rsidP="002D2FA8">
      <w:r w:rsidRPr="002D2FA8">
        <w:t>One subject in the single dose study (</w:t>
      </w:r>
      <w:r w:rsidR="002D2FA8">
        <w:t xml:space="preserve">Study </w:t>
      </w:r>
      <w:r w:rsidRPr="002D2FA8">
        <w:t xml:space="preserve">BHV3000-303) experienced </w:t>
      </w:r>
      <w:r w:rsidR="002D2FA8">
        <w:t>‘</w:t>
      </w:r>
      <w:r w:rsidRPr="002D2FA8">
        <w:t>severe anaphylactic reaction</w:t>
      </w:r>
      <w:r w:rsidR="002D2FA8">
        <w:t>’</w:t>
      </w:r>
      <w:r w:rsidRPr="002D2FA8">
        <w:t xml:space="preserve"> 4 days after taking study medication. The subject did not receive epinephrine, was not hospitalised and recovered.</w:t>
      </w:r>
    </w:p>
    <w:p w14:paraId="0DF816F3" w14:textId="46011CBE" w:rsidR="000245FC" w:rsidRDefault="000245FC" w:rsidP="002D2FA8">
      <w:r w:rsidRPr="002D2FA8">
        <w:t>There was no signal for rimegepant being a drug of abuse, causing withdrawal and rebound or medication overuse headache. A</w:t>
      </w:r>
      <w:r w:rsidR="002D2FA8">
        <w:t>dverse events</w:t>
      </w:r>
      <w:r w:rsidRPr="002D2FA8">
        <w:t xml:space="preserve"> related to dizziness and somnolence were reported, often in subjects taking concomitant medication. These </w:t>
      </w:r>
      <w:r w:rsidR="002D2FA8">
        <w:t>adverse events</w:t>
      </w:r>
      <w:r w:rsidRPr="002D2FA8">
        <w:t xml:space="preserve"> were of low frequency, similar to placebo, mostly mild and infrequently led to study drug discontinuation. No </w:t>
      </w:r>
      <w:r w:rsidRPr="002D2FA8">
        <w:lastRenderedPageBreak/>
        <w:t xml:space="preserve">dedicated driving study was conducted and the </w:t>
      </w:r>
      <w:r w:rsidR="002D2FA8">
        <w:t>s</w:t>
      </w:r>
      <w:r w:rsidRPr="002D2FA8">
        <w:t>ponsor does not believe specific instruction regarding ability to drive or operate machinery are required.</w:t>
      </w:r>
    </w:p>
    <w:p w14:paraId="01952606" w14:textId="2D282708" w:rsidR="000245FC" w:rsidRDefault="000245FC" w:rsidP="002D2FA8">
      <w:pPr>
        <w:pStyle w:val="Heading5"/>
      </w:pPr>
      <w:r>
        <w:t>Additional studies</w:t>
      </w:r>
    </w:p>
    <w:p w14:paraId="51E05B11" w14:textId="79933ECC" w:rsidR="000245FC" w:rsidRPr="002D2FA8" w:rsidRDefault="000245FC" w:rsidP="002D2FA8">
      <w:r w:rsidRPr="002D2FA8">
        <w:t xml:space="preserve">In </w:t>
      </w:r>
      <w:r w:rsidR="002D2FA8">
        <w:t>S</w:t>
      </w:r>
      <w:r w:rsidRPr="002D2FA8">
        <w:t xml:space="preserve">tudy BHV3000-310 1342 subjects took a single dose of study medication. One of these took only a half an oral dispersible tablet and another subject did not provide any post treatment data and was not included in the analysis. The incidence of </w:t>
      </w:r>
      <w:r w:rsidR="002D2FA8">
        <w:t>treatment-emergent adverse events</w:t>
      </w:r>
      <w:r w:rsidRPr="002D2FA8">
        <w:t xml:space="preserve"> was 13.8% with rimegepant and 14.2% with placebo. Overall </w:t>
      </w:r>
      <w:r w:rsidR="002D2FA8">
        <w:t>adverse events</w:t>
      </w:r>
      <w:r w:rsidRPr="002D2FA8">
        <w:t xml:space="preserve"> occurring in 1%</w:t>
      </w:r>
      <w:r w:rsidR="002D2FA8">
        <w:t xml:space="preserve"> or greater</w:t>
      </w:r>
      <w:r w:rsidRPr="002D2FA8">
        <w:t xml:space="preserve"> of subjects were protein urine present, nausea and urinary tract infection. </w:t>
      </w:r>
      <w:r w:rsidR="002D2FA8">
        <w:t>Treatment</w:t>
      </w:r>
      <w:r w:rsidR="00841178">
        <w:noBreakHyphen/>
      </w:r>
      <w:r w:rsidR="002D2FA8">
        <w:t xml:space="preserve">emergent adverse events </w:t>
      </w:r>
      <w:r w:rsidRPr="002D2FA8">
        <w:t xml:space="preserve">of at least grade 3 </w:t>
      </w:r>
      <w:r w:rsidR="002D2FA8">
        <w:t>c</w:t>
      </w:r>
      <w:r w:rsidR="002D2FA8" w:rsidRPr="002D2FA8">
        <w:t xml:space="preserve">ommon </w:t>
      </w:r>
      <w:r w:rsidR="002D2FA8">
        <w:t>t</w:t>
      </w:r>
      <w:r w:rsidR="002D2FA8" w:rsidRPr="002D2FA8">
        <w:t xml:space="preserve">erminology </w:t>
      </w:r>
      <w:r w:rsidR="002D2FA8">
        <w:t>c</w:t>
      </w:r>
      <w:r w:rsidR="002D2FA8" w:rsidRPr="002D2FA8">
        <w:t xml:space="preserve">riteria for </w:t>
      </w:r>
      <w:r w:rsidR="002D2FA8">
        <w:t>a</w:t>
      </w:r>
      <w:r w:rsidR="002D2FA8" w:rsidRPr="002D2FA8">
        <w:t xml:space="preserve">dverse </w:t>
      </w:r>
      <w:r w:rsidR="002D2FA8">
        <w:t>e</w:t>
      </w:r>
      <w:r w:rsidR="002D2FA8" w:rsidRPr="002D2FA8">
        <w:t>vents</w:t>
      </w:r>
      <w:r w:rsidR="002D2FA8">
        <w:t xml:space="preserve"> (</w:t>
      </w:r>
      <w:r w:rsidRPr="002D2FA8">
        <w:t>CTCAE</w:t>
      </w:r>
      <w:r w:rsidR="002D2FA8">
        <w:t>)</w:t>
      </w:r>
      <w:r w:rsidRPr="002D2FA8">
        <w:t xml:space="preserve"> intensity in the rimegepant group were ALT increased, blood creatine phosphokinase increased and infection (</w:t>
      </w:r>
      <w:r w:rsidR="002D2FA8">
        <w:t>one</w:t>
      </w:r>
      <w:r w:rsidRPr="002D2FA8">
        <w:t xml:space="preserve"> subject each).</w:t>
      </w:r>
    </w:p>
    <w:p w14:paraId="27127F6F" w14:textId="20DFAD2F" w:rsidR="000245FC" w:rsidRPr="002D2FA8" w:rsidRDefault="000245FC" w:rsidP="002D2FA8">
      <w:r w:rsidRPr="002D2FA8">
        <w:t xml:space="preserve">The number of subjects with </w:t>
      </w:r>
      <w:r w:rsidR="002D2FA8">
        <w:t>treatment-emergent adverse events</w:t>
      </w:r>
      <w:r w:rsidRPr="002D2FA8">
        <w:t xml:space="preserve"> considered related were comparable in the rimegepant and the placebo arms. The most frequently reported preferred terms were nausea, protein urine present and photophobia. The grade 3 event of ALT increased and grade 4 event of blood creatine phosphokinase increased in the rimegepant group were both considered as related. The ALT increased was not considered a potential drug-induced liver injury event. There was one </w:t>
      </w:r>
      <w:r w:rsidR="002D2FA8">
        <w:t xml:space="preserve">serious adverse event </w:t>
      </w:r>
      <w:r w:rsidRPr="002D2FA8">
        <w:t>of infection reported in the rimegepant group.</w:t>
      </w:r>
    </w:p>
    <w:p w14:paraId="0BAF859E" w14:textId="4003B047" w:rsidR="000245FC" w:rsidRDefault="000245FC" w:rsidP="002D2FA8">
      <w:pPr>
        <w:pStyle w:val="Heading5"/>
      </w:pPr>
      <w:r>
        <w:t>Post market data</w:t>
      </w:r>
    </w:p>
    <w:p w14:paraId="67A5AC07" w14:textId="639E5054" w:rsidR="000245FC" w:rsidRPr="002D2FA8" w:rsidRDefault="00841178" w:rsidP="002D2FA8">
      <w:r>
        <w:t>R</w:t>
      </w:r>
      <w:r w:rsidR="000245FC" w:rsidRPr="002D2FA8">
        <w:t xml:space="preserve">imegepant has been marketed since 2020 in the </w:t>
      </w:r>
      <w:r w:rsidR="002D2FA8" w:rsidRPr="002D2FA8">
        <w:t>United States of America f</w:t>
      </w:r>
      <w:r w:rsidR="000245FC" w:rsidRPr="002D2FA8">
        <w:t xml:space="preserve">or acute migraine treatment. As of August 2020, approximately 70,900 patients have been treated. The most commonly reported adverse drug reactions were </w:t>
      </w:r>
      <w:r w:rsidR="002D2FA8" w:rsidRPr="002D2FA8">
        <w:t>‘</w:t>
      </w:r>
      <w:r w:rsidR="000245FC" w:rsidRPr="002D2FA8">
        <w:t>drug ineffective</w:t>
      </w:r>
      <w:r w:rsidR="002D2FA8" w:rsidRPr="002D2FA8">
        <w:t>’ and ‘</w:t>
      </w:r>
      <w:r w:rsidR="000245FC" w:rsidRPr="002D2FA8">
        <w:t>therapeutic effect incomplete</w:t>
      </w:r>
      <w:r w:rsidR="002D2FA8" w:rsidRPr="002D2FA8">
        <w:t>’</w:t>
      </w:r>
      <w:r w:rsidR="000245FC" w:rsidRPr="002D2FA8">
        <w:t xml:space="preserve">. Other reported </w:t>
      </w:r>
      <w:r w:rsidR="002D2FA8" w:rsidRPr="002D2FA8">
        <w:t>adverse drug reactions</w:t>
      </w:r>
      <w:r w:rsidR="000245FC" w:rsidRPr="002D2FA8">
        <w:t xml:space="preserve"> were nausea (30</w:t>
      </w:r>
      <w:r>
        <w:t xml:space="preserve"> patients</w:t>
      </w:r>
      <w:r w:rsidR="000245FC" w:rsidRPr="002D2FA8">
        <w:t>), vomiting (10</w:t>
      </w:r>
      <w:r>
        <w:t> patients</w:t>
      </w:r>
      <w:r w:rsidR="000245FC" w:rsidRPr="002D2FA8">
        <w:t>), somnolence (16</w:t>
      </w:r>
      <w:r>
        <w:t xml:space="preserve"> patients</w:t>
      </w:r>
      <w:r w:rsidR="000245FC" w:rsidRPr="002D2FA8">
        <w:t>), hypersensitivity (</w:t>
      </w:r>
      <w:r w:rsidR="002D2FA8" w:rsidRPr="002D2FA8">
        <w:t>six</w:t>
      </w:r>
      <w:r>
        <w:t xml:space="preserve"> patients</w:t>
      </w:r>
      <w:r w:rsidR="000245FC" w:rsidRPr="002D2FA8">
        <w:t xml:space="preserve">; </w:t>
      </w:r>
      <w:r w:rsidR="002D2FA8" w:rsidRPr="002D2FA8">
        <w:t>three</w:t>
      </w:r>
      <w:r w:rsidR="000245FC" w:rsidRPr="002D2FA8">
        <w:t xml:space="preserve"> of these were serious) and skin reactions (16</w:t>
      </w:r>
      <w:r>
        <w:t xml:space="preserve"> patients</w:t>
      </w:r>
      <w:r w:rsidR="000245FC" w:rsidRPr="002D2FA8">
        <w:t>).</w:t>
      </w:r>
    </w:p>
    <w:p w14:paraId="59C57A22" w14:textId="6D4CDA16" w:rsidR="000245FC" w:rsidRPr="002D2FA8" w:rsidRDefault="000245FC" w:rsidP="002D2FA8">
      <w:r w:rsidRPr="002D2FA8">
        <w:t xml:space="preserve">Data available since the EMA submission and </w:t>
      </w:r>
      <w:r w:rsidR="002D2FA8">
        <w:t>comparable overseas report</w:t>
      </w:r>
      <w:r w:rsidRPr="002D2FA8">
        <w:t xml:space="preserve"> is from the </w:t>
      </w:r>
      <w:r w:rsidR="002D2FA8">
        <w:t>fifth p</w:t>
      </w:r>
      <w:r w:rsidR="002D2FA8" w:rsidRPr="002D2FA8">
        <w:t xml:space="preserve">eriodic safety update </w:t>
      </w:r>
      <w:r w:rsidR="002D2FA8" w:rsidRPr="00841178">
        <w:t>report</w:t>
      </w:r>
      <w:r w:rsidRPr="00841178">
        <w:t xml:space="preserve"> </w:t>
      </w:r>
      <w:r w:rsidR="002D2FA8" w:rsidRPr="00841178">
        <w:t>(</w:t>
      </w:r>
      <w:r w:rsidRPr="00841178">
        <w:t>PSUR</w:t>
      </w:r>
      <w:r w:rsidR="002D2FA8" w:rsidRPr="00841178">
        <w:t xml:space="preserve">; </w:t>
      </w:r>
      <w:r w:rsidRPr="00841178">
        <w:t>Feb</w:t>
      </w:r>
      <w:r w:rsidR="002D2FA8" w:rsidRPr="00841178">
        <w:t xml:space="preserve">ruary to </w:t>
      </w:r>
      <w:r w:rsidRPr="00841178">
        <w:t>Aug</w:t>
      </w:r>
      <w:r w:rsidR="002D2FA8" w:rsidRPr="00841178">
        <w:t>ust</w:t>
      </w:r>
      <w:r w:rsidRPr="00841178">
        <w:t xml:space="preserve"> 2022). It is estimated that since first marketing authorisation 591,954 patients</w:t>
      </w:r>
      <w:r w:rsidRPr="002D2FA8">
        <w:t xml:space="preserve"> have received rimegepant. During the period of the most recent PSUR 350,632 patients have received rimegepant. There were no new safety signals. Use in pregnant women and patients with cardiovascular disease remain as missing information. The safety concern of hypertension has been removed, although will continue to be monitored.</w:t>
      </w:r>
    </w:p>
    <w:p w14:paraId="07EB5248" w14:textId="77777777" w:rsidR="000245FC" w:rsidRPr="002D2FA8" w:rsidRDefault="000245FC" w:rsidP="002D2FA8">
      <w:r w:rsidRPr="002D2FA8">
        <w:t>There is a theoretical risk of an increase in Reynaud’s phenomenon in patients receiving CGRP antagonist drugs.</w:t>
      </w:r>
    </w:p>
    <w:p w14:paraId="2858B006" w14:textId="77777777" w:rsidR="00C22214" w:rsidRDefault="00C22214" w:rsidP="00C22214">
      <w:pPr>
        <w:pStyle w:val="Heading3"/>
        <w:rPr>
          <w:lang w:eastAsia="en-AU"/>
        </w:rPr>
      </w:pPr>
      <w:bookmarkStart w:id="62" w:name="_Toc314842514"/>
      <w:bookmarkStart w:id="63" w:name="_Toc103679298"/>
      <w:bookmarkStart w:id="64" w:name="_Toc160177860"/>
      <w:r>
        <w:rPr>
          <w:lang w:eastAsia="en-AU"/>
        </w:rPr>
        <w:t>Risk management plan</w:t>
      </w:r>
      <w:bookmarkEnd w:id="62"/>
      <w:bookmarkEnd w:id="63"/>
      <w:bookmarkEnd w:id="64"/>
    </w:p>
    <w:p w14:paraId="7DCB9B89" w14:textId="350FD33C" w:rsidR="002D2FA8" w:rsidRPr="002D2FA8" w:rsidRDefault="002D2FA8" w:rsidP="002D2FA8">
      <w:r w:rsidRPr="002D2FA8">
        <w:t xml:space="preserve">Pfizer Australia Pty Ltd has submitted </w:t>
      </w:r>
      <w:r>
        <w:t xml:space="preserve">European Union risk management plan </w:t>
      </w:r>
      <w:r w:rsidRPr="00841178">
        <w:t>(RMP)</w:t>
      </w:r>
      <w:r w:rsidRPr="002D2FA8">
        <w:t xml:space="preserve"> version 1.0 (dated 17 May 2022, </w:t>
      </w:r>
      <w:r>
        <w:t>data lock point</w:t>
      </w:r>
      <w:r w:rsidRPr="002D2FA8">
        <w:t xml:space="preserve"> 03 September 2021) and </w:t>
      </w:r>
      <w:r>
        <w:t>Australia</w:t>
      </w:r>
      <w:r>
        <w:noBreakHyphen/>
        <w:t xml:space="preserve">specific annex </w:t>
      </w:r>
      <w:r w:rsidRPr="002D2FA8">
        <w:t>version 1.0 (dated 15 July 2022) in support of this application.</w:t>
      </w:r>
    </w:p>
    <w:p w14:paraId="071ADFD1" w14:textId="3E169540" w:rsidR="002D2FA8" w:rsidRPr="002D2FA8" w:rsidRDefault="002D2FA8" w:rsidP="002D2FA8">
      <w:r w:rsidRPr="002D2FA8">
        <w:t xml:space="preserve">With the </w:t>
      </w:r>
      <w:r>
        <w:t>response to TGA questions</w:t>
      </w:r>
      <w:r w:rsidRPr="002D2FA8">
        <w:t xml:space="preserve">, the sponsor notified that, as a consequence of a request raised in the </w:t>
      </w:r>
      <w:r>
        <w:t>quality</w:t>
      </w:r>
      <w:r w:rsidRPr="002D2FA8">
        <w:t xml:space="preserve"> evaluation report, the proposed tradename for this product has been changed to N</w:t>
      </w:r>
      <w:r>
        <w:t>urtec</w:t>
      </w:r>
      <w:r w:rsidRPr="002D2FA8">
        <w:t xml:space="preserve"> ODT and should be used in future evaluation reports, instead of Vydura or Nurtec.</w:t>
      </w:r>
    </w:p>
    <w:p w14:paraId="2D0910F2" w14:textId="3E94B8D5" w:rsidR="002D2FA8" w:rsidRPr="002D2FA8" w:rsidRDefault="002D2FA8" w:rsidP="002D2FA8">
      <w:bookmarkStart w:id="65" w:name="_Hlk140127104"/>
      <w:r w:rsidRPr="002D2FA8">
        <w:t xml:space="preserve">The sponsor provided a further updated </w:t>
      </w:r>
      <w:r w:rsidR="00841178">
        <w:t>Australia-specific ann</w:t>
      </w:r>
      <w:r w:rsidR="00841178" w:rsidRPr="00841178">
        <w:t xml:space="preserve">ex </w:t>
      </w:r>
      <w:r w:rsidRPr="00841178">
        <w:t>version 1.1 (dated 28</w:t>
      </w:r>
      <w:r w:rsidR="00841178">
        <w:t> </w:t>
      </w:r>
      <w:r w:rsidRPr="00841178">
        <w:t>June</w:t>
      </w:r>
      <w:r w:rsidR="00841178">
        <w:t> </w:t>
      </w:r>
      <w:r w:rsidRPr="00841178">
        <w:t xml:space="preserve">2023) </w:t>
      </w:r>
      <w:bookmarkStart w:id="66" w:name="_Hlk140128373"/>
      <w:r w:rsidRPr="00841178">
        <w:t xml:space="preserve">after receiving advice from the </w:t>
      </w:r>
      <w:bookmarkEnd w:id="66"/>
      <w:r w:rsidRPr="00841178">
        <w:t>Advisory Committee on Medicines (ACM).</w:t>
      </w:r>
    </w:p>
    <w:bookmarkEnd w:id="65"/>
    <w:p w14:paraId="63BA075D" w14:textId="10DA683F" w:rsidR="002D2FA8" w:rsidRPr="00BD5DBD" w:rsidRDefault="002D2FA8" w:rsidP="002D2FA8">
      <w:pPr>
        <w:rPr>
          <w:szCs w:val="22"/>
        </w:rPr>
      </w:pPr>
      <w:r w:rsidRPr="00BD5DBD">
        <w:rPr>
          <w:szCs w:val="22"/>
        </w:rPr>
        <w:lastRenderedPageBreak/>
        <w:t>The summary of safety concerns and their associated risk monitoring and mitigation strategies are summarised in</w:t>
      </w:r>
      <w:r>
        <w:rPr>
          <w:szCs w:val="22"/>
        </w:rPr>
        <w:t xml:space="preserve"> </w:t>
      </w:r>
      <w:r w:rsidRPr="003B149C">
        <w:rPr>
          <w:color w:val="2B579A"/>
          <w:szCs w:val="22"/>
          <w:shd w:val="clear" w:color="auto" w:fill="E6E6E6"/>
        </w:rPr>
        <w:fldChar w:fldCharType="begin"/>
      </w:r>
      <w:r w:rsidRPr="003B149C">
        <w:rPr>
          <w:szCs w:val="22"/>
        </w:rPr>
        <w:instrText xml:space="preserve"> REF _Ref97629131 \h </w:instrText>
      </w:r>
      <w:r>
        <w:rPr>
          <w:szCs w:val="22"/>
        </w:rPr>
        <w:instrText xml:space="preserve"> \* MERGEFORMAT </w:instrText>
      </w:r>
      <w:r w:rsidRPr="003B149C">
        <w:rPr>
          <w:color w:val="2B579A"/>
          <w:szCs w:val="22"/>
          <w:shd w:val="clear" w:color="auto" w:fill="E6E6E6"/>
        </w:rPr>
      </w:r>
      <w:r w:rsidRPr="003B149C">
        <w:rPr>
          <w:color w:val="2B579A"/>
          <w:szCs w:val="22"/>
          <w:shd w:val="clear" w:color="auto" w:fill="E6E6E6"/>
        </w:rPr>
        <w:fldChar w:fldCharType="separate"/>
      </w:r>
      <w:r w:rsidR="00834F8B" w:rsidRPr="00834F8B">
        <w:rPr>
          <w:szCs w:val="22"/>
        </w:rPr>
        <w:t xml:space="preserve">Table </w:t>
      </w:r>
      <w:r w:rsidR="00834F8B" w:rsidRPr="00834F8B">
        <w:rPr>
          <w:noProof/>
          <w:szCs w:val="22"/>
        </w:rPr>
        <w:t>6</w:t>
      </w:r>
      <w:r w:rsidRPr="003B149C">
        <w:rPr>
          <w:color w:val="2B579A"/>
          <w:szCs w:val="22"/>
          <w:shd w:val="clear" w:color="auto" w:fill="E6E6E6"/>
        </w:rPr>
        <w:fldChar w:fldCharType="end"/>
      </w:r>
      <w:r w:rsidRPr="003B149C">
        <w:rPr>
          <w:szCs w:val="22"/>
        </w:rPr>
        <w:t>.</w:t>
      </w:r>
      <w:r w:rsidRPr="00BD5DBD">
        <w:rPr>
          <w:szCs w:val="22"/>
        </w:rPr>
        <w:t xml:space="preserve"> The TGA may request an updated RMP at any stage of a product's life</w:t>
      </w:r>
      <w:r>
        <w:rPr>
          <w:szCs w:val="22"/>
        </w:rPr>
        <w:t xml:space="preserve"> </w:t>
      </w:r>
      <w:r w:rsidRPr="00BD5DBD">
        <w:rPr>
          <w:szCs w:val="22"/>
        </w:rPr>
        <w:t>cycle, during both the pre-approval and post-approval phases.</w:t>
      </w:r>
    </w:p>
    <w:p w14:paraId="72B96DCC" w14:textId="2E714576" w:rsidR="002D2FA8" w:rsidRDefault="002D2FA8" w:rsidP="002D2FA8">
      <w:pPr>
        <w:pStyle w:val="TableTitle"/>
      </w:pPr>
      <w:bookmarkStart w:id="67" w:name="_Ref97629131"/>
      <w:r>
        <w:t xml:space="preserve">Table </w:t>
      </w:r>
      <w:r w:rsidR="00DE785D">
        <w:fldChar w:fldCharType="begin"/>
      </w:r>
      <w:r w:rsidR="00DE785D">
        <w:instrText xml:space="preserve"> SEQ Table \* ARABIC </w:instrText>
      </w:r>
      <w:r w:rsidR="00DE785D">
        <w:fldChar w:fldCharType="separate"/>
      </w:r>
      <w:r w:rsidR="00834F8B">
        <w:rPr>
          <w:noProof/>
        </w:rPr>
        <w:t>6</w:t>
      </w:r>
      <w:r w:rsidR="00DE785D">
        <w:rPr>
          <w:noProof/>
        </w:rPr>
        <w:fldChar w:fldCharType="end"/>
      </w:r>
      <w:bookmarkEnd w:id="67"/>
      <w:r>
        <w:t>: Summary of safety concerns</w:t>
      </w:r>
    </w:p>
    <w:tbl>
      <w:tblPr>
        <w:tblStyle w:val="TableTGAblue2023"/>
        <w:tblW w:w="9469" w:type="dxa"/>
        <w:tblLayout w:type="fixed"/>
        <w:tblLook w:val="04A0" w:firstRow="1" w:lastRow="0" w:firstColumn="1" w:lastColumn="0" w:noHBand="0" w:noVBand="1"/>
      </w:tblPr>
      <w:tblGrid>
        <w:gridCol w:w="1555"/>
        <w:gridCol w:w="3402"/>
        <w:gridCol w:w="992"/>
        <w:gridCol w:w="1276"/>
        <w:gridCol w:w="992"/>
        <w:gridCol w:w="1252"/>
      </w:tblGrid>
      <w:tr w:rsidR="002D2FA8" w:rsidRPr="00BF52F4" w14:paraId="4EF351F9" w14:textId="77777777" w:rsidTr="002D2FA8">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957" w:type="dxa"/>
            <w:gridSpan w:val="2"/>
            <w:vMerge w:val="restart"/>
          </w:tcPr>
          <w:p w14:paraId="0A380DB6" w14:textId="77777777" w:rsidR="002D2FA8" w:rsidRPr="002D2FA8" w:rsidRDefault="002D2FA8">
            <w:pPr>
              <w:pStyle w:val="Tabletext0"/>
              <w:rPr>
                <w:b w:val="0"/>
                <w:kern w:val="0"/>
                <w:sz w:val="20"/>
                <w:szCs w:val="20"/>
              </w:rPr>
            </w:pPr>
            <w:r w:rsidRPr="002D2FA8">
              <w:rPr>
                <w:kern w:val="0"/>
                <w:sz w:val="20"/>
                <w:szCs w:val="20"/>
              </w:rPr>
              <w:t>Summary of safety concerns</w:t>
            </w:r>
          </w:p>
        </w:tc>
        <w:tc>
          <w:tcPr>
            <w:tcW w:w="2268" w:type="dxa"/>
            <w:gridSpan w:val="2"/>
          </w:tcPr>
          <w:p w14:paraId="2372BAFD" w14:textId="77777777" w:rsidR="002D2FA8" w:rsidRPr="002D2FA8" w:rsidRDefault="002D2FA8">
            <w:pPr>
              <w:pStyle w:val="Tabletext0"/>
              <w:cnfStyle w:val="100000000000" w:firstRow="1" w:lastRow="0" w:firstColumn="0" w:lastColumn="0" w:oddVBand="0" w:evenVBand="0" w:oddHBand="0" w:evenHBand="0" w:firstRowFirstColumn="0" w:firstRowLastColumn="0" w:lastRowFirstColumn="0" w:lastRowLastColumn="0"/>
              <w:rPr>
                <w:b w:val="0"/>
                <w:kern w:val="0"/>
                <w:sz w:val="20"/>
                <w:szCs w:val="20"/>
              </w:rPr>
            </w:pPr>
            <w:r w:rsidRPr="002D2FA8">
              <w:rPr>
                <w:kern w:val="0"/>
                <w:sz w:val="20"/>
                <w:szCs w:val="20"/>
              </w:rPr>
              <w:t>Pharmacovigilance</w:t>
            </w:r>
          </w:p>
        </w:tc>
        <w:tc>
          <w:tcPr>
            <w:tcW w:w="2244" w:type="dxa"/>
            <w:gridSpan w:val="2"/>
          </w:tcPr>
          <w:p w14:paraId="037C3469" w14:textId="77777777" w:rsidR="002D2FA8" w:rsidRPr="002D2FA8" w:rsidRDefault="002D2FA8">
            <w:pPr>
              <w:pStyle w:val="Tabletext0"/>
              <w:cnfStyle w:val="100000000000" w:firstRow="1" w:lastRow="0" w:firstColumn="0" w:lastColumn="0" w:oddVBand="0" w:evenVBand="0" w:oddHBand="0" w:evenHBand="0" w:firstRowFirstColumn="0" w:firstRowLastColumn="0" w:lastRowFirstColumn="0" w:lastRowLastColumn="0"/>
              <w:rPr>
                <w:b w:val="0"/>
                <w:kern w:val="0"/>
                <w:sz w:val="20"/>
                <w:szCs w:val="20"/>
              </w:rPr>
            </w:pPr>
            <w:r w:rsidRPr="002D2FA8">
              <w:rPr>
                <w:kern w:val="0"/>
                <w:sz w:val="20"/>
                <w:szCs w:val="20"/>
              </w:rPr>
              <w:t>Risk Minimisation</w:t>
            </w:r>
          </w:p>
        </w:tc>
      </w:tr>
      <w:tr w:rsidR="002D2FA8" w:rsidRPr="00BF52F4" w14:paraId="03E6B329" w14:textId="77777777" w:rsidTr="002D2FA8">
        <w:trPr>
          <w:trHeight w:val="150"/>
        </w:trPr>
        <w:tc>
          <w:tcPr>
            <w:cnfStyle w:val="001000000000" w:firstRow="0" w:lastRow="0" w:firstColumn="1" w:lastColumn="0" w:oddVBand="0" w:evenVBand="0" w:oddHBand="0" w:evenHBand="0" w:firstRowFirstColumn="0" w:firstRowLastColumn="0" w:lastRowFirstColumn="0" w:lastRowLastColumn="0"/>
            <w:tcW w:w="4957" w:type="dxa"/>
            <w:gridSpan w:val="2"/>
            <w:vMerge/>
          </w:tcPr>
          <w:p w14:paraId="679C8F47" w14:textId="77777777" w:rsidR="002D2FA8" w:rsidRPr="002D2FA8" w:rsidRDefault="002D2FA8">
            <w:pPr>
              <w:pStyle w:val="Tabletext0"/>
              <w:rPr>
                <w:b/>
                <w:kern w:val="0"/>
                <w:sz w:val="20"/>
                <w:szCs w:val="20"/>
              </w:rPr>
            </w:pPr>
          </w:p>
        </w:tc>
        <w:tc>
          <w:tcPr>
            <w:tcW w:w="992" w:type="dxa"/>
            <w:shd w:val="clear" w:color="auto" w:fill="DEEAF6"/>
          </w:tcPr>
          <w:p w14:paraId="7C317E1E" w14:textId="77777777" w:rsidR="002D2FA8" w:rsidRPr="002D2FA8" w:rsidRDefault="002D2FA8">
            <w:pPr>
              <w:pStyle w:val="Tabletext0"/>
              <w:cnfStyle w:val="000000000000" w:firstRow="0" w:lastRow="0" w:firstColumn="0" w:lastColumn="0" w:oddVBand="0" w:evenVBand="0" w:oddHBand="0" w:evenHBand="0" w:firstRowFirstColumn="0" w:firstRowLastColumn="0" w:lastRowFirstColumn="0" w:lastRowLastColumn="0"/>
              <w:rPr>
                <w:color w:val="263287"/>
                <w:kern w:val="0"/>
                <w:sz w:val="18"/>
              </w:rPr>
            </w:pPr>
            <w:r w:rsidRPr="002D2FA8">
              <w:rPr>
                <w:color w:val="263287"/>
                <w:kern w:val="0"/>
                <w:sz w:val="18"/>
              </w:rPr>
              <w:t>Routine</w:t>
            </w:r>
          </w:p>
        </w:tc>
        <w:tc>
          <w:tcPr>
            <w:tcW w:w="1276" w:type="dxa"/>
            <w:shd w:val="clear" w:color="auto" w:fill="DEEAF6"/>
          </w:tcPr>
          <w:p w14:paraId="11C0313F" w14:textId="77777777" w:rsidR="002D2FA8" w:rsidRPr="002D2FA8" w:rsidRDefault="002D2FA8">
            <w:pPr>
              <w:pStyle w:val="Tabletext0"/>
              <w:cnfStyle w:val="000000000000" w:firstRow="0" w:lastRow="0" w:firstColumn="0" w:lastColumn="0" w:oddVBand="0" w:evenVBand="0" w:oddHBand="0" w:evenHBand="0" w:firstRowFirstColumn="0" w:firstRowLastColumn="0" w:lastRowFirstColumn="0" w:lastRowLastColumn="0"/>
              <w:rPr>
                <w:color w:val="263287"/>
                <w:kern w:val="0"/>
                <w:sz w:val="18"/>
              </w:rPr>
            </w:pPr>
            <w:r w:rsidRPr="002D2FA8">
              <w:rPr>
                <w:color w:val="263287"/>
                <w:kern w:val="0"/>
                <w:sz w:val="18"/>
              </w:rPr>
              <w:t>Additional</w:t>
            </w:r>
          </w:p>
        </w:tc>
        <w:tc>
          <w:tcPr>
            <w:tcW w:w="992" w:type="dxa"/>
            <w:shd w:val="clear" w:color="auto" w:fill="DEEAF6"/>
          </w:tcPr>
          <w:p w14:paraId="152E0A8B" w14:textId="77777777" w:rsidR="002D2FA8" w:rsidRPr="002D2FA8" w:rsidRDefault="002D2FA8">
            <w:pPr>
              <w:pStyle w:val="Tabletext0"/>
              <w:cnfStyle w:val="000000000000" w:firstRow="0" w:lastRow="0" w:firstColumn="0" w:lastColumn="0" w:oddVBand="0" w:evenVBand="0" w:oddHBand="0" w:evenHBand="0" w:firstRowFirstColumn="0" w:firstRowLastColumn="0" w:lastRowFirstColumn="0" w:lastRowLastColumn="0"/>
              <w:rPr>
                <w:color w:val="263287"/>
                <w:kern w:val="0"/>
                <w:sz w:val="18"/>
              </w:rPr>
            </w:pPr>
            <w:r w:rsidRPr="002D2FA8">
              <w:rPr>
                <w:color w:val="263287"/>
                <w:kern w:val="0"/>
                <w:sz w:val="18"/>
              </w:rPr>
              <w:t>Routine</w:t>
            </w:r>
          </w:p>
        </w:tc>
        <w:tc>
          <w:tcPr>
            <w:tcW w:w="1252" w:type="dxa"/>
            <w:shd w:val="clear" w:color="auto" w:fill="DEEAF6"/>
          </w:tcPr>
          <w:p w14:paraId="22572301" w14:textId="77777777" w:rsidR="002D2FA8" w:rsidRPr="002D2FA8" w:rsidRDefault="002D2FA8">
            <w:pPr>
              <w:pStyle w:val="Tabletext0"/>
              <w:cnfStyle w:val="000000000000" w:firstRow="0" w:lastRow="0" w:firstColumn="0" w:lastColumn="0" w:oddVBand="0" w:evenVBand="0" w:oddHBand="0" w:evenHBand="0" w:firstRowFirstColumn="0" w:firstRowLastColumn="0" w:lastRowFirstColumn="0" w:lastRowLastColumn="0"/>
              <w:rPr>
                <w:color w:val="263287"/>
                <w:kern w:val="0"/>
                <w:sz w:val="18"/>
              </w:rPr>
            </w:pPr>
            <w:r w:rsidRPr="002D2FA8">
              <w:rPr>
                <w:color w:val="263287"/>
                <w:kern w:val="0"/>
                <w:sz w:val="18"/>
              </w:rPr>
              <w:t>Additional</w:t>
            </w:r>
          </w:p>
        </w:tc>
      </w:tr>
      <w:tr w:rsidR="002D2FA8" w:rsidRPr="00B86EBE" w14:paraId="7717C6D2" w14:textId="77777777" w:rsidTr="002D2FA8">
        <w:trPr>
          <w:trHeight w:val="178"/>
        </w:trPr>
        <w:tc>
          <w:tcPr>
            <w:cnfStyle w:val="001000000000" w:firstRow="0" w:lastRow="0" w:firstColumn="1" w:lastColumn="0" w:oddVBand="0" w:evenVBand="0" w:oddHBand="0" w:evenHBand="0" w:firstRowFirstColumn="0" w:firstRowLastColumn="0" w:lastRowFirstColumn="0" w:lastRowLastColumn="0"/>
            <w:tcW w:w="1555" w:type="dxa"/>
          </w:tcPr>
          <w:p w14:paraId="4473DE8C" w14:textId="77777777" w:rsidR="002D2FA8" w:rsidRPr="002D2FA8" w:rsidRDefault="002D2FA8">
            <w:pPr>
              <w:pStyle w:val="Tabletext0"/>
              <w:rPr>
                <w:b/>
                <w:kern w:val="0"/>
                <w:sz w:val="20"/>
                <w:szCs w:val="20"/>
              </w:rPr>
            </w:pPr>
            <w:r w:rsidRPr="002D2FA8">
              <w:rPr>
                <w:b/>
                <w:kern w:val="0"/>
                <w:sz w:val="20"/>
                <w:szCs w:val="20"/>
              </w:rPr>
              <w:t>Important identified risks</w:t>
            </w:r>
          </w:p>
        </w:tc>
        <w:tc>
          <w:tcPr>
            <w:tcW w:w="3402" w:type="dxa"/>
          </w:tcPr>
          <w:p w14:paraId="2C2D729C" w14:textId="77777777" w:rsidR="002D2FA8" w:rsidRPr="002D2FA8" w:rsidRDefault="002D2FA8">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kern w:val="0"/>
                <w:sz w:val="20"/>
                <w:szCs w:val="20"/>
              </w:rPr>
              <w:t>None</w:t>
            </w:r>
          </w:p>
        </w:tc>
        <w:tc>
          <w:tcPr>
            <w:tcW w:w="992" w:type="dxa"/>
          </w:tcPr>
          <w:p w14:paraId="669284AA"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2D2FA8">
              <w:rPr>
                <w:kern w:val="0"/>
                <w:sz w:val="20"/>
                <w:szCs w:val="20"/>
              </w:rPr>
              <w:t>–</w:t>
            </w:r>
          </w:p>
        </w:tc>
        <w:tc>
          <w:tcPr>
            <w:tcW w:w="1276" w:type="dxa"/>
          </w:tcPr>
          <w:p w14:paraId="1DF85E3A"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2D2FA8">
              <w:rPr>
                <w:kern w:val="0"/>
                <w:sz w:val="20"/>
                <w:szCs w:val="20"/>
              </w:rPr>
              <w:t>–</w:t>
            </w:r>
          </w:p>
        </w:tc>
        <w:tc>
          <w:tcPr>
            <w:tcW w:w="992" w:type="dxa"/>
          </w:tcPr>
          <w:p w14:paraId="5C43A332"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2D2FA8">
              <w:rPr>
                <w:kern w:val="0"/>
                <w:sz w:val="20"/>
                <w:szCs w:val="20"/>
              </w:rPr>
              <w:t>–</w:t>
            </w:r>
          </w:p>
        </w:tc>
        <w:tc>
          <w:tcPr>
            <w:tcW w:w="1252" w:type="dxa"/>
          </w:tcPr>
          <w:p w14:paraId="29D8A3FC"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kern w:val="0"/>
                <w:sz w:val="20"/>
                <w:szCs w:val="20"/>
              </w:rPr>
              <w:t>–</w:t>
            </w:r>
          </w:p>
        </w:tc>
      </w:tr>
      <w:tr w:rsidR="002D2FA8" w:rsidRPr="00B86EBE" w14:paraId="3C40266D" w14:textId="77777777" w:rsidTr="002D2FA8">
        <w:trPr>
          <w:trHeight w:val="178"/>
        </w:trPr>
        <w:tc>
          <w:tcPr>
            <w:cnfStyle w:val="001000000000" w:firstRow="0" w:lastRow="0" w:firstColumn="1" w:lastColumn="0" w:oddVBand="0" w:evenVBand="0" w:oddHBand="0" w:evenHBand="0" w:firstRowFirstColumn="0" w:firstRowLastColumn="0" w:lastRowFirstColumn="0" w:lastRowLastColumn="0"/>
            <w:tcW w:w="1555" w:type="dxa"/>
          </w:tcPr>
          <w:p w14:paraId="6633630B" w14:textId="77777777" w:rsidR="002D2FA8" w:rsidRPr="002D2FA8" w:rsidRDefault="002D2FA8">
            <w:pPr>
              <w:pStyle w:val="Tabletext0"/>
              <w:rPr>
                <w:b/>
                <w:kern w:val="0"/>
                <w:sz w:val="20"/>
                <w:szCs w:val="20"/>
              </w:rPr>
            </w:pPr>
            <w:r w:rsidRPr="002D2FA8">
              <w:rPr>
                <w:b/>
                <w:kern w:val="0"/>
                <w:sz w:val="20"/>
                <w:szCs w:val="20"/>
              </w:rPr>
              <w:t>Important potential risks</w:t>
            </w:r>
          </w:p>
        </w:tc>
        <w:tc>
          <w:tcPr>
            <w:tcW w:w="3402" w:type="dxa"/>
          </w:tcPr>
          <w:p w14:paraId="5C6B8778" w14:textId="77777777" w:rsidR="002D2FA8" w:rsidRPr="002D2FA8" w:rsidRDefault="002D2FA8">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kern w:val="0"/>
                <w:sz w:val="20"/>
                <w:szCs w:val="20"/>
              </w:rPr>
              <w:t>None</w:t>
            </w:r>
          </w:p>
        </w:tc>
        <w:tc>
          <w:tcPr>
            <w:tcW w:w="992" w:type="dxa"/>
          </w:tcPr>
          <w:p w14:paraId="2438E4B5"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2D2FA8">
              <w:rPr>
                <w:kern w:val="0"/>
                <w:sz w:val="20"/>
                <w:szCs w:val="20"/>
              </w:rPr>
              <w:t>–</w:t>
            </w:r>
          </w:p>
        </w:tc>
        <w:tc>
          <w:tcPr>
            <w:tcW w:w="1276" w:type="dxa"/>
          </w:tcPr>
          <w:p w14:paraId="35AAACA0"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2D2FA8">
              <w:rPr>
                <w:kern w:val="0"/>
                <w:sz w:val="20"/>
                <w:szCs w:val="20"/>
              </w:rPr>
              <w:t>–</w:t>
            </w:r>
          </w:p>
        </w:tc>
        <w:tc>
          <w:tcPr>
            <w:tcW w:w="992" w:type="dxa"/>
          </w:tcPr>
          <w:p w14:paraId="6FAD4ACB"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2D2FA8">
              <w:rPr>
                <w:kern w:val="0"/>
                <w:sz w:val="20"/>
                <w:szCs w:val="20"/>
              </w:rPr>
              <w:t>–</w:t>
            </w:r>
          </w:p>
        </w:tc>
        <w:tc>
          <w:tcPr>
            <w:tcW w:w="1252" w:type="dxa"/>
          </w:tcPr>
          <w:p w14:paraId="661B3153"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kern w:val="0"/>
                <w:sz w:val="20"/>
                <w:szCs w:val="20"/>
              </w:rPr>
              <w:t>–</w:t>
            </w:r>
          </w:p>
        </w:tc>
      </w:tr>
      <w:tr w:rsidR="002D2FA8" w:rsidRPr="00B86EBE" w14:paraId="25E79867" w14:textId="77777777" w:rsidTr="002D2FA8">
        <w:trPr>
          <w:trHeight w:val="178"/>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040F054F" w14:textId="77777777" w:rsidR="002D2FA8" w:rsidRPr="002D2FA8" w:rsidRDefault="002D2FA8">
            <w:pPr>
              <w:pStyle w:val="Tabletext0"/>
              <w:rPr>
                <w:b/>
                <w:kern w:val="0"/>
                <w:sz w:val="20"/>
                <w:szCs w:val="20"/>
              </w:rPr>
            </w:pPr>
            <w:r w:rsidRPr="002D2FA8">
              <w:rPr>
                <w:b/>
                <w:kern w:val="0"/>
                <w:sz w:val="20"/>
                <w:szCs w:val="20"/>
              </w:rPr>
              <w:t>Missing information</w:t>
            </w:r>
          </w:p>
        </w:tc>
        <w:tc>
          <w:tcPr>
            <w:tcW w:w="3402" w:type="dxa"/>
          </w:tcPr>
          <w:p w14:paraId="4F4B55C8" w14:textId="77777777" w:rsidR="002D2FA8" w:rsidRPr="002D2FA8" w:rsidRDefault="002D2FA8">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kern w:val="0"/>
                <w:sz w:val="20"/>
                <w:szCs w:val="20"/>
              </w:rPr>
              <w:t xml:space="preserve">Use in pregnant women </w:t>
            </w:r>
          </w:p>
        </w:tc>
        <w:tc>
          <w:tcPr>
            <w:tcW w:w="992" w:type="dxa"/>
          </w:tcPr>
          <w:p w14:paraId="1826A855"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rFonts w:ascii="Wingdings" w:eastAsia="Wingdings" w:hAnsi="Wingdings" w:cs="Wingdings"/>
                <w:kern w:val="0"/>
                <w:sz w:val="20"/>
                <w:szCs w:val="20"/>
              </w:rPr>
              <w:t>ü</w:t>
            </w:r>
          </w:p>
        </w:tc>
        <w:tc>
          <w:tcPr>
            <w:tcW w:w="1276" w:type="dxa"/>
          </w:tcPr>
          <w:p w14:paraId="1E149415"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rFonts w:ascii="Wingdings" w:eastAsia="Wingdings" w:hAnsi="Wingdings" w:cs="Wingdings"/>
                <w:kern w:val="0"/>
                <w:sz w:val="20"/>
                <w:szCs w:val="20"/>
              </w:rPr>
              <w:t>ü</w:t>
            </w:r>
            <w:r w:rsidRPr="002D2FA8">
              <w:rPr>
                <w:rFonts w:asciiTheme="majorHAnsi" w:hAnsiTheme="majorHAnsi"/>
                <w:kern w:val="0"/>
                <w:sz w:val="20"/>
                <w:szCs w:val="20"/>
                <w:vertAlign w:val="superscript"/>
              </w:rPr>
              <w:t>#</w:t>
            </w:r>
          </w:p>
        </w:tc>
        <w:tc>
          <w:tcPr>
            <w:tcW w:w="992" w:type="dxa"/>
          </w:tcPr>
          <w:p w14:paraId="16819CE2"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rFonts w:ascii="Wingdings" w:eastAsia="Wingdings" w:hAnsi="Wingdings" w:cs="Wingdings"/>
                <w:kern w:val="0"/>
                <w:sz w:val="20"/>
                <w:szCs w:val="20"/>
              </w:rPr>
              <w:t>ü</w:t>
            </w:r>
          </w:p>
        </w:tc>
        <w:tc>
          <w:tcPr>
            <w:tcW w:w="1252" w:type="dxa"/>
          </w:tcPr>
          <w:p w14:paraId="056C46DF"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kern w:val="0"/>
                <w:sz w:val="20"/>
                <w:szCs w:val="20"/>
              </w:rPr>
              <w:t>–</w:t>
            </w:r>
          </w:p>
        </w:tc>
      </w:tr>
      <w:tr w:rsidR="002D2FA8" w:rsidRPr="00B86EBE" w14:paraId="4C85AD6F" w14:textId="77777777" w:rsidTr="002D2FA8">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40CE7485" w14:textId="77777777" w:rsidR="002D2FA8" w:rsidRPr="00B86EBE" w:rsidRDefault="002D2FA8">
            <w:pPr>
              <w:pStyle w:val="Tabletext0"/>
              <w:rPr>
                <w:kern w:val="0"/>
              </w:rPr>
            </w:pPr>
          </w:p>
        </w:tc>
        <w:tc>
          <w:tcPr>
            <w:tcW w:w="3402" w:type="dxa"/>
          </w:tcPr>
          <w:p w14:paraId="4B58E8A2" w14:textId="77777777" w:rsidR="002D2FA8" w:rsidRPr="002D2FA8" w:rsidRDefault="002D2FA8">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kern w:val="0"/>
                <w:sz w:val="20"/>
                <w:szCs w:val="20"/>
              </w:rPr>
              <w:t xml:space="preserve">Use in patients with cardiovascular diseases </w:t>
            </w:r>
          </w:p>
        </w:tc>
        <w:tc>
          <w:tcPr>
            <w:tcW w:w="992" w:type="dxa"/>
          </w:tcPr>
          <w:p w14:paraId="2CE17248"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rFonts w:ascii="Wingdings" w:eastAsia="Wingdings" w:hAnsi="Wingdings" w:cs="Wingdings"/>
                <w:kern w:val="0"/>
                <w:sz w:val="20"/>
                <w:szCs w:val="20"/>
              </w:rPr>
              <w:t>ü</w:t>
            </w:r>
          </w:p>
        </w:tc>
        <w:tc>
          <w:tcPr>
            <w:tcW w:w="1276" w:type="dxa"/>
          </w:tcPr>
          <w:p w14:paraId="5FEA0F6B"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rFonts w:ascii="Wingdings" w:eastAsia="Wingdings" w:hAnsi="Wingdings" w:cs="Wingdings"/>
                <w:kern w:val="0"/>
                <w:sz w:val="20"/>
                <w:szCs w:val="20"/>
              </w:rPr>
              <w:t>ü</w:t>
            </w:r>
            <w:r w:rsidRPr="002D2FA8">
              <w:rPr>
                <w:rFonts w:asciiTheme="majorHAnsi" w:hAnsiTheme="majorHAnsi"/>
                <w:kern w:val="0"/>
                <w:sz w:val="20"/>
                <w:szCs w:val="20"/>
              </w:rPr>
              <w:t>*</w:t>
            </w:r>
          </w:p>
        </w:tc>
        <w:tc>
          <w:tcPr>
            <w:tcW w:w="992" w:type="dxa"/>
          </w:tcPr>
          <w:p w14:paraId="315E5EDA"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rFonts w:ascii="Wingdings" w:eastAsia="Wingdings" w:hAnsi="Wingdings" w:cs="Wingdings"/>
                <w:kern w:val="0"/>
                <w:sz w:val="20"/>
                <w:szCs w:val="20"/>
              </w:rPr>
              <w:t>ü</w:t>
            </w:r>
          </w:p>
        </w:tc>
        <w:tc>
          <w:tcPr>
            <w:tcW w:w="1252" w:type="dxa"/>
          </w:tcPr>
          <w:p w14:paraId="0C69A904"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kern w:val="0"/>
                <w:sz w:val="20"/>
                <w:szCs w:val="20"/>
              </w:rPr>
              <w:t>–</w:t>
            </w:r>
          </w:p>
        </w:tc>
      </w:tr>
      <w:tr w:rsidR="002D2FA8" w:rsidRPr="00B86EBE" w14:paraId="6023B08B" w14:textId="77777777" w:rsidTr="002D2FA8">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3F5B50E5" w14:textId="77777777" w:rsidR="002D2FA8" w:rsidRPr="00B86EBE" w:rsidRDefault="002D2FA8">
            <w:pPr>
              <w:pStyle w:val="Tabletext0"/>
              <w:rPr>
                <w:kern w:val="0"/>
              </w:rPr>
            </w:pPr>
          </w:p>
        </w:tc>
        <w:tc>
          <w:tcPr>
            <w:tcW w:w="3402" w:type="dxa"/>
          </w:tcPr>
          <w:p w14:paraId="2D3B254D" w14:textId="77777777" w:rsidR="002D2FA8" w:rsidRPr="002D2FA8" w:rsidRDefault="002D2FA8">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kern w:val="0"/>
                <w:sz w:val="20"/>
                <w:szCs w:val="20"/>
              </w:rPr>
              <w:t>Use in breastfeeding women</w:t>
            </w:r>
            <w:r w:rsidRPr="002D2FA8">
              <w:rPr>
                <w:kern w:val="0"/>
                <w:sz w:val="20"/>
                <w:szCs w:val="20"/>
                <w:vertAlign w:val="superscript"/>
              </w:rPr>
              <w:t>µ</w:t>
            </w:r>
          </w:p>
        </w:tc>
        <w:tc>
          <w:tcPr>
            <w:tcW w:w="992" w:type="dxa"/>
          </w:tcPr>
          <w:p w14:paraId="5112D915"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2D2FA8">
              <w:rPr>
                <w:rFonts w:ascii="Wingdings" w:eastAsia="Wingdings" w:hAnsi="Wingdings" w:cs="Wingdings"/>
                <w:kern w:val="0"/>
                <w:sz w:val="20"/>
                <w:szCs w:val="20"/>
              </w:rPr>
              <w:t>ü</w:t>
            </w:r>
          </w:p>
        </w:tc>
        <w:tc>
          <w:tcPr>
            <w:tcW w:w="1276" w:type="dxa"/>
          </w:tcPr>
          <w:p w14:paraId="5B1ED9DD"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2D2FA8">
              <w:rPr>
                <w:kern w:val="0"/>
                <w:sz w:val="20"/>
                <w:szCs w:val="20"/>
              </w:rPr>
              <w:t>–</w:t>
            </w:r>
          </w:p>
        </w:tc>
        <w:tc>
          <w:tcPr>
            <w:tcW w:w="992" w:type="dxa"/>
          </w:tcPr>
          <w:p w14:paraId="4998C7F4"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sz w:val="20"/>
                <w:szCs w:val="20"/>
              </w:rPr>
            </w:pPr>
            <w:r w:rsidRPr="002D2FA8">
              <w:rPr>
                <w:rFonts w:ascii="Wingdings" w:eastAsia="Wingdings" w:hAnsi="Wingdings" w:cs="Wingdings"/>
                <w:kern w:val="0"/>
                <w:sz w:val="20"/>
                <w:szCs w:val="20"/>
              </w:rPr>
              <w:t>ü</w:t>
            </w:r>
          </w:p>
        </w:tc>
        <w:tc>
          <w:tcPr>
            <w:tcW w:w="1252" w:type="dxa"/>
          </w:tcPr>
          <w:p w14:paraId="053BBF39" w14:textId="77777777" w:rsidR="002D2FA8" w:rsidRPr="002D2FA8" w:rsidRDefault="002D2FA8">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2D2FA8">
              <w:rPr>
                <w:kern w:val="0"/>
                <w:sz w:val="20"/>
                <w:szCs w:val="20"/>
              </w:rPr>
              <w:t>–</w:t>
            </w:r>
          </w:p>
        </w:tc>
      </w:tr>
    </w:tbl>
    <w:p w14:paraId="1820DEA9" w14:textId="77777777" w:rsidR="002D2FA8" w:rsidRDefault="002D2FA8" w:rsidP="002D2FA8">
      <w:pPr>
        <w:pStyle w:val="TableDescription"/>
      </w:pPr>
      <w:r w:rsidRPr="002D2FA8">
        <w:t xml:space="preserve">#Pregnancy registry and retrospective cohort study on pregnancy outcomes </w:t>
      </w:r>
      <w:r w:rsidRPr="002D2FA8">
        <w:br/>
        <w:t xml:space="preserve">*PASS </w:t>
      </w:r>
      <w:r w:rsidRPr="002D2FA8">
        <w:br/>
        <w:t>µ Australia-specific safety concern</w:t>
      </w:r>
    </w:p>
    <w:p w14:paraId="1B41995D" w14:textId="0ED2D0D6" w:rsidR="002D2FA8" w:rsidRPr="002D2FA8" w:rsidRDefault="002D2FA8" w:rsidP="002D2FA8">
      <w:r w:rsidRPr="002D2FA8">
        <w:t xml:space="preserve">The sponsor included </w:t>
      </w:r>
      <w:r>
        <w:t>‘u</w:t>
      </w:r>
      <w:r w:rsidRPr="002D2FA8">
        <w:t>se in breastfeeding women’ as an Australia-specific safety concern as recommended by the RMP and the clinical evaluat</w:t>
      </w:r>
      <w:r>
        <w:t>ion</w:t>
      </w:r>
      <w:r w:rsidRPr="002D2FA8">
        <w:t>.</w:t>
      </w:r>
    </w:p>
    <w:p w14:paraId="3EA55316" w14:textId="48A2525F" w:rsidR="002D2FA8" w:rsidRPr="002D2FA8" w:rsidRDefault="002D2FA8" w:rsidP="002D2FA8">
      <w:r w:rsidRPr="002D2FA8">
        <w:t>The sponsor has proposed routine pharmacovigilance for all safety concerns. In response to a recommendation made by the ACM, the sponsor has provided a commitment to report the serious adverse events in patients with uncontrolled hypertension and patients with uncontrolled diabetes in the PSURs. The pharmacovigilance plan is acceptable from an RMP perspective.</w:t>
      </w:r>
    </w:p>
    <w:p w14:paraId="677145B6" w14:textId="3CF558B9" w:rsidR="002D2FA8" w:rsidRPr="002D2FA8" w:rsidRDefault="002D2FA8" w:rsidP="002D2FA8">
      <w:r w:rsidRPr="002D2FA8">
        <w:t>The sponsor proposed routine risk minimisation activities for all safety concerns. There are no differences in risk minimisation activities between the E</w:t>
      </w:r>
      <w:r w:rsidR="00841178">
        <w:t>uropean Union</w:t>
      </w:r>
      <w:r w:rsidRPr="002D2FA8">
        <w:t xml:space="preserve"> and Australia. Routine risk minimisation measures are considered acceptable to minimise the risks associated with this product.</w:t>
      </w:r>
    </w:p>
    <w:p w14:paraId="16E5DFAA" w14:textId="3481F875" w:rsidR="00032A0F" w:rsidRPr="002D2FA8" w:rsidRDefault="00032A0F" w:rsidP="002D2FA8">
      <w:bookmarkStart w:id="68" w:name="_Toc247691531"/>
      <w:bookmarkStart w:id="69" w:name="_Toc314842515"/>
      <w:r>
        <w:t>The RMP evaluation recommended conditions of registration relating to the versions of the risk management plan, requirement for periodic safety update reports, and inclusion of the medicine in the Black Triangle Scheme.</w:t>
      </w:r>
    </w:p>
    <w:p w14:paraId="74A4F87F" w14:textId="77777777" w:rsidR="00C22214" w:rsidRDefault="00C22214" w:rsidP="00C22214">
      <w:pPr>
        <w:pStyle w:val="Heading3"/>
      </w:pPr>
      <w:bookmarkStart w:id="70" w:name="_Toc103679299"/>
      <w:bookmarkStart w:id="71" w:name="_Toc160177861"/>
      <w:r>
        <w:t>Risk-benefit analysis</w:t>
      </w:r>
      <w:bookmarkEnd w:id="68"/>
      <w:bookmarkEnd w:id="69"/>
      <w:bookmarkEnd w:id="70"/>
      <w:bookmarkEnd w:id="71"/>
    </w:p>
    <w:p w14:paraId="77DE2655" w14:textId="77777777" w:rsidR="00C22214" w:rsidRDefault="00C22214" w:rsidP="00C22214">
      <w:pPr>
        <w:pStyle w:val="Heading4"/>
      </w:pPr>
      <w:bookmarkStart w:id="72" w:name="_Toc98931932"/>
      <w:bookmarkStart w:id="73" w:name="_Toc160177862"/>
      <w:r>
        <w:t>Delegate’s considerations</w:t>
      </w:r>
      <w:bookmarkEnd w:id="72"/>
      <w:bookmarkEnd w:id="73"/>
    </w:p>
    <w:p w14:paraId="1CDDE5FA" w14:textId="77777777" w:rsidR="00B70EB5" w:rsidRPr="005064E8" w:rsidRDefault="00B70EB5" w:rsidP="00B70EB5">
      <w:pPr>
        <w:pStyle w:val="Heading5"/>
      </w:pPr>
      <w:r w:rsidRPr="005064E8">
        <w:t>Proposed indication</w:t>
      </w:r>
    </w:p>
    <w:p w14:paraId="07CC7646" w14:textId="597F93ED" w:rsidR="00B70EB5" w:rsidRDefault="00841178" w:rsidP="00B70EB5">
      <w:pPr>
        <w:jc w:val="both"/>
        <w:rPr>
          <w:iCs/>
        </w:rPr>
      </w:pPr>
      <w:r>
        <w:rPr>
          <w:iCs/>
        </w:rPr>
        <w:t>Comparable overseas report</w:t>
      </w:r>
      <w:r w:rsidR="00B70EB5">
        <w:rPr>
          <w:iCs/>
        </w:rPr>
        <w:t xml:space="preserve"> view:</w:t>
      </w:r>
    </w:p>
    <w:p w14:paraId="49E215B9" w14:textId="4D812970" w:rsidR="00B70EB5" w:rsidRPr="00B70EB5" w:rsidRDefault="00B70EB5" w:rsidP="00B70EB5">
      <w:r w:rsidRPr="00B70EB5">
        <w:t xml:space="preserve">The amendment of the initial requested indication for </w:t>
      </w:r>
      <w:r>
        <w:t>‘</w:t>
      </w:r>
      <w:r w:rsidRPr="00B70EB5">
        <w:t>comprehensive management of migraine in adults</w:t>
      </w:r>
      <w:r>
        <w:t>’</w:t>
      </w:r>
      <w:r w:rsidRPr="00B70EB5">
        <w:t xml:space="preserve"> to the indications as requested in this submission were considered acceptable to the EMA. There was adequate safety and efficacy data to support both acute treatment and prophylaxis.</w:t>
      </w:r>
    </w:p>
    <w:p w14:paraId="529CF609" w14:textId="77777777" w:rsidR="00DE785D" w:rsidRDefault="00DE785D" w:rsidP="00B70EB5"/>
    <w:p w14:paraId="55DA177F" w14:textId="77777777" w:rsidR="00DE785D" w:rsidRDefault="00DE785D" w:rsidP="00B70EB5"/>
    <w:p w14:paraId="01684030" w14:textId="6A979FCB" w:rsidR="00B70EB5" w:rsidRPr="00B70EB5" w:rsidRDefault="00B70EB5" w:rsidP="00B70EB5">
      <w:r w:rsidRPr="00B70EB5">
        <w:lastRenderedPageBreak/>
        <w:t>Delegate view:</w:t>
      </w:r>
    </w:p>
    <w:p w14:paraId="17732D15" w14:textId="33E7D9E5" w:rsidR="00B70EB5" w:rsidRPr="00B70EB5" w:rsidRDefault="00B70EB5" w:rsidP="00B70EB5">
      <w:r w:rsidRPr="00B70EB5">
        <w:t xml:space="preserve">The Delegate agrees that the indications are generally appropriate. The Delegate notes that the pivotal trials focussed on patients experiencing moderate to severe migraine symptoms. It is a consideration about whether this needs to be reflected in the indication. This should also be considered in the context of triptans and CGRP antagonist </w:t>
      </w:r>
      <w:r>
        <w:t xml:space="preserve">monoclonal antibodies </w:t>
      </w:r>
      <w:r w:rsidRPr="00B70EB5">
        <w:t xml:space="preserve">which do not specify moderate or severe attacks. The Delegate will seek </w:t>
      </w:r>
      <w:r>
        <w:t>the Advisory Committee on Medicines (</w:t>
      </w:r>
      <w:r w:rsidRPr="00B70EB5">
        <w:t>ACM</w:t>
      </w:r>
      <w:r>
        <w:t>)</w:t>
      </w:r>
      <w:r w:rsidRPr="00B70EB5">
        <w:t xml:space="preserve"> view on this.</w:t>
      </w:r>
    </w:p>
    <w:p w14:paraId="38954896" w14:textId="77777777" w:rsidR="00B70EB5" w:rsidRPr="005064E8" w:rsidRDefault="00B70EB5" w:rsidP="00B70EB5">
      <w:pPr>
        <w:pStyle w:val="Heading5"/>
      </w:pPr>
      <w:r w:rsidRPr="005064E8">
        <w:t>Efficacy</w:t>
      </w:r>
    </w:p>
    <w:p w14:paraId="520E6C2F" w14:textId="72728D83" w:rsidR="00B70EB5" w:rsidRPr="00B70EB5" w:rsidRDefault="00841178" w:rsidP="00B70EB5">
      <w:r>
        <w:rPr>
          <w:iCs/>
        </w:rPr>
        <w:t>Comparable overseas report</w:t>
      </w:r>
      <w:r w:rsidR="00B70EB5" w:rsidRPr="00B70EB5">
        <w:t xml:space="preserve"> view:</w:t>
      </w:r>
    </w:p>
    <w:p w14:paraId="0E592663" w14:textId="1B099BCC" w:rsidR="00B70EB5" w:rsidRPr="00B70EB5" w:rsidRDefault="00B70EB5" w:rsidP="00B70EB5">
      <w:r w:rsidRPr="00B70EB5">
        <w:t xml:space="preserve">The EMA found the primary efficacy endpoints and secondary endpoints in the single attack studies to be adequate and in line with guidelines. The statistical methods were generally appropriate. Even though a modified </w:t>
      </w:r>
      <w:r>
        <w:t>intention to treat</w:t>
      </w:r>
      <w:r w:rsidRPr="00B70EB5">
        <w:t xml:space="preserve"> analysis population was used, there were very few patients who did not provide post-dose data.</w:t>
      </w:r>
    </w:p>
    <w:p w14:paraId="0D22593E" w14:textId="2825BCC1" w:rsidR="00B70EB5" w:rsidRPr="00B70EB5" w:rsidRDefault="00B70EB5" w:rsidP="00B70EB5">
      <w:r w:rsidRPr="00B70EB5">
        <w:t xml:space="preserve">The population was felt to be representative of migraine sufferers (aged 40, </w:t>
      </w:r>
      <w:r>
        <w:t>more female than male</w:t>
      </w:r>
      <w:r w:rsidRPr="00B70EB5">
        <w:t xml:space="preserve">, approximately 30% with aura and 15% on prophylaxis). The population experienced </w:t>
      </w:r>
      <w:r>
        <w:t>four</w:t>
      </w:r>
      <w:r w:rsidRPr="00B70EB5">
        <w:t xml:space="preserve"> attacks of moderate to severe intensity per month which is on the more severe spectrum of disease. Superiority over placebo was consistently shown with the magnitude of effect described as </w:t>
      </w:r>
      <w:r>
        <w:t>‘</w:t>
      </w:r>
      <w:r w:rsidRPr="00B70EB5">
        <w:t>modest</w:t>
      </w:r>
      <w:r>
        <w:t>’</w:t>
      </w:r>
      <w:r w:rsidRPr="00B70EB5">
        <w:t>.</w:t>
      </w:r>
    </w:p>
    <w:p w14:paraId="79C6589E" w14:textId="73345703" w:rsidR="00B70EB5" w:rsidRPr="00B70EB5" w:rsidRDefault="00B70EB5" w:rsidP="00B70EB5">
      <w:r w:rsidRPr="00B70EB5">
        <w:t xml:space="preserve">The EMA noted that the pivotal prophylaxis </w:t>
      </w:r>
      <w:r>
        <w:t>S</w:t>
      </w:r>
      <w:r w:rsidRPr="00B70EB5">
        <w:t xml:space="preserve">tudy </w:t>
      </w:r>
      <w:r w:rsidRPr="004303D6">
        <w:t>BHV3000-</w:t>
      </w:r>
      <w:r w:rsidRPr="00B70EB5">
        <w:t>305 recruited both episodic migraine and chronic migraine patients (</w:t>
      </w:r>
      <w:r>
        <w:t xml:space="preserve">that is, </w:t>
      </w:r>
      <w:r w:rsidRPr="00B70EB5">
        <w:t xml:space="preserve">15 </w:t>
      </w:r>
      <w:r>
        <w:t xml:space="preserve">or more </w:t>
      </w:r>
      <w:r w:rsidRPr="00B70EB5">
        <w:t xml:space="preserve">headache days per month). The definition of </w:t>
      </w:r>
      <w:r>
        <w:t>‘</w:t>
      </w:r>
      <w:r w:rsidRPr="00B70EB5">
        <w:t>migraine day</w:t>
      </w:r>
      <w:r>
        <w:t>’</w:t>
      </w:r>
      <w:r w:rsidRPr="00B70EB5">
        <w:t xml:space="preserve"> used in the study related only to episodic migraine, leaving some doubt about the efficacy in chronic migraine. The chronic migraine subgroup was considered too small to draw independent conclusions from these further analyses.</w:t>
      </w:r>
    </w:p>
    <w:p w14:paraId="49428EF9" w14:textId="577FBA31" w:rsidR="00B70EB5" w:rsidRPr="00B70EB5" w:rsidRDefault="00B70EB5" w:rsidP="00B70EB5">
      <w:r w:rsidRPr="00B70EB5">
        <w:t>The study was appropriately designed, including the use of a prospective observation period to document frequency of attacks and placebo control (essential). The use of usual (non rimegepant) medications for acute attacks during the placebo controlled period and the use of rimegepant for acute attacks during the open label period meant that there was no placebo controlled data of rimegepant every other day plus rimegepant for acute attacks (</w:t>
      </w:r>
      <w:r>
        <w:t>that is,</w:t>
      </w:r>
      <w:r w:rsidRPr="00B70EB5">
        <w:t xml:space="preserve"> no placebo controlled data to confirm taking additional rimegepant works when using it for prophylaxis). The EMA considered this a deficiency. Another deficiency was the lack of a study of within patient consistency (</w:t>
      </w:r>
      <w:r>
        <w:t xml:space="preserve">that is, </w:t>
      </w:r>
      <w:r w:rsidRPr="00B70EB5">
        <w:t>that rimegepant is efficacious for subsequent acute attacks).</w:t>
      </w:r>
    </w:p>
    <w:p w14:paraId="1973BDC0" w14:textId="4C88951C" w:rsidR="00B70EB5" w:rsidRPr="00B70EB5" w:rsidRDefault="00B70EB5" w:rsidP="00B70EB5">
      <w:r w:rsidRPr="00B70EB5">
        <w:t xml:space="preserve">In </w:t>
      </w:r>
      <w:r>
        <w:t>S</w:t>
      </w:r>
      <w:r w:rsidRPr="00B70EB5">
        <w:t xml:space="preserve">tudy </w:t>
      </w:r>
      <w:r w:rsidRPr="004303D6">
        <w:t>BHV3000-</w:t>
      </w:r>
      <w:r w:rsidRPr="00B70EB5">
        <w:t>305 the use of a modified</w:t>
      </w:r>
      <w:r>
        <w:t xml:space="preserve"> intention to treat</w:t>
      </w:r>
      <w:r w:rsidRPr="00B70EB5">
        <w:t xml:space="preserve"> analysis population (</w:t>
      </w:r>
      <w:r>
        <w:t>that is,</w:t>
      </w:r>
      <w:r w:rsidRPr="00B70EB5">
        <w:t xml:space="preserve"> excluding patients providing</w:t>
      </w:r>
      <w:r>
        <w:t xml:space="preserve"> less than </w:t>
      </w:r>
      <w:r w:rsidRPr="00B70EB5">
        <w:t>14 days of e</w:t>
      </w:r>
      <w:r>
        <w:t>-</w:t>
      </w:r>
      <w:r w:rsidRPr="00B70EB5">
        <w:t xml:space="preserve">Diary data) is considered problematic as there is a risk of selection bias. Sensitivity analysis applying placebo outcome data for the missing data points found a similar result. Superiority over placebo was demonstrated, with the net difference of 0.8 migraine days per month described as </w:t>
      </w:r>
      <w:r>
        <w:t>‘</w:t>
      </w:r>
      <w:r w:rsidRPr="00B70EB5">
        <w:t>modest</w:t>
      </w:r>
      <w:r>
        <w:t>’</w:t>
      </w:r>
      <w:r w:rsidRPr="00B70EB5">
        <w:t>. The open label portion was consistent with maintenance of effect.</w:t>
      </w:r>
    </w:p>
    <w:p w14:paraId="084339AF" w14:textId="77777777" w:rsidR="00B70EB5" w:rsidRPr="00B70EB5" w:rsidRDefault="00B70EB5" w:rsidP="00B70EB5">
      <w:r w:rsidRPr="00B70EB5">
        <w:t>Delegate view:</w:t>
      </w:r>
    </w:p>
    <w:p w14:paraId="16089444" w14:textId="597B3E56" w:rsidR="00B70EB5" w:rsidRPr="00B70EB5" w:rsidRDefault="00B70EB5" w:rsidP="00B70EB5">
      <w:r w:rsidRPr="00B70EB5">
        <w:t>The Delegate agrees with the deficiencies in the efficacy data raised by the EMA. They do not preclude assessment of the risk: benefit balance. The modest magnitude of effect in both acute migraine and prophylaxis is noteworthy. Active comparator studies would help clarify how this treatment compares with other established treatments to put the demonstrated effect size into context (although no essential from a purely regulatory point of view). The small effect size should not necessarily preclude registration as rimegepant represents an efficacious therapeutic option for patients suffering from migraine.</w:t>
      </w:r>
    </w:p>
    <w:p w14:paraId="622CB630" w14:textId="7F23EC79" w:rsidR="00B70EB5" w:rsidRPr="00B70EB5" w:rsidRDefault="00B70EB5" w:rsidP="00B70EB5">
      <w:r w:rsidRPr="00B70EB5">
        <w:lastRenderedPageBreak/>
        <w:t>There does not seem to be efficacy data (from the acute migraine studies) for additional doses of rimegepant on subsequent days if there are significant residual symptoms (</w:t>
      </w:r>
      <w:r>
        <w:t>that is,</w:t>
      </w:r>
      <w:r w:rsidRPr="00B70EB5">
        <w:t xml:space="preserve"> all part of the same acute attack) or a new attack. The product information implies that further doses are applicable in either scenario. The efficacy of prophylaxis plus </w:t>
      </w:r>
      <w:r>
        <w:t>as needed</w:t>
      </w:r>
      <w:r w:rsidRPr="00B70EB5">
        <w:t xml:space="preserve"> dosing has not been studies in a placebo controlled study</w:t>
      </w:r>
      <w:r>
        <w:t xml:space="preserve"> </w:t>
      </w:r>
      <w:r w:rsidRPr="00B70EB5">
        <w:t>yet appears to be recommended in the P</w:t>
      </w:r>
      <w:r>
        <w:t>roduct Information</w:t>
      </w:r>
      <w:r w:rsidRPr="00B70EB5">
        <w:t>.</w:t>
      </w:r>
    </w:p>
    <w:p w14:paraId="68564632" w14:textId="77777777" w:rsidR="00B70EB5" w:rsidRPr="005064E8" w:rsidRDefault="00B70EB5" w:rsidP="00B70EB5">
      <w:pPr>
        <w:pStyle w:val="Heading5"/>
      </w:pPr>
      <w:r w:rsidRPr="00B9180D">
        <w:t>Safety</w:t>
      </w:r>
    </w:p>
    <w:p w14:paraId="50CFE88B" w14:textId="6C380F0C" w:rsidR="00B70EB5" w:rsidRPr="00B70EB5" w:rsidRDefault="00841178" w:rsidP="00B70EB5">
      <w:r>
        <w:rPr>
          <w:iCs/>
        </w:rPr>
        <w:t xml:space="preserve">Comparable overseas report </w:t>
      </w:r>
      <w:r w:rsidR="00B70EB5" w:rsidRPr="00B70EB5">
        <w:t>view:</w:t>
      </w:r>
    </w:p>
    <w:p w14:paraId="53190A6A" w14:textId="59CD9DBB" w:rsidR="00B70EB5" w:rsidRPr="00B70EB5" w:rsidRDefault="00B70EB5" w:rsidP="00B70EB5">
      <w:r w:rsidRPr="00B70EB5">
        <w:t xml:space="preserve">In presenting safety data for single dose studies, the </w:t>
      </w:r>
      <w:r w:rsidR="00B9180D">
        <w:t>s</w:t>
      </w:r>
      <w:r w:rsidRPr="00B70EB5">
        <w:t xml:space="preserve">ponsor distinguished between on treatment </w:t>
      </w:r>
      <w:r w:rsidR="00B9180D">
        <w:t>adverse events</w:t>
      </w:r>
      <w:r w:rsidRPr="00B70EB5">
        <w:t xml:space="preserve"> (occurring within 7 days of dosing) and standard </w:t>
      </w:r>
      <w:r w:rsidR="00B9180D">
        <w:t>treatment-emergent adverse events</w:t>
      </w:r>
      <w:r w:rsidRPr="00B70EB5">
        <w:t xml:space="preserve"> (occurring post dose over the course of the study). This was considered by the EMA as an impediment to an easy overview of the summarised safety data. The EMA acknowledged that these data sets overlapped.</w:t>
      </w:r>
    </w:p>
    <w:p w14:paraId="02B17042" w14:textId="254C0AC2" w:rsidR="00B70EB5" w:rsidRPr="00B70EB5" w:rsidRDefault="00B70EB5" w:rsidP="00B70EB5">
      <w:r w:rsidRPr="00B70EB5">
        <w:t xml:space="preserve">Exposure was sufficient to characterise the </w:t>
      </w:r>
      <w:r w:rsidR="00B9180D">
        <w:t>adverse events</w:t>
      </w:r>
      <w:r w:rsidRPr="00B70EB5">
        <w:t xml:space="preserve"> in both single dose and every other day dosing studies and was consistent with the ICH E1 Guidance. Most </w:t>
      </w:r>
      <w:r w:rsidR="00B9180D">
        <w:t>adverse events</w:t>
      </w:r>
      <w:r w:rsidRPr="00B70EB5">
        <w:t xml:space="preserve"> were mild and not related to study treatment. The single dose on treatment </w:t>
      </w:r>
      <w:r w:rsidR="00B9180D">
        <w:t>adverse events</w:t>
      </w:r>
      <w:r w:rsidRPr="00B70EB5">
        <w:t xml:space="preserve"> of note occurring more frequently with </w:t>
      </w:r>
      <w:r w:rsidR="00B9180D">
        <w:t>r</w:t>
      </w:r>
      <w:r w:rsidRPr="00B70EB5">
        <w:t>imegepant were nausea. In the long term safety study (</w:t>
      </w:r>
      <w:r w:rsidR="00B9180D">
        <w:t>Study </w:t>
      </w:r>
      <w:r w:rsidR="00B9180D" w:rsidRPr="002D2FA8">
        <w:t>BHV3000-</w:t>
      </w:r>
      <w:r w:rsidRPr="00B70EB5">
        <w:t>201), nausea, constipation, diarrhoea, dizziness and somnolence were seen.</w:t>
      </w:r>
    </w:p>
    <w:p w14:paraId="6C2C4F18" w14:textId="5232C734" w:rsidR="00B70EB5" w:rsidRPr="00B70EB5" w:rsidRDefault="00B70EB5" w:rsidP="00B70EB5">
      <w:r w:rsidRPr="00B70EB5">
        <w:t xml:space="preserve">No pattern of </w:t>
      </w:r>
      <w:r w:rsidR="00B9180D">
        <w:t>serious adverse events</w:t>
      </w:r>
      <w:r w:rsidRPr="00B70EB5">
        <w:t xml:space="preserve"> was observed that would suggest a specific safety concern. There were two deaths in the prophylaxis study (</w:t>
      </w:r>
      <w:r w:rsidR="00B9180D">
        <w:t>Study </w:t>
      </w:r>
      <w:r w:rsidR="00B9180D" w:rsidRPr="004303D6">
        <w:t>BHV3000-</w:t>
      </w:r>
      <w:r w:rsidRPr="00B70EB5">
        <w:t>305) which were considered by the investigators as not related to rimegepant.</w:t>
      </w:r>
    </w:p>
    <w:p w14:paraId="7AE3319F" w14:textId="175A91B1" w:rsidR="00B70EB5" w:rsidRPr="00B70EB5" w:rsidRDefault="00B70EB5" w:rsidP="00B70EB5">
      <w:r w:rsidRPr="00B70EB5">
        <w:t xml:space="preserve">Of particular concern was the potential for liver toxicity, as was seen with other </w:t>
      </w:r>
      <w:r w:rsidR="00B9180D">
        <w:t>‘</w:t>
      </w:r>
      <w:r w:rsidRPr="00B70EB5">
        <w:t>gepant</w:t>
      </w:r>
      <w:r w:rsidR="00B9180D">
        <w:t>’</w:t>
      </w:r>
      <w:r w:rsidRPr="00B70EB5">
        <w:t xml:space="preserve"> small molecule CGRP antagonists. Whilst a definite signal has been identified to date for rimegepant, subjects in both healthy volunteer and patient studies experience relevant increases in </w:t>
      </w:r>
      <w:r w:rsidR="00B9180D">
        <w:t>a</w:t>
      </w:r>
      <w:r w:rsidR="00B9180D" w:rsidRPr="002D2FA8">
        <w:t>lanine aminotransferase</w:t>
      </w:r>
      <w:r w:rsidR="00B9180D">
        <w:t xml:space="preserve"> (</w:t>
      </w:r>
      <w:r w:rsidRPr="00B70EB5">
        <w:t>ALT</w:t>
      </w:r>
      <w:r w:rsidR="00B9180D">
        <w:t>)</w:t>
      </w:r>
      <w:r w:rsidRPr="00B70EB5">
        <w:t xml:space="preserve"> or </w:t>
      </w:r>
      <w:r w:rsidR="00B9180D">
        <w:t>a</w:t>
      </w:r>
      <w:r w:rsidR="00B9180D" w:rsidRPr="002D2FA8">
        <w:t>spartate aminotransferase</w:t>
      </w:r>
      <w:r w:rsidR="00B9180D">
        <w:t xml:space="preserve"> (</w:t>
      </w:r>
      <w:r w:rsidRPr="00B70EB5">
        <w:t>AST</w:t>
      </w:r>
      <w:r w:rsidR="00B9180D">
        <w:t>)</w:t>
      </w:r>
      <w:r w:rsidRPr="00B70EB5">
        <w:t xml:space="preserve">, bilirubin and </w:t>
      </w:r>
      <w:r w:rsidR="00B9180D">
        <w:t>a</w:t>
      </w:r>
      <w:r w:rsidR="00B9180D" w:rsidRPr="002D2FA8">
        <w:t>lkaline phosphatase</w:t>
      </w:r>
      <w:r w:rsidR="00B9180D">
        <w:t xml:space="preserve"> (</w:t>
      </w:r>
      <w:r w:rsidRPr="00B70EB5">
        <w:t>ALP</w:t>
      </w:r>
      <w:r w:rsidR="00B9180D">
        <w:t>)</w:t>
      </w:r>
      <w:r w:rsidRPr="00B70EB5">
        <w:t>.</w:t>
      </w:r>
    </w:p>
    <w:p w14:paraId="78F392E0" w14:textId="329ED229" w:rsidR="00B70EB5" w:rsidRPr="00B70EB5" w:rsidRDefault="00B70EB5" w:rsidP="00B70EB5">
      <w:r w:rsidRPr="00B70EB5">
        <w:t>The EMA noted the exclusion of subjects with unstable or uncontrolled or recent onset cardiovascular disease and with uncontrolled hypertension. There is some uncertainty about the potential role of rimegepant in such patients for whom triptans are contraindicated. This may be clarified with the post authorisation safety study.</w:t>
      </w:r>
    </w:p>
    <w:p w14:paraId="33568DCB" w14:textId="083585C7" w:rsidR="00B70EB5" w:rsidRPr="00B70EB5" w:rsidRDefault="00B70EB5" w:rsidP="00B70EB5">
      <w:r w:rsidRPr="00B70EB5">
        <w:t xml:space="preserve">The fact that rimegepant does not readily cross the blood brain barrier and the low frequency or absence of abuse related </w:t>
      </w:r>
      <w:r w:rsidR="00B9180D">
        <w:t>adverse events</w:t>
      </w:r>
      <w:r w:rsidRPr="00B70EB5">
        <w:t xml:space="preserve"> seen in the studies do not suggest abuse liability.</w:t>
      </w:r>
    </w:p>
    <w:p w14:paraId="1A8A6650" w14:textId="584A3CB8" w:rsidR="00B70EB5" w:rsidRPr="00B70EB5" w:rsidRDefault="00B70EB5" w:rsidP="00B70EB5">
      <w:r w:rsidRPr="00B70EB5">
        <w:t xml:space="preserve">The EMA recommended monitoring for ischaemic colitis (one case seen in rimegepant treated subject in </w:t>
      </w:r>
      <w:r w:rsidR="00B9180D">
        <w:t>S</w:t>
      </w:r>
      <w:r w:rsidRPr="00B70EB5">
        <w:t>tudy</w:t>
      </w:r>
      <w:r w:rsidR="00B9180D">
        <w:t xml:space="preserve"> </w:t>
      </w:r>
      <w:r w:rsidR="00B9180D" w:rsidRPr="004303D6">
        <w:t>BHV3000</w:t>
      </w:r>
      <w:r w:rsidR="00B9180D">
        <w:t>-</w:t>
      </w:r>
      <w:r w:rsidRPr="00B70EB5">
        <w:t>305) as there is theoretical connection between CGRP antagonism and ischaemia.</w:t>
      </w:r>
    </w:p>
    <w:p w14:paraId="4A83BC11" w14:textId="77777777" w:rsidR="00B70EB5" w:rsidRPr="00B70EB5" w:rsidRDefault="00B70EB5" w:rsidP="00B70EB5">
      <w:r w:rsidRPr="00B70EB5">
        <w:t>Delegate view:</w:t>
      </w:r>
    </w:p>
    <w:p w14:paraId="3AD2AA13" w14:textId="77777777" w:rsidR="00B70EB5" w:rsidRPr="00B70EB5" w:rsidRDefault="00B70EB5" w:rsidP="00B70EB5">
      <w:r w:rsidRPr="00B70EB5">
        <w:t>The Delegate considers the safety data as adequate to characterise the safety profile of rimegepant for acute and prophylactic migraine management. There does not appear to be a signal currently for serious safety concerns.</w:t>
      </w:r>
    </w:p>
    <w:p w14:paraId="3ED362D5" w14:textId="6019C4B9" w:rsidR="00B70EB5" w:rsidRPr="00B70EB5" w:rsidRDefault="00B70EB5" w:rsidP="00B70EB5">
      <w:r w:rsidRPr="00B70EB5">
        <w:t xml:space="preserve">The </w:t>
      </w:r>
      <w:r w:rsidR="00B9180D">
        <w:t>s</w:t>
      </w:r>
      <w:r w:rsidRPr="00B70EB5">
        <w:t>ponsor is asked about the progress of the above referenced safety study. There does appear to be a lack of safety data in patients with established cardiovascular disease or high risk (including uncontrolled hypertension and uncontrolled diabetes).</w:t>
      </w:r>
    </w:p>
    <w:p w14:paraId="4E836D9B" w14:textId="77777777" w:rsidR="00B70EB5" w:rsidRPr="005064E8" w:rsidRDefault="00B70EB5" w:rsidP="00B9180D">
      <w:pPr>
        <w:pStyle w:val="Heading5"/>
      </w:pPr>
      <w:r w:rsidRPr="005064E8">
        <w:t>Deficiencies in data</w:t>
      </w:r>
    </w:p>
    <w:p w14:paraId="2310A030" w14:textId="2D08D9D8" w:rsidR="00B70EB5" w:rsidRPr="00B9180D" w:rsidRDefault="00841178" w:rsidP="00B9180D">
      <w:r>
        <w:rPr>
          <w:iCs/>
        </w:rPr>
        <w:t>Comparable overseas report</w:t>
      </w:r>
      <w:r w:rsidR="00B70EB5" w:rsidRPr="00B9180D">
        <w:t xml:space="preserve"> view:</w:t>
      </w:r>
    </w:p>
    <w:p w14:paraId="4FDE12D9" w14:textId="77777777" w:rsidR="00B70EB5" w:rsidRPr="00B9180D" w:rsidRDefault="00B70EB5" w:rsidP="00B9180D">
      <w:r w:rsidRPr="00B9180D">
        <w:lastRenderedPageBreak/>
        <w:t>The EMA evaluation identified the following areas of deficiency:</w:t>
      </w:r>
    </w:p>
    <w:p w14:paraId="1585FEA1" w14:textId="19DA5F7D" w:rsidR="00B70EB5" w:rsidRPr="00B9180D" w:rsidRDefault="00B70EB5" w:rsidP="00B9180D">
      <w:pPr>
        <w:pStyle w:val="ListBullet"/>
      </w:pPr>
      <w:r w:rsidRPr="00B9180D">
        <w:t>Potential for rimegepant to cause or contribute to medication overuse headache</w:t>
      </w:r>
      <w:r w:rsidR="00B9180D">
        <w:t>.</w:t>
      </w:r>
    </w:p>
    <w:p w14:paraId="50861A43" w14:textId="698E01EB" w:rsidR="00B70EB5" w:rsidRPr="00B9180D" w:rsidRDefault="00B70EB5" w:rsidP="00B9180D">
      <w:pPr>
        <w:pStyle w:val="ListBullet"/>
      </w:pPr>
      <w:r w:rsidRPr="00B9180D">
        <w:t>The efficacy of rimegepant for chronic migraine</w:t>
      </w:r>
      <w:r w:rsidR="00B9180D">
        <w:t>.</w:t>
      </w:r>
    </w:p>
    <w:p w14:paraId="43AA69E3" w14:textId="07EC8777" w:rsidR="00B70EB5" w:rsidRPr="00B9180D" w:rsidRDefault="00B70EB5" w:rsidP="00B9180D">
      <w:pPr>
        <w:pStyle w:val="ListBullet"/>
      </w:pPr>
      <w:r w:rsidRPr="00B9180D">
        <w:t>Data on within patient consistency</w:t>
      </w:r>
      <w:r w:rsidR="00B9180D">
        <w:t>.</w:t>
      </w:r>
    </w:p>
    <w:p w14:paraId="7BACF25E" w14:textId="181593B5" w:rsidR="00B70EB5" w:rsidRPr="00B9180D" w:rsidRDefault="00B70EB5" w:rsidP="00B9180D">
      <w:pPr>
        <w:pStyle w:val="ListBullet"/>
      </w:pPr>
      <w:r w:rsidRPr="00B9180D">
        <w:t>Efficacy for acute treatment of breakthrough migraines when rimegepant is being taken every other day for prophylaxis</w:t>
      </w:r>
      <w:r w:rsidR="00B9180D">
        <w:t>.</w:t>
      </w:r>
    </w:p>
    <w:p w14:paraId="34DAF63D" w14:textId="77777777" w:rsidR="00B70EB5" w:rsidRPr="00B9180D" w:rsidRDefault="00B70EB5" w:rsidP="00B9180D">
      <w:r w:rsidRPr="00B9180D">
        <w:t>Delegate view:</w:t>
      </w:r>
    </w:p>
    <w:p w14:paraId="4F253FD3" w14:textId="77777777" w:rsidR="00B70EB5" w:rsidRPr="00B9180D" w:rsidRDefault="00B70EB5" w:rsidP="00B9180D">
      <w:r w:rsidRPr="00B9180D">
        <w:t>The Delegate agrees that the submitted data set does leave the above issues unresolved. Further clinical trial data may help to resolve them.</w:t>
      </w:r>
    </w:p>
    <w:p w14:paraId="630E6E4C" w14:textId="77777777" w:rsidR="00B70EB5" w:rsidRPr="005064E8" w:rsidRDefault="00B70EB5" w:rsidP="00B9180D">
      <w:pPr>
        <w:pStyle w:val="Heading5"/>
      </w:pPr>
      <w:r w:rsidRPr="005064E8">
        <w:t>Risk-benefit-uncertainty assessment</w:t>
      </w:r>
    </w:p>
    <w:p w14:paraId="3BAA41FC" w14:textId="542D89A0" w:rsidR="00B70EB5" w:rsidRPr="00B9180D" w:rsidRDefault="00841178" w:rsidP="00B9180D">
      <w:r>
        <w:rPr>
          <w:iCs/>
        </w:rPr>
        <w:t>Comparable overseas report</w:t>
      </w:r>
      <w:r w:rsidR="00B70EB5" w:rsidRPr="00B9180D">
        <w:t xml:space="preserve"> view:</w:t>
      </w:r>
    </w:p>
    <w:p w14:paraId="0DB23B5D" w14:textId="77777777" w:rsidR="00B70EB5" w:rsidRPr="00B9180D" w:rsidRDefault="00B70EB5" w:rsidP="00B9180D">
      <w:r w:rsidRPr="00B9180D">
        <w:t>The EMA considered that rimegepant had overall good tolerability and modest efficacy for both acute and prophylactic migraine treatment.</w:t>
      </w:r>
    </w:p>
    <w:p w14:paraId="099C17F6" w14:textId="77777777" w:rsidR="00B70EB5" w:rsidRPr="00B9180D" w:rsidRDefault="00B70EB5" w:rsidP="00B9180D">
      <w:r w:rsidRPr="00B9180D">
        <w:t>Delegate view:</w:t>
      </w:r>
    </w:p>
    <w:p w14:paraId="444FDC2F" w14:textId="77777777" w:rsidR="00B70EB5" w:rsidRPr="00B9180D" w:rsidRDefault="00B70EB5" w:rsidP="00B9180D">
      <w:r w:rsidRPr="00B9180D">
        <w:t>Given the favourable safety profile in the general migraine population together with modest efficacy, the risk-benefit remains positive. There is uncertainty about the safety of rimegepant in patients with active cardiovascular disease and this question will be answered with acquisition of more data.</w:t>
      </w:r>
    </w:p>
    <w:p w14:paraId="46BECA2B" w14:textId="5BEA9289" w:rsidR="00B70EB5" w:rsidRPr="00B9180D" w:rsidRDefault="00B70EB5" w:rsidP="00B9180D">
      <w:r w:rsidRPr="00B9180D">
        <w:t>The two additional studies submitted to the TGA as part of the CO</w:t>
      </w:r>
      <w:r w:rsidR="00B9180D">
        <w:t>R-</w:t>
      </w:r>
      <w:r w:rsidRPr="00B9180D">
        <w:t>B application are largely consistent with the data evaluated by the EMA and does not alter the risk-benefit assessment.</w:t>
      </w:r>
    </w:p>
    <w:p w14:paraId="3916F296" w14:textId="77777777" w:rsidR="00C22214" w:rsidRDefault="00C22214" w:rsidP="00C22214">
      <w:pPr>
        <w:pStyle w:val="Heading4"/>
      </w:pPr>
      <w:bookmarkStart w:id="74" w:name="_Toc98931933"/>
      <w:bookmarkStart w:id="75" w:name="_Toc160177863"/>
      <w:r w:rsidRPr="00D23139">
        <w:t>Proposed action</w:t>
      </w:r>
      <w:bookmarkEnd w:id="74"/>
      <w:bookmarkEnd w:id="75"/>
    </w:p>
    <w:p w14:paraId="0E2BF309" w14:textId="60CE3E9E" w:rsidR="00B70EB5" w:rsidRPr="00B70EB5" w:rsidRDefault="00B70EB5" w:rsidP="00B70EB5">
      <w:bookmarkStart w:id="76" w:name="_Toc98931934"/>
      <w:r w:rsidRPr="00B70EB5">
        <w:t>The Delegate is of the view that rimegepant can be approved for the requested indications, pending resolution of the issues raised to t</w:t>
      </w:r>
      <w:r w:rsidR="00841178">
        <w:t>he</w:t>
      </w:r>
      <w:r w:rsidRPr="00B70EB5">
        <w:t xml:space="preserve"> </w:t>
      </w:r>
      <w:r>
        <w:t>Advisory Committee on Medicines (</w:t>
      </w:r>
      <w:r w:rsidRPr="00B70EB5">
        <w:t>ACM</w:t>
      </w:r>
      <w:r>
        <w:t>)</w:t>
      </w:r>
      <w:r w:rsidRPr="00B70EB5">
        <w:t xml:space="preserve"> in this overview.</w:t>
      </w:r>
    </w:p>
    <w:p w14:paraId="318CFABC" w14:textId="77777777" w:rsidR="00C22214" w:rsidRPr="00F73346" w:rsidRDefault="00C22214" w:rsidP="00C22214">
      <w:pPr>
        <w:pStyle w:val="Heading4"/>
      </w:pPr>
      <w:bookmarkStart w:id="77" w:name="_Toc98931936"/>
      <w:bookmarkStart w:id="78" w:name="_Toc160177864"/>
      <w:bookmarkStart w:id="79" w:name="_Toc247691532"/>
      <w:bookmarkStart w:id="80" w:name="_Toc314842516"/>
      <w:bookmarkEnd w:id="76"/>
      <w:r w:rsidRPr="00F73346">
        <w:t>Advisory Committee considerations</w:t>
      </w:r>
      <w:bookmarkEnd w:id="77"/>
      <w:bookmarkEnd w:id="78"/>
    </w:p>
    <w:p w14:paraId="087BB9CB" w14:textId="4C518E03" w:rsidR="00C22214" w:rsidRPr="00BD5DBD" w:rsidRDefault="00C22214" w:rsidP="00C22214">
      <w:pPr>
        <w:rPr>
          <w:bCs/>
          <w:szCs w:val="22"/>
        </w:rPr>
      </w:pPr>
      <w:r w:rsidRPr="00BD5DBD">
        <w:rPr>
          <w:bCs/>
          <w:szCs w:val="22"/>
        </w:rPr>
        <w:t xml:space="preserve">The </w:t>
      </w:r>
      <w:hyperlink r:id="rId34"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3F6EA008" w14:textId="77777777" w:rsidR="00B9180D" w:rsidRPr="00B9180D" w:rsidRDefault="00B9180D" w:rsidP="00B9180D">
      <w:pPr>
        <w:pStyle w:val="Numberbullet0"/>
        <w:numPr>
          <w:ilvl w:val="0"/>
          <w:numId w:val="35"/>
        </w:numPr>
        <w:rPr>
          <w:b/>
          <w:bCs/>
          <w:i/>
          <w:iCs/>
        </w:rPr>
      </w:pPr>
      <w:r w:rsidRPr="00B9180D">
        <w:rPr>
          <w:b/>
          <w:bCs/>
          <w:i/>
          <w:iCs/>
        </w:rPr>
        <w:t>What is ACM’s view about the relevance of inserting into the indication that rimegepant is for ‘moderate and severe migraines’? Please consider this in the context of other registered migraine treatments (acute and prophylaxis).</w:t>
      </w:r>
    </w:p>
    <w:p w14:paraId="11FE2C00" w14:textId="77777777" w:rsidR="00B9180D" w:rsidRPr="00B9180D" w:rsidRDefault="00B9180D" w:rsidP="00B9180D">
      <w:r w:rsidRPr="00B9180D">
        <w:t>The ACM was of the view that the indication does not need to include for ‘moderate and severe migraines’. The ACM noted that this approach is consistent with other registered agents on the market for acute and prophylactic treatments of migraine.</w:t>
      </w:r>
    </w:p>
    <w:p w14:paraId="5EEAAE5A" w14:textId="5D8E7833" w:rsidR="00B9180D" w:rsidRPr="00B9180D" w:rsidRDefault="00B9180D" w:rsidP="00B9180D">
      <w:pPr>
        <w:pStyle w:val="Numberbullet0"/>
        <w:rPr>
          <w:b/>
          <w:bCs/>
          <w:i/>
          <w:iCs/>
        </w:rPr>
      </w:pPr>
      <w:r w:rsidRPr="00B9180D">
        <w:rPr>
          <w:b/>
          <w:bCs/>
          <w:i/>
          <w:iCs/>
        </w:rPr>
        <w:t>Does the committee accept the recommendation for further doses of rimegepant in the same acute attack (</w:t>
      </w:r>
      <w:r>
        <w:rPr>
          <w:b/>
          <w:bCs/>
          <w:i/>
          <w:iCs/>
        </w:rPr>
        <w:t xml:space="preserve">for example, </w:t>
      </w:r>
      <w:r w:rsidRPr="00B9180D">
        <w:rPr>
          <w:b/>
          <w:bCs/>
          <w:i/>
          <w:iCs/>
        </w:rPr>
        <w:t xml:space="preserve">on </w:t>
      </w:r>
      <w:r>
        <w:rPr>
          <w:b/>
          <w:bCs/>
          <w:i/>
          <w:iCs/>
        </w:rPr>
        <w:t>D</w:t>
      </w:r>
      <w:r w:rsidRPr="00B9180D">
        <w:rPr>
          <w:b/>
          <w:bCs/>
          <w:i/>
          <w:iCs/>
        </w:rPr>
        <w:t>ay 2)? Should there be a limit on how many consecutive days rimegepant may be taken under the ‘acute treatment’ format?</w:t>
      </w:r>
    </w:p>
    <w:p w14:paraId="6C2F8EEE" w14:textId="29BA4E8B" w:rsidR="00B9180D" w:rsidRPr="00B9180D" w:rsidRDefault="00B9180D" w:rsidP="00B9180D">
      <w:r w:rsidRPr="00B9180D">
        <w:lastRenderedPageBreak/>
        <w:t>The ACM was of the view that a second dose of rimegepant if there is incomplete relief or a return of more severe migraine symptoms is reasonable within the same acute attack. The ACM also highlighted that CYP3A4 and P-glycoprotein inhibitors need to be avoided 48 hours post</w:t>
      </w:r>
      <w:r>
        <w:noBreakHyphen/>
      </w:r>
      <w:r w:rsidRPr="00B9180D">
        <w:t>rimegepant.</w:t>
      </w:r>
    </w:p>
    <w:p w14:paraId="398D08E8" w14:textId="77777777" w:rsidR="00833858" w:rsidRDefault="00B9180D" w:rsidP="00B9180D">
      <w:r w:rsidRPr="00B9180D">
        <w:t xml:space="preserve">The ACM recommended to take rimegepant for acute treatment for no longer than </w:t>
      </w:r>
      <w:r>
        <w:t>three</w:t>
      </w:r>
      <w:r w:rsidRPr="00B9180D">
        <w:t xml:space="preserve"> consecutive days, otherwise it exceeds the typical duration limits of migraine</w:t>
      </w:r>
      <w:r w:rsidR="00833858">
        <w:t>.</w:t>
      </w:r>
    </w:p>
    <w:p w14:paraId="31EF4618" w14:textId="724AC5A4" w:rsidR="00B9180D" w:rsidRPr="00B9180D" w:rsidRDefault="00B9180D" w:rsidP="00B9180D">
      <w:r w:rsidRPr="00B9180D">
        <w:t xml:space="preserve">The ACM also considered that a limit of 18 doses in </w:t>
      </w:r>
      <w:r>
        <w:t xml:space="preserve">a </w:t>
      </w:r>
      <w:r w:rsidRPr="00B9180D">
        <w:t>30 day period sufficient to avoid medication overuse headache.</w:t>
      </w:r>
    </w:p>
    <w:p w14:paraId="4360C895" w14:textId="77777777" w:rsidR="00B9180D" w:rsidRPr="00B9180D" w:rsidRDefault="00B9180D" w:rsidP="00B9180D">
      <w:pPr>
        <w:pStyle w:val="Numberbullet0"/>
        <w:rPr>
          <w:b/>
          <w:bCs/>
          <w:i/>
          <w:iCs/>
        </w:rPr>
      </w:pPr>
      <w:r w:rsidRPr="00B9180D">
        <w:rPr>
          <w:b/>
          <w:bCs/>
          <w:i/>
          <w:iCs/>
        </w:rPr>
        <w:t>Does the committee have other concerns about the identified deficiencies in the data and is any modification to the PI due to these required?</w:t>
      </w:r>
    </w:p>
    <w:p w14:paraId="72FBC901" w14:textId="77777777" w:rsidR="00B9180D" w:rsidRPr="00B9180D" w:rsidRDefault="00B9180D" w:rsidP="00B9180D">
      <w:r w:rsidRPr="00B9180D">
        <w:t>The ACM recommended the inclusion of medication overuse headache in the Product Information (PI). The ACM considered that medication overuse headache remains plausible despite efficacy as a preventive agent. The ACM considered this extra precaution warranted as rimegepant is the first non-monoclonal agent that targets calcitonin gene-related peptide (CGRP).</w:t>
      </w:r>
    </w:p>
    <w:p w14:paraId="405B1324" w14:textId="77777777" w:rsidR="00B9180D" w:rsidRPr="00B9180D" w:rsidRDefault="00B9180D" w:rsidP="00B9180D">
      <w:r w:rsidRPr="00B9180D">
        <w:t>The ACM noted that within patient consistency data was not provided as suggested in the EMA migraine guideline.</w:t>
      </w:r>
    </w:p>
    <w:p w14:paraId="00FA1596" w14:textId="77777777" w:rsidR="00B9180D" w:rsidRPr="00B9180D" w:rsidRDefault="00B9180D" w:rsidP="00B9180D">
      <w:r w:rsidRPr="00B9180D">
        <w:t>The ACM highlighted the lack of data for use of rimegepant in acute-on-preventive treatment and advised that the lack of data should be mentioned in the PI.</w:t>
      </w:r>
    </w:p>
    <w:p w14:paraId="151AD63D" w14:textId="77777777" w:rsidR="00B9180D" w:rsidRPr="00B9180D" w:rsidRDefault="00B9180D" w:rsidP="00B9180D">
      <w:r w:rsidRPr="00B9180D">
        <w:t>The ACM also advised the PI should include a statement that there is no data for use of rimegepant in brainstem and retinal migraine.</w:t>
      </w:r>
    </w:p>
    <w:p w14:paraId="4199A539" w14:textId="77777777" w:rsidR="00B9180D" w:rsidRPr="00B9180D" w:rsidRDefault="00B9180D" w:rsidP="00B9180D">
      <w:pPr>
        <w:pStyle w:val="Numberbullet0"/>
        <w:rPr>
          <w:b/>
          <w:bCs/>
          <w:i/>
          <w:iCs/>
        </w:rPr>
      </w:pPr>
      <w:r w:rsidRPr="00B9180D">
        <w:rPr>
          <w:b/>
          <w:bCs/>
          <w:i/>
          <w:iCs/>
        </w:rPr>
        <w:t>What is ACM’s view regarding information in the PI on use in patients with stable cardiovascular disease, unstable/recent onset cardiovascular disease, uncontrolled hypertension and uncontrolled diabetes?</w:t>
      </w:r>
    </w:p>
    <w:p w14:paraId="3E64507D" w14:textId="77777777" w:rsidR="00B9180D" w:rsidRPr="00B9180D" w:rsidRDefault="00B9180D" w:rsidP="00B9180D">
      <w:r w:rsidRPr="00B9180D">
        <w:t>The ACM noted that patients with cardiovascular disease have been excluded from the trials. However, the ACM noted that there is no safety signal for cardiovascular conditions from the nonclinical and clinical data. The ACM noted that the risk management plan (RMP) addresses the cardiovascular disease but not for uncontrolled diabetes and hypertension. Overall, the ACM considered the safety profile of rimegepant reasonable and advised that the RMP should also monitor for diabetes and hypertension.</w:t>
      </w:r>
    </w:p>
    <w:p w14:paraId="2970A63A" w14:textId="77777777" w:rsidR="00B9180D" w:rsidRPr="00B9180D" w:rsidRDefault="00B9180D" w:rsidP="00B9180D">
      <w:pPr>
        <w:pStyle w:val="Numberbullet0"/>
        <w:rPr>
          <w:b/>
          <w:bCs/>
          <w:i/>
          <w:iCs/>
        </w:rPr>
      </w:pPr>
      <w:r w:rsidRPr="00B9180D">
        <w:rPr>
          <w:b/>
          <w:bCs/>
          <w:i/>
          <w:iCs/>
        </w:rPr>
        <w:t>Other advice</w:t>
      </w:r>
    </w:p>
    <w:p w14:paraId="61A5B83D" w14:textId="0883AE9B" w:rsidR="00B9180D" w:rsidRPr="00B9180D" w:rsidRDefault="00B9180D" w:rsidP="00B9180D">
      <w:r w:rsidRPr="00B9180D">
        <w:t>The ACM strongly recommended that the Consumer Medicines Information (CMI) and Product Information (PI) include somnolence as a possible after effect with the use of rimegepant and a statement regarding caution against driving and/or operating heavy machinery. The ACM noted that somnolence is a feature of treatment response and not a direct effect of the medication however agreed it is important to include in the PI and CMI.</w:t>
      </w:r>
    </w:p>
    <w:p w14:paraId="5291EA2A" w14:textId="77777777" w:rsidR="00C22214" w:rsidRPr="00F73346" w:rsidRDefault="00C22214" w:rsidP="00C22214">
      <w:pPr>
        <w:pStyle w:val="Heading5"/>
      </w:pPr>
      <w:r w:rsidRPr="00F73346">
        <w:t>Conclusion</w:t>
      </w:r>
    </w:p>
    <w:p w14:paraId="2FD784A4" w14:textId="77777777" w:rsidR="00B9180D" w:rsidRPr="00B9180D" w:rsidRDefault="00B9180D" w:rsidP="00B9180D">
      <w:r w:rsidRPr="00B9180D">
        <w:t>The ACM considered this product to have an overall positive benefit-risk profile for the indication:</w:t>
      </w:r>
    </w:p>
    <w:p w14:paraId="7A08447E" w14:textId="77777777" w:rsidR="00B9180D" w:rsidRPr="00B9180D" w:rsidRDefault="00B9180D" w:rsidP="00B9180D">
      <w:pPr>
        <w:ind w:left="720"/>
        <w:rPr>
          <w:i/>
          <w:iCs/>
        </w:rPr>
      </w:pPr>
      <w:r w:rsidRPr="00B9180D">
        <w:rPr>
          <w:i/>
          <w:iCs/>
        </w:rPr>
        <w:t>Acute treatment of migraine with or without aura in adults.</w:t>
      </w:r>
    </w:p>
    <w:p w14:paraId="2A388977" w14:textId="77777777" w:rsidR="00B9180D" w:rsidRPr="00B9180D" w:rsidRDefault="00B9180D" w:rsidP="00B9180D">
      <w:pPr>
        <w:ind w:left="720"/>
      </w:pPr>
      <w:r w:rsidRPr="00B9180D">
        <w:rPr>
          <w:i/>
          <w:iCs/>
        </w:rPr>
        <w:t>Preventative treatment of episodic migraine in adults who have at least 4 migraine attacks per month.</w:t>
      </w:r>
    </w:p>
    <w:p w14:paraId="307F236C" w14:textId="77777777" w:rsidR="00C22214" w:rsidRPr="002E238E" w:rsidRDefault="00C22214" w:rsidP="00C22214">
      <w:pPr>
        <w:pStyle w:val="Heading2"/>
      </w:pPr>
      <w:bookmarkStart w:id="81" w:name="_Toc103679300"/>
      <w:bookmarkStart w:id="82" w:name="_Toc160177865"/>
      <w:r>
        <w:lastRenderedPageBreak/>
        <w:t>Outcome</w:t>
      </w:r>
      <w:bookmarkEnd w:id="79"/>
      <w:bookmarkEnd w:id="80"/>
      <w:bookmarkEnd w:id="81"/>
      <w:bookmarkEnd w:id="82"/>
    </w:p>
    <w:p w14:paraId="4EF22939" w14:textId="17BE0002"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B9180D" w:rsidRPr="00123F15">
        <w:t xml:space="preserve">Nurtec ODT </w:t>
      </w:r>
      <w:r w:rsidR="00B9180D" w:rsidRPr="00065839">
        <w:t>(</w:t>
      </w:r>
      <w:r w:rsidR="00B9180D" w:rsidRPr="00123F15">
        <w:t>rimegepant</w:t>
      </w:r>
      <w:r w:rsidR="00B9180D" w:rsidRPr="00065839">
        <w:t>)</w:t>
      </w:r>
      <w:r w:rsidR="00B9180D">
        <w:t xml:space="preserve"> 75 mg, o</w:t>
      </w:r>
      <w:r w:rsidR="00B9180D" w:rsidRPr="001D54B8">
        <w:rPr>
          <w:szCs w:val="22"/>
        </w:rPr>
        <w:t>rally disintegrating tablet</w:t>
      </w:r>
      <w:r w:rsidR="00B9180D">
        <w:rPr>
          <w:szCs w:val="22"/>
        </w:rPr>
        <w:t>, blister packs</w:t>
      </w:r>
      <w:r w:rsidRPr="0017005C">
        <w:t>, indicated for:</w:t>
      </w:r>
    </w:p>
    <w:p w14:paraId="6AE7E2AC" w14:textId="69A8181D" w:rsidR="00B9180D" w:rsidRPr="00B9180D" w:rsidRDefault="00B9180D" w:rsidP="00B9180D">
      <w:pPr>
        <w:ind w:left="720"/>
        <w:rPr>
          <w:i/>
          <w:iCs/>
        </w:rPr>
      </w:pPr>
      <w:r w:rsidRPr="00B9180D">
        <w:rPr>
          <w:i/>
          <w:iCs/>
        </w:rPr>
        <w:t>Nurtec ODT is indicated for:</w:t>
      </w:r>
    </w:p>
    <w:p w14:paraId="5CEFDFB6" w14:textId="3122E056" w:rsidR="00B9180D" w:rsidRPr="00B9180D" w:rsidRDefault="00B9180D" w:rsidP="00B9180D">
      <w:pPr>
        <w:ind w:left="720"/>
        <w:rPr>
          <w:i/>
          <w:iCs/>
        </w:rPr>
      </w:pPr>
      <w:r w:rsidRPr="00B9180D">
        <w:rPr>
          <w:i/>
          <w:iCs/>
        </w:rPr>
        <w:t>• acute treatment of migraine with or without aura in adults;</w:t>
      </w:r>
    </w:p>
    <w:p w14:paraId="26EAD491" w14:textId="17D49EA6" w:rsidR="00A93DC6" w:rsidRPr="00B9180D" w:rsidRDefault="00B9180D" w:rsidP="00B9180D">
      <w:pPr>
        <w:ind w:left="720"/>
      </w:pPr>
      <w:r w:rsidRPr="00B9180D">
        <w:rPr>
          <w:i/>
          <w:iCs/>
        </w:rPr>
        <w:t>• prophylactic treatment of episodic migraine in adults who have at least 4 migraine attacks per month.</w:t>
      </w:r>
    </w:p>
    <w:p w14:paraId="0D732DA4" w14:textId="77777777" w:rsidR="00854D98" w:rsidRPr="00D23139" w:rsidRDefault="00854D98" w:rsidP="00854D98">
      <w:pPr>
        <w:pStyle w:val="Heading3"/>
      </w:pPr>
      <w:bookmarkStart w:id="83" w:name="_Toc103679301"/>
      <w:bookmarkStart w:id="84" w:name="_Toc160177866"/>
      <w:r w:rsidRPr="00D23139">
        <w:t>Specific conditions of registration applying to these goods</w:t>
      </w:r>
      <w:bookmarkEnd w:id="83"/>
      <w:bookmarkEnd w:id="84"/>
    </w:p>
    <w:p w14:paraId="78A63693" w14:textId="3DC21556" w:rsidR="00B9180D" w:rsidRPr="00B9180D" w:rsidRDefault="00B9180D" w:rsidP="00B9180D">
      <w:pPr>
        <w:pStyle w:val="ListBullet"/>
      </w:pPr>
      <w:r w:rsidRPr="00B9180D">
        <w:t>N</w:t>
      </w:r>
      <w:r>
        <w:t>urtec</w:t>
      </w:r>
      <w:r w:rsidRPr="00B9180D">
        <w:t xml:space="preserve"> ODT (rimegepant) is to be included in the Black Triangle Scheme. The PI and CMI for N</w:t>
      </w:r>
      <w:r>
        <w:t>urtec</w:t>
      </w:r>
      <w:r w:rsidRPr="00B9180D">
        <w:t xml:space="preserve"> ODT must include the black triangle symbol and mandatory accompanying text for five years, which starts from the date that the sponsor notifies the TGA of supply of the product.</w:t>
      </w:r>
    </w:p>
    <w:p w14:paraId="1B889DBD" w14:textId="2386C7BB" w:rsidR="00B9180D" w:rsidRPr="00B9180D" w:rsidRDefault="00B9180D" w:rsidP="00B9180D">
      <w:pPr>
        <w:pStyle w:val="ListBullet"/>
      </w:pPr>
      <w:r w:rsidRPr="00B9180D">
        <w:t>The N</w:t>
      </w:r>
      <w:r>
        <w:t>urtec</w:t>
      </w:r>
      <w:r w:rsidRPr="00B9180D">
        <w:t xml:space="preserve"> ODT E</w:t>
      </w:r>
      <w:r w:rsidR="00841178">
        <w:t xml:space="preserve">uropean </w:t>
      </w:r>
      <w:r w:rsidRPr="00B9180D">
        <w:t>U</w:t>
      </w:r>
      <w:r w:rsidR="00841178">
        <w:t xml:space="preserve">nion </w:t>
      </w:r>
      <w:r>
        <w:t>r</w:t>
      </w:r>
      <w:r w:rsidRPr="00B9180D">
        <w:t xml:space="preserve">isk </w:t>
      </w:r>
      <w:r>
        <w:t>m</w:t>
      </w:r>
      <w:r w:rsidRPr="00B9180D">
        <w:t xml:space="preserve">anagement </w:t>
      </w:r>
      <w:r>
        <w:t>p</w:t>
      </w:r>
      <w:r w:rsidRPr="00B9180D">
        <w:t>lan (RMP) (version 1.0 dated 17</w:t>
      </w:r>
      <w:r w:rsidR="00841178">
        <w:t> </w:t>
      </w:r>
      <w:r w:rsidRPr="00B9180D">
        <w:t>May</w:t>
      </w:r>
      <w:r w:rsidR="00841178">
        <w:t> </w:t>
      </w:r>
      <w:r w:rsidRPr="00B9180D">
        <w:t xml:space="preserve">2022, </w:t>
      </w:r>
      <w:r w:rsidR="00841178">
        <w:t xml:space="preserve">data lock point </w:t>
      </w:r>
      <w:r w:rsidRPr="00B9180D">
        <w:t>03</w:t>
      </w:r>
      <w:r>
        <w:t> </w:t>
      </w:r>
      <w:r w:rsidRPr="00B9180D">
        <w:t>September 2021), with Australia</w:t>
      </w:r>
      <w:r>
        <w:t>-s</w:t>
      </w:r>
      <w:r w:rsidRPr="00B9180D">
        <w:t xml:space="preserve">pecific </w:t>
      </w:r>
      <w:r>
        <w:t>a</w:t>
      </w:r>
      <w:r w:rsidRPr="00B9180D">
        <w:t xml:space="preserve">nnex (version 1.1, dated 28 June 2023), included with </w:t>
      </w:r>
      <w:r>
        <w:t>S</w:t>
      </w:r>
      <w:r w:rsidRPr="00B9180D">
        <w:t>ubmission PM-2022-02939-1-1, and any subsequent revisions, as agreed with the TGA will be implemented in Australia.</w:t>
      </w:r>
    </w:p>
    <w:p w14:paraId="20B70B9A" w14:textId="63182AB5" w:rsidR="00B9180D" w:rsidRPr="00B9180D" w:rsidRDefault="00B9180D" w:rsidP="00B9180D">
      <w:pPr>
        <w:pStyle w:val="ListBullet"/>
        <w:numPr>
          <w:ilvl w:val="0"/>
          <w:numId w:val="0"/>
        </w:numPr>
        <w:ind w:left="360"/>
      </w:pPr>
      <w:r w:rsidRPr="00B9180D">
        <w:t>An obligatory component of risk management plans is routine pharmacovigilance. Routine pharmacovigilance includes the submission of periodic safety update reports (PSURs).</w:t>
      </w:r>
    </w:p>
    <w:p w14:paraId="55E136EF" w14:textId="014EFB43" w:rsidR="00B9180D" w:rsidRPr="00B9180D" w:rsidRDefault="00B9180D" w:rsidP="00B9180D">
      <w:pPr>
        <w:pStyle w:val="ListBullet"/>
        <w:numPr>
          <w:ilvl w:val="0"/>
          <w:numId w:val="0"/>
        </w:numPr>
        <w:ind w:left="360"/>
      </w:pPr>
      <w:r w:rsidRPr="00B9180D">
        <w:t>Reports are to be provided in line with the current published list of E</w:t>
      </w:r>
      <w:r w:rsidR="00841178">
        <w:t>uropean Union</w:t>
      </w:r>
      <w:r w:rsidRPr="00B9180D">
        <w:t xml:space="preserve"> reference dates and frequency of submission of PSURs until the period covered by such reports is not less than three years from the date of th</w:t>
      </w:r>
      <w:r>
        <w:t xml:space="preserve">e </w:t>
      </w:r>
      <w:r w:rsidRPr="00B9180D">
        <w:t>approval letter.</w:t>
      </w:r>
    </w:p>
    <w:p w14:paraId="7A4B517F" w14:textId="2A095F69" w:rsidR="00B9180D" w:rsidRPr="00B9180D" w:rsidRDefault="00B9180D" w:rsidP="00B9180D">
      <w:pPr>
        <w:pStyle w:val="ListBullet"/>
        <w:numPr>
          <w:ilvl w:val="0"/>
          <w:numId w:val="0"/>
        </w:numPr>
        <w:ind w:left="360"/>
      </w:pPr>
      <w:r w:rsidRPr="00B9180D">
        <w:t xml:space="preserve">The reports are to at least meet the requirements for PSURs as described in the European Medicines Agency’s Guideline on </w:t>
      </w:r>
      <w:r w:rsidR="00841178">
        <w:t>G</w:t>
      </w:r>
      <w:r w:rsidRPr="00B9180D">
        <w:t xml:space="preserve">ood </w:t>
      </w:r>
      <w:r w:rsidR="00841178">
        <w:t>P</w:t>
      </w:r>
      <w:r w:rsidRPr="00B9180D">
        <w:t xml:space="preserve">harmacovigilance </w:t>
      </w:r>
      <w:r w:rsidR="00841178">
        <w:t>P</w:t>
      </w:r>
      <w:r w:rsidRPr="00B9180D">
        <w:t>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51DC3FC" w14:textId="2D1EC6E2" w:rsidR="00C22214" w:rsidRDefault="00C22214" w:rsidP="00C22214">
      <w:pPr>
        <w:pStyle w:val="Heading2"/>
      </w:pPr>
      <w:bookmarkStart w:id="85" w:name="_Toc103679303"/>
      <w:bookmarkStart w:id="86" w:name="_Toc160177867"/>
      <w:r>
        <w:t>Attachment 1. Product Information</w:t>
      </w:r>
      <w:bookmarkEnd w:id="85"/>
      <w:bookmarkEnd w:id="86"/>
    </w:p>
    <w:p w14:paraId="53357BF3" w14:textId="1CDE4AD9" w:rsidR="00C22214" w:rsidRPr="00B9180D" w:rsidRDefault="00675F81" w:rsidP="00C22214">
      <w:pPr>
        <w:rPr>
          <w:szCs w:val="22"/>
        </w:rPr>
        <w:sectPr w:rsidR="00C22214" w:rsidRPr="00B9180D" w:rsidSect="007452E8">
          <w:headerReference w:type="default" r:id="rId35"/>
          <w:footerReference w:type="default" r:id="rId36"/>
          <w:pgSz w:w="11906" w:h="16838" w:code="9"/>
          <w:pgMar w:top="1134" w:right="1418" w:bottom="1361" w:left="1418" w:header="573" w:footer="567" w:gutter="0"/>
          <w:cols w:space="708"/>
          <w:docGrid w:linePitch="360"/>
        </w:sectPr>
      </w:pPr>
      <w:r w:rsidRPr="00BD5DBD">
        <w:rPr>
          <w:szCs w:val="22"/>
        </w:rPr>
        <w:t xml:space="preserve">The </w:t>
      </w:r>
      <w:hyperlink r:id="rId37" w:history="1">
        <w:r w:rsidRPr="00BD5DBD">
          <w:rPr>
            <w:rStyle w:val="Hyperlink"/>
            <w:szCs w:val="22"/>
          </w:rPr>
          <w:t>Product Information</w:t>
        </w:r>
      </w:hyperlink>
      <w:r w:rsidRPr="00BD5DBD">
        <w:rPr>
          <w:szCs w:val="22"/>
        </w:rPr>
        <w:t xml:space="preserve"> (</w:t>
      </w:r>
      <w:hyperlink r:id="rId38"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B9180D">
        <w:rPr>
          <w:szCs w:val="22"/>
        </w:rPr>
        <w:t>Nurtec ODT</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39" w:history="1">
        <w:r w:rsidRPr="00BD5DBD">
          <w:rPr>
            <w:rStyle w:val="Hyperlink"/>
            <w:szCs w:val="22"/>
          </w:rPr>
          <w:t>Consumer Medicines Information</w:t>
        </w:r>
      </w:hyperlink>
      <w:r w:rsidRPr="00BD5DBD">
        <w:rPr>
          <w:szCs w:val="22"/>
        </w:rPr>
        <w:t xml:space="preserve"> (CMI), please refer to the TGA </w:t>
      </w:r>
      <w:hyperlink r:id="rId40" w:history="1">
        <w:r w:rsidRPr="00BD5DBD">
          <w:rPr>
            <w:rStyle w:val="Hyperlink"/>
            <w:szCs w:val="22"/>
          </w:rPr>
          <w:t>PI/CMI search facility.</w:t>
        </w:r>
      </w:hyperlink>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4852CBD1" w:rsidR="00F02AEC" w:rsidRDefault="00F02AEC">
            <w:pPr>
              <w:pStyle w:val="Address"/>
              <w:jc w:val="center"/>
              <w:rPr>
                <w:sz w:val="22"/>
                <w:szCs w:val="22"/>
              </w:rPr>
            </w:pPr>
            <w:r w:rsidRPr="00215D48">
              <w:t xml:space="preserve">Email: </w:t>
            </w:r>
            <w:hyperlink r:id="rId41" w:history="1">
              <w:r w:rsidRPr="00215D48">
                <w:rPr>
                  <w:rStyle w:val="Hyperlink"/>
                </w:rPr>
                <w:t>info@tga.gov.au</w:t>
              </w:r>
            </w:hyperlink>
            <w:r w:rsidR="00833858">
              <w:t xml:space="preserve"> </w:t>
            </w:r>
            <w:r w:rsidRPr="00215D48">
              <w:t>Phone: 1800 020 653</w:t>
            </w:r>
            <w:r w:rsidR="00833858">
              <w:t xml:space="preserve"> </w:t>
            </w:r>
            <w:r w:rsidRPr="00215D48">
              <w:t xml:space="preserve">Fax: </w:t>
            </w:r>
            <w:r w:rsidRPr="00BA0DFC">
              <w:t>02 6203 1605</w:t>
            </w:r>
          </w:p>
          <w:p w14:paraId="4533D80F" w14:textId="692A13D6" w:rsidR="00F02AEC" w:rsidRPr="00215D48" w:rsidRDefault="00DE785D">
            <w:pPr>
              <w:pStyle w:val="Address"/>
              <w:jc w:val="center"/>
              <w:rPr>
                <w:rStyle w:val="Hyperlink"/>
                <w:b/>
                <w:color w:val="auto"/>
                <w:sz w:val="22"/>
              </w:rPr>
            </w:pPr>
            <w:hyperlink r:id="rId4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3"/>
      <w:footerReference w:type="first" r:id="rId4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7B490" w14:textId="77777777" w:rsidR="00F440EB" w:rsidRDefault="00F440EB" w:rsidP="00F02AEC">
      <w:pPr>
        <w:spacing w:after="0" w:line="240" w:lineRule="auto"/>
      </w:pPr>
      <w:r>
        <w:separator/>
      </w:r>
    </w:p>
  </w:endnote>
  <w:endnote w:type="continuationSeparator" w:id="0">
    <w:p w14:paraId="2780EB91" w14:textId="77777777" w:rsidR="00F440EB" w:rsidRDefault="00F440EB" w:rsidP="00F02AEC">
      <w:pPr>
        <w:spacing w:after="0" w:line="240" w:lineRule="auto"/>
      </w:pPr>
      <w:r>
        <w:continuationSeparator/>
      </w:r>
    </w:p>
  </w:endnote>
  <w:endnote w:type="continuationNotice" w:id="1">
    <w:p w14:paraId="1A46DB57" w14:textId="77777777" w:rsidR="00F440EB" w:rsidRDefault="00F440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rPr>
              <w:color w:val="2B579A"/>
              <w:shd w:val="clear" w:color="auto" w:fill="E6E6E6"/>
            </w:rPr>
            <w:id w:val="1087729233"/>
            <w:docPartObj>
              <w:docPartGallery w:val="Page Numbers (Top of Page)"/>
              <w:docPartUnique/>
            </w:docPartObj>
          </w:sdtPr>
          <w:sdtEndPr>
            <w:rPr>
              <w:color w:val="333F4A"/>
              <w:shd w:val="clear" w:color="auto" w:fill="auto"/>
            </w:r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53AD71E" w:rsidR="007452E8" w:rsidRPr="004A3084" w:rsidRDefault="007452E8" w:rsidP="007452E8">
          <w:pPr>
            <w:pStyle w:val="Footer"/>
          </w:pPr>
          <w:r w:rsidRPr="00487162">
            <w:t>AusPA</w:t>
          </w:r>
          <w:r>
            <w:t xml:space="preserve">R - </w:t>
          </w:r>
          <w:r w:rsidR="00124D40">
            <w:t>Nurtec</w:t>
          </w:r>
          <w:r w:rsidR="00124D40" w:rsidRPr="00124D40">
            <w:t xml:space="preserve"> ODT - rimegepant (as sulfate) - Pfizer Australia Pty Ltd - PM-2022-02939-1-1</w:t>
          </w:r>
          <w:r>
            <w:br/>
          </w:r>
          <w:r w:rsidR="00834F8B">
            <w:t>FINAL 1 March</w:t>
          </w:r>
          <w:r w:rsidR="00B9180D">
            <w:t xml:space="preserve"> 2024</w:t>
          </w:r>
        </w:p>
      </w:tc>
      <w:tc>
        <w:tcPr>
          <w:tcW w:w="1734" w:type="dxa"/>
          <w:tcBorders>
            <w:top w:val="single" w:sz="4" w:space="0" w:color="auto"/>
          </w:tcBorders>
        </w:tcPr>
        <w:sdt>
          <w:sdtPr>
            <w:rPr>
              <w:color w:val="2B579A"/>
              <w:shd w:val="clear" w:color="auto" w:fill="E6E6E6"/>
            </w:rPr>
            <w:id w:val="11571659"/>
            <w:docPartObj>
              <w:docPartGallery w:val="Page Numbers (Top of Page)"/>
              <w:docPartUnique/>
            </w:docPartObj>
          </w:sdtPr>
          <w:sdtEndPr>
            <w:rPr>
              <w:color w:val="333F4A"/>
              <w:shd w:val="clear" w:color="auto" w:fill="auto"/>
            </w:rPr>
          </w:sdtEndPr>
          <w:sdtContent>
            <w:p w14:paraId="4DE4ED0C" w14:textId="29F65FFD" w:rsidR="007452E8" w:rsidRPr="004A3084" w:rsidRDefault="007452E8" w:rsidP="007452E8">
              <w:pPr>
                <w:pStyle w:val="Footer"/>
                <w:jc w:val="right"/>
              </w:pPr>
              <w:r w:rsidRPr="004A3084">
                <w:t xml:space="preserve">Page </w:t>
              </w:r>
              <w:r>
                <w:rPr>
                  <w:color w:val="2B579A"/>
                  <w:shd w:val="clear" w:color="auto" w:fill="E6E6E6"/>
                </w:rPr>
                <w:fldChar w:fldCharType="begin"/>
              </w:r>
              <w:r>
                <w:instrText xml:space="preserve"> PAGE </w:instrText>
              </w:r>
              <w:r>
                <w:rPr>
                  <w:color w:val="2B579A"/>
                  <w:shd w:val="clear" w:color="auto" w:fill="E6E6E6"/>
                </w:rPr>
                <w:fldChar w:fldCharType="separate"/>
              </w:r>
              <w:r w:rsidR="006D6B44">
                <w:rPr>
                  <w:noProof/>
                </w:rPr>
                <w:t>13</w:t>
              </w:r>
              <w:r>
                <w:rPr>
                  <w:color w:val="2B579A"/>
                  <w:shd w:val="clear" w:color="auto" w:fill="E6E6E6"/>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6E7EE" w14:textId="77777777" w:rsidR="00F440EB" w:rsidRDefault="00F440EB" w:rsidP="00F02AEC">
      <w:pPr>
        <w:spacing w:after="0" w:line="240" w:lineRule="auto"/>
      </w:pPr>
      <w:r>
        <w:separator/>
      </w:r>
    </w:p>
  </w:footnote>
  <w:footnote w:type="continuationSeparator" w:id="0">
    <w:p w14:paraId="4B968949" w14:textId="77777777" w:rsidR="00F440EB" w:rsidRDefault="00F440EB" w:rsidP="00F02AEC">
      <w:pPr>
        <w:spacing w:after="0" w:line="240" w:lineRule="auto"/>
      </w:pPr>
      <w:r>
        <w:continuationSeparator/>
      </w:r>
    </w:p>
  </w:footnote>
  <w:footnote w:type="continuationNotice" w:id="1">
    <w:p w14:paraId="2EBE0656" w14:textId="77777777" w:rsidR="00F440EB" w:rsidRDefault="00F440EB">
      <w:pPr>
        <w:spacing w:after="0" w:line="240" w:lineRule="auto"/>
      </w:pP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3F3B6682" w14:textId="1A090C36" w:rsidR="00860EBF" w:rsidRDefault="00860EBF">
      <w:pPr>
        <w:pStyle w:val="FootnoteText"/>
      </w:pPr>
      <w:r>
        <w:rPr>
          <w:rStyle w:val="FootnoteReference"/>
        </w:rPr>
        <w:footnoteRef/>
      </w:r>
      <w:r>
        <w:t xml:space="preserve"> </w:t>
      </w:r>
      <w:r w:rsidR="00BC13C9" w:rsidRPr="00671CD4">
        <w:rPr>
          <w:noProof/>
        </w:rPr>
        <w:t>Cutrer, F. Pathophysiology, clinical manifestations, and diagnosis of migraine in adults</w:t>
      </w:r>
      <w:r w:rsidR="00682C15" w:rsidRPr="00671CD4">
        <w:rPr>
          <w:noProof/>
        </w:rPr>
        <w:t>, in: UpToDate (</w:t>
      </w:r>
      <w:r w:rsidR="00671CD4" w:rsidRPr="00671CD4">
        <w:rPr>
          <w:noProof/>
        </w:rPr>
        <w:t>accessed on 5 </w:t>
      </w:r>
      <w:r w:rsidR="00BC13C9" w:rsidRPr="00671CD4">
        <w:rPr>
          <w:noProof/>
        </w:rPr>
        <w:t>December</w:t>
      </w:r>
      <w:r w:rsidR="00671CD4" w:rsidRPr="00671CD4">
        <w:rPr>
          <w:noProof/>
        </w:rPr>
        <w:t xml:space="preserve"> </w:t>
      </w:r>
      <w:r w:rsidR="00BC13C9" w:rsidRPr="00671CD4">
        <w:rPr>
          <w:noProof/>
        </w:rPr>
        <w:t>2022</w:t>
      </w:r>
      <w:r w:rsidR="00E12E54">
        <w:rPr>
          <w:noProof/>
        </w:rPr>
        <w:t>)</w:t>
      </w:r>
      <w:r w:rsidR="00671CD4" w:rsidRPr="00671CD4">
        <w:rPr>
          <w:noProof/>
        </w:rPr>
        <w:t>.</w:t>
      </w:r>
    </w:p>
  </w:footnote>
  <w:footnote w:id="4">
    <w:p w14:paraId="2D0CCE1B" w14:textId="72276926" w:rsidR="00D729F0" w:rsidRDefault="00D729F0" w:rsidP="0059566F">
      <w:pPr>
        <w:pStyle w:val="FootnoteText"/>
        <w:rPr>
          <w:noProof/>
        </w:rPr>
      </w:pPr>
      <w:r>
        <w:rPr>
          <w:rStyle w:val="FootnoteReference"/>
        </w:rPr>
        <w:footnoteRef/>
      </w:r>
      <w:r>
        <w:t xml:space="preserve"> </w:t>
      </w:r>
      <w:r w:rsidR="009C25CA">
        <w:rPr>
          <w:noProof/>
        </w:rPr>
        <w:t xml:space="preserve">Dodick, D. Migraine. </w:t>
      </w:r>
      <w:r w:rsidR="009C25CA">
        <w:rPr>
          <w:i/>
          <w:iCs/>
          <w:noProof/>
        </w:rPr>
        <w:t xml:space="preserve">Lancet, </w:t>
      </w:r>
      <w:r w:rsidR="0059566F">
        <w:rPr>
          <w:i/>
          <w:iCs/>
          <w:noProof/>
        </w:rPr>
        <w:t xml:space="preserve">2018; </w:t>
      </w:r>
      <w:r w:rsidR="009C25CA">
        <w:rPr>
          <w:i/>
          <w:iCs/>
          <w:noProof/>
        </w:rPr>
        <w:t>391</w:t>
      </w:r>
      <w:r w:rsidR="0059566F">
        <w:rPr>
          <w:noProof/>
        </w:rPr>
        <w:t>:</w:t>
      </w:r>
      <w:r w:rsidR="009C25CA">
        <w:rPr>
          <w:noProof/>
        </w:rPr>
        <w:t xml:space="preserve"> 1315-30.</w:t>
      </w:r>
    </w:p>
  </w:footnote>
  <w:footnote w:id="5">
    <w:p w14:paraId="1BE1995E" w14:textId="7BD16325" w:rsidR="007F1DFA" w:rsidRDefault="007F1DFA" w:rsidP="007F1DFA">
      <w:pPr>
        <w:pStyle w:val="FootnoteText"/>
      </w:pPr>
      <w:r>
        <w:rPr>
          <w:rStyle w:val="FootnoteReference"/>
        </w:rPr>
        <w:footnoteRef/>
      </w:r>
      <w:r w:rsidR="00833858">
        <w:t xml:space="preserve"> </w:t>
      </w:r>
      <w:r>
        <w:t>In this report the ‘</w:t>
      </w:r>
      <w:r w:rsidRPr="00C133A3">
        <w:t>Delegate</w:t>
      </w:r>
      <w:r>
        <w:t>’</w:t>
      </w:r>
      <w:r w:rsidRPr="00C133A3">
        <w:t xml:space="preserve"> </w:t>
      </w:r>
      <w:r>
        <w:t xml:space="preserve">is the </w:t>
      </w:r>
      <w:r w:rsidRPr="00C133A3">
        <w:t xml:space="preserve">Delegate of the Secretary of the Department of Health and Aged Care who </w:t>
      </w:r>
      <w:r>
        <w:t>decided the submission</w:t>
      </w:r>
      <w:r w:rsidRPr="00C133A3">
        <w:t xml:space="preserve"> under section 25 of the Act.</w:t>
      </w:r>
    </w:p>
  </w:footnote>
  <w:footnote w:id="6">
    <w:p w14:paraId="54B71673" w14:textId="77777777" w:rsidR="00833858" w:rsidRDefault="00E471A3" w:rsidP="00DE5E6D">
      <w:pPr>
        <w:pStyle w:val="FootnoteText"/>
      </w:pPr>
      <w:r>
        <w:rPr>
          <w:rStyle w:val="FootnoteReference"/>
        </w:rPr>
        <w:footnoteRef/>
      </w:r>
      <w:r>
        <w:t xml:space="preserve"> </w:t>
      </w:r>
      <w:r w:rsidR="00DE5E6D" w:rsidRPr="00DE5E6D">
        <w:rPr>
          <w:b/>
          <w:bCs/>
        </w:rPr>
        <w:t>Pregnancy Category B1:</w:t>
      </w:r>
      <w:r w:rsidR="00DE5E6D">
        <w:t xml:space="preserve"> 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r w:rsidR="00833858">
        <w:t>.</w:t>
      </w:r>
    </w:p>
    <w:p w14:paraId="190381E2" w14:textId="729B8E82" w:rsidR="00E471A3" w:rsidRDefault="00DE5E6D" w:rsidP="00DE5E6D">
      <w:pPr>
        <w:pStyle w:val="FootnoteText"/>
      </w:pPr>
      <w:r w:rsidRPr="00DE5E6D">
        <w:rPr>
          <w:b/>
          <w:bCs/>
        </w:rPr>
        <w:t>Pregnancy Category B2</w:t>
      </w:r>
      <w:r>
        <w:t>: Drugs which have been taken by only a limited number of pregnant women and women of childbearing age, without an increase in the frequency of malformation or other direct or indirect harmful effects on the human fetus having been observed. Studies in animals are inadequate or may be lacking, but available data show no evidence of an increased occurrence of fetal damage.</w:t>
      </w:r>
    </w:p>
  </w:footnote>
  <w:footnote w:id="7">
    <w:p w14:paraId="5296152F" w14:textId="77777777" w:rsidR="005E7DEB" w:rsidRDefault="005E7DEB" w:rsidP="005E7DEB">
      <w:pPr>
        <w:pStyle w:val="FootnoteText"/>
      </w:pPr>
      <w:r>
        <w:rPr>
          <w:rStyle w:val="FootnoteReference"/>
        </w:rPr>
        <w:footnoteRef/>
      </w:r>
      <w:r>
        <w:t xml:space="preserve"> </w:t>
      </w:r>
      <w:r w:rsidRPr="00D64683">
        <w:t xml:space="preserve">The </w:t>
      </w:r>
      <w:r w:rsidRPr="00D64683">
        <w:rPr>
          <w:b/>
          <w:bCs/>
        </w:rPr>
        <w:t>Child-Pugh score</w:t>
      </w:r>
      <w:r w:rsidRPr="00D64683">
        <w:t xml:space="preserve"> is used to assess the prognosis of chronic liver disease. The score employs five clinical measures of liver disease. Each measure is scored 1 to 3, with 3 indicating most severe derangement. Class A: 5 to 6 points, least severe liver disease, one to five year survival rate of 95%. Class B: 7 to 9 points, moderately severe liver disease, one to five year survival of 75%. Class C: 10 to 15 points, most severe liver disease, 1 to 5 year survival rate 50%.</w:t>
      </w:r>
    </w:p>
  </w:footnote>
  <w:footnote w:id="8">
    <w:p w14:paraId="42D6F069" w14:textId="77777777" w:rsidR="00CF3414" w:rsidRDefault="00CF3414" w:rsidP="00CF3414">
      <w:pPr>
        <w:pStyle w:val="FootnoteText"/>
      </w:pPr>
      <w:r>
        <w:rPr>
          <w:rStyle w:val="FootnoteReference"/>
        </w:rPr>
        <w:footnoteRef/>
      </w:r>
      <w:r>
        <w:t xml:space="preserve"> The </w:t>
      </w:r>
      <w:r w:rsidRPr="00CF3414">
        <w:rPr>
          <w:b/>
          <w:bCs/>
        </w:rPr>
        <w:t>QT interval</w:t>
      </w:r>
      <w:r>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69CB0711" w14:textId="77777777" w:rsidR="00CF3414" w:rsidRDefault="00CF3414" w:rsidP="00CF3414">
      <w:pPr>
        <w:pStyle w:val="FootnoteText"/>
      </w:pPr>
      <w:r>
        <w:t xml:space="preserve">The </w:t>
      </w:r>
      <w:r w:rsidRPr="00CF3414">
        <w:rPr>
          <w:b/>
          <w:bCs/>
        </w:rPr>
        <w:t>corrected QT interval</w:t>
      </w:r>
      <w:r>
        <w:t xml:space="preserve"> (QTc) estimates the QT interval at a standard heart rate. This allows comparison of QT values over time at different heart rates and improves detection of patients at increased risk of arrhythmias.</w:t>
      </w:r>
    </w:p>
    <w:p w14:paraId="37DD5DB5" w14:textId="67EF6604" w:rsidR="00CF3414" w:rsidRDefault="00CF3414" w:rsidP="00CF3414">
      <w:pPr>
        <w:pStyle w:val="FootnoteText"/>
      </w:pPr>
      <w:r>
        <w:t xml:space="preserve">The </w:t>
      </w:r>
      <w:r w:rsidRPr="00CF3414">
        <w:rPr>
          <w:b/>
          <w:bCs/>
        </w:rPr>
        <w:t xml:space="preserve">QTcF </w:t>
      </w:r>
      <w:r>
        <w:t>is the QT interval corrected for heart rate according to Fridericia’s formula.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DE785D" w:rsidP="007452E8">
          <w:pPr>
            <w:ind w:left="-57"/>
            <w:rPr>
              <w:noProof/>
            </w:rPr>
          </w:pPr>
          <w:sdt>
            <w:sdtPr>
              <w:rPr>
                <w:noProof/>
              </w:rPr>
              <w:id w:val="1926993388"/>
              <w:showingPlcHdr/>
              <w:picture/>
            </w:sdtPr>
            <w:sdtEndPr/>
            <w:sdtContent>
              <w:r w:rsidR="007452E8" w:rsidRPr="00F71E1E">
                <w:rPr>
                  <w:noProof/>
                  <w:color w:val="2B579A"/>
                  <w:shd w:val="clear" w:color="auto" w:fill="E6E6E6"/>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color w:val="2B579A"/>
        <w:shd w:val="clear" w:color="auto" w:fill="E6E6E6"/>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color w:val="2B579A"/>
        <w:shd w:val="clear" w:color="auto" w:fill="E6E6E6"/>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46F"/>
    <w:multiLevelType w:val="hybridMultilevel"/>
    <w:tmpl w:val="55D42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305BA4"/>
    <w:multiLevelType w:val="hybridMultilevel"/>
    <w:tmpl w:val="F9B8C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F14476"/>
    <w:multiLevelType w:val="hybridMultilevel"/>
    <w:tmpl w:val="50C8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163BCA"/>
    <w:multiLevelType w:val="hybridMultilevel"/>
    <w:tmpl w:val="F4703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563D35"/>
    <w:multiLevelType w:val="hybridMultilevel"/>
    <w:tmpl w:val="C78AB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1" w15:restartNumberingAfterBreak="0">
    <w:nsid w:val="1A782AD7"/>
    <w:multiLevelType w:val="hybridMultilevel"/>
    <w:tmpl w:val="5BE6E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C57820"/>
    <w:multiLevelType w:val="hybridMultilevel"/>
    <w:tmpl w:val="62500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0C3E01"/>
    <w:multiLevelType w:val="hybridMultilevel"/>
    <w:tmpl w:val="B9603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26D03897"/>
    <w:multiLevelType w:val="hybridMultilevel"/>
    <w:tmpl w:val="6B24C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2C4159"/>
    <w:multiLevelType w:val="hybridMultilevel"/>
    <w:tmpl w:val="7528E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0C0938"/>
    <w:multiLevelType w:val="hybridMultilevel"/>
    <w:tmpl w:val="BBEAA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EB6C1D"/>
    <w:multiLevelType w:val="hybridMultilevel"/>
    <w:tmpl w:val="E51A9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3F745B"/>
    <w:multiLevelType w:val="hybridMultilevel"/>
    <w:tmpl w:val="2A2A0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495CBF"/>
    <w:multiLevelType w:val="hybridMultilevel"/>
    <w:tmpl w:val="BB541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22" w15:restartNumberingAfterBreak="0">
    <w:nsid w:val="4BC15CF9"/>
    <w:multiLevelType w:val="hybridMultilevel"/>
    <w:tmpl w:val="14D0D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4"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EB1139"/>
    <w:multiLevelType w:val="hybridMultilevel"/>
    <w:tmpl w:val="BE3E0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8" w15:restartNumberingAfterBreak="0">
    <w:nsid w:val="66673E93"/>
    <w:multiLevelType w:val="hybridMultilevel"/>
    <w:tmpl w:val="A1FA5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5211D2"/>
    <w:multiLevelType w:val="hybridMultilevel"/>
    <w:tmpl w:val="A9083F1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79004883"/>
    <w:multiLevelType w:val="hybridMultilevel"/>
    <w:tmpl w:val="10CE2F3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C26365"/>
    <w:multiLevelType w:val="hybridMultilevel"/>
    <w:tmpl w:val="B7F83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9"/>
  </w:num>
  <w:num w:numId="2" w16cid:durableId="1856573705">
    <w:abstractNumId w:val="6"/>
  </w:num>
  <w:num w:numId="3" w16cid:durableId="357703499">
    <w:abstractNumId w:val="8"/>
  </w:num>
  <w:num w:numId="4" w16cid:durableId="1869176708">
    <w:abstractNumId w:val="25"/>
  </w:num>
  <w:num w:numId="5" w16cid:durableId="1652950129">
    <w:abstractNumId w:val="14"/>
  </w:num>
  <w:num w:numId="6" w16cid:durableId="1053193207">
    <w:abstractNumId w:val="23"/>
  </w:num>
  <w:num w:numId="7" w16cid:durableId="201135927">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4"/>
  </w:num>
  <w:num w:numId="9" w16cid:durableId="173421270">
    <w:abstractNumId w:val="7"/>
  </w:num>
  <w:num w:numId="10" w16cid:durableId="2108043357">
    <w:abstractNumId w:val="10"/>
  </w:num>
  <w:num w:numId="11" w16cid:durableId="1725904230">
    <w:abstractNumId w:val="21"/>
  </w:num>
  <w:num w:numId="12" w16cid:durableId="141579354">
    <w:abstractNumId w:val="27"/>
  </w:num>
  <w:num w:numId="13" w16cid:durableId="283735081">
    <w:abstractNumId w:val="32"/>
  </w:num>
  <w:num w:numId="14" w16cid:durableId="934359516">
    <w:abstractNumId w:val="17"/>
  </w:num>
  <w:num w:numId="15" w16cid:durableId="3243389">
    <w:abstractNumId w:val="4"/>
  </w:num>
  <w:num w:numId="16" w16cid:durableId="2105835024">
    <w:abstractNumId w:val="31"/>
  </w:num>
  <w:num w:numId="17" w16cid:durableId="2085836622">
    <w:abstractNumId w:val="22"/>
  </w:num>
  <w:num w:numId="18" w16cid:durableId="328101864">
    <w:abstractNumId w:val="1"/>
  </w:num>
  <w:num w:numId="19" w16cid:durableId="1943026750">
    <w:abstractNumId w:val="0"/>
  </w:num>
  <w:num w:numId="20" w16cid:durableId="1414551874">
    <w:abstractNumId w:val="16"/>
  </w:num>
  <w:num w:numId="21" w16cid:durableId="1947418597">
    <w:abstractNumId w:val="29"/>
  </w:num>
  <w:num w:numId="22" w16cid:durableId="1812213626">
    <w:abstractNumId w:val="12"/>
  </w:num>
  <w:num w:numId="23" w16cid:durableId="223376641">
    <w:abstractNumId w:val="13"/>
  </w:num>
  <w:num w:numId="24" w16cid:durableId="1904177259">
    <w:abstractNumId w:val="2"/>
  </w:num>
  <w:num w:numId="25" w16cid:durableId="2084793139">
    <w:abstractNumId w:val="18"/>
  </w:num>
  <w:num w:numId="26" w16cid:durableId="1419448351">
    <w:abstractNumId w:val="15"/>
  </w:num>
  <w:num w:numId="27" w16cid:durableId="697200114">
    <w:abstractNumId w:val="19"/>
  </w:num>
  <w:num w:numId="28" w16cid:durableId="754932909">
    <w:abstractNumId w:val="30"/>
  </w:num>
  <w:num w:numId="29" w16cid:durableId="731122888">
    <w:abstractNumId w:val="28"/>
  </w:num>
  <w:num w:numId="30" w16cid:durableId="201286586">
    <w:abstractNumId w:val="3"/>
  </w:num>
  <w:num w:numId="31" w16cid:durableId="1936590923">
    <w:abstractNumId w:val="20"/>
  </w:num>
  <w:num w:numId="32" w16cid:durableId="538980182">
    <w:abstractNumId w:val="5"/>
  </w:num>
  <w:num w:numId="33" w16cid:durableId="1878733166">
    <w:abstractNumId w:val="26"/>
  </w:num>
  <w:num w:numId="34" w16cid:durableId="94907196">
    <w:abstractNumId w:val="11"/>
  </w:num>
  <w:num w:numId="35" w16cid:durableId="19250641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DB9"/>
    <w:rsid w:val="00000E6E"/>
    <w:rsid w:val="00004431"/>
    <w:rsid w:val="00005062"/>
    <w:rsid w:val="0001064C"/>
    <w:rsid w:val="0001384A"/>
    <w:rsid w:val="00017ECA"/>
    <w:rsid w:val="00020FF2"/>
    <w:rsid w:val="00021DEC"/>
    <w:rsid w:val="000245FC"/>
    <w:rsid w:val="00032A0F"/>
    <w:rsid w:val="00036A01"/>
    <w:rsid w:val="00040D8D"/>
    <w:rsid w:val="000414E7"/>
    <w:rsid w:val="00046423"/>
    <w:rsid w:val="00047CA0"/>
    <w:rsid w:val="00053E16"/>
    <w:rsid w:val="0006104E"/>
    <w:rsid w:val="000640BD"/>
    <w:rsid w:val="00065839"/>
    <w:rsid w:val="00065FDF"/>
    <w:rsid w:val="00077844"/>
    <w:rsid w:val="00084A7F"/>
    <w:rsid w:val="00090510"/>
    <w:rsid w:val="00091454"/>
    <w:rsid w:val="000917AE"/>
    <w:rsid w:val="0009409C"/>
    <w:rsid w:val="00094B81"/>
    <w:rsid w:val="000975AA"/>
    <w:rsid w:val="000A37E0"/>
    <w:rsid w:val="000A4E45"/>
    <w:rsid w:val="000B43B7"/>
    <w:rsid w:val="000B53AC"/>
    <w:rsid w:val="000B6B15"/>
    <w:rsid w:val="000C25A7"/>
    <w:rsid w:val="000D78EC"/>
    <w:rsid w:val="000D7934"/>
    <w:rsid w:val="000E2597"/>
    <w:rsid w:val="000E5701"/>
    <w:rsid w:val="000E6746"/>
    <w:rsid w:val="000E71FB"/>
    <w:rsid w:val="000F7371"/>
    <w:rsid w:val="000F7B51"/>
    <w:rsid w:val="00101BEE"/>
    <w:rsid w:val="00101CE6"/>
    <w:rsid w:val="00101FB1"/>
    <w:rsid w:val="00103AE2"/>
    <w:rsid w:val="00104957"/>
    <w:rsid w:val="0010558A"/>
    <w:rsid w:val="001068B3"/>
    <w:rsid w:val="00107D3B"/>
    <w:rsid w:val="001101FF"/>
    <w:rsid w:val="0011226A"/>
    <w:rsid w:val="001207C9"/>
    <w:rsid w:val="00123F15"/>
    <w:rsid w:val="0012473C"/>
    <w:rsid w:val="00124D40"/>
    <w:rsid w:val="00126C4A"/>
    <w:rsid w:val="00127A74"/>
    <w:rsid w:val="0013132F"/>
    <w:rsid w:val="0013306D"/>
    <w:rsid w:val="00133195"/>
    <w:rsid w:val="0013528C"/>
    <w:rsid w:val="00136449"/>
    <w:rsid w:val="00142C6E"/>
    <w:rsid w:val="001442A2"/>
    <w:rsid w:val="001468CA"/>
    <w:rsid w:val="001500A8"/>
    <w:rsid w:val="00155D85"/>
    <w:rsid w:val="00165D28"/>
    <w:rsid w:val="0017005C"/>
    <w:rsid w:val="00170A97"/>
    <w:rsid w:val="00175CD8"/>
    <w:rsid w:val="001829EA"/>
    <w:rsid w:val="00182BD8"/>
    <w:rsid w:val="00191520"/>
    <w:rsid w:val="00193254"/>
    <w:rsid w:val="001A377A"/>
    <w:rsid w:val="001A76F9"/>
    <w:rsid w:val="001B06FF"/>
    <w:rsid w:val="001B1703"/>
    <w:rsid w:val="001B400F"/>
    <w:rsid w:val="001C1C2E"/>
    <w:rsid w:val="001C223A"/>
    <w:rsid w:val="001C31A1"/>
    <w:rsid w:val="001C3FA2"/>
    <w:rsid w:val="001C45A4"/>
    <w:rsid w:val="001C5EE2"/>
    <w:rsid w:val="001D0077"/>
    <w:rsid w:val="001D54B8"/>
    <w:rsid w:val="001D77DD"/>
    <w:rsid w:val="001E407B"/>
    <w:rsid w:val="001E66F0"/>
    <w:rsid w:val="001E7FC6"/>
    <w:rsid w:val="001F2502"/>
    <w:rsid w:val="001F70A5"/>
    <w:rsid w:val="0020235D"/>
    <w:rsid w:val="0020369B"/>
    <w:rsid w:val="00207B4D"/>
    <w:rsid w:val="002117B1"/>
    <w:rsid w:val="00211E7C"/>
    <w:rsid w:val="00217CCE"/>
    <w:rsid w:val="002203B1"/>
    <w:rsid w:val="00220722"/>
    <w:rsid w:val="002225B8"/>
    <w:rsid w:val="00224C3C"/>
    <w:rsid w:val="00226F39"/>
    <w:rsid w:val="00227618"/>
    <w:rsid w:val="002334AD"/>
    <w:rsid w:val="00233A23"/>
    <w:rsid w:val="002377B9"/>
    <w:rsid w:val="00241A82"/>
    <w:rsid w:val="00241B60"/>
    <w:rsid w:val="002427B6"/>
    <w:rsid w:val="0024313C"/>
    <w:rsid w:val="0024369A"/>
    <w:rsid w:val="00250B68"/>
    <w:rsid w:val="00254B74"/>
    <w:rsid w:val="00256ED5"/>
    <w:rsid w:val="00257458"/>
    <w:rsid w:val="0025785B"/>
    <w:rsid w:val="00257969"/>
    <w:rsid w:val="002633E6"/>
    <w:rsid w:val="002668A2"/>
    <w:rsid w:val="002767CA"/>
    <w:rsid w:val="00280048"/>
    <w:rsid w:val="00282A3A"/>
    <w:rsid w:val="00283DB0"/>
    <w:rsid w:val="0028489E"/>
    <w:rsid w:val="002848DE"/>
    <w:rsid w:val="00284B68"/>
    <w:rsid w:val="0028794E"/>
    <w:rsid w:val="00287DFA"/>
    <w:rsid w:val="002A250C"/>
    <w:rsid w:val="002A5841"/>
    <w:rsid w:val="002A5F6A"/>
    <w:rsid w:val="002B1C63"/>
    <w:rsid w:val="002B1EDF"/>
    <w:rsid w:val="002B2061"/>
    <w:rsid w:val="002B4F38"/>
    <w:rsid w:val="002B6550"/>
    <w:rsid w:val="002B6580"/>
    <w:rsid w:val="002C1232"/>
    <w:rsid w:val="002C1E44"/>
    <w:rsid w:val="002C5C92"/>
    <w:rsid w:val="002C5E29"/>
    <w:rsid w:val="002D0478"/>
    <w:rsid w:val="002D2853"/>
    <w:rsid w:val="002D2FA8"/>
    <w:rsid w:val="002D491D"/>
    <w:rsid w:val="002D7127"/>
    <w:rsid w:val="002E0672"/>
    <w:rsid w:val="002F599E"/>
    <w:rsid w:val="002F60ED"/>
    <w:rsid w:val="002F78C0"/>
    <w:rsid w:val="003008D8"/>
    <w:rsid w:val="00301D9A"/>
    <w:rsid w:val="00303959"/>
    <w:rsid w:val="0030683D"/>
    <w:rsid w:val="00306E72"/>
    <w:rsid w:val="00312AC3"/>
    <w:rsid w:val="00314430"/>
    <w:rsid w:val="003163BC"/>
    <w:rsid w:val="00316DE0"/>
    <w:rsid w:val="00321509"/>
    <w:rsid w:val="0032351A"/>
    <w:rsid w:val="00324B33"/>
    <w:rsid w:val="00325824"/>
    <w:rsid w:val="00326135"/>
    <w:rsid w:val="00327488"/>
    <w:rsid w:val="00331B7C"/>
    <w:rsid w:val="00332D0D"/>
    <w:rsid w:val="00336FE1"/>
    <w:rsid w:val="00342D56"/>
    <w:rsid w:val="003456E7"/>
    <w:rsid w:val="00346CB8"/>
    <w:rsid w:val="00346EC2"/>
    <w:rsid w:val="003477F9"/>
    <w:rsid w:val="00352B76"/>
    <w:rsid w:val="0035444D"/>
    <w:rsid w:val="00354D9F"/>
    <w:rsid w:val="00356D62"/>
    <w:rsid w:val="00363EE3"/>
    <w:rsid w:val="00367EE5"/>
    <w:rsid w:val="003735F3"/>
    <w:rsid w:val="00374729"/>
    <w:rsid w:val="00374B47"/>
    <w:rsid w:val="0037557F"/>
    <w:rsid w:val="003810D4"/>
    <w:rsid w:val="00382E1B"/>
    <w:rsid w:val="00387298"/>
    <w:rsid w:val="00387984"/>
    <w:rsid w:val="003902E7"/>
    <w:rsid w:val="00395140"/>
    <w:rsid w:val="003A108C"/>
    <w:rsid w:val="003A2422"/>
    <w:rsid w:val="003A70C9"/>
    <w:rsid w:val="003B149C"/>
    <w:rsid w:val="003B59B0"/>
    <w:rsid w:val="003C0FDB"/>
    <w:rsid w:val="003C1192"/>
    <w:rsid w:val="003C27A7"/>
    <w:rsid w:val="003C55E2"/>
    <w:rsid w:val="003C63D5"/>
    <w:rsid w:val="003C7AA8"/>
    <w:rsid w:val="003D26E0"/>
    <w:rsid w:val="003D2EA1"/>
    <w:rsid w:val="003D324E"/>
    <w:rsid w:val="003D4C35"/>
    <w:rsid w:val="003D71A1"/>
    <w:rsid w:val="003E318F"/>
    <w:rsid w:val="0041688F"/>
    <w:rsid w:val="004204F9"/>
    <w:rsid w:val="0042376F"/>
    <w:rsid w:val="004246B8"/>
    <w:rsid w:val="004248F1"/>
    <w:rsid w:val="00433318"/>
    <w:rsid w:val="004376DB"/>
    <w:rsid w:val="00442A56"/>
    <w:rsid w:val="004444B0"/>
    <w:rsid w:val="0045060B"/>
    <w:rsid w:val="004524C4"/>
    <w:rsid w:val="00461970"/>
    <w:rsid w:val="004626FF"/>
    <w:rsid w:val="00470A52"/>
    <w:rsid w:val="0047182B"/>
    <w:rsid w:val="00471BD5"/>
    <w:rsid w:val="00477C4E"/>
    <w:rsid w:val="00477F07"/>
    <w:rsid w:val="00481503"/>
    <w:rsid w:val="00481D12"/>
    <w:rsid w:val="004854A6"/>
    <w:rsid w:val="00487650"/>
    <w:rsid w:val="00491328"/>
    <w:rsid w:val="00491A55"/>
    <w:rsid w:val="00492700"/>
    <w:rsid w:val="0049492F"/>
    <w:rsid w:val="00494C3E"/>
    <w:rsid w:val="00497DF1"/>
    <w:rsid w:val="004A318E"/>
    <w:rsid w:val="004A57E8"/>
    <w:rsid w:val="004A66C7"/>
    <w:rsid w:val="004B3081"/>
    <w:rsid w:val="004B4A09"/>
    <w:rsid w:val="004B7751"/>
    <w:rsid w:val="004C3E5B"/>
    <w:rsid w:val="004C41CE"/>
    <w:rsid w:val="004C4D27"/>
    <w:rsid w:val="004C631B"/>
    <w:rsid w:val="004D2F00"/>
    <w:rsid w:val="004D31D8"/>
    <w:rsid w:val="004D324F"/>
    <w:rsid w:val="004D5388"/>
    <w:rsid w:val="004D6092"/>
    <w:rsid w:val="004E0B07"/>
    <w:rsid w:val="004E354A"/>
    <w:rsid w:val="004E7F16"/>
    <w:rsid w:val="004F18EC"/>
    <w:rsid w:val="004F665D"/>
    <w:rsid w:val="00500D68"/>
    <w:rsid w:val="00524100"/>
    <w:rsid w:val="00526936"/>
    <w:rsid w:val="0053377D"/>
    <w:rsid w:val="00533A44"/>
    <w:rsid w:val="00535ADB"/>
    <w:rsid w:val="00535DFE"/>
    <w:rsid w:val="005373B5"/>
    <w:rsid w:val="00537AB7"/>
    <w:rsid w:val="0054422D"/>
    <w:rsid w:val="0054669B"/>
    <w:rsid w:val="00553272"/>
    <w:rsid w:val="00555B4F"/>
    <w:rsid w:val="005579B8"/>
    <w:rsid w:val="00560C3B"/>
    <w:rsid w:val="005610D1"/>
    <w:rsid w:val="00562DF3"/>
    <w:rsid w:val="00562F42"/>
    <w:rsid w:val="00565739"/>
    <w:rsid w:val="00567298"/>
    <w:rsid w:val="0056766D"/>
    <w:rsid w:val="005713CD"/>
    <w:rsid w:val="005727C3"/>
    <w:rsid w:val="00575215"/>
    <w:rsid w:val="0058575E"/>
    <w:rsid w:val="0058783C"/>
    <w:rsid w:val="005911AE"/>
    <w:rsid w:val="005926E2"/>
    <w:rsid w:val="00592F97"/>
    <w:rsid w:val="0059313A"/>
    <w:rsid w:val="0059509D"/>
    <w:rsid w:val="0059566F"/>
    <w:rsid w:val="00596A6C"/>
    <w:rsid w:val="005A11FE"/>
    <w:rsid w:val="005A54EA"/>
    <w:rsid w:val="005B023F"/>
    <w:rsid w:val="005B02A2"/>
    <w:rsid w:val="005B1417"/>
    <w:rsid w:val="005B69CF"/>
    <w:rsid w:val="005C3E7E"/>
    <w:rsid w:val="005C3F07"/>
    <w:rsid w:val="005C4B46"/>
    <w:rsid w:val="005C5DC5"/>
    <w:rsid w:val="005D2089"/>
    <w:rsid w:val="005D30F1"/>
    <w:rsid w:val="005D3F2E"/>
    <w:rsid w:val="005D52EA"/>
    <w:rsid w:val="005D7514"/>
    <w:rsid w:val="005D76D4"/>
    <w:rsid w:val="005E0DE1"/>
    <w:rsid w:val="005E0FC6"/>
    <w:rsid w:val="005E1A7B"/>
    <w:rsid w:val="005E231F"/>
    <w:rsid w:val="005E550F"/>
    <w:rsid w:val="005E7DEB"/>
    <w:rsid w:val="00602D6E"/>
    <w:rsid w:val="00604181"/>
    <w:rsid w:val="00605C05"/>
    <w:rsid w:val="00611122"/>
    <w:rsid w:val="00611351"/>
    <w:rsid w:val="0061217D"/>
    <w:rsid w:val="00612C9C"/>
    <w:rsid w:val="006151DC"/>
    <w:rsid w:val="0062669F"/>
    <w:rsid w:val="006277A1"/>
    <w:rsid w:val="00633BD7"/>
    <w:rsid w:val="00634580"/>
    <w:rsid w:val="00634884"/>
    <w:rsid w:val="006351D9"/>
    <w:rsid w:val="00637130"/>
    <w:rsid w:val="00637F0E"/>
    <w:rsid w:val="00641E24"/>
    <w:rsid w:val="00641F63"/>
    <w:rsid w:val="006423F2"/>
    <w:rsid w:val="00650189"/>
    <w:rsid w:val="00650234"/>
    <w:rsid w:val="0066044B"/>
    <w:rsid w:val="006630AA"/>
    <w:rsid w:val="00663544"/>
    <w:rsid w:val="00664B30"/>
    <w:rsid w:val="0066530D"/>
    <w:rsid w:val="00666539"/>
    <w:rsid w:val="00666911"/>
    <w:rsid w:val="006713ED"/>
    <w:rsid w:val="00671CD4"/>
    <w:rsid w:val="00675F81"/>
    <w:rsid w:val="0068143E"/>
    <w:rsid w:val="006821E7"/>
    <w:rsid w:val="00682C15"/>
    <w:rsid w:val="0068507D"/>
    <w:rsid w:val="00690E92"/>
    <w:rsid w:val="00691AF2"/>
    <w:rsid w:val="00692B80"/>
    <w:rsid w:val="00692CCD"/>
    <w:rsid w:val="00692D51"/>
    <w:rsid w:val="00694DD7"/>
    <w:rsid w:val="00695ACC"/>
    <w:rsid w:val="0069636B"/>
    <w:rsid w:val="006970E8"/>
    <w:rsid w:val="006A0FF5"/>
    <w:rsid w:val="006A14E4"/>
    <w:rsid w:val="006A1762"/>
    <w:rsid w:val="006A1F0B"/>
    <w:rsid w:val="006A277A"/>
    <w:rsid w:val="006A5973"/>
    <w:rsid w:val="006A7087"/>
    <w:rsid w:val="006B133A"/>
    <w:rsid w:val="006B1749"/>
    <w:rsid w:val="006B5ADA"/>
    <w:rsid w:val="006B6026"/>
    <w:rsid w:val="006B7126"/>
    <w:rsid w:val="006C4DAC"/>
    <w:rsid w:val="006C6B86"/>
    <w:rsid w:val="006D08F1"/>
    <w:rsid w:val="006D3FD3"/>
    <w:rsid w:val="006D4553"/>
    <w:rsid w:val="006D4A35"/>
    <w:rsid w:val="006D56FC"/>
    <w:rsid w:val="006D6B44"/>
    <w:rsid w:val="006E27FE"/>
    <w:rsid w:val="006E4176"/>
    <w:rsid w:val="006E7A1B"/>
    <w:rsid w:val="006F6F05"/>
    <w:rsid w:val="006F7549"/>
    <w:rsid w:val="00701110"/>
    <w:rsid w:val="0070295E"/>
    <w:rsid w:val="00702E91"/>
    <w:rsid w:val="0070330F"/>
    <w:rsid w:val="00703624"/>
    <w:rsid w:val="007037DA"/>
    <w:rsid w:val="007046ED"/>
    <w:rsid w:val="00704F8A"/>
    <w:rsid w:val="007072A1"/>
    <w:rsid w:val="00710BC5"/>
    <w:rsid w:val="007121CA"/>
    <w:rsid w:val="0071572B"/>
    <w:rsid w:val="007157A6"/>
    <w:rsid w:val="00717888"/>
    <w:rsid w:val="0072003B"/>
    <w:rsid w:val="00721059"/>
    <w:rsid w:val="007211E6"/>
    <w:rsid w:val="00721D56"/>
    <w:rsid w:val="00721E7B"/>
    <w:rsid w:val="007220C4"/>
    <w:rsid w:val="00732361"/>
    <w:rsid w:val="00732F51"/>
    <w:rsid w:val="007357B9"/>
    <w:rsid w:val="00736BC8"/>
    <w:rsid w:val="007406BE"/>
    <w:rsid w:val="00741AB9"/>
    <w:rsid w:val="007426F2"/>
    <w:rsid w:val="00742D03"/>
    <w:rsid w:val="00742D18"/>
    <w:rsid w:val="00744216"/>
    <w:rsid w:val="007452E8"/>
    <w:rsid w:val="00746990"/>
    <w:rsid w:val="00746AD8"/>
    <w:rsid w:val="00747093"/>
    <w:rsid w:val="00750197"/>
    <w:rsid w:val="00750D70"/>
    <w:rsid w:val="00750FEE"/>
    <w:rsid w:val="007518F3"/>
    <w:rsid w:val="00752219"/>
    <w:rsid w:val="00754DB2"/>
    <w:rsid w:val="007575D0"/>
    <w:rsid w:val="00757846"/>
    <w:rsid w:val="007662E0"/>
    <w:rsid w:val="007675DF"/>
    <w:rsid w:val="00767B81"/>
    <w:rsid w:val="00767E8D"/>
    <w:rsid w:val="00773362"/>
    <w:rsid w:val="00774776"/>
    <w:rsid w:val="00776E9C"/>
    <w:rsid w:val="00777B72"/>
    <w:rsid w:val="007816D8"/>
    <w:rsid w:val="00784150"/>
    <w:rsid w:val="00784BA2"/>
    <w:rsid w:val="007858A8"/>
    <w:rsid w:val="00787FC0"/>
    <w:rsid w:val="00793272"/>
    <w:rsid w:val="00794B64"/>
    <w:rsid w:val="007967C3"/>
    <w:rsid w:val="007A0A33"/>
    <w:rsid w:val="007A0E9A"/>
    <w:rsid w:val="007A13FF"/>
    <w:rsid w:val="007A7587"/>
    <w:rsid w:val="007B04DE"/>
    <w:rsid w:val="007B0AE6"/>
    <w:rsid w:val="007C0F0B"/>
    <w:rsid w:val="007C1200"/>
    <w:rsid w:val="007C57BC"/>
    <w:rsid w:val="007C6596"/>
    <w:rsid w:val="007D04CA"/>
    <w:rsid w:val="007D0A2B"/>
    <w:rsid w:val="007D12A1"/>
    <w:rsid w:val="007D40E5"/>
    <w:rsid w:val="007D4138"/>
    <w:rsid w:val="007D5D0D"/>
    <w:rsid w:val="007E4178"/>
    <w:rsid w:val="007E54D2"/>
    <w:rsid w:val="007E61BD"/>
    <w:rsid w:val="007F0A77"/>
    <w:rsid w:val="007F0B82"/>
    <w:rsid w:val="007F1DFA"/>
    <w:rsid w:val="007F50D3"/>
    <w:rsid w:val="007F6B1F"/>
    <w:rsid w:val="00804897"/>
    <w:rsid w:val="00811E0E"/>
    <w:rsid w:val="00820DAA"/>
    <w:rsid w:val="008329DB"/>
    <w:rsid w:val="00833858"/>
    <w:rsid w:val="0083455E"/>
    <w:rsid w:val="00834F8B"/>
    <w:rsid w:val="008361C5"/>
    <w:rsid w:val="0083628F"/>
    <w:rsid w:val="00837AB9"/>
    <w:rsid w:val="00841178"/>
    <w:rsid w:val="0084190C"/>
    <w:rsid w:val="0084353C"/>
    <w:rsid w:val="00847501"/>
    <w:rsid w:val="00847ADF"/>
    <w:rsid w:val="00850637"/>
    <w:rsid w:val="00854D98"/>
    <w:rsid w:val="0085751E"/>
    <w:rsid w:val="00860B29"/>
    <w:rsid w:val="00860E12"/>
    <w:rsid w:val="00860EBF"/>
    <w:rsid w:val="008622E8"/>
    <w:rsid w:val="008645EE"/>
    <w:rsid w:val="00870144"/>
    <w:rsid w:val="00873D7A"/>
    <w:rsid w:val="00877CB3"/>
    <w:rsid w:val="008804CF"/>
    <w:rsid w:val="00882D58"/>
    <w:rsid w:val="00882F19"/>
    <w:rsid w:val="00883D35"/>
    <w:rsid w:val="00884569"/>
    <w:rsid w:val="00887A51"/>
    <w:rsid w:val="00890D9B"/>
    <w:rsid w:val="00891817"/>
    <w:rsid w:val="00891C6C"/>
    <w:rsid w:val="00893CCD"/>
    <w:rsid w:val="00893F20"/>
    <w:rsid w:val="008964B3"/>
    <w:rsid w:val="00897754"/>
    <w:rsid w:val="008A60FF"/>
    <w:rsid w:val="008A7895"/>
    <w:rsid w:val="008A791D"/>
    <w:rsid w:val="008B1CB5"/>
    <w:rsid w:val="008B47E8"/>
    <w:rsid w:val="008B55D3"/>
    <w:rsid w:val="008C2D69"/>
    <w:rsid w:val="008C49C6"/>
    <w:rsid w:val="008C754C"/>
    <w:rsid w:val="008D56C9"/>
    <w:rsid w:val="008D6A54"/>
    <w:rsid w:val="008D7CF9"/>
    <w:rsid w:val="008E2585"/>
    <w:rsid w:val="008E2D7A"/>
    <w:rsid w:val="008F3215"/>
    <w:rsid w:val="008F4A62"/>
    <w:rsid w:val="008F7256"/>
    <w:rsid w:val="00900E64"/>
    <w:rsid w:val="0090424C"/>
    <w:rsid w:val="0090605E"/>
    <w:rsid w:val="009108CE"/>
    <w:rsid w:val="009117DE"/>
    <w:rsid w:val="00915210"/>
    <w:rsid w:val="00915A9F"/>
    <w:rsid w:val="00930D58"/>
    <w:rsid w:val="00935AAA"/>
    <w:rsid w:val="009408A7"/>
    <w:rsid w:val="00944852"/>
    <w:rsid w:val="0095031E"/>
    <w:rsid w:val="00954297"/>
    <w:rsid w:val="00960A56"/>
    <w:rsid w:val="0096372F"/>
    <w:rsid w:val="00966EF1"/>
    <w:rsid w:val="00967223"/>
    <w:rsid w:val="009751F7"/>
    <w:rsid w:val="0098350E"/>
    <w:rsid w:val="0098387F"/>
    <w:rsid w:val="00987941"/>
    <w:rsid w:val="0099404F"/>
    <w:rsid w:val="00996FA5"/>
    <w:rsid w:val="00997062"/>
    <w:rsid w:val="009B0F55"/>
    <w:rsid w:val="009B31C0"/>
    <w:rsid w:val="009B5662"/>
    <w:rsid w:val="009C2211"/>
    <w:rsid w:val="009C25CA"/>
    <w:rsid w:val="009C2BCE"/>
    <w:rsid w:val="009C40E8"/>
    <w:rsid w:val="009C45C5"/>
    <w:rsid w:val="009C4634"/>
    <w:rsid w:val="009D65BD"/>
    <w:rsid w:val="009E6858"/>
    <w:rsid w:val="009E6F8C"/>
    <w:rsid w:val="009F405F"/>
    <w:rsid w:val="009F726B"/>
    <w:rsid w:val="009F747C"/>
    <w:rsid w:val="00A01C56"/>
    <w:rsid w:val="00A04B9F"/>
    <w:rsid w:val="00A1772E"/>
    <w:rsid w:val="00A27FAF"/>
    <w:rsid w:val="00A32C50"/>
    <w:rsid w:val="00A33B33"/>
    <w:rsid w:val="00A358E7"/>
    <w:rsid w:val="00A43090"/>
    <w:rsid w:val="00A4380B"/>
    <w:rsid w:val="00A4443B"/>
    <w:rsid w:val="00A479E5"/>
    <w:rsid w:val="00A51495"/>
    <w:rsid w:val="00A51A2D"/>
    <w:rsid w:val="00A54B13"/>
    <w:rsid w:val="00A5596B"/>
    <w:rsid w:val="00A579CA"/>
    <w:rsid w:val="00A619B1"/>
    <w:rsid w:val="00A63C07"/>
    <w:rsid w:val="00A63D9B"/>
    <w:rsid w:val="00A704DC"/>
    <w:rsid w:val="00A80D71"/>
    <w:rsid w:val="00A8352B"/>
    <w:rsid w:val="00A849F1"/>
    <w:rsid w:val="00A93DC6"/>
    <w:rsid w:val="00A9411A"/>
    <w:rsid w:val="00A942D1"/>
    <w:rsid w:val="00A94CFD"/>
    <w:rsid w:val="00AA4A4B"/>
    <w:rsid w:val="00AA6682"/>
    <w:rsid w:val="00AA7AE3"/>
    <w:rsid w:val="00AB3C31"/>
    <w:rsid w:val="00AB41A9"/>
    <w:rsid w:val="00AB52F3"/>
    <w:rsid w:val="00AB7C5C"/>
    <w:rsid w:val="00AB7CBF"/>
    <w:rsid w:val="00AC71B0"/>
    <w:rsid w:val="00AD0111"/>
    <w:rsid w:val="00AD3FB4"/>
    <w:rsid w:val="00AD4C72"/>
    <w:rsid w:val="00AD5451"/>
    <w:rsid w:val="00AE08F0"/>
    <w:rsid w:val="00AE1947"/>
    <w:rsid w:val="00AF1C8B"/>
    <w:rsid w:val="00AF299B"/>
    <w:rsid w:val="00AF7E43"/>
    <w:rsid w:val="00B025E6"/>
    <w:rsid w:val="00B02AE0"/>
    <w:rsid w:val="00B05326"/>
    <w:rsid w:val="00B068D7"/>
    <w:rsid w:val="00B14545"/>
    <w:rsid w:val="00B14E60"/>
    <w:rsid w:val="00B15A81"/>
    <w:rsid w:val="00B17BA2"/>
    <w:rsid w:val="00B20EDA"/>
    <w:rsid w:val="00B21A13"/>
    <w:rsid w:val="00B268C2"/>
    <w:rsid w:val="00B26DC3"/>
    <w:rsid w:val="00B30B9D"/>
    <w:rsid w:val="00B4574D"/>
    <w:rsid w:val="00B468E1"/>
    <w:rsid w:val="00B46BC0"/>
    <w:rsid w:val="00B46DFB"/>
    <w:rsid w:val="00B503C8"/>
    <w:rsid w:val="00B5141B"/>
    <w:rsid w:val="00B519EE"/>
    <w:rsid w:val="00B52739"/>
    <w:rsid w:val="00B52D3A"/>
    <w:rsid w:val="00B55681"/>
    <w:rsid w:val="00B57AAD"/>
    <w:rsid w:val="00B64EE1"/>
    <w:rsid w:val="00B70EB5"/>
    <w:rsid w:val="00B72B16"/>
    <w:rsid w:val="00B77CBE"/>
    <w:rsid w:val="00B80408"/>
    <w:rsid w:val="00B81397"/>
    <w:rsid w:val="00B90D5F"/>
    <w:rsid w:val="00B9180D"/>
    <w:rsid w:val="00B925DB"/>
    <w:rsid w:val="00B93E6E"/>
    <w:rsid w:val="00B967FF"/>
    <w:rsid w:val="00B974B9"/>
    <w:rsid w:val="00BA3F6D"/>
    <w:rsid w:val="00BA4BE6"/>
    <w:rsid w:val="00BA4FC0"/>
    <w:rsid w:val="00BA61E0"/>
    <w:rsid w:val="00BA7F7D"/>
    <w:rsid w:val="00BB1C14"/>
    <w:rsid w:val="00BB6847"/>
    <w:rsid w:val="00BB7F8F"/>
    <w:rsid w:val="00BC13C9"/>
    <w:rsid w:val="00BC1CE7"/>
    <w:rsid w:val="00BC206D"/>
    <w:rsid w:val="00BC31E8"/>
    <w:rsid w:val="00BC716A"/>
    <w:rsid w:val="00BD07DF"/>
    <w:rsid w:val="00BD26F4"/>
    <w:rsid w:val="00BD5DBD"/>
    <w:rsid w:val="00BD5DF6"/>
    <w:rsid w:val="00BE0041"/>
    <w:rsid w:val="00BE1BEC"/>
    <w:rsid w:val="00BE3A36"/>
    <w:rsid w:val="00BE3E43"/>
    <w:rsid w:val="00BE640F"/>
    <w:rsid w:val="00BE7DA3"/>
    <w:rsid w:val="00BF0A6C"/>
    <w:rsid w:val="00BF4638"/>
    <w:rsid w:val="00C018DE"/>
    <w:rsid w:val="00C054C9"/>
    <w:rsid w:val="00C059D0"/>
    <w:rsid w:val="00C07193"/>
    <w:rsid w:val="00C07551"/>
    <w:rsid w:val="00C10091"/>
    <w:rsid w:val="00C1109F"/>
    <w:rsid w:val="00C12D65"/>
    <w:rsid w:val="00C133AB"/>
    <w:rsid w:val="00C144D6"/>
    <w:rsid w:val="00C16EC8"/>
    <w:rsid w:val="00C17502"/>
    <w:rsid w:val="00C20B56"/>
    <w:rsid w:val="00C22214"/>
    <w:rsid w:val="00C26F72"/>
    <w:rsid w:val="00C27E3B"/>
    <w:rsid w:val="00C309A7"/>
    <w:rsid w:val="00C335AB"/>
    <w:rsid w:val="00C35023"/>
    <w:rsid w:val="00C407AB"/>
    <w:rsid w:val="00C428FD"/>
    <w:rsid w:val="00C46254"/>
    <w:rsid w:val="00C5147E"/>
    <w:rsid w:val="00C52B7B"/>
    <w:rsid w:val="00C530FD"/>
    <w:rsid w:val="00C547CD"/>
    <w:rsid w:val="00C5601C"/>
    <w:rsid w:val="00C5624A"/>
    <w:rsid w:val="00C570FF"/>
    <w:rsid w:val="00C57CEA"/>
    <w:rsid w:val="00C60FEC"/>
    <w:rsid w:val="00C6574E"/>
    <w:rsid w:val="00C707FD"/>
    <w:rsid w:val="00C7529D"/>
    <w:rsid w:val="00C76DEB"/>
    <w:rsid w:val="00C816C6"/>
    <w:rsid w:val="00C83560"/>
    <w:rsid w:val="00C83A9B"/>
    <w:rsid w:val="00C863A7"/>
    <w:rsid w:val="00C90965"/>
    <w:rsid w:val="00C912F4"/>
    <w:rsid w:val="00C9156F"/>
    <w:rsid w:val="00C925FF"/>
    <w:rsid w:val="00C94204"/>
    <w:rsid w:val="00C9581A"/>
    <w:rsid w:val="00C97D29"/>
    <w:rsid w:val="00CA07BE"/>
    <w:rsid w:val="00CA7B42"/>
    <w:rsid w:val="00CB0550"/>
    <w:rsid w:val="00CB1C27"/>
    <w:rsid w:val="00CB3308"/>
    <w:rsid w:val="00CB6813"/>
    <w:rsid w:val="00CC0C35"/>
    <w:rsid w:val="00CC17CD"/>
    <w:rsid w:val="00CC21AA"/>
    <w:rsid w:val="00CC2E50"/>
    <w:rsid w:val="00CD5119"/>
    <w:rsid w:val="00CD5536"/>
    <w:rsid w:val="00CF3208"/>
    <w:rsid w:val="00CF3414"/>
    <w:rsid w:val="00CF6A55"/>
    <w:rsid w:val="00CF6DBE"/>
    <w:rsid w:val="00CF6DC6"/>
    <w:rsid w:val="00CF6DCF"/>
    <w:rsid w:val="00D01DDB"/>
    <w:rsid w:val="00D062B7"/>
    <w:rsid w:val="00D078BE"/>
    <w:rsid w:val="00D12CC9"/>
    <w:rsid w:val="00D13F8A"/>
    <w:rsid w:val="00D16F60"/>
    <w:rsid w:val="00D22981"/>
    <w:rsid w:val="00D25798"/>
    <w:rsid w:val="00D3349B"/>
    <w:rsid w:val="00D40F8B"/>
    <w:rsid w:val="00D41C18"/>
    <w:rsid w:val="00D424A8"/>
    <w:rsid w:val="00D4276C"/>
    <w:rsid w:val="00D4328E"/>
    <w:rsid w:val="00D51806"/>
    <w:rsid w:val="00D6036F"/>
    <w:rsid w:val="00D62877"/>
    <w:rsid w:val="00D63760"/>
    <w:rsid w:val="00D64683"/>
    <w:rsid w:val="00D6703F"/>
    <w:rsid w:val="00D676B3"/>
    <w:rsid w:val="00D710B5"/>
    <w:rsid w:val="00D729F0"/>
    <w:rsid w:val="00D734EB"/>
    <w:rsid w:val="00D750F6"/>
    <w:rsid w:val="00D77FBF"/>
    <w:rsid w:val="00D82713"/>
    <w:rsid w:val="00D85469"/>
    <w:rsid w:val="00D86F00"/>
    <w:rsid w:val="00D87EFB"/>
    <w:rsid w:val="00D918D5"/>
    <w:rsid w:val="00D94C8E"/>
    <w:rsid w:val="00DA19EF"/>
    <w:rsid w:val="00DA6EA4"/>
    <w:rsid w:val="00DB1372"/>
    <w:rsid w:val="00DB192C"/>
    <w:rsid w:val="00DB1CF3"/>
    <w:rsid w:val="00DB5425"/>
    <w:rsid w:val="00DB72A6"/>
    <w:rsid w:val="00DC0DF4"/>
    <w:rsid w:val="00DC6611"/>
    <w:rsid w:val="00DE07B7"/>
    <w:rsid w:val="00DE1344"/>
    <w:rsid w:val="00DE2AA8"/>
    <w:rsid w:val="00DE5E6D"/>
    <w:rsid w:val="00DE602F"/>
    <w:rsid w:val="00DE6565"/>
    <w:rsid w:val="00DE785D"/>
    <w:rsid w:val="00DF292F"/>
    <w:rsid w:val="00DF5BFE"/>
    <w:rsid w:val="00E00705"/>
    <w:rsid w:val="00E01E1E"/>
    <w:rsid w:val="00E0523F"/>
    <w:rsid w:val="00E122BC"/>
    <w:rsid w:val="00E12E54"/>
    <w:rsid w:val="00E142C0"/>
    <w:rsid w:val="00E23E50"/>
    <w:rsid w:val="00E26213"/>
    <w:rsid w:val="00E274DF"/>
    <w:rsid w:val="00E31000"/>
    <w:rsid w:val="00E34D66"/>
    <w:rsid w:val="00E359C1"/>
    <w:rsid w:val="00E362C4"/>
    <w:rsid w:val="00E45409"/>
    <w:rsid w:val="00E4636F"/>
    <w:rsid w:val="00E46CC2"/>
    <w:rsid w:val="00E471A3"/>
    <w:rsid w:val="00E47E0C"/>
    <w:rsid w:val="00E51813"/>
    <w:rsid w:val="00E52C0B"/>
    <w:rsid w:val="00E53D3F"/>
    <w:rsid w:val="00E5579B"/>
    <w:rsid w:val="00E57FF4"/>
    <w:rsid w:val="00E679D1"/>
    <w:rsid w:val="00E67C1C"/>
    <w:rsid w:val="00E67F76"/>
    <w:rsid w:val="00E7636A"/>
    <w:rsid w:val="00E837F2"/>
    <w:rsid w:val="00E84B8B"/>
    <w:rsid w:val="00E91DD5"/>
    <w:rsid w:val="00E91F11"/>
    <w:rsid w:val="00E9706D"/>
    <w:rsid w:val="00E9754C"/>
    <w:rsid w:val="00EA125C"/>
    <w:rsid w:val="00EA3AF4"/>
    <w:rsid w:val="00EA5550"/>
    <w:rsid w:val="00EB4879"/>
    <w:rsid w:val="00EC1D18"/>
    <w:rsid w:val="00ED1425"/>
    <w:rsid w:val="00ED31B3"/>
    <w:rsid w:val="00EE57D7"/>
    <w:rsid w:val="00EF3F0B"/>
    <w:rsid w:val="00EF5583"/>
    <w:rsid w:val="00F0263A"/>
    <w:rsid w:val="00F0289D"/>
    <w:rsid w:val="00F02AEC"/>
    <w:rsid w:val="00F02CE3"/>
    <w:rsid w:val="00F07572"/>
    <w:rsid w:val="00F1207F"/>
    <w:rsid w:val="00F15381"/>
    <w:rsid w:val="00F157FC"/>
    <w:rsid w:val="00F22109"/>
    <w:rsid w:val="00F30AF3"/>
    <w:rsid w:val="00F4239A"/>
    <w:rsid w:val="00F43CD1"/>
    <w:rsid w:val="00F440EB"/>
    <w:rsid w:val="00F45A2F"/>
    <w:rsid w:val="00F45AE0"/>
    <w:rsid w:val="00F45D26"/>
    <w:rsid w:val="00F60CF2"/>
    <w:rsid w:val="00F657B4"/>
    <w:rsid w:val="00F71849"/>
    <w:rsid w:val="00F7649F"/>
    <w:rsid w:val="00F8083B"/>
    <w:rsid w:val="00F865A7"/>
    <w:rsid w:val="00FA0754"/>
    <w:rsid w:val="00FA1BC9"/>
    <w:rsid w:val="00FA242F"/>
    <w:rsid w:val="00FA49C3"/>
    <w:rsid w:val="00FA6E0F"/>
    <w:rsid w:val="00FB236E"/>
    <w:rsid w:val="00FB3C9D"/>
    <w:rsid w:val="00FB3F7B"/>
    <w:rsid w:val="00FB4C2A"/>
    <w:rsid w:val="00FB6E9C"/>
    <w:rsid w:val="00FC12AF"/>
    <w:rsid w:val="00FC2107"/>
    <w:rsid w:val="00FC48FE"/>
    <w:rsid w:val="00FC6F56"/>
    <w:rsid w:val="00FE087C"/>
    <w:rsid w:val="00FE79A0"/>
    <w:rsid w:val="00FF0939"/>
    <w:rsid w:val="03CA55BC"/>
    <w:rsid w:val="05B930B5"/>
    <w:rsid w:val="09197138"/>
    <w:rsid w:val="0AB907E2"/>
    <w:rsid w:val="15F4A9C2"/>
    <w:rsid w:val="1687512E"/>
    <w:rsid w:val="16ADC4B4"/>
    <w:rsid w:val="233C57F1"/>
    <w:rsid w:val="25FCA5C6"/>
    <w:rsid w:val="2662F0AD"/>
    <w:rsid w:val="2A6B77B4"/>
    <w:rsid w:val="2F64553B"/>
    <w:rsid w:val="306F1F19"/>
    <w:rsid w:val="35AE2121"/>
    <w:rsid w:val="3AB51B8B"/>
    <w:rsid w:val="3B6756BE"/>
    <w:rsid w:val="3E78A577"/>
    <w:rsid w:val="460BAEEA"/>
    <w:rsid w:val="4CE38673"/>
    <w:rsid w:val="4E9888BD"/>
    <w:rsid w:val="53018854"/>
    <w:rsid w:val="533DC86F"/>
    <w:rsid w:val="5472F9B7"/>
    <w:rsid w:val="5EBC23B9"/>
    <w:rsid w:val="64BAE7BD"/>
    <w:rsid w:val="6832556A"/>
    <w:rsid w:val="6AD27F35"/>
    <w:rsid w:val="6BDC44AC"/>
    <w:rsid w:val="71401FEC"/>
    <w:rsid w:val="728A0362"/>
    <w:rsid w:val="7341D7DE"/>
    <w:rsid w:val="74BC8E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D4823AE8-C496-42B0-AA99-33A727BEF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2D2FA8"/>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99"/>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Bibliography">
    <w:name w:val="Bibliography"/>
    <w:basedOn w:val="Normal"/>
    <w:next w:val="Normal"/>
    <w:uiPriority w:val="37"/>
    <w:unhideWhenUsed/>
    <w:rsid w:val="009C25CA"/>
    <w:pPr>
      <w:spacing w:before="120" w:line="240" w:lineRule="atLeast"/>
    </w:pPr>
    <w:rPr>
      <w:rFonts w:eastAsia="Cambria" w:cs="Times New Roman"/>
      <w:szCs w:val="22"/>
    </w:rPr>
  </w:style>
  <w:style w:type="paragraph" w:customStyle="1" w:styleId="Bulletlist">
    <w:name w:val="Bullet list"/>
    <w:basedOn w:val="Normal"/>
    <w:link w:val="BulletlistChar"/>
    <w:qFormat/>
    <w:rsid w:val="002D2FA8"/>
    <w:pPr>
      <w:numPr>
        <w:numId w:val="32"/>
      </w:numPr>
      <w:spacing w:after="180" w:line="252" w:lineRule="auto"/>
      <w:ind w:left="426" w:hanging="284"/>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2D2FA8"/>
    <w:rPr>
      <w:rFonts w:ascii="Cambria" w:eastAsia="Times New Roman" w:hAnsi="Cambria" w:cs="Times New Roman"/>
      <w:snapToGrid w:val="0"/>
      <w:kern w:val="2"/>
      <w:sz w:val="23"/>
      <w:szCs w:val="22"/>
    </w:rPr>
  </w:style>
  <w:style w:type="paragraph" w:customStyle="1" w:styleId="Standard">
    <w:name w:val="Standard"/>
    <w:basedOn w:val="Normal"/>
    <w:link w:val="StandardChar"/>
    <w:qFormat/>
    <w:rsid w:val="002D2FA8"/>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2D2FA8"/>
    <w:rPr>
      <w:rFonts w:ascii="Cambria" w:eastAsia="Times New Roman" w:hAnsi="Cambria" w:cs="Times New Roman"/>
      <w:snapToGrid w:val="0"/>
      <w:kern w:val="16"/>
      <w:sz w:val="23"/>
      <w:szCs w:val="24"/>
    </w:rPr>
  </w:style>
  <w:style w:type="paragraph" w:customStyle="1" w:styleId="Tabletext0">
    <w:name w:val="Table text"/>
    <w:basedOn w:val="Standard"/>
    <w:link w:val="TabletextChar"/>
    <w:qFormat/>
    <w:rsid w:val="002D2FA8"/>
    <w:pPr>
      <w:spacing w:before="20" w:after="20"/>
    </w:pPr>
  </w:style>
  <w:style w:type="character" w:customStyle="1" w:styleId="TabletextChar">
    <w:name w:val="Table text Char"/>
    <w:basedOn w:val="StandardChar"/>
    <w:link w:val="Tabletext0"/>
    <w:rsid w:val="002D2FA8"/>
    <w:rPr>
      <w:rFonts w:ascii="Cambria" w:eastAsia="Times New Roman" w:hAnsi="Cambria" w:cs="Times New Roman"/>
      <w:snapToGrid w:val="0"/>
      <w:kern w:val="16"/>
      <w:sz w:val="23"/>
      <w:szCs w:val="24"/>
    </w:rPr>
  </w:style>
  <w:style w:type="paragraph" w:customStyle="1" w:styleId="Default">
    <w:name w:val="Default"/>
    <w:rsid w:val="00B9180D"/>
    <w:pPr>
      <w:autoSpaceDE w:val="0"/>
      <w:autoSpaceDN w:val="0"/>
      <w:adjustRightInd w:val="0"/>
      <w:spacing w:after="0" w:line="240" w:lineRule="auto"/>
    </w:pPr>
    <w:rPr>
      <w:rFonts w:ascii="Cambria" w:hAnsi="Cambria" w:cs="Cambria"/>
      <w:color w:val="000000"/>
      <w:sz w:val="24"/>
      <w:szCs w:val="24"/>
    </w:rPr>
  </w:style>
  <w:style w:type="character" w:styleId="Mention">
    <w:name w:val="Mention"/>
    <w:basedOn w:val="DefaultParagraphFont"/>
    <w:uiPriority w:val="99"/>
    <w:unhideWhenUsed/>
    <w:rsid w:val="003D324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643044">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tga.gov.au/products/medicines/find-information-about-medicine/prescribing-medicines-pregnancy-database" TargetMode="External"/><Relationship Id="rId26" Type="http://schemas.openxmlformats.org/officeDocument/2006/relationships/image" Target="media/image6.png"/><Relationship Id="rId39" Type="http://schemas.openxmlformats.org/officeDocument/2006/relationships/hyperlink" Target="https://www.tga.gov.au/products/australian-register-therapeutic-goods-artg/consumer-medicines-information-cmi" TargetMode="External"/><Relationship Id="rId3" Type="http://schemas.openxmlformats.org/officeDocument/2006/relationships/customXml" Target="../customXml/item3.xm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hyperlink" Target="https://www.tga.gov.au/committee/advisory-committee-medicines-acm" TargetMode="External"/><Relationship Id="rId42" Type="http://schemas.openxmlformats.org/officeDocument/2006/relationships/hyperlink" Target="https://www.tga.gov.au"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tga.gov.au/black-triangle-scheme"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tga.gov.au/products/australian-register-therapeutic-goods-artg/product-information-one"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ga.copyright@tga.gov.au" TargetMode="External"/><Relationship Id="rId20" Type="http://schemas.openxmlformats.org/officeDocument/2006/relationships/hyperlink" Target="https://www.tga.gov.au/comparable-overseas-regulators-cors-timeframes-and-milestones" TargetMode="External"/><Relationship Id="rId29" Type="http://schemas.openxmlformats.org/officeDocument/2006/relationships/image" Target="media/image9.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www.tga.gov.au/products/australian-register-therapeutic-goods-artg/product-information-one" TargetMode="External"/><Relationship Id="rId40" Type="http://schemas.openxmlformats.org/officeDocument/2006/relationships/hyperlink" Target="https://www.tga.gov.au/picmi-search-facility"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tga.gov.au/australian-public-assessment-report-auspar-guidance" TargetMode="External"/><Relationship Id="rId23" Type="http://schemas.openxmlformats.org/officeDocument/2006/relationships/hyperlink" Target="https://www.ema.europa.eu/en/documents/scientific-guideline/ich-e-1-population-exposure-extent-population-exposure-assess-clinical-safety-step-5_en.pdf" TargetMode="External"/><Relationship Id="rId28" Type="http://schemas.openxmlformats.org/officeDocument/2006/relationships/image" Target="media/image8.png"/><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tga.gov.au/obstetric-drug-information-services" TargetMode="External"/><Relationship Id="rId31" Type="http://schemas.openxmlformats.org/officeDocument/2006/relationships/image" Target="media/image11.pn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ga.gov.au/" TargetMode="External"/><Relationship Id="rId22" Type="http://schemas.openxmlformats.org/officeDocument/2006/relationships/hyperlink" Target="https://www.ema.europa.eu/en/documents/scientific-guideline/guideline-clinical-investigation-medicinal-products-treatment-migraine_en.pdf"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3.xml"/><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595EB530F664D8020BBE32E970189" ma:contentTypeVersion="18" ma:contentTypeDescription="Create a new document." ma:contentTypeScope="" ma:versionID="060bef57b35c5b37ee4a33612c4cda03">
  <xsd:schema xmlns:xsd="http://www.w3.org/2001/XMLSchema" xmlns:xs="http://www.w3.org/2001/XMLSchema" xmlns:p="http://schemas.microsoft.com/office/2006/metadata/properties" xmlns:ns2="3c1869d4-4699-4bfc-b0f5-52c88f69a487" xmlns:ns3="875f30b8-aca8-44f4-a54f-f1a1cac6d079" targetNamespace="http://schemas.microsoft.com/office/2006/metadata/properties" ma:root="true" ma:fieldsID="d24a7153049ec1bced82192e1222e81e" ns2:_="" ns3:_="">
    <xsd:import namespace="3c1869d4-4699-4bfc-b0f5-52c88f69a487"/>
    <xsd:import namespace="875f30b8-aca8-44f4-a54f-f1a1cac6d0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869d4-4699-4bfc-b0f5-52c88f69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Time" ma:internalName="Date">
      <xsd:simpleType>
        <xsd:restriction base="dms:DateTim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5f30b8-aca8-44f4-a54f-f1a1cac6d07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322f323-468d-4b9b-b92b-1dec6f6c66f7}" ma:internalName="TaxCatchAll" ma:showField="CatchAllData" ma:web="875f30b8-aca8-44f4-a54f-f1a1cac6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Cut22</b:Tag>
    <b:SourceType>InternetSite</b:SourceType>
    <b:Guid>{14103A96-75BE-404F-BF94-AB3D90211E8F}</b:Guid>
    <b:Author>
      <b:Author>
        <b:NameList>
          <b:Person>
            <b:Last>Cutrer</b:Last>
            <b:First>F</b:First>
          </b:Person>
        </b:NameList>
      </b:Author>
    </b:Author>
    <b:Title>Pathophysiology, clinical manifestations, and diagnosis of migraine in adults</b:Title>
    <b:InternetSiteTitle>UpToDate</b:InternetSiteTitle>
    <b:Year>2022</b:Year>
    <b:URL>https://www.uptodate.com/contents/pathophysiology-clinical-manifestations-and-diagnosis-of-migraine-in-adults?search=migraine&amp;source=search_result&amp;selectedTitle=2~150&amp;usage_type=default&amp;display_rank=2</b:URL>
    <b:YearAccessed>2022</b:YearAccessed>
    <b:MonthAccessed>December</b:MonthAccessed>
    <b:DayAccessed>5</b:DayAccessed>
    <b:RefOrder>1</b:RefOrder>
  </b:Source>
  <b:Source>
    <b:Tag>Dod18</b:Tag>
    <b:SourceType>JournalArticle</b:SourceType>
    <b:Guid>{B6141CFC-6444-4F12-AA16-521DDBECB3B3}</b:Guid>
    <b:Title>Migraine</b:Title>
    <b:Year>2018</b:Year>
    <b:Author>
      <b:Author>
        <b:NameList>
          <b:Person>
            <b:Last>Dodick</b:Last>
            <b:First>D</b:First>
          </b:Person>
        </b:NameList>
      </b:Author>
    </b:Author>
    <b:JournalName>Lancet</b:JournalName>
    <b:Pages>1315-30</b:Pages>
    <b:Volume>391</b:Volume>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1C3CFD-38D9-4CC9-A5B7-9F873769B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869d4-4699-4bfc-b0f5-52c88f69a487"/>
    <ds:schemaRef ds:uri="875f30b8-aca8-44f4-a54f-f1a1cac6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B95542-B5CF-42F9-BBA9-7B458A18DBF9}">
  <ds:schemaRefs>
    <ds:schemaRef ds:uri="http://schemas.openxmlformats.org/officeDocument/2006/bibliography"/>
  </ds:schemaRefs>
</ds:datastoreItem>
</file>

<file path=customXml/itemProps3.xml><?xml version="1.0" encoding="utf-8"?>
<ds:datastoreItem xmlns:ds="http://schemas.openxmlformats.org/officeDocument/2006/customXml" ds:itemID="{7FC6A1A6-6931-44D2-862B-85C45C3329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12258</Words>
  <Characters>69875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Nurtec ODT</dc:title>
  <dc:subject>Prescription medicines</dc:subject>
  <dc:creator>Therapeutic Goods Administration</dc:creator>
  <cp:keywords/>
  <dc:description/>
  <cp:lastModifiedBy>LACK, Janet</cp:lastModifiedBy>
  <cp:revision>3</cp:revision>
  <dcterms:created xsi:type="dcterms:W3CDTF">2024-03-04T00:49:00Z</dcterms:created>
  <dcterms:modified xsi:type="dcterms:W3CDTF">2024-03-04T00:53:00Z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2024-02-01T12:25:44Z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85e04a0c-e9fe-4556-a341-8fa5a6882cc2</vt:lpwstr>
  </property>
  <property fmtid="{D5CDD505-2E9C-101B-9397-08002B2CF9AE}" pid="8" name="MSIP_Label_4791b42f-c435-42ca-9531-75a3f42aae3d_ContentBits">
    <vt:lpwstr>0</vt:lpwstr>
  </property>
</Properties>
</file>