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020F3C7F" w:rsidR="00F02AEC" w:rsidRPr="00215D48" w:rsidRDefault="00346EC2" w:rsidP="007452E8">
            <w:pPr>
              <w:pStyle w:val="Title"/>
            </w:pPr>
            <w:bookmarkStart w:id="0" w:name="_Hlk162024055"/>
            <w:bookmarkEnd w:id="0"/>
            <w:r w:rsidRPr="00346EC2">
              <w:t xml:space="preserve">Australian Public Assessment Report for </w:t>
            </w:r>
            <w:r w:rsidR="00DF2DAE">
              <w:t>Abrysvo</w:t>
            </w:r>
          </w:p>
        </w:tc>
      </w:tr>
      <w:tr w:rsidR="00F02AEC" w:rsidRPr="00215D48" w14:paraId="318A40A3" w14:textId="77777777" w:rsidTr="00346EC2">
        <w:trPr>
          <w:trHeight w:val="995"/>
        </w:trPr>
        <w:tc>
          <w:tcPr>
            <w:tcW w:w="8720" w:type="dxa"/>
          </w:tcPr>
          <w:p w14:paraId="1AA7C701" w14:textId="3A1429B0" w:rsidR="00F02AEC" w:rsidRPr="00215D48" w:rsidRDefault="00346EC2" w:rsidP="007452E8">
            <w:pPr>
              <w:pStyle w:val="Subtitle"/>
              <w:ind w:left="0"/>
            </w:pPr>
            <w:r w:rsidRPr="00346EC2">
              <w:t xml:space="preserve">Active ingredient/s: </w:t>
            </w:r>
            <w:r w:rsidR="00CB158F" w:rsidRPr="00CB158F">
              <w:t>RSVpreF</w:t>
            </w:r>
          </w:p>
        </w:tc>
      </w:tr>
      <w:tr w:rsidR="00346EC2" w:rsidRPr="00215D48" w14:paraId="362CCAE4" w14:textId="77777777" w:rsidTr="007452E8">
        <w:trPr>
          <w:trHeight w:val="1916"/>
        </w:trPr>
        <w:tc>
          <w:tcPr>
            <w:tcW w:w="8720" w:type="dxa"/>
          </w:tcPr>
          <w:p w14:paraId="709C45C0" w14:textId="137D55CB" w:rsidR="00346EC2" w:rsidRPr="00215D48" w:rsidRDefault="00346EC2" w:rsidP="007452E8">
            <w:pPr>
              <w:pStyle w:val="Subtitle"/>
              <w:ind w:left="0"/>
            </w:pPr>
            <w:r w:rsidRPr="00346EC2">
              <w:t xml:space="preserve">Sponsor: </w:t>
            </w:r>
            <w:r w:rsidR="009F1A63" w:rsidRPr="009F1A63">
              <w:t>Pfizer Australia</w:t>
            </w:r>
            <w:r w:rsidR="00681BD9">
              <w:t xml:space="preserve"> Pty Ltd</w:t>
            </w:r>
          </w:p>
        </w:tc>
      </w:tr>
      <w:tr w:rsidR="00F02AEC" w:rsidRPr="00215D48" w14:paraId="37F2AA1F" w14:textId="77777777" w:rsidTr="007452E8">
        <w:tc>
          <w:tcPr>
            <w:tcW w:w="8720" w:type="dxa"/>
          </w:tcPr>
          <w:p w14:paraId="1FDE8DCD" w14:textId="4F1CD683" w:rsidR="00F02AEC" w:rsidRPr="00215D48" w:rsidRDefault="00A4308A" w:rsidP="007452E8">
            <w:pPr>
              <w:pStyle w:val="Date"/>
            </w:pPr>
            <w:r>
              <w:t>April</w:t>
            </w:r>
            <w:r w:rsidR="00F02AEC" w:rsidRPr="00215D48">
              <w:t xml:space="preserve"> </w:t>
            </w:r>
            <w:r w:rsidR="006E65D7">
              <w:t>2024</w:t>
            </w:r>
          </w:p>
        </w:tc>
      </w:tr>
    </w:tbl>
    <w:p w14:paraId="73752706" w14:textId="77777777" w:rsidR="00F02AEC" w:rsidRPr="00215D48" w:rsidRDefault="00F02AEC" w:rsidP="007452E8">
      <w:pPr>
        <w:pStyle w:val="ListBullet"/>
        <w:numPr>
          <w:ilvl w:val="0"/>
          <w:numId w:val="0"/>
        </w:numPr>
        <w:sectPr w:rsidR="00F02AEC" w:rsidRPr="00215D48" w:rsidSect="00BC394D">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681BD9">
      <w:pPr>
        <w:pStyle w:val="LegalSubheading"/>
        <w:spacing w:before="2640"/>
      </w:pPr>
      <w:r w:rsidRPr="00BA0DFC">
        <w:t>Copyright</w:t>
      </w:r>
    </w:p>
    <w:p w14:paraId="170A8A5D" w14:textId="005FC09D" w:rsidR="00175CD8" w:rsidRPr="00346EC2" w:rsidRDefault="00F02AEC" w:rsidP="00346EC2">
      <w:pPr>
        <w:pStyle w:val="LegalCopy"/>
        <w:rPr>
          <w:rFonts w:cs="Arial"/>
        </w:rPr>
      </w:pPr>
      <w:r w:rsidRPr="00215D48">
        <w:rPr>
          <w:rFonts w:cs="Arial"/>
        </w:rPr>
        <w:t>© Commonwealth of Australia 20</w:t>
      </w:r>
      <w:r>
        <w:rPr>
          <w:rFonts w:cs="Arial"/>
        </w:rPr>
        <w:t>2</w:t>
      </w:r>
      <w:r w:rsidR="00C90965">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bCs/>
          <w:color w:val="auto"/>
          <w:sz w:val="22"/>
          <w:szCs w:val="22"/>
        </w:rPr>
        <w:id w:val="21514769"/>
        <w:docPartObj>
          <w:docPartGallery w:val="Table of Contents"/>
          <w:docPartUnique/>
        </w:docPartObj>
      </w:sdtPr>
      <w:sdtEndPr>
        <w:rPr>
          <w:rFonts w:ascii="Arial" w:hAnsi="Arial" w:cs="Times New Roman"/>
          <w:b/>
          <w:color w:val="001871"/>
          <w:sz w:val="38"/>
        </w:rPr>
      </w:sdtEndPr>
      <w:sdtContent>
        <w:p w14:paraId="0A6ADA2B" w14:textId="77777777" w:rsidR="00F02AEC" w:rsidRPr="00215D48" w:rsidRDefault="00F02AEC" w:rsidP="007452E8">
          <w:pPr>
            <w:pStyle w:val="NonTOCheading2"/>
          </w:pPr>
          <w:r w:rsidRPr="00215D48">
            <w:t>Contents</w:t>
          </w:r>
        </w:p>
        <w:p w14:paraId="6C061439" w14:textId="27AEE541" w:rsidR="007020B9"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65552513" w:history="1">
            <w:r w:rsidR="007020B9" w:rsidRPr="0048669D">
              <w:rPr>
                <w:rStyle w:val="Hyperlink"/>
                <w:noProof/>
              </w:rPr>
              <w:t>List of abbreviations</w:t>
            </w:r>
            <w:r w:rsidR="007020B9">
              <w:rPr>
                <w:noProof/>
                <w:webHidden/>
              </w:rPr>
              <w:tab/>
            </w:r>
            <w:r w:rsidR="007020B9">
              <w:rPr>
                <w:noProof/>
                <w:webHidden/>
              </w:rPr>
              <w:fldChar w:fldCharType="begin"/>
            </w:r>
            <w:r w:rsidR="007020B9">
              <w:rPr>
                <w:noProof/>
                <w:webHidden/>
              </w:rPr>
              <w:instrText xml:space="preserve"> PAGEREF _Toc165552513 \h </w:instrText>
            </w:r>
            <w:r w:rsidR="007020B9">
              <w:rPr>
                <w:noProof/>
                <w:webHidden/>
              </w:rPr>
            </w:r>
            <w:r w:rsidR="007020B9">
              <w:rPr>
                <w:noProof/>
                <w:webHidden/>
              </w:rPr>
              <w:fldChar w:fldCharType="separate"/>
            </w:r>
            <w:r w:rsidR="007020B9">
              <w:rPr>
                <w:noProof/>
                <w:webHidden/>
              </w:rPr>
              <w:t>5</w:t>
            </w:r>
            <w:r w:rsidR="007020B9">
              <w:rPr>
                <w:noProof/>
                <w:webHidden/>
              </w:rPr>
              <w:fldChar w:fldCharType="end"/>
            </w:r>
          </w:hyperlink>
        </w:p>
        <w:p w14:paraId="4042B61C" w14:textId="22E4552A" w:rsidR="007020B9" w:rsidRDefault="00865BC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5552514" w:history="1">
            <w:r w:rsidR="007020B9" w:rsidRPr="0048669D">
              <w:rPr>
                <w:rStyle w:val="Hyperlink"/>
                <w:noProof/>
              </w:rPr>
              <w:t>Product submission</w:t>
            </w:r>
            <w:r w:rsidR="007020B9">
              <w:rPr>
                <w:noProof/>
                <w:webHidden/>
              </w:rPr>
              <w:tab/>
            </w:r>
            <w:r w:rsidR="007020B9">
              <w:rPr>
                <w:noProof/>
                <w:webHidden/>
              </w:rPr>
              <w:fldChar w:fldCharType="begin"/>
            </w:r>
            <w:r w:rsidR="007020B9">
              <w:rPr>
                <w:noProof/>
                <w:webHidden/>
              </w:rPr>
              <w:instrText xml:space="preserve"> PAGEREF _Toc165552514 \h </w:instrText>
            </w:r>
            <w:r w:rsidR="007020B9">
              <w:rPr>
                <w:noProof/>
                <w:webHidden/>
              </w:rPr>
            </w:r>
            <w:r w:rsidR="007020B9">
              <w:rPr>
                <w:noProof/>
                <w:webHidden/>
              </w:rPr>
              <w:fldChar w:fldCharType="separate"/>
            </w:r>
            <w:r w:rsidR="007020B9">
              <w:rPr>
                <w:noProof/>
                <w:webHidden/>
              </w:rPr>
              <w:t>8</w:t>
            </w:r>
            <w:r w:rsidR="007020B9">
              <w:rPr>
                <w:noProof/>
                <w:webHidden/>
              </w:rPr>
              <w:fldChar w:fldCharType="end"/>
            </w:r>
          </w:hyperlink>
        </w:p>
        <w:p w14:paraId="5A511D1F" w14:textId="71436E6F" w:rsidR="007020B9" w:rsidRDefault="00865BC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552515" w:history="1">
            <w:r w:rsidR="007020B9" w:rsidRPr="0048669D">
              <w:rPr>
                <w:rStyle w:val="Hyperlink"/>
                <w:noProof/>
                <w:lang w:eastAsia="en-AU"/>
              </w:rPr>
              <w:t>Submission details</w:t>
            </w:r>
            <w:r w:rsidR="007020B9">
              <w:rPr>
                <w:noProof/>
                <w:webHidden/>
              </w:rPr>
              <w:tab/>
            </w:r>
            <w:r w:rsidR="007020B9">
              <w:rPr>
                <w:noProof/>
                <w:webHidden/>
              </w:rPr>
              <w:fldChar w:fldCharType="begin"/>
            </w:r>
            <w:r w:rsidR="007020B9">
              <w:rPr>
                <w:noProof/>
                <w:webHidden/>
              </w:rPr>
              <w:instrText xml:space="preserve"> PAGEREF _Toc165552515 \h </w:instrText>
            </w:r>
            <w:r w:rsidR="007020B9">
              <w:rPr>
                <w:noProof/>
                <w:webHidden/>
              </w:rPr>
            </w:r>
            <w:r w:rsidR="007020B9">
              <w:rPr>
                <w:noProof/>
                <w:webHidden/>
              </w:rPr>
              <w:fldChar w:fldCharType="separate"/>
            </w:r>
            <w:r w:rsidR="007020B9">
              <w:rPr>
                <w:noProof/>
                <w:webHidden/>
              </w:rPr>
              <w:t>8</w:t>
            </w:r>
            <w:r w:rsidR="007020B9">
              <w:rPr>
                <w:noProof/>
                <w:webHidden/>
              </w:rPr>
              <w:fldChar w:fldCharType="end"/>
            </w:r>
          </w:hyperlink>
        </w:p>
        <w:p w14:paraId="74D71D01" w14:textId="5BBBD381" w:rsidR="007020B9" w:rsidRDefault="00865BC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552516" w:history="1">
            <w:r w:rsidR="007020B9" w:rsidRPr="0048669D">
              <w:rPr>
                <w:rStyle w:val="Hyperlink"/>
                <w:noProof/>
              </w:rPr>
              <w:t>Product background</w:t>
            </w:r>
            <w:r w:rsidR="007020B9">
              <w:rPr>
                <w:noProof/>
                <w:webHidden/>
              </w:rPr>
              <w:tab/>
            </w:r>
            <w:r w:rsidR="007020B9">
              <w:rPr>
                <w:noProof/>
                <w:webHidden/>
              </w:rPr>
              <w:fldChar w:fldCharType="begin"/>
            </w:r>
            <w:r w:rsidR="007020B9">
              <w:rPr>
                <w:noProof/>
                <w:webHidden/>
              </w:rPr>
              <w:instrText xml:space="preserve"> PAGEREF _Toc165552516 \h </w:instrText>
            </w:r>
            <w:r w:rsidR="007020B9">
              <w:rPr>
                <w:noProof/>
                <w:webHidden/>
              </w:rPr>
            </w:r>
            <w:r w:rsidR="007020B9">
              <w:rPr>
                <w:noProof/>
                <w:webHidden/>
              </w:rPr>
              <w:fldChar w:fldCharType="separate"/>
            </w:r>
            <w:r w:rsidR="007020B9">
              <w:rPr>
                <w:noProof/>
                <w:webHidden/>
              </w:rPr>
              <w:t>10</w:t>
            </w:r>
            <w:r w:rsidR="007020B9">
              <w:rPr>
                <w:noProof/>
                <w:webHidden/>
              </w:rPr>
              <w:fldChar w:fldCharType="end"/>
            </w:r>
          </w:hyperlink>
        </w:p>
        <w:p w14:paraId="7B809B08" w14:textId="07BEEE5E" w:rsidR="007020B9" w:rsidRDefault="00865BC5">
          <w:pPr>
            <w:pStyle w:val="TOC3"/>
            <w:rPr>
              <w:rFonts w:asciiTheme="minorHAnsi" w:eastAsiaTheme="minorEastAsia" w:hAnsiTheme="minorHAnsi" w:cstheme="minorBidi"/>
              <w:b w:val="0"/>
              <w:noProof/>
              <w:color w:val="auto"/>
              <w:kern w:val="2"/>
              <w:szCs w:val="22"/>
              <w:lang w:eastAsia="en-AU"/>
              <w14:ligatures w14:val="standardContextual"/>
            </w:rPr>
          </w:pPr>
          <w:hyperlink w:anchor="_Toc165552517" w:history="1">
            <w:r w:rsidR="007020B9" w:rsidRPr="0048669D">
              <w:rPr>
                <w:rStyle w:val="Hyperlink"/>
                <w:noProof/>
              </w:rPr>
              <w:t>The disease/condition</w:t>
            </w:r>
            <w:r w:rsidR="007020B9">
              <w:rPr>
                <w:noProof/>
                <w:webHidden/>
              </w:rPr>
              <w:tab/>
            </w:r>
            <w:r w:rsidR="007020B9">
              <w:rPr>
                <w:noProof/>
                <w:webHidden/>
              </w:rPr>
              <w:fldChar w:fldCharType="begin"/>
            </w:r>
            <w:r w:rsidR="007020B9">
              <w:rPr>
                <w:noProof/>
                <w:webHidden/>
              </w:rPr>
              <w:instrText xml:space="preserve"> PAGEREF _Toc165552517 \h </w:instrText>
            </w:r>
            <w:r w:rsidR="007020B9">
              <w:rPr>
                <w:noProof/>
                <w:webHidden/>
              </w:rPr>
            </w:r>
            <w:r w:rsidR="007020B9">
              <w:rPr>
                <w:noProof/>
                <w:webHidden/>
              </w:rPr>
              <w:fldChar w:fldCharType="separate"/>
            </w:r>
            <w:r w:rsidR="007020B9">
              <w:rPr>
                <w:noProof/>
                <w:webHidden/>
              </w:rPr>
              <w:t>10</w:t>
            </w:r>
            <w:r w:rsidR="007020B9">
              <w:rPr>
                <w:noProof/>
                <w:webHidden/>
              </w:rPr>
              <w:fldChar w:fldCharType="end"/>
            </w:r>
          </w:hyperlink>
        </w:p>
        <w:p w14:paraId="0FC882DC" w14:textId="4C173C3D" w:rsidR="007020B9" w:rsidRDefault="00865BC5">
          <w:pPr>
            <w:pStyle w:val="TOC3"/>
            <w:rPr>
              <w:rFonts w:asciiTheme="minorHAnsi" w:eastAsiaTheme="minorEastAsia" w:hAnsiTheme="minorHAnsi" w:cstheme="minorBidi"/>
              <w:b w:val="0"/>
              <w:noProof/>
              <w:color w:val="auto"/>
              <w:kern w:val="2"/>
              <w:szCs w:val="22"/>
              <w:lang w:eastAsia="en-AU"/>
              <w14:ligatures w14:val="standardContextual"/>
            </w:rPr>
          </w:pPr>
          <w:hyperlink w:anchor="_Toc165552518" w:history="1">
            <w:r w:rsidR="007020B9" w:rsidRPr="0048669D">
              <w:rPr>
                <w:rStyle w:val="Hyperlink"/>
                <w:noProof/>
              </w:rPr>
              <w:t>Current treatment options</w:t>
            </w:r>
            <w:r w:rsidR="007020B9">
              <w:rPr>
                <w:noProof/>
                <w:webHidden/>
              </w:rPr>
              <w:tab/>
            </w:r>
            <w:r w:rsidR="007020B9">
              <w:rPr>
                <w:noProof/>
                <w:webHidden/>
              </w:rPr>
              <w:fldChar w:fldCharType="begin"/>
            </w:r>
            <w:r w:rsidR="007020B9">
              <w:rPr>
                <w:noProof/>
                <w:webHidden/>
              </w:rPr>
              <w:instrText xml:space="preserve"> PAGEREF _Toc165552518 \h </w:instrText>
            </w:r>
            <w:r w:rsidR="007020B9">
              <w:rPr>
                <w:noProof/>
                <w:webHidden/>
              </w:rPr>
            </w:r>
            <w:r w:rsidR="007020B9">
              <w:rPr>
                <w:noProof/>
                <w:webHidden/>
              </w:rPr>
              <w:fldChar w:fldCharType="separate"/>
            </w:r>
            <w:r w:rsidR="007020B9">
              <w:rPr>
                <w:noProof/>
                <w:webHidden/>
              </w:rPr>
              <w:t>11</w:t>
            </w:r>
            <w:r w:rsidR="007020B9">
              <w:rPr>
                <w:noProof/>
                <w:webHidden/>
              </w:rPr>
              <w:fldChar w:fldCharType="end"/>
            </w:r>
          </w:hyperlink>
        </w:p>
        <w:p w14:paraId="1A50FCA1" w14:textId="7624477D" w:rsidR="007020B9" w:rsidRDefault="00865BC5">
          <w:pPr>
            <w:pStyle w:val="TOC3"/>
            <w:rPr>
              <w:rFonts w:asciiTheme="minorHAnsi" w:eastAsiaTheme="minorEastAsia" w:hAnsiTheme="minorHAnsi" w:cstheme="minorBidi"/>
              <w:b w:val="0"/>
              <w:noProof/>
              <w:color w:val="auto"/>
              <w:kern w:val="2"/>
              <w:szCs w:val="22"/>
              <w:lang w:eastAsia="en-AU"/>
              <w14:ligatures w14:val="standardContextual"/>
            </w:rPr>
          </w:pPr>
          <w:hyperlink w:anchor="_Toc165552519" w:history="1">
            <w:r w:rsidR="007020B9" w:rsidRPr="0048669D">
              <w:rPr>
                <w:rStyle w:val="Hyperlink"/>
                <w:noProof/>
              </w:rPr>
              <w:t>Clinical rationale</w:t>
            </w:r>
            <w:r w:rsidR="007020B9">
              <w:rPr>
                <w:noProof/>
                <w:webHidden/>
              </w:rPr>
              <w:tab/>
            </w:r>
            <w:r w:rsidR="007020B9">
              <w:rPr>
                <w:noProof/>
                <w:webHidden/>
              </w:rPr>
              <w:fldChar w:fldCharType="begin"/>
            </w:r>
            <w:r w:rsidR="007020B9">
              <w:rPr>
                <w:noProof/>
                <w:webHidden/>
              </w:rPr>
              <w:instrText xml:space="preserve"> PAGEREF _Toc165552519 \h </w:instrText>
            </w:r>
            <w:r w:rsidR="007020B9">
              <w:rPr>
                <w:noProof/>
                <w:webHidden/>
              </w:rPr>
            </w:r>
            <w:r w:rsidR="007020B9">
              <w:rPr>
                <w:noProof/>
                <w:webHidden/>
              </w:rPr>
              <w:fldChar w:fldCharType="separate"/>
            </w:r>
            <w:r w:rsidR="007020B9">
              <w:rPr>
                <w:noProof/>
                <w:webHidden/>
              </w:rPr>
              <w:t>12</w:t>
            </w:r>
            <w:r w:rsidR="007020B9">
              <w:rPr>
                <w:noProof/>
                <w:webHidden/>
              </w:rPr>
              <w:fldChar w:fldCharType="end"/>
            </w:r>
          </w:hyperlink>
        </w:p>
        <w:p w14:paraId="2FF863A3" w14:textId="398D3D3A" w:rsidR="007020B9" w:rsidRDefault="00865BC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552520" w:history="1">
            <w:r w:rsidR="007020B9" w:rsidRPr="0048669D">
              <w:rPr>
                <w:rStyle w:val="Hyperlink"/>
                <w:noProof/>
              </w:rPr>
              <w:t>Regulatory status</w:t>
            </w:r>
            <w:r w:rsidR="007020B9">
              <w:rPr>
                <w:noProof/>
                <w:webHidden/>
              </w:rPr>
              <w:tab/>
            </w:r>
            <w:r w:rsidR="007020B9">
              <w:rPr>
                <w:noProof/>
                <w:webHidden/>
              </w:rPr>
              <w:fldChar w:fldCharType="begin"/>
            </w:r>
            <w:r w:rsidR="007020B9">
              <w:rPr>
                <w:noProof/>
                <w:webHidden/>
              </w:rPr>
              <w:instrText xml:space="preserve"> PAGEREF _Toc165552520 \h </w:instrText>
            </w:r>
            <w:r w:rsidR="007020B9">
              <w:rPr>
                <w:noProof/>
                <w:webHidden/>
              </w:rPr>
            </w:r>
            <w:r w:rsidR="007020B9">
              <w:rPr>
                <w:noProof/>
                <w:webHidden/>
              </w:rPr>
              <w:fldChar w:fldCharType="separate"/>
            </w:r>
            <w:r w:rsidR="007020B9">
              <w:rPr>
                <w:noProof/>
                <w:webHidden/>
              </w:rPr>
              <w:t>13</w:t>
            </w:r>
            <w:r w:rsidR="007020B9">
              <w:rPr>
                <w:noProof/>
                <w:webHidden/>
              </w:rPr>
              <w:fldChar w:fldCharType="end"/>
            </w:r>
          </w:hyperlink>
        </w:p>
        <w:p w14:paraId="67133210" w14:textId="62FF5D27" w:rsidR="007020B9" w:rsidRDefault="00865BC5">
          <w:pPr>
            <w:pStyle w:val="TOC3"/>
            <w:rPr>
              <w:rFonts w:asciiTheme="minorHAnsi" w:eastAsiaTheme="minorEastAsia" w:hAnsiTheme="minorHAnsi" w:cstheme="minorBidi"/>
              <w:b w:val="0"/>
              <w:noProof/>
              <w:color w:val="auto"/>
              <w:kern w:val="2"/>
              <w:szCs w:val="22"/>
              <w:lang w:eastAsia="en-AU"/>
              <w14:ligatures w14:val="standardContextual"/>
            </w:rPr>
          </w:pPr>
          <w:hyperlink w:anchor="_Toc165552521" w:history="1">
            <w:r w:rsidR="007020B9" w:rsidRPr="0048669D">
              <w:rPr>
                <w:rStyle w:val="Hyperlink"/>
                <w:noProof/>
              </w:rPr>
              <w:t>Australian regulatory status</w:t>
            </w:r>
            <w:r w:rsidR="007020B9">
              <w:rPr>
                <w:noProof/>
                <w:webHidden/>
              </w:rPr>
              <w:tab/>
            </w:r>
            <w:r w:rsidR="007020B9">
              <w:rPr>
                <w:noProof/>
                <w:webHidden/>
              </w:rPr>
              <w:fldChar w:fldCharType="begin"/>
            </w:r>
            <w:r w:rsidR="007020B9">
              <w:rPr>
                <w:noProof/>
                <w:webHidden/>
              </w:rPr>
              <w:instrText xml:space="preserve"> PAGEREF _Toc165552521 \h </w:instrText>
            </w:r>
            <w:r w:rsidR="007020B9">
              <w:rPr>
                <w:noProof/>
                <w:webHidden/>
              </w:rPr>
            </w:r>
            <w:r w:rsidR="007020B9">
              <w:rPr>
                <w:noProof/>
                <w:webHidden/>
              </w:rPr>
              <w:fldChar w:fldCharType="separate"/>
            </w:r>
            <w:r w:rsidR="007020B9">
              <w:rPr>
                <w:noProof/>
                <w:webHidden/>
              </w:rPr>
              <w:t>13</w:t>
            </w:r>
            <w:r w:rsidR="007020B9">
              <w:rPr>
                <w:noProof/>
                <w:webHidden/>
              </w:rPr>
              <w:fldChar w:fldCharType="end"/>
            </w:r>
          </w:hyperlink>
        </w:p>
        <w:p w14:paraId="66748573" w14:textId="664DBD33" w:rsidR="007020B9" w:rsidRDefault="00865BC5">
          <w:pPr>
            <w:pStyle w:val="TOC3"/>
            <w:rPr>
              <w:rFonts w:asciiTheme="minorHAnsi" w:eastAsiaTheme="minorEastAsia" w:hAnsiTheme="minorHAnsi" w:cstheme="minorBidi"/>
              <w:b w:val="0"/>
              <w:noProof/>
              <w:color w:val="auto"/>
              <w:kern w:val="2"/>
              <w:szCs w:val="22"/>
              <w:lang w:eastAsia="en-AU"/>
              <w14:ligatures w14:val="standardContextual"/>
            </w:rPr>
          </w:pPr>
          <w:hyperlink w:anchor="_Toc165552522" w:history="1">
            <w:r w:rsidR="007020B9" w:rsidRPr="0048669D">
              <w:rPr>
                <w:rStyle w:val="Hyperlink"/>
                <w:noProof/>
              </w:rPr>
              <w:t>Foreign regulatory status</w:t>
            </w:r>
            <w:r w:rsidR="007020B9">
              <w:rPr>
                <w:noProof/>
                <w:webHidden/>
              </w:rPr>
              <w:tab/>
            </w:r>
            <w:r w:rsidR="007020B9">
              <w:rPr>
                <w:noProof/>
                <w:webHidden/>
              </w:rPr>
              <w:fldChar w:fldCharType="begin"/>
            </w:r>
            <w:r w:rsidR="007020B9">
              <w:rPr>
                <w:noProof/>
                <w:webHidden/>
              </w:rPr>
              <w:instrText xml:space="preserve"> PAGEREF _Toc165552522 \h </w:instrText>
            </w:r>
            <w:r w:rsidR="007020B9">
              <w:rPr>
                <w:noProof/>
                <w:webHidden/>
              </w:rPr>
            </w:r>
            <w:r w:rsidR="007020B9">
              <w:rPr>
                <w:noProof/>
                <w:webHidden/>
              </w:rPr>
              <w:fldChar w:fldCharType="separate"/>
            </w:r>
            <w:r w:rsidR="007020B9">
              <w:rPr>
                <w:noProof/>
                <w:webHidden/>
              </w:rPr>
              <w:t>13</w:t>
            </w:r>
            <w:r w:rsidR="007020B9">
              <w:rPr>
                <w:noProof/>
                <w:webHidden/>
              </w:rPr>
              <w:fldChar w:fldCharType="end"/>
            </w:r>
          </w:hyperlink>
        </w:p>
        <w:p w14:paraId="1F306D5D" w14:textId="62024ED3" w:rsidR="007020B9" w:rsidRDefault="00865BC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5552523" w:history="1">
            <w:r w:rsidR="007020B9" w:rsidRPr="0048669D">
              <w:rPr>
                <w:rStyle w:val="Hyperlink"/>
                <w:noProof/>
              </w:rPr>
              <w:t>Registration timeline</w:t>
            </w:r>
            <w:r w:rsidR="007020B9">
              <w:rPr>
                <w:noProof/>
                <w:webHidden/>
              </w:rPr>
              <w:tab/>
            </w:r>
            <w:r w:rsidR="007020B9">
              <w:rPr>
                <w:noProof/>
                <w:webHidden/>
              </w:rPr>
              <w:fldChar w:fldCharType="begin"/>
            </w:r>
            <w:r w:rsidR="007020B9">
              <w:rPr>
                <w:noProof/>
                <w:webHidden/>
              </w:rPr>
              <w:instrText xml:space="preserve"> PAGEREF _Toc165552523 \h </w:instrText>
            </w:r>
            <w:r w:rsidR="007020B9">
              <w:rPr>
                <w:noProof/>
                <w:webHidden/>
              </w:rPr>
            </w:r>
            <w:r w:rsidR="007020B9">
              <w:rPr>
                <w:noProof/>
                <w:webHidden/>
              </w:rPr>
              <w:fldChar w:fldCharType="separate"/>
            </w:r>
            <w:r w:rsidR="007020B9">
              <w:rPr>
                <w:noProof/>
                <w:webHidden/>
              </w:rPr>
              <w:t>15</w:t>
            </w:r>
            <w:r w:rsidR="007020B9">
              <w:rPr>
                <w:noProof/>
                <w:webHidden/>
              </w:rPr>
              <w:fldChar w:fldCharType="end"/>
            </w:r>
          </w:hyperlink>
        </w:p>
        <w:p w14:paraId="1FE0416F" w14:textId="31AA0E7A" w:rsidR="007020B9" w:rsidRDefault="00865BC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5552524" w:history="1">
            <w:r w:rsidR="007020B9" w:rsidRPr="0048669D">
              <w:rPr>
                <w:rStyle w:val="Hyperlink"/>
                <w:noProof/>
              </w:rPr>
              <w:t>Submission overview and risk/benefit assessment</w:t>
            </w:r>
            <w:r w:rsidR="007020B9">
              <w:rPr>
                <w:noProof/>
                <w:webHidden/>
              </w:rPr>
              <w:tab/>
            </w:r>
            <w:r w:rsidR="007020B9">
              <w:rPr>
                <w:noProof/>
                <w:webHidden/>
              </w:rPr>
              <w:fldChar w:fldCharType="begin"/>
            </w:r>
            <w:r w:rsidR="007020B9">
              <w:rPr>
                <w:noProof/>
                <w:webHidden/>
              </w:rPr>
              <w:instrText xml:space="preserve"> PAGEREF _Toc165552524 \h </w:instrText>
            </w:r>
            <w:r w:rsidR="007020B9">
              <w:rPr>
                <w:noProof/>
                <w:webHidden/>
              </w:rPr>
            </w:r>
            <w:r w:rsidR="007020B9">
              <w:rPr>
                <w:noProof/>
                <w:webHidden/>
              </w:rPr>
              <w:fldChar w:fldCharType="separate"/>
            </w:r>
            <w:r w:rsidR="007020B9">
              <w:rPr>
                <w:noProof/>
                <w:webHidden/>
              </w:rPr>
              <w:t>16</w:t>
            </w:r>
            <w:r w:rsidR="007020B9">
              <w:rPr>
                <w:noProof/>
                <w:webHidden/>
              </w:rPr>
              <w:fldChar w:fldCharType="end"/>
            </w:r>
          </w:hyperlink>
        </w:p>
        <w:p w14:paraId="793AFF16" w14:textId="5E86DC2D" w:rsidR="007020B9" w:rsidRDefault="00865BC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552525" w:history="1">
            <w:r w:rsidR="007020B9" w:rsidRPr="0048669D">
              <w:rPr>
                <w:rStyle w:val="Hyperlink"/>
                <w:noProof/>
              </w:rPr>
              <w:t>Quality</w:t>
            </w:r>
            <w:r w:rsidR="007020B9">
              <w:rPr>
                <w:noProof/>
                <w:webHidden/>
              </w:rPr>
              <w:tab/>
            </w:r>
            <w:r w:rsidR="007020B9">
              <w:rPr>
                <w:noProof/>
                <w:webHidden/>
              </w:rPr>
              <w:fldChar w:fldCharType="begin"/>
            </w:r>
            <w:r w:rsidR="007020B9">
              <w:rPr>
                <w:noProof/>
                <w:webHidden/>
              </w:rPr>
              <w:instrText xml:space="preserve"> PAGEREF _Toc165552525 \h </w:instrText>
            </w:r>
            <w:r w:rsidR="007020B9">
              <w:rPr>
                <w:noProof/>
                <w:webHidden/>
              </w:rPr>
            </w:r>
            <w:r w:rsidR="007020B9">
              <w:rPr>
                <w:noProof/>
                <w:webHidden/>
              </w:rPr>
              <w:fldChar w:fldCharType="separate"/>
            </w:r>
            <w:r w:rsidR="007020B9">
              <w:rPr>
                <w:noProof/>
                <w:webHidden/>
              </w:rPr>
              <w:t>16</w:t>
            </w:r>
            <w:r w:rsidR="007020B9">
              <w:rPr>
                <w:noProof/>
                <w:webHidden/>
              </w:rPr>
              <w:fldChar w:fldCharType="end"/>
            </w:r>
          </w:hyperlink>
        </w:p>
        <w:p w14:paraId="6758DEEF" w14:textId="057C843B" w:rsidR="007020B9" w:rsidRDefault="00865BC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552526" w:history="1">
            <w:r w:rsidR="007020B9" w:rsidRPr="0048669D">
              <w:rPr>
                <w:rStyle w:val="Hyperlink"/>
                <w:noProof/>
              </w:rPr>
              <w:t>Nonclinical</w:t>
            </w:r>
            <w:r w:rsidR="007020B9">
              <w:rPr>
                <w:noProof/>
                <w:webHidden/>
              </w:rPr>
              <w:tab/>
            </w:r>
            <w:r w:rsidR="007020B9">
              <w:rPr>
                <w:noProof/>
                <w:webHidden/>
              </w:rPr>
              <w:fldChar w:fldCharType="begin"/>
            </w:r>
            <w:r w:rsidR="007020B9">
              <w:rPr>
                <w:noProof/>
                <w:webHidden/>
              </w:rPr>
              <w:instrText xml:space="preserve"> PAGEREF _Toc165552526 \h </w:instrText>
            </w:r>
            <w:r w:rsidR="007020B9">
              <w:rPr>
                <w:noProof/>
                <w:webHidden/>
              </w:rPr>
            </w:r>
            <w:r w:rsidR="007020B9">
              <w:rPr>
                <w:noProof/>
                <w:webHidden/>
              </w:rPr>
              <w:fldChar w:fldCharType="separate"/>
            </w:r>
            <w:r w:rsidR="007020B9">
              <w:rPr>
                <w:noProof/>
                <w:webHidden/>
              </w:rPr>
              <w:t>17</w:t>
            </w:r>
            <w:r w:rsidR="007020B9">
              <w:rPr>
                <w:noProof/>
                <w:webHidden/>
              </w:rPr>
              <w:fldChar w:fldCharType="end"/>
            </w:r>
          </w:hyperlink>
        </w:p>
        <w:p w14:paraId="576D5F0C" w14:textId="3D1FED7D" w:rsidR="007020B9" w:rsidRDefault="00865BC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552527" w:history="1">
            <w:r w:rsidR="007020B9" w:rsidRPr="0048669D">
              <w:rPr>
                <w:rStyle w:val="Hyperlink"/>
                <w:noProof/>
              </w:rPr>
              <w:t>Clinical</w:t>
            </w:r>
            <w:r w:rsidR="007020B9">
              <w:rPr>
                <w:noProof/>
                <w:webHidden/>
              </w:rPr>
              <w:tab/>
            </w:r>
            <w:r w:rsidR="007020B9">
              <w:rPr>
                <w:noProof/>
                <w:webHidden/>
              </w:rPr>
              <w:fldChar w:fldCharType="begin"/>
            </w:r>
            <w:r w:rsidR="007020B9">
              <w:rPr>
                <w:noProof/>
                <w:webHidden/>
              </w:rPr>
              <w:instrText xml:space="preserve"> PAGEREF _Toc165552527 \h </w:instrText>
            </w:r>
            <w:r w:rsidR="007020B9">
              <w:rPr>
                <w:noProof/>
                <w:webHidden/>
              </w:rPr>
            </w:r>
            <w:r w:rsidR="007020B9">
              <w:rPr>
                <w:noProof/>
                <w:webHidden/>
              </w:rPr>
              <w:fldChar w:fldCharType="separate"/>
            </w:r>
            <w:r w:rsidR="007020B9">
              <w:rPr>
                <w:noProof/>
                <w:webHidden/>
              </w:rPr>
              <w:t>17</w:t>
            </w:r>
            <w:r w:rsidR="007020B9">
              <w:rPr>
                <w:noProof/>
                <w:webHidden/>
              </w:rPr>
              <w:fldChar w:fldCharType="end"/>
            </w:r>
          </w:hyperlink>
        </w:p>
        <w:p w14:paraId="19E4429A" w14:textId="10DB1172" w:rsidR="007020B9" w:rsidRDefault="00865BC5">
          <w:pPr>
            <w:pStyle w:val="TOC3"/>
            <w:rPr>
              <w:rFonts w:asciiTheme="minorHAnsi" w:eastAsiaTheme="minorEastAsia" w:hAnsiTheme="minorHAnsi" w:cstheme="minorBidi"/>
              <w:b w:val="0"/>
              <w:noProof/>
              <w:color w:val="auto"/>
              <w:kern w:val="2"/>
              <w:szCs w:val="22"/>
              <w:lang w:eastAsia="en-AU"/>
              <w14:ligatures w14:val="standardContextual"/>
            </w:rPr>
          </w:pPr>
          <w:hyperlink w:anchor="_Toc165552528" w:history="1">
            <w:r w:rsidR="007020B9" w:rsidRPr="0048669D">
              <w:rPr>
                <w:rStyle w:val="Hyperlink"/>
                <w:noProof/>
              </w:rPr>
              <w:t>Summary of clinical studies</w:t>
            </w:r>
            <w:r w:rsidR="007020B9">
              <w:rPr>
                <w:noProof/>
                <w:webHidden/>
              </w:rPr>
              <w:tab/>
            </w:r>
            <w:r w:rsidR="007020B9">
              <w:rPr>
                <w:noProof/>
                <w:webHidden/>
              </w:rPr>
              <w:fldChar w:fldCharType="begin"/>
            </w:r>
            <w:r w:rsidR="007020B9">
              <w:rPr>
                <w:noProof/>
                <w:webHidden/>
              </w:rPr>
              <w:instrText xml:space="preserve"> PAGEREF _Toc165552528 \h </w:instrText>
            </w:r>
            <w:r w:rsidR="007020B9">
              <w:rPr>
                <w:noProof/>
                <w:webHidden/>
              </w:rPr>
            </w:r>
            <w:r w:rsidR="007020B9">
              <w:rPr>
                <w:noProof/>
                <w:webHidden/>
              </w:rPr>
              <w:fldChar w:fldCharType="separate"/>
            </w:r>
            <w:r w:rsidR="007020B9">
              <w:rPr>
                <w:noProof/>
                <w:webHidden/>
              </w:rPr>
              <w:t>17</w:t>
            </w:r>
            <w:r w:rsidR="007020B9">
              <w:rPr>
                <w:noProof/>
                <w:webHidden/>
              </w:rPr>
              <w:fldChar w:fldCharType="end"/>
            </w:r>
          </w:hyperlink>
        </w:p>
        <w:p w14:paraId="64DBCF5B" w14:textId="4E49516A" w:rsidR="007020B9" w:rsidRDefault="00865BC5">
          <w:pPr>
            <w:pStyle w:val="TOC3"/>
            <w:rPr>
              <w:rFonts w:asciiTheme="minorHAnsi" w:eastAsiaTheme="minorEastAsia" w:hAnsiTheme="minorHAnsi" w:cstheme="minorBidi"/>
              <w:b w:val="0"/>
              <w:noProof/>
              <w:color w:val="auto"/>
              <w:kern w:val="2"/>
              <w:szCs w:val="22"/>
              <w:lang w:eastAsia="en-AU"/>
              <w14:ligatures w14:val="standardContextual"/>
            </w:rPr>
          </w:pPr>
          <w:hyperlink w:anchor="_Toc165552529" w:history="1">
            <w:r w:rsidR="007020B9" w:rsidRPr="0048669D">
              <w:rPr>
                <w:rStyle w:val="Hyperlink"/>
                <w:noProof/>
              </w:rPr>
              <w:t>Clinical Efficacy</w:t>
            </w:r>
            <w:r w:rsidR="007020B9">
              <w:rPr>
                <w:noProof/>
                <w:webHidden/>
              </w:rPr>
              <w:tab/>
            </w:r>
            <w:r w:rsidR="007020B9">
              <w:rPr>
                <w:noProof/>
                <w:webHidden/>
              </w:rPr>
              <w:fldChar w:fldCharType="begin"/>
            </w:r>
            <w:r w:rsidR="007020B9">
              <w:rPr>
                <w:noProof/>
                <w:webHidden/>
              </w:rPr>
              <w:instrText xml:space="preserve"> PAGEREF _Toc165552529 \h </w:instrText>
            </w:r>
            <w:r w:rsidR="007020B9">
              <w:rPr>
                <w:noProof/>
                <w:webHidden/>
              </w:rPr>
            </w:r>
            <w:r w:rsidR="007020B9">
              <w:rPr>
                <w:noProof/>
                <w:webHidden/>
              </w:rPr>
              <w:fldChar w:fldCharType="separate"/>
            </w:r>
            <w:r w:rsidR="007020B9">
              <w:rPr>
                <w:noProof/>
                <w:webHidden/>
              </w:rPr>
              <w:t>26</w:t>
            </w:r>
            <w:r w:rsidR="007020B9">
              <w:rPr>
                <w:noProof/>
                <w:webHidden/>
              </w:rPr>
              <w:fldChar w:fldCharType="end"/>
            </w:r>
          </w:hyperlink>
        </w:p>
        <w:p w14:paraId="5FAEC5DA" w14:textId="23B5EE49" w:rsidR="007020B9" w:rsidRDefault="00865BC5">
          <w:pPr>
            <w:pStyle w:val="TOC3"/>
            <w:rPr>
              <w:rFonts w:asciiTheme="minorHAnsi" w:eastAsiaTheme="minorEastAsia" w:hAnsiTheme="minorHAnsi" w:cstheme="minorBidi"/>
              <w:b w:val="0"/>
              <w:noProof/>
              <w:color w:val="auto"/>
              <w:kern w:val="2"/>
              <w:szCs w:val="22"/>
              <w:lang w:eastAsia="en-AU"/>
              <w14:ligatures w14:val="standardContextual"/>
            </w:rPr>
          </w:pPr>
          <w:hyperlink w:anchor="_Toc165552530" w:history="1">
            <w:r w:rsidR="007020B9" w:rsidRPr="0048669D">
              <w:rPr>
                <w:rStyle w:val="Hyperlink"/>
                <w:noProof/>
              </w:rPr>
              <w:t>Clinical Safety</w:t>
            </w:r>
            <w:r w:rsidR="007020B9">
              <w:rPr>
                <w:noProof/>
                <w:webHidden/>
              </w:rPr>
              <w:tab/>
            </w:r>
            <w:r w:rsidR="007020B9">
              <w:rPr>
                <w:noProof/>
                <w:webHidden/>
              </w:rPr>
              <w:fldChar w:fldCharType="begin"/>
            </w:r>
            <w:r w:rsidR="007020B9">
              <w:rPr>
                <w:noProof/>
                <w:webHidden/>
              </w:rPr>
              <w:instrText xml:space="preserve"> PAGEREF _Toc165552530 \h </w:instrText>
            </w:r>
            <w:r w:rsidR="007020B9">
              <w:rPr>
                <w:noProof/>
                <w:webHidden/>
              </w:rPr>
            </w:r>
            <w:r w:rsidR="007020B9">
              <w:rPr>
                <w:noProof/>
                <w:webHidden/>
              </w:rPr>
              <w:fldChar w:fldCharType="separate"/>
            </w:r>
            <w:r w:rsidR="007020B9">
              <w:rPr>
                <w:noProof/>
                <w:webHidden/>
              </w:rPr>
              <w:t>43</w:t>
            </w:r>
            <w:r w:rsidR="007020B9">
              <w:rPr>
                <w:noProof/>
                <w:webHidden/>
              </w:rPr>
              <w:fldChar w:fldCharType="end"/>
            </w:r>
          </w:hyperlink>
        </w:p>
        <w:p w14:paraId="4EE91655" w14:textId="0526EFB7" w:rsidR="007020B9" w:rsidRDefault="00865BC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552531" w:history="1">
            <w:r w:rsidR="007020B9" w:rsidRPr="0048669D">
              <w:rPr>
                <w:rStyle w:val="Hyperlink"/>
                <w:noProof/>
                <w:lang w:eastAsia="en-AU"/>
              </w:rPr>
              <w:t>Risk management plan</w:t>
            </w:r>
            <w:r w:rsidR="007020B9">
              <w:rPr>
                <w:noProof/>
                <w:webHidden/>
              </w:rPr>
              <w:tab/>
            </w:r>
            <w:r w:rsidR="007020B9">
              <w:rPr>
                <w:noProof/>
                <w:webHidden/>
              </w:rPr>
              <w:fldChar w:fldCharType="begin"/>
            </w:r>
            <w:r w:rsidR="007020B9">
              <w:rPr>
                <w:noProof/>
                <w:webHidden/>
              </w:rPr>
              <w:instrText xml:space="preserve"> PAGEREF _Toc165552531 \h </w:instrText>
            </w:r>
            <w:r w:rsidR="007020B9">
              <w:rPr>
                <w:noProof/>
                <w:webHidden/>
              </w:rPr>
            </w:r>
            <w:r w:rsidR="007020B9">
              <w:rPr>
                <w:noProof/>
                <w:webHidden/>
              </w:rPr>
              <w:fldChar w:fldCharType="separate"/>
            </w:r>
            <w:r w:rsidR="007020B9">
              <w:rPr>
                <w:noProof/>
                <w:webHidden/>
              </w:rPr>
              <w:t>49</w:t>
            </w:r>
            <w:r w:rsidR="007020B9">
              <w:rPr>
                <w:noProof/>
                <w:webHidden/>
              </w:rPr>
              <w:fldChar w:fldCharType="end"/>
            </w:r>
          </w:hyperlink>
        </w:p>
        <w:p w14:paraId="5F0AA86C" w14:textId="23C94C3B" w:rsidR="007020B9" w:rsidRDefault="00865BC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552532" w:history="1">
            <w:r w:rsidR="007020B9" w:rsidRPr="0048669D">
              <w:rPr>
                <w:rStyle w:val="Hyperlink"/>
                <w:noProof/>
              </w:rPr>
              <w:t>Risk-benefit analysis</w:t>
            </w:r>
            <w:r w:rsidR="007020B9">
              <w:rPr>
                <w:noProof/>
                <w:webHidden/>
              </w:rPr>
              <w:tab/>
            </w:r>
            <w:r w:rsidR="007020B9">
              <w:rPr>
                <w:noProof/>
                <w:webHidden/>
              </w:rPr>
              <w:fldChar w:fldCharType="begin"/>
            </w:r>
            <w:r w:rsidR="007020B9">
              <w:rPr>
                <w:noProof/>
                <w:webHidden/>
              </w:rPr>
              <w:instrText xml:space="preserve"> PAGEREF _Toc165552532 \h </w:instrText>
            </w:r>
            <w:r w:rsidR="007020B9">
              <w:rPr>
                <w:noProof/>
                <w:webHidden/>
              </w:rPr>
            </w:r>
            <w:r w:rsidR="007020B9">
              <w:rPr>
                <w:noProof/>
                <w:webHidden/>
              </w:rPr>
              <w:fldChar w:fldCharType="separate"/>
            </w:r>
            <w:r w:rsidR="007020B9">
              <w:rPr>
                <w:noProof/>
                <w:webHidden/>
              </w:rPr>
              <w:t>50</w:t>
            </w:r>
            <w:r w:rsidR="007020B9">
              <w:rPr>
                <w:noProof/>
                <w:webHidden/>
              </w:rPr>
              <w:fldChar w:fldCharType="end"/>
            </w:r>
          </w:hyperlink>
        </w:p>
        <w:p w14:paraId="36EC2681" w14:textId="4E39E5D9" w:rsidR="007020B9" w:rsidRDefault="00865BC5">
          <w:pPr>
            <w:pStyle w:val="TOC3"/>
            <w:rPr>
              <w:rFonts w:asciiTheme="minorHAnsi" w:eastAsiaTheme="minorEastAsia" w:hAnsiTheme="minorHAnsi" w:cstheme="minorBidi"/>
              <w:b w:val="0"/>
              <w:noProof/>
              <w:color w:val="auto"/>
              <w:kern w:val="2"/>
              <w:szCs w:val="22"/>
              <w:lang w:eastAsia="en-AU"/>
              <w14:ligatures w14:val="standardContextual"/>
            </w:rPr>
          </w:pPr>
          <w:hyperlink w:anchor="_Toc165552533" w:history="1">
            <w:r w:rsidR="007020B9" w:rsidRPr="0048669D">
              <w:rPr>
                <w:rStyle w:val="Hyperlink"/>
                <w:noProof/>
              </w:rPr>
              <w:t>Delegate’s considerations</w:t>
            </w:r>
            <w:r w:rsidR="007020B9">
              <w:rPr>
                <w:noProof/>
                <w:webHidden/>
              </w:rPr>
              <w:tab/>
            </w:r>
            <w:r w:rsidR="007020B9">
              <w:rPr>
                <w:noProof/>
                <w:webHidden/>
              </w:rPr>
              <w:fldChar w:fldCharType="begin"/>
            </w:r>
            <w:r w:rsidR="007020B9">
              <w:rPr>
                <w:noProof/>
                <w:webHidden/>
              </w:rPr>
              <w:instrText xml:space="preserve"> PAGEREF _Toc165552533 \h </w:instrText>
            </w:r>
            <w:r w:rsidR="007020B9">
              <w:rPr>
                <w:noProof/>
                <w:webHidden/>
              </w:rPr>
            </w:r>
            <w:r w:rsidR="007020B9">
              <w:rPr>
                <w:noProof/>
                <w:webHidden/>
              </w:rPr>
              <w:fldChar w:fldCharType="separate"/>
            </w:r>
            <w:r w:rsidR="007020B9">
              <w:rPr>
                <w:noProof/>
                <w:webHidden/>
              </w:rPr>
              <w:t>50</w:t>
            </w:r>
            <w:r w:rsidR="007020B9">
              <w:rPr>
                <w:noProof/>
                <w:webHidden/>
              </w:rPr>
              <w:fldChar w:fldCharType="end"/>
            </w:r>
          </w:hyperlink>
        </w:p>
        <w:p w14:paraId="1C8DF297" w14:textId="71BBCC76" w:rsidR="007020B9" w:rsidRDefault="00865BC5">
          <w:pPr>
            <w:pStyle w:val="TOC3"/>
            <w:rPr>
              <w:rFonts w:asciiTheme="minorHAnsi" w:eastAsiaTheme="minorEastAsia" w:hAnsiTheme="minorHAnsi" w:cstheme="minorBidi"/>
              <w:b w:val="0"/>
              <w:noProof/>
              <w:color w:val="auto"/>
              <w:kern w:val="2"/>
              <w:szCs w:val="22"/>
              <w:lang w:eastAsia="en-AU"/>
              <w14:ligatures w14:val="standardContextual"/>
            </w:rPr>
          </w:pPr>
          <w:hyperlink w:anchor="_Toc165552534" w:history="1">
            <w:r w:rsidR="007020B9" w:rsidRPr="0048669D">
              <w:rPr>
                <w:rStyle w:val="Hyperlink"/>
                <w:noProof/>
              </w:rPr>
              <w:t>Proposed action</w:t>
            </w:r>
            <w:r w:rsidR="007020B9">
              <w:rPr>
                <w:noProof/>
                <w:webHidden/>
              </w:rPr>
              <w:tab/>
            </w:r>
            <w:r w:rsidR="007020B9">
              <w:rPr>
                <w:noProof/>
                <w:webHidden/>
              </w:rPr>
              <w:fldChar w:fldCharType="begin"/>
            </w:r>
            <w:r w:rsidR="007020B9">
              <w:rPr>
                <w:noProof/>
                <w:webHidden/>
              </w:rPr>
              <w:instrText xml:space="preserve"> PAGEREF _Toc165552534 \h </w:instrText>
            </w:r>
            <w:r w:rsidR="007020B9">
              <w:rPr>
                <w:noProof/>
                <w:webHidden/>
              </w:rPr>
            </w:r>
            <w:r w:rsidR="007020B9">
              <w:rPr>
                <w:noProof/>
                <w:webHidden/>
              </w:rPr>
              <w:fldChar w:fldCharType="separate"/>
            </w:r>
            <w:r w:rsidR="007020B9">
              <w:rPr>
                <w:noProof/>
                <w:webHidden/>
              </w:rPr>
              <w:t>50</w:t>
            </w:r>
            <w:r w:rsidR="007020B9">
              <w:rPr>
                <w:noProof/>
                <w:webHidden/>
              </w:rPr>
              <w:fldChar w:fldCharType="end"/>
            </w:r>
          </w:hyperlink>
        </w:p>
        <w:p w14:paraId="0CA04886" w14:textId="7FF51E90" w:rsidR="007020B9" w:rsidRDefault="00865BC5">
          <w:pPr>
            <w:pStyle w:val="TOC3"/>
            <w:rPr>
              <w:rFonts w:asciiTheme="minorHAnsi" w:eastAsiaTheme="minorEastAsia" w:hAnsiTheme="minorHAnsi" w:cstheme="minorBidi"/>
              <w:b w:val="0"/>
              <w:noProof/>
              <w:color w:val="auto"/>
              <w:kern w:val="2"/>
              <w:szCs w:val="22"/>
              <w:lang w:eastAsia="en-AU"/>
              <w14:ligatures w14:val="standardContextual"/>
            </w:rPr>
          </w:pPr>
          <w:hyperlink w:anchor="_Toc165552535" w:history="1">
            <w:r w:rsidR="007020B9" w:rsidRPr="0048669D">
              <w:rPr>
                <w:rStyle w:val="Hyperlink"/>
                <w:noProof/>
              </w:rPr>
              <w:t>Questions for the sponsor</w:t>
            </w:r>
            <w:r w:rsidR="007020B9">
              <w:rPr>
                <w:noProof/>
                <w:webHidden/>
              </w:rPr>
              <w:tab/>
            </w:r>
            <w:r w:rsidR="007020B9">
              <w:rPr>
                <w:noProof/>
                <w:webHidden/>
              </w:rPr>
              <w:fldChar w:fldCharType="begin"/>
            </w:r>
            <w:r w:rsidR="007020B9">
              <w:rPr>
                <w:noProof/>
                <w:webHidden/>
              </w:rPr>
              <w:instrText xml:space="preserve"> PAGEREF _Toc165552535 \h </w:instrText>
            </w:r>
            <w:r w:rsidR="007020B9">
              <w:rPr>
                <w:noProof/>
                <w:webHidden/>
              </w:rPr>
            </w:r>
            <w:r w:rsidR="007020B9">
              <w:rPr>
                <w:noProof/>
                <w:webHidden/>
              </w:rPr>
              <w:fldChar w:fldCharType="separate"/>
            </w:r>
            <w:r w:rsidR="007020B9">
              <w:rPr>
                <w:noProof/>
                <w:webHidden/>
              </w:rPr>
              <w:t>51</w:t>
            </w:r>
            <w:r w:rsidR="007020B9">
              <w:rPr>
                <w:noProof/>
                <w:webHidden/>
              </w:rPr>
              <w:fldChar w:fldCharType="end"/>
            </w:r>
          </w:hyperlink>
        </w:p>
        <w:p w14:paraId="7C0B02F6" w14:textId="2A1706DD" w:rsidR="007020B9" w:rsidRDefault="00865BC5">
          <w:pPr>
            <w:pStyle w:val="TOC3"/>
            <w:rPr>
              <w:rFonts w:asciiTheme="minorHAnsi" w:eastAsiaTheme="minorEastAsia" w:hAnsiTheme="minorHAnsi" w:cstheme="minorBidi"/>
              <w:b w:val="0"/>
              <w:noProof/>
              <w:color w:val="auto"/>
              <w:kern w:val="2"/>
              <w:szCs w:val="22"/>
              <w:lang w:eastAsia="en-AU"/>
              <w14:ligatures w14:val="standardContextual"/>
            </w:rPr>
          </w:pPr>
          <w:hyperlink w:anchor="_Toc165552536" w:history="1">
            <w:r w:rsidR="007020B9" w:rsidRPr="0048669D">
              <w:rPr>
                <w:rStyle w:val="Hyperlink"/>
                <w:noProof/>
              </w:rPr>
              <w:t>Advisory Committee considerations</w:t>
            </w:r>
            <w:r w:rsidR="007020B9">
              <w:rPr>
                <w:noProof/>
                <w:webHidden/>
              </w:rPr>
              <w:tab/>
            </w:r>
            <w:r w:rsidR="007020B9">
              <w:rPr>
                <w:noProof/>
                <w:webHidden/>
              </w:rPr>
              <w:fldChar w:fldCharType="begin"/>
            </w:r>
            <w:r w:rsidR="007020B9">
              <w:rPr>
                <w:noProof/>
                <w:webHidden/>
              </w:rPr>
              <w:instrText xml:space="preserve"> PAGEREF _Toc165552536 \h </w:instrText>
            </w:r>
            <w:r w:rsidR="007020B9">
              <w:rPr>
                <w:noProof/>
                <w:webHidden/>
              </w:rPr>
            </w:r>
            <w:r w:rsidR="007020B9">
              <w:rPr>
                <w:noProof/>
                <w:webHidden/>
              </w:rPr>
              <w:fldChar w:fldCharType="separate"/>
            </w:r>
            <w:r w:rsidR="007020B9">
              <w:rPr>
                <w:noProof/>
                <w:webHidden/>
              </w:rPr>
              <w:t>58</w:t>
            </w:r>
            <w:r w:rsidR="007020B9">
              <w:rPr>
                <w:noProof/>
                <w:webHidden/>
              </w:rPr>
              <w:fldChar w:fldCharType="end"/>
            </w:r>
          </w:hyperlink>
        </w:p>
        <w:p w14:paraId="4D7D7FBE" w14:textId="327A44D1" w:rsidR="007020B9" w:rsidRDefault="00865BC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5552537" w:history="1">
            <w:r w:rsidR="007020B9" w:rsidRPr="0048669D">
              <w:rPr>
                <w:rStyle w:val="Hyperlink"/>
                <w:noProof/>
              </w:rPr>
              <w:t>Outcome</w:t>
            </w:r>
            <w:r w:rsidR="007020B9">
              <w:rPr>
                <w:noProof/>
                <w:webHidden/>
              </w:rPr>
              <w:tab/>
            </w:r>
            <w:r w:rsidR="007020B9">
              <w:rPr>
                <w:noProof/>
                <w:webHidden/>
              </w:rPr>
              <w:fldChar w:fldCharType="begin"/>
            </w:r>
            <w:r w:rsidR="007020B9">
              <w:rPr>
                <w:noProof/>
                <w:webHidden/>
              </w:rPr>
              <w:instrText xml:space="preserve"> PAGEREF _Toc165552537 \h </w:instrText>
            </w:r>
            <w:r w:rsidR="007020B9">
              <w:rPr>
                <w:noProof/>
                <w:webHidden/>
              </w:rPr>
            </w:r>
            <w:r w:rsidR="007020B9">
              <w:rPr>
                <w:noProof/>
                <w:webHidden/>
              </w:rPr>
              <w:fldChar w:fldCharType="separate"/>
            </w:r>
            <w:r w:rsidR="007020B9">
              <w:rPr>
                <w:noProof/>
                <w:webHidden/>
              </w:rPr>
              <w:t>61</w:t>
            </w:r>
            <w:r w:rsidR="007020B9">
              <w:rPr>
                <w:noProof/>
                <w:webHidden/>
              </w:rPr>
              <w:fldChar w:fldCharType="end"/>
            </w:r>
          </w:hyperlink>
        </w:p>
        <w:p w14:paraId="629A76E9" w14:textId="1832F8D9" w:rsidR="007020B9" w:rsidRDefault="00865BC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552538" w:history="1">
            <w:r w:rsidR="007020B9" w:rsidRPr="0048669D">
              <w:rPr>
                <w:rStyle w:val="Hyperlink"/>
                <w:noProof/>
              </w:rPr>
              <w:t>Specific conditions of registration applying to these goods</w:t>
            </w:r>
            <w:r w:rsidR="007020B9">
              <w:rPr>
                <w:noProof/>
                <w:webHidden/>
              </w:rPr>
              <w:tab/>
            </w:r>
            <w:r w:rsidR="007020B9">
              <w:rPr>
                <w:noProof/>
                <w:webHidden/>
              </w:rPr>
              <w:fldChar w:fldCharType="begin"/>
            </w:r>
            <w:r w:rsidR="007020B9">
              <w:rPr>
                <w:noProof/>
                <w:webHidden/>
              </w:rPr>
              <w:instrText xml:space="preserve"> PAGEREF _Toc165552538 \h </w:instrText>
            </w:r>
            <w:r w:rsidR="007020B9">
              <w:rPr>
                <w:noProof/>
                <w:webHidden/>
              </w:rPr>
            </w:r>
            <w:r w:rsidR="007020B9">
              <w:rPr>
                <w:noProof/>
                <w:webHidden/>
              </w:rPr>
              <w:fldChar w:fldCharType="separate"/>
            </w:r>
            <w:r w:rsidR="007020B9">
              <w:rPr>
                <w:noProof/>
                <w:webHidden/>
              </w:rPr>
              <w:t>61</w:t>
            </w:r>
            <w:r w:rsidR="007020B9">
              <w:rPr>
                <w:noProof/>
                <w:webHidden/>
              </w:rPr>
              <w:fldChar w:fldCharType="end"/>
            </w:r>
          </w:hyperlink>
        </w:p>
        <w:p w14:paraId="5AD0AF25" w14:textId="246A1466" w:rsidR="007020B9" w:rsidRDefault="00865BC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5552539" w:history="1">
            <w:r w:rsidR="007020B9" w:rsidRPr="0048669D">
              <w:rPr>
                <w:rStyle w:val="Hyperlink"/>
                <w:noProof/>
              </w:rPr>
              <w:t>Attachment 1. Product Information</w:t>
            </w:r>
            <w:r w:rsidR="007020B9">
              <w:rPr>
                <w:noProof/>
                <w:webHidden/>
              </w:rPr>
              <w:tab/>
            </w:r>
            <w:r w:rsidR="007020B9">
              <w:rPr>
                <w:noProof/>
                <w:webHidden/>
              </w:rPr>
              <w:fldChar w:fldCharType="begin"/>
            </w:r>
            <w:r w:rsidR="007020B9">
              <w:rPr>
                <w:noProof/>
                <w:webHidden/>
              </w:rPr>
              <w:instrText xml:space="preserve"> PAGEREF _Toc165552539 \h </w:instrText>
            </w:r>
            <w:r w:rsidR="007020B9">
              <w:rPr>
                <w:noProof/>
                <w:webHidden/>
              </w:rPr>
            </w:r>
            <w:r w:rsidR="007020B9">
              <w:rPr>
                <w:noProof/>
                <w:webHidden/>
              </w:rPr>
              <w:fldChar w:fldCharType="separate"/>
            </w:r>
            <w:r w:rsidR="007020B9">
              <w:rPr>
                <w:noProof/>
                <w:webHidden/>
              </w:rPr>
              <w:t>62</w:t>
            </w:r>
            <w:r w:rsidR="007020B9">
              <w:rPr>
                <w:noProof/>
                <w:webHidden/>
              </w:rPr>
              <w:fldChar w:fldCharType="end"/>
            </w:r>
          </w:hyperlink>
        </w:p>
        <w:p w14:paraId="6AF8C549" w14:textId="77777777" w:rsidR="007020B9" w:rsidRDefault="00F02AEC" w:rsidP="00FA2637">
          <w:pPr>
            <w:pStyle w:val="Heading2"/>
            <w:rPr>
              <w:rFonts w:eastAsiaTheme="minorEastAsia"/>
              <w:szCs w:val="22"/>
            </w:rPr>
          </w:pPr>
          <w:r w:rsidRPr="00215D48">
            <w:fldChar w:fldCharType="end"/>
          </w:r>
        </w:p>
      </w:sdtContent>
    </w:sdt>
    <w:bookmarkStart w:id="1" w:name="_Toc98931917" w:displacedByCustomXml="prev"/>
    <w:bookmarkStart w:id="2" w:name="_Toc103679287" w:displacedByCustomXml="prev"/>
    <w:bookmarkStart w:id="3" w:name="_Toc165552513" w:displacedByCustomXml="prev"/>
    <w:bookmarkStart w:id="4" w:name="_Toc323739589" w:displacedByCustomXml="prev"/>
    <w:bookmarkStart w:id="5" w:name="_Toc356305216" w:displacedByCustomXml="prev"/>
    <w:p w14:paraId="58578454" w14:textId="69E0AA79" w:rsidR="00324B33" w:rsidRPr="0020344B" w:rsidRDefault="00324B33" w:rsidP="00FA2637">
      <w:pPr>
        <w:pStyle w:val="Heading2"/>
      </w:pPr>
      <w:r>
        <w:lastRenderedPageBreak/>
        <w:t>List of abbreviations</w:t>
      </w:r>
      <w:bookmarkEnd w:id="3"/>
      <w:bookmarkEnd w:id="2"/>
      <w:bookmarkEnd w:id="1"/>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2269C378">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8412B7" w:rsidRDefault="00324B33" w:rsidP="00324B33">
            <w:pPr>
              <w:rPr>
                <w:sz w:val="20"/>
                <w:szCs w:val="20"/>
              </w:rPr>
            </w:pPr>
            <w:r w:rsidRPr="008412B7">
              <w:rPr>
                <w:sz w:val="20"/>
                <w:szCs w:val="20"/>
              </w:rPr>
              <w:t>Abbreviation</w:t>
            </w:r>
          </w:p>
        </w:tc>
        <w:tc>
          <w:tcPr>
            <w:tcW w:w="3800" w:type="pct"/>
          </w:tcPr>
          <w:p w14:paraId="4CF6D0CD" w14:textId="2974FA0B" w:rsidR="00324B33" w:rsidRPr="008412B7" w:rsidRDefault="00324B33" w:rsidP="00324B33">
            <w:pPr>
              <w:cnfStyle w:val="100000000000" w:firstRow="1" w:lastRow="0" w:firstColumn="0" w:lastColumn="0" w:oddVBand="0" w:evenVBand="0" w:oddHBand="0" w:evenHBand="0" w:firstRowFirstColumn="0" w:firstRowLastColumn="0" w:lastRowFirstColumn="0" w:lastRowLastColumn="0"/>
              <w:rPr>
                <w:sz w:val="20"/>
                <w:szCs w:val="20"/>
              </w:rPr>
            </w:pPr>
            <w:r w:rsidRPr="008412B7">
              <w:rPr>
                <w:sz w:val="20"/>
                <w:szCs w:val="20"/>
              </w:rPr>
              <w:t>Meaning</w:t>
            </w:r>
          </w:p>
        </w:tc>
      </w:tr>
      <w:tr w:rsidR="00B869E1" w:rsidRPr="00D01DDB" w14:paraId="35340A59"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287DC0CA" w:rsidR="00B869E1" w:rsidRPr="008412B7" w:rsidRDefault="00B869E1" w:rsidP="00B869E1">
            <w:pPr>
              <w:rPr>
                <w:sz w:val="20"/>
                <w:szCs w:val="20"/>
              </w:rPr>
            </w:pPr>
            <w:r w:rsidRPr="008412B7">
              <w:rPr>
                <w:sz w:val="20"/>
                <w:szCs w:val="20"/>
              </w:rPr>
              <w:t>ACV</w:t>
            </w:r>
          </w:p>
        </w:tc>
        <w:tc>
          <w:tcPr>
            <w:tcW w:w="3800" w:type="pct"/>
          </w:tcPr>
          <w:p w14:paraId="5072E244" w14:textId="7B59D1A8" w:rsidR="00B869E1" w:rsidRPr="008412B7" w:rsidRDefault="00B869E1" w:rsidP="00B869E1">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Advisory Committee on Vaccines</w:t>
            </w:r>
          </w:p>
        </w:tc>
      </w:tr>
      <w:tr w:rsidR="00487157" w:rsidRPr="00D01DDB" w14:paraId="36572BE8"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0BE858" w14:textId="182C78A8" w:rsidR="00487157" w:rsidRPr="008412B7" w:rsidRDefault="00487157" w:rsidP="00B869E1">
            <w:pPr>
              <w:rPr>
                <w:sz w:val="20"/>
              </w:rPr>
            </w:pPr>
            <w:r>
              <w:rPr>
                <w:sz w:val="20"/>
              </w:rPr>
              <w:t>ADR</w:t>
            </w:r>
          </w:p>
        </w:tc>
        <w:tc>
          <w:tcPr>
            <w:tcW w:w="3800" w:type="pct"/>
          </w:tcPr>
          <w:p w14:paraId="63DD2812" w14:textId="20590090" w:rsidR="00487157" w:rsidRPr="008412B7" w:rsidRDefault="00487157" w:rsidP="00B869E1">
            <w:pPr>
              <w:cnfStyle w:val="000000000000" w:firstRow="0" w:lastRow="0" w:firstColumn="0" w:lastColumn="0" w:oddVBand="0" w:evenVBand="0" w:oddHBand="0" w:evenHBand="0" w:firstRowFirstColumn="0" w:firstRowLastColumn="0" w:lastRowFirstColumn="0" w:lastRowLastColumn="0"/>
              <w:rPr>
                <w:sz w:val="20"/>
              </w:rPr>
            </w:pPr>
            <w:r>
              <w:rPr>
                <w:sz w:val="20"/>
              </w:rPr>
              <w:t>Adverse drug reaction</w:t>
            </w:r>
          </w:p>
        </w:tc>
      </w:tr>
      <w:tr w:rsidR="00E72E4F" w:rsidRPr="00D01DDB" w14:paraId="169B4315"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2A81AA" w14:textId="64D94F46" w:rsidR="00E72E4F" w:rsidRPr="008412B7" w:rsidRDefault="00E72E4F" w:rsidP="00E72E4F">
            <w:pPr>
              <w:rPr>
                <w:sz w:val="20"/>
                <w:szCs w:val="20"/>
              </w:rPr>
            </w:pPr>
            <w:r w:rsidRPr="008412B7">
              <w:rPr>
                <w:sz w:val="20"/>
                <w:szCs w:val="20"/>
              </w:rPr>
              <w:t>AE</w:t>
            </w:r>
          </w:p>
        </w:tc>
        <w:tc>
          <w:tcPr>
            <w:tcW w:w="3800" w:type="pct"/>
          </w:tcPr>
          <w:p w14:paraId="57BD5CBA" w14:textId="686E8EF5" w:rsidR="00E72E4F" w:rsidRPr="008412B7" w:rsidRDefault="00E72E4F" w:rsidP="00E72E4F">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 xml:space="preserve">Adverse </w:t>
            </w:r>
            <w:r w:rsidR="0025184B" w:rsidRPr="008412B7">
              <w:rPr>
                <w:sz w:val="20"/>
                <w:szCs w:val="20"/>
              </w:rPr>
              <w:t>e</w:t>
            </w:r>
            <w:r w:rsidR="0025184B">
              <w:rPr>
                <w:sz w:val="20"/>
                <w:szCs w:val="20"/>
              </w:rPr>
              <w:t>vents</w:t>
            </w:r>
          </w:p>
        </w:tc>
      </w:tr>
      <w:tr w:rsidR="00E72E4F" w:rsidRPr="00D01DDB" w14:paraId="494729F9"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09018B" w14:textId="7A3F75C9" w:rsidR="00E72E4F" w:rsidRPr="008412B7" w:rsidRDefault="00E72E4F" w:rsidP="00E72E4F">
            <w:pPr>
              <w:rPr>
                <w:sz w:val="20"/>
                <w:szCs w:val="20"/>
              </w:rPr>
            </w:pPr>
            <w:r w:rsidRPr="008412B7">
              <w:rPr>
                <w:sz w:val="20"/>
                <w:szCs w:val="20"/>
              </w:rPr>
              <w:t>AESI</w:t>
            </w:r>
          </w:p>
        </w:tc>
        <w:tc>
          <w:tcPr>
            <w:tcW w:w="3800" w:type="pct"/>
          </w:tcPr>
          <w:p w14:paraId="508CEC04" w14:textId="6F969056" w:rsidR="00E72E4F" w:rsidRPr="008412B7" w:rsidRDefault="00E72E4F" w:rsidP="00E72E4F">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Adverse event of special interest</w:t>
            </w:r>
          </w:p>
        </w:tc>
      </w:tr>
      <w:tr w:rsidR="00E72E4F" w:rsidRPr="00D01DDB" w14:paraId="20DB59B3"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BF0C0D" w14:textId="7E2C17DE" w:rsidR="00E72E4F" w:rsidRPr="008412B7" w:rsidRDefault="00E72E4F" w:rsidP="00E72E4F">
            <w:pPr>
              <w:rPr>
                <w:sz w:val="20"/>
                <w:szCs w:val="20"/>
              </w:rPr>
            </w:pPr>
            <w:proofErr w:type="gramStart"/>
            <w:r w:rsidRPr="008412B7">
              <w:rPr>
                <w:sz w:val="20"/>
                <w:szCs w:val="20"/>
              </w:rPr>
              <w:t>Al(</w:t>
            </w:r>
            <w:proofErr w:type="gramEnd"/>
            <w:r w:rsidRPr="008412B7">
              <w:rPr>
                <w:sz w:val="20"/>
                <w:szCs w:val="20"/>
              </w:rPr>
              <w:t>OH</w:t>
            </w:r>
            <w:r w:rsidRPr="008412B7">
              <w:rPr>
                <w:sz w:val="20"/>
                <w:szCs w:val="20"/>
                <w:vertAlign w:val="subscript"/>
              </w:rPr>
              <w:t>3</w:t>
            </w:r>
            <w:r w:rsidRPr="008412B7">
              <w:rPr>
                <w:sz w:val="20"/>
                <w:szCs w:val="20"/>
              </w:rPr>
              <w:t>)</w:t>
            </w:r>
          </w:p>
        </w:tc>
        <w:tc>
          <w:tcPr>
            <w:tcW w:w="3800" w:type="pct"/>
          </w:tcPr>
          <w:p w14:paraId="0D3E0F3D" w14:textId="7C9C9DC0" w:rsidR="00E72E4F" w:rsidRPr="008412B7" w:rsidRDefault="00E72E4F" w:rsidP="00E72E4F">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Aluminium hydroxide</w:t>
            </w:r>
          </w:p>
        </w:tc>
      </w:tr>
      <w:tr w:rsidR="00E72E4F" w:rsidRPr="00D01DDB" w14:paraId="3519928D"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5EDBA7A" w14:textId="415D06A8" w:rsidR="00E72E4F" w:rsidRPr="008412B7" w:rsidRDefault="00E72E4F" w:rsidP="00E72E4F">
            <w:pPr>
              <w:rPr>
                <w:sz w:val="20"/>
                <w:szCs w:val="20"/>
              </w:rPr>
            </w:pPr>
            <w:r w:rsidRPr="008412B7">
              <w:rPr>
                <w:sz w:val="20"/>
                <w:szCs w:val="20"/>
              </w:rPr>
              <w:t>Apgar</w:t>
            </w:r>
          </w:p>
        </w:tc>
        <w:tc>
          <w:tcPr>
            <w:tcW w:w="3800" w:type="pct"/>
          </w:tcPr>
          <w:p w14:paraId="7C17B8CD" w14:textId="07D63FDF" w:rsidR="00E72E4F" w:rsidRPr="008412B7" w:rsidRDefault="00E72E4F" w:rsidP="00E72E4F">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Appearance, pulse, grimace, activity, respiration (</w:t>
            </w:r>
            <w:proofErr w:type="gramStart"/>
            <w:r w:rsidRPr="008412B7">
              <w:rPr>
                <w:sz w:val="20"/>
                <w:szCs w:val="20"/>
              </w:rPr>
              <w:t>actually named</w:t>
            </w:r>
            <w:proofErr w:type="gramEnd"/>
            <w:r w:rsidRPr="008412B7">
              <w:rPr>
                <w:sz w:val="20"/>
                <w:szCs w:val="20"/>
              </w:rPr>
              <w:t xml:space="preserve"> after Virginia Apgar who devised the score)</w:t>
            </w:r>
          </w:p>
        </w:tc>
      </w:tr>
      <w:tr w:rsidR="00E72E4F" w:rsidRPr="00D01DDB" w14:paraId="79615499"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71136A" w14:textId="2CBD2EF1" w:rsidR="00E72E4F" w:rsidRPr="008412B7" w:rsidRDefault="00E72E4F" w:rsidP="00E72E4F">
            <w:pPr>
              <w:rPr>
                <w:sz w:val="20"/>
                <w:szCs w:val="20"/>
              </w:rPr>
            </w:pPr>
            <w:r w:rsidRPr="008412B7">
              <w:rPr>
                <w:sz w:val="20"/>
                <w:szCs w:val="20"/>
              </w:rPr>
              <w:t>ARI</w:t>
            </w:r>
          </w:p>
        </w:tc>
        <w:tc>
          <w:tcPr>
            <w:tcW w:w="3800" w:type="pct"/>
          </w:tcPr>
          <w:p w14:paraId="370296D6" w14:textId="70BEB16F" w:rsidR="00E72E4F" w:rsidRPr="008412B7" w:rsidRDefault="00E72E4F" w:rsidP="00E72E4F">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Acute respiratory disease</w:t>
            </w:r>
          </w:p>
        </w:tc>
      </w:tr>
      <w:tr w:rsidR="008E08AC" w:rsidRPr="00D01DDB" w14:paraId="271F1939"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624458" w14:textId="29661727" w:rsidR="008E08AC" w:rsidRPr="008412B7" w:rsidRDefault="008E08AC" w:rsidP="008E08AC">
            <w:pPr>
              <w:rPr>
                <w:sz w:val="20"/>
                <w:szCs w:val="20"/>
              </w:rPr>
            </w:pPr>
            <w:r w:rsidRPr="008412B7">
              <w:rPr>
                <w:sz w:val="20"/>
                <w:szCs w:val="20"/>
              </w:rPr>
              <w:t>ARTG</w:t>
            </w:r>
          </w:p>
        </w:tc>
        <w:tc>
          <w:tcPr>
            <w:tcW w:w="3800" w:type="pct"/>
          </w:tcPr>
          <w:p w14:paraId="73E4AF1E" w14:textId="4C93019E" w:rsidR="008E08AC" w:rsidRPr="008412B7" w:rsidRDefault="008E08AC" w:rsidP="008E08AC">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Australian Register of Therapeutic Goods</w:t>
            </w:r>
          </w:p>
        </w:tc>
      </w:tr>
      <w:tr w:rsidR="008E08AC" w:rsidRPr="00D01DDB" w14:paraId="05366769"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8E08AC" w:rsidRPr="008412B7" w:rsidRDefault="008E08AC" w:rsidP="008E08AC">
            <w:pPr>
              <w:rPr>
                <w:sz w:val="20"/>
                <w:szCs w:val="20"/>
              </w:rPr>
            </w:pPr>
            <w:r w:rsidRPr="008412B7">
              <w:rPr>
                <w:sz w:val="20"/>
                <w:szCs w:val="20"/>
              </w:rPr>
              <w:t>ASA</w:t>
            </w:r>
          </w:p>
        </w:tc>
        <w:tc>
          <w:tcPr>
            <w:tcW w:w="3800" w:type="pct"/>
          </w:tcPr>
          <w:p w14:paraId="4E6F5284" w14:textId="21C063B1" w:rsidR="008E08AC" w:rsidRPr="008412B7" w:rsidRDefault="008E08AC" w:rsidP="008E08AC">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Australia</w:t>
            </w:r>
            <w:r w:rsidRPr="008412B7">
              <w:rPr>
                <w:sz w:val="20"/>
                <w:szCs w:val="20"/>
              </w:rPr>
              <w:noBreakHyphen/>
              <w:t>specific annex</w:t>
            </w:r>
          </w:p>
        </w:tc>
      </w:tr>
      <w:tr w:rsidR="000D09EA" w:rsidRPr="00D01DDB" w14:paraId="6360FA80"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F4D7CC" w14:textId="04528458" w:rsidR="000D09EA" w:rsidRPr="008412B7" w:rsidRDefault="000D09EA" w:rsidP="000D09EA">
            <w:pPr>
              <w:rPr>
                <w:sz w:val="20"/>
                <w:szCs w:val="20"/>
              </w:rPr>
            </w:pPr>
            <w:r w:rsidRPr="008412B7">
              <w:rPr>
                <w:sz w:val="20"/>
                <w:szCs w:val="20"/>
              </w:rPr>
              <w:t>CI</w:t>
            </w:r>
          </w:p>
        </w:tc>
        <w:tc>
          <w:tcPr>
            <w:tcW w:w="3800" w:type="pct"/>
          </w:tcPr>
          <w:p w14:paraId="3D077D5C" w14:textId="6CABDA84" w:rsidR="000D09EA" w:rsidRPr="008412B7" w:rsidRDefault="000D09EA" w:rsidP="000D09EA">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Confidence interval</w:t>
            </w:r>
          </w:p>
        </w:tc>
      </w:tr>
      <w:tr w:rsidR="007C7DDB" w:rsidRPr="00D01DDB" w14:paraId="1C5D3CCA"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441BA4" w14:textId="6314CC12" w:rsidR="007C7DDB" w:rsidRPr="007C7DDB" w:rsidDel="00487157" w:rsidRDefault="007C7DDB" w:rsidP="000D09EA">
            <w:pPr>
              <w:rPr>
                <w:sz w:val="20"/>
                <w:szCs w:val="20"/>
              </w:rPr>
            </w:pPr>
            <w:r w:rsidRPr="00C752D3">
              <w:rPr>
                <w:sz w:val="20"/>
              </w:rPr>
              <w:t>CHO-K1</w:t>
            </w:r>
          </w:p>
        </w:tc>
        <w:tc>
          <w:tcPr>
            <w:tcW w:w="3800" w:type="pct"/>
          </w:tcPr>
          <w:p w14:paraId="3DE52F88" w14:textId="0CB9BC26" w:rsidR="007C7DDB" w:rsidRPr="007C7DDB" w:rsidDel="00487157" w:rsidRDefault="007C7DDB" w:rsidP="000D09EA">
            <w:pPr>
              <w:cnfStyle w:val="000000000000" w:firstRow="0" w:lastRow="0" w:firstColumn="0" w:lastColumn="0" w:oddVBand="0" w:evenVBand="0" w:oddHBand="0" w:evenHBand="0" w:firstRowFirstColumn="0" w:firstRowLastColumn="0" w:lastRowFirstColumn="0" w:lastRowLastColumn="0"/>
              <w:rPr>
                <w:sz w:val="20"/>
                <w:szCs w:val="20"/>
              </w:rPr>
            </w:pPr>
            <w:r w:rsidRPr="00C752D3">
              <w:rPr>
                <w:sz w:val="20"/>
              </w:rPr>
              <w:t>Chinese Hamster Ovary K1</w:t>
            </w:r>
          </w:p>
        </w:tc>
      </w:tr>
      <w:tr w:rsidR="000D09EA" w:rsidRPr="00D01DDB" w14:paraId="22D104D4"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E79386E" w14:textId="280B3903" w:rsidR="000D09EA" w:rsidRPr="008412B7" w:rsidRDefault="000D09EA" w:rsidP="000D09EA">
            <w:pPr>
              <w:rPr>
                <w:sz w:val="20"/>
                <w:szCs w:val="20"/>
              </w:rPr>
            </w:pPr>
            <w:r w:rsidRPr="008412B7">
              <w:rPr>
                <w:sz w:val="20"/>
                <w:szCs w:val="20"/>
              </w:rPr>
              <w:t>CLD</w:t>
            </w:r>
          </w:p>
        </w:tc>
        <w:tc>
          <w:tcPr>
            <w:tcW w:w="3800" w:type="pct"/>
          </w:tcPr>
          <w:p w14:paraId="4B76ACD3" w14:textId="5196F8C9" w:rsidR="000D09EA" w:rsidRPr="008412B7" w:rsidRDefault="000D09EA" w:rsidP="000D09EA">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Chronic lung disease</w:t>
            </w:r>
          </w:p>
        </w:tc>
      </w:tr>
      <w:tr w:rsidR="008E08AC" w:rsidRPr="00D01DDB" w14:paraId="7694A4EE"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8E08AC" w:rsidRPr="008412B7" w:rsidRDefault="008E08AC" w:rsidP="008E08AC">
            <w:pPr>
              <w:rPr>
                <w:sz w:val="20"/>
                <w:szCs w:val="20"/>
              </w:rPr>
            </w:pPr>
            <w:r w:rsidRPr="008412B7">
              <w:rPr>
                <w:sz w:val="20"/>
                <w:szCs w:val="20"/>
              </w:rPr>
              <w:t>CMI</w:t>
            </w:r>
          </w:p>
        </w:tc>
        <w:tc>
          <w:tcPr>
            <w:tcW w:w="3800" w:type="pct"/>
          </w:tcPr>
          <w:p w14:paraId="5D8C9DF5" w14:textId="60C23379" w:rsidR="008E08AC" w:rsidRPr="008412B7" w:rsidRDefault="008E08AC" w:rsidP="008E08AC">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Consumer Medicines Information</w:t>
            </w:r>
          </w:p>
        </w:tc>
      </w:tr>
      <w:tr w:rsidR="0066553C" w:rsidRPr="00D01DDB" w14:paraId="48CD5B47"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56599F" w14:textId="6D0685E7" w:rsidR="0066553C" w:rsidRPr="008412B7" w:rsidRDefault="0066553C" w:rsidP="0066553C">
            <w:pPr>
              <w:rPr>
                <w:sz w:val="20"/>
                <w:szCs w:val="20"/>
              </w:rPr>
            </w:pPr>
            <w:r w:rsidRPr="008412B7">
              <w:rPr>
                <w:sz w:val="20"/>
                <w:szCs w:val="20"/>
              </w:rPr>
              <w:t>COPD</w:t>
            </w:r>
          </w:p>
        </w:tc>
        <w:tc>
          <w:tcPr>
            <w:tcW w:w="3800" w:type="pct"/>
          </w:tcPr>
          <w:p w14:paraId="25B917A8" w14:textId="074494A1" w:rsidR="0066553C" w:rsidRPr="008412B7" w:rsidRDefault="0066553C" w:rsidP="0066553C">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Chronic obstructive pulmonary disease</w:t>
            </w:r>
          </w:p>
        </w:tc>
      </w:tr>
      <w:tr w:rsidR="0066553C" w:rsidRPr="00D01DDB" w14:paraId="58701CC6"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5F0D2A" w14:textId="1D434CBE" w:rsidR="0066553C" w:rsidRPr="008412B7" w:rsidRDefault="0066553C" w:rsidP="0066553C">
            <w:pPr>
              <w:rPr>
                <w:sz w:val="20"/>
                <w:szCs w:val="20"/>
              </w:rPr>
            </w:pPr>
            <w:r w:rsidRPr="008412B7">
              <w:rPr>
                <w:sz w:val="20"/>
                <w:szCs w:val="20"/>
              </w:rPr>
              <w:t>COVID-19</w:t>
            </w:r>
          </w:p>
        </w:tc>
        <w:tc>
          <w:tcPr>
            <w:tcW w:w="3800" w:type="pct"/>
          </w:tcPr>
          <w:p w14:paraId="5688C811" w14:textId="39E3E413" w:rsidR="0066553C" w:rsidRPr="008412B7" w:rsidRDefault="0066553C" w:rsidP="0066553C">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Coronavirus disease 2019</w:t>
            </w:r>
          </w:p>
        </w:tc>
      </w:tr>
      <w:tr w:rsidR="0066553C" w:rsidRPr="00D01DDB" w14:paraId="0966052C"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7C4620E" w14:textId="6B7770CA" w:rsidR="0066553C" w:rsidRPr="008412B7" w:rsidRDefault="0066553C" w:rsidP="0066553C">
            <w:pPr>
              <w:rPr>
                <w:sz w:val="20"/>
                <w:szCs w:val="20"/>
              </w:rPr>
            </w:pPr>
            <w:r w:rsidRPr="008412B7">
              <w:rPr>
                <w:sz w:val="20"/>
                <w:szCs w:val="20"/>
              </w:rPr>
              <w:t>CpG</w:t>
            </w:r>
          </w:p>
        </w:tc>
        <w:tc>
          <w:tcPr>
            <w:tcW w:w="3800" w:type="pct"/>
          </w:tcPr>
          <w:p w14:paraId="03F281B1" w14:textId="602EF6DB" w:rsidR="0066553C" w:rsidRPr="008412B7" w:rsidRDefault="0066553C" w:rsidP="0066553C">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CpG 24555</w:t>
            </w:r>
          </w:p>
        </w:tc>
      </w:tr>
      <w:tr w:rsidR="00EB15A2" w:rsidRPr="00D01DDB" w14:paraId="69B077E3"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90E368" w14:textId="36B1887B" w:rsidR="00EB15A2" w:rsidRPr="008412B7" w:rsidRDefault="00EB15A2" w:rsidP="0066553C">
            <w:pPr>
              <w:rPr>
                <w:sz w:val="20"/>
              </w:rPr>
            </w:pPr>
            <w:r>
              <w:rPr>
                <w:sz w:val="20"/>
              </w:rPr>
              <w:t>CPD</w:t>
            </w:r>
          </w:p>
        </w:tc>
        <w:tc>
          <w:tcPr>
            <w:tcW w:w="3800" w:type="pct"/>
          </w:tcPr>
          <w:p w14:paraId="5570F694" w14:textId="6D97B84B" w:rsidR="00EB15A2" w:rsidRPr="008412B7" w:rsidRDefault="00EB15A2" w:rsidP="0066553C">
            <w:pPr>
              <w:cnfStyle w:val="000000000000" w:firstRow="0" w:lastRow="0" w:firstColumn="0" w:lastColumn="0" w:oddVBand="0" w:evenVBand="0" w:oddHBand="0" w:evenHBand="0" w:firstRowFirstColumn="0" w:firstRowLastColumn="0" w:lastRowFirstColumn="0" w:lastRowLastColumn="0"/>
              <w:rPr>
                <w:sz w:val="20"/>
              </w:rPr>
            </w:pPr>
            <w:r w:rsidRPr="00EB15A2">
              <w:rPr>
                <w:sz w:val="20"/>
              </w:rPr>
              <w:t>Certified Product Details</w:t>
            </w:r>
          </w:p>
        </w:tc>
      </w:tr>
      <w:tr w:rsidR="009B3D86" w:rsidRPr="00D01DDB" w14:paraId="56917FB2"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2709DA" w14:textId="3D440F27" w:rsidR="009B3D86" w:rsidRPr="008412B7" w:rsidRDefault="009B3D86" w:rsidP="009B3D86">
            <w:pPr>
              <w:rPr>
                <w:sz w:val="20"/>
                <w:szCs w:val="20"/>
              </w:rPr>
            </w:pPr>
            <w:r w:rsidRPr="008412B7">
              <w:rPr>
                <w:sz w:val="20"/>
                <w:szCs w:val="20"/>
              </w:rPr>
              <w:t>EAC</w:t>
            </w:r>
          </w:p>
        </w:tc>
        <w:tc>
          <w:tcPr>
            <w:tcW w:w="3800" w:type="pct"/>
          </w:tcPr>
          <w:p w14:paraId="2FB1E456" w14:textId="77061F76"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Endpoint adjudication committee</w:t>
            </w:r>
          </w:p>
        </w:tc>
      </w:tr>
      <w:tr w:rsidR="009B3D86" w:rsidRPr="00D01DDB" w14:paraId="39263A6D"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4E314E" w14:textId="68DB5039" w:rsidR="009B3D86" w:rsidRPr="008412B7" w:rsidRDefault="009B3D86" w:rsidP="009B3D86">
            <w:pPr>
              <w:rPr>
                <w:sz w:val="20"/>
              </w:rPr>
            </w:pPr>
            <w:r>
              <w:rPr>
                <w:sz w:val="20"/>
              </w:rPr>
              <w:t>EMA</w:t>
            </w:r>
          </w:p>
        </w:tc>
        <w:tc>
          <w:tcPr>
            <w:tcW w:w="3800" w:type="pct"/>
          </w:tcPr>
          <w:p w14:paraId="5CC6292B" w14:textId="09C8E9D4"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rPr>
            </w:pPr>
            <w:r>
              <w:rPr>
                <w:sz w:val="20"/>
              </w:rPr>
              <w:t>European Medicines Agency</w:t>
            </w:r>
          </w:p>
        </w:tc>
      </w:tr>
      <w:tr w:rsidR="009B3D86" w:rsidRPr="00D01DDB" w14:paraId="2C9265EE"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6B5110" w14:textId="40F1EFF9" w:rsidR="009B3D86" w:rsidRPr="008412B7" w:rsidRDefault="009B3D86" w:rsidP="009B3D86">
            <w:pPr>
              <w:rPr>
                <w:sz w:val="20"/>
                <w:szCs w:val="20"/>
              </w:rPr>
            </w:pPr>
            <w:r w:rsidRPr="008412B7">
              <w:rPr>
                <w:sz w:val="20"/>
                <w:szCs w:val="20"/>
              </w:rPr>
              <w:t>EU</w:t>
            </w:r>
          </w:p>
        </w:tc>
        <w:tc>
          <w:tcPr>
            <w:tcW w:w="3800" w:type="pct"/>
          </w:tcPr>
          <w:p w14:paraId="5111A276" w14:textId="1C8FF1E9"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European Union</w:t>
            </w:r>
          </w:p>
        </w:tc>
      </w:tr>
      <w:tr w:rsidR="009B3D86" w:rsidRPr="00D01DDB" w14:paraId="2F4344E3"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555046" w14:textId="6EB0875F" w:rsidR="009B3D86" w:rsidRPr="008412B7" w:rsidDel="00487157" w:rsidRDefault="009B3D86" w:rsidP="009B3D86">
            <w:pPr>
              <w:rPr>
                <w:sz w:val="20"/>
              </w:rPr>
            </w:pPr>
            <w:r>
              <w:rPr>
                <w:sz w:val="20"/>
              </w:rPr>
              <w:t>EU RMP</w:t>
            </w:r>
          </w:p>
        </w:tc>
        <w:tc>
          <w:tcPr>
            <w:tcW w:w="3800" w:type="pct"/>
          </w:tcPr>
          <w:p w14:paraId="7AF54ACB" w14:textId="639EBAFD" w:rsidR="009B3D86" w:rsidRPr="008412B7" w:rsidDel="00487157" w:rsidRDefault="009B3D86" w:rsidP="009B3D86">
            <w:pPr>
              <w:cnfStyle w:val="000000000000" w:firstRow="0" w:lastRow="0" w:firstColumn="0" w:lastColumn="0" w:oddVBand="0" w:evenVBand="0" w:oddHBand="0" w:evenHBand="0" w:firstRowFirstColumn="0" w:firstRowLastColumn="0" w:lastRowFirstColumn="0" w:lastRowLastColumn="0"/>
              <w:rPr>
                <w:sz w:val="20"/>
              </w:rPr>
            </w:pPr>
            <w:r>
              <w:rPr>
                <w:sz w:val="20"/>
              </w:rPr>
              <w:t>European risk management plan</w:t>
            </w:r>
          </w:p>
        </w:tc>
      </w:tr>
      <w:tr w:rsidR="009B3D86" w:rsidRPr="00D01DDB" w14:paraId="7E223FFA"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5B9900" w14:textId="1362BE8A" w:rsidR="009B3D86" w:rsidRPr="008412B7" w:rsidRDefault="009B3D86" w:rsidP="009B3D86">
            <w:pPr>
              <w:rPr>
                <w:sz w:val="20"/>
                <w:szCs w:val="20"/>
              </w:rPr>
            </w:pPr>
            <w:r w:rsidRPr="008412B7">
              <w:rPr>
                <w:sz w:val="20"/>
                <w:szCs w:val="20"/>
              </w:rPr>
              <w:t>FHA</w:t>
            </w:r>
          </w:p>
        </w:tc>
        <w:tc>
          <w:tcPr>
            <w:tcW w:w="3800" w:type="pct"/>
          </w:tcPr>
          <w:p w14:paraId="2C095C2F" w14:textId="4E347E63"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Filamentous haemagglutinin</w:t>
            </w:r>
          </w:p>
        </w:tc>
      </w:tr>
      <w:tr w:rsidR="009B3D86" w:rsidRPr="00D01DDB" w14:paraId="1EC97F8C"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4BC12B" w14:textId="4214E082" w:rsidR="009B3D86" w:rsidRPr="008412B7" w:rsidRDefault="009B3D86" w:rsidP="009B3D86">
            <w:pPr>
              <w:rPr>
                <w:sz w:val="20"/>
                <w:szCs w:val="20"/>
              </w:rPr>
            </w:pPr>
            <w:r w:rsidRPr="008412B7">
              <w:rPr>
                <w:sz w:val="20"/>
                <w:szCs w:val="20"/>
              </w:rPr>
              <w:t>GA</w:t>
            </w:r>
          </w:p>
        </w:tc>
        <w:tc>
          <w:tcPr>
            <w:tcW w:w="3800" w:type="pct"/>
          </w:tcPr>
          <w:p w14:paraId="5E3E8036" w14:textId="35D1862B"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Gestational age</w:t>
            </w:r>
          </w:p>
        </w:tc>
      </w:tr>
      <w:tr w:rsidR="009B3D86" w:rsidRPr="00D01DDB" w14:paraId="2243D7BA"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CEA777" w14:textId="416DE40F" w:rsidR="009B3D86" w:rsidRPr="008412B7" w:rsidRDefault="009B3D86" w:rsidP="009B3D86">
            <w:pPr>
              <w:rPr>
                <w:sz w:val="20"/>
                <w:szCs w:val="20"/>
              </w:rPr>
            </w:pPr>
            <w:r w:rsidRPr="008412B7">
              <w:rPr>
                <w:sz w:val="20"/>
                <w:szCs w:val="20"/>
              </w:rPr>
              <w:t>GBS</w:t>
            </w:r>
          </w:p>
        </w:tc>
        <w:tc>
          <w:tcPr>
            <w:tcW w:w="3800" w:type="pct"/>
          </w:tcPr>
          <w:p w14:paraId="29FB2193" w14:textId="622C8FC3"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Guillain-Barrè syndrome</w:t>
            </w:r>
          </w:p>
        </w:tc>
      </w:tr>
      <w:tr w:rsidR="009B3D86" w:rsidRPr="00D01DDB" w14:paraId="257742B4"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D7727C" w14:textId="50BE2257" w:rsidR="009B3D86" w:rsidRPr="008412B7" w:rsidDel="00487157" w:rsidRDefault="009B3D86" w:rsidP="2269C378">
            <w:pPr>
              <w:rPr>
                <w:sz w:val="20"/>
              </w:rPr>
            </w:pPr>
            <w:r w:rsidRPr="00FA2637">
              <w:rPr>
                <w:sz w:val="20"/>
              </w:rPr>
              <w:t>GM</w:t>
            </w:r>
          </w:p>
        </w:tc>
        <w:tc>
          <w:tcPr>
            <w:tcW w:w="3800" w:type="pct"/>
          </w:tcPr>
          <w:p w14:paraId="194FCCFA" w14:textId="068876B1" w:rsidR="009B3D86" w:rsidRPr="007760B4" w:rsidDel="00487157" w:rsidRDefault="00144049" w:rsidP="009B3D86">
            <w:pPr>
              <w:cnfStyle w:val="000000000000" w:firstRow="0" w:lastRow="0" w:firstColumn="0" w:lastColumn="0" w:oddVBand="0" w:evenVBand="0" w:oddHBand="0" w:evenHBand="0" w:firstRowFirstColumn="0" w:firstRowLastColumn="0" w:lastRowFirstColumn="0" w:lastRowLastColumn="0"/>
              <w:rPr>
                <w:sz w:val="20"/>
              </w:rPr>
            </w:pPr>
            <w:r w:rsidRPr="007760B4">
              <w:rPr>
                <w:sz w:val="20"/>
              </w:rPr>
              <w:t>Geometric mean</w:t>
            </w:r>
          </w:p>
        </w:tc>
      </w:tr>
      <w:tr w:rsidR="009B3D86" w:rsidRPr="00D01DDB" w14:paraId="43DF3169"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754CFF" w14:textId="7B9133BD" w:rsidR="009B3D86" w:rsidRPr="008412B7" w:rsidRDefault="009B3D86" w:rsidP="009B3D86">
            <w:pPr>
              <w:rPr>
                <w:sz w:val="20"/>
                <w:szCs w:val="20"/>
              </w:rPr>
            </w:pPr>
            <w:r w:rsidRPr="008412B7">
              <w:rPr>
                <w:sz w:val="20"/>
                <w:szCs w:val="20"/>
              </w:rPr>
              <w:t>GMC</w:t>
            </w:r>
          </w:p>
        </w:tc>
        <w:tc>
          <w:tcPr>
            <w:tcW w:w="3800" w:type="pct"/>
          </w:tcPr>
          <w:p w14:paraId="2B179C98" w14:textId="0C7AD299" w:rsidR="009B3D86" w:rsidRPr="007760B4"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bookmarkStart w:id="6" w:name="_Hlk162957213"/>
            <w:r w:rsidRPr="007760B4">
              <w:rPr>
                <w:sz w:val="20"/>
                <w:szCs w:val="20"/>
              </w:rPr>
              <w:t>Geometric mean concentration</w:t>
            </w:r>
            <w:bookmarkEnd w:id="6"/>
          </w:p>
        </w:tc>
      </w:tr>
      <w:tr w:rsidR="009B3D86" w:rsidRPr="00D01DDB" w14:paraId="2D592CA8"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BDAE8AC" w14:textId="25601229" w:rsidR="009B3D86" w:rsidRPr="008412B7" w:rsidRDefault="009B3D86" w:rsidP="009B3D86">
            <w:pPr>
              <w:rPr>
                <w:sz w:val="20"/>
                <w:szCs w:val="20"/>
              </w:rPr>
            </w:pPr>
            <w:r w:rsidRPr="008412B7">
              <w:rPr>
                <w:sz w:val="20"/>
                <w:szCs w:val="20"/>
              </w:rPr>
              <w:t>GMFR</w:t>
            </w:r>
          </w:p>
        </w:tc>
        <w:tc>
          <w:tcPr>
            <w:tcW w:w="3800" w:type="pct"/>
          </w:tcPr>
          <w:p w14:paraId="181D0BC4" w14:textId="18A5A2B7"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Geometric mean fold rise</w:t>
            </w:r>
          </w:p>
        </w:tc>
      </w:tr>
      <w:tr w:rsidR="009B3D86" w:rsidRPr="00D01DDB" w14:paraId="1D9EBA87"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1773E1" w14:textId="18919508" w:rsidR="009B3D86" w:rsidRPr="008412B7" w:rsidRDefault="009B3D86" w:rsidP="009B3D86">
            <w:pPr>
              <w:rPr>
                <w:sz w:val="20"/>
                <w:szCs w:val="20"/>
              </w:rPr>
            </w:pPr>
            <w:r w:rsidRPr="008412B7">
              <w:rPr>
                <w:sz w:val="20"/>
                <w:szCs w:val="20"/>
              </w:rPr>
              <w:t>GMR</w:t>
            </w:r>
          </w:p>
        </w:tc>
        <w:tc>
          <w:tcPr>
            <w:tcW w:w="3800" w:type="pct"/>
          </w:tcPr>
          <w:p w14:paraId="46C5641E" w14:textId="240F1CBD"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Geometric mean ratio</w:t>
            </w:r>
          </w:p>
        </w:tc>
      </w:tr>
      <w:tr w:rsidR="009B3D86" w:rsidRPr="00D01DDB" w14:paraId="72A26A60"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D4E443" w14:textId="72CE476A" w:rsidR="009B3D86" w:rsidRPr="008412B7" w:rsidRDefault="009B3D86" w:rsidP="009B3D86">
            <w:pPr>
              <w:rPr>
                <w:sz w:val="20"/>
                <w:szCs w:val="20"/>
              </w:rPr>
            </w:pPr>
            <w:r w:rsidRPr="008412B7">
              <w:rPr>
                <w:sz w:val="20"/>
                <w:szCs w:val="20"/>
              </w:rPr>
              <w:t>GMT</w:t>
            </w:r>
          </w:p>
        </w:tc>
        <w:tc>
          <w:tcPr>
            <w:tcW w:w="3800" w:type="pct"/>
          </w:tcPr>
          <w:p w14:paraId="6B45DFAA" w14:textId="6E9695A8"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Geometric mean titre</w:t>
            </w:r>
          </w:p>
        </w:tc>
      </w:tr>
      <w:tr w:rsidR="009B3D86" w:rsidRPr="00D01DDB" w14:paraId="7D1EBDDC"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9858A7" w14:textId="411F71D3" w:rsidR="009B3D86" w:rsidRPr="008412B7" w:rsidRDefault="009B3D86" w:rsidP="009B3D86">
            <w:pPr>
              <w:rPr>
                <w:sz w:val="20"/>
              </w:rPr>
            </w:pPr>
            <w:r>
              <w:rPr>
                <w:sz w:val="20"/>
              </w:rPr>
              <w:t>GVP</w:t>
            </w:r>
          </w:p>
        </w:tc>
        <w:tc>
          <w:tcPr>
            <w:tcW w:w="3800" w:type="pct"/>
          </w:tcPr>
          <w:p w14:paraId="418DEF36" w14:textId="2EE2F9C1"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rPr>
            </w:pPr>
            <w:r>
              <w:rPr>
                <w:sz w:val="20"/>
              </w:rPr>
              <w:t>G</w:t>
            </w:r>
            <w:r w:rsidRPr="00EB15A2">
              <w:rPr>
                <w:sz w:val="20"/>
              </w:rPr>
              <w:t>ood pharmacovigilance practices</w:t>
            </w:r>
          </w:p>
        </w:tc>
      </w:tr>
      <w:tr w:rsidR="009B3D86" w:rsidRPr="00D01DDB" w14:paraId="06D9D551"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A56B35" w14:textId="33E2165B" w:rsidR="009B3D86" w:rsidRPr="008412B7" w:rsidRDefault="009B3D86" w:rsidP="009B3D86">
            <w:pPr>
              <w:rPr>
                <w:sz w:val="20"/>
                <w:szCs w:val="20"/>
              </w:rPr>
            </w:pPr>
            <w:r w:rsidRPr="008412B7">
              <w:rPr>
                <w:sz w:val="20"/>
                <w:szCs w:val="20"/>
              </w:rPr>
              <w:lastRenderedPageBreak/>
              <w:t>H1N1</w:t>
            </w:r>
          </w:p>
        </w:tc>
        <w:tc>
          <w:tcPr>
            <w:tcW w:w="3800" w:type="pct"/>
          </w:tcPr>
          <w:p w14:paraId="020EA4ED" w14:textId="78D8E550"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Swine flu</w:t>
            </w:r>
          </w:p>
        </w:tc>
      </w:tr>
      <w:tr w:rsidR="009B3D86" w:rsidRPr="00D01DDB" w14:paraId="67BD145C"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01ACBA" w14:textId="6FCCFFB2" w:rsidR="009B3D86" w:rsidRPr="008412B7" w:rsidRDefault="009B3D86" w:rsidP="009B3D86">
            <w:pPr>
              <w:rPr>
                <w:sz w:val="20"/>
                <w:szCs w:val="20"/>
              </w:rPr>
            </w:pPr>
            <w:r w:rsidRPr="008412B7">
              <w:rPr>
                <w:sz w:val="20"/>
                <w:szCs w:val="20"/>
              </w:rPr>
              <w:t>H3N2</w:t>
            </w:r>
          </w:p>
        </w:tc>
        <w:tc>
          <w:tcPr>
            <w:tcW w:w="3800" w:type="pct"/>
          </w:tcPr>
          <w:p w14:paraId="0C4C5748" w14:textId="038065C6"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Subtype of influenza A virus</w:t>
            </w:r>
          </w:p>
        </w:tc>
      </w:tr>
      <w:tr w:rsidR="009B3D86" w:rsidRPr="00D01DDB" w14:paraId="153F2BBE"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579D9D" w14:textId="76748878" w:rsidR="009B3D86" w:rsidRPr="008412B7" w:rsidRDefault="009B3D86" w:rsidP="009B3D86">
            <w:pPr>
              <w:rPr>
                <w:sz w:val="20"/>
                <w:szCs w:val="20"/>
              </w:rPr>
            </w:pPr>
            <w:r w:rsidRPr="008412B7">
              <w:rPr>
                <w:sz w:val="20"/>
                <w:szCs w:val="20"/>
              </w:rPr>
              <w:t>HAI</w:t>
            </w:r>
          </w:p>
        </w:tc>
        <w:tc>
          <w:tcPr>
            <w:tcW w:w="3800" w:type="pct"/>
          </w:tcPr>
          <w:p w14:paraId="30465532" w14:textId="6FA44A9E"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Haemagglutination inhibition</w:t>
            </w:r>
          </w:p>
        </w:tc>
      </w:tr>
      <w:tr w:rsidR="009B3D86" w:rsidRPr="00D01DDB" w14:paraId="06A49417"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4A43B4" w14:textId="066D87FA" w:rsidR="009B3D86" w:rsidRPr="008412B7" w:rsidRDefault="009B3D86" w:rsidP="009B3D86">
            <w:pPr>
              <w:rPr>
                <w:sz w:val="20"/>
                <w:szCs w:val="20"/>
              </w:rPr>
            </w:pPr>
            <w:r w:rsidRPr="008412B7">
              <w:rPr>
                <w:sz w:val="20"/>
                <w:szCs w:val="20"/>
              </w:rPr>
              <w:t>ICU</w:t>
            </w:r>
          </w:p>
        </w:tc>
        <w:tc>
          <w:tcPr>
            <w:tcW w:w="3800" w:type="pct"/>
          </w:tcPr>
          <w:p w14:paraId="34143791" w14:textId="330623EA"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Intensive care unit</w:t>
            </w:r>
          </w:p>
        </w:tc>
      </w:tr>
      <w:tr w:rsidR="009B3D86" w:rsidRPr="00D01DDB" w14:paraId="1AE4C92B"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60F84B" w14:textId="755E5A71" w:rsidR="009B3D86" w:rsidRPr="008412B7" w:rsidDel="00487157" w:rsidRDefault="009B3D86" w:rsidP="009B3D86">
            <w:pPr>
              <w:rPr>
                <w:sz w:val="20"/>
              </w:rPr>
            </w:pPr>
            <w:r>
              <w:rPr>
                <w:sz w:val="20"/>
              </w:rPr>
              <w:t>LL</w:t>
            </w:r>
          </w:p>
        </w:tc>
        <w:tc>
          <w:tcPr>
            <w:tcW w:w="3800" w:type="pct"/>
          </w:tcPr>
          <w:p w14:paraId="01224604" w14:textId="238B99F0" w:rsidR="009B3D86" w:rsidRPr="008412B7" w:rsidDel="00487157" w:rsidRDefault="009B3D86" w:rsidP="009B3D86">
            <w:pPr>
              <w:cnfStyle w:val="000000000000" w:firstRow="0" w:lastRow="0" w:firstColumn="0" w:lastColumn="0" w:oddVBand="0" w:evenVBand="0" w:oddHBand="0" w:evenHBand="0" w:firstRowFirstColumn="0" w:firstRowLastColumn="0" w:lastRowFirstColumn="0" w:lastRowLastColumn="0"/>
              <w:rPr>
                <w:sz w:val="20"/>
              </w:rPr>
            </w:pPr>
            <w:r>
              <w:rPr>
                <w:sz w:val="20"/>
              </w:rPr>
              <w:t>Lower limit</w:t>
            </w:r>
          </w:p>
        </w:tc>
      </w:tr>
      <w:tr w:rsidR="009B3D86" w:rsidRPr="00D01DDB" w14:paraId="719EFCF9"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F3640E" w14:textId="12370803" w:rsidR="009B3D86" w:rsidRPr="00815D91" w:rsidDel="00487157" w:rsidRDefault="009B3D86" w:rsidP="009B3D86">
            <w:pPr>
              <w:rPr>
                <w:sz w:val="20"/>
              </w:rPr>
            </w:pPr>
            <w:r w:rsidRPr="00815D91">
              <w:rPr>
                <w:sz w:val="20"/>
              </w:rPr>
              <w:t>LLOD</w:t>
            </w:r>
          </w:p>
        </w:tc>
        <w:tc>
          <w:tcPr>
            <w:tcW w:w="3800" w:type="pct"/>
          </w:tcPr>
          <w:p w14:paraId="2C526FFD" w14:textId="24F2234B" w:rsidR="009B3D86" w:rsidRPr="00815D91" w:rsidDel="00487157" w:rsidRDefault="009B3D86" w:rsidP="009B3D86">
            <w:pPr>
              <w:cnfStyle w:val="000000000000" w:firstRow="0" w:lastRow="0" w:firstColumn="0" w:lastColumn="0" w:oddVBand="0" w:evenVBand="0" w:oddHBand="0" w:evenHBand="0" w:firstRowFirstColumn="0" w:firstRowLastColumn="0" w:lastRowFirstColumn="0" w:lastRowLastColumn="0"/>
              <w:rPr>
                <w:sz w:val="20"/>
              </w:rPr>
            </w:pPr>
            <w:r w:rsidRPr="00815D91">
              <w:rPr>
                <w:sz w:val="20"/>
              </w:rPr>
              <w:t>Lower limit of detection</w:t>
            </w:r>
          </w:p>
        </w:tc>
      </w:tr>
      <w:tr w:rsidR="009B3D86" w:rsidRPr="00D01DDB" w14:paraId="5371A1F0"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BB113A" w14:textId="767CB110" w:rsidR="009B3D86" w:rsidRPr="008412B7" w:rsidDel="00487157" w:rsidRDefault="009B3D86" w:rsidP="009B3D86">
            <w:pPr>
              <w:rPr>
                <w:sz w:val="20"/>
              </w:rPr>
            </w:pPr>
            <w:r>
              <w:rPr>
                <w:sz w:val="20"/>
              </w:rPr>
              <w:t>ITT</w:t>
            </w:r>
          </w:p>
        </w:tc>
        <w:tc>
          <w:tcPr>
            <w:tcW w:w="3800" w:type="pct"/>
          </w:tcPr>
          <w:p w14:paraId="5B908CAD" w14:textId="6AA5C60D" w:rsidR="009B3D86" w:rsidRPr="008412B7" w:rsidDel="00487157" w:rsidRDefault="009B3D86" w:rsidP="009B3D86">
            <w:pPr>
              <w:cnfStyle w:val="000000000000" w:firstRow="0" w:lastRow="0" w:firstColumn="0" w:lastColumn="0" w:oddVBand="0" w:evenVBand="0" w:oddHBand="0" w:evenHBand="0" w:firstRowFirstColumn="0" w:firstRowLastColumn="0" w:lastRowFirstColumn="0" w:lastRowLastColumn="0"/>
              <w:rPr>
                <w:sz w:val="20"/>
              </w:rPr>
            </w:pPr>
            <w:r>
              <w:rPr>
                <w:sz w:val="20"/>
              </w:rPr>
              <w:t>Intention to treat</w:t>
            </w:r>
          </w:p>
        </w:tc>
      </w:tr>
      <w:tr w:rsidR="00BF3D7E" w:rsidRPr="00D01DDB" w14:paraId="7C644279"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08AAAC" w14:textId="350C33A0" w:rsidR="00BF3D7E" w:rsidRDefault="00BF3D7E" w:rsidP="009B3D86">
            <w:pPr>
              <w:rPr>
                <w:sz w:val="20"/>
              </w:rPr>
            </w:pPr>
            <w:r>
              <w:rPr>
                <w:sz w:val="20"/>
              </w:rPr>
              <w:t>IVF</w:t>
            </w:r>
          </w:p>
        </w:tc>
        <w:tc>
          <w:tcPr>
            <w:tcW w:w="3800" w:type="pct"/>
          </w:tcPr>
          <w:p w14:paraId="3B887103" w14:textId="58DE7B44" w:rsidR="00BF3D7E" w:rsidRDefault="00BF3D7E" w:rsidP="009B3D86">
            <w:pPr>
              <w:cnfStyle w:val="000000000000" w:firstRow="0" w:lastRow="0" w:firstColumn="0" w:lastColumn="0" w:oddVBand="0" w:evenVBand="0" w:oddHBand="0" w:evenHBand="0" w:firstRowFirstColumn="0" w:firstRowLastColumn="0" w:lastRowFirstColumn="0" w:lastRowLastColumn="0"/>
              <w:rPr>
                <w:sz w:val="20"/>
              </w:rPr>
            </w:pPr>
            <w:r w:rsidRPr="00BF3D7E">
              <w:rPr>
                <w:i/>
                <w:iCs/>
                <w:sz w:val="20"/>
              </w:rPr>
              <w:t>In vitro</w:t>
            </w:r>
            <w:r>
              <w:rPr>
                <w:sz w:val="20"/>
              </w:rPr>
              <w:t xml:space="preserve"> fertilisation</w:t>
            </w:r>
          </w:p>
        </w:tc>
      </w:tr>
      <w:tr w:rsidR="009B3D86" w:rsidRPr="00D01DDB" w14:paraId="5613196C"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75CE7F" w14:textId="52604B97" w:rsidR="009B3D86" w:rsidRDefault="009B3D86" w:rsidP="009B3D86">
            <w:pPr>
              <w:rPr>
                <w:sz w:val="20"/>
              </w:rPr>
            </w:pPr>
            <w:r w:rsidRPr="00BF3D7E">
              <w:rPr>
                <w:sz w:val="20"/>
              </w:rPr>
              <w:t>LRT</w:t>
            </w:r>
          </w:p>
        </w:tc>
        <w:tc>
          <w:tcPr>
            <w:tcW w:w="3800" w:type="pct"/>
          </w:tcPr>
          <w:p w14:paraId="4C7F98BB" w14:textId="676612AE" w:rsidR="009B3D86" w:rsidRDefault="00BF3D7E" w:rsidP="009B3D86">
            <w:pPr>
              <w:cnfStyle w:val="000000000000" w:firstRow="0" w:lastRow="0" w:firstColumn="0" w:lastColumn="0" w:oddVBand="0" w:evenVBand="0" w:oddHBand="0" w:evenHBand="0" w:firstRowFirstColumn="0" w:firstRowLastColumn="0" w:lastRowFirstColumn="0" w:lastRowLastColumn="0"/>
              <w:rPr>
                <w:sz w:val="20"/>
              </w:rPr>
            </w:pPr>
            <w:r>
              <w:rPr>
                <w:sz w:val="20"/>
              </w:rPr>
              <w:t>Lower respiratory tract</w:t>
            </w:r>
          </w:p>
        </w:tc>
      </w:tr>
      <w:tr w:rsidR="009B3D86" w:rsidRPr="00D01DDB" w14:paraId="275AAAED"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EAB7B1" w14:textId="14220952" w:rsidR="009B3D86" w:rsidRPr="008412B7" w:rsidRDefault="009B3D86" w:rsidP="009B3D86">
            <w:pPr>
              <w:rPr>
                <w:sz w:val="20"/>
                <w:szCs w:val="20"/>
              </w:rPr>
            </w:pPr>
            <w:r w:rsidRPr="008412B7">
              <w:rPr>
                <w:sz w:val="20"/>
                <w:szCs w:val="20"/>
              </w:rPr>
              <w:t>LRTI</w:t>
            </w:r>
          </w:p>
        </w:tc>
        <w:tc>
          <w:tcPr>
            <w:tcW w:w="3800" w:type="pct"/>
          </w:tcPr>
          <w:p w14:paraId="1995EABA" w14:textId="78CC43D6"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Lower respiratory tract illness</w:t>
            </w:r>
          </w:p>
        </w:tc>
      </w:tr>
      <w:tr w:rsidR="00CF1C64" w:rsidRPr="008412B7" w14:paraId="67DC2087"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34543AF" w14:textId="77777777" w:rsidR="00CF1C64" w:rsidRPr="008412B7" w:rsidRDefault="00CF1C64" w:rsidP="004E5956">
            <w:pPr>
              <w:rPr>
                <w:sz w:val="20"/>
                <w:szCs w:val="20"/>
              </w:rPr>
            </w:pPr>
            <w:r w:rsidRPr="008412B7">
              <w:rPr>
                <w:sz w:val="20"/>
                <w:szCs w:val="20"/>
              </w:rPr>
              <w:t>LRTI-RSV</w:t>
            </w:r>
          </w:p>
        </w:tc>
        <w:tc>
          <w:tcPr>
            <w:tcW w:w="3800" w:type="pct"/>
          </w:tcPr>
          <w:p w14:paraId="43427700" w14:textId="77777777" w:rsidR="00CF1C64" w:rsidRPr="008412B7" w:rsidRDefault="00CF1C64" w:rsidP="004E5956">
            <w:pPr>
              <w:cnfStyle w:val="000000000000" w:firstRow="0" w:lastRow="0" w:firstColumn="0" w:lastColumn="0" w:oddVBand="0" w:evenVBand="0" w:oddHBand="0" w:evenHBand="0" w:firstRowFirstColumn="0" w:firstRowLastColumn="0" w:lastRowFirstColumn="0" w:lastRowLastColumn="0"/>
              <w:rPr>
                <w:sz w:val="20"/>
                <w:szCs w:val="20"/>
              </w:rPr>
            </w:pPr>
            <w:bookmarkStart w:id="7" w:name="_Hlk162959200"/>
            <w:r w:rsidRPr="008412B7">
              <w:rPr>
                <w:sz w:val="20"/>
                <w:szCs w:val="20"/>
              </w:rPr>
              <w:t>RSV-associated lower respiratory tract illness</w:t>
            </w:r>
            <w:bookmarkEnd w:id="7"/>
          </w:p>
        </w:tc>
      </w:tr>
      <w:tr w:rsidR="009B3D86" w:rsidRPr="00D01DDB" w14:paraId="66DA51A7"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39CF93" w14:textId="75070B31" w:rsidR="009B3D86" w:rsidRPr="008412B7" w:rsidRDefault="009B3D86" w:rsidP="009B3D86">
            <w:pPr>
              <w:rPr>
                <w:sz w:val="20"/>
                <w:szCs w:val="20"/>
              </w:rPr>
            </w:pPr>
            <w:r w:rsidRPr="008412B7">
              <w:rPr>
                <w:sz w:val="20"/>
                <w:szCs w:val="20"/>
              </w:rPr>
              <w:t>MA-LRTI</w:t>
            </w:r>
          </w:p>
        </w:tc>
        <w:tc>
          <w:tcPr>
            <w:tcW w:w="3800" w:type="pct"/>
          </w:tcPr>
          <w:p w14:paraId="1CDD0A21" w14:textId="2A455B80"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Medically attended lower respiratory tract illness</w:t>
            </w:r>
          </w:p>
        </w:tc>
      </w:tr>
      <w:tr w:rsidR="009B3D86" w:rsidRPr="00D01DDB" w14:paraId="2D5761C6"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6CC14DC" w14:textId="4B7CECAD" w:rsidR="009B3D86" w:rsidRPr="008412B7" w:rsidRDefault="009B3D86" w:rsidP="009B3D86">
            <w:pPr>
              <w:rPr>
                <w:sz w:val="20"/>
                <w:szCs w:val="20"/>
              </w:rPr>
            </w:pPr>
            <w:r w:rsidRPr="008412B7">
              <w:rPr>
                <w:sz w:val="20"/>
                <w:szCs w:val="20"/>
              </w:rPr>
              <w:t>MA-RTI</w:t>
            </w:r>
          </w:p>
        </w:tc>
        <w:tc>
          <w:tcPr>
            <w:tcW w:w="3800" w:type="pct"/>
          </w:tcPr>
          <w:p w14:paraId="5E48E3C8" w14:textId="129087EF"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Medically attended respiratory tract illness</w:t>
            </w:r>
          </w:p>
        </w:tc>
      </w:tr>
      <w:tr w:rsidR="009B3D86" w:rsidRPr="00D01DDB" w14:paraId="1090BD9D"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4D72E2" w14:textId="7707373A" w:rsidR="009B3D86" w:rsidRPr="008412B7" w:rsidRDefault="009B3D86" w:rsidP="009B3D86">
            <w:pPr>
              <w:rPr>
                <w:sz w:val="20"/>
                <w:szCs w:val="20"/>
              </w:rPr>
            </w:pPr>
            <w:proofErr w:type="spellStart"/>
            <w:r w:rsidRPr="008412B7">
              <w:rPr>
                <w:sz w:val="20"/>
                <w:szCs w:val="20"/>
              </w:rPr>
              <w:t>mITT</w:t>
            </w:r>
            <w:proofErr w:type="spellEnd"/>
          </w:p>
        </w:tc>
        <w:tc>
          <w:tcPr>
            <w:tcW w:w="3800" w:type="pct"/>
          </w:tcPr>
          <w:p w14:paraId="473D2A68" w14:textId="6ADEB436"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Modified intention to treat</w:t>
            </w:r>
          </w:p>
        </w:tc>
      </w:tr>
      <w:tr w:rsidR="009B3D86" w:rsidRPr="00D01DDB" w14:paraId="21640EDB"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FBC1CE" w14:textId="7CB47D77" w:rsidR="009B3D86" w:rsidRPr="008412B7" w:rsidRDefault="009B3D86" w:rsidP="009B3D86">
            <w:pPr>
              <w:rPr>
                <w:sz w:val="20"/>
                <w:szCs w:val="20"/>
              </w:rPr>
            </w:pPr>
            <w:r w:rsidRPr="008412B7">
              <w:rPr>
                <w:sz w:val="20"/>
                <w:szCs w:val="20"/>
              </w:rPr>
              <w:t>NA</w:t>
            </w:r>
          </w:p>
        </w:tc>
        <w:tc>
          <w:tcPr>
            <w:tcW w:w="3800" w:type="pct"/>
          </w:tcPr>
          <w:p w14:paraId="5146BA40" w14:textId="333E3631"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Not applicable</w:t>
            </w:r>
          </w:p>
        </w:tc>
      </w:tr>
      <w:tr w:rsidR="009B3D86" w:rsidRPr="00D01DDB" w14:paraId="6F82CAF9"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C039A4" w14:textId="24241F5B" w:rsidR="009B3D86" w:rsidRPr="008412B7" w:rsidRDefault="009B3D86" w:rsidP="009B3D86">
            <w:pPr>
              <w:rPr>
                <w:sz w:val="20"/>
                <w:szCs w:val="20"/>
              </w:rPr>
            </w:pPr>
            <w:r w:rsidRPr="008412B7">
              <w:rPr>
                <w:sz w:val="20"/>
                <w:szCs w:val="20"/>
              </w:rPr>
              <w:t>NDCMC</w:t>
            </w:r>
          </w:p>
        </w:tc>
        <w:tc>
          <w:tcPr>
            <w:tcW w:w="3800" w:type="pct"/>
          </w:tcPr>
          <w:p w14:paraId="5F703A8B" w14:textId="18D3B5EF"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Newly diagnosed chronic medical condition</w:t>
            </w:r>
          </w:p>
        </w:tc>
      </w:tr>
      <w:tr w:rsidR="009B3D86" w:rsidRPr="00D01DDB" w14:paraId="6A5FDBA6"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1F5127" w14:textId="60993151" w:rsidR="009B3D86" w:rsidRPr="00487157" w:rsidDel="00487157" w:rsidRDefault="009B3D86" w:rsidP="009B3D86">
            <w:pPr>
              <w:rPr>
                <w:sz w:val="20"/>
                <w:szCs w:val="20"/>
              </w:rPr>
            </w:pPr>
            <w:r w:rsidRPr="00C752D3">
              <w:rPr>
                <w:sz w:val="20"/>
              </w:rPr>
              <w:t>OCABR</w:t>
            </w:r>
          </w:p>
        </w:tc>
        <w:tc>
          <w:tcPr>
            <w:tcW w:w="3800" w:type="pct"/>
          </w:tcPr>
          <w:p w14:paraId="27790FCC" w14:textId="534D8D61" w:rsidR="009B3D86" w:rsidRPr="00487157" w:rsidDel="0048715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C752D3">
              <w:rPr>
                <w:sz w:val="20"/>
              </w:rPr>
              <w:t xml:space="preserve">Official Control Authority Batch Release </w:t>
            </w:r>
          </w:p>
        </w:tc>
      </w:tr>
      <w:tr w:rsidR="009B3D86" w:rsidRPr="00D01DDB" w14:paraId="28FF432B"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85EEFE" w14:textId="2C452044" w:rsidR="009B3D86" w:rsidRPr="008412B7" w:rsidDel="00487157" w:rsidRDefault="009B3D86" w:rsidP="009B3D86">
            <w:pPr>
              <w:rPr>
                <w:sz w:val="20"/>
              </w:rPr>
            </w:pPr>
            <w:r>
              <w:rPr>
                <w:sz w:val="20"/>
              </w:rPr>
              <w:t>OR</w:t>
            </w:r>
          </w:p>
        </w:tc>
        <w:tc>
          <w:tcPr>
            <w:tcW w:w="3800" w:type="pct"/>
          </w:tcPr>
          <w:p w14:paraId="412E51A7" w14:textId="69296C39" w:rsidR="009B3D86" w:rsidRPr="008412B7" w:rsidDel="00487157" w:rsidRDefault="009B3D86" w:rsidP="009B3D86">
            <w:pPr>
              <w:cnfStyle w:val="000000000000" w:firstRow="0" w:lastRow="0" w:firstColumn="0" w:lastColumn="0" w:oddVBand="0" w:evenVBand="0" w:oddHBand="0" w:evenHBand="0" w:firstRowFirstColumn="0" w:firstRowLastColumn="0" w:lastRowFirstColumn="0" w:lastRowLastColumn="0"/>
              <w:rPr>
                <w:sz w:val="20"/>
              </w:rPr>
            </w:pPr>
            <w:r>
              <w:rPr>
                <w:sz w:val="20"/>
              </w:rPr>
              <w:t>Odds ratio</w:t>
            </w:r>
          </w:p>
        </w:tc>
      </w:tr>
      <w:tr w:rsidR="009B3D86" w:rsidRPr="00D01DDB" w14:paraId="52C55765"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916B4B" w14:textId="3B904FD0" w:rsidR="009B3D86" w:rsidRDefault="009B3D86" w:rsidP="009B3D86">
            <w:pPr>
              <w:rPr>
                <w:sz w:val="20"/>
              </w:rPr>
            </w:pPr>
            <w:r>
              <w:rPr>
                <w:sz w:val="20"/>
              </w:rPr>
              <w:t>OTC</w:t>
            </w:r>
          </w:p>
        </w:tc>
        <w:tc>
          <w:tcPr>
            <w:tcW w:w="3800" w:type="pct"/>
          </w:tcPr>
          <w:p w14:paraId="22CDF88F" w14:textId="3A8C6457" w:rsidR="009B3D86" w:rsidRDefault="009B3D86" w:rsidP="009B3D86">
            <w:pPr>
              <w:cnfStyle w:val="000000000000" w:firstRow="0" w:lastRow="0" w:firstColumn="0" w:lastColumn="0" w:oddVBand="0" w:evenVBand="0" w:oddHBand="0" w:evenHBand="0" w:firstRowFirstColumn="0" w:firstRowLastColumn="0" w:lastRowFirstColumn="0" w:lastRowLastColumn="0"/>
              <w:rPr>
                <w:sz w:val="20"/>
              </w:rPr>
            </w:pPr>
            <w:r>
              <w:rPr>
                <w:sz w:val="20"/>
              </w:rPr>
              <w:t>Over the counter</w:t>
            </w:r>
          </w:p>
        </w:tc>
      </w:tr>
      <w:tr w:rsidR="009B3D86" w:rsidRPr="00D01DDB" w14:paraId="2756B6F2"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9B3D86" w:rsidRPr="008412B7" w:rsidRDefault="009B3D86" w:rsidP="009B3D86">
            <w:pPr>
              <w:rPr>
                <w:sz w:val="20"/>
                <w:szCs w:val="20"/>
              </w:rPr>
            </w:pPr>
            <w:r w:rsidRPr="008412B7">
              <w:rPr>
                <w:sz w:val="20"/>
                <w:szCs w:val="20"/>
              </w:rPr>
              <w:t>PI</w:t>
            </w:r>
          </w:p>
        </w:tc>
        <w:tc>
          <w:tcPr>
            <w:tcW w:w="3800" w:type="pct"/>
          </w:tcPr>
          <w:p w14:paraId="354B5DB5" w14:textId="3DAE38C1"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Product Information</w:t>
            </w:r>
          </w:p>
        </w:tc>
      </w:tr>
      <w:tr w:rsidR="009B3D86" w:rsidRPr="00D01DDB" w14:paraId="440EDE67"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99DBF2" w14:textId="31B4DA6C" w:rsidR="009B3D86" w:rsidRPr="008412B7" w:rsidRDefault="009B3D86" w:rsidP="009B3D86">
            <w:pPr>
              <w:rPr>
                <w:sz w:val="20"/>
                <w:szCs w:val="20"/>
              </w:rPr>
            </w:pPr>
            <w:r w:rsidRPr="008412B7">
              <w:rPr>
                <w:sz w:val="20"/>
                <w:szCs w:val="20"/>
              </w:rPr>
              <w:t>PRN</w:t>
            </w:r>
          </w:p>
        </w:tc>
        <w:tc>
          <w:tcPr>
            <w:tcW w:w="3800" w:type="pct"/>
          </w:tcPr>
          <w:p w14:paraId="63977275" w14:textId="022C1E01"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 xml:space="preserve">Pertactin </w:t>
            </w:r>
          </w:p>
        </w:tc>
      </w:tr>
      <w:tr w:rsidR="009B3D86" w:rsidRPr="00D01DDB" w14:paraId="3D3C703D"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9B3D86" w:rsidRPr="008412B7" w:rsidRDefault="009B3D86" w:rsidP="009B3D86">
            <w:pPr>
              <w:rPr>
                <w:sz w:val="20"/>
                <w:szCs w:val="20"/>
              </w:rPr>
            </w:pPr>
            <w:r w:rsidRPr="008412B7">
              <w:rPr>
                <w:sz w:val="20"/>
                <w:szCs w:val="20"/>
              </w:rPr>
              <w:t>PSUR</w:t>
            </w:r>
          </w:p>
        </w:tc>
        <w:tc>
          <w:tcPr>
            <w:tcW w:w="3800" w:type="pct"/>
          </w:tcPr>
          <w:p w14:paraId="4A97D112" w14:textId="3DC38D82"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Periodic safety update report</w:t>
            </w:r>
          </w:p>
        </w:tc>
      </w:tr>
      <w:tr w:rsidR="009B3D86" w:rsidRPr="00D01DDB" w14:paraId="7DA5FCDD"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798166" w14:textId="10EF772C" w:rsidR="009B3D86" w:rsidRPr="008412B7" w:rsidRDefault="009B3D86" w:rsidP="009B3D86">
            <w:pPr>
              <w:rPr>
                <w:sz w:val="20"/>
                <w:szCs w:val="20"/>
              </w:rPr>
            </w:pPr>
            <w:r w:rsidRPr="008412B7">
              <w:rPr>
                <w:sz w:val="20"/>
                <w:szCs w:val="20"/>
              </w:rPr>
              <w:t>PT</w:t>
            </w:r>
          </w:p>
        </w:tc>
        <w:tc>
          <w:tcPr>
            <w:tcW w:w="3800" w:type="pct"/>
          </w:tcPr>
          <w:p w14:paraId="0E6617A6" w14:textId="4DBBA016"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Pertussis toxin</w:t>
            </w:r>
          </w:p>
        </w:tc>
      </w:tr>
      <w:tr w:rsidR="009B3D86" w:rsidRPr="00D01DDB" w14:paraId="72FACEDE"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B5BE76" w14:textId="742B6A4B" w:rsidR="009B3D86" w:rsidRPr="008412B7" w:rsidDel="00487157" w:rsidRDefault="009B3D86" w:rsidP="009B3D86">
            <w:pPr>
              <w:rPr>
                <w:sz w:val="20"/>
              </w:rPr>
            </w:pPr>
            <w:proofErr w:type="spellStart"/>
            <w:r>
              <w:rPr>
                <w:sz w:val="20"/>
              </w:rPr>
              <w:t>qRT</w:t>
            </w:r>
            <w:proofErr w:type="spellEnd"/>
            <w:r>
              <w:rPr>
                <w:sz w:val="20"/>
              </w:rPr>
              <w:t>-PCR</w:t>
            </w:r>
          </w:p>
        </w:tc>
        <w:tc>
          <w:tcPr>
            <w:tcW w:w="3800" w:type="pct"/>
          </w:tcPr>
          <w:p w14:paraId="0E5877DB" w14:textId="0D3DFB3F" w:rsidR="009B3D86" w:rsidRPr="008412B7" w:rsidDel="00487157" w:rsidRDefault="009B3D86" w:rsidP="009B3D86">
            <w:pPr>
              <w:cnfStyle w:val="000000000000" w:firstRow="0" w:lastRow="0" w:firstColumn="0" w:lastColumn="0" w:oddVBand="0" w:evenVBand="0" w:oddHBand="0" w:evenHBand="0" w:firstRowFirstColumn="0" w:firstRowLastColumn="0" w:lastRowFirstColumn="0" w:lastRowLastColumn="0"/>
              <w:rPr>
                <w:sz w:val="20"/>
              </w:rPr>
            </w:pPr>
            <w:r>
              <w:rPr>
                <w:sz w:val="20"/>
              </w:rPr>
              <w:t>Qualitative reverse transcription-polymerase chain reaction</w:t>
            </w:r>
          </w:p>
        </w:tc>
      </w:tr>
      <w:tr w:rsidR="009B3D86" w:rsidRPr="00D01DDB" w14:paraId="07F3695A"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9B3D86" w:rsidRPr="008412B7" w:rsidRDefault="009B3D86" w:rsidP="009B3D86">
            <w:pPr>
              <w:rPr>
                <w:sz w:val="20"/>
                <w:szCs w:val="20"/>
              </w:rPr>
            </w:pPr>
            <w:r w:rsidRPr="008412B7">
              <w:rPr>
                <w:sz w:val="20"/>
                <w:szCs w:val="20"/>
              </w:rPr>
              <w:t>RMP</w:t>
            </w:r>
          </w:p>
        </w:tc>
        <w:tc>
          <w:tcPr>
            <w:tcW w:w="3800" w:type="pct"/>
          </w:tcPr>
          <w:p w14:paraId="2C862F75" w14:textId="2355E842"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Risk management plan</w:t>
            </w:r>
          </w:p>
        </w:tc>
      </w:tr>
      <w:tr w:rsidR="009B3D86" w:rsidRPr="00D01DDB" w14:paraId="61768C0E"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B47C54" w14:textId="27B127AC" w:rsidR="009B3D86" w:rsidRPr="008412B7" w:rsidRDefault="009B3D86" w:rsidP="009B3D86">
            <w:pPr>
              <w:rPr>
                <w:sz w:val="20"/>
                <w:szCs w:val="20"/>
              </w:rPr>
            </w:pPr>
            <w:r w:rsidRPr="008412B7">
              <w:rPr>
                <w:sz w:val="20"/>
                <w:szCs w:val="20"/>
              </w:rPr>
              <w:t>RSV</w:t>
            </w:r>
          </w:p>
        </w:tc>
        <w:tc>
          <w:tcPr>
            <w:tcW w:w="3800" w:type="pct"/>
          </w:tcPr>
          <w:p w14:paraId="49126341" w14:textId="524BBD29"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Respiratory syncytial virus</w:t>
            </w:r>
          </w:p>
        </w:tc>
      </w:tr>
      <w:tr w:rsidR="009B3D86" w:rsidRPr="00D01DDB" w14:paraId="155A5AF2"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36D3FF" w14:textId="3EA4B944" w:rsidR="009B3D86" w:rsidRPr="008412B7" w:rsidRDefault="009B3D86" w:rsidP="009B3D86">
            <w:pPr>
              <w:rPr>
                <w:sz w:val="20"/>
                <w:szCs w:val="20"/>
              </w:rPr>
            </w:pPr>
            <w:r w:rsidRPr="008412B7">
              <w:rPr>
                <w:sz w:val="20"/>
                <w:szCs w:val="20"/>
              </w:rPr>
              <w:t>RSV A</w:t>
            </w:r>
          </w:p>
        </w:tc>
        <w:tc>
          <w:tcPr>
            <w:tcW w:w="3800" w:type="pct"/>
          </w:tcPr>
          <w:p w14:paraId="616FB407" w14:textId="50644AB5"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Respiratory syncytial virus subgroup A</w:t>
            </w:r>
          </w:p>
        </w:tc>
      </w:tr>
      <w:tr w:rsidR="009B3D86" w:rsidRPr="00D01DDB" w14:paraId="39179A76"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B903AF8" w14:textId="3292D5E6" w:rsidR="009B3D86" w:rsidRPr="008412B7" w:rsidRDefault="009B3D86" w:rsidP="009B3D86">
            <w:pPr>
              <w:rPr>
                <w:sz w:val="20"/>
                <w:szCs w:val="20"/>
              </w:rPr>
            </w:pPr>
            <w:r w:rsidRPr="008412B7">
              <w:rPr>
                <w:sz w:val="20"/>
                <w:szCs w:val="20"/>
              </w:rPr>
              <w:t>RSV B</w:t>
            </w:r>
          </w:p>
        </w:tc>
        <w:tc>
          <w:tcPr>
            <w:tcW w:w="3800" w:type="pct"/>
          </w:tcPr>
          <w:p w14:paraId="3732F617" w14:textId="4624B1B8"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Respiratory syncytial virus subgroup B</w:t>
            </w:r>
          </w:p>
        </w:tc>
      </w:tr>
      <w:tr w:rsidR="009B3D86" w:rsidRPr="00D01DDB" w14:paraId="153404AE"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A96B8B" w14:textId="08C2BF88" w:rsidR="009B3D86" w:rsidRPr="008412B7" w:rsidRDefault="009B3D86" w:rsidP="009B3D86">
            <w:pPr>
              <w:rPr>
                <w:sz w:val="20"/>
                <w:szCs w:val="20"/>
              </w:rPr>
            </w:pPr>
            <w:r w:rsidRPr="008412B7">
              <w:rPr>
                <w:sz w:val="20"/>
                <w:szCs w:val="20"/>
              </w:rPr>
              <w:t>RSVpreF</w:t>
            </w:r>
          </w:p>
        </w:tc>
        <w:tc>
          <w:tcPr>
            <w:tcW w:w="3800" w:type="pct"/>
          </w:tcPr>
          <w:p w14:paraId="4D8F8026" w14:textId="323A7629"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Respiratory syncytial virus stabilised prefusion F subunit vaccine</w:t>
            </w:r>
          </w:p>
        </w:tc>
      </w:tr>
      <w:tr w:rsidR="009B3D86" w:rsidRPr="00D01DDB" w14:paraId="60D64BA3"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3587F9" w14:textId="685237B6" w:rsidR="009B3D86" w:rsidRPr="008412B7" w:rsidRDefault="009B3D86" w:rsidP="009B3D86">
            <w:pPr>
              <w:rPr>
                <w:sz w:val="20"/>
                <w:szCs w:val="20"/>
              </w:rPr>
            </w:pPr>
            <w:r w:rsidRPr="008412B7">
              <w:rPr>
                <w:sz w:val="20"/>
                <w:szCs w:val="20"/>
              </w:rPr>
              <w:t>SAE</w:t>
            </w:r>
          </w:p>
        </w:tc>
        <w:tc>
          <w:tcPr>
            <w:tcW w:w="3800" w:type="pct"/>
          </w:tcPr>
          <w:p w14:paraId="5AAE03D8" w14:textId="35303435"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Serious adverse event</w:t>
            </w:r>
          </w:p>
        </w:tc>
      </w:tr>
      <w:tr w:rsidR="009B3D86" w:rsidRPr="00D01DDB" w14:paraId="78211573"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D6650D" w14:textId="44D4E94B" w:rsidR="009B3D86" w:rsidRPr="00C648B5" w:rsidRDefault="009B3D86" w:rsidP="009B3D86">
            <w:pPr>
              <w:rPr>
                <w:sz w:val="20"/>
                <w:szCs w:val="20"/>
              </w:rPr>
            </w:pPr>
            <w:r w:rsidRPr="00C648B5">
              <w:rPr>
                <w:sz w:val="20"/>
              </w:rPr>
              <w:t>SD</w:t>
            </w:r>
          </w:p>
        </w:tc>
        <w:tc>
          <w:tcPr>
            <w:tcW w:w="3800" w:type="pct"/>
          </w:tcPr>
          <w:p w14:paraId="42EF79D1" w14:textId="3706B9D7" w:rsidR="009B3D86" w:rsidRPr="00C648B5"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C648B5">
              <w:rPr>
                <w:sz w:val="20"/>
              </w:rPr>
              <w:t>Standard deviation</w:t>
            </w:r>
          </w:p>
        </w:tc>
      </w:tr>
      <w:tr w:rsidR="009B3D86" w:rsidRPr="00D01DDB" w14:paraId="34B3C8E4"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5AD559" w14:textId="5770B1F2" w:rsidR="009B3D86" w:rsidRPr="008412B7" w:rsidRDefault="009B3D86" w:rsidP="009B3D86">
            <w:pPr>
              <w:rPr>
                <w:sz w:val="20"/>
                <w:szCs w:val="20"/>
              </w:rPr>
            </w:pPr>
            <w:r w:rsidRPr="008412B7">
              <w:rPr>
                <w:sz w:val="20"/>
                <w:szCs w:val="20"/>
              </w:rPr>
              <w:t>SIIV</w:t>
            </w:r>
          </w:p>
        </w:tc>
        <w:tc>
          <w:tcPr>
            <w:tcW w:w="3800" w:type="pct"/>
          </w:tcPr>
          <w:p w14:paraId="6DB7869B" w14:textId="19677997" w:rsidR="009B3D86" w:rsidRPr="008412B7" w:rsidRDefault="009B3D86" w:rsidP="009B3D86">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Seasonal inactivated influenza virus</w:t>
            </w:r>
          </w:p>
        </w:tc>
      </w:tr>
      <w:tr w:rsidR="00CF1C64" w:rsidRPr="00D01DDB" w14:paraId="624E9F95"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8B4277" w14:textId="6FD2357C" w:rsidR="00CF1C64" w:rsidRPr="008412B7" w:rsidRDefault="00CF1C64" w:rsidP="00CF1C64">
            <w:pPr>
              <w:rPr>
                <w:sz w:val="20"/>
              </w:rPr>
            </w:pPr>
            <w:r>
              <w:rPr>
                <w:sz w:val="20"/>
              </w:rPr>
              <w:lastRenderedPageBreak/>
              <w:t>Tdap</w:t>
            </w:r>
          </w:p>
        </w:tc>
        <w:tc>
          <w:tcPr>
            <w:tcW w:w="3800" w:type="pct"/>
          </w:tcPr>
          <w:p w14:paraId="17819C1C" w14:textId="325DB2EE" w:rsidR="00CF1C64" w:rsidRPr="008412B7" w:rsidRDefault="00CF1C64" w:rsidP="00CF1C64">
            <w:pPr>
              <w:cnfStyle w:val="000000000000" w:firstRow="0" w:lastRow="0" w:firstColumn="0" w:lastColumn="0" w:oddVBand="0" w:evenVBand="0" w:oddHBand="0" w:evenHBand="0" w:firstRowFirstColumn="0" w:firstRowLastColumn="0" w:lastRowFirstColumn="0" w:lastRowLastColumn="0"/>
              <w:rPr>
                <w:sz w:val="20"/>
              </w:rPr>
            </w:pPr>
            <w:r w:rsidRPr="00E57FAC">
              <w:rPr>
                <w:sz w:val="20"/>
              </w:rPr>
              <w:t>Tetanus toxoid, reduced diphtheria toxoid and acellular pertussis vaccine adsorbed</w:t>
            </w:r>
          </w:p>
        </w:tc>
      </w:tr>
      <w:tr w:rsidR="00CF1C64" w:rsidRPr="00D01DDB" w14:paraId="254AC9B9"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CF1C64" w:rsidRPr="008412B7" w:rsidRDefault="00CF1C64" w:rsidP="00CF1C64">
            <w:pPr>
              <w:rPr>
                <w:sz w:val="20"/>
                <w:szCs w:val="20"/>
              </w:rPr>
            </w:pPr>
            <w:r w:rsidRPr="008412B7">
              <w:rPr>
                <w:sz w:val="20"/>
                <w:szCs w:val="20"/>
              </w:rPr>
              <w:t>TGA</w:t>
            </w:r>
          </w:p>
        </w:tc>
        <w:tc>
          <w:tcPr>
            <w:tcW w:w="3800" w:type="pct"/>
          </w:tcPr>
          <w:p w14:paraId="29EA6BA3" w14:textId="6F99059F" w:rsidR="00CF1C64" w:rsidRPr="008412B7" w:rsidRDefault="00CF1C64" w:rsidP="00CF1C64">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Therapeutic Goods Administration</w:t>
            </w:r>
          </w:p>
        </w:tc>
      </w:tr>
      <w:tr w:rsidR="00CF1C64" w:rsidRPr="00D01DDB" w14:paraId="6BC0C9FC"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47263A" w14:textId="4C0005EC" w:rsidR="00CF1C64" w:rsidRPr="008412B7" w:rsidRDefault="00CF1C64" w:rsidP="00CF1C64">
            <w:pPr>
              <w:rPr>
                <w:sz w:val="20"/>
                <w:szCs w:val="20"/>
              </w:rPr>
            </w:pPr>
            <w:r w:rsidRPr="008412B7">
              <w:rPr>
                <w:sz w:val="20"/>
                <w:szCs w:val="20"/>
              </w:rPr>
              <w:t>UK</w:t>
            </w:r>
          </w:p>
        </w:tc>
        <w:tc>
          <w:tcPr>
            <w:tcW w:w="3800" w:type="pct"/>
          </w:tcPr>
          <w:p w14:paraId="139239D1" w14:textId="37F013E3" w:rsidR="00CF1C64" w:rsidRPr="008412B7" w:rsidRDefault="00CF1C64" w:rsidP="00CF1C64">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United Kingdom</w:t>
            </w:r>
          </w:p>
        </w:tc>
      </w:tr>
      <w:tr w:rsidR="00CF1C64" w:rsidRPr="00D01DDB" w14:paraId="3790560E"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69D56710" w14:textId="656BCD42" w:rsidR="00CF1C64" w:rsidRPr="00BF3D7E" w:rsidRDefault="00CF1C64" w:rsidP="00CF1C64">
            <w:pPr>
              <w:rPr>
                <w:sz w:val="20"/>
              </w:rPr>
            </w:pPr>
            <w:r w:rsidRPr="00BF3D7E">
              <w:rPr>
                <w:sz w:val="20"/>
              </w:rPr>
              <w:t>URT</w:t>
            </w:r>
          </w:p>
        </w:tc>
        <w:tc>
          <w:tcPr>
            <w:tcW w:w="3800" w:type="pct"/>
            <w:shd w:val="clear" w:color="auto" w:fill="auto"/>
          </w:tcPr>
          <w:p w14:paraId="3ADFD237" w14:textId="34820782" w:rsidR="00CF1C64" w:rsidRPr="00BF3D7E" w:rsidRDefault="00CF1C64" w:rsidP="00CF1C64">
            <w:pPr>
              <w:cnfStyle w:val="000000000000" w:firstRow="0" w:lastRow="0" w:firstColumn="0" w:lastColumn="0" w:oddVBand="0" w:evenVBand="0" w:oddHBand="0" w:evenHBand="0" w:firstRowFirstColumn="0" w:firstRowLastColumn="0" w:lastRowFirstColumn="0" w:lastRowLastColumn="0"/>
              <w:rPr>
                <w:sz w:val="20"/>
              </w:rPr>
            </w:pPr>
            <w:r w:rsidRPr="00BF3D7E">
              <w:rPr>
                <w:sz w:val="20"/>
              </w:rPr>
              <w:t>Upper respiratory tract</w:t>
            </w:r>
          </w:p>
        </w:tc>
      </w:tr>
      <w:tr w:rsidR="00CF1C64" w:rsidRPr="00D01DDB" w14:paraId="15DC3960"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998699" w14:textId="54E23BD8" w:rsidR="00CF1C64" w:rsidRPr="008412B7" w:rsidRDefault="00CF1C64" w:rsidP="00CF1C64">
            <w:pPr>
              <w:rPr>
                <w:sz w:val="20"/>
                <w:szCs w:val="20"/>
              </w:rPr>
            </w:pPr>
            <w:r w:rsidRPr="008412B7">
              <w:rPr>
                <w:sz w:val="20"/>
                <w:szCs w:val="20"/>
              </w:rPr>
              <w:t>US</w:t>
            </w:r>
            <w:r>
              <w:rPr>
                <w:sz w:val="20"/>
                <w:szCs w:val="20"/>
              </w:rPr>
              <w:t>A</w:t>
            </w:r>
          </w:p>
        </w:tc>
        <w:tc>
          <w:tcPr>
            <w:tcW w:w="3800" w:type="pct"/>
          </w:tcPr>
          <w:p w14:paraId="70CD7A5D" w14:textId="57AD91A7" w:rsidR="00CF1C64" w:rsidRPr="008412B7" w:rsidRDefault="00CF1C64" w:rsidP="00CF1C64">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United States</w:t>
            </w:r>
            <w:r>
              <w:rPr>
                <w:sz w:val="20"/>
                <w:szCs w:val="20"/>
              </w:rPr>
              <w:t xml:space="preserve"> of America</w:t>
            </w:r>
          </w:p>
        </w:tc>
      </w:tr>
      <w:tr w:rsidR="00CF1C64" w:rsidRPr="00D01DDB" w14:paraId="4BDC33D2" w14:textId="77777777" w:rsidTr="2269C3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6B7D7C6D" w:rsidR="00CF1C64" w:rsidRPr="008412B7" w:rsidRDefault="00CF1C64" w:rsidP="00CF1C64">
            <w:pPr>
              <w:rPr>
                <w:sz w:val="20"/>
                <w:szCs w:val="20"/>
              </w:rPr>
            </w:pPr>
            <w:r w:rsidRPr="008412B7">
              <w:rPr>
                <w:sz w:val="20"/>
                <w:szCs w:val="20"/>
              </w:rPr>
              <w:t>VE</w:t>
            </w:r>
          </w:p>
        </w:tc>
        <w:tc>
          <w:tcPr>
            <w:tcW w:w="3800" w:type="pct"/>
          </w:tcPr>
          <w:p w14:paraId="4458E485" w14:textId="5AD7A5FF" w:rsidR="00CF1C64" w:rsidRPr="008412B7" w:rsidRDefault="00CF1C64" w:rsidP="00CF1C64">
            <w:pPr>
              <w:cnfStyle w:val="000000000000" w:firstRow="0" w:lastRow="0" w:firstColumn="0" w:lastColumn="0" w:oddVBand="0" w:evenVBand="0" w:oddHBand="0" w:evenHBand="0" w:firstRowFirstColumn="0" w:firstRowLastColumn="0" w:lastRowFirstColumn="0" w:lastRowLastColumn="0"/>
              <w:rPr>
                <w:sz w:val="20"/>
                <w:szCs w:val="20"/>
              </w:rPr>
            </w:pPr>
            <w:r w:rsidRPr="008412B7">
              <w:rPr>
                <w:sz w:val="20"/>
                <w:szCs w:val="20"/>
              </w:rPr>
              <w:t>Vaccine efficacy</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8" w:name="_Toc103679288"/>
      <w:bookmarkStart w:id="9" w:name="_Toc165552514"/>
      <w:r>
        <w:lastRenderedPageBreak/>
        <w:t>Product submission</w:t>
      </w:r>
      <w:bookmarkEnd w:id="8"/>
      <w:bookmarkEnd w:id="9"/>
    </w:p>
    <w:p w14:paraId="21D559DF" w14:textId="77777777" w:rsidR="00324B33" w:rsidRDefault="00324B33" w:rsidP="00324B33">
      <w:pPr>
        <w:pStyle w:val="Heading3"/>
        <w:rPr>
          <w:lang w:eastAsia="en-AU"/>
        </w:rPr>
      </w:pPr>
      <w:bookmarkStart w:id="10" w:name="_Toc247691502"/>
      <w:bookmarkStart w:id="11" w:name="_Toc314842483"/>
      <w:bookmarkStart w:id="12" w:name="_Toc103679289"/>
      <w:bookmarkStart w:id="13" w:name="_Toc165552515"/>
      <w:r>
        <w:rPr>
          <w:lang w:eastAsia="en-AU"/>
        </w:rPr>
        <w:t>Submission details</w:t>
      </w:r>
      <w:bookmarkEnd w:id="10"/>
      <w:bookmarkEnd w:id="11"/>
      <w:bookmarkEnd w:id="12"/>
      <w:bookmarkEnd w:id="13"/>
    </w:p>
    <w:tbl>
      <w:tblPr>
        <w:tblW w:w="5000" w:type="pct"/>
        <w:tblLook w:val="01E0" w:firstRow="1" w:lastRow="1" w:firstColumn="1" w:lastColumn="1" w:noHBand="0" w:noVBand="0"/>
      </w:tblPr>
      <w:tblGrid>
        <w:gridCol w:w="2861"/>
        <w:gridCol w:w="6209"/>
      </w:tblGrid>
      <w:tr w:rsidR="00324B33" w:rsidRPr="00BD5DBD" w14:paraId="77D11C95" w14:textId="77777777" w:rsidTr="002313E4">
        <w:tc>
          <w:tcPr>
            <w:tcW w:w="1577" w:type="pct"/>
          </w:tcPr>
          <w:p w14:paraId="10E57D62" w14:textId="054B4865" w:rsidR="00324B33" w:rsidRPr="00BD5DBD" w:rsidRDefault="00324B33" w:rsidP="007452E8">
            <w:pPr>
              <w:rPr>
                <w:i/>
                <w:szCs w:val="22"/>
              </w:rPr>
            </w:pPr>
            <w:r w:rsidRPr="00BD5DBD">
              <w:rPr>
                <w:i/>
                <w:szCs w:val="22"/>
              </w:rPr>
              <w:t>Type</w:t>
            </w:r>
            <w:r w:rsidR="00CB6813">
              <w:rPr>
                <w:i/>
                <w:szCs w:val="22"/>
              </w:rPr>
              <w:t>(s)</w:t>
            </w:r>
            <w:r w:rsidRPr="00BD5DBD">
              <w:rPr>
                <w:i/>
                <w:szCs w:val="22"/>
              </w:rPr>
              <w:t xml:space="preserve"> of submission:</w:t>
            </w:r>
          </w:p>
        </w:tc>
        <w:tc>
          <w:tcPr>
            <w:tcW w:w="3423" w:type="pct"/>
          </w:tcPr>
          <w:p w14:paraId="4F07C303" w14:textId="1F493680" w:rsidR="00324B33" w:rsidRPr="00E20F90" w:rsidRDefault="009A4C72" w:rsidP="007452E8">
            <w:pPr>
              <w:rPr>
                <w:szCs w:val="22"/>
              </w:rPr>
            </w:pPr>
            <w:r w:rsidRPr="00E20F90">
              <w:rPr>
                <w:szCs w:val="22"/>
              </w:rPr>
              <w:t>New Biological Entity</w:t>
            </w:r>
          </w:p>
        </w:tc>
      </w:tr>
      <w:tr w:rsidR="00324B33" w:rsidRPr="00BD5DBD" w14:paraId="13482B61" w14:textId="77777777" w:rsidTr="002313E4">
        <w:tc>
          <w:tcPr>
            <w:tcW w:w="1577" w:type="pct"/>
          </w:tcPr>
          <w:p w14:paraId="2C427FCF" w14:textId="77777777" w:rsidR="00324B33" w:rsidRPr="00BD5DBD" w:rsidRDefault="00324B33" w:rsidP="007452E8">
            <w:pPr>
              <w:rPr>
                <w:i/>
                <w:szCs w:val="22"/>
              </w:rPr>
            </w:pPr>
            <w:r w:rsidRPr="00BD5DBD">
              <w:rPr>
                <w:i/>
                <w:szCs w:val="22"/>
              </w:rPr>
              <w:t>Product name(s):</w:t>
            </w:r>
          </w:p>
        </w:tc>
        <w:tc>
          <w:tcPr>
            <w:tcW w:w="3423" w:type="pct"/>
          </w:tcPr>
          <w:p w14:paraId="0E2DEF76" w14:textId="140E5D44" w:rsidR="00324B33" w:rsidRPr="00BD5DBD" w:rsidRDefault="0099622F" w:rsidP="0099622F">
            <w:pPr>
              <w:rPr>
                <w:szCs w:val="22"/>
              </w:rPr>
            </w:pPr>
            <w:r w:rsidRPr="0099622F">
              <w:rPr>
                <w:szCs w:val="22"/>
              </w:rPr>
              <w:t>A</w:t>
            </w:r>
            <w:r w:rsidR="008412B7">
              <w:rPr>
                <w:szCs w:val="22"/>
              </w:rPr>
              <w:t>brysvo</w:t>
            </w:r>
          </w:p>
        </w:tc>
      </w:tr>
      <w:tr w:rsidR="00324B33" w:rsidRPr="00BD5DBD" w14:paraId="01255B5B" w14:textId="77777777" w:rsidTr="002313E4">
        <w:tc>
          <w:tcPr>
            <w:tcW w:w="1577" w:type="pct"/>
          </w:tcPr>
          <w:p w14:paraId="52B4F3D7" w14:textId="77777777" w:rsidR="00324B33" w:rsidRPr="00BD5DBD" w:rsidRDefault="00324B33" w:rsidP="007452E8">
            <w:pPr>
              <w:rPr>
                <w:i/>
                <w:szCs w:val="22"/>
              </w:rPr>
            </w:pPr>
            <w:r w:rsidRPr="00BD5DBD">
              <w:rPr>
                <w:i/>
                <w:szCs w:val="22"/>
              </w:rPr>
              <w:t>Active ingredient(s):</w:t>
            </w:r>
          </w:p>
        </w:tc>
        <w:tc>
          <w:tcPr>
            <w:tcW w:w="3423" w:type="pct"/>
          </w:tcPr>
          <w:p w14:paraId="02FB6383" w14:textId="25A4EDD6" w:rsidR="00324B33" w:rsidRPr="00BD5DBD" w:rsidRDefault="00A4308A" w:rsidP="007452E8">
            <w:pPr>
              <w:rPr>
                <w:szCs w:val="22"/>
              </w:rPr>
            </w:pPr>
            <w:r>
              <w:rPr>
                <w:szCs w:val="22"/>
              </w:rPr>
              <w:t>R</w:t>
            </w:r>
            <w:r w:rsidR="00907798" w:rsidRPr="00907798">
              <w:rPr>
                <w:szCs w:val="22"/>
              </w:rPr>
              <w:t>ecombinant respiratory syncytial virus pre-fusion F protein</w:t>
            </w:r>
          </w:p>
        </w:tc>
      </w:tr>
      <w:tr w:rsidR="00324B33" w:rsidRPr="00BD5DBD" w14:paraId="219A281B" w14:textId="77777777" w:rsidTr="002313E4">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673268A2" w:rsidR="00324B33" w:rsidRPr="00BD5DBD" w:rsidRDefault="00324B33" w:rsidP="007452E8">
            <w:pPr>
              <w:rPr>
                <w:szCs w:val="22"/>
              </w:rPr>
            </w:pPr>
            <w:r w:rsidRPr="00BD5DBD">
              <w:rPr>
                <w:szCs w:val="22"/>
              </w:rPr>
              <w:t xml:space="preserve">Approved </w:t>
            </w:r>
          </w:p>
        </w:tc>
      </w:tr>
      <w:tr w:rsidR="00AE1947" w:rsidRPr="00BD5DBD" w14:paraId="32B72632" w14:textId="77777777" w:rsidTr="002313E4">
        <w:tc>
          <w:tcPr>
            <w:tcW w:w="1577" w:type="pct"/>
          </w:tcPr>
          <w:p w14:paraId="332A5CD5" w14:textId="682CD1B3" w:rsidR="00AE1947" w:rsidRPr="00BD5DBD" w:rsidRDefault="00AE1947" w:rsidP="00C018DE">
            <w:r w:rsidRPr="00BD5DBD">
              <w:rPr>
                <w:i/>
                <w:szCs w:val="22"/>
              </w:rPr>
              <w:t>Date of decision:</w:t>
            </w:r>
          </w:p>
        </w:tc>
        <w:tc>
          <w:tcPr>
            <w:tcW w:w="3423" w:type="pct"/>
          </w:tcPr>
          <w:p w14:paraId="7B381CD6" w14:textId="475FB44F" w:rsidR="00AE1947" w:rsidRPr="00BD5DBD" w:rsidRDefault="0005677A" w:rsidP="00463A3D">
            <w:pPr>
              <w:rPr>
                <w:szCs w:val="22"/>
              </w:rPr>
            </w:pPr>
            <w:r>
              <w:rPr>
                <w:szCs w:val="22"/>
              </w:rPr>
              <w:t>20 March 2024</w:t>
            </w:r>
          </w:p>
        </w:tc>
      </w:tr>
      <w:tr w:rsidR="00324B33" w:rsidRPr="00BD5DBD" w14:paraId="60A25F5A" w14:textId="77777777" w:rsidTr="002313E4">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0B613B48" w:rsidR="00324B33" w:rsidRPr="00BD5DBD" w:rsidRDefault="006C45B9" w:rsidP="007452E8">
            <w:pPr>
              <w:rPr>
                <w:szCs w:val="22"/>
              </w:rPr>
            </w:pPr>
            <w:r>
              <w:rPr>
                <w:szCs w:val="22"/>
              </w:rPr>
              <w:t>20 March 2024</w:t>
            </w:r>
          </w:p>
        </w:tc>
      </w:tr>
      <w:tr w:rsidR="00324B33" w:rsidRPr="00BD5DBD" w14:paraId="547E08D7" w14:textId="77777777" w:rsidTr="002313E4">
        <w:tc>
          <w:tcPr>
            <w:tcW w:w="1577" w:type="pct"/>
          </w:tcPr>
          <w:p w14:paraId="5030EF30" w14:textId="77777777" w:rsidR="00324B33" w:rsidRPr="00BD5DBD" w:rsidRDefault="00324B33" w:rsidP="007452E8">
            <w:pPr>
              <w:rPr>
                <w:i/>
                <w:szCs w:val="22"/>
              </w:rPr>
            </w:pPr>
            <w:r w:rsidRPr="00BD5DBD">
              <w:rPr>
                <w:i/>
                <w:szCs w:val="22"/>
              </w:rPr>
              <w:t>ARTG number(s):</w:t>
            </w:r>
          </w:p>
        </w:tc>
        <w:tc>
          <w:tcPr>
            <w:tcW w:w="3423" w:type="pct"/>
          </w:tcPr>
          <w:p w14:paraId="0054E912" w14:textId="4D1DB946" w:rsidR="00324B33" w:rsidRPr="00BD5DBD" w:rsidRDefault="00D076E8" w:rsidP="007452E8">
            <w:pPr>
              <w:rPr>
                <w:szCs w:val="22"/>
              </w:rPr>
            </w:pPr>
            <w:r w:rsidRPr="00D076E8">
              <w:rPr>
                <w:szCs w:val="22"/>
              </w:rPr>
              <w:t>406624</w:t>
            </w:r>
          </w:p>
        </w:tc>
      </w:tr>
      <w:tr w:rsidR="00324B33" w:rsidRPr="00BD5DBD" w14:paraId="7618393F" w14:textId="77777777" w:rsidTr="002313E4">
        <w:tc>
          <w:tcPr>
            <w:tcW w:w="1577" w:type="pct"/>
          </w:tcPr>
          <w:p w14:paraId="02260DE2" w14:textId="08807BD1" w:rsidR="00324B33" w:rsidRPr="006B3EBF" w:rsidRDefault="00324B33" w:rsidP="007452E8">
            <w:pPr>
              <w:rPr>
                <w:i/>
                <w:color w:val="0000FF"/>
                <w:szCs w:val="22"/>
                <w:u w:val="single"/>
              </w:rPr>
            </w:pPr>
            <w:r w:rsidRPr="00BD5DBD">
              <w:rPr>
                <w:rFonts w:ascii="Wingdings 3" w:hAnsi="Wingdings 3"/>
                <w:szCs w:val="22"/>
                <w:lang w:eastAsia="en-AU"/>
              </w:rPr>
              <w:t></w:t>
            </w:r>
            <w:hyperlink r:id="rId15" w:history="1">
              <w:r w:rsidRPr="00BD5DBD">
                <w:rPr>
                  <w:rStyle w:val="Hyperlink"/>
                  <w:i/>
                  <w:szCs w:val="22"/>
                </w:rPr>
                <w:t>Black Triangle Scheme</w:t>
              </w:r>
            </w:hyperlink>
          </w:p>
        </w:tc>
        <w:tc>
          <w:tcPr>
            <w:tcW w:w="3423" w:type="pct"/>
          </w:tcPr>
          <w:p w14:paraId="1C4F0536" w14:textId="77777777" w:rsidR="00324B33" w:rsidRDefault="00324B33" w:rsidP="007452E8">
            <w:pPr>
              <w:rPr>
                <w:szCs w:val="22"/>
              </w:rPr>
            </w:pPr>
            <w:r w:rsidRPr="00BD5DBD">
              <w:rPr>
                <w:szCs w:val="22"/>
              </w:rPr>
              <w:t>Yes</w:t>
            </w:r>
          </w:p>
          <w:p w14:paraId="6FF3C6A2" w14:textId="69FB8473" w:rsidR="00F4285B" w:rsidRPr="00BD5DBD" w:rsidRDefault="00F4285B" w:rsidP="007452E8">
            <w:pPr>
              <w:rPr>
                <w:szCs w:val="22"/>
              </w:rPr>
            </w:pPr>
            <w:r w:rsidRPr="00E30B80">
              <w:t>This product will remain in the scheme for 5 years, starting on the date the product is first supplied in Australia.</w:t>
            </w:r>
          </w:p>
        </w:tc>
      </w:tr>
      <w:tr w:rsidR="00324B33" w:rsidRPr="00BD5DBD" w14:paraId="179E09FE" w14:textId="77777777" w:rsidTr="002313E4">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5ADDE0AA" w14:textId="77777777" w:rsidR="00324B33" w:rsidRDefault="0096264C" w:rsidP="007452E8">
            <w:pPr>
              <w:rPr>
                <w:szCs w:val="22"/>
              </w:rPr>
            </w:pPr>
            <w:r w:rsidRPr="0096264C">
              <w:rPr>
                <w:szCs w:val="22"/>
              </w:rPr>
              <w:t>Pfizer Australia Pty Ltd</w:t>
            </w:r>
          </w:p>
          <w:p w14:paraId="7446A30F" w14:textId="77777777" w:rsidR="00CE0A6E" w:rsidRDefault="00CE0A6E" w:rsidP="00CE0A6E">
            <w:pPr>
              <w:rPr>
                <w:szCs w:val="22"/>
              </w:rPr>
            </w:pPr>
            <w:r w:rsidRPr="00CE0A6E">
              <w:rPr>
                <w:szCs w:val="22"/>
              </w:rPr>
              <w:t>Level 17 151 Clarence Street</w:t>
            </w:r>
          </w:p>
          <w:p w14:paraId="4D425EAE" w14:textId="5B089B9C" w:rsidR="00CE0A6E" w:rsidRPr="00CE0A6E" w:rsidRDefault="00CE0A6E" w:rsidP="00CE0A6E">
            <w:pPr>
              <w:rPr>
                <w:szCs w:val="22"/>
              </w:rPr>
            </w:pPr>
            <w:r w:rsidRPr="00CE0A6E">
              <w:rPr>
                <w:szCs w:val="22"/>
              </w:rPr>
              <w:t>Sydney, NSW, 2000</w:t>
            </w:r>
          </w:p>
          <w:p w14:paraId="68DD94B0" w14:textId="06370A96" w:rsidR="00CE0A6E" w:rsidRPr="00BD5DBD" w:rsidRDefault="00CE0A6E" w:rsidP="00CE0A6E">
            <w:pPr>
              <w:rPr>
                <w:szCs w:val="22"/>
              </w:rPr>
            </w:pPr>
            <w:r w:rsidRPr="00CE0A6E">
              <w:rPr>
                <w:szCs w:val="22"/>
              </w:rPr>
              <w:t>Australia</w:t>
            </w:r>
          </w:p>
        </w:tc>
      </w:tr>
      <w:tr w:rsidR="00324B33" w:rsidRPr="00BD5DBD" w14:paraId="5322B989" w14:textId="77777777" w:rsidTr="002313E4">
        <w:tc>
          <w:tcPr>
            <w:tcW w:w="1577" w:type="pct"/>
          </w:tcPr>
          <w:p w14:paraId="24F217E3" w14:textId="77777777" w:rsidR="00324B33" w:rsidRPr="00BD5DBD" w:rsidRDefault="00324B33" w:rsidP="007452E8">
            <w:pPr>
              <w:rPr>
                <w:i/>
                <w:szCs w:val="22"/>
              </w:rPr>
            </w:pPr>
            <w:r w:rsidRPr="00BD5DBD">
              <w:rPr>
                <w:i/>
                <w:szCs w:val="22"/>
              </w:rPr>
              <w:t>Dose form(s):</w:t>
            </w:r>
          </w:p>
        </w:tc>
        <w:tc>
          <w:tcPr>
            <w:tcW w:w="3423" w:type="pct"/>
          </w:tcPr>
          <w:p w14:paraId="768B254C" w14:textId="654A9004" w:rsidR="00324B33" w:rsidRPr="00BD5DBD" w:rsidRDefault="00354A35" w:rsidP="007452E8">
            <w:pPr>
              <w:rPr>
                <w:szCs w:val="22"/>
              </w:rPr>
            </w:pPr>
            <w:r>
              <w:rPr>
                <w:szCs w:val="22"/>
              </w:rPr>
              <w:t>Powder for i</w:t>
            </w:r>
            <w:r w:rsidR="007712B1" w:rsidRPr="007712B1">
              <w:rPr>
                <w:szCs w:val="22"/>
              </w:rPr>
              <w:t>njection</w:t>
            </w:r>
            <w:r w:rsidR="007F56C4">
              <w:rPr>
                <w:szCs w:val="22"/>
              </w:rPr>
              <w:t xml:space="preserve"> plus diluent</w:t>
            </w:r>
          </w:p>
        </w:tc>
      </w:tr>
      <w:tr w:rsidR="00324B33" w:rsidRPr="00BD5DBD" w14:paraId="115243E6" w14:textId="77777777" w:rsidTr="002313E4">
        <w:tc>
          <w:tcPr>
            <w:tcW w:w="1577" w:type="pct"/>
          </w:tcPr>
          <w:p w14:paraId="7634B062" w14:textId="77777777" w:rsidR="00324B33" w:rsidRPr="00BD5DBD" w:rsidRDefault="00324B33" w:rsidP="007452E8">
            <w:pPr>
              <w:rPr>
                <w:i/>
                <w:szCs w:val="22"/>
              </w:rPr>
            </w:pPr>
            <w:r w:rsidRPr="00BD5DBD">
              <w:rPr>
                <w:i/>
                <w:szCs w:val="22"/>
              </w:rPr>
              <w:t>Strength(s):</w:t>
            </w:r>
          </w:p>
        </w:tc>
        <w:tc>
          <w:tcPr>
            <w:tcW w:w="3423" w:type="pct"/>
          </w:tcPr>
          <w:p w14:paraId="2324BB0A" w14:textId="720B7F6E" w:rsidR="00C9129C" w:rsidRPr="00C9129C" w:rsidRDefault="00C9129C" w:rsidP="00C9129C">
            <w:pPr>
              <w:rPr>
                <w:szCs w:val="22"/>
              </w:rPr>
            </w:pPr>
            <w:r w:rsidRPr="00C9129C">
              <w:rPr>
                <w:szCs w:val="22"/>
              </w:rPr>
              <w:t>After reconstitution, 1 dose (</w:t>
            </w:r>
            <w:r w:rsidR="008518EE">
              <w:rPr>
                <w:szCs w:val="22"/>
              </w:rPr>
              <w:t>120</w:t>
            </w:r>
            <w:r w:rsidR="008518EE" w:rsidRPr="00756880">
              <w:rPr>
                <w:rFonts w:cstheme="minorHAnsi"/>
              </w:rPr>
              <w:t xml:space="preserve"> μg</w:t>
            </w:r>
            <w:r w:rsidR="008518EE">
              <w:rPr>
                <w:rFonts w:cstheme="minorHAnsi"/>
              </w:rPr>
              <w:t>/</w:t>
            </w:r>
            <w:r w:rsidRPr="00C9129C">
              <w:rPr>
                <w:szCs w:val="22"/>
              </w:rPr>
              <w:t>0.5 mL) contains:</w:t>
            </w:r>
          </w:p>
          <w:p w14:paraId="53283BE2" w14:textId="0D973B16" w:rsidR="00C9129C" w:rsidRPr="00756880" w:rsidRDefault="00C9129C" w:rsidP="008412B7">
            <w:pPr>
              <w:pStyle w:val="ListBullet"/>
            </w:pPr>
            <w:r w:rsidRPr="00756880">
              <w:t>Respiratory syncytial virus (RSV) subgroup A stabilised prefusion F protein</w:t>
            </w:r>
            <w:r w:rsidR="0025184B">
              <w:rPr>
                <w:rStyle w:val="FootnoteReference"/>
              </w:rPr>
              <w:footnoteReference w:id="2"/>
            </w:r>
            <w:r w:rsidR="00915E41" w:rsidRPr="00756880">
              <w:t xml:space="preserve">: </w:t>
            </w:r>
            <w:r w:rsidRPr="00756880">
              <w:t xml:space="preserve">60 </w:t>
            </w:r>
            <w:r w:rsidR="007629CC" w:rsidRPr="00756880">
              <w:t>μ</w:t>
            </w:r>
            <w:r w:rsidRPr="00756880">
              <w:t>g</w:t>
            </w:r>
          </w:p>
          <w:p w14:paraId="5E5F83DB" w14:textId="06FBE083" w:rsidR="00324B33" w:rsidRPr="0025184B" w:rsidRDefault="00C9129C" w:rsidP="00C9129C">
            <w:pPr>
              <w:pStyle w:val="ListBullet"/>
            </w:pPr>
            <w:r w:rsidRPr="00756880">
              <w:t>Respiratory syncytial virus (RSV) subgroup B stabilised prefusion F protein</w:t>
            </w:r>
            <w:r w:rsidRPr="00756880">
              <w:rPr>
                <w:vertAlign w:val="superscript"/>
              </w:rPr>
              <w:t>1</w:t>
            </w:r>
            <w:r w:rsidR="00915E41" w:rsidRPr="00756880">
              <w:t>:</w:t>
            </w:r>
            <w:r w:rsidR="0025184B">
              <w:t xml:space="preserve"> </w:t>
            </w:r>
            <w:r w:rsidR="007629CC" w:rsidRPr="00756880">
              <w:t>60 μg</w:t>
            </w:r>
          </w:p>
        </w:tc>
      </w:tr>
      <w:tr w:rsidR="00324B33" w:rsidRPr="00BD5DBD" w14:paraId="34B07BA6" w14:textId="77777777" w:rsidTr="002313E4">
        <w:tc>
          <w:tcPr>
            <w:tcW w:w="1577" w:type="pct"/>
          </w:tcPr>
          <w:p w14:paraId="1C039224" w14:textId="77777777" w:rsidR="00324B33" w:rsidRPr="00BD5DBD" w:rsidRDefault="00324B33" w:rsidP="007452E8">
            <w:pPr>
              <w:rPr>
                <w:i/>
                <w:szCs w:val="22"/>
              </w:rPr>
            </w:pPr>
            <w:r w:rsidRPr="00BD5DBD">
              <w:rPr>
                <w:i/>
                <w:szCs w:val="22"/>
              </w:rPr>
              <w:t>Container(s):</w:t>
            </w:r>
          </w:p>
        </w:tc>
        <w:tc>
          <w:tcPr>
            <w:tcW w:w="3423" w:type="pct"/>
          </w:tcPr>
          <w:p w14:paraId="500A42C6" w14:textId="0B253BDA" w:rsidR="00324B33" w:rsidRPr="00BD5DBD" w:rsidRDefault="004552E6" w:rsidP="007452E8">
            <w:pPr>
              <w:rPr>
                <w:szCs w:val="22"/>
              </w:rPr>
            </w:pPr>
            <w:r>
              <w:rPr>
                <w:szCs w:val="22"/>
              </w:rPr>
              <w:t>Vial</w:t>
            </w:r>
            <w:r w:rsidR="007F56C4">
              <w:rPr>
                <w:szCs w:val="22"/>
              </w:rPr>
              <w:t>,</w:t>
            </w:r>
            <w:r>
              <w:rPr>
                <w:szCs w:val="22"/>
              </w:rPr>
              <w:t xml:space="preserve"> </w:t>
            </w:r>
            <w:r w:rsidR="002D3C0B">
              <w:rPr>
                <w:szCs w:val="22"/>
              </w:rPr>
              <w:t>pre-filled syringe</w:t>
            </w:r>
            <w:r w:rsidR="00AB5FC6">
              <w:rPr>
                <w:szCs w:val="22"/>
              </w:rPr>
              <w:t>,</w:t>
            </w:r>
            <w:r w:rsidR="007F56C4">
              <w:rPr>
                <w:szCs w:val="22"/>
              </w:rPr>
              <w:t xml:space="preserve"> and vial adapter</w:t>
            </w:r>
          </w:p>
        </w:tc>
      </w:tr>
      <w:tr w:rsidR="00324B33" w:rsidRPr="00BD5DBD" w14:paraId="176B6773" w14:textId="77777777" w:rsidTr="002313E4">
        <w:tc>
          <w:tcPr>
            <w:tcW w:w="1577" w:type="pct"/>
          </w:tcPr>
          <w:p w14:paraId="71846159" w14:textId="77777777" w:rsidR="00324B33" w:rsidRPr="00BD5DBD" w:rsidRDefault="00324B33" w:rsidP="007452E8">
            <w:pPr>
              <w:rPr>
                <w:i/>
                <w:szCs w:val="22"/>
              </w:rPr>
            </w:pPr>
            <w:r w:rsidRPr="00BD5DBD">
              <w:rPr>
                <w:i/>
                <w:szCs w:val="22"/>
              </w:rPr>
              <w:t>Pack size(s):</w:t>
            </w:r>
          </w:p>
        </w:tc>
        <w:tc>
          <w:tcPr>
            <w:tcW w:w="3423" w:type="pct"/>
          </w:tcPr>
          <w:p w14:paraId="0B6E3045" w14:textId="60D4951D" w:rsidR="00CB2410" w:rsidRDefault="00CB2410" w:rsidP="007452E8">
            <w:pPr>
              <w:rPr>
                <w:szCs w:val="22"/>
              </w:rPr>
            </w:pPr>
            <w:r>
              <w:rPr>
                <w:szCs w:val="22"/>
              </w:rPr>
              <w:t>Multiple:</w:t>
            </w:r>
          </w:p>
          <w:p w14:paraId="372D351D" w14:textId="386F79E4" w:rsidR="00D63095" w:rsidRPr="001846E9" w:rsidRDefault="00D63095" w:rsidP="008412B7">
            <w:pPr>
              <w:pStyle w:val="ListBullet"/>
            </w:pPr>
            <w:r w:rsidRPr="001846E9">
              <w:t>Carton containing 1 vial of powder for injection, 1 pre-filled syringe of diluent, 1 vial adapter</w:t>
            </w:r>
            <w:r w:rsidR="00FA2637">
              <w:t>.</w:t>
            </w:r>
          </w:p>
          <w:p w14:paraId="5C5B777E" w14:textId="27A3FCAB" w:rsidR="00D63095" w:rsidRPr="001846E9" w:rsidRDefault="00D63095" w:rsidP="008412B7">
            <w:pPr>
              <w:pStyle w:val="ListBullet"/>
            </w:pPr>
            <w:r w:rsidRPr="001846E9">
              <w:t>Carton containing 5 vials of powder for injection, 5 pre-filled syringes of diluent, 5 vial adapters</w:t>
            </w:r>
            <w:r w:rsidR="00FA2637">
              <w:t>.</w:t>
            </w:r>
          </w:p>
          <w:p w14:paraId="7E978F8F" w14:textId="5920E19E" w:rsidR="00324B33" w:rsidRPr="001846E9" w:rsidRDefault="00D63095" w:rsidP="008412B7">
            <w:pPr>
              <w:pStyle w:val="ListBullet"/>
              <w:rPr>
                <w:szCs w:val="22"/>
              </w:rPr>
            </w:pPr>
            <w:r w:rsidRPr="001846E9">
              <w:t>Carton containing 10 vials of powder for injection, 10 pre-filled syringes of diluent, 10 vial adapters</w:t>
            </w:r>
            <w:r w:rsidR="00FA2637">
              <w:t>.</w:t>
            </w:r>
          </w:p>
        </w:tc>
      </w:tr>
      <w:tr w:rsidR="00324B33" w:rsidRPr="00BD5DBD" w14:paraId="19A2544A" w14:textId="77777777" w:rsidTr="002313E4">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5EF5C5C1" w14:textId="23237557" w:rsidR="00CD3134" w:rsidRPr="008412B7" w:rsidRDefault="008412B7" w:rsidP="00CD3134">
            <w:pPr>
              <w:rPr>
                <w:i/>
                <w:iCs/>
                <w:szCs w:val="22"/>
              </w:rPr>
            </w:pPr>
            <w:r w:rsidRPr="008412B7">
              <w:rPr>
                <w:i/>
                <w:iCs/>
                <w:szCs w:val="22"/>
              </w:rPr>
              <w:t>Abrysvo</w:t>
            </w:r>
            <w:r w:rsidR="00CD3134" w:rsidRPr="008412B7">
              <w:rPr>
                <w:i/>
                <w:iCs/>
                <w:szCs w:val="22"/>
              </w:rPr>
              <w:t xml:space="preserve"> is indicated for:</w:t>
            </w:r>
          </w:p>
          <w:p w14:paraId="15B06425" w14:textId="4344EC88" w:rsidR="00CD3134" w:rsidRPr="008412B7" w:rsidRDefault="00CD3134" w:rsidP="008412B7">
            <w:pPr>
              <w:pStyle w:val="ListBullet"/>
              <w:rPr>
                <w:i/>
                <w:iCs/>
              </w:rPr>
            </w:pPr>
            <w:r w:rsidRPr="008412B7">
              <w:rPr>
                <w:i/>
                <w:iCs/>
              </w:rPr>
              <w:lastRenderedPageBreak/>
              <w:t>Active immunisation of pregnant women between 24-36 weeks of gestation for</w:t>
            </w:r>
            <w:r w:rsidR="002A2D69" w:rsidRPr="008412B7">
              <w:rPr>
                <w:i/>
                <w:iCs/>
              </w:rPr>
              <w:t xml:space="preserve"> </w:t>
            </w:r>
            <w:r w:rsidRPr="008412B7">
              <w:rPr>
                <w:i/>
                <w:iCs/>
              </w:rPr>
              <w:t>prevention of lower respiratory tract disease caused by respiratory syncytial virus (RSV)</w:t>
            </w:r>
            <w:r w:rsidR="00A4308A">
              <w:rPr>
                <w:i/>
                <w:iCs/>
              </w:rPr>
              <w:t xml:space="preserve"> </w:t>
            </w:r>
            <w:r w:rsidRPr="008412B7">
              <w:rPr>
                <w:i/>
                <w:iCs/>
              </w:rPr>
              <w:t>in infants from birth through 6 months of age.</w:t>
            </w:r>
          </w:p>
          <w:p w14:paraId="2AFE898D" w14:textId="050AD8EB" w:rsidR="00CD3134" w:rsidRPr="008412B7" w:rsidRDefault="00CD3134" w:rsidP="008412B7">
            <w:pPr>
              <w:pStyle w:val="ListBullet"/>
              <w:rPr>
                <w:i/>
                <w:iCs/>
              </w:rPr>
            </w:pPr>
            <w:r w:rsidRPr="008412B7">
              <w:rPr>
                <w:i/>
                <w:iCs/>
              </w:rPr>
              <w:t>Active immunisation of individuals 60 years of age and above for prevention of lower</w:t>
            </w:r>
            <w:r w:rsidR="002A2D69" w:rsidRPr="008412B7">
              <w:rPr>
                <w:i/>
                <w:iCs/>
              </w:rPr>
              <w:t xml:space="preserve"> </w:t>
            </w:r>
            <w:r w:rsidRPr="008412B7">
              <w:rPr>
                <w:i/>
                <w:iCs/>
              </w:rPr>
              <w:t>respiratory tract disease caused by respiratory syncytial virus (RSV).</w:t>
            </w:r>
          </w:p>
          <w:p w14:paraId="6E143E2E" w14:textId="3FB5C57E" w:rsidR="00324B33" w:rsidRPr="008412B7" w:rsidRDefault="00CD3134" w:rsidP="00CD3134">
            <w:pPr>
              <w:rPr>
                <w:i/>
                <w:iCs/>
                <w:szCs w:val="22"/>
              </w:rPr>
            </w:pPr>
            <w:r w:rsidRPr="008412B7">
              <w:rPr>
                <w:i/>
                <w:iCs/>
                <w:szCs w:val="22"/>
              </w:rPr>
              <w:t>A</w:t>
            </w:r>
            <w:r w:rsidR="008412B7">
              <w:rPr>
                <w:i/>
                <w:iCs/>
                <w:szCs w:val="22"/>
              </w:rPr>
              <w:t>brysvo</w:t>
            </w:r>
            <w:r w:rsidRPr="008412B7">
              <w:rPr>
                <w:i/>
                <w:iCs/>
                <w:szCs w:val="22"/>
              </w:rPr>
              <w:t xml:space="preserve"> should be used in accordance with official recommendations.</w:t>
            </w:r>
          </w:p>
        </w:tc>
      </w:tr>
      <w:tr w:rsidR="00324B33" w:rsidRPr="00BD5DBD" w14:paraId="5AFDEED3" w14:textId="77777777" w:rsidTr="002313E4">
        <w:tc>
          <w:tcPr>
            <w:tcW w:w="1577" w:type="pct"/>
          </w:tcPr>
          <w:p w14:paraId="03884BD1" w14:textId="77777777" w:rsidR="00324B33" w:rsidRPr="00BD5DBD" w:rsidRDefault="00324B33" w:rsidP="007452E8">
            <w:pPr>
              <w:rPr>
                <w:i/>
                <w:szCs w:val="22"/>
              </w:rPr>
            </w:pPr>
            <w:r w:rsidRPr="00BD5DBD">
              <w:rPr>
                <w:i/>
                <w:szCs w:val="22"/>
              </w:rPr>
              <w:lastRenderedPageBreak/>
              <w:t>Route(s) of administration:</w:t>
            </w:r>
          </w:p>
        </w:tc>
        <w:tc>
          <w:tcPr>
            <w:tcW w:w="3423" w:type="pct"/>
          </w:tcPr>
          <w:p w14:paraId="1ED1357E" w14:textId="12E96055" w:rsidR="00324B33" w:rsidRPr="00BD5DBD" w:rsidRDefault="00A92F29" w:rsidP="007452E8">
            <w:pPr>
              <w:rPr>
                <w:szCs w:val="22"/>
              </w:rPr>
            </w:pPr>
            <w:r>
              <w:rPr>
                <w:szCs w:val="22"/>
              </w:rPr>
              <w:t>I</w:t>
            </w:r>
            <w:r w:rsidR="00B507AF">
              <w:rPr>
                <w:szCs w:val="22"/>
              </w:rPr>
              <w:t>ntra</w:t>
            </w:r>
            <w:r>
              <w:rPr>
                <w:szCs w:val="22"/>
              </w:rPr>
              <w:t>muscular injection</w:t>
            </w:r>
          </w:p>
        </w:tc>
      </w:tr>
      <w:tr w:rsidR="00324B33" w:rsidRPr="00BD5DBD" w14:paraId="70D7E9FA" w14:textId="77777777" w:rsidTr="002313E4">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508DC8B" w14:textId="77777777" w:rsidR="002313E4" w:rsidRPr="00566231" w:rsidRDefault="002313E4" w:rsidP="002313E4">
            <w:pPr>
              <w:rPr>
                <w:b/>
                <w:bCs/>
                <w:i/>
                <w:iCs/>
                <w:szCs w:val="22"/>
              </w:rPr>
            </w:pPr>
            <w:r w:rsidRPr="00566231">
              <w:rPr>
                <w:b/>
                <w:bCs/>
                <w:i/>
                <w:iCs/>
                <w:szCs w:val="22"/>
              </w:rPr>
              <w:t>Pregnant women</w:t>
            </w:r>
          </w:p>
          <w:p w14:paraId="0001A50E" w14:textId="46A1EDF7" w:rsidR="002313E4" w:rsidRPr="002313E4" w:rsidRDefault="002313E4" w:rsidP="002313E4">
            <w:pPr>
              <w:rPr>
                <w:szCs w:val="22"/>
              </w:rPr>
            </w:pPr>
            <w:r w:rsidRPr="002313E4">
              <w:rPr>
                <w:szCs w:val="22"/>
              </w:rPr>
              <w:t>A</w:t>
            </w:r>
            <w:r w:rsidR="008412B7">
              <w:rPr>
                <w:szCs w:val="22"/>
              </w:rPr>
              <w:t xml:space="preserve">brysvo </w:t>
            </w:r>
            <w:r w:rsidRPr="002313E4">
              <w:rPr>
                <w:szCs w:val="22"/>
              </w:rPr>
              <w:t>is administered as a single dose (0.5 mL) in late second or third trimester of pregnancy (24</w:t>
            </w:r>
            <w:r w:rsidR="008412B7">
              <w:rPr>
                <w:szCs w:val="22"/>
              </w:rPr>
              <w:t xml:space="preserve"> to </w:t>
            </w:r>
            <w:r w:rsidRPr="002313E4">
              <w:rPr>
                <w:szCs w:val="22"/>
              </w:rPr>
              <w:t>36 weeks of gestation).</w:t>
            </w:r>
          </w:p>
          <w:p w14:paraId="73875EC3" w14:textId="77777777" w:rsidR="002313E4" w:rsidRPr="00566231" w:rsidRDefault="002313E4" w:rsidP="002313E4">
            <w:pPr>
              <w:rPr>
                <w:b/>
                <w:bCs/>
                <w:i/>
                <w:iCs/>
                <w:szCs w:val="22"/>
              </w:rPr>
            </w:pPr>
            <w:r w:rsidRPr="00566231">
              <w:rPr>
                <w:b/>
                <w:bCs/>
                <w:i/>
                <w:iCs/>
                <w:szCs w:val="22"/>
              </w:rPr>
              <w:t>Individuals 60 years of age and older</w:t>
            </w:r>
          </w:p>
          <w:p w14:paraId="2B4B4A24" w14:textId="0519395B" w:rsidR="002313E4" w:rsidRPr="002313E4" w:rsidRDefault="008412B7" w:rsidP="002313E4">
            <w:pPr>
              <w:rPr>
                <w:szCs w:val="22"/>
              </w:rPr>
            </w:pPr>
            <w:r w:rsidRPr="002313E4">
              <w:rPr>
                <w:szCs w:val="22"/>
              </w:rPr>
              <w:t>A</w:t>
            </w:r>
            <w:r>
              <w:rPr>
                <w:szCs w:val="22"/>
              </w:rPr>
              <w:t>brysvo</w:t>
            </w:r>
            <w:r w:rsidR="002313E4" w:rsidRPr="002313E4">
              <w:rPr>
                <w:szCs w:val="22"/>
              </w:rPr>
              <w:t xml:space="preserve"> is administered as a single dose (0.5 mL).</w:t>
            </w:r>
          </w:p>
          <w:p w14:paraId="01AFB2BC" w14:textId="77777777" w:rsidR="002313E4" w:rsidRPr="00CD37C0" w:rsidRDefault="002313E4" w:rsidP="002313E4">
            <w:pPr>
              <w:rPr>
                <w:b/>
                <w:bCs/>
                <w:i/>
                <w:iCs/>
                <w:szCs w:val="22"/>
              </w:rPr>
            </w:pPr>
            <w:r w:rsidRPr="00CD37C0">
              <w:rPr>
                <w:b/>
                <w:bCs/>
                <w:i/>
                <w:iCs/>
                <w:szCs w:val="22"/>
              </w:rPr>
              <w:t>Method of administration</w:t>
            </w:r>
          </w:p>
          <w:p w14:paraId="4C689396" w14:textId="5151E030" w:rsidR="002313E4" w:rsidRPr="00CD37C0" w:rsidRDefault="008412B7" w:rsidP="002313E4">
            <w:pPr>
              <w:rPr>
                <w:szCs w:val="22"/>
              </w:rPr>
            </w:pPr>
            <w:r w:rsidRPr="002313E4">
              <w:rPr>
                <w:szCs w:val="22"/>
              </w:rPr>
              <w:t>A</w:t>
            </w:r>
            <w:r>
              <w:rPr>
                <w:szCs w:val="22"/>
              </w:rPr>
              <w:t>brysvo</w:t>
            </w:r>
            <w:r w:rsidR="002313E4" w:rsidRPr="00CD37C0">
              <w:rPr>
                <w:szCs w:val="22"/>
              </w:rPr>
              <w:t xml:space="preserve"> is for intramuscular injection only, preferably in the deltoid region of the upper arm.</w:t>
            </w:r>
          </w:p>
          <w:p w14:paraId="62F2D1A9" w14:textId="407345EB" w:rsidR="002313E4" w:rsidRPr="00CD37C0" w:rsidRDefault="008412B7" w:rsidP="002313E4">
            <w:pPr>
              <w:rPr>
                <w:szCs w:val="22"/>
              </w:rPr>
            </w:pPr>
            <w:r w:rsidRPr="002313E4">
              <w:rPr>
                <w:szCs w:val="22"/>
              </w:rPr>
              <w:t>A</w:t>
            </w:r>
            <w:r>
              <w:rPr>
                <w:szCs w:val="22"/>
              </w:rPr>
              <w:t>brysvo</w:t>
            </w:r>
            <w:r w:rsidR="002313E4" w:rsidRPr="00CD37C0">
              <w:rPr>
                <w:szCs w:val="22"/>
              </w:rPr>
              <w:t xml:space="preserve"> is not to be administered intravascularly, </w:t>
            </w:r>
            <w:proofErr w:type="gramStart"/>
            <w:r w:rsidR="002313E4" w:rsidRPr="00CD37C0">
              <w:rPr>
                <w:szCs w:val="22"/>
              </w:rPr>
              <w:t>intradermally</w:t>
            </w:r>
            <w:proofErr w:type="gramEnd"/>
            <w:r w:rsidR="002313E4" w:rsidRPr="00CD37C0">
              <w:rPr>
                <w:szCs w:val="22"/>
              </w:rPr>
              <w:t xml:space="preserve"> or subcutaneously.</w:t>
            </w:r>
          </w:p>
          <w:p w14:paraId="18622E04" w14:textId="318D55E9" w:rsidR="002313E4" w:rsidRPr="00CD37C0" w:rsidRDefault="002313E4" w:rsidP="002313E4">
            <w:pPr>
              <w:rPr>
                <w:szCs w:val="22"/>
              </w:rPr>
            </w:pPr>
            <w:r w:rsidRPr="00CD37C0">
              <w:rPr>
                <w:szCs w:val="22"/>
              </w:rPr>
              <w:t xml:space="preserve">Do not mix </w:t>
            </w:r>
            <w:r w:rsidR="008412B7" w:rsidRPr="002313E4">
              <w:rPr>
                <w:szCs w:val="22"/>
              </w:rPr>
              <w:t>A</w:t>
            </w:r>
            <w:r w:rsidR="008412B7">
              <w:rPr>
                <w:szCs w:val="22"/>
              </w:rPr>
              <w:t>brysvo</w:t>
            </w:r>
            <w:r w:rsidRPr="00CD37C0">
              <w:rPr>
                <w:szCs w:val="22"/>
              </w:rPr>
              <w:t xml:space="preserve"> with other vaccines/medicinal products in the same syringe.</w:t>
            </w:r>
          </w:p>
          <w:p w14:paraId="40B36D5F" w14:textId="2376B423" w:rsidR="0071736B" w:rsidRPr="00CD37C0" w:rsidRDefault="008412B7" w:rsidP="002313E4">
            <w:pPr>
              <w:rPr>
                <w:szCs w:val="22"/>
              </w:rPr>
            </w:pPr>
            <w:r w:rsidRPr="002313E4">
              <w:rPr>
                <w:szCs w:val="22"/>
              </w:rPr>
              <w:t>A</w:t>
            </w:r>
            <w:r>
              <w:rPr>
                <w:szCs w:val="22"/>
              </w:rPr>
              <w:t>brysvo</w:t>
            </w:r>
            <w:r w:rsidR="002313E4" w:rsidRPr="00CD37C0">
              <w:rPr>
                <w:szCs w:val="22"/>
              </w:rPr>
              <w:t xml:space="preserve"> is for single use in one patient only. Discard any residue.</w:t>
            </w:r>
          </w:p>
          <w:p w14:paraId="3D0B2D5C" w14:textId="1CA6A923" w:rsidR="00324B33" w:rsidRPr="00BD5DBD" w:rsidRDefault="00324B33" w:rsidP="002313E4">
            <w:pPr>
              <w:rPr>
                <w:szCs w:val="22"/>
              </w:rPr>
            </w:pPr>
            <w:r w:rsidRPr="00CD37C0">
              <w:rPr>
                <w:szCs w:val="22"/>
              </w:rPr>
              <w:t xml:space="preserve">For further information regarding dosage, </w:t>
            </w:r>
            <w:r w:rsidR="006B7126" w:rsidRPr="00CD37C0">
              <w:rPr>
                <w:szCs w:val="22"/>
              </w:rPr>
              <w:t xml:space="preserve">such as dosage modifications to manage adverse reactions, </w:t>
            </w:r>
            <w:r w:rsidRPr="00CD37C0">
              <w:rPr>
                <w:szCs w:val="22"/>
              </w:rPr>
              <w:t>refer to the Product Information.</w:t>
            </w:r>
          </w:p>
        </w:tc>
      </w:tr>
      <w:tr w:rsidR="0017005C" w:rsidRPr="00BD5DBD" w14:paraId="7B7BB6AE" w14:textId="77777777" w:rsidTr="002313E4">
        <w:tc>
          <w:tcPr>
            <w:tcW w:w="1577" w:type="pct"/>
          </w:tcPr>
          <w:p w14:paraId="3A76AFF7" w14:textId="7C436DD9" w:rsidR="0017005C" w:rsidRPr="00F8083B" w:rsidRDefault="0070330F" w:rsidP="0017005C">
            <w:r w:rsidRPr="00BD5DBD">
              <w:rPr>
                <w:i/>
                <w:szCs w:val="22"/>
              </w:rPr>
              <w:t>Pregnancy category:</w:t>
            </w:r>
          </w:p>
        </w:tc>
        <w:tc>
          <w:tcPr>
            <w:tcW w:w="3423" w:type="pct"/>
          </w:tcPr>
          <w:p w14:paraId="0B699C03" w14:textId="448A4320" w:rsidR="00932FD8" w:rsidRDefault="00CD37C0" w:rsidP="007967C3">
            <w:r w:rsidRPr="0020344B">
              <w:rPr>
                <w:b/>
                <w:bCs/>
              </w:rPr>
              <w:t xml:space="preserve">Category </w:t>
            </w:r>
            <w:r w:rsidR="007F6DDD" w:rsidRPr="0020344B">
              <w:rPr>
                <w:b/>
                <w:bCs/>
              </w:rPr>
              <w:t>A</w:t>
            </w:r>
            <w:r>
              <w:t xml:space="preserve">: </w:t>
            </w:r>
            <w:r w:rsidR="00932FD8" w:rsidRPr="00932FD8">
              <w:t xml:space="preserve">Drugs which have been taken by </w:t>
            </w:r>
            <w:proofErr w:type="gramStart"/>
            <w:r w:rsidR="00932FD8" w:rsidRPr="00932FD8">
              <w:t>a large number of</w:t>
            </w:r>
            <w:proofErr w:type="gramEnd"/>
            <w:r w:rsidR="00932FD8" w:rsidRPr="00932FD8">
              <w:t xml:space="preserve"> pregnant women and women of childbearing age without any proven increase in the frequency of malformations or other direct or indirect harmful effects on the fetus having been observed.</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6"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17"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4" w:name="_Toc247691503"/>
      <w:bookmarkStart w:id="15" w:name="_Toc314842484"/>
      <w:bookmarkStart w:id="16" w:name="_Toc103679290"/>
      <w:bookmarkStart w:id="17" w:name="_Toc165552516"/>
      <w:r>
        <w:lastRenderedPageBreak/>
        <w:t>Product background</w:t>
      </w:r>
      <w:bookmarkEnd w:id="14"/>
      <w:bookmarkEnd w:id="15"/>
      <w:bookmarkEnd w:id="16"/>
      <w:bookmarkEnd w:id="17"/>
    </w:p>
    <w:p w14:paraId="59BF31D1" w14:textId="55E3394A" w:rsidR="001500A8" w:rsidRPr="00463A3D" w:rsidRDefault="00324B33" w:rsidP="00463A3D">
      <w:r w:rsidRPr="00463A3D">
        <w:t xml:space="preserve">This AusPAR describes the submission by </w:t>
      </w:r>
      <w:r w:rsidR="003A130D" w:rsidRPr="00463A3D">
        <w:t>Pfizer Australia Pty Ltd</w:t>
      </w:r>
      <w:r w:rsidRPr="00463A3D">
        <w:t xml:space="preserve"> (the sponsor) to register </w:t>
      </w:r>
      <w:r w:rsidR="004D2BA3" w:rsidRPr="00463A3D">
        <w:t>A</w:t>
      </w:r>
      <w:r w:rsidR="008412B7">
        <w:t xml:space="preserve">brysvo </w:t>
      </w:r>
      <w:r w:rsidRPr="00463A3D">
        <w:t>(</w:t>
      </w:r>
      <w:r w:rsidR="004D2BA3" w:rsidRPr="00463A3D">
        <w:t>recombinant respiratory syncytial virus pre-fusion F protein</w:t>
      </w:r>
      <w:r w:rsidRPr="00463A3D">
        <w:t xml:space="preserve">) </w:t>
      </w:r>
      <w:r w:rsidR="00A40690" w:rsidRPr="00463A3D">
        <w:t>120 mg</w:t>
      </w:r>
      <w:r w:rsidR="00337786" w:rsidRPr="00463A3D">
        <w:t>/</w:t>
      </w:r>
      <w:r w:rsidR="008518EE" w:rsidRPr="00463A3D">
        <w:t xml:space="preserve">0.5 mL </w:t>
      </w:r>
      <w:r w:rsidR="003343F9" w:rsidRPr="00463A3D">
        <w:t>powder</w:t>
      </w:r>
      <w:r w:rsidR="00C47E63" w:rsidRPr="00463A3D">
        <w:t xml:space="preserve"> </w:t>
      </w:r>
      <w:r w:rsidR="003343F9" w:rsidRPr="00463A3D">
        <w:t xml:space="preserve">for injection </w:t>
      </w:r>
      <w:r w:rsidR="00C47E63" w:rsidRPr="00463A3D">
        <w:t xml:space="preserve">vial and prefilled </w:t>
      </w:r>
      <w:r w:rsidR="00337786" w:rsidRPr="00463A3D">
        <w:t xml:space="preserve">diluent </w:t>
      </w:r>
      <w:r w:rsidR="00C47E63" w:rsidRPr="00463A3D">
        <w:t xml:space="preserve">syringe </w:t>
      </w:r>
      <w:r w:rsidRPr="00463A3D">
        <w:t xml:space="preserve">for the following proposed </w:t>
      </w:r>
      <w:r w:rsidR="00EA5915" w:rsidRPr="00463A3D">
        <w:t>i</w:t>
      </w:r>
      <w:r w:rsidRPr="00463A3D">
        <w:t>ndication</w:t>
      </w:r>
      <w:r w:rsidR="002716D2" w:rsidRPr="00463A3D">
        <w:t>s</w:t>
      </w:r>
      <w:r w:rsidRPr="00463A3D">
        <w:t>:</w:t>
      </w:r>
      <w:r w:rsidR="00DE05ED">
        <w:rPr>
          <w:rStyle w:val="FootnoteReference"/>
        </w:rPr>
        <w:footnoteReference w:id="3"/>
      </w:r>
      <w:r w:rsidR="004D2BA3" w:rsidRPr="00463A3D">
        <w:t xml:space="preserve"> </w:t>
      </w:r>
    </w:p>
    <w:p w14:paraId="0A73AF72" w14:textId="717BA3CD" w:rsidR="00EA5915" w:rsidRPr="00463A3D" w:rsidRDefault="00EA5915" w:rsidP="00463A3D">
      <w:pPr>
        <w:ind w:left="360"/>
        <w:rPr>
          <w:i/>
          <w:iCs/>
        </w:rPr>
      </w:pPr>
      <w:r w:rsidRPr="00463A3D">
        <w:rPr>
          <w:i/>
          <w:iCs/>
        </w:rPr>
        <w:t>A</w:t>
      </w:r>
      <w:r w:rsidR="008412B7">
        <w:rPr>
          <w:i/>
          <w:iCs/>
        </w:rPr>
        <w:t>brysvo</w:t>
      </w:r>
      <w:r w:rsidRPr="00463A3D">
        <w:rPr>
          <w:i/>
          <w:iCs/>
        </w:rPr>
        <w:t xml:space="preserve"> is indicated for:</w:t>
      </w:r>
    </w:p>
    <w:p w14:paraId="131E67CE" w14:textId="4632E350" w:rsidR="00EA5915" w:rsidRPr="00463A3D" w:rsidRDefault="00EA5915" w:rsidP="00463A3D">
      <w:pPr>
        <w:pStyle w:val="ListBullet"/>
        <w:ind w:left="720"/>
        <w:rPr>
          <w:i/>
          <w:iCs/>
        </w:rPr>
      </w:pPr>
      <w:r w:rsidRPr="00463A3D">
        <w:rPr>
          <w:i/>
          <w:iCs/>
        </w:rPr>
        <w:t>Active immunisation of pregnant women between 24-36 weeks of gestation for prevention of lower respiratory tract disease caused by respiratory syncytial virus (RSV)</w:t>
      </w:r>
      <w:r w:rsidR="00A4308A">
        <w:rPr>
          <w:i/>
          <w:iCs/>
        </w:rPr>
        <w:t xml:space="preserve"> </w:t>
      </w:r>
      <w:r w:rsidRPr="00463A3D">
        <w:rPr>
          <w:i/>
          <w:iCs/>
        </w:rPr>
        <w:t>in infants from birth through 6 months of age.</w:t>
      </w:r>
    </w:p>
    <w:p w14:paraId="108116F1" w14:textId="07F1C461" w:rsidR="00EA5915" w:rsidRPr="00463A3D" w:rsidRDefault="00EA5915" w:rsidP="00463A3D">
      <w:pPr>
        <w:pStyle w:val="ListBullet"/>
        <w:ind w:left="720"/>
        <w:rPr>
          <w:i/>
          <w:iCs/>
        </w:rPr>
      </w:pPr>
      <w:r w:rsidRPr="00463A3D">
        <w:rPr>
          <w:i/>
          <w:iCs/>
        </w:rPr>
        <w:t>Active immunisation of individuals 60 years of age and above for prevention of lower respiratory tract disease caused by respiratory syncytial virus (RSV).</w:t>
      </w:r>
    </w:p>
    <w:p w14:paraId="232B42CF" w14:textId="7E954CE2" w:rsidR="00EA5915" w:rsidRPr="00463A3D" w:rsidRDefault="00EA5915" w:rsidP="00463A3D">
      <w:pPr>
        <w:ind w:left="360"/>
        <w:rPr>
          <w:i/>
          <w:iCs/>
        </w:rPr>
      </w:pPr>
      <w:r w:rsidRPr="00463A3D">
        <w:rPr>
          <w:i/>
          <w:iCs/>
        </w:rPr>
        <w:t>A</w:t>
      </w:r>
      <w:r w:rsidR="0025184B">
        <w:rPr>
          <w:i/>
          <w:iCs/>
        </w:rPr>
        <w:t>brysvo</w:t>
      </w:r>
      <w:r w:rsidRPr="00463A3D">
        <w:rPr>
          <w:i/>
          <w:iCs/>
        </w:rPr>
        <w:t xml:space="preserve"> should be used in accordance with official recommendations.</w:t>
      </w:r>
    </w:p>
    <w:p w14:paraId="1E63A2AE" w14:textId="25B576A8" w:rsidR="00CB6813" w:rsidRDefault="004444B0" w:rsidP="004D2BA3">
      <w:pPr>
        <w:pStyle w:val="Heading4"/>
      </w:pPr>
      <w:bookmarkStart w:id="18" w:name="_Toc165552517"/>
      <w:bookmarkStart w:id="19" w:name="_Toc314842485"/>
      <w:bookmarkStart w:id="20" w:name="_Toc247691504"/>
      <w:r>
        <w:t>The d</w:t>
      </w:r>
      <w:r w:rsidR="00CB6813" w:rsidRPr="00C12D65">
        <w:t>isease</w:t>
      </w:r>
      <w:r w:rsidR="00E01E1E">
        <w:t>/condition</w:t>
      </w:r>
      <w:bookmarkEnd w:id="18"/>
    </w:p>
    <w:p w14:paraId="3C35B00D" w14:textId="34E9270E" w:rsidR="00775DC1" w:rsidRPr="003B2FBE" w:rsidRDefault="00775DC1" w:rsidP="003B2FBE">
      <w:r w:rsidRPr="003B2FBE">
        <w:t>Respiratory Syncytial Virus</w:t>
      </w:r>
      <w:r w:rsidR="004C2B2A" w:rsidRPr="003B2FBE">
        <w:t xml:space="preserve"> (RSV)</w:t>
      </w:r>
      <w:r w:rsidRPr="003B2FBE">
        <w:t xml:space="preserve"> is a</w:t>
      </w:r>
      <w:r w:rsidR="004C2B2A" w:rsidRPr="003B2FBE">
        <w:t>n</w:t>
      </w:r>
      <w:r w:rsidRPr="003B2FBE">
        <w:t xml:space="preserve"> RNA virus that can cause respiratory tract infections at any age. However, serious infections predominantly occur in the very young, the older population and in patients with comorbidities such as chronic lung disease</w:t>
      </w:r>
      <w:r w:rsidR="00487157">
        <w:t xml:space="preserve"> (CLD)</w:t>
      </w:r>
      <w:r w:rsidRPr="003B2FBE">
        <w:t>, chronic heart disease or patients undergoing cancer treatment.</w:t>
      </w:r>
      <w:r w:rsidR="00590C09" w:rsidRPr="00B77ADA">
        <w:rPr>
          <w:vertAlign w:val="superscript"/>
        </w:rPr>
        <w:footnoteReference w:id="4"/>
      </w:r>
      <w:r w:rsidRPr="00B77ADA">
        <w:rPr>
          <w:vertAlign w:val="superscript"/>
        </w:rPr>
        <w:t xml:space="preserve"> </w:t>
      </w:r>
      <w:r w:rsidRPr="003B2FBE">
        <w:t>In Victoria, the proportion of positive viral isolates in respiratory disease that were RSV was 52% in the &lt;5 years age group, 2.1% in the 5 to 19 years, 26.1% in the 20 to 64 years and 16.4% in the ≥65 years.</w:t>
      </w:r>
      <w:r w:rsidR="001F69A4" w:rsidRPr="00B77ADA">
        <w:rPr>
          <w:vertAlign w:val="superscript"/>
        </w:rPr>
        <w:footnoteReference w:id="5"/>
      </w:r>
      <w:r w:rsidRPr="00DE05ED">
        <w:t xml:space="preserve"> </w:t>
      </w:r>
      <w:r w:rsidRPr="003B2FBE">
        <w:t>The majority of RSV infections</w:t>
      </w:r>
      <w:r w:rsidR="00AA3D27" w:rsidRPr="003B2FBE">
        <w:t xml:space="preserve"> (</w:t>
      </w:r>
      <w:r w:rsidRPr="003B2FBE">
        <w:t>66%</w:t>
      </w:r>
      <w:r w:rsidR="00AA3D27" w:rsidRPr="003B2FBE">
        <w:t>)</w:t>
      </w:r>
      <w:r w:rsidRPr="003B2FBE">
        <w:t xml:space="preserve"> occur in winter and the RSV outbreak usually precedes the annual influenza outbreak.</w:t>
      </w:r>
    </w:p>
    <w:p w14:paraId="72AFC51A" w14:textId="42042677" w:rsidR="00775DC1" w:rsidRPr="003B2FBE" w:rsidRDefault="00775DC1" w:rsidP="003B2FBE">
      <w:r w:rsidRPr="003B2FBE">
        <w:t>There are two strains of RSV that cause infection in humans: A and B</w:t>
      </w:r>
      <w:r w:rsidR="0020344B" w:rsidRPr="003B2FBE">
        <w:t xml:space="preserve">, </w:t>
      </w:r>
      <w:r w:rsidRPr="003B2FBE">
        <w:t>with infections occurring at s</w:t>
      </w:r>
      <w:r w:rsidRPr="00B77ADA">
        <w:t>imilar rates for the two strains.</w:t>
      </w:r>
      <w:r w:rsidR="0025184B" w:rsidRPr="00B77ADA">
        <w:rPr>
          <w:vertAlign w:val="superscript"/>
        </w:rPr>
        <w:t>3</w:t>
      </w:r>
      <w:r w:rsidRPr="00B77ADA">
        <w:t xml:space="preserve"> Severity and outcomes are also similar for the two strains: in adults, supplemental oxygen </w:t>
      </w:r>
      <w:r w:rsidR="00535347" w:rsidRPr="00B77ADA">
        <w:t xml:space="preserve">is required </w:t>
      </w:r>
      <w:r w:rsidRPr="00B77ADA">
        <w:t xml:space="preserve">in </w:t>
      </w:r>
      <w:r w:rsidR="00535347" w:rsidRPr="00B77ADA">
        <w:t xml:space="preserve">approximately </w:t>
      </w:r>
      <w:r w:rsidRPr="00B77ADA">
        <w:t>45%</w:t>
      </w:r>
      <w:r w:rsidR="00535347" w:rsidRPr="00B77ADA">
        <w:t xml:space="preserve"> of individuals;</w:t>
      </w:r>
      <w:r w:rsidRPr="00B77ADA">
        <w:t xml:space="preserve"> </w:t>
      </w:r>
      <w:r w:rsidR="00487157" w:rsidRPr="00B77ADA">
        <w:t>intensive care unit (</w:t>
      </w:r>
      <w:r w:rsidRPr="00B77ADA">
        <w:t>ICU</w:t>
      </w:r>
      <w:r w:rsidR="00487157" w:rsidRPr="00B77ADA">
        <w:t>)</w:t>
      </w:r>
      <w:r w:rsidRPr="00B77ADA">
        <w:t xml:space="preserve"> admission</w:t>
      </w:r>
      <w:r w:rsidRPr="003B2FBE">
        <w:t xml:space="preserve"> in 25%</w:t>
      </w:r>
      <w:r w:rsidR="00535347" w:rsidRPr="003B2FBE">
        <w:t>;</w:t>
      </w:r>
      <w:r w:rsidRPr="003B2FBE">
        <w:t xml:space="preserve"> non-invasive positive pressure ventilation in 12%</w:t>
      </w:r>
      <w:r w:rsidR="00535347" w:rsidRPr="003B2FBE">
        <w:t>;</w:t>
      </w:r>
      <w:r w:rsidRPr="003B2FBE">
        <w:t xml:space="preserve"> intubation in 12%</w:t>
      </w:r>
      <w:r w:rsidR="00535347" w:rsidRPr="003B2FBE">
        <w:t>;</w:t>
      </w:r>
      <w:r w:rsidRPr="003B2FBE">
        <w:t xml:space="preserve"> and death in 4%.  </w:t>
      </w:r>
    </w:p>
    <w:p w14:paraId="017EDBBA" w14:textId="34AB0976" w:rsidR="00A32195" w:rsidRPr="003B2FBE" w:rsidRDefault="00775DC1" w:rsidP="003B2FBE">
      <w:r w:rsidRPr="003B2FBE">
        <w:t>In Australia, there are over 6,000 hospitalisations per year due to RSV, with 95% of these admissions being children &lt;5 years of age.</w:t>
      </w:r>
      <w:r w:rsidR="00C366D6" w:rsidRPr="00B77ADA">
        <w:rPr>
          <w:vertAlign w:val="superscript"/>
        </w:rPr>
        <w:footnoteReference w:id="6"/>
      </w:r>
      <w:r w:rsidRPr="00DE05ED">
        <w:t xml:space="preserve"> </w:t>
      </w:r>
      <w:r w:rsidRPr="003B2FBE">
        <w:t xml:space="preserve">In Australia, from 2006 to 2015 the hospitalisation rate for children </w:t>
      </w:r>
      <w:r w:rsidR="00DE05ED" w:rsidRPr="003B2FBE">
        <w:t>&lt;</w:t>
      </w:r>
      <w:r w:rsidRPr="003B2FBE">
        <w:t xml:space="preserve">5 years was 418 per 100,000 population; for children </w:t>
      </w:r>
      <w:r w:rsidR="00DE05ED" w:rsidRPr="003B2FBE">
        <w:t>&lt;</w:t>
      </w:r>
      <w:r w:rsidRPr="003B2FBE">
        <w:t xml:space="preserve">6 months of age it was 2224 per 100,000 population; </w:t>
      </w:r>
      <w:r w:rsidR="007A2986" w:rsidRPr="003B2FBE">
        <w:t xml:space="preserve">and </w:t>
      </w:r>
      <w:r w:rsidRPr="003B2FBE">
        <w:t>the highest rate was for infants aged 0</w:t>
      </w:r>
      <w:r w:rsidR="003C776B" w:rsidRPr="003B2FBE">
        <w:t xml:space="preserve"> to </w:t>
      </w:r>
      <w:r w:rsidRPr="003B2FBE">
        <w:t>2 months (2</w:t>
      </w:r>
      <w:r w:rsidR="00DE05ED">
        <w:t>,</w:t>
      </w:r>
      <w:r w:rsidRPr="003B2FBE">
        <w:t>778 per 100 000 population).</w:t>
      </w:r>
      <w:r w:rsidR="0025184B">
        <w:rPr>
          <w:vertAlign w:val="superscript"/>
        </w:rPr>
        <w:t>5</w:t>
      </w:r>
      <w:r w:rsidRPr="003B2FBE">
        <w:t xml:space="preserve"> The rate of hospitalisation with RSV infection was 2</w:t>
      </w:r>
      <w:r w:rsidR="00DE05ED">
        <w:t>,</w:t>
      </w:r>
      <w:r w:rsidRPr="003B2FBE">
        <w:t>468 per 100,000 population for children &lt;6 months</w:t>
      </w:r>
      <w:r w:rsidR="00A32195" w:rsidRPr="003B2FBE">
        <w:t xml:space="preserve"> of</w:t>
      </w:r>
      <w:r w:rsidRPr="003B2FBE">
        <w:t xml:space="preserve"> age. Hospitalisation rates with RSV were three times higher for Indigenous Australians than other Australians. </w:t>
      </w:r>
    </w:p>
    <w:p w14:paraId="5C29633D" w14:textId="379B8A68" w:rsidR="00775DC1" w:rsidRPr="003B2FBE" w:rsidRDefault="00775DC1" w:rsidP="003B2FBE">
      <w:r w:rsidRPr="003B2FBE">
        <w:t>There were approximately 14 deaths per year attributable to RSV, with 59% of the deaths in adults ≥65 years age. In Australia, from 2006 to 2015, 21 children &lt;5 years</w:t>
      </w:r>
      <w:r w:rsidR="00A32195" w:rsidRPr="003B2FBE">
        <w:t xml:space="preserve"> of</w:t>
      </w:r>
      <w:r w:rsidRPr="003B2FBE">
        <w:t xml:space="preserve"> age died in </w:t>
      </w:r>
      <w:r w:rsidRPr="003B2FBE">
        <w:lastRenderedPageBreak/>
        <w:t xml:space="preserve">hospital from RSV bronchiolitis or pneumonia, with seven of these deaths occurring in children &lt;6 months </w:t>
      </w:r>
      <w:r w:rsidR="00691B1B" w:rsidRPr="003B2FBE">
        <w:t xml:space="preserve">of </w:t>
      </w:r>
      <w:r w:rsidRPr="003B2FBE">
        <w:t>age.</w:t>
      </w:r>
    </w:p>
    <w:p w14:paraId="3AD11179" w14:textId="4F812E6B" w:rsidR="00775DC1" w:rsidRPr="003B2FBE" w:rsidRDefault="00775DC1" w:rsidP="003B2FBE">
      <w:r w:rsidRPr="003B2FBE">
        <w:t>Poorer outcome for children with RSV</w:t>
      </w:r>
      <w:r w:rsidR="00740CDE" w:rsidRPr="003B2FBE">
        <w:t>-</w:t>
      </w:r>
      <w:r w:rsidRPr="003B2FBE">
        <w:t>associated lower respiratory tract infection is associated with: any comorbid condition</w:t>
      </w:r>
      <w:r w:rsidRPr="00B77ADA">
        <w:t>, OR (95% CI) 2.69 (1</w:t>
      </w:r>
      <w:r w:rsidRPr="003B2FBE">
        <w:t>.89 to 3.83); congenital heart disease, 3.40 (2.14 to 5.40); prematurity with gestational age &lt;37 weeks</w:t>
      </w:r>
      <w:r w:rsidR="00DE05ED">
        <w:t>,</w:t>
      </w:r>
      <w:r w:rsidRPr="003B2FBE">
        <w:t xml:space="preserve"> 1.75 (1.31 to 2.36); prematurity with </w:t>
      </w:r>
      <w:r w:rsidR="00487157">
        <w:t>gestational age</w:t>
      </w:r>
      <w:r w:rsidRPr="003B2FBE">
        <w:t xml:space="preserve"> ≤32 weeks, 2.68 (1.43 to 5.04); age &lt;3 months</w:t>
      </w:r>
      <w:r w:rsidR="00DE05ED">
        <w:t>,</w:t>
      </w:r>
      <w:r w:rsidRPr="003B2FBE">
        <w:t xml:space="preserve"> 4.91 1.64 to 14.71)</w:t>
      </w:r>
      <w:r w:rsidR="0020344B" w:rsidRPr="003B2FBE">
        <w:t>;</w:t>
      </w:r>
      <w:r w:rsidRPr="003B2FBE">
        <w:t xml:space="preserve"> and age &lt;6 months, 2.02 (1.73–2.35).</w:t>
      </w:r>
      <w:r w:rsidR="00A16C3E" w:rsidRPr="00B77ADA">
        <w:rPr>
          <w:vertAlign w:val="superscript"/>
        </w:rPr>
        <w:footnoteReference w:id="7"/>
      </w:r>
      <w:r w:rsidRPr="003B2FBE">
        <w:t xml:space="preserve"> For death from RSV</w:t>
      </w:r>
      <w:r w:rsidR="00A4015F" w:rsidRPr="003B2FBE">
        <w:t>-associated</w:t>
      </w:r>
      <w:r w:rsidRPr="003B2FBE">
        <w:t xml:space="preserve"> lower respiratory tract infection, the primary risk factor is prematurity: the OR (95% CI) for </w:t>
      </w:r>
      <w:r w:rsidR="00487157">
        <w:t>gestational age</w:t>
      </w:r>
      <w:r w:rsidRPr="003B2FBE">
        <w:t xml:space="preserve"> &lt;37 weeks is 3.81 (1.68 to 8.63). The risk of hospitalisation with acute respiratory illness increases with increasing prematurity: extremely preterm infants (&lt;28 weeks gestation at birth) are 6.5 (95% CI: 6.0 to 7.0) times more likely</w:t>
      </w:r>
      <w:r w:rsidR="00370B23" w:rsidRPr="003B2FBE">
        <w:t>,</w:t>
      </w:r>
      <w:r w:rsidRPr="003B2FBE">
        <w:t xml:space="preserve"> and those with</w:t>
      </w:r>
      <w:r w:rsidRPr="00B77ADA">
        <w:t xml:space="preserve"> CLD</w:t>
      </w:r>
      <w:r w:rsidR="00B77ADA">
        <w:t xml:space="preserve">, </w:t>
      </w:r>
      <w:r w:rsidRPr="003B2FBE">
        <w:t>a complication of respiratory support in premature neonates</w:t>
      </w:r>
      <w:r w:rsidR="00B77ADA">
        <w:t xml:space="preserve">, </w:t>
      </w:r>
      <w:r w:rsidRPr="003B2FBE">
        <w:t xml:space="preserve">are 5.0 (95% CI: 4.7 to 5.4) times more likely to be subsequently admitted for acute respiratory illness than those in neonatal intensive care who were not preterm or had </w:t>
      </w:r>
      <w:r w:rsidRPr="0025184B">
        <w:t>CLD</w:t>
      </w:r>
      <w:r w:rsidRPr="003B2FBE">
        <w:t xml:space="preserve"> after adjusting for age at hospital admission.</w:t>
      </w:r>
      <w:r w:rsidR="009E5ACE" w:rsidRPr="00B77ADA">
        <w:rPr>
          <w:vertAlign w:val="superscript"/>
        </w:rPr>
        <w:footnoteReference w:id="8"/>
      </w:r>
    </w:p>
    <w:p w14:paraId="01982188" w14:textId="117C2826" w:rsidR="00775DC1" w:rsidRPr="003B2FBE" w:rsidRDefault="00775DC1" w:rsidP="003B2FBE">
      <w:r w:rsidRPr="003B2FBE">
        <w:t xml:space="preserve">In addition to acute morbidity and mortality, RSV infection may have long-term sequelae. Lower respiratory tract infection with RSV doubles the risk of subsequent wheezing illness, although there did not appear to be a strong preventive effect for RSV </w:t>
      </w:r>
      <w:r w:rsidR="00A86E2C">
        <w:t>immuno</w:t>
      </w:r>
      <w:r w:rsidRPr="003B2FBE">
        <w:t>-prophylaxis.</w:t>
      </w:r>
      <w:r w:rsidR="006275D4" w:rsidRPr="00B77ADA">
        <w:rPr>
          <w:vertAlign w:val="superscript"/>
        </w:rPr>
        <w:footnoteReference w:id="9"/>
      </w:r>
      <w:r w:rsidRPr="003B2FBE">
        <w:t xml:space="preserve"> Approximately 20% of children hospitalised with RSV infection will develop asthma in the first five years of life.</w:t>
      </w:r>
      <w:r w:rsidR="00335170" w:rsidRPr="00B77ADA">
        <w:rPr>
          <w:vertAlign w:val="superscript"/>
        </w:rPr>
        <w:footnoteReference w:id="10"/>
      </w:r>
      <w:r w:rsidRPr="003B2FBE">
        <w:t xml:space="preserve"> However, this effect decreases with longer follow-up times, suggesting an improvement over time.</w:t>
      </w:r>
      <w:r w:rsidR="0025184B">
        <w:rPr>
          <w:vertAlign w:val="superscript"/>
        </w:rPr>
        <w:t>9</w:t>
      </w:r>
    </w:p>
    <w:p w14:paraId="255E083A" w14:textId="77777777" w:rsidR="00CB6813" w:rsidRDefault="00CB6813" w:rsidP="00CB6813">
      <w:pPr>
        <w:pStyle w:val="Heading4"/>
      </w:pPr>
      <w:bookmarkStart w:id="21" w:name="_Toc165552518"/>
      <w:r>
        <w:t>Current treatment options</w:t>
      </w:r>
      <w:bookmarkEnd w:id="21"/>
    </w:p>
    <w:p w14:paraId="7F7F7235" w14:textId="262363C8" w:rsidR="0041226D" w:rsidRPr="003B2FBE" w:rsidRDefault="0041226D" w:rsidP="003B2FBE">
      <w:r w:rsidRPr="003B2FBE">
        <w:t xml:space="preserve">There is an unmet need for treatments for RSV in vulnerable populations. </w:t>
      </w:r>
    </w:p>
    <w:p w14:paraId="0DABA49C" w14:textId="36B7A887" w:rsidR="00A47F29" w:rsidRPr="003B2FBE" w:rsidRDefault="0041226D" w:rsidP="003B2FBE">
      <w:r w:rsidRPr="003B2FBE">
        <w:t xml:space="preserve">Currently, there is no licensed vaccine to prevent RSV disease. </w:t>
      </w:r>
    </w:p>
    <w:p w14:paraId="6795593A" w14:textId="173694E6" w:rsidR="0020344B" w:rsidRPr="003B2FBE" w:rsidRDefault="00A4308A" w:rsidP="003B2FBE">
      <w:pPr>
        <w:pStyle w:val="ListBullet"/>
      </w:pPr>
      <w:r>
        <w:t>I</w:t>
      </w:r>
      <w:r w:rsidRPr="003B2FBE">
        <w:t>n infants and pregnant individuals</w:t>
      </w:r>
      <w:r>
        <w:t>, t</w:t>
      </w:r>
      <w:r w:rsidR="0041226D" w:rsidRPr="003B2FBE">
        <w:t>reatment of RSV disease consists primarily of supportive care (</w:t>
      </w:r>
      <w:r w:rsidR="0025184B">
        <w:t>for example</w:t>
      </w:r>
      <w:r w:rsidR="0041226D" w:rsidRPr="003B2FBE">
        <w:t>, nutrition/hydration for infants who cannot maintain hydration, and supplemental oxygen). The benefit of antiviral therapy (egg, ribavirin) for RSV is unclear</w:t>
      </w:r>
      <w:r w:rsidR="0025184B">
        <w:t>. T</w:t>
      </w:r>
      <w:r w:rsidR="0041226D" w:rsidRPr="003B2FBE">
        <w:t>herefore, it is rarely used to treat RSV, except in the context of severe immunosuppression, because of inconvenient administration, questionable benefit in immunocompetent patients, teratogenicity c</w:t>
      </w:r>
      <w:r w:rsidR="0041226D" w:rsidRPr="007C7DDB">
        <w:t xml:space="preserve">oncerns based on nonhuman animal data, and high cost. Acetaminophen and </w:t>
      </w:r>
      <w:proofErr w:type="gramStart"/>
      <w:r w:rsidR="004E7A0A">
        <w:t>o</w:t>
      </w:r>
      <w:r w:rsidR="0041226D" w:rsidRPr="007C7DDB">
        <w:t>ver-the-</w:t>
      </w:r>
      <w:r w:rsidR="004E7A0A">
        <w:t>c</w:t>
      </w:r>
      <w:r w:rsidR="0041226D" w:rsidRPr="007C7DDB">
        <w:t>ounter</w:t>
      </w:r>
      <w:proofErr w:type="gramEnd"/>
      <w:r w:rsidR="0041226D" w:rsidRPr="007C7DDB">
        <w:t xml:space="preserve"> (OTC)</w:t>
      </w:r>
      <w:r w:rsidR="0041226D" w:rsidRPr="003B2FBE">
        <w:t xml:space="preserve"> cold medications may be used to relieve milder symptoms. </w:t>
      </w:r>
    </w:p>
    <w:p w14:paraId="0BB7425E" w14:textId="7CC536D2" w:rsidR="0041226D" w:rsidRPr="003B2FBE" w:rsidRDefault="00A4308A" w:rsidP="003B2FBE">
      <w:pPr>
        <w:pStyle w:val="ListBullet"/>
      </w:pPr>
      <w:r>
        <w:t>I</w:t>
      </w:r>
      <w:r w:rsidRPr="003B2FBE">
        <w:t>n older adults</w:t>
      </w:r>
      <w:r>
        <w:t>,</w:t>
      </w:r>
      <w:r w:rsidRPr="003B2FBE">
        <w:t xml:space="preserve"> </w:t>
      </w:r>
      <w:r>
        <w:t>t</w:t>
      </w:r>
      <w:r w:rsidR="0041226D" w:rsidRPr="003B2FBE">
        <w:t>reatment of RSV disease</w:t>
      </w:r>
      <w:r w:rsidR="00A47F29" w:rsidRPr="003B2FBE">
        <w:t xml:space="preserve"> </w:t>
      </w:r>
      <w:r w:rsidR="0041226D" w:rsidRPr="003B2FBE">
        <w:t>consists primarily of supportive care (</w:t>
      </w:r>
      <w:r w:rsidR="0025184B">
        <w:t>for example</w:t>
      </w:r>
      <w:r w:rsidR="0041226D" w:rsidRPr="003B2FBE">
        <w:t>, fluids, supplemental oxygen, or mechanical ventilation). Acetaminophen and OTC cold medications may be used to relieve milder symptoms.</w:t>
      </w:r>
      <w:r w:rsidR="005507B4" w:rsidRPr="003B2FBE">
        <w:t xml:space="preserve"> RSV disease in older adults is associated with increased morbidity and mortality either caused by the virus itself, due to </w:t>
      </w:r>
      <w:r w:rsidR="005507B4" w:rsidRPr="003B2FBE">
        <w:lastRenderedPageBreak/>
        <w:t>bacterial superinfection, or deterioration of already existing chronic medical conditions. Older adults hospitalised due to RSV infection have a high morbidity and health-resource utilisation.</w:t>
      </w:r>
    </w:p>
    <w:p w14:paraId="434E4520" w14:textId="41F12FF3" w:rsidR="005D7971" w:rsidRPr="003B2FBE" w:rsidRDefault="005D7971" w:rsidP="003B2FBE">
      <w:r w:rsidRPr="003B2FBE">
        <w:t>In the majority of cases RSV infection is self-limiting and the treatment is supportive.</w:t>
      </w:r>
      <w:r w:rsidR="00DC265D" w:rsidRPr="00B77ADA">
        <w:rPr>
          <w:vertAlign w:val="superscript"/>
        </w:rPr>
        <w:footnoteReference w:id="11"/>
      </w:r>
      <w:r w:rsidRPr="00DE05ED">
        <w:t xml:space="preserve"> </w:t>
      </w:r>
      <w:r w:rsidRPr="003B2FBE">
        <w:t xml:space="preserve">This can include respiratory support, such as oxygen, continuous positive airway pressure, non-invasive positive pressure ventilation and intubation with positive pressure ventilation. </w:t>
      </w:r>
      <w:proofErr w:type="spellStart"/>
      <w:r w:rsidRPr="003B2FBE">
        <w:t>Heliox</w:t>
      </w:r>
      <w:proofErr w:type="spellEnd"/>
      <w:r w:rsidRPr="003B2FBE">
        <w:t xml:space="preserve"> (oxygen-helium mixture) has been investigated where there is increased airways resistance. Feeds and fluids are provided as clinically</w:t>
      </w:r>
      <w:r w:rsidR="00CE1EB2" w:rsidRPr="003B2FBE">
        <w:t xml:space="preserve"> appropriate</w:t>
      </w:r>
      <w:r w:rsidRPr="003B2FBE">
        <w:t xml:space="preserve">. </w:t>
      </w:r>
    </w:p>
    <w:p w14:paraId="2CBEA7EE" w14:textId="70CF2D0B" w:rsidR="005D7971" w:rsidRPr="003B2FBE" w:rsidRDefault="005D7971" w:rsidP="003B2FBE">
      <w:r w:rsidRPr="003B2FBE">
        <w:t>Ribavirin (a broad</w:t>
      </w:r>
      <w:r w:rsidR="00CE1EB2" w:rsidRPr="003B2FBE">
        <w:t>-</w:t>
      </w:r>
      <w:r w:rsidRPr="003B2FBE">
        <w:t>spectrum nucleoside analogue that inhibits replication of DNA and RNA viruses) has been used to treat RSV lower respiratory tract infections</w:t>
      </w:r>
      <w:r w:rsidR="00FB6295" w:rsidRPr="003B2FBE">
        <w:t>,</w:t>
      </w:r>
      <w:r w:rsidRPr="003B2FBE">
        <w:t xml:space="preserve"> but is limited by the difficulties in administration, its </w:t>
      </w:r>
      <w:proofErr w:type="gramStart"/>
      <w:r w:rsidRPr="003B2FBE">
        <w:t>cost</w:t>
      </w:r>
      <w:proofErr w:type="gramEnd"/>
      <w:r w:rsidRPr="003B2FBE">
        <w:t xml:space="preserve"> and its availability. It is also limited by adverse effects and foetal toxicity. Usage appears to be predominantly in transplant patients with RSV infection. Ribavirin is currently approved in Australia for the treatment of chronic hepatitis C infection.</w:t>
      </w:r>
    </w:p>
    <w:p w14:paraId="293D1DFE" w14:textId="36417573" w:rsidR="005D7971" w:rsidRPr="003B2FBE" w:rsidRDefault="005D7971" w:rsidP="003B2FBE">
      <w:r w:rsidRPr="003B2FBE">
        <w:t>Palivizumab and motavizumab are monoclonal antibodies used to provide passive immunity for RSV. Palivizumab is approved in Australia and is indicated in children at high risk of RSV infection and is administered monthly during periods of high RSV risk. Motavizumab is not currently approved for marketing.</w:t>
      </w:r>
    </w:p>
    <w:p w14:paraId="28B46C85" w14:textId="746DDAA9" w:rsidR="005D7971" w:rsidRPr="003B2FBE" w:rsidRDefault="005D7971" w:rsidP="003B2FBE">
      <w:r w:rsidRPr="003B2FBE">
        <w:t xml:space="preserve">There are </w:t>
      </w:r>
      <w:proofErr w:type="gramStart"/>
      <w:r w:rsidRPr="003B2FBE">
        <w:t>a number of</w:t>
      </w:r>
      <w:proofErr w:type="gramEnd"/>
      <w:r w:rsidRPr="003B2FBE">
        <w:t xml:space="preserve"> other vaccines in development, with several different mechanisms of action.</w:t>
      </w:r>
      <w:r w:rsidR="0025184B">
        <w:rPr>
          <w:vertAlign w:val="superscript"/>
        </w:rPr>
        <w:t>10</w:t>
      </w:r>
      <w:r w:rsidRPr="003B2FBE">
        <w:t xml:space="preserve"> These include protein (antigen)</w:t>
      </w:r>
      <w:r w:rsidR="00B87CCE" w:rsidRPr="003B2FBE">
        <w:t>-</w:t>
      </w:r>
      <w:r w:rsidRPr="003B2FBE">
        <w:t>based vaccines (such as with the present application), recombinant vector</w:t>
      </w:r>
      <w:r w:rsidR="00B87CCE" w:rsidRPr="003B2FBE">
        <w:t>-</w:t>
      </w:r>
      <w:r w:rsidRPr="003B2FBE">
        <w:t>based vaccines, nucleic acid</w:t>
      </w:r>
      <w:r w:rsidR="00B87CCE" w:rsidRPr="003B2FBE">
        <w:t>-</w:t>
      </w:r>
      <w:r w:rsidRPr="003B2FBE">
        <w:t>based vaccines and live attenuated vaccines.</w:t>
      </w:r>
    </w:p>
    <w:p w14:paraId="37C47E09" w14:textId="14D3762D" w:rsidR="00CB6813" w:rsidRDefault="00CB6813" w:rsidP="00CB6813">
      <w:pPr>
        <w:pStyle w:val="Heading4"/>
      </w:pPr>
      <w:bookmarkStart w:id="22" w:name="_Toc165552519"/>
      <w:r>
        <w:t>C</w:t>
      </w:r>
      <w:r w:rsidRPr="00DE1344">
        <w:t>linical rational</w:t>
      </w:r>
      <w:r w:rsidR="0025785B">
        <w:t>e</w:t>
      </w:r>
      <w:bookmarkEnd w:id="22"/>
    </w:p>
    <w:p w14:paraId="09E49571" w14:textId="65810583" w:rsidR="00376BD9" w:rsidRPr="003B2FBE" w:rsidRDefault="00872DD7" w:rsidP="003B2FBE">
      <w:r w:rsidRPr="003B2FBE">
        <w:t xml:space="preserve">Abrysvo </w:t>
      </w:r>
      <w:r w:rsidR="00B4551A" w:rsidRPr="003B2FBE">
        <w:t>is a bivalent formulation containing two recombinant stabilised RSV prefusion F antigens, each representing the two major virus subgroups and based on the genotype of major circulating strains</w:t>
      </w:r>
      <w:r w:rsidR="00376BD9" w:rsidRPr="003B2FBE">
        <w:t>:</w:t>
      </w:r>
      <w:r w:rsidR="00B4551A" w:rsidRPr="003B2FBE">
        <w:t xml:space="preserve"> RSV A (Ontario) and RSV B (Buenos Aires). RSV F can exist in two antigenically distinct forms</w:t>
      </w:r>
      <w:r w:rsidR="00376BD9" w:rsidRPr="003B2FBE">
        <w:t>:</w:t>
      </w:r>
      <w:r w:rsidR="00B4551A" w:rsidRPr="003B2FBE">
        <w:t xml:space="preserve"> prefusion and </w:t>
      </w:r>
      <w:proofErr w:type="spellStart"/>
      <w:r w:rsidR="00B4551A" w:rsidRPr="003B2FBE">
        <w:t>postfusion</w:t>
      </w:r>
      <w:proofErr w:type="spellEnd"/>
      <w:r w:rsidR="00B4551A" w:rsidRPr="003B2FBE">
        <w:t xml:space="preserve">. </w:t>
      </w:r>
    </w:p>
    <w:p w14:paraId="4D1279EE" w14:textId="77BC325A" w:rsidR="00B4551A" w:rsidRPr="003B2FBE" w:rsidRDefault="00B4551A" w:rsidP="003B2FBE">
      <w:r w:rsidRPr="003B2FBE">
        <w:t xml:space="preserve">Unlike </w:t>
      </w:r>
      <w:proofErr w:type="spellStart"/>
      <w:r w:rsidRPr="003B2FBE">
        <w:t>postfusion</w:t>
      </w:r>
      <w:proofErr w:type="spellEnd"/>
      <w:r w:rsidRPr="003B2FBE">
        <w:t xml:space="preserve"> F, prefusion F is the active form of the protein and is capable of mediating fusion of virus and host cell membranes during cell entry. Therefore, prefusion F is the primary target of the most potent neutralising antibodies that block RSV infection. Higher serum neutralising antibodies are associated with reduced risk of disease. Following intramuscular administration, the prefusion F antigens elicit an immune response, which protects against RSV-associated lower respiratory tract disease.</w:t>
      </w:r>
    </w:p>
    <w:p w14:paraId="408BAF2C" w14:textId="58DC8C1B" w:rsidR="001839D1" w:rsidRPr="003B2FBE" w:rsidRDefault="00B4551A" w:rsidP="003B2FBE">
      <w:r w:rsidRPr="003B2FBE">
        <w:t>In pregnant individuals, the action of neutralising antibodies conferring protection is mediated through passive transfer of these antibodies from mother to infant. Adults 60 years of age and older are protected by active immunisation.</w:t>
      </w:r>
    </w:p>
    <w:p w14:paraId="0D615854" w14:textId="77777777" w:rsidR="00324B33" w:rsidRPr="003F31A2" w:rsidRDefault="00324B33" w:rsidP="00324B33">
      <w:pPr>
        <w:pStyle w:val="Heading3"/>
      </w:pPr>
      <w:bookmarkStart w:id="23" w:name="_Toc103679291"/>
      <w:bookmarkStart w:id="24" w:name="_Toc165552520"/>
      <w:r>
        <w:t>Regulatory status</w:t>
      </w:r>
      <w:bookmarkEnd w:id="19"/>
      <w:bookmarkEnd w:id="20"/>
      <w:bookmarkEnd w:id="23"/>
      <w:bookmarkEnd w:id="24"/>
    </w:p>
    <w:p w14:paraId="72C889D6" w14:textId="7E200950" w:rsidR="0017005C" w:rsidRPr="00BD5DBD" w:rsidRDefault="0017005C" w:rsidP="00741AB9">
      <w:pPr>
        <w:pStyle w:val="Heading4"/>
      </w:pPr>
      <w:bookmarkStart w:id="25" w:name="_Toc165552521"/>
      <w:r w:rsidRPr="0058636F">
        <w:t>Australian regulatory sta</w:t>
      </w:r>
      <w:r w:rsidR="0025785B" w:rsidRPr="0058636F">
        <w:t>t</w:t>
      </w:r>
      <w:r w:rsidRPr="0058636F">
        <w:t>us</w:t>
      </w:r>
      <w:bookmarkEnd w:id="25"/>
    </w:p>
    <w:p w14:paraId="2B57F708" w14:textId="37B2E8DD" w:rsidR="00776E9C" w:rsidRPr="003B2FBE" w:rsidRDefault="00324B33" w:rsidP="003B2FBE">
      <w:r w:rsidRPr="003B2FBE">
        <w:t xml:space="preserve">This product is considered a </w:t>
      </w:r>
      <w:r w:rsidR="008C754C" w:rsidRPr="003B2FBE">
        <w:t xml:space="preserve">new </w:t>
      </w:r>
      <w:r w:rsidRPr="003B2FBE">
        <w:t>biological entity for Australian regulatory purposes.</w:t>
      </w:r>
    </w:p>
    <w:p w14:paraId="546C1031" w14:textId="5BAB9E2C" w:rsidR="0017005C" w:rsidRDefault="0017005C" w:rsidP="0017005C">
      <w:pPr>
        <w:pStyle w:val="Heading4"/>
      </w:pPr>
      <w:bookmarkStart w:id="26" w:name="_Toc165552522"/>
      <w:r w:rsidRPr="00E30563">
        <w:lastRenderedPageBreak/>
        <w:t>Foreign regulatory</w:t>
      </w:r>
      <w:r>
        <w:t xml:space="preserve"> status</w:t>
      </w:r>
      <w:bookmarkEnd w:id="26"/>
    </w:p>
    <w:p w14:paraId="657E3F87" w14:textId="77777777" w:rsidR="00EA0921" w:rsidRPr="003B2FBE" w:rsidRDefault="008F4A62" w:rsidP="003B2FBE">
      <w:r w:rsidRPr="003B2FBE">
        <w:t>At the time the TGA considered this submission, similar submission</w:t>
      </w:r>
      <w:r w:rsidR="00D76178" w:rsidRPr="003B2FBE">
        <w:t>s</w:t>
      </w:r>
      <w:r w:rsidRPr="003B2FBE">
        <w:t xml:space="preserve"> had been approved in </w:t>
      </w:r>
      <w:r w:rsidR="00D76178" w:rsidRPr="003B2FBE">
        <w:t xml:space="preserve">the European Union (EU) </w:t>
      </w:r>
      <w:r w:rsidRPr="003B2FBE">
        <w:t xml:space="preserve">on </w:t>
      </w:r>
      <w:r w:rsidR="00D76178" w:rsidRPr="003B2FBE">
        <w:t xml:space="preserve">23 August 2023; </w:t>
      </w:r>
      <w:r w:rsidR="007021E8" w:rsidRPr="003B2FBE">
        <w:t xml:space="preserve">the United Kingdom (UK) on 21 November 2023; the United States of America </w:t>
      </w:r>
      <w:r w:rsidR="00AA3565" w:rsidRPr="003B2FBE">
        <w:t xml:space="preserve">(USA) </w:t>
      </w:r>
      <w:r w:rsidR="007021E8" w:rsidRPr="003B2FBE">
        <w:t>on</w:t>
      </w:r>
      <w:r w:rsidR="00AA3565" w:rsidRPr="003B2FBE">
        <w:t xml:space="preserve"> 31 May 2023 for older adults and 21 August 2023 for the maternal population; </w:t>
      </w:r>
      <w:r w:rsidR="0087714E" w:rsidRPr="003B2FBE">
        <w:t xml:space="preserve">and Canada </w:t>
      </w:r>
      <w:r w:rsidR="00EA0921" w:rsidRPr="003B2FBE">
        <w:t>on 21 December 2023</w:t>
      </w:r>
      <w:r w:rsidRPr="003B2FBE">
        <w:t xml:space="preserve">. </w:t>
      </w:r>
    </w:p>
    <w:p w14:paraId="02E90E03" w14:textId="432B04D9" w:rsidR="00EA0921" w:rsidRPr="003B2FBE" w:rsidRDefault="008F4A62" w:rsidP="003B2FBE">
      <w:r w:rsidRPr="003B2FBE">
        <w:t xml:space="preserve">A similar submission was under consideration in </w:t>
      </w:r>
      <w:r w:rsidR="00EA0921" w:rsidRPr="003B2FBE">
        <w:t>Singapore</w:t>
      </w:r>
      <w:r w:rsidRPr="003B2FBE">
        <w:t xml:space="preserve"> (submitted on </w:t>
      </w:r>
      <w:r w:rsidR="00EA0921" w:rsidRPr="003B2FBE">
        <w:t>8 December 2023</w:t>
      </w:r>
      <w:r w:rsidRPr="003B2FBE">
        <w:t>)</w:t>
      </w:r>
      <w:r w:rsidR="00EA0921" w:rsidRPr="003B2FBE">
        <w:t xml:space="preserve"> and Switzerland (submitted on 30 November 2023)</w:t>
      </w:r>
      <w:r w:rsidRPr="003B2FBE">
        <w:t xml:space="preserve">. </w:t>
      </w:r>
    </w:p>
    <w:p w14:paraId="7FDF4A0B" w14:textId="2E2A11AE" w:rsidR="008F4A62" w:rsidRPr="003B2FBE" w:rsidRDefault="004E7A0A" w:rsidP="003B2FBE">
      <w:r>
        <w:fldChar w:fldCharType="begin"/>
      </w:r>
      <w:r>
        <w:instrText xml:space="preserve"> REF _Ref99705479 \h </w:instrText>
      </w:r>
      <w:r>
        <w:fldChar w:fldCharType="separate"/>
      </w:r>
      <w:r w:rsidRPr="003B2FBE">
        <w:t>Table 1</w:t>
      </w:r>
      <w:r>
        <w:fldChar w:fldCharType="end"/>
      </w:r>
      <w:r w:rsidR="008F4A62" w:rsidRPr="003B2FBE">
        <w:t xml:space="preserve"> summarises these submissions and provides the indications where approved. </w:t>
      </w:r>
    </w:p>
    <w:p w14:paraId="19B9E0AC" w14:textId="0AB146DB" w:rsidR="00324B33" w:rsidRPr="003B2FBE" w:rsidRDefault="00324B33" w:rsidP="003D2B66">
      <w:pPr>
        <w:pStyle w:val="TableTitle"/>
      </w:pPr>
      <w:bookmarkStart w:id="27" w:name="_Ref99705479"/>
      <w:r w:rsidRPr="003B2FBE">
        <w:t xml:space="preserve">Table </w:t>
      </w:r>
      <w:fldSimple w:instr=" SEQ Table \* ARABIC ">
        <w:r w:rsidR="008B1CB5" w:rsidRPr="003B2FBE">
          <w:t>1</w:t>
        </w:r>
      </w:fldSimple>
      <w:bookmarkEnd w:id="27"/>
      <w:r w:rsidRPr="003B2FBE">
        <w:t>: International regulatory status</w:t>
      </w:r>
      <w:r w:rsidR="007A3E09" w:rsidRPr="003B2FBE">
        <w:t xml:space="preserve"> at the time of product registration</w:t>
      </w:r>
    </w:p>
    <w:tbl>
      <w:tblPr>
        <w:tblStyle w:val="TableTGAblue2023"/>
        <w:tblW w:w="5063" w:type="pct"/>
        <w:tblLook w:val="04A0" w:firstRow="1" w:lastRow="0" w:firstColumn="1" w:lastColumn="0" w:noHBand="0" w:noVBand="1"/>
      </w:tblPr>
      <w:tblGrid>
        <w:gridCol w:w="1861"/>
        <w:gridCol w:w="1980"/>
        <w:gridCol w:w="2040"/>
        <w:gridCol w:w="3293"/>
      </w:tblGrid>
      <w:tr w:rsidR="00324B33" w:rsidRPr="003D2B66" w14:paraId="405E5D78" w14:textId="16839333" w:rsidTr="003B2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3D2B66" w:rsidRDefault="00324B33" w:rsidP="00324B33">
            <w:pPr>
              <w:rPr>
                <w:sz w:val="20"/>
                <w:szCs w:val="20"/>
              </w:rPr>
            </w:pPr>
            <w:r w:rsidRPr="003D2B66">
              <w:rPr>
                <w:sz w:val="20"/>
                <w:szCs w:val="20"/>
              </w:rPr>
              <w:t>Region</w:t>
            </w:r>
          </w:p>
        </w:tc>
        <w:tc>
          <w:tcPr>
            <w:tcW w:w="1079" w:type="pct"/>
          </w:tcPr>
          <w:p w14:paraId="778C35C7" w14:textId="52D23C85" w:rsidR="00324B33" w:rsidRPr="003D2B66" w:rsidRDefault="00324B33" w:rsidP="00324B33">
            <w:pPr>
              <w:cnfStyle w:val="100000000000" w:firstRow="1" w:lastRow="0" w:firstColumn="0" w:lastColumn="0" w:oddVBand="0" w:evenVBand="0" w:oddHBand="0" w:evenHBand="0" w:firstRowFirstColumn="0" w:firstRowLastColumn="0" w:lastRowFirstColumn="0" w:lastRowLastColumn="0"/>
              <w:rPr>
                <w:sz w:val="20"/>
                <w:szCs w:val="20"/>
              </w:rPr>
            </w:pPr>
            <w:r w:rsidRPr="003D2B66">
              <w:rPr>
                <w:sz w:val="20"/>
                <w:szCs w:val="20"/>
              </w:rPr>
              <w:t>Submission date</w:t>
            </w:r>
          </w:p>
        </w:tc>
        <w:tc>
          <w:tcPr>
            <w:tcW w:w="1112" w:type="pct"/>
          </w:tcPr>
          <w:p w14:paraId="58F81584" w14:textId="66689ABF" w:rsidR="00324B33" w:rsidRPr="003D2B66" w:rsidRDefault="00324B33" w:rsidP="00324B33">
            <w:pPr>
              <w:cnfStyle w:val="100000000000" w:firstRow="1" w:lastRow="0" w:firstColumn="0" w:lastColumn="0" w:oddVBand="0" w:evenVBand="0" w:oddHBand="0" w:evenHBand="0" w:firstRowFirstColumn="0" w:firstRowLastColumn="0" w:lastRowFirstColumn="0" w:lastRowLastColumn="0"/>
              <w:rPr>
                <w:sz w:val="20"/>
                <w:szCs w:val="20"/>
              </w:rPr>
            </w:pPr>
            <w:r w:rsidRPr="003D2B66">
              <w:rPr>
                <w:sz w:val="20"/>
                <w:szCs w:val="20"/>
              </w:rPr>
              <w:t>Status</w:t>
            </w:r>
          </w:p>
        </w:tc>
        <w:tc>
          <w:tcPr>
            <w:tcW w:w="1795" w:type="pct"/>
          </w:tcPr>
          <w:p w14:paraId="50B2D435" w14:textId="560588D2" w:rsidR="00324B33" w:rsidRPr="003D2B66" w:rsidRDefault="00324B33" w:rsidP="00324B33">
            <w:pPr>
              <w:cnfStyle w:val="100000000000" w:firstRow="1" w:lastRow="0" w:firstColumn="0" w:lastColumn="0" w:oddVBand="0" w:evenVBand="0" w:oddHBand="0" w:evenHBand="0" w:firstRowFirstColumn="0" w:firstRowLastColumn="0" w:lastRowFirstColumn="0" w:lastRowLastColumn="0"/>
              <w:rPr>
                <w:sz w:val="20"/>
                <w:szCs w:val="20"/>
              </w:rPr>
            </w:pPr>
            <w:r w:rsidRPr="003D2B66">
              <w:rPr>
                <w:sz w:val="20"/>
                <w:szCs w:val="20"/>
              </w:rPr>
              <w:t>Approved indications</w:t>
            </w:r>
          </w:p>
        </w:tc>
      </w:tr>
      <w:tr w:rsidR="00324B33" w:rsidRPr="003D2B66" w14:paraId="38D24E86" w14:textId="77777777" w:rsidTr="003B2FBE">
        <w:tc>
          <w:tcPr>
            <w:cnfStyle w:val="001000000000" w:firstRow="0" w:lastRow="0" w:firstColumn="1" w:lastColumn="0" w:oddVBand="0" w:evenVBand="0" w:oddHBand="0" w:evenHBand="0" w:firstRowFirstColumn="0" w:firstRowLastColumn="0" w:lastRowFirstColumn="0" w:lastRowLastColumn="0"/>
            <w:tcW w:w="1014" w:type="pct"/>
          </w:tcPr>
          <w:p w14:paraId="4C540DE5" w14:textId="4AE60659" w:rsidR="00324B33" w:rsidRPr="003D2B66" w:rsidRDefault="0078440C" w:rsidP="00324B33">
            <w:pPr>
              <w:rPr>
                <w:sz w:val="20"/>
                <w:szCs w:val="20"/>
              </w:rPr>
            </w:pPr>
            <w:r w:rsidRPr="003D2B66">
              <w:rPr>
                <w:sz w:val="20"/>
                <w:szCs w:val="20"/>
              </w:rPr>
              <w:t>European Union</w:t>
            </w:r>
            <w:r w:rsidR="00AD0985" w:rsidRPr="003D2B66">
              <w:rPr>
                <w:sz w:val="20"/>
                <w:szCs w:val="20"/>
              </w:rPr>
              <w:t>^</w:t>
            </w:r>
          </w:p>
        </w:tc>
        <w:tc>
          <w:tcPr>
            <w:tcW w:w="1079" w:type="pct"/>
          </w:tcPr>
          <w:p w14:paraId="4FA5DDA9" w14:textId="7C759B93" w:rsidR="00324B33" w:rsidRPr="003D2B66" w:rsidRDefault="0078440C" w:rsidP="00324B33">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22 December 2022</w:t>
            </w:r>
          </w:p>
        </w:tc>
        <w:tc>
          <w:tcPr>
            <w:tcW w:w="1112" w:type="pct"/>
          </w:tcPr>
          <w:p w14:paraId="790775B7" w14:textId="77777777" w:rsidR="003D2B66" w:rsidRDefault="00324B33" w:rsidP="003D2B66">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 xml:space="preserve">Approved on </w:t>
            </w:r>
          </w:p>
          <w:p w14:paraId="29358393" w14:textId="06795D93" w:rsidR="00324B33" w:rsidRPr="003D2B66" w:rsidRDefault="00A45C6B" w:rsidP="003D2B66">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23 August 2023</w:t>
            </w:r>
          </w:p>
        </w:tc>
        <w:tc>
          <w:tcPr>
            <w:tcW w:w="1795" w:type="pct"/>
          </w:tcPr>
          <w:p w14:paraId="05764134" w14:textId="0363DC03" w:rsidR="00A91AC5" w:rsidRPr="003D2B66" w:rsidRDefault="00A91AC5" w:rsidP="007C7DDB">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Abrysvo is indicated for:</w:t>
            </w:r>
          </w:p>
          <w:p w14:paraId="08B2A54F" w14:textId="77777777" w:rsidR="0020344B" w:rsidRPr="003D2B66" w:rsidRDefault="00A91AC5" w:rsidP="003D2B66">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 xml:space="preserve">Passive protection against lower respiratory tract disease caused by respiratory syncytial virus (RSV) in infants from birth through 6 months of age following maternal immunisation during pregnancy. </w:t>
            </w:r>
          </w:p>
          <w:p w14:paraId="05055674" w14:textId="66488F69" w:rsidR="00324B33" w:rsidRPr="003D2B66" w:rsidRDefault="00A91AC5" w:rsidP="003D2B66">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Active immunisation of individuals 60 years of age and older for the prevention of lower respiratory tract disease caused by RSV.</w:t>
            </w:r>
          </w:p>
        </w:tc>
      </w:tr>
      <w:tr w:rsidR="00324B33" w:rsidRPr="003D2B66" w14:paraId="18B6E2AA" w14:textId="7783D66F" w:rsidTr="003B2FBE">
        <w:tc>
          <w:tcPr>
            <w:cnfStyle w:val="001000000000" w:firstRow="0" w:lastRow="0" w:firstColumn="1" w:lastColumn="0" w:oddVBand="0" w:evenVBand="0" w:oddHBand="0" w:evenHBand="0" w:firstRowFirstColumn="0" w:firstRowLastColumn="0" w:lastRowFirstColumn="0" w:lastRowLastColumn="0"/>
            <w:tcW w:w="1014" w:type="pct"/>
          </w:tcPr>
          <w:p w14:paraId="7F348960" w14:textId="6709D473" w:rsidR="00324B33" w:rsidRPr="003D2B66" w:rsidRDefault="00B163BE" w:rsidP="00324B33">
            <w:pPr>
              <w:rPr>
                <w:sz w:val="20"/>
                <w:szCs w:val="20"/>
              </w:rPr>
            </w:pPr>
            <w:r w:rsidRPr="003D2B66">
              <w:rPr>
                <w:sz w:val="20"/>
                <w:szCs w:val="20"/>
              </w:rPr>
              <w:t>United Kingdom</w:t>
            </w:r>
          </w:p>
        </w:tc>
        <w:tc>
          <w:tcPr>
            <w:tcW w:w="1079" w:type="pct"/>
          </w:tcPr>
          <w:p w14:paraId="1D871E57" w14:textId="52CBBE9A" w:rsidR="00324B33" w:rsidRPr="003D2B66" w:rsidRDefault="00B163BE" w:rsidP="00324B33">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10 July 2023</w:t>
            </w:r>
          </w:p>
        </w:tc>
        <w:tc>
          <w:tcPr>
            <w:tcW w:w="1112" w:type="pct"/>
          </w:tcPr>
          <w:p w14:paraId="692AEE47" w14:textId="77777777" w:rsidR="003D2B66" w:rsidRPr="003D2B66" w:rsidRDefault="00B163BE" w:rsidP="003D2B66">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 xml:space="preserve">Approved on </w:t>
            </w:r>
          </w:p>
          <w:p w14:paraId="63A3A9D3" w14:textId="53AB2EB0" w:rsidR="00324B33" w:rsidRPr="003D2B66" w:rsidRDefault="00B163BE" w:rsidP="003D2B66">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21 November 2023</w:t>
            </w:r>
          </w:p>
        </w:tc>
        <w:tc>
          <w:tcPr>
            <w:tcW w:w="1795" w:type="pct"/>
          </w:tcPr>
          <w:p w14:paraId="15CB2A97" w14:textId="0EBCE8C3" w:rsidR="00492DD4" w:rsidRPr="003D2B66" w:rsidRDefault="00492DD4" w:rsidP="00492DD4">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Abrysvo is indicated for:</w:t>
            </w:r>
          </w:p>
          <w:p w14:paraId="5584E805" w14:textId="77777777" w:rsidR="0020344B" w:rsidRPr="003D2B66" w:rsidRDefault="00492DD4" w:rsidP="0020344B">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 xml:space="preserve">Passive protection against lower respiratory tract disease caused by respiratory syncytial virus (RSV) in infants from birth through 6 months of age following maternal immunisation during pregnancy. </w:t>
            </w:r>
          </w:p>
          <w:p w14:paraId="17C650B8" w14:textId="5E8954BE" w:rsidR="00324B33" w:rsidRPr="003D2B66" w:rsidRDefault="00492DD4" w:rsidP="0020344B">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D2B66">
              <w:rPr>
                <w:color w:val="000000"/>
                <w:sz w:val="20"/>
                <w:szCs w:val="20"/>
              </w:rPr>
              <w:t>Active immunisation of individuals 60 years of age and older for the prevention of lower respiratory tract disease caused by RSV.</w:t>
            </w:r>
          </w:p>
        </w:tc>
      </w:tr>
      <w:tr w:rsidR="00492DD4" w:rsidRPr="003D2B66" w14:paraId="660DD31F" w14:textId="77777777" w:rsidTr="003B2FBE">
        <w:tc>
          <w:tcPr>
            <w:cnfStyle w:val="001000000000" w:firstRow="0" w:lastRow="0" w:firstColumn="1" w:lastColumn="0" w:oddVBand="0" w:evenVBand="0" w:oddHBand="0" w:evenHBand="0" w:firstRowFirstColumn="0" w:firstRowLastColumn="0" w:lastRowFirstColumn="0" w:lastRowLastColumn="0"/>
            <w:tcW w:w="1014" w:type="pct"/>
          </w:tcPr>
          <w:p w14:paraId="1636328B" w14:textId="77777777" w:rsidR="006A355E" w:rsidRPr="003D2B66" w:rsidRDefault="006A355E" w:rsidP="006A355E">
            <w:pPr>
              <w:rPr>
                <w:sz w:val="20"/>
                <w:szCs w:val="20"/>
              </w:rPr>
            </w:pPr>
            <w:r w:rsidRPr="003D2B66">
              <w:rPr>
                <w:sz w:val="20"/>
                <w:szCs w:val="20"/>
              </w:rPr>
              <w:lastRenderedPageBreak/>
              <w:t>United States</w:t>
            </w:r>
          </w:p>
          <w:p w14:paraId="6EA3DF83" w14:textId="383DC168" w:rsidR="00492DD4" w:rsidRPr="003D2B66" w:rsidRDefault="006A355E" w:rsidP="006A355E">
            <w:pPr>
              <w:rPr>
                <w:sz w:val="20"/>
                <w:szCs w:val="20"/>
              </w:rPr>
            </w:pPr>
            <w:r w:rsidRPr="003D2B66">
              <w:rPr>
                <w:sz w:val="20"/>
                <w:szCs w:val="20"/>
              </w:rPr>
              <w:t>of America</w:t>
            </w:r>
          </w:p>
        </w:tc>
        <w:tc>
          <w:tcPr>
            <w:tcW w:w="1079" w:type="pct"/>
          </w:tcPr>
          <w:p w14:paraId="7BC2F019" w14:textId="3B3B1C98" w:rsidR="005462EC" w:rsidRPr="003D2B66" w:rsidRDefault="005462EC" w:rsidP="005462EC">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Older Adults:</w:t>
            </w:r>
          </w:p>
          <w:p w14:paraId="4006FA4E" w14:textId="3AC99FB3" w:rsidR="00492DD4" w:rsidRPr="003D2B66" w:rsidRDefault="005462EC" w:rsidP="005462EC">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30 Sep</w:t>
            </w:r>
            <w:r w:rsidR="00F16C00" w:rsidRPr="003D2B66">
              <w:rPr>
                <w:sz w:val="20"/>
                <w:szCs w:val="20"/>
              </w:rPr>
              <w:t>tember</w:t>
            </w:r>
            <w:r w:rsidRPr="003D2B66">
              <w:rPr>
                <w:sz w:val="20"/>
                <w:szCs w:val="20"/>
              </w:rPr>
              <w:t xml:space="preserve"> 2022</w:t>
            </w:r>
          </w:p>
          <w:p w14:paraId="0CC94C3B" w14:textId="77777777" w:rsidR="00F16C00" w:rsidRPr="003D2B66" w:rsidRDefault="00F16C00" w:rsidP="00F16C00">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Maternal:</w:t>
            </w:r>
          </w:p>
          <w:p w14:paraId="1FC28E8A" w14:textId="56470524" w:rsidR="005462EC" w:rsidRPr="003D2B66" w:rsidRDefault="00F16C00" w:rsidP="00F16C00">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21 December 2022</w:t>
            </w:r>
          </w:p>
        </w:tc>
        <w:tc>
          <w:tcPr>
            <w:tcW w:w="1112" w:type="pct"/>
          </w:tcPr>
          <w:p w14:paraId="24A9B30D" w14:textId="77777777" w:rsidR="005462EC" w:rsidRPr="003D2B66" w:rsidRDefault="005462EC" w:rsidP="005462EC">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Approved on</w:t>
            </w:r>
          </w:p>
          <w:p w14:paraId="22821C0F" w14:textId="58112448" w:rsidR="005462EC" w:rsidRPr="003D2B66" w:rsidRDefault="005462EC" w:rsidP="005462EC">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Older Adults:</w:t>
            </w:r>
          </w:p>
          <w:p w14:paraId="14F15BCD" w14:textId="77777777" w:rsidR="00492DD4" w:rsidRPr="003D2B66" w:rsidRDefault="005462EC" w:rsidP="005462EC">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31 May 2023</w:t>
            </w:r>
          </w:p>
          <w:p w14:paraId="4B11A6E8" w14:textId="77777777" w:rsidR="00F16C00" w:rsidRPr="003D2B66" w:rsidRDefault="00F16C00" w:rsidP="00F16C00">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Maternal:</w:t>
            </w:r>
          </w:p>
          <w:p w14:paraId="05E317FB" w14:textId="5DB3149D" w:rsidR="00F16C00" w:rsidRPr="003D2B66" w:rsidRDefault="00F16C00" w:rsidP="00F16C00">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21 August 2023</w:t>
            </w:r>
          </w:p>
        </w:tc>
        <w:tc>
          <w:tcPr>
            <w:tcW w:w="1795" w:type="pct"/>
          </w:tcPr>
          <w:p w14:paraId="52936D41" w14:textId="0E0E6BB2" w:rsidR="00AE4123" w:rsidRPr="003D2B66" w:rsidRDefault="00AE4123" w:rsidP="00AE4123">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A</w:t>
            </w:r>
            <w:r w:rsidR="007C7DDB" w:rsidRPr="003D2B66">
              <w:rPr>
                <w:sz w:val="20"/>
                <w:szCs w:val="20"/>
              </w:rPr>
              <w:t>brysvo</w:t>
            </w:r>
            <w:r w:rsidRPr="003D2B66">
              <w:rPr>
                <w:sz w:val="20"/>
                <w:szCs w:val="20"/>
              </w:rPr>
              <w:t xml:space="preserve"> is a vaccine indicated for</w:t>
            </w:r>
          </w:p>
          <w:p w14:paraId="7F0B9F9F" w14:textId="77777777" w:rsidR="0020344B" w:rsidRPr="003D2B66" w:rsidRDefault="00AE4123" w:rsidP="0020344B">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Active immunization of pregnant individuals at 32 through 36 weeks gestational age for the prevention of lower respiratory tract disease (LRTD) and severe LRTD caused by respiratory syncytial virus (RSV) in infants from birth through 6 months of age.</w:t>
            </w:r>
          </w:p>
          <w:p w14:paraId="741BB579" w14:textId="15DA9ED2" w:rsidR="00492DD4" w:rsidRPr="003D2B66" w:rsidRDefault="00AE4123" w:rsidP="0020344B">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D2B66">
              <w:rPr>
                <w:color w:val="000000"/>
                <w:sz w:val="20"/>
                <w:szCs w:val="20"/>
              </w:rPr>
              <w:t>Active immunization for the prevention of LRTD caused by respiratory syncytial virus (RSV) in individuals 60 years of age and older.</w:t>
            </w:r>
          </w:p>
        </w:tc>
      </w:tr>
      <w:tr w:rsidR="00492DD4" w:rsidRPr="003D2B66" w14:paraId="13CCDD01" w14:textId="77777777" w:rsidTr="003B2FBE">
        <w:tc>
          <w:tcPr>
            <w:cnfStyle w:val="001000000000" w:firstRow="0" w:lastRow="0" w:firstColumn="1" w:lastColumn="0" w:oddVBand="0" w:evenVBand="0" w:oddHBand="0" w:evenHBand="0" w:firstRowFirstColumn="0" w:firstRowLastColumn="0" w:lastRowFirstColumn="0" w:lastRowLastColumn="0"/>
            <w:tcW w:w="1014" w:type="pct"/>
          </w:tcPr>
          <w:p w14:paraId="2F626F81" w14:textId="38D9858A" w:rsidR="00492DD4" w:rsidRPr="003D2B66" w:rsidRDefault="00697F34" w:rsidP="00324B33">
            <w:pPr>
              <w:rPr>
                <w:sz w:val="20"/>
                <w:szCs w:val="20"/>
              </w:rPr>
            </w:pPr>
            <w:r w:rsidRPr="003D2B66">
              <w:rPr>
                <w:sz w:val="20"/>
                <w:szCs w:val="20"/>
              </w:rPr>
              <w:t>Canada</w:t>
            </w:r>
          </w:p>
        </w:tc>
        <w:tc>
          <w:tcPr>
            <w:tcW w:w="1079" w:type="pct"/>
          </w:tcPr>
          <w:p w14:paraId="6E5C618E" w14:textId="26C225F2" w:rsidR="00492DD4" w:rsidRPr="003D2B66" w:rsidRDefault="00697F34" w:rsidP="00324B33">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27 February 2023</w:t>
            </w:r>
          </w:p>
        </w:tc>
        <w:tc>
          <w:tcPr>
            <w:tcW w:w="1112" w:type="pct"/>
          </w:tcPr>
          <w:p w14:paraId="0351F1C9" w14:textId="77777777" w:rsidR="00492DD4" w:rsidRPr="003D2B66" w:rsidRDefault="00697F34" w:rsidP="00324B33">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Approved on</w:t>
            </w:r>
          </w:p>
          <w:p w14:paraId="69177F8B" w14:textId="51AE3569" w:rsidR="00697F34" w:rsidRPr="003D2B66" w:rsidRDefault="00697F34" w:rsidP="00324B33">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21 December 2023</w:t>
            </w:r>
          </w:p>
        </w:tc>
        <w:tc>
          <w:tcPr>
            <w:tcW w:w="1795" w:type="pct"/>
          </w:tcPr>
          <w:p w14:paraId="79575B05" w14:textId="46E31630" w:rsidR="00697F34" w:rsidRPr="003D2B66" w:rsidRDefault="00697F34" w:rsidP="00F91B2E">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A</w:t>
            </w:r>
            <w:r w:rsidR="007C7DDB" w:rsidRPr="003D2B66">
              <w:rPr>
                <w:sz w:val="20"/>
                <w:szCs w:val="20"/>
              </w:rPr>
              <w:t>brysvo</w:t>
            </w:r>
            <w:r w:rsidRPr="003D2B66">
              <w:rPr>
                <w:sz w:val="20"/>
                <w:szCs w:val="20"/>
              </w:rPr>
              <w:t xml:space="preserve"> (Respiratory Syncytial</w:t>
            </w:r>
            <w:r w:rsidR="00F91B2E" w:rsidRPr="003D2B66">
              <w:rPr>
                <w:sz w:val="20"/>
                <w:szCs w:val="20"/>
              </w:rPr>
              <w:t xml:space="preserve"> </w:t>
            </w:r>
            <w:r w:rsidRPr="003D2B66">
              <w:rPr>
                <w:sz w:val="20"/>
                <w:szCs w:val="20"/>
              </w:rPr>
              <w:t>Virus Bivalent Stabilized Prefusion F</w:t>
            </w:r>
            <w:r w:rsidR="00F91B2E" w:rsidRPr="003D2B66">
              <w:rPr>
                <w:sz w:val="20"/>
                <w:szCs w:val="20"/>
              </w:rPr>
              <w:t xml:space="preserve"> </w:t>
            </w:r>
            <w:r w:rsidRPr="003D2B66">
              <w:rPr>
                <w:sz w:val="20"/>
                <w:szCs w:val="20"/>
              </w:rPr>
              <w:t>Subunit Vaccine) is a bivalent</w:t>
            </w:r>
            <w:r w:rsidR="00F91B2E" w:rsidRPr="003D2B66">
              <w:rPr>
                <w:sz w:val="20"/>
                <w:szCs w:val="20"/>
              </w:rPr>
              <w:t xml:space="preserve"> </w:t>
            </w:r>
            <w:r w:rsidRPr="003D2B66">
              <w:rPr>
                <w:sz w:val="20"/>
                <w:szCs w:val="20"/>
              </w:rPr>
              <w:t>vaccine indicated for:</w:t>
            </w:r>
          </w:p>
          <w:p w14:paraId="1D8D1EC5" w14:textId="77777777" w:rsidR="0020344B" w:rsidRPr="003D2B66" w:rsidRDefault="00697F34" w:rsidP="0020344B">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Active immunization of pregnant</w:t>
            </w:r>
            <w:r w:rsidR="00F91B2E" w:rsidRPr="003D2B66">
              <w:rPr>
                <w:sz w:val="20"/>
                <w:szCs w:val="20"/>
              </w:rPr>
              <w:t xml:space="preserve"> </w:t>
            </w:r>
            <w:r w:rsidRPr="003D2B66">
              <w:rPr>
                <w:sz w:val="20"/>
                <w:szCs w:val="20"/>
              </w:rPr>
              <w:t>individuals from 32 through 36</w:t>
            </w:r>
            <w:r w:rsidR="00F91B2E" w:rsidRPr="003D2B66">
              <w:rPr>
                <w:sz w:val="20"/>
                <w:szCs w:val="20"/>
              </w:rPr>
              <w:t xml:space="preserve"> </w:t>
            </w:r>
            <w:r w:rsidRPr="003D2B66">
              <w:rPr>
                <w:sz w:val="20"/>
                <w:szCs w:val="20"/>
              </w:rPr>
              <w:t>weeks gestational age for the</w:t>
            </w:r>
            <w:r w:rsidR="00F91B2E" w:rsidRPr="003D2B66">
              <w:rPr>
                <w:sz w:val="20"/>
                <w:szCs w:val="20"/>
              </w:rPr>
              <w:t xml:space="preserve"> </w:t>
            </w:r>
            <w:r w:rsidRPr="003D2B66">
              <w:rPr>
                <w:sz w:val="20"/>
                <w:szCs w:val="20"/>
              </w:rPr>
              <w:t>prevention of lower respiratory</w:t>
            </w:r>
            <w:r w:rsidR="00F91B2E" w:rsidRPr="003D2B66">
              <w:rPr>
                <w:sz w:val="20"/>
                <w:szCs w:val="20"/>
              </w:rPr>
              <w:t xml:space="preserve"> </w:t>
            </w:r>
            <w:r w:rsidRPr="003D2B66">
              <w:rPr>
                <w:sz w:val="20"/>
                <w:szCs w:val="20"/>
              </w:rPr>
              <w:t>tract disease (LRTD) and severe</w:t>
            </w:r>
            <w:r w:rsidR="00F91B2E" w:rsidRPr="003D2B66">
              <w:rPr>
                <w:sz w:val="20"/>
                <w:szCs w:val="20"/>
              </w:rPr>
              <w:t xml:space="preserve"> </w:t>
            </w:r>
            <w:r w:rsidRPr="003D2B66">
              <w:rPr>
                <w:sz w:val="20"/>
                <w:szCs w:val="20"/>
              </w:rPr>
              <w:t>LRTD caused by respiratory</w:t>
            </w:r>
            <w:r w:rsidR="00F91B2E" w:rsidRPr="003D2B66">
              <w:rPr>
                <w:sz w:val="20"/>
                <w:szCs w:val="20"/>
              </w:rPr>
              <w:t xml:space="preserve"> </w:t>
            </w:r>
            <w:r w:rsidRPr="003D2B66">
              <w:rPr>
                <w:sz w:val="20"/>
                <w:szCs w:val="20"/>
              </w:rPr>
              <w:t>syncytial virus (RSV) in infants</w:t>
            </w:r>
            <w:r w:rsidR="00F91B2E" w:rsidRPr="003D2B66">
              <w:rPr>
                <w:sz w:val="20"/>
                <w:szCs w:val="20"/>
              </w:rPr>
              <w:t xml:space="preserve"> </w:t>
            </w:r>
            <w:r w:rsidRPr="003D2B66">
              <w:rPr>
                <w:sz w:val="20"/>
                <w:szCs w:val="20"/>
              </w:rPr>
              <w:t>from birth through 6 months of</w:t>
            </w:r>
            <w:r w:rsidR="00F91B2E" w:rsidRPr="003D2B66">
              <w:rPr>
                <w:sz w:val="20"/>
                <w:szCs w:val="20"/>
              </w:rPr>
              <w:t xml:space="preserve"> </w:t>
            </w:r>
            <w:r w:rsidRPr="003D2B66">
              <w:rPr>
                <w:sz w:val="20"/>
                <w:szCs w:val="20"/>
              </w:rPr>
              <w:t>age.</w:t>
            </w:r>
          </w:p>
          <w:p w14:paraId="4584D42F" w14:textId="5FB77EEC" w:rsidR="00492DD4" w:rsidRPr="003D2B66" w:rsidRDefault="00697F34" w:rsidP="0020344B">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D2B66">
              <w:rPr>
                <w:color w:val="000000"/>
                <w:sz w:val="20"/>
                <w:szCs w:val="20"/>
              </w:rPr>
              <w:t>The prevention of lower</w:t>
            </w:r>
            <w:r w:rsidR="00F91B2E" w:rsidRPr="003D2B66">
              <w:rPr>
                <w:color w:val="000000"/>
                <w:sz w:val="20"/>
                <w:szCs w:val="20"/>
              </w:rPr>
              <w:t xml:space="preserve"> </w:t>
            </w:r>
            <w:r w:rsidRPr="003D2B66">
              <w:rPr>
                <w:color w:val="000000"/>
                <w:sz w:val="20"/>
                <w:szCs w:val="20"/>
              </w:rPr>
              <w:t>respiratory tract disease caused by</w:t>
            </w:r>
            <w:r w:rsidR="00F91B2E" w:rsidRPr="003D2B66">
              <w:rPr>
                <w:color w:val="000000"/>
                <w:sz w:val="20"/>
                <w:szCs w:val="20"/>
              </w:rPr>
              <w:t xml:space="preserve"> </w:t>
            </w:r>
            <w:r w:rsidRPr="003D2B66">
              <w:rPr>
                <w:color w:val="000000"/>
                <w:sz w:val="20"/>
                <w:szCs w:val="20"/>
              </w:rPr>
              <w:t>RSV in individuals 60 years of age</w:t>
            </w:r>
            <w:r w:rsidR="00F91B2E" w:rsidRPr="003D2B66">
              <w:rPr>
                <w:color w:val="000000"/>
                <w:sz w:val="20"/>
                <w:szCs w:val="20"/>
              </w:rPr>
              <w:t xml:space="preserve"> </w:t>
            </w:r>
            <w:r w:rsidRPr="003D2B66">
              <w:rPr>
                <w:color w:val="000000"/>
                <w:sz w:val="20"/>
                <w:szCs w:val="20"/>
              </w:rPr>
              <w:t>and older by active immunization.</w:t>
            </w:r>
          </w:p>
        </w:tc>
      </w:tr>
      <w:tr w:rsidR="00697F34" w:rsidRPr="003D2B66" w14:paraId="32352850" w14:textId="77777777" w:rsidTr="003B2FBE">
        <w:tc>
          <w:tcPr>
            <w:cnfStyle w:val="001000000000" w:firstRow="0" w:lastRow="0" w:firstColumn="1" w:lastColumn="0" w:oddVBand="0" w:evenVBand="0" w:oddHBand="0" w:evenHBand="0" w:firstRowFirstColumn="0" w:firstRowLastColumn="0" w:lastRowFirstColumn="0" w:lastRowLastColumn="0"/>
            <w:tcW w:w="1014" w:type="pct"/>
          </w:tcPr>
          <w:p w14:paraId="5CE0AB2A" w14:textId="2B8226CD" w:rsidR="00697F34" w:rsidRPr="003D2B66" w:rsidRDefault="000506DB" w:rsidP="00324B33">
            <w:pPr>
              <w:rPr>
                <w:sz w:val="20"/>
                <w:szCs w:val="20"/>
              </w:rPr>
            </w:pPr>
            <w:r w:rsidRPr="003D2B66">
              <w:rPr>
                <w:sz w:val="20"/>
                <w:szCs w:val="20"/>
              </w:rPr>
              <w:t>New Zealand</w:t>
            </w:r>
          </w:p>
        </w:tc>
        <w:tc>
          <w:tcPr>
            <w:tcW w:w="1079" w:type="pct"/>
          </w:tcPr>
          <w:p w14:paraId="32134A18" w14:textId="0878184E" w:rsidR="00697F34" w:rsidRPr="003D2B66" w:rsidRDefault="000506DB" w:rsidP="00324B33">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Not yet submitted</w:t>
            </w:r>
          </w:p>
        </w:tc>
        <w:tc>
          <w:tcPr>
            <w:tcW w:w="1112" w:type="pct"/>
          </w:tcPr>
          <w:p w14:paraId="290E3A69" w14:textId="5B9DB592" w:rsidR="00697F34" w:rsidRPr="003D2B66" w:rsidRDefault="000506DB" w:rsidP="00324B33">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N/A</w:t>
            </w:r>
          </w:p>
        </w:tc>
        <w:tc>
          <w:tcPr>
            <w:tcW w:w="1795" w:type="pct"/>
          </w:tcPr>
          <w:p w14:paraId="21E390C2" w14:textId="103428DE" w:rsidR="00697F34" w:rsidRPr="003D2B66" w:rsidRDefault="000506DB" w:rsidP="00697F34">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N/A</w:t>
            </w:r>
          </w:p>
        </w:tc>
      </w:tr>
      <w:tr w:rsidR="000506DB" w:rsidRPr="003D2B66" w14:paraId="46992C79" w14:textId="77777777" w:rsidTr="003B2FBE">
        <w:tc>
          <w:tcPr>
            <w:cnfStyle w:val="001000000000" w:firstRow="0" w:lastRow="0" w:firstColumn="1" w:lastColumn="0" w:oddVBand="0" w:evenVBand="0" w:oddHBand="0" w:evenHBand="0" w:firstRowFirstColumn="0" w:firstRowLastColumn="0" w:lastRowFirstColumn="0" w:lastRowLastColumn="0"/>
            <w:tcW w:w="1014" w:type="pct"/>
          </w:tcPr>
          <w:p w14:paraId="4397FA2D" w14:textId="4E245E85" w:rsidR="000506DB" w:rsidRPr="003D2B66" w:rsidRDefault="000506DB" w:rsidP="00324B33">
            <w:pPr>
              <w:rPr>
                <w:sz w:val="20"/>
                <w:szCs w:val="20"/>
              </w:rPr>
            </w:pPr>
            <w:r w:rsidRPr="003D2B66">
              <w:rPr>
                <w:sz w:val="20"/>
                <w:szCs w:val="20"/>
              </w:rPr>
              <w:t>Singapore</w:t>
            </w:r>
          </w:p>
        </w:tc>
        <w:tc>
          <w:tcPr>
            <w:tcW w:w="1079" w:type="pct"/>
          </w:tcPr>
          <w:p w14:paraId="38655D99" w14:textId="7F9EB85F" w:rsidR="000506DB" w:rsidRPr="003D2B66" w:rsidRDefault="000506DB" w:rsidP="00324B33">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8 December 2023</w:t>
            </w:r>
          </w:p>
        </w:tc>
        <w:tc>
          <w:tcPr>
            <w:tcW w:w="1112" w:type="pct"/>
          </w:tcPr>
          <w:p w14:paraId="23C49AD7" w14:textId="59EA07AF" w:rsidR="000506DB" w:rsidRPr="003D2B66" w:rsidRDefault="00AA6869" w:rsidP="00324B33">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Under consideration</w:t>
            </w:r>
          </w:p>
        </w:tc>
        <w:tc>
          <w:tcPr>
            <w:tcW w:w="1795" w:type="pct"/>
          </w:tcPr>
          <w:p w14:paraId="4874DEEE" w14:textId="314064C4" w:rsidR="000506DB" w:rsidRPr="003D2B66" w:rsidRDefault="00AA6869" w:rsidP="00F91B2E">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Under consideration</w:t>
            </w:r>
          </w:p>
        </w:tc>
      </w:tr>
      <w:tr w:rsidR="00483673" w:rsidRPr="003D2B66" w14:paraId="3039155C" w14:textId="77777777" w:rsidTr="003B2FBE">
        <w:tc>
          <w:tcPr>
            <w:cnfStyle w:val="001000000000" w:firstRow="0" w:lastRow="0" w:firstColumn="1" w:lastColumn="0" w:oddVBand="0" w:evenVBand="0" w:oddHBand="0" w:evenHBand="0" w:firstRowFirstColumn="0" w:firstRowLastColumn="0" w:lastRowFirstColumn="0" w:lastRowLastColumn="0"/>
            <w:tcW w:w="1014" w:type="pct"/>
          </w:tcPr>
          <w:p w14:paraId="79292960" w14:textId="49AA3AC0" w:rsidR="00483673" w:rsidRPr="003D2B66" w:rsidRDefault="00483673" w:rsidP="00324B33">
            <w:pPr>
              <w:rPr>
                <w:sz w:val="20"/>
                <w:szCs w:val="20"/>
              </w:rPr>
            </w:pPr>
            <w:r w:rsidRPr="003D2B66">
              <w:rPr>
                <w:sz w:val="20"/>
                <w:szCs w:val="20"/>
              </w:rPr>
              <w:t>Switzerland</w:t>
            </w:r>
          </w:p>
        </w:tc>
        <w:tc>
          <w:tcPr>
            <w:tcW w:w="1079" w:type="pct"/>
          </w:tcPr>
          <w:p w14:paraId="3B254D19" w14:textId="4425E79D" w:rsidR="00483673" w:rsidRPr="003D2B66" w:rsidRDefault="00483673" w:rsidP="00324B33">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30 November 2023</w:t>
            </w:r>
          </w:p>
        </w:tc>
        <w:tc>
          <w:tcPr>
            <w:tcW w:w="1112" w:type="pct"/>
          </w:tcPr>
          <w:p w14:paraId="210B906D" w14:textId="20830CF3" w:rsidR="00483673" w:rsidRPr="003D2B66" w:rsidRDefault="00AA6869" w:rsidP="00324B33">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Under consideration</w:t>
            </w:r>
          </w:p>
        </w:tc>
        <w:tc>
          <w:tcPr>
            <w:tcW w:w="1795" w:type="pct"/>
          </w:tcPr>
          <w:p w14:paraId="53B05EFE" w14:textId="60013E9F" w:rsidR="00483673" w:rsidRPr="003D2B66" w:rsidRDefault="00AA6869" w:rsidP="00F91B2E">
            <w:pPr>
              <w:cnfStyle w:val="000000000000" w:firstRow="0" w:lastRow="0" w:firstColumn="0" w:lastColumn="0" w:oddVBand="0" w:evenVBand="0" w:oddHBand="0" w:evenHBand="0" w:firstRowFirstColumn="0" w:firstRowLastColumn="0" w:lastRowFirstColumn="0" w:lastRowLastColumn="0"/>
              <w:rPr>
                <w:sz w:val="20"/>
                <w:szCs w:val="20"/>
              </w:rPr>
            </w:pPr>
            <w:r w:rsidRPr="003D2B66">
              <w:rPr>
                <w:sz w:val="20"/>
                <w:szCs w:val="20"/>
              </w:rPr>
              <w:t>Under consideration</w:t>
            </w:r>
          </w:p>
        </w:tc>
      </w:tr>
    </w:tbl>
    <w:p w14:paraId="46AB69AD" w14:textId="3D921E3E" w:rsidR="00F91B2E" w:rsidRPr="00AA6869" w:rsidRDefault="00F91B2E" w:rsidP="00F91B2E">
      <w:pPr>
        <w:autoSpaceDE w:val="0"/>
        <w:autoSpaceDN w:val="0"/>
        <w:adjustRightInd w:val="0"/>
        <w:spacing w:after="0" w:line="240" w:lineRule="auto"/>
        <w:rPr>
          <w:rFonts w:cs="Times New Roman"/>
          <w:sz w:val="18"/>
          <w:szCs w:val="18"/>
        </w:rPr>
      </w:pPr>
      <w:bookmarkStart w:id="28" w:name="_Toc504480011"/>
      <w:bookmarkStart w:id="29" w:name="_Toc103679293"/>
      <w:r w:rsidRPr="00AA6869">
        <w:rPr>
          <w:rFonts w:cs="Times New Roman"/>
          <w:sz w:val="18"/>
          <w:szCs w:val="18"/>
        </w:rPr>
        <w:t>^ The application in the EU was via the Centralised Procedure. Ireland was the Rapporteur and Austria was the Co-Rapporteur.</w:t>
      </w:r>
      <w:r w:rsidRPr="00AA6869">
        <w:rPr>
          <w:sz w:val="18"/>
          <w:szCs w:val="18"/>
        </w:rPr>
        <w:t xml:space="preserve"> </w:t>
      </w:r>
    </w:p>
    <w:p w14:paraId="6D92589C" w14:textId="40CE554E" w:rsidR="00324B33" w:rsidRDefault="00324B33" w:rsidP="00F91B2E">
      <w:pPr>
        <w:pStyle w:val="Heading2"/>
      </w:pPr>
      <w:bookmarkStart w:id="30" w:name="_Toc165552523"/>
      <w:r>
        <w:t>Registration timeline</w:t>
      </w:r>
      <w:bookmarkEnd w:id="28"/>
      <w:bookmarkEnd w:id="29"/>
      <w:bookmarkEnd w:id="30"/>
    </w:p>
    <w:p w14:paraId="225E3D87" w14:textId="071DE141" w:rsidR="00324B33" w:rsidRPr="00BD5DBD" w:rsidRDefault="00DE05ED" w:rsidP="00324B33">
      <w:pPr>
        <w:rPr>
          <w:szCs w:val="22"/>
        </w:rPr>
      </w:pPr>
      <w:r>
        <w:rPr>
          <w:szCs w:val="22"/>
        </w:rPr>
        <w:fldChar w:fldCharType="begin"/>
      </w:r>
      <w:r>
        <w:rPr>
          <w:szCs w:val="22"/>
        </w:rPr>
        <w:instrText xml:space="preserve"> REF _Ref162514312 \h </w:instrText>
      </w:r>
      <w:r>
        <w:rPr>
          <w:szCs w:val="22"/>
        </w:rPr>
      </w:r>
      <w:r>
        <w:rPr>
          <w:szCs w:val="22"/>
        </w:rPr>
        <w:fldChar w:fldCharType="separate"/>
      </w:r>
      <w:r w:rsidR="004E7A0A">
        <w:fldChar w:fldCharType="begin"/>
      </w:r>
      <w:r w:rsidR="004E7A0A">
        <w:rPr>
          <w:szCs w:val="22"/>
        </w:rPr>
        <w:instrText xml:space="preserve"> REF _Ref162514312 \h </w:instrText>
      </w:r>
      <w:r w:rsidR="004E7A0A">
        <w:fldChar w:fldCharType="separate"/>
      </w:r>
      <w:r w:rsidR="004E7A0A" w:rsidRPr="003B2FBE">
        <w:t>Table 2</w:t>
      </w:r>
      <w:r w:rsidR="004E7A0A">
        <w:fldChar w:fldCharType="end"/>
      </w:r>
      <w:r>
        <w:rPr>
          <w:szCs w:val="22"/>
        </w:rPr>
        <w:fldChar w:fldCharType="end"/>
      </w:r>
      <w:r w:rsidR="00324B33" w:rsidRPr="00BD5DBD">
        <w:rPr>
          <w:szCs w:val="22"/>
        </w:rPr>
        <w:t xml:space="preserve"> captures the key steps and dates for this submission.</w:t>
      </w:r>
    </w:p>
    <w:p w14:paraId="1EFA9AD0" w14:textId="67ACD194" w:rsidR="0017005C" w:rsidRPr="00BD5DBD" w:rsidRDefault="00477C4E" w:rsidP="00324B33">
      <w:pPr>
        <w:rPr>
          <w:szCs w:val="22"/>
        </w:rPr>
      </w:pPr>
      <w:r w:rsidRPr="00BD5DBD">
        <w:rPr>
          <w:szCs w:val="22"/>
        </w:rPr>
        <w:t xml:space="preserve">This submission was evaluated under the </w:t>
      </w:r>
      <w:hyperlink r:id="rId18" w:history="1">
        <w:r w:rsidRPr="00BD5DBD">
          <w:rPr>
            <w:rStyle w:val="Hyperlink"/>
            <w:szCs w:val="22"/>
          </w:rPr>
          <w:t>standard prescription medicines registration process</w:t>
        </w:r>
      </w:hyperlink>
      <w:r w:rsidR="00535DFE" w:rsidRPr="00BD5DBD">
        <w:rPr>
          <w:szCs w:val="22"/>
        </w:rPr>
        <w:t>.</w:t>
      </w:r>
    </w:p>
    <w:p w14:paraId="5263E729" w14:textId="3327E5E9" w:rsidR="005B02A2" w:rsidRPr="003B2FBE" w:rsidRDefault="00324B33" w:rsidP="0035495D">
      <w:pPr>
        <w:pStyle w:val="TableTitle"/>
      </w:pPr>
      <w:bookmarkStart w:id="31" w:name="_Ref162514312"/>
      <w:r w:rsidRPr="003B2FBE">
        <w:lastRenderedPageBreak/>
        <w:t xml:space="preserve">Table </w:t>
      </w:r>
      <w:fldSimple w:instr=" SEQ Table \* ARABIC ">
        <w:r w:rsidR="008B1CB5" w:rsidRPr="003B2FBE">
          <w:t>2</w:t>
        </w:r>
      </w:fldSimple>
      <w:bookmarkEnd w:id="31"/>
      <w:r w:rsidRPr="003B2FBE">
        <w:t xml:space="preserve">: Timeline for Submission </w:t>
      </w:r>
      <w:r w:rsidR="00116F0E" w:rsidRPr="003B2FBE">
        <w:t>PM-2023-01210-1-2</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3549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3B2FBE" w:rsidRDefault="00324B33" w:rsidP="0035495D">
            <w:r w:rsidRPr="003B2FBE">
              <w:t>Description</w:t>
            </w:r>
          </w:p>
        </w:tc>
        <w:tc>
          <w:tcPr>
            <w:tcW w:w="2977" w:type="dxa"/>
          </w:tcPr>
          <w:p w14:paraId="79AFDC4B" w14:textId="05792035" w:rsidR="00324B33" w:rsidRPr="003B2FBE" w:rsidRDefault="00324B33" w:rsidP="0035495D">
            <w:pPr>
              <w:cnfStyle w:val="100000000000" w:firstRow="1" w:lastRow="0" w:firstColumn="0" w:lastColumn="0" w:oddVBand="0" w:evenVBand="0" w:oddHBand="0" w:evenHBand="0" w:firstRowFirstColumn="0" w:firstRowLastColumn="0" w:lastRowFirstColumn="0" w:lastRowLastColumn="0"/>
            </w:pPr>
            <w:r w:rsidRPr="003B2FBE">
              <w:t>Date</w:t>
            </w:r>
          </w:p>
        </w:tc>
      </w:tr>
      <w:tr w:rsidR="00324B33" w:rsidRPr="00D01DDB" w14:paraId="23610C53" w14:textId="77777777" w:rsidTr="0035495D">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324B33" w:rsidRPr="003B2FBE" w:rsidRDefault="00324B33" w:rsidP="0035495D">
            <w:r w:rsidRPr="003B2FBE">
              <w:t>Submission dossier accepted and first round evaluation commenced</w:t>
            </w:r>
          </w:p>
        </w:tc>
        <w:tc>
          <w:tcPr>
            <w:tcW w:w="2977" w:type="dxa"/>
          </w:tcPr>
          <w:p w14:paraId="2963D9D8" w14:textId="3B687DCB" w:rsidR="00324B33" w:rsidRPr="003B2FBE" w:rsidRDefault="005650CF" w:rsidP="0035495D">
            <w:pPr>
              <w:cnfStyle w:val="000000000000" w:firstRow="0" w:lastRow="0" w:firstColumn="0" w:lastColumn="0" w:oddVBand="0" w:evenVBand="0" w:oddHBand="0" w:evenHBand="0" w:firstRowFirstColumn="0" w:firstRowLastColumn="0" w:lastRowFirstColumn="0" w:lastRowLastColumn="0"/>
            </w:pPr>
            <w:r w:rsidRPr="003B2FBE">
              <w:t>1 May 2023</w:t>
            </w:r>
          </w:p>
        </w:tc>
      </w:tr>
      <w:tr w:rsidR="00324B33" w:rsidRPr="00D01DDB" w14:paraId="53437815" w14:textId="77777777" w:rsidTr="0035495D">
        <w:tc>
          <w:tcPr>
            <w:cnfStyle w:val="001000000000" w:firstRow="0" w:lastRow="0" w:firstColumn="1" w:lastColumn="0" w:oddVBand="0" w:evenVBand="0" w:oddHBand="0" w:evenHBand="0" w:firstRowFirstColumn="0" w:firstRowLastColumn="0" w:lastRowFirstColumn="0" w:lastRowLastColumn="0"/>
            <w:tcW w:w="5665" w:type="dxa"/>
          </w:tcPr>
          <w:p w14:paraId="4C037D4E" w14:textId="2B0CE255" w:rsidR="00324B33" w:rsidRPr="003B2FBE" w:rsidRDefault="00324B33" w:rsidP="0035495D">
            <w:r w:rsidRPr="003B2FBE">
              <w:t>First round evaluation completed</w:t>
            </w:r>
          </w:p>
        </w:tc>
        <w:tc>
          <w:tcPr>
            <w:tcW w:w="2977" w:type="dxa"/>
          </w:tcPr>
          <w:p w14:paraId="3CEAFAAB" w14:textId="66178D54" w:rsidR="00324B33" w:rsidRPr="003B2FBE" w:rsidRDefault="00F0626A" w:rsidP="0035495D">
            <w:pPr>
              <w:cnfStyle w:val="000000000000" w:firstRow="0" w:lastRow="0" w:firstColumn="0" w:lastColumn="0" w:oddVBand="0" w:evenVBand="0" w:oddHBand="0" w:evenHBand="0" w:firstRowFirstColumn="0" w:firstRowLastColumn="0" w:lastRowFirstColumn="0" w:lastRowLastColumn="0"/>
            </w:pPr>
            <w:r w:rsidRPr="003B2FBE">
              <w:t>27 September 2023</w:t>
            </w:r>
          </w:p>
        </w:tc>
      </w:tr>
      <w:tr w:rsidR="00324B33" w:rsidRPr="00D01DDB" w14:paraId="60DA57CC" w14:textId="77777777" w:rsidTr="0035495D">
        <w:tc>
          <w:tcPr>
            <w:cnfStyle w:val="001000000000" w:firstRow="0" w:lastRow="0" w:firstColumn="1" w:lastColumn="0" w:oddVBand="0" w:evenVBand="0" w:oddHBand="0" w:evenHBand="0" w:firstRowFirstColumn="0" w:firstRowLastColumn="0" w:lastRowFirstColumn="0" w:lastRowLastColumn="0"/>
            <w:tcW w:w="5665" w:type="dxa"/>
          </w:tcPr>
          <w:p w14:paraId="02EA1147" w14:textId="2853A422" w:rsidR="00324B33" w:rsidRPr="003B2FBE" w:rsidRDefault="00324B33" w:rsidP="0035495D">
            <w:r w:rsidRPr="003B2FBE">
              <w:t>Sponsor provides responses on questions raised in first round evaluation</w:t>
            </w:r>
          </w:p>
        </w:tc>
        <w:tc>
          <w:tcPr>
            <w:tcW w:w="2977" w:type="dxa"/>
          </w:tcPr>
          <w:p w14:paraId="6D7B43B0" w14:textId="77777777" w:rsidR="00324B33" w:rsidRPr="00BF3D7E" w:rsidRDefault="00002588" w:rsidP="0035495D">
            <w:pPr>
              <w:cnfStyle w:val="000000000000" w:firstRow="0" w:lastRow="0" w:firstColumn="0" w:lastColumn="0" w:oddVBand="0" w:evenVBand="0" w:oddHBand="0" w:evenHBand="0" w:firstRowFirstColumn="0" w:firstRowLastColumn="0" w:lastRowFirstColumn="0" w:lastRowLastColumn="0"/>
            </w:pPr>
            <w:r w:rsidRPr="00BF3D7E">
              <w:t>31 October 2023</w:t>
            </w:r>
          </w:p>
          <w:p w14:paraId="68A577C1" w14:textId="65E980F7" w:rsidR="00CC4772" w:rsidRPr="003B2FBE" w:rsidRDefault="00CC4772" w:rsidP="0035495D">
            <w:pPr>
              <w:cnfStyle w:val="000000000000" w:firstRow="0" w:lastRow="0" w:firstColumn="0" w:lastColumn="0" w:oddVBand="0" w:evenVBand="0" w:oddHBand="0" w:evenHBand="0" w:firstRowFirstColumn="0" w:firstRowLastColumn="0" w:lastRowFirstColumn="0" w:lastRowLastColumn="0"/>
            </w:pPr>
            <w:r w:rsidRPr="00BF3D7E">
              <w:t>14 December 2023</w:t>
            </w:r>
          </w:p>
        </w:tc>
      </w:tr>
      <w:tr w:rsidR="00324B33" w:rsidRPr="00D01DDB" w14:paraId="767E33A4" w14:textId="77777777" w:rsidTr="0035495D">
        <w:tc>
          <w:tcPr>
            <w:cnfStyle w:val="001000000000" w:firstRow="0" w:lastRow="0" w:firstColumn="1" w:lastColumn="0" w:oddVBand="0" w:evenVBand="0" w:oddHBand="0" w:evenHBand="0" w:firstRowFirstColumn="0" w:firstRowLastColumn="0" w:lastRowFirstColumn="0" w:lastRowLastColumn="0"/>
            <w:tcW w:w="5665" w:type="dxa"/>
          </w:tcPr>
          <w:p w14:paraId="4AFC5B50" w14:textId="2BCC6A3E" w:rsidR="00324B33" w:rsidRPr="003B2FBE" w:rsidRDefault="00324B33" w:rsidP="0035495D">
            <w:r w:rsidRPr="003B2FBE">
              <w:t>Second round evaluation completed</w:t>
            </w:r>
          </w:p>
        </w:tc>
        <w:tc>
          <w:tcPr>
            <w:tcW w:w="2977" w:type="dxa"/>
          </w:tcPr>
          <w:p w14:paraId="4E47DF62" w14:textId="382830BE" w:rsidR="00324B33" w:rsidRPr="003B2FBE" w:rsidRDefault="00F0626A" w:rsidP="0035495D">
            <w:pPr>
              <w:cnfStyle w:val="000000000000" w:firstRow="0" w:lastRow="0" w:firstColumn="0" w:lastColumn="0" w:oddVBand="0" w:evenVBand="0" w:oddHBand="0" w:evenHBand="0" w:firstRowFirstColumn="0" w:firstRowLastColumn="0" w:lastRowFirstColumn="0" w:lastRowLastColumn="0"/>
            </w:pPr>
            <w:r w:rsidRPr="003B2FBE">
              <w:t>30 November 2023</w:t>
            </w:r>
          </w:p>
        </w:tc>
      </w:tr>
      <w:tr w:rsidR="001143E9" w:rsidRPr="00D01DDB" w14:paraId="3FB13C13" w14:textId="77777777" w:rsidTr="0035495D">
        <w:tc>
          <w:tcPr>
            <w:cnfStyle w:val="001000000000" w:firstRow="0" w:lastRow="0" w:firstColumn="1" w:lastColumn="0" w:oddVBand="0" w:evenVBand="0" w:oddHBand="0" w:evenHBand="0" w:firstRowFirstColumn="0" w:firstRowLastColumn="0" w:lastRowFirstColumn="0" w:lastRowLastColumn="0"/>
            <w:tcW w:w="5665" w:type="dxa"/>
          </w:tcPr>
          <w:p w14:paraId="12541FD6" w14:textId="51DECFAB" w:rsidR="001143E9" w:rsidRPr="003B2FBE" w:rsidRDefault="00586CB7" w:rsidP="0035495D">
            <w:pPr>
              <w:rPr>
                <w:highlight w:val="yellow"/>
              </w:rPr>
            </w:pPr>
            <w:r w:rsidRPr="003B2FBE">
              <w:t>Sponsor’s notification to the TGA of errors/omissions in evaluation reports</w:t>
            </w:r>
          </w:p>
        </w:tc>
        <w:tc>
          <w:tcPr>
            <w:tcW w:w="2977" w:type="dxa"/>
          </w:tcPr>
          <w:p w14:paraId="40560958" w14:textId="7B6D13CC" w:rsidR="001143E9" w:rsidRPr="003B2FBE" w:rsidRDefault="001100BB" w:rsidP="0035495D">
            <w:pPr>
              <w:cnfStyle w:val="000000000000" w:firstRow="0" w:lastRow="0" w:firstColumn="0" w:lastColumn="0" w:oddVBand="0" w:evenVBand="0" w:oddHBand="0" w:evenHBand="0" w:firstRowFirstColumn="0" w:firstRowLastColumn="0" w:lastRowFirstColumn="0" w:lastRowLastColumn="0"/>
            </w:pPr>
            <w:r w:rsidRPr="003B2FBE">
              <w:t>22 January 2024</w:t>
            </w:r>
          </w:p>
        </w:tc>
      </w:tr>
      <w:tr w:rsidR="00324B33" w:rsidRPr="00D01DDB" w14:paraId="302FCB45" w14:textId="77777777" w:rsidTr="0035495D">
        <w:tc>
          <w:tcPr>
            <w:cnfStyle w:val="001000000000" w:firstRow="0" w:lastRow="0" w:firstColumn="1" w:lastColumn="0" w:oddVBand="0" w:evenVBand="0" w:oddHBand="0" w:evenHBand="0" w:firstRowFirstColumn="0" w:firstRowLastColumn="0" w:lastRowFirstColumn="0" w:lastRowLastColumn="0"/>
            <w:tcW w:w="5665" w:type="dxa"/>
          </w:tcPr>
          <w:p w14:paraId="716E9DC1" w14:textId="743877F6" w:rsidR="00324B33" w:rsidRPr="003B2FBE" w:rsidRDefault="00324B33" w:rsidP="0035495D">
            <w:r w:rsidRPr="003B2FBE">
              <w:t>Delegate’s</w:t>
            </w:r>
            <w:r w:rsidR="00500D68" w:rsidRPr="003B2FBE">
              <w:rPr>
                <w:rStyle w:val="FootnoteReference"/>
                <w:sz w:val="20"/>
                <w:szCs w:val="20"/>
              </w:rPr>
              <w:footnoteReference w:id="12"/>
            </w:r>
            <w:r w:rsidRPr="003B2FBE">
              <w:t xml:space="preserve"> Overall benefit-risk assessment </w:t>
            </w:r>
            <w:r w:rsidRPr="003B2FBE">
              <w:rPr>
                <w:color w:val="auto"/>
              </w:rPr>
              <w:t>and request for Advisory Committee advice</w:t>
            </w:r>
          </w:p>
        </w:tc>
        <w:tc>
          <w:tcPr>
            <w:tcW w:w="2977" w:type="dxa"/>
          </w:tcPr>
          <w:p w14:paraId="3BA6EF79" w14:textId="08292455" w:rsidR="00324B33" w:rsidRPr="003B2FBE" w:rsidRDefault="006B1D7D" w:rsidP="0035495D">
            <w:pPr>
              <w:cnfStyle w:val="000000000000" w:firstRow="0" w:lastRow="0" w:firstColumn="0" w:lastColumn="0" w:oddVBand="0" w:evenVBand="0" w:oddHBand="0" w:evenHBand="0" w:firstRowFirstColumn="0" w:firstRowLastColumn="0" w:lastRowFirstColumn="0" w:lastRowLastColumn="0"/>
            </w:pPr>
            <w:r w:rsidRPr="003B2FBE">
              <w:t>2 January 2024</w:t>
            </w:r>
          </w:p>
        </w:tc>
      </w:tr>
      <w:tr w:rsidR="00324B33" w:rsidRPr="00D01DDB" w14:paraId="5832EBC8" w14:textId="77777777" w:rsidTr="0035495D">
        <w:tc>
          <w:tcPr>
            <w:cnfStyle w:val="001000000000" w:firstRow="0" w:lastRow="0" w:firstColumn="1" w:lastColumn="0" w:oddVBand="0" w:evenVBand="0" w:oddHBand="0" w:evenHBand="0" w:firstRowFirstColumn="0" w:firstRowLastColumn="0" w:lastRowFirstColumn="0" w:lastRowLastColumn="0"/>
            <w:tcW w:w="5665" w:type="dxa"/>
          </w:tcPr>
          <w:p w14:paraId="720592DE" w14:textId="1F72CD22" w:rsidR="00324B33" w:rsidRPr="003B2FBE" w:rsidRDefault="00324B33" w:rsidP="0035495D">
            <w:r w:rsidRPr="003B2FBE">
              <w:t>Sponsor’s pre-Advisory Committee response</w:t>
            </w:r>
          </w:p>
        </w:tc>
        <w:tc>
          <w:tcPr>
            <w:tcW w:w="2977" w:type="dxa"/>
          </w:tcPr>
          <w:p w14:paraId="5AE04841" w14:textId="1D084414" w:rsidR="00324B33" w:rsidRPr="003B2FBE" w:rsidRDefault="004452D0" w:rsidP="0035495D">
            <w:pPr>
              <w:cnfStyle w:val="000000000000" w:firstRow="0" w:lastRow="0" w:firstColumn="0" w:lastColumn="0" w:oddVBand="0" w:evenVBand="0" w:oddHBand="0" w:evenHBand="0" w:firstRowFirstColumn="0" w:firstRowLastColumn="0" w:lastRowFirstColumn="0" w:lastRowLastColumn="0"/>
            </w:pPr>
            <w:r w:rsidRPr="003B2FBE">
              <w:t>16 January 2024</w:t>
            </w:r>
          </w:p>
        </w:tc>
      </w:tr>
      <w:tr w:rsidR="00324B33" w:rsidRPr="00D01DDB" w14:paraId="5754F7AC" w14:textId="77777777" w:rsidTr="0035495D">
        <w:tc>
          <w:tcPr>
            <w:cnfStyle w:val="001000000000" w:firstRow="0" w:lastRow="0" w:firstColumn="1" w:lastColumn="0" w:oddVBand="0" w:evenVBand="0" w:oddHBand="0" w:evenHBand="0" w:firstRowFirstColumn="0" w:firstRowLastColumn="0" w:lastRowFirstColumn="0" w:lastRowLastColumn="0"/>
            <w:tcW w:w="5665" w:type="dxa"/>
          </w:tcPr>
          <w:p w14:paraId="789DE187" w14:textId="123446EE" w:rsidR="00324B33" w:rsidRPr="003B2FBE" w:rsidRDefault="00324B33" w:rsidP="0035495D">
            <w:r w:rsidRPr="003B2FBE">
              <w:t>Advisory Committee meeting</w:t>
            </w:r>
          </w:p>
        </w:tc>
        <w:tc>
          <w:tcPr>
            <w:tcW w:w="2977" w:type="dxa"/>
          </w:tcPr>
          <w:p w14:paraId="5BE1EDE7" w14:textId="5E37D6C1" w:rsidR="00324B33" w:rsidRPr="003B2FBE" w:rsidRDefault="0000523E" w:rsidP="0035495D">
            <w:pPr>
              <w:cnfStyle w:val="000000000000" w:firstRow="0" w:lastRow="0" w:firstColumn="0" w:lastColumn="0" w:oddVBand="0" w:evenVBand="0" w:oddHBand="0" w:evenHBand="0" w:firstRowFirstColumn="0" w:firstRowLastColumn="0" w:lastRowFirstColumn="0" w:lastRowLastColumn="0"/>
            </w:pPr>
            <w:r w:rsidRPr="003B2FBE">
              <w:t>31 January 2024</w:t>
            </w:r>
          </w:p>
        </w:tc>
      </w:tr>
      <w:tr w:rsidR="00324B33" w:rsidRPr="00D01DDB" w14:paraId="6E5D32FE" w14:textId="77777777" w:rsidTr="0035495D">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3B2FBE" w:rsidRDefault="00324B33" w:rsidP="0035495D">
            <w:r w:rsidRPr="003B2FBE">
              <w:t>Registration decision (Outcome)</w:t>
            </w:r>
          </w:p>
        </w:tc>
        <w:tc>
          <w:tcPr>
            <w:tcW w:w="2977" w:type="dxa"/>
          </w:tcPr>
          <w:p w14:paraId="62987ABD" w14:textId="22A91664" w:rsidR="00324B33" w:rsidRPr="003B2FBE" w:rsidRDefault="00173AC5" w:rsidP="0035495D">
            <w:pPr>
              <w:cnfStyle w:val="000000000000" w:firstRow="0" w:lastRow="0" w:firstColumn="0" w:lastColumn="0" w:oddVBand="0" w:evenVBand="0" w:oddHBand="0" w:evenHBand="0" w:firstRowFirstColumn="0" w:firstRowLastColumn="0" w:lastRowFirstColumn="0" w:lastRowLastColumn="0"/>
            </w:pPr>
            <w:r w:rsidRPr="003B2FBE">
              <w:t>20 March 2024</w:t>
            </w:r>
          </w:p>
        </w:tc>
      </w:tr>
      <w:tr w:rsidR="00324B33" w:rsidRPr="00D01DDB" w14:paraId="6DDCDDA4" w14:textId="77777777" w:rsidTr="0035495D">
        <w:tc>
          <w:tcPr>
            <w:cnfStyle w:val="001000000000" w:firstRow="0" w:lastRow="0" w:firstColumn="1" w:lastColumn="0" w:oddVBand="0" w:evenVBand="0" w:oddHBand="0" w:evenHBand="0" w:firstRowFirstColumn="0" w:firstRowLastColumn="0" w:lastRowFirstColumn="0" w:lastRowLastColumn="0"/>
            <w:tcW w:w="5665" w:type="dxa"/>
          </w:tcPr>
          <w:p w14:paraId="192FD19D" w14:textId="3612A2E7" w:rsidR="00324B33" w:rsidRPr="003B2FBE" w:rsidRDefault="0013132F" w:rsidP="0035495D">
            <w:r w:rsidRPr="003B2FBE">
              <w:t xml:space="preserve">Administrative activities and registration </w:t>
            </w:r>
            <w:r w:rsidR="005C4B46" w:rsidRPr="003B2FBE">
              <w:t xml:space="preserve">in </w:t>
            </w:r>
            <w:r w:rsidRPr="003B2FBE">
              <w:t>the ARTG completed</w:t>
            </w:r>
          </w:p>
        </w:tc>
        <w:tc>
          <w:tcPr>
            <w:tcW w:w="2977" w:type="dxa"/>
          </w:tcPr>
          <w:p w14:paraId="5A8923FD" w14:textId="37FFAA9A" w:rsidR="00324B33" w:rsidRPr="003B2FBE" w:rsidRDefault="00173AC5" w:rsidP="0035495D">
            <w:pPr>
              <w:cnfStyle w:val="000000000000" w:firstRow="0" w:lastRow="0" w:firstColumn="0" w:lastColumn="0" w:oddVBand="0" w:evenVBand="0" w:oddHBand="0" w:evenHBand="0" w:firstRowFirstColumn="0" w:firstRowLastColumn="0" w:lastRowFirstColumn="0" w:lastRowLastColumn="0"/>
            </w:pPr>
            <w:r w:rsidRPr="003B2FBE">
              <w:t>21 March 2024</w:t>
            </w:r>
          </w:p>
        </w:tc>
      </w:tr>
      <w:tr w:rsidR="00324B33" w:rsidRPr="00D01DDB" w14:paraId="56D922E2" w14:textId="77777777" w:rsidTr="0035495D">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3B2FBE" w:rsidRDefault="00324B33" w:rsidP="0035495D">
            <w:r w:rsidRPr="003B2FBE">
              <w:t>Number of working days from submission dossier acceptance to registration decision*</w:t>
            </w:r>
          </w:p>
        </w:tc>
        <w:tc>
          <w:tcPr>
            <w:tcW w:w="2977" w:type="dxa"/>
          </w:tcPr>
          <w:p w14:paraId="5BAF9FA1" w14:textId="4C81B0F8" w:rsidR="00324B33" w:rsidRPr="003B2FBE" w:rsidRDefault="00F0626A" w:rsidP="0035495D">
            <w:pPr>
              <w:cnfStyle w:val="000000000000" w:firstRow="0" w:lastRow="0" w:firstColumn="0" w:lastColumn="0" w:oddVBand="0" w:evenVBand="0" w:oddHBand="0" w:evenHBand="0" w:firstRowFirstColumn="0" w:firstRowLastColumn="0" w:lastRowFirstColumn="0" w:lastRowLastColumn="0"/>
            </w:pPr>
            <w:r w:rsidRPr="003B2FBE">
              <w:t>197</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2" w:name="_Toc196046504"/>
      <w:bookmarkStart w:id="33" w:name="_Toc247691527"/>
      <w:bookmarkStart w:id="34" w:name="_Toc314842510"/>
      <w:bookmarkStart w:id="35" w:name="_Toc103679294"/>
      <w:bookmarkStart w:id="36" w:name="_Toc165552524"/>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2"/>
      <w:bookmarkEnd w:id="33"/>
      <w:bookmarkEnd w:id="34"/>
      <w:bookmarkEnd w:id="35"/>
      <w:bookmarkEnd w:id="36"/>
    </w:p>
    <w:p w14:paraId="540151FC" w14:textId="77777777" w:rsidR="00C22214" w:rsidRDefault="00C22214" w:rsidP="00BD5DBD">
      <w:pPr>
        <w:rPr>
          <w:szCs w:val="22"/>
        </w:rPr>
      </w:pPr>
      <w:bookmarkStart w:id="37" w:name="_Toc247691528"/>
      <w:bookmarkStart w:id="38" w:name="_Toc314842511"/>
      <w:r w:rsidRPr="00164F81">
        <w:rPr>
          <w:szCs w:val="22"/>
        </w:rPr>
        <w:t>A summary of the TGA’s assessment for this submission is provided below.</w:t>
      </w:r>
    </w:p>
    <w:p w14:paraId="16FC3652" w14:textId="77777777" w:rsidR="00F23D8F" w:rsidRDefault="00F23D8F" w:rsidP="00F23D8F">
      <w:pPr>
        <w:rPr>
          <w:szCs w:val="22"/>
        </w:rPr>
      </w:pPr>
      <w:r w:rsidRPr="00BD5DBD">
        <w:rPr>
          <w:szCs w:val="22"/>
        </w:rPr>
        <w:t xml:space="preserve">Relevant guidelines or guidance documents referred to by the Delegate are listed below: </w:t>
      </w:r>
    </w:p>
    <w:p w14:paraId="2094FEBC" w14:textId="77777777" w:rsidR="0025184B" w:rsidRPr="0025184B" w:rsidRDefault="0025184B" w:rsidP="0025184B">
      <w:pPr>
        <w:pStyle w:val="ListBullet"/>
      </w:pPr>
      <w:r w:rsidRPr="0025184B">
        <w:t xml:space="preserve">European Medicines Agency (EMA) </w:t>
      </w:r>
      <w:hyperlink r:id="rId19" w:history="1">
        <w:r w:rsidRPr="0025184B">
          <w:rPr>
            <w:rStyle w:val="Hyperlink"/>
          </w:rPr>
          <w:t>Guideline on Clinical Evaluation of New Vaccines EMEA/CHMP/VWP/164653/2005</w:t>
        </w:r>
      </w:hyperlink>
      <w:r w:rsidRPr="0025184B">
        <w:t xml:space="preserve"> </w:t>
      </w:r>
    </w:p>
    <w:p w14:paraId="4FE17BF2" w14:textId="60B11272" w:rsidR="00F23D8F" w:rsidRPr="0025184B" w:rsidRDefault="0025184B" w:rsidP="0025184B">
      <w:pPr>
        <w:pStyle w:val="ListBullet"/>
      </w:pPr>
      <w:r w:rsidRPr="0025184B">
        <w:t xml:space="preserve">EMA </w:t>
      </w:r>
      <w:hyperlink r:id="rId20" w:history="1">
        <w:r w:rsidR="00F23D8F" w:rsidRPr="0025184B">
          <w:rPr>
            <w:rStyle w:val="Hyperlink"/>
          </w:rPr>
          <w:t>Guideline on adjuvants in vaccines for human use</w:t>
        </w:r>
        <w:r w:rsidRPr="0025184B">
          <w:rPr>
            <w:rStyle w:val="Hyperlink"/>
          </w:rPr>
          <w:t xml:space="preserve"> </w:t>
        </w:r>
        <w:r w:rsidR="00F23D8F" w:rsidRPr="0025184B">
          <w:rPr>
            <w:rStyle w:val="Hyperlink"/>
          </w:rPr>
          <w:t>EMEA/CHMP/VEG/134716/2004</w:t>
        </w:r>
      </w:hyperlink>
    </w:p>
    <w:p w14:paraId="65147C4C" w14:textId="041D979A" w:rsidR="00F23D8F" w:rsidRPr="0025184B" w:rsidRDefault="0025184B" w:rsidP="0025184B">
      <w:pPr>
        <w:pStyle w:val="ListBullet"/>
      </w:pPr>
      <w:r w:rsidRPr="0025184B">
        <w:t xml:space="preserve">EMA </w:t>
      </w:r>
      <w:hyperlink r:id="rId21" w:history="1">
        <w:r w:rsidR="00F23D8F" w:rsidRPr="0025184B">
          <w:rPr>
            <w:rStyle w:val="Hyperlink"/>
          </w:rPr>
          <w:t>Guideline on the clinical evaluation of medicinal products indicated for the prophylaxis or treatment of respiratory syncytial virus (RSV) disease EMA/CHMP/257022/2017</w:t>
        </w:r>
      </w:hyperlink>
    </w:p>
    <w:p w14:paraId="37F5A1C0" w14:textId="77777777" w:rsidR="00C22214" w:rsidRDefault="00C22214" w:rsidP="00C22214">
      <w:pPr>
        <w:pStyle w:val="Heading3"/>
      </w:pPr>
      <w:bookmarkStart w:id="39" w:name="_Toc103679295"/>
      <w:bookmarkStart w:id="40" w:name="_Toc165552525"/>
      <w:r>
        <w:lastRenderedPageBreak/>
        <w:t>Quality</w:t>
      </w:r>
      <w:bookmarkEnd w:id="37"/>
      <w:bookmarkEnd w:id="38"/>
      <w:bookmarkEnd w:id="39"/>
      <w:bookmarkEnd w:id="40"/>
    </w:p>
    <w:p w14:paraId="78F68F6D" w14:textId="0EA14FD7" w:rsidR="0044468C" w:rsidRPr="003B2FBE" w:rsidRDefault="00E740F9" w:rsidP="003B2FBE">
      <w:r w:rsidRPr="003B2FBE">
        <w:t xml:space="preserve">RSV has </w:t>
      </w:r>
      <w:r w:rsidR="00404764" w:rsidRPr="003B2FBE">
        <w:t xml:space="preserve">two </w:t>
      </w:r>
      <w:r w:rsidRPr="003B2FBE">
        <w:t>subgroups, A and B, which co-circulate and can cause severe disease. Abrysvo</w:t>
      </w:r>
      <w:r w:rsidR="0044468C" w:rsidRPr="003B2FBE">
        <w:t xml:space="preserve"> consists of equal amounts (60 μg) of two stabilised RSV F antigen </w:t>
      </w:r>
      <w:r w:rsidR="005822F2" w:rsidRPr="003B2FBE">
        <w:t>drug substances</w:t>
      </w:r>
      <w:r w:rsidR="00A4308A">
        <w:t>,</w:t>
      </w:r>
      <w:r w:rsidR="0044468C" w:rsidRPr="003B2FBE">
        <w:t xml:space="preserve"> denoted 847A and 847B, representing these two major subgroups. The </w:t>
      </w:r>
      <w:r w:rsidR="005822F2" w:rsidRPr="003B2FBE">
        <w:t xml:space="preserve">drug substances </w:t>
      </w:r>
      <w:r w:rsidR="0044468C" w:rsidRPr="003B2FBE">
        <w:t>are produced by recombinant DNA technology in Chinese Hamster Ovary K</w:t>
      </w:r>
      <w:r w:rsidR="0044468C" w:rsidRPr="007C7DDB">
        <w:t>1 (</w:t>
      </w:r>
      <w:r w:rsidR="0044468C" w:rsidRPr="00A86E2C">
        <w:t>CHO-K1</w:t>
      </w:r>
      <w:r w:rsidR="0044468C" w:rsidRPr="007C7DDB">
        <w:t>)</w:t>
      </w:r>
      <w:r w:rsidR="0044468C" w:rsidRPr="003B2FBE">
        <w:t xml:space="preserve"> cells. The </w:t>
      </w:r>
      <w:r w:rsidR="005822F2" w:rsidRPr="003B2FBE">
        <w:t xml:space="preserve">drug substances </w:t>
      </w:r>
      <w:r w:rsidR="0044468C" w:rsidRPr="003B2FBE">
        <w:t xml:space="preserve">are formulated into final bulk ethylene vinyl acetate flexible containers and the </w:t>
      </w:r>
      <w:r w:rsidR="005822F2" w:rsidRPr="003B2FBE">
        <w:t xml:space="preserve">drug product </w:t>
      </w:r>
      <w:r w:rsidR="0044468C" w:rsidRPr="003B2FBE">
        <w:t xml:space="preserve">is aseptically filled and lyophilised in 2 mL vial containers.   </w:t>
      </w:r>
    </w:p>
    <w:p w14:paraId="2F3C2CA8" w14:textId="3800413E" w:rsidR="001D583C" w:rsidRPr="003B2FBE" w:rsidRDefault="001D583C" w:rsidP="003B2FBE">
      <w:r w:rsidRPr="003B2FBE">
        <w:t xml:space="preserve">Abrysvo is presented in a composite pack containing the lyophilised powder for injection vial, a 1 mL sterile water diluent prefilled syringe and a single-use vial adapter, stored at the recommended temperature of 2 </w:t>
      </w:r>
      <w:r w:rsidR="00001084" w:rsidRPr="003B2FBE">
        <w:t xml:space="preserve">to </w:t>
      </w:r>
      <w:r w:rsidRPr="003B2FBE">
        <w:t>8°C.</w:t>
      </w:r>
    </w:p>
    <w:p w14:paraId="0DF6EDAC" w14:textId="4709D02C" w:rsidR="00F42CE5" w:rsidRPr="003B2FBE" w:rsidRDefault="00F42CE5" w:rsidP="003B2FBE">
      <w:r w:rsidRPr="003B2FBE">
        <w:t>The recommended shelf life for Abrysvo vaccine kits containing a powder for injection vial, a diluent pre-filled syringe and a vial adapter (most restrictive of the two components that constitute the composite pack)</w:t>
      </w:r>
      <w:r w:rsidR="00FD6BB7" w:rsidRPr="003B2FBE">
        <w:t>:</w:t>
      </w:r>
    </w:p>
    <w:p w14:paraId="0EEEEB20" w14:textId="77777777" w:rsidR="0020344B" w:rsidRPr="003B2FBE" w:rsidRDefault="00F42CE5" w:rsidP="003B2FBE">
      <w:pPr>
        <w:pStyle w:val="ListBullet"/>
      </w:pPr>
      <w:r w:rsidRPr="003B2FBE">
        <w:t>Shelf life: 24 months</w:t>
      </w:r>
    </w:p>
    <w:p w14:paraId="62E8E845" w14:textId="5E83F8C1" w:rsidR="00F42CE5" w:rsidRPr="003B2FBE" w:rsidRDefault="00F42CE5" w:rsidP="003B2FBE">
      <w:pPr>
        <w:pStyle w:val="ListBullet"/>
      </w:pPr>
      <w:r w:rsidRPr="003B2FBE">
        <w:t>Storage condition: 2</w:t>
      </w:r>
      <w:r w:rsidR="00725DDB" w:rsidRPr="003B2FBE">
        <w:t xml:space="preserve"> to</w:t>
      </w:r>
      <w:r w:rsidRPr="003B2FBE">
        <w:t>8°C</w:t>
      </w:r>
      <w:r w:rsidR="00EE322C" w:rsidRPr="003B2FBE">
        <w:t>.</w:t>
      </w:r>
    </w:p>
    <w:p w14:paraId="165C4CC3" w14:textId="24714DF1" w:rsidR="00EE322C" w:rsidRPr="003B2FBE" w:rsidRDefault="00EE322C" w:rsidP="003B2FBE">
      <w:r w:rsidRPr="003B2FBE">
        <w:t>There were no objections from a quality perspective to the approval of Abrysvo.</w:t>
      </w:r>
    </w:p>
    <w:p w14:paraId="2BE90AAE" w14:textId="77777777" w:rsidR="00C22214" w:rsidRDefault="00C22214" w:rsidP="00C22214">
      <w:pPr>
        <w:pStyle w:val="Heading3"/>
      </w:pPr>
      <w:bookmarkStart w:id="41" w:name="_Toc314842512"/>
      <w:bookmarkStart w:id="42" w:name="_Toc103679296"/>
      <w:bookmarkStart w:id="43" w:name="_Toc165552526"/>
      <w:r>
        <w:t>Nonclinical</w:t>
      </w:r>
      <w:bookmarkEnd w:id="41"/>
      <w:bookmarkEnd w:id="42"/>
      <w:bookmarkEnd w:id="43"/>
    </w:p>
    <w:p w14:paraId="16259EC0" w14:textId="77777777" w:rsidR="00784402" w:rsidRPr="003B2FBE" w:rsidRDefault="00784402" w:rsidP="003B2FBE">
      <w:bookmarkStart w:id="44" w:name="_Toc247691530"/>
      <w:bookmarkStart w:id="45" w:name="_Toc314842513"/>
      <w:bookmarkStart w:id="46" w:name="_Toc103679297"/>
      <w:r w:rsidRPr="003B2FBE">
        <w:t xml:space="preserve">The primary pharmacology studies support the proposed clinical use. However, the </w:t>
      </w:r>
      <w:proofErr w:type="spellStart"/>
      <w:r w:rsidRPr="003B2FBE">
        <w:t>preF</w:t>
      </w:r>
      <w:proofErr w:type="spellEnd"/>
      <w:r w:rsidRPr="003B2FBE">
        <w:t xml:space="preserve"> formulation without an adjuvant induced significantly lower neutralising antibody titres and conferred less protection in the upper airways in cotton rats than the formulation containing an aluminium adjuvant. </w:t>
      </w:r>
    </w:p>
    <w:p w14:paraId="3C47E692" w14:textId="25E64289" w:rsidR="00784402" w:rsidRPr="003B2FBE" w:rsidRDefault="00784402" w:rsidP="003B2FBE">
      <w:r w:rsidRPr="003B2FBE">
        <w:t xml:space="preserve">Repeated </w:t>
      </w:r>
      <w:r w:rsidR="006D4379" w:rsidRPr="003B2FBE">
        <w:t>intramuscular</w:t>
      </w:r>
      <w:r w:rsidR="00182859" w:rsidRPr="003B2FBE">
        <w:t xml:space="preserve"> </w:t>
      </w:r>
      <w:r w:rsidRPr="003B2FBE">
        <w:t>administration of RSVpreF without</w:t>
      </w:r>
      <w:r w:rsidR="00487157">
        <w:t xml:space="preserve"> aluminium hydroxide [</w:t>
      </w:r>
      <w:proofErr w:type="gramStart"/>
      <w:r w:rsidRPr="007C7DDB">
        <w:t>Al(</w:t>
      </w:r>
      <w:proofErr w:type="gramEnd"/>
      <w:r w:rsidRPr="007C7DDB">
        <w:t>OH)</w:t>
      </w:r>
      <w:r w:rsidRPr="007C7DDB">
        <w:rPr>
          <w:vertAlign w:val="subscript"/>
        </w:rPr>
        <w:t>3</w:t>
      </w:r>
      <w:r w:rsidR="00487157" w:rsidRPr="007C7DDB">
        <w:t>]</w:t>
      </w:r>
      <w:r w:rsidRPr="007C7DDB">
        <w:t xml:space="preserve"> with doses 400 times the clinical dose on a mg/kg basis to rats was well tolerated with little</w:t>
      </w:r>
      <w:r w:rsidRPr="003B2FBE">
        <w:t xml:space="preserve"> local and systemic findings; hence, no safety concern is predicted in clinical scenarios. Formulation with </w:t>
      </w:r>
      <w:proofErr w:type="gramStart"/>
      <w:r w:rsidRPr="003B2FBE">
        <w:t>Al(</w:t>
      </w:r>
      <w:proofErr w:type="gramEnd"/>
      <w:r w:rsidRPr="003B2FBE">
        <w:t>OH)</w:t>
      </w:r>
      <w:r w:rsidRPr="0025184B">
        <w:rPr>
          <w:vertAlign w:val="subscript"/>
        </w:rPr>
        <w:t>3</w:t>
      </w:r>
      <w:r w:rsidRPr="003B2FBE">
        <w:t xml:space="preserve"> in the study resulted in local and systemic effects consistent with findings typically observed with the </w:t>
      </w:r>
      <w:r w:rsidR="00487157">
        <w:t>intramuscular</w:t>
      </w:r>
      <w:r w:rsidR="00487157" w:rsidRPr="003B2FBE">
        <w:t xml:space="preserve"> </w:t>
      </w:r>
      <w:r w:rsidRPr="003B2FBE">
        <w:t xml:space="preserve">administration of vaccines (especially aluminium-containing vaccines). </w:t>
      </w:r>
    </w:p>
    <w:p w14:paraId="2D653912" w14:textId="0D933ACB" w:rsidR="00784402" w:rsidRPr="003B2FBE" w:rsidRDefault="00784402" w:rsidP="003B2FBE">
      <w:r w:rsidRPr="003B2FBE">
        <w:t xml:space="preserve">No effects on fertility in female rabbits or on embryofetal or postnatal development in the F1 offspring were noted in the combined fertility, embryofetal and postnatal development study in NZW rabbits with RSVpreF with or without </w:t>
      </w:r>
      <w:proofErr w:type="gramStart"/>
      <w:r w:rsidRPr="003B2FBE">
        <w:t>Al(</w:t>
      </w:r>
      <w:proofErr w:type="gramEnd"/>
      <w:r w:rsidRPr="003B2FBE">
        <w:t>OH)</w:t>
      </w:r>
      <w:r w:rsidRPr="0025184B">
        <w:rPr>
          <w:vertAlign w:val="subscript"/>
        </w:rPr>
        <w:t>3</w:t>
      </w:r>
      <w:r w:rsidRPr="003B2FBE">
        <w:t xml:space="preserve">. There are no nonclinical objections to the proposed pregnancy category A provided it is supported by clinical data. </w:t>
      </w:r>
    </w:p>
    <w:p w14:paraId="27525338" w14:textId="644339FD" w:rsidR="00CE5A3B" w:rsidRPr="003B2FBE" w:rsidRDefault="00784402" w:rsidP="003B2FBE">
      <w:r w:rsidRPr="003B2FBE">
        <w:t>There are no nonclinical objections to registration</w:t>
      </w:r>
      <w:r w:rsidR="000B24D4" w:rsidRPr="003B2FBE">
        <w:t>.</w:t>
      </w:r>
    </w:p>
    <w:p w14:paraId="0B7DD7C8" w14:textId="6E67E689" w:rsidR="00CE5A3B" w:rsidRPr="003B2FBE" w:rsidRDefault="00CE5A3B" w:rsidP="003B2FBE">
      <w:r w:rsidRPr="003B2FBE">
        <w:t xml:space="preserve">Nonclinical recommendations for amendments to the </w:t>
      </w:r>
      <w:r w:rsidR="00487157">
        <w:t xml:space="preserve">Product Information </w:t>
      </w:r>
      <w:r w:rsidR="00487157" w:rsidRPr="00487157">
        <w:t>(</w:t>
      </w:r>
      <w:r w:rsidRPr="00487157">
        <w:t>PI</w:t>
      </w:r>
      <w:r w:rsidR="00487157" w:rsidRPr="00487157">
        <w:t>)</w:t>
      </w:r>
      <w:r w:rsidRPr="003B2FBE">
        <w:t xml:space="preserve"> were noted by the Delegate.</w:t>
      </w:r>
    </w:p>
    <w:p w14:paraId="35B580A5" w14:textId="69B9BE44" w:rsidR="00C22214" w:rsidRDefault="00C22214" w:rsidP="008804CF">
      <w:pPr>
        <w:pStyle w:val="Heading3"/>
      </w:pPr>
      <w:bookmarkStart w:id="47" w:name="_Toc165552527"/>
      <w:r>
        <w:lastRenderedPageBreak/>
        <w:t>Clinical</w:t>
      </w:r>
      <w:bookmarkEnd w:id="44"/>
      <w:bookmarkEnd w:id="45"/>
      <w:bookmarkEnd w:id="46"/>
      <w:bookmarkEnd w:id="47"/>
    </w:p>
    <w:p w14:paraId="21A4AA15" w14:textId="14063E75" w:rsidR="00191513" w:rsidRDefault="00C22214" w:rsidP="00F23D8F">
      <w:pPr>
        <w:pStyle w:val="Heading4"/>
      </w:pPr>
      <w:bookmarkStart w:id="48" w:name="_Toc98931928"/>
      <w:bookmarkStart w:id="49" w:name="_Toc165552528"/>
      <w:r>
        <w:t>Summary of clinical studies</w:t>
      </w:r>
      <w:bookmarkEnd w:id="48"/>
      <w:bookmarkEnd w:id="49"/>
    </w:p>
    <w:p w14:paraId="2AB1BD48" w14:textId="54AE0778" w:rsidR="00191513" w:rsidRPr="00B321D6" w:rsidRDefault="00191513" w:rsidP="00F83421">
      <w:r w:rsidRPr="00B321D6">
        <w:t>The clinical dossier co</w:t>
      </w:r>
      <w:r>
        <w:t xml:space="preserve">mprised nine studies as </w:t>
      </w:r>
      <w:r w:rsidR="003B2FBE">
        <w:t>listed in Table 3.</w:t>
      </w:r>
    </w:p>
    <w:p w14:paraId="3991E732" w14:textId="77777777" w:rsidR="00745188" w:rsidRPr="00856971" w:rsidRDefault="00745188" w:rsidP="006F28FB">
      <w:pPr>
        <w:pStyle w:val="TableTitle"/>
      </w:pPr>
      <w:r w:rsidRPr="002C1232">
        <w:t xml:space="preserve">Table </w:t>
      </w:r>
      <w:r>
        <w:t>3</w:t>
      </w:r>
      <w:r w:rsidRPr="002C1232">
        <w:t xml:space="preserve">: </w:t>
      </w:r>
      <w:r>
        <w:t>Studies submitted in support of this submission</w:t>
      </w:r>
    </w:p>
    <w:tbl>
      <w:tblPr>
        <w:tblStyle w:val="TableTGAblue2023"/>
        <w:tblW w:w="9060" w:type="dxa"/>
        <w:tblLook w:val="04A0" w:firstRow="1" w:lastRow="0" w:firstColumn="1" w:lastColumn="0" w:noHBand="0" w:noVBand="1"/>
      </w:tblPr>
      <w:tblGrid>
        <w:gridCol w:w="2830"/>
        <w:gridCol w:w="1985"/>
        <w:gridCol w:w="4245"/>
      </w:tblGrid>
      <w:tr w:rsidR="00745188" w:rsidRPr="00D01DDB" w14:paraId="36AC3C4D" w14:textId="77777777" w:rsidTr="00463A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3"/>
          </w:tcPr>
          <w:p w14:paraId="2D5F28C8" w14:textId="77777777" w:rsidR="00745188" w:rsidRPr="00E83613" w:rsidRDefault="00745188" w:rsidP="00463A3D">
            <w:pPr>
              <w:rPr>
                <w:sz w:val="20"/>
                <w:szCs w:val="20"/>
              </w:rPr>
            </w:pPr>
            <w:bookmarkStart w:id="50" w:name="_Hlk162356975"/>
            <w:r w:rsidRPr="00E83613">
              <w:rPr>
                <w:sz w:val="20"/>
                <w:szCs w:val="20"/>
              </w:rPr>
              <w:t>Maternal indication</w:t>
            </w:r>
          </w:p>
        </w:tc>
      </w:tr>
      <w:bookmarkEnd w:id="50"/>
      <w:tr w:rsidR="00745188" w:rsidRPr="00D01DDB" w14:paraId="23A03FAE" w14:textId="77777777" w:rsidTr="00463A3D">
        <w:tc>
          <w:tcPr>
            <w:cnfStyle w:val="001000000000" w:firstRow="0" w:lastRow="0" w:firstColumn="1" w:lastColumn="0" w:oddVBand="0" w:evenVBand="0" w:oddHBand="0" w:evenHBand="0" w:firstRowFirstColumn="0" w:firstRowLastColumn="0" w:lastRowFirstColumn="0" w:lastRowLastColumn="0"/>
            <w:tcW w:w="2830" w:type="dxa"/>
          </w:tcPr>
          <w:p w14:paraId="08921FEE" w14:textId="77777777" w:rsidR="00745188" w:rsidRPr="00E83613" w:rsidRDefault="00745188" w:rsidP="00463A3D">
            <w:pPr>
              <w:rPr>
                <w:sz w:val="20"/>
                <w:szCs w:val="20"/>
              </w:rPr>
            </w:pPr>
            <w:r w:rsidRPr="00E83613">
              <w:rPr>
                <w:sz w:val="20"/>
                <w:szCs w:val="20"/>
              </w:rPr>
              <w:t>C3671008</w:t>
            </w:r>
          </w:p>
        </w:tc>
        <w:tc>
          <w:tcPr>
            <w:tcW w:w="1985" w:type="dxa"/>
          </w:tcPr>
          <w:p w14:paraId="68DFABA6" w14:textId="77777777" w:rsidR="00745188" w:rsidRPr="00E83613" w:rsidRDefault="00745188" w:rsidP="00463A3D">
            <w:pPr>
              <w:cnfStyle w:val="000000000000" w:firstRow="0" w:lastRow="0" w:firstColumn="0" w:lastColumn="0" w:oddVBand="0" w:evenVBand="0" w:oddHBand="0" w:evenHBand="0" w:firstRowFirstColumn="0" w:firstRowLastColumn="0" w:lastRowFirstColumn="0" w:lastRowLastColumn="0"/>
              <w:rPr>
                <w:sz w:val="20"/>
                <w:szCs w:val="20"/>
              </w:rPr>
            </w:pPr>
            <w:r w:rsidRPr="00E83613">
              <w:rPr>
                <w:sz w:val="20"/>
                <w:szCs w:val="20"/>
              </w:rPr>
              <w:t>Pivotal efficacy</w:t>
            </w:r>
          </w:p>
        </w:tc>
        <w:tc>
          <w:tcPr>
            <w:tcW w:w="4245" w:type="dxa"/>
          </w:tcPr>
          <w:p w14:paraId="67C8F65D" w14:textId="77777777" w:rsidR="00745188" w:rsidRPr="00E83613" w:rsidRDefault="00745188" w:rsidP="00463A3D">
            <w:pPr>
              <w:cnfStyle w:val="000000000000" w:firstRow="0" w:lastRow="0" w:firstColumn="0" w:lastColumn="0" w:oddVBand="0" w:evenVBand="0" w:oddHBand="0" w:evenHBand="0" w:firstRowFirstColumn="0" w:firstRowLastColumn="0" w:lastRowFirstColumn="0" w:lastRowLastColumn="0"/>
              <w:rPr>
                <w:sz w:val="20"/>
                <w:szCs w:val="20"/>
              </w:rPr>
            </w:pPr>
            <w:r w:rsidRPr="00E83613">
              <w:rPr>
                <w:sz w:val="20"/>
                <w:szCs w:val="20"/>
              </w:rPr>
              <w:t>Phase 3 Vaccine Efficacy; final formulation</w:t>
            </w:r>
          </w:p>
        </w:tc>
      </w:tr>
      <w:tr w:rsidR="00745188" w:rsidRPr="00643675" w14:paraId="39B415C6" w14:textId="77777777" w:rsidTr="00463A3D">
        <w:tc>
          <w:tcPr>
            <w:cnfStyle w:val="001000000000" w:firstRow="0" w:lastRow="0" w:firstColumn="1" w:lastColumn="0" w:oddVBand="0" w:evenVBand="0" w:oddHBand="0" w:evenHBand="0" w:firstRowFirstColumn="0" w:firstRowLastColumn="0" w:lastRowFirstColumn="0" w:lastRowLastColumn="0"/>
            <w:tcW w:w="2830" w:type="dxa"/>
          </w:tcPr>
          <w:p w14:paraId="55B7AD48" w14:textId="77777777" w:rsidR="00745188" w:rsidRPr="00E83613" w:rsidRDefault="00745188" w:rsidP="00463A3D">
            <w:pPr>
              <w:rPr>
                <w:sz w:val="20"/>
                <w:szCs w:val="20"/>
                <w:highlight w:val="yellow"/>
              </w:rPr>
            </w:pPr>
            <w:r w:rsidRPr="00E83613">
              <w:rPr>
                <w:sz w:val="20"/>
                <w:szCs w:val="20"/>
              </w:rPr>
              <w:t>C3671003</w:t>
            </w:r>
          </w:p>
        </w:tc>
        <w:tc>
          <w:tcPr>
            <w:tcW w:w="1985" w:type="dxa"/>
          </w:tcPr>
          <w:p w14:paraId="027F9068" w14:textId="77777777" w:rsidR="00745188" w:rsidRPr="00E83613" w:rsidRDefault="00745188" w:rsidP="00463A3D">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E83613">
              <w:rPr>
                <w:sz w:val="20"/>
                <w:szCs w:val="20"/>
              </w:rPr>
              <w:t>Supportive</w:t>
            </w:r>
          </w:p>
        </w:tc>
        <w:tc>
          <w:tcPr>
            <w:tcW w:w="4245" w:type="dxa"/>
          </w:tcPr>
          <w:p w14:paraId="72D392CF" w14:textId="77777777" w:rsidR="00745188" w:rsidRPr="00E83613" w:rsidRDefault="00745188" w:rsidP="00463A3D">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E83613">
              <w:rPr>
                <w:sz w:val="20"/>
                <w:szCs w:val="20"/>
              </w:rPr>
              <w:t>Phase 2 efficacy; multiple formulations</w:t>
            </w:r>
          </w:p>
        </w:tc>
      </w:tr>
      <w:tr w:rsidR="00745188" w:rsidRPr="00643675" w14:paraId="3543309F" w14:textId="77777777" w:rsidTr="00463A3D">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DEEAF6" w:themeFill="accent5" w:themeFillTint="33"/>
          </w:tcPr>
          <w:p w14:paraId="4CB4202D" w14:textId="77777777" w:rsidR="00745188" w:rsidRPr="00E83613" w:rsidRDefault="00745188" w:rsidP="00463A3D">
            <w:pPr>
              <w:rPr>
                <w:sz w:val="20"/>
                <w:szCs w:val="20"/>
                <w:highlight w:val="yellow"/>
              </w:rPr>
            </w:pPr>
            <w:r w:rsidRPr="00E83613">
              <w:rPr>
                <w:rFonts w:cstheme="minorHAnsi"/>
                <w:b/>
                <w:bCs/>
                <w:color w:val="263287"/>
                <w:sz w:val="20"/>
                <w:szCs w:val="20"/>
              </w:rPr>
              <w:t>Aged ≥</w:t>
            </w:r>
            <w:r w:rsidRPr="00E83613">
              <w:rPr>
                <w:b/>
                <w:bCs/>
                <w:color w:val="263287"/>
                <w:sz w:val="20"/>
                <w:szCs w:val="20"/>
              </w:rPr>
              <w:t>60 years indication</w:t>
            </w:r>
          </w:p>
        </w:tc>
      </w:tr>
      <w:tr w:rsidR="00745188" w:rsidRPr="00643675" w14:paraId="285B859E" w14:textId="77777777" w:rsidTr="00463A3D">
        <w:tc>
          <w:tcPr>
            <w:cnfStyle w:val="001000000000" w:firstRow="0" w:lastRow="0" w:firstColumn="1" w:lastColumn="0" w:oddVBand="0" w:evenVBand="0" w:oddHBand="0" w:evenHBand="0" w:firstRowFirstColumn="0" w:firstRowLastColumn="0" w:lastRowFirstColumn="0" w:lastRowLastColumn="0"/>
            <w:tcW w:w="2830" w:type="dxa"/>
          </w:tcPr>
          <w:p w14:paraId="6DAD082B" w14:textId="77777777" w:rsidR="00745188" w:rsidRPr="00E83613" w:rsidRDefault="00745188" w:rsidP="00463A3D">
            <w:pPr>
              <w:rPr>
                <w:sz w:val="20"/>
                <w:szCs w:val="20"/>
                <w:highlight w:val="yellow"/>
              </w:rPr>
            </w:pPr>
            <w:r w:rsidRPr="00E83613">
              <w:rPr>
                <w:sz w:val="20"/>
                <w:szCs w:val="20"/>
              </w:rPr>
              <w:t>C3671013</w:t>
            </w:r>
          </w:p>
        </w:tc>
        <w:tc>
          <w:tcPr>
            <w:tcW w:w="1985" w:type="dxa"/>
          </w:tcPr>
          <w:p w14:paraId="221F539B" w14:textId="77777777" w:rsidR="00745188" w:rsidRPr="00E83613" w:rsidRDefault="00745188" w:rsidP="00463A3D">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E83613">
              <w:rPr>
                <w:sz w:val="20"/>
                <w:szCs w:val="20"/>
              </w:rPr>
              <w:t>Pivotal efficacy</w:t>
            </w:r>
          </w:p>
        </w:tc>
        <w:tc>
          <w:tcPr>
            <w:tcW w:w="4245" w:type="dxa"/>
          </w:tcPr>
          <w:p w14:paraId="26D7300F" w14:textId="77777777" w:rsidR="00745188" w:rsidRPr="00E83613" w:rsidRDefault="00745188" w:rsidP="00463A3D">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E83613">
              <w:rPr>
                <w:sz w:val="20"/>
                <w:szCs w:val="20"/>
              </w:rPr>
              <w:t>Phase 3 Vaccine Efficacy; final formulation</w:t>
            </w:r>
          </w:p>
        </w:tc>
      </w:tr>
      <w:tr w:rsidR="00745188" w:rsidRPr="00D01DDB" w14:paraId="60C2F108" w14:textId="77777777" w:rsidTr="00463A3D">
        <w:tc>
          <w:tcPr>
            <w:cnfStyle w:val="001000000000" w:firstRow="0" w:lastRow="0" w:firstColumn="1" w:lastColumn="0" w:oddVBand="0" w:evenVBand="0" w:oddHBand="0" w:evenHBand="0" w:firstRowFirstColumn="0" w:firstRowLastColumn="0" w:lastRowFirstColumn="0" w:lastRowLastColumn="0"/>
            <w:tcW w:w="2830" w:type="dxa"/>
          </w:tcPr>
          <w:p w14:paraId="5A21D3E4" w14:textId="77777777" w:rsidR="00745188" w:rsidRPr="00E83613" w:rsidRDefault="00745188" w:rsidP="00463A3D">
            <w:pPr>
              <w:rPr>
                <w:sz w:val="20"/>
                <w:szCs w:val="20"/>
              </w:rPr>
            </w:pPr>
            <w:r w:rsidRPr="00E83613">
              <w:rPr>
                <w:sz w:val="20"/>
                <w:szCs w:val="20"/>
              </w:rPr>
              <w:t>W1257521</w:t>
            </w:r>
          </w:p>
        </w:tc>
        <w:tc>
          <w:tcPr>
            <w:tcW w:w="1985" w:type="dxa"/>
          </w:tcPr>
          <w:p w14:paraId="5ECAB555" w14:textId="77777777" w:rsidR="00745188" w:rsidRPr="00E83613" w:rsidRDefault="00745188" w:rsidP="00463A3D">
            <w:pPr>
              <w:cnfStyle w:val="000000000000" w:firstRow="0" w:lastRow="0" w:firstColumn="0" w:lastColumn="0" w:oddVBand="0" w:evenVBand="0" w:oddHBand="0" w:evenHBand="0" w:firstRowFirstColumn="0" w:firstRowLastColumn="0" w:lastRowFirstColumn="0" w:lastRowLastColumn="0"/>
              <w:rPr>
                <w:sz w:val="20"/>
                <w:szCs w:val="20"/>
              </w:rPr>
            </w:pPr>
            <w:r w:rsidRPr="00E83613">
              <w:rPr>
                <w:sz w:val="20"/>
                <w:szCs w:val="20"/>
              </w:rPr>
              <w:t>Supportive</w:t>
            </w:r>
          </w:p>
        </w:tc>
        <w:tc>
          <w:tcPr>
            <w:tcW w:w="4245" w:type="dxa"/>
          </w:tcPr>
          <w:p w14:paraId="219B601D" w14:textId="77777777" w:rsidR="00745188" w:rsidRPr="00E83613" w:rsidRDefault="00745188" w:rsidP="00463A3D">
            <w:pPr>
              <w:cnfStyle w:val="000000000000" w:firstRow="0" w:lastRow="0" w:firstColumn="0" w:lastColumn="0" w:oddVBand="0" w:evenVBand="0" w:oddHBand="0" w:evenHBand="0" w:firstRowFirstColumn="0" w:firstRowLastColumn="0" w:lastRowFirstColumn="0" w:lastRowLastColumn="0"/>
              <w:rPr>
                <w:sz w:val="20"/>
                <w:szCs w:val="20"/>
              </w:rPr>
            </w:pPr>
            <w:r w:rsidRPr="00E83613">
              <w:rPr>
                <w:sz w:val="20"/>
                <w:szCs w:val="20"/>
              </w:rPr>
              <w:t>Virus challenge study in humans</w:t>
            </w:r>
          </w:p>
        </w:tc>
      </w:tr>
      <w:tr w:rsidR="00745188" w:rsidRPr="00D01DDB" w14:paraId="38C8C8E8" w14:textId="77777777" w:rsidTr="00463A3D">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DEEAF6" w:themeFill="accent5" w:themeFillTint="33"/>
          </w:tcPr>
          <w:p w14:paraId="31A59819" w14:textId="77777777" w:rsidR="00745188" w:rsidRPr="00E83613" w:rsidRDefault="00745188" w:rsidP="00463A3D">
            <w:pPr>
              <w:rPr>
                <w:sz w:val="20"/>
                <w:szCs w:val="20"/>
                <w:highlight w:val="yellow"/>
              </w:rPr>
            </w:pPr>
            <w:r w:rsidRPr="00E83613">
              <w:rPr>
                <w:b/>
                <w:bCs/>
                <w:color w:val="263287"/>
                <w:sz w:val="20"/>
                <w:szCs w:val="20"/>
              </w:rPr>
              <w:t>Studies contributing to both indications</w:t>
            </w:r>
          </w:p>
        </w:tc>
      </w:tr>
      <w:tr w:rsidR="00745188" w:rsidRPr="00D01DDB" w14:paraId="369BCEE3" w14:textId="77777777" w:rsidTr="00463A3D">
        <w:tc>
          <w:tcPr>
            <w:cnfStyle w:val="001000000000" w:firstRow="0" w:lastRow="0" w:firstColumn="1" w:lastColumn="0" w:oddVBand="0" w:evenVBand="0" w:oddHBand="0" w:evenHBand="0" w:firstRowFirstColumn="0" w:firstRowLastColumn="0" w:lastRowFirstColumn="0" w:lastRowLastColumn="0"/>
            <w:tcW w:w="2830" w:type="dxa"/>
          </w:tcPr>
          <w:p w14:paraId="09D02D3F" w14:textId="77777777" w:rsidR="00745188" w:rsidRPr="00E83613" w:rsidRDefault="00745188" w:rsidP="00463A3D">
            <w:pPr>
              <w:rPr>
                <w:sz w:val="20"/>
                <w:szCs w:val="20"/>
              </w:rPr>
            </w:pPr>
            <w:r w:rsidRPr="00E83613">
              <w:rPr>
                <w:sz w:val="20"/>
                <w:szCs w:val="20"/>
              </w:rPr>
              <w:t>C3671001</w:t>
            </w:r>
          </w:p>
        </w:tc>
        <w:tc>
          <w:tcPr>
            <w:tcW w:w="1985" w:type="dxa"/>
          </w:tcPr>
          <w:p w14:paraId="12648FDF" w14:textId="77777777" w:rsidR="00745188" w:rsidRPr="00E83613" w:rsidRDefault="00745188" w:rsidP="00463A3D">
            <w:pPr>
              <w:cnfStyle w:val="000000000000" w:firstRow="0" w:lastRow="0" w:firstColumn="0" w:lastColumn="0" w:oddVBand="0" w:evenVBand="0" w:oddHBand="0" w:evenHBand="0" w:firstRowFirstColumn="0" w:firstRowLastColumn="0" w:lastRowFirstColumn="0" w:lastRowLastColumn="0"/>
              <w:rPr>
                <w:sz w:val="20"/>
                <w:szCs w:val="20"/>
              </w:rPr>
            </w:pPr>
            <w:r w:rsidRPr="00E83613">
              <w:rPr>
                <w:sz w:val="20"/>
                <w:szCs w:val="20"/>
              </w:rPr>
              <w:t>immunogenicity</w:t>
            </w:r>
          </w:p>
        </w:tc>
        <w:tc>
          <w:tcPr>
            <w:tcW w:w="4245" w:type="dxa"/>
          </w:tcPr>
          <w:p w14:paraId="36F02A84" w14:textId="77777777" w:rsidR="00745188" w:rsidRPr="00E83613" w:rsidRDefault="00745188" w:rsidP="00463A3D">
            <w:pPr>
              <w:cnfStyle w:val="000000000000" w:firstRow="0" w:lastRow="0" w:firstColumn="0" w:lastColumn="0" w:oddVBand="0" w:evenVBand="0" w:oddHBand="0" w:evenHBand="0" w:firstRowFirstColumn="0" w:firstRowLastColumn="0" w:lastRowFirstColumn="0" w:lastRowLastColumn="0"/>
              <w:rPr>
                <w:sz w:val="20"/>
                <w:szCs w:val="20"/>
              </w:rPr>
            </w:pPr>
            <w:r w:rsidRPr="00E83613">
              <w:rPr>
                <w:sz w:val="20"/>
                <w:szCs w:val="20"/>
              </w:rPr>
              <w:t>Phase 1-2 dose finding; multiple formulations</w:t>
            </w:r>
          </w:p>
        </w:tc>
      </w:tr>
      <w:tr w:rsidR="00745188" w14:paraId="1BD53C7B" w14:textId="77777777" w:rsidTr="00463A3D">
        <w:tc>
          <w:tcPr>
            <w:cnfStyle w:val="001000000000" w:firstRow="0" w:lastRow="0" w:firstColumn="1" w:lastColumn="0" w:oddVBand="0" w:evenVBand="0" w:oddHBand="0" w:evenHBand="0" w:firstRowFirstColumn="0" w:firstRowLastColumn="0" w:lastRowFirstColumn="0" w:lastRowLastColumn="0"/>
            <w:tcW w:w="2830" w:type="dxa"/>
          </w:tcPr>
          <w:p w14:paraId="125CB881" w14:textId="77777777" w:rsidR="00745188" w:rsidRPr="00E83613" w:rsidRDefault="00745188" w:rsidP="00463A3D">
            <w:pPr>
              <w:rPr>
                <w:sz w:val="20"/>
                <w:szCs w:val="20"/>
              </w:rPr>
            </w:pPr>
            <w:r w:rsidRPr="00E83613">
              <w:rPr>
                <w:sz w:val="20"/>
                <w:szCs w:val="20"/>
              </w:rPr>
              <w:t>C3671002</w:t>
            </w:r>
          </w:p>
        </w:tc>
        <w:tc>
          <w:tcPr>
            <w:tcW w:w="1985" w:type="dxa"/>
          </w:tcPr>
          <w:p w14:paraId="0A1EDEC5" w14:textId="77777777" w:rsidR="00745188" w:rsidRPr="00E83613" w:rsidRDefault="00745188" w:rsidP="00463A3D">
            <w:pPr>
              <w:cnfStyle w:val="000000000000" w:firstRow="0" w:lastRow="0" w:firstColumn="0" w:lastColumn="0" w:oddVBand="0" w:evenVBand="0" w:oddHBand="0" w:evenHBand="0" w:firstRowFirstColumn="0" w:firstRowLastColumn="0" w:lastRowFirstColumn="0" w:lastRowLastColumn="0"/>
              <w:rPr>
                <w:sz w:val="20"/>
                <w:szCs w:val="20"/>
              </w:rPr>
            </w:pPr>
            <w:r w:rsidRPr="00E83613">
              <w:rPr>
                <w:sz w:val="20"/>
                <w:szCs w:val="20"/>
              </w:rPr>
              <w:t>immunogenicity</w:t>
            </w:r>
          </w:p>
        </w:tc>
        <w:tc>
          <w:tcPr>
            <w:tcW w:w="4245" w:type="dxa"/>
          </w:tcPr>
          <w:p w14:paraId="5D54DDFE" w14:textId="77777777" w:rsidR="00745188" w:rsidRPr="00E83613" w:rsidRDefault="00745188" w:rsidP="00463A3D">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E83613">
              <w:rPr>
                <w:sz w:val="20"/>
                <w:szCs w:val="20"/>
              </w:rPr>
              <w:t>Phase 1-2 dose finding; multiple formulations</w:t>
            </w:r>
          </w:p>
        </w:tc>
      </w:tr>
      <w:tr w:rsidR="00745188" w14:paraId="079CDD80" w14:textId="77777777" w:rsidTr="00463A3D">
        <w:tc>
          <w:tcPr>
            <w:cnfStyle w:val="001000000000" w:firstRow="0" w:lastRow="0" w:firstColumn="1" w:lastColumn="0" w:oddVBand="0" w:evenVBand="0" w:oddHBand="0" w:evenHBand="0" w:firstRowFirstColumn="0" w:firstRowLastColumn="0" w:lastRowFirstColumn="0" w:lastRowLastColumn="0"/>
            <w:tcW w:w="2830" w:type="dxa"/>
          </w:tcPr>
          <w:p w14:paraId="5E7E010A" w14:textId="77777777" w:rsidR="00745188" w:rsidRPr="00E83613" w:rsidRDefault="00745188" w:rsidP="00463A3D">
            <w:pPr>
              <w:rPr>
                <w:sz w:val="20"/>
                <w:szCs w:val="20"/>
                <w:highlight w:val="yellow"/>
              </w:rPr>
            </w:pPr>
            <w:r w:rsidRPr="00E83613">
              <w:rPr>
                <w:sz w:val="20"/>
                <w:szCs w:val="20"/>
              </w:rPr>
              <w:t>C3671004</w:t>
            </w:r>
          </w:p>
        </w:tc>
        <w:tc>
          <w:tcPr>
            <w:tcW w:w="1985" w:type="dxa"/>
          </w:tcPr>
          <w:p w14:paraId="22FACBFA" w14:textId="3F2A5AA4" w:rsidR="00745188" w:rsidRPr="00E83613" w:rsidRDefault="00CF1C64" w:rsidP="00463A3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Tdap</w:t>
            </w:r>
            <w:r w:rsidR="00745188" w:rsidRPr="00E83613">
              <w:rPr>
                <w:sz w:val="20"/>
                <w:szCs w:val="20"/>
              </w:rPr>
              <w:t xml:space="preserve"> interaction </w:t>
            </w:r>
          </w:p>
        </w:tc>
        <w:tc>
          <w:tcPr>
            <w:tcW w:w="4245" w:type="dxa"/>
          </w:tcPr>
          <w:p w14:paraId="0A700C84" w14:textId="77777777" w:rsidR="00745188" w:rsidRPr="00E83613" w:rsidRDefault="00745188" w:rsidP="00463A3D">
            <w:pPr>
              <w:cnfStyle w:val="000000000000" w:firstRow="0" w:lastRow="0" w:firstColumn="0" w:lastColumn="0" w:oddVBand="0" w:evenVBand="0" w:oddHBand="0" w:evenHBand="0" w:firstRowFirstColumn="0" w:firstRowLastColumn="0" w:lastRowFirstColumn="0" w:lastRowLastColumn="0"/>
              <w:rPr>
                <w:sz w:val="20"/>
                <w:szCs w:val="20"/>
              </w:rPr>
            </w:pPr>
            <w:r w:rsidRPr="00E83613">
              <w:rPr>
                <w:sz w:val="20"/>
                <w:szCs w:val="20"/>
              </w:rPr>
              <w:t>Phase 2-3 formulations in non-pregnant females</w:t>
            </w:r>
          </w:p>
        </w:tc>
      </w:tr>
      <w:tr w:rsidR="00745188" w:rsidRPr="00D01DDB" w14:paraId="7FB19663" w14:textId="77777777" w:rsidTr="00463A3D">
        <w:tc>
          <w:tcPr>
            <w:cnfStyle w:val="001000000000" w:firstRow="0" w:lastRow="0" w:firstColumn="1" w:lastColumn="0" w:oddVBand="0" w:evenVBand="0" w:oddHBand="0" w:evenHBand="0" w:firstRowFirstColumn="0" w:firstRowLastColumn="0" w:lastRowFirstColumn="0" w:lastRowLastColumn="0"/>
            <w:tcW w:w="2830" w:type="dxa"/>
          </w:tcPr>
          <w:p w14:paraId="27EA3E29" w14:textId="77777777" w:rsidR="00745188" w:rsidRPr="00E83613" w:rsidRDefault="00745188" w:rsidP="00463A3D">
            <w:pPr>
              <w:rPr>
                <w:sz w:val="20"/>
                <w:szCs w:val="20"/>
              </w:rPr>
            </w:pPr>
            <w:r w:rsidRPr="00E83613">
              <w:rPr>
                <w:sz w:val="20"/>
                <w:szCs w:val="20"/>
              </w:rPr>
              <w:t>C3671006</w:t>
            </w:r>
          </w:p>
        </w:tc>
        <w:tc>
          <w:tcPr>
            <w:tcW w:w="1985" w:type="dxa"/>
          </w:tcPr>
          <w:p w14:paraId="605F6962" w14:textId="77777777" w:rsidR="00745188" w:rsidRPr="00E83613" w:rsidRDefault="00745188" w:rsidP="00463A3D">
            <w:pPr>
              <w:cnfStyle w:val="000000000000" w:firstRow="0" w:lastRow="0" w:firstColumn="0" w:lastColumn="0" w:oddVBand="0" w:evenVBand="0" w:oddHBand="0" w:evenHBand="0" w:firstRowFirstColumn="0" w:firstRowLastColumn="0" w:lastRowFirstColumn="0" w:lastRowLastColumn="0"/>
              <w:rPr>
                <w:sz w:val="20"/>
                <w:szCs w:val="20"/>
              </w:rPr>
            </w:pPr>
            <w:r w:rsidRPr="00E83613">
              <w:rPr>
                <w:sz w:val="20"/>
                <w:szCs w:val="20"/>
              </w:rPr>
              <w:t xml:space="preserve">SIIV interaction </w:t>
            </w:r>
          </w:p>
        </w:tc>
        <w:tc>
          <w:tcPr>
            <w:tcW w:w="4245" w:type="dxa"/>
          </w:tcPr>
          <w:p w14:paraId="475AC12C" w14:textId="77777777" w:rsidR="00745188" w:rsidRPr="00E83613" w:rsidRDefault="00745188" w:rsidP="00463A3D">
            <w:pPr>
              <w:cnfStyle w:val="000000000000" w:firstRow="0" w:lastRow="0" w:firstColumn="0" w:lastColumn="0" w:oddVBand="0" w:evenVBand="0" w:oddHBand="0" w:evenHBand="0" w:firstRowFirstColumn="0" w:firstRowLastColumn="0" w:lastRowFirstColumn="0" w:lastRowLastColumn="0"/>
              <w:rPr>
                <w:sz w:val="20"/>
                <w:szCs w:val="20"/>
              </w:rPr>
            </w:pPr>
            <w:r w:rsidRPr="00E83613">
              <w:rPr>
                <w:sz w:val="20"/>
                <w:szCs w:val="20"/>
              </w:rPr>
              <w:t>Phase 3 formulation</w:t>
            </w:r>
          </w:p>
        </w:tc>
      </w:tr>
      <w:tr w:rsidR="00745188" w:rsidRPr="00D01DDB" w14:paraId="685C301E" w14:textId="77777777" w:rsidTr="00463A3D">
        <w:tc>
          <w:tcPr>
            <w:cnfStyle w:val="001000000000" w:firstRow="0" w:lastRow="0" w:firstColumn="1" w:lastColumn="0" w:oddVBand="0" w:evenVBand="0" w:oddHBand="0" w:evenHBand="0" w:firstRowFirstColumn="0" w:firstRowLastColumn="0" w:lastRowFirstColumn="0" w:lastRowLastColumn="0"/>
            <w:tcW w:w="2830" w:type="dxa"/>
          </w:tcPr>
          <w:p w14:paraId="5AE35943" w14:textId="77777777" w:rsidR="00745188" w:rsidRPr="00E83613" w:rsidRDefault="00745188" w:rsidP="00463A3D">
            <w:pPr>
              <w:rPr>
                <w:sz w:val="20"/>
                <w:szCs w:val="20"/>
              </w:rPr>
            </w:pPr>
            <w:r w:rsidRPr="00E83613">
              <w:rPr>
                <w:sz w:val="20"/>
                <w:szCs w:val="20"/>
              </w:rPr>
              <w:t>C3671014</w:t>
            </w:r>
          </w:p>
        </w:tc>
        <w:tc>
          <w:tcPr>
            <w:tcW w:w="1985" w:type="dxa"/>
          </w:tcPr>
          <w:p w14:paraId="5EE43E92" w14:textId="77777777" w:rsidR="00745188" w:rsidRPr="00E83613" w:rsidRDefault="00745188" w:rsidP="00463A3D">
            <w:pPr>
              <w:cnfStyle w:val="000000000000" w:firstRow="0" w:lastRow="0" w:firstColumn="0" w:lastColumn="0" w:oddVBand="0" w:evenVBand="0" w:oddHBand="0" w:evenHBand="0" w:firstRowFirstColumn="0" w:firstRowLastColumn="0" w:lastRowFirstColumn="0" w:lastRowLastColumn="0"/>
              <w:rPr>
                <w:sz w:val="20"/>
                <w:szCs w:val="20"/>
              </w:rPr>
            </w:pPr>
            <w:r w:rsidRPr="00E83613">
              <w:rPr>
                <w:sz w:val="20"/>
                <w:szCs w:val="20"/>
              </w:rPr>
              <w:t>immunogenicity</w:t>
            </w:r>
          </w:p>
        </w:tc>
        <w:tc>
          <w:tcPr>
            <w:tcW w:w="4245" w:type="dxa"/>
          </w:tcPr>
          <w:p w14:paraId="75416212" w14:textId="77777777" w:rsidR="00745188" w:rsidRPr="00E83613" w:rsidRDefault="00745188" w:rsidP="00463A3D">
            <w:pPr>
              <w:cnfStyle w:val="000000000000" w:firstRow="0" w:lastRow="0" w:firstColumn="0" w:lastColumn="0" w:oddVBand="0" w:evenVBand="0" w:oddHBand="0" w:evenHBand="0" w:firstRowFirstColumn="0" w:firstRowLastColumn="0" w:lastRowFirstColumn="0" w:lastRowLastColumn="0"/>
              <w:rPr>
                <w:sz w:val="20"/>
                <w:szCs w:val="20"/>
              </w:rPr>
            </w:pPr>
            <w:r w:rsidRPr="00E83613">
              <w:rPr>
                <w:sz w:val="20"/>
                <w:szCs w:val="20"/>
              </w:rPr>
              <w:t xml:space="preserve">Phase 3 manufacturing </w:t>
            </w:r>
            <w:proofErr w:type="gramStart"/>
            <w:r w:rsidRPr="00E83613">
              <w:rPr>
                <w:sz w:val="20"/>
                <w:szCs w:val="20"/>
              </w:rPr>
              <w:t>Lots</w:t>
            </w:r>
            <w:proofErr w:type="gramEnd"/>
            <w:r w:rsidRPr="00E83613">
              <w:rPr>
                <w:sz w:val="20"/>
                <w:szCs w:val="20"/>
              </w:rPr>
              <w:t xml:space="preserve"> consistency study</w:t>
            </w:r>
          </w:p>
        </w:tc>
      </w:tr>
    </w:tbl>
    <w:p w14:paraId="7F5A04C7" w14:textId="77777777" w:rsidR="006F28FB" w:rsidRDefault="006F28FB" w:rsidP="006F28FB"/>
    <w:p w14:paraId="1BF25E76" w14:textId="756A054B" w:rsidR="00191513" w:rsidRPr="00E83613" w:rsidRDefault="00191513" w:rsidP="006F28FB">
      <w:r w:rsidRPr="00E83613">
        <w:t xml:space="preserve">These are briefly discussed below. </w:t>
      </w:r>
    </w:p>
    <w:p w14:paraId="3C1E9588" w14:textId="48FB0846" w:rsidR="00191513" w:rsidRPr="00BB6015" w:rsidRDefault="00191513" w:rsidP="00BB6015">
      <w:pPr>
        <w:pStyle w:val="Heading5"/>
      </w:pPr>
      <w:r w:rsidRPr="00BB6015">
        <w:t xml:space="preserve">Dose </w:t>
      </w:r>
      <w:r w:rsidR="003D2B66">
        <w:t>s</w:t>
      </w:r>
      <w:r w:rsidRPr="00BB6015">
        <w:t>election</w:t>
      </w:r>
    </w:p>
    <w:p w14:paraId="7C5B52E0" w14:textId="77777777" w:rsidR="00191513" w:rsidRPr="00BB6015" w:rsidRDefault="00191513" w:rsidP="00BB6015">
      <w:pPr>
        <w:pStyle w:val="Heading6"/>
      </w:pPr>
      <w:r w:rsidRPr="00BB6015">
        <w:t>Study C3671001</w:t>
      </w:r>
    </w:p>
    <w:p w14:paraId="56875EB9" w14:textId="567A5B96" w:rsidR="00191513" w:rsidRPr="00E83613" w:rsidRDefault="00191513" w:rsidP="00E83613">
      <w:r w:rsidRPr="00E83613">
        <w:t xml:space="preserve">This was a placebo-controlled </w:t>
      </w:r>
      <w:r w:rsidR="00BB6015" w:rsidRPr="00E83613">
        <w:t>P</w:t>
      </w:r>
      <w:r w:rsidRPr="00E83613">
        <w:t xml:space="preserve">hase </w:t>
      </w:r>
      <w:r w:rsidR="00BB6015" w:rsidRPr="00E83613">
        <w:t>I-II</w:t>
      </w:r>
      <w:r w:rsidRPr="00E83613">
        <w:t xml:space="preserve"> study in young adults and elderly participants (</w:t>
      </w:r>
      <w:r w:rsidR="00BB6015" w:rsidRPr="00E83613">
        <w:t xml:space="preserve">n </w:t>
      </w:r>
      <w:r w:rsidRPr="00E83613">
        <w:t>=</w:t>
      </w:r>
      <w:r w:rsidR="00BB6015" w:rsidRPr="00E83613">
        <w:t xml:space="preserve"> </w:t>
      </w:r>
      <w:r w:rsidRPr="00E83613">
        <w:t>1</w:t>
      </w:r>
      <w:r w:rsidR="00BB6015" w:rsidRPr="00E83613">
        <w:t>,</w:t>
      </w:r>
      <w:r w:rsidRPr="00E83613">
        <w:t>235 including 168 in the sentinel cohort and 1</w:t>
      </w:r>
      <w:r w:rsidR="00BB6015" w:rsidRPr="00E83613">
        <w:t>,</w:t>
      </w:r>
      <w:r w:rsidRPr="00E83613">
        <w:t xml:space="preserve">067 in the expanded cohort) which investigated three dose levels of RSVpreF (60, 120 and 240 µg) with and without aluminium </w:t>
      </w:r>
      <w:proofErr w:type="gramStart"/>
      <w:r w:rsidRPr="00E83613">
        <w:t>Al(</w:t>
      </w:r>
      <w:proofErr w:type="gramEnd"/>
      <w:r w:rsidRPr="00E83613">
        <w:t>OH)</w:t>
      </w:r>
      <w:r w:rsidR="0025184B" w:rsidRPr="00956650">
        <w:rPr>
          <w:vertAlign w:val="subscript"/>
        </w:rPr>
        <w:t>3</w:t>
      </w:r>
      <w:r w:rsidRPr="00E83613">
        <w:t xml:space="preserve"> adjuvant. The </w:t>
      </w:r>
      <w:r w:rsidR="0073712C" w:rsidRPr="00E83613">
        <w:t>princip</w:t>
      </w:r>
      <w:r w:rsidR="008960EB">
        <w:t xml:space="preserve">al </w:t>
      </w:r>
      <w:r w:rsidRPr="00E83613">
        <w:t>immunogenicity asse</w:t>
      </w:r>
      <w:r w:rsidRPr="00956650">
        <w:t xml:space="preserve">ssment was at </w:t>
      </w:r>
      <w:proofErr w:type="gramStart"/>
      <w:r w:rsidR="0025184B" w:rsidRPr="00956650">
        <w:t xml:space="preserve">one </w:t>
      </w:r>
      <w:r w:rsidRPr="00956650">
        <w:t>month</w:t>
      </w:r>
      <w:proofErr w:type="gramEnd"/>
      <w:r w:rsidRPr="00956650">
        <w:t xml:space="preserve"> post</w:t>
      </w:r>
      <w:r w:rsidR="00C679AC" w:rsidRPr="00956650">
        <w:t>-</w:t>
      </w:r>
      <w:r w:rsidRPr="00956650">
        <w:t xml:space="preserve">vaccination after a single dose. The study </w:t>
      </w:r>
      <w:r w:rsidR="00487157" w:rsidRPr="00956650">
        <w:t xml:space="preserve">was </w:t>
      </w:r>
      <w:r w:rsidRPr="00956650">
        <w:t xml:space="preserve">conducted in the </w:t>
      </w:r>
      <w:r w:rsidRPr="00E243A1">
        <w:t>US</w:t>
      </w:r>
      <w:r w:rsidR="00487157" w:rsidRPr="00956650">
        <w:t>A</w:t>
      </w:r>
      <w:r w:rsidRPr="00E83613">
        <w:t>.</w:t>
      </w:r>
    </w:p>
    <w:p w14:paraId="2249C915" w14:textId="77777777" w:rsidR="00191513" w:rsidRPr="00E83613" w:rsidRDefault="00191513" w:rsidP="00E83613">
      <w:r w:rsidRPr="00E83613">
        <w:t>The study also included revaccination and interaction with the influenza vaccine.</w:t>
      </w:r>
    </w:p>
    <w:p w14:paraId="2A2537E6" w14:textId="45A0EFA8" w:rsidR="00191513" w:rsidRPr="00E83613" w:rsidRDefault="00191513" w:rsidP="00E83613">
      <w:r w:rsidRPr="00E83613">
        <w:t xml:space="preserve">At </w:t>
      </w:r>
      <w:r w:rsidR="00C679AC" w:rsidRPr="00E83613">
        <w:t>one</w:t>
      </w:r>
      <w:r w:rsidRPr="00E83613">
        <w:t xml:space="preserve"> </w:t>
      </w:r>
      <w:r w:rsidR="00C679AC" w:rsidRPr="00E83613">
        <w:t xml:space="preserve">month </w:t>
      </w:r>
      <w:r w:rsidRPr="00E83613">
        <w:t xml:space="preserve">after </w:t>
      </w:r>
      <w:r w:rsidR="0025184B">
        <w:t>v</w:t>
      </w:r>
      <w:r w:rsidR="0025184B" w:rsidRPr="00E83613">
        <w:t xml:space="preserve">accination </w:t>
      </w:r>
      <w:r w:rsidRPr="00E83613">
        <w:t>1, there was a significant and similar increase in neutralising antibody titres against RSV A and RSV B in all RSVpreF groups compared to pla</w:t>
      </w:r>
      <w:r w:rsidRPr="00E243A1">
        <w:t>cebo</w:t>
      </w:r>
      <w:r w:rsidR="00C679AC" w:rsidRPr="00E243A1">
        <w:t>,</w:t>
      </w:r>
      <w:r w:rsidRPr="00E243A1">
        <w:t xml:space="preserve"> </w:t>
      </w:r>
      <w:r w:rsidR="0025184B" w:rsidRPr="00E243A1">
        <w:t xml:space="preserve">that is, </w:t>
      </w:r>
      <w:r w:rsidRPr="00E243A1">
        <w:t>dose</w:t>
      </w:r>
      <w:r w:rsidRPr="00E83613">
        <w:t xml:space="preserve"> or adjuvant effect</w:t>
      </w:r>
      <w:r w:rsidR="0025184B">
        <w:t>s</w:t>
      </w:r>
      <w:r w:rsidRPr="00E83613">
        <w:t xml:space="preserve"> </w:t>
      </w:r>
      <w:r w:rsidR="0025184B" w:rsidRPr="00E83613">
        <w:t>w</w:t>
      </w:r>
      <w:r w:rsidR="0025184B">
        <w:t>ere</w:t>
      </w:r>
      <w:r w:rsidR="0025184B" w:rsidRPr="00E83613">
        <w:t xml:space="preserve"> </w:t>
      </w:r>
      <w:r w:rsidRPr="00E83613">
        <w:t>not demonstrated.</w:t>
      </w:r>
      <w:r w:rsidR="00F23D8F" w:rsidRPr="00E83613">
        <w:t xml:space="preserve"> </w:t>
      </w:r>
      <w:r w:rsidRPr="00E83613">
        <w:t xml:space="preserve">The results were similar in </w:t>
      </w:r>
      <w:r w:rsidR="00410CBB" w:rsidRPr="00E83613">
        <w:t xml:space="preserve">the </w:t>
      </w:r>
      <w:r w:rsidRPr="00E83613">
        <w:t>18</w:t>
      </w:r>
      <w:r w:rsidR="00410CBB" w:rsidRPr="00E83613">
        <w:t xml:space="preserve"> to </w:t>
      </w:r>
      <w:r w:rsidRPr="00E83613">
        <w:t xml:space="preserve">49 years </w:t>
      </w:r>
      <w:r w:rsidR="0020344B" w:rsidRPr="00E83613">
        <w:t xml:space="preserve">(Figures 1a and 1c) </w:t>
      </w:r>
      <w:r w:rsidRPr="00E83613">
        <w:t>and 50</w:t>
      </w:r>
      <w:r w:rsidR="00410CBB" w:rsidRPr="00E83613">
        <w:t xml:space="preserve"> to</w:t>
      </w:r>
      <w:r w:rsidR="00A4308A">
        <w:t xml:space="preserve"> </w:t>
      </w:r>
      <w:r w:rsidRPr="00E83613">
        <w:t>85 years age groups</w:t>
      </w:r>
      <w:r w:rsidR="0025184B">
        <w:t xml:space="preserve"> </w:t>
      </w:r>
      <w:r w:rsidR="00F23D8F" w:rsidRPr="00E83613">
        <w:t>(Figure</w:t>
      </w:r>
      <w:r w:rsidR="0020344B" w:rsidRPr="00E83613">
        <w:t>s</w:t>
      </w:r>
      <w:r w:rsidR="00F23D8F" w:rsidRPr="00E83613">
        <w:t xml:space="preserve"> 1</w:t>
      </w:r>
      <w:r w:rsidR="0020344B" w:rsidRPr="00E83613">
        <w:t>b and 1d</w:t>
      </w:r>
      <w:r w:rsidR="00F23D8F" w:rsidRPr="00E83613">
        <w:t>)</w:t>
      </w:r>
      <w:r w:rsidR="00410CBB" w:rsidRPr="00E83613">
        <w:t>.</w:t>
      </w:r>
    </w:p>
    <w:p w14:paraId="70DE4439" w14:textId="75A9ED4D" w:rsidR="00191513" w:rsidRDefault="00191513" w:rsidP="00BB6015">
      <w:r w:rsidRPr="00E83613">
        <w:t xml:space="preserve">The neutralising antibody titres to RSV A and RSV B peaked at </w:t>
      </w:r>
      <w:r w:rsidR="00410CBB" w:rsidRPr="00E83613">
        <w:t>one</w:t>
      </w:r>
      <w:r w:rsidRPr="00E83613">
        <w:t xml:space="preserve"> month after vaccination and were maintained at above baseline levels to 12 months</w:t>
      </w:r>
      <w:r w:rsidR="008412B7">
        <w:t>.</w:t>
      </w:r>
    </w:p>
    <w:p w14:paraId="5DBA54F3" w14:textId="7AF92D69" w:rsidR="00F23D8F" w:rsidRDefault="00F23D8F" w:rsidP="00FA2637">
      <w:pPr>
        <w:pStyle w:val="FigureTitle"/>
        <w:jc w:val="center"/>
      </w:pPr>
      <w:r w:rsidRPr="0020344B">
        <w:lastRenderedPageBreak/>
        <w:t xml:space="preserve">Figure 1: Neutralising antibody titre levels against RSV A and RSV B in all RSVpreF groups compared to placebo at one month after </w:t>
      </w:r>
      <w:r w:rsidR="00E83613">
        <w:t>v</w:t>
      </w:r>
      <w:r w:rsidRPr="0020344B">
        <w:t>accination</w:t>
      </w:r>
      <w:r w:rsidR="00FA2637">
        <w:t>.</w:t>
      </w:r>
    </w:p>
    <w:p w14:paraId="576E8B9A" w14:textId="5802B57C" w:rsidR="0020344B" w:rsidRDefault="0020344B" w:rsidP="003D2B66">
      <w:r w:rsidRPr="0069392A">
        <w:rPr>
          <w:noProof/>
          <w:lang w:eastAsia="ja-JP"/>
        </w:rPr>
        <w:drawing>
          <wp:inline distT="0" distB="0" distL="0" distR="0" wp14:anchorId="18174744" wp14:editId="2E1DA558">
            <wp:extent cx="5406527" cy="3486150"/>
            <wp:effectExtent l="19050" t="19050" r="3810" b="0"/>
            <wp:docPr id="925891614" name="Picture 925891614" descr="Figure 1: Neutralising antibody titre levels against RSV A and RSV B in all RSVpreF groups compared to placebo at one month after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91614" name="Picture 925891614" descr="Figure 1: Neutralising antibody titre levels against RSV A and RSV B in all RSVpreF groups compared to placebo at one month after vaccin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0780" cy="3488892"/>
                    </a:xfrm>
                    <a:prstGeom prst="rect">
                      <a:avLst/>
                    </a:prstGeom>
                    <a:noFill/>
                    <a:ln>
                      <a:solidFill>
                        <a:schemeClr val="bg2">
                          <a:lumMod val="90000"/>
                        </a:schemeClr>
                      </a:solidFill>
                    </a:ln>
                  </pic:spPr>
                </pic:pic>
              </a:graphicData>
            </a:graphic>
          </wp:inline>
        </w:drawing>
      </w:r>
    </w:p>
    <w:p w14:paraId="58B53E61" w14:textId="00BC58EC" w:rsidR="003D2B66" w:rsidRDefault="003D2B66" w:rsidP="003D2B66">
      <w:r>
        <w:t>Figure 1.a</w:t>
      </w:r>
    </w:p>
    <w:p w14:paraId="0F075428" w14:textId="120A39AE" w:rsidR="0020344B" w:rsidRDefault="000C18DA" w:rsidP="003D2B66">
      <w:pPr>
        <w:pStyle w:val="FigureCaption"/>
      </w:pPr>
      <w:r w:rsidRPr="0069392A">
        <w:rPr>
          <w:noProof/>
        </w:rPr>
        <w:drawing>
          <wp:inline distT="0" distB="0" distL="0" distR="0" wp14:anchorId="4AEE587A" wp14:editId="0088117C">
            <wp:extent cx="5398135" cy="3445510"/>
            <wp:effectExtent l="19050" t="19050" r="12065" b="21590"/>
            <wp:docPr id="1832468708" name="Picture 1832468708" descr="Figure 1: Neutralising antibody titre levels against RSV A and RSV B in all RSVpreF groups compared to placebo at one month after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68708" name="Picture 1832468708" descr="Figure 1: Neutralising antibody titre levels against RSV A and RSV B in all RSVpreF groups compared to placebo at one month after vaccina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8135" cy="3445510"/>
                    </a:xfrm>
                    <a:prstGeom prst="rect">
                      <a:avLst/>
                    </a:prstGeom>
                    <a:noFill/>
                    <a:ln>
                      <a:solidFill>
                        <a:schemeClr val="bg2">
                          <a:lumMod val="90000"/>
                        </a:schemeClr>
                      </a:solidFill>
                    </a:ln>
                  </pic:spPr>
                </pic:pic>
              </a:graphicData>
            </a:graphic>
          </wp:inline>
        </w:drawing>
      </w:r>
    </w:p>
    <w:p w14:paraId="64BA3445" w14:textId="77777777" w:rsidR="005425EC" w:rsidRDefault="005425EC" w:rsidP="005425EC">
      <w:pPr>
        <w:rPr>
          <w:noProof/>
          <w:lang w:eastAsia="ja-JP"/>
        </w:rPr>
      </w:pPr>
      <w:r>
        <w:rPr>
          <w:noProof/>
          <w:lang w:eastAsia="ja-JP"/>
        </w:rPr>
        <w:t>Figure 1.b</w:t>
      </w:r>
    </w:p>
    <w:p w14:paraId="13EC7D6D" w14:textId="6CEEF449" w:rsidR="0020344B" w:rsidRDefault="0020344B" w:rsidP="003D2B66"/>
    <w:p w14:paraId="4879501B" w14:textId="75FFCD10" w:rsidR="0020344B" w:rsidRDefault="0020344B" w:rsidP="003D2B66">
      <w:r w:rsidRPr="004577D7">
        <w:rPr>
          <w:noProof/>
          <w:lang w:eastAsia="ja-JP"/>
        </w:rPr>
        <w:lastRenderedPageBreak/>
        <w:drawing>
          <wp:inline distT="0" distB="0" distL="0" distR="0" wp14:anchorId="325FD398" wp14:editId="26F279FA">
            <wp:extent cx="5234305" cy="3379470"/>
            <wp:effectExtent l="19050" t="19050" r="23495" b="11430"/>
            <wp:docPr id="616173373" name="Picture 616173373" descr="Figure 1: Neutralising antibody titre levels against RSV A and RSV B in all RSVpreF groups compared to placebo at one month after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73373" name="Picture 616173373" descr="Figure 1: Neutralising antibody titre levels against RSV A and RSV B in all RSVpreF groups compared to placebo at one month after vaccina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4305" cy="3379470"/>
                    </a:xfrm>
                    <a:prstGeom prst="rect">
                      <a:avLst/>
                    </a:prstGeom>
                    <a:noFill/>
                    <a:ln>
                      <a:solidFill>
                        <a:schemeClr val="bg2">
                          <a:lumMod val="90000"/>
                        </a:schemeClr>
                      </a:solidFill>
                    </a:ln>
                  </pic:spPr>
                </pic:pic>
              </a:graphicData>
            </a:graphic>
          </wp:inline>
        </w:drawing>
      </w:r>
    </w:p>
    <w:p w14:paraId="3C0A8CB5" w14:textId="4B434B03" w:rsidR="0020344B" w:rsidRDefault="003D2B66" w:rsidP="0020344B">
      <w:r>
        <w:t>Figure 1.c</w:t>
      </w:r>
    </w:p>
    <w:p w14:paraId="0AE79179" w14:textId="376D12C1" w:rsidR="0020344B" w:rsidRDefault="0020344B" w:rsidP="003D2B66">
      <w:r w:rsidRPr="004577D7">
        <w:rPr>
          <w:noProof/>
          <w:lang w:eastAsia="ja-JP"/>
        </w:rPr>
        <w:drawing>
          <wp:inline distT="0" distB="0" distL="0" distR="0" wp14:anchorId="4ED73FF5" wp14:editId="519EC61A">
            <wp:extent cx="5543063" cy="3511550"/>
            <wp:effectExtent l="0" t="0" r="635" b="0"/>
            <wp:docPr id="995064387" name="Picture 995064387" descr="Figure 1: Neutralising antibody titre levels against RSV A and RSV B in all RSVpreF groups compared to placebo at one month after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64387" name="Picture 995064387" descr="Figure 1: Neutralising antibody titre levels against RSV A and RSV B in all RSVpreF groups compared to placebo at one month after vaccina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3063" cy="3511550"/>
                    </a:xfrm>
                    <a:prstGeom prst="rect">
                      <a:avLst/>
                    </a:prstGeom>
                    <a:noFill/>
                    <a:ln>
                      <a:noFill/>
                    </a:ln>
                  </pic:spPr>
                </pic:pic>
              </a:graphicData>
            </a:graphic>
          </wp:inline>
        </w:drawing>
      </w:r>
    </w:p>
    <w:p w14:paraId="7C70160F" w14:textId="66E2F978" w:rsidR="005425EC" w:rsidRDefault="005425EC" w:rsidP="003D2B66">
      <w:r>
        <w:t>Figure d</w:t>
      </w:r>
    </w:p>
    <w:p w14:paraId="19EC3E76" w14:textId="6F2C4D1B" w:rsidR="00191513" w:rsidRPr="00B321D6" w:rsidRDefault="00191513" w:rsidP="00BB6015">
      <w:pPr>
        <w:pStyle w:val="Heading6"/>
      </w:pPr>
      <w:r w:rsidRPr="00B321D6">
        <w:t xml:space="preserve">Study C3671002 </w:t>
      </w:r>
    </w:p>
    <w:p w14:paraId="3AEEB96D" w14:textId="77777777" w:rsidR="005425EC" w:rsidRDefault="00191513" w:rsidP="005425EC">
      <w:r w:rsidRPr="00E83613">
        <w:t>This was a placebo</w:t>
      </w:r>
      <w:r w:rsidR="00410CBB" w:rsidRPr="00E83613">
        <w:t>-</w:t>
      </w:r>
      <w:r w:rsidRPr="00E83613">
        <w:t xml:space="preserve">controlled </w:t>
      </w:r>
      <w:r w:rsidR="00410CBB" w:rsidRPr="00E83613">
        <w:t>P</w:t>
      </w:r>
      <w:r w:rsidRPr="00E83613">
        <w:t xml:space="preserve">hase </w:t>
      </w:r>
      <w:r w:rsidR="00410CBB" w:rsidRPr="00E83613">
        <w:t>I-II</w:t>
      </w:r>
      <w:r w:rsidRPr="00E83613">
        <w:t xml:space="preserve"> study (</w:t>
      </w:r>
      <w:r w:rsidR="00410CBB" w:rsidRPr="00E83613">
        <w:t xml:space="preserve">n </w:t>
      </w:r>
      <w:r w:rsidRPr="00E83613">
        <w:t>=</w:t>
      </w:r>
      <w:r w:rsidR="00410CBB" w:rsidRPr="00E83613">
        <w:t xml:space="preserve"> </w:t>
      </w:r>
      <w:r w:rsidR="00FA2637">
        <w:t>313</w:t>
      </w:r>
      <w:r w:rsidRPr="00E83613">
        <w:t>) which investigated three dose levels of RSVpreF (60</w:t>
      </w:r>
      <w:r w:rsidR="0020344B" w:rsidRPr="00E83613">
        <w:t xml:space="preserve"> µg</w:t>
      </w:r>
      <w:r w:rsidRPr="00E83613">
        <w:t>, 120</w:t>
      </w:r>
      <w:r w:rsidR="0020344B" w:rsidRPr="00E83613">
        <w:t xml:space="preserve"> µg</w:t>
      </w:r>
      <w:r w:rsidRPr="00E83613">
        <w:t xml:space="preserve"> and 240 µg) with </w:t>
      </w:r>
      <w:proofErr w:type="gramStart"/>
      <w:r w:rsidRPr="00E83613">
        <w:t>Al(</w:t>
      </w:r>
      <w:proofErr w:type="gramEnd"/>
      <w:r w:rsidRPr="00E83613">
        <w:t>OH)</w:t>
      </w:r>
      <w:r w:rsidR="0025184B" w:rsidRPr="00E243A1">
        <w:rPr>
          <w:vertAlign w:val="subscript"/>
        </w:rPr>
        <w:t>3</w:t>
      </w:r>
      <w:r w:rsidR="001D5757" w:rsidRPr="00E83613">
        <w:t xml:space="preserve"> or </w:t>
      </w:r>
      <w:r w:rsidRPr="00E83613">
        <w:t>CpG/Al(OH)</w:t>
      </w:r>
      <w:r w:rsidR="0025184B" w:rsidRPr="00E243A1">
        <w:rPr>
          <w:vertAlign w:val="subscript"/>
        </w:rPr>
        <w:t>3</w:t>
      </w:r>
      <w:r w:rsidRPr="00E83613">
        <w:t xml:space="preserve"> adjuvants in adults 65</w:t>
      </w:r>
      <w:r w:rsidR="001D5757" w:rsidRPr="00E83613">
        <w:t xml:space="preserve"> to</w:t>
      </w:r>
      <w:r w:rsidRPr="00E83613">
        <w:t xml:space="preserve">85 years of age. There was a single unadjuvanted vaccine group at the </w:t>
      </w:r>
      <w:proofErr w:type="gramStart"/>
      <w:r w:rsidRPr="00E83613">
        <w:t>240</w:t>
      </w:r>
      <w:r w:rsidR="001D5757" w:rsidRPr="00E83613">
        <w:t xml:space="preserve"> </w:t>
      </w:r>
      <w:r w:rsidRPr="00E83613">
        <w:t>µg</w:t>
      </w:r>
      <w:proofErr w:type="gramEnd"/>
      <w:r w:rsidRPr="00E83613">
        <w:t xml:space="preserve"> dose level.</w:t>
      </w:r>
    </w:p>
    <w:p w14:paraId="1725032C" w14:textId="734C6BDA" w:rsidR="00191513" w:rsidRPr="00E83613" w:rsidRDefault="00191513" w:rsidP="005425EC">
      <w:r w:rsidRPr="00E83613">
        <w:lastRenderedPageBreak/>
        <w:t xml:space="preserve">The study also included revaccination and interaction with the influenza vaccine. This was an Australian study. </w:t>
      </w:r>
    </w:p>
    <w:p w14:paraId="43253978" w14:textId="170C5DE6" w:rsidR="00191513" w:rsidRDefault="00191513" w:rsidP="00191513">
      <w:r w:rsidRPr="00E83613">
        <w:t xml:space="preserve">The neutralising antibody titres to RSV A and RSV B peaked at </w:t>
      </w:r>
      <w:r w:rsidR="001D5757" w:rsidRPr="00E83613">
        <w:t>one</w:t>
      </w:r>
      <w:r w:rsidRPr="00E83613">
        <w:t xml:space="preserve"> month after vaccination and were maintained above </w:t>
      </w:r>
      <w:r w:rsidRPr="00266C51">
        <w:t>baseline lev</w:t>
      </w:r>
      <w:r w:rsidRPr="00E83613">
        <w:t>els to 12 months. The neutralising antibody titres against RSV A and RSV B increased in all of</w:t>
      </w:r>
      <w:r w:rsidR="001D5757" w:rsidRPr="00E83613">
        <w:t xml:space="preserve"> the</w:t>
      </w:r>
      <w:r w:rsidRPr="00E83613">
        <w:t xml:space="preserve"> RSVpreF groups to </w:t>
      </w:r>
      <w:r w:rsidR="001D5757" w:rsidRPr="00E83613">
        <w:t xml:space="preserve">a </w:t>
      </w:r>
      <w:r w:rsidRPr="00E83613">
        <w:t xml:space="preserve">similar extent at </w:t>
      </w:r>
      <w:proofErr w:type="gramStart"/>
      <w:r w:rsidRPr="00E83613">
        <w:t>one month</w:t>
      </w:r>
      <w:proofErr w:type="gramEnd"/>
      <w:r w:rsidRPr="00E83613">
        <w:t xml:space="preserve"> post</w:t>
      </w:r>
      <w:r w:rsidR="0025184B">
        <w:t>-</w:t>
      </w:r>
      <w:r w:rsidRPr="00E83613">
        <w:t xml:space="preserve">dose compared to </w:t>
      </w:r>
      <w:r w:rsidR="001D5757" w:rsidRPr="00E83613">
        <w:t xml:space="preserve">the </w:t>
      </w:r>
      <w:r w:rsidRPr="00E83613">
        <w:t xml:space="preserve">placebo. The addition of adjuvant </w:t>
      </w:r>
      <w:proofErr w:type="gramStart"/>
      <w:r w:rsidRPr="00E83613">
        <w:t>Al(</w:t>
      </w:r>
      <w:proofErr w:type="gramEnd"/>
      <w:r w:rsidRPr="00E83613">
        <w:t>OH)</w:t>
      </w:r>
      <w:r w:rsidR="0025184B" w:rsidRPr="00E243A1">
        <w:rPr>
          <w:vertAlign w:val="subscript"/>
        </w:rPr>
        <w:t>3</w:t>
      </w:r>
      <w:r w:rsidRPr="00E83613">
        <w:t xml:space="preserve"> or CpG/Al(OH)</w:t>
      </w:r>
      <w:r w:rsidR="0025184B" w:rsidRPr="00E243A1">
        <w:rPr>
          <w:vertAlign w:val="subscript"/>
        </w:rPr>
        <w:t>3</w:t>
      </w:r>
      <w:r w:rsidRPr="00E83613">
        <w:t xml:space="preserve"> did not result in enhancement of immune response compared to the unadjuvanted 240</w:t>
      </w:r>
      <w:r w:rsidR="00F105B4" w:rsidRPr="00E83613">
        <w:t xml:space="preserve"> </w:t>
      </w:r>
      <w:r w:rsidRPr="00E83613">
        <w:t>μg group. These formulation</w:t>
      </w:r>
      <w:r w:rsidR="00F105B4" w:rsidRPr="00E83613">
        <w:t>s</w:t>
      </w:r>
      <w:r w:rsidRPr="00E83613">
        <w:t xml:space="preserve"> were not considered further for development.</w:t>
      </w:r>
    </w:p>
    <w:p w14:paraId="41A3CC6B" w14:textId="77777777" w:rsidR="00191513" w:rsidRPr="00B321D6" w:rsidRDefault="00191513" w:rsidP="00E83613">
      <w:pPr>
        <w:pStyle w:val="Heading6"/>
      </w:pPr>
      <w:r w:rsidRPr="00B321D6">
        <w:t>Study WI257521</w:t>
      </w:r>
    </w:p>
    <w:p w14:paraId="43E5F0C6" w14:textId="0AC8BEEC" w:rsidR="00191513" w:rsidRPr="00E83613" w:rsidRDefault="00191513" w:rsidP="00E83613">
      <w:r w:rsidRPr="00E83613">
        <w:t xml:space="preserve">This was a </w:t>
      </w:r>
      <w:r w:rsidR="006316A6" w:rsidRPr="00E83613">
        <w:t>P</w:t>
      </w:r>
      <w:r w:rsidRPr="00E83613">
        <w:t xml:space="preserve">hase </w:t>
      </w:r>
      <w:r w:rsidR="006316A6" w:rsidRPr="00E83613">
        <w:t>II</w:t>
      </w:r>
      <w:r w:rsidRPr="00E83613">
        <w:t>, proof</w:t>
      </w:r>
      <w:r w:rsidR="006316A6" w:rsidRPr="00E83613">
        <w:t>-</w:t>
      </w:r>
      <w:r w:rsidRPr="00E83613">
        <w:t>of</w:t>
      </w:r>
      <w:r w:rsidR="006316A6" w:rsidRPr="00E83613">
        <w:t>-</w:t>
      </w:r>
      <w:r w:rsidRPr="00E83613">
        <w:t>concept, virus challenge study in adult (18</w:t>
      </w:r>
      <w:r w:rsidR="006316A6" w:rsidRPr="00E83613">
        <w:t xml:space="preserve"> to</w:t>
      </w:r>
      <w:r w:rsidR="00A4308A">
        <w:t xml:space="preserve"> </w:t>
      </w:r>
      <w:r w:rsidRPr="00E83613">
        <w:t>50 years of age) human volunteers (</w:t>
      </w:r>
      <w:r w:rsidR="006316A6" w:rsidRPr="00E83613">
        <w:t xml:space="preserve">n </w:t>
      </w:r>
      <w:r w:rsidRPr="00E83613">
        <w:t>=</w:t>
      </w:r>
      <w:r w:rsidR="006316A6" w:rsidRPr="00E83613">
        <w:t xml:space="preserve"> </w:t>
      </w:r>
      <w:r w:rsidRPr="00E83613">
        <w:t>7</w:t>
      </w:r>
      <w:r w:rsidR="00FA2637">
        <w:t>0</w:t>
      </w:r>
      <w:r w:rsidRPr="00E83613">
        <w:t xml:space="preserve">) conducted in the UK. The vaccine efficacy </w:t>
      </w:r>
      <w:r w:rsidR="006316A6" w:rsidRPr="00E83613">
        <w:t>(</w:t>
      </w:r>
      <w:r w:rsidR="006316A6" w:rsidRPr="00487157">
        <w:t>VE)</w:t>
      </w:r>
      <w:r w:rsidR="006316A6" w:rsidRPr="00E83613">
        <w:t xml:space="preserve"> </w:t>
      </w:r>
      <w:r w:rsidRPr="00E83613">
        <w:t>of RSVpreF 120</w:t>
      </w:r>
      <w:r w:rsidR="006316A6" w:rsidRPr="00E83613">
        <w:t xml:space="preserve"> </w:t>
      </w:r>
      <w:r w:rsidRPr="00E83613">
        <w:t xml:space="preserve">µg against challenge with RSV-A Memphis 37b (inoculum titre </w:t>
      </w:r>
      <w:r w:rsidR="0025184B">
        <w:t xml:space="preserve">approximately </w:t>
      </w:r>
      <w:r w:rsidRPr="00E83613">
        <w:t>4.5 log</w:t>
      </w:r>
      <w:r w:rsidRPr="00266C51">
        <w:rPr>
          <w:vertAlign w:val="subscript"/>
        </w:rPr>
        <w:t>10</w:t>
      </w:r>
      <w:r w:rsidRPr="00E83613">
        <w:t xml:space="preserve"> </w:t>
      </w:r>
      <w:r w:rsidR="00BF3D7E">
        <w:t>plaque forming units</w:t>
      </w:r>
      <w:r w:rsidRPr="00487157">
        <w:t>)</w:t>
      </w:r>
      <w:r w:rsidRPr="00E83613">
        <w:t xml:space="preserve"> was assessed at 28 days after vaccination. After viral inoculum the participants were isolated for 12 days.</w:t>
      </w:r>
    </w:p>
    <w:p w14:paraId="6EABAC0F" w14:textId="57A34F4C" w:rsidR="00D7359B" w:rsidRDefault="00191513" w:rsidP="00191513">
      <w:r w:rsidRPr="00E83613">
        <w:t xml:space="preserve">The </w:t>
      </w:r>
      <w:proofErr w:type="spellStart"/>
      <w:r w:rsidRPr="00E83613">
        <w:t>qRT</w:t>
      </w:r>
      <w:proofErr w:type="spellEnd"/>
      <w:r w:rsidRPr="00E83613">
        <w:t>-PCR-confirmed detectable symptomatic RSV infection (</w:t>
      </w:r>
      <w:r w:rsidR="0025184B">
        <w:t>v</w:t>
      </w:r>
      <w:r w:rsidR="0025184B" w:rsidRPr="00E83613">
        <w:t xml:space="preserve">ariant </w:t>
      </w:r>
      <w:r w:rsidRPr="00E83613">
        <w:t xml:space="preserve">1) was a primary endpoint for which the </w:t>
      </w:r>
      <w:r w:rsidR="0067361F" w:rsidRPr="00E83613">
        <w:t>VE</w:t>
      </w:r>
      <w:r w:rsidRPr="00E83613">
        <w:t xml:space="preserve"> was shown </w:t>
      </w:r>
      <w:r w:rsidR="007B031C" w:rsidRPr="00E83613">
        <w:t xml:space="preserve">(see Table </w:t>
      </w:r>
      <w:r w:rsidR="00F23D8F" w:rsidRPr="00E83613">
        <w:t>4</w:t>
      </w:r>
      <w:r w:rsidR="007B031C" w:rsidRPr="00E83613">
        <w:t>).</w:t>
      </w:r>
    </w:p>
    <w:p w14:paraId="012DF4AF" w14:textId="31E69368" w:rsidR="007B031C" w:rsidRPr="0020344B" w:rsidRDefault="007B031C" w:rsidP="005425EC">
      <w:pPr>
        <w:pStyle w:val="TableTitle"/>
      </w:pPr>
      <w:r w:rsidRPr="0020344B">
        <w:t xml:space="preserve">Table </w:t>
      </w:r>
      <w:r w:rsidR="00F23D8F" w:rsidRPr="00E83613">
        <w:t>4</w:t>
      </w:r>
      <w:r w:rsidR="0020344B" w:rsidRPr="00E83613">
        <w:t>:</w:t>
      </w:r>
      <w:r w:rsidRPr="00E83613">
        <w:t xml:space="preserve"> </w:t>
      </w:r>
      <w:proofErr w:type="spellStart"/>
      <w:r w:rsidR="00F23D8F" w:rsidRPr="00E83613">
        <w:t>qRT</w:t>
      </w:r>
      <w:proofErr w:type="spellEnd"/>
      <w:r w:rsidR="00F23D8F" w:rsidRPr="00E83613">
        <w:t>-</w:t>
      </w:r>
      <w:r w:rsidR="00F23D8F" w:rsidRPr="0020344B">
        <w:t xml:space="preserve">PCR-confirmed </w:t>
      </w:r>
      <w:r w:rsidR="00E83613">
        <w:t>s</w:t>
      </w:r>
      <w:r w:rsidR="00F23D8F" w:rsidRPr="0020344B">
        <w:t xml:space="preserve">ymptomatic RSV </w:t>
      </w:r>
      <w:r w:rsidR="00E83613">
        <w:t>i</w:t>
      </w:r>
      <w:r w:rsidR="00F23D8F" w:rsidRPr="0020344B">
        <w:t>nfection (</w:t>
      </w:r>
      <w:r w:rsidR="00E83613">
        <w:t>v</w:t>
      </w:r>
      <w:r w:rsidR="00F23D8F" w:rsidRPr="0020344B">
        <w:t>ariant 1, Day 2 to Day 12) (</w:t>
      </w:r>
      <w:r w:rsidR="00E83613">
        <w:t>p</w:t>
      </w:r>
      <w:r w:rsidR="00F23D8F" w:rsidRPr="0020344B">
        <w:t xml:space="preserve">rimary [Day 28] </w:t>
      </w:r>
      <w:r w:rsidR="00E83613">
        <w:t>a</w:t>
      </w:r>
      <w:r w:rsidR="00F23D8F" w:rsidRPr="0020344B">
        <w:t>nalysis)</w:t>
      </w:r>
      <w:r w:rsidR="00F23D8F" w:rsidRPr="00CF1C64">
        <w:t>: ITT</w:t>
      </w:r>
      <w:r w:rsidR="00F23D8F" w:rsidRPr="0020344B">
        <w:t xml:space="preserve"> </w:t>
      </w:r>
      <w:r w:rsidR="00E83613">
        <w:t>c</w:t>
      </w:r>
      <w:r w:rsidR="00F23D8F" w:rsidRPr="0020344B">
        <w:t xml:space="preserve">hallenge </w:t>
      </w:r>
      <w:r w:rsidR="00E83613">
        <w:t>a</w:t>
      </w:r>
      <w:r w:rsidR="00F23D8F" w:rsidRPr="0020344B">
        <w:t xml:space="preserve">nalysis </w:t>
      </w:r>
      <w:r w:rsidR="00E83613">
        <w:t>s</w:t>
      </w:r>
      <w:r w:rsidR="00F23D8F" w:rsidRPr="0020344B">
        <w:t>et</w:t>
      </w:r>
    </w:p>
    <w:p w14:paraId="36DE901A" w14:textId="18341C7C" w:rsidR="00D7359B" w:rsidRDefault="00191513" w:rsidP="005425EC">
      <w:r w:rsidRPr="00B321D6">
        <w:rPr>
          <w:noProof/>
        </w:rPr>
        <w:drawing>
          <wp:inline distT="0" distB="0" distL="0" distR="0" wp14:anchorId="25888D05" wp14:editId="0AE88815">
            <wp:extent cx="5095269" cy="1391415"/>
            <wp:effectExtent l="0" t="0" r="0" b="0"/>
            <wp:docPr id="5" name="Picture 5" descr="Table 4: qRT-PCR-confirmed symptomatic RSV infection (variant 1, Day 2 to Day 12) (primary [Day 28] analysis): ITT challenge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4: qRT-PCR-confirmed symptomatic RSV infection (variant 1, Day 2 to Day 12) (primary [Day 28] analysis): ITT challenge analysis s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6160" cy="1399851"/>
                    </a:xfrm>
                    <a:prstGeom prst="rect">
                      <a:avLst/>
                    </a:prstGeom>
                    <a:noFill/>
                    <a:ln>
                      <a:noFill/>
                    </a:ln>
                  </pic:spPr>
                </pic:pic>
              </a:graphicData>
            </a:graphic>
          </wp:inline>
        </w:drawing>
      </w:r>
    </w:p>
    <w:p w14:paraId="6B391F70" w14:textId="3D51AA7C" w:rsidR="00191513" w:rsidRPr="00E83613" w:rsidRDefault="00191513" w:rsidP="00E83613">
      <w:proofErr w:type="gramStart"/>
      <w:r w:rsidRPr="00E83613">
        <w:t>A number of</w:t>
      </w:r>
      <w:proofErr w:type="gramEnd"/>
      <w:r w:rsidRPr="00E83613">
        <w:t xml:space="preserve"> secondary endpoints (including immunogenicity) were assessed and were consistent with the primary endpoint</w:t>
      </w:r>
      <w:r w:rsidR="0025184B">
        <w:t>.</w:t>
      </w:r>
    </w:p>
    <w:p w14:paraId="097800CE" w14:textId="05A952BA" w:rsidR="00191513" w:rsidRPr="00B321D6" w:rsidRDefault="00191513" w:rsidP="00E83613">
      <w:pPr>
        <w:pStyle w:val="Heading6"/>
      </w:pPr>
      <w:r w:rsidRPr="00B321D6">
        <w:t>Study C3671003</w:t>
      </w:r>
    </w:p>
    <w:p w14:paraId="2B321B06" w14:textId="69517822" w:rsidR="0020344B" w:rsidRPr="00E83613" w:rsidRDefault="00191513" w:rsidP="00E83613">
      <w:r w:rsidRPr="00E83613">
        <w:t xml:space="preserve">This was a </w:t>
      </w:r>
      <w:r w:rsidR="001F751C" w:rsidRPr="00E83613">
        <w:t>P</w:t>
      </w:r>
      <w:r w:rsidRPr="00E83613">
        <w:t xml:space="preserve">hase </w:t>
      </w:r>
      <w:r w:rsidR="001F751C" w:rsidRPr="00E83613">
        <w:t>II</w:t>
      </w:r>
      <w:r w:rsidRPr="00E83613">
        <w:t>b, randomised, placebo</w:t>
      </w:r>
      <w:r w:rsidR="001F751C" w:rsidRPr="00E83613">
        <w:t>-</w:t>
      </w:r>
      <w:r w:rsidRPr="00E83613">
        <w:t>controlled, multinational, observer-blinded study of safety, tolerability, immunogenicity and efficacy in pregnant women and their infants once born, for vaccination across the gestational age range of 24</w:t>
      </w:r>
      <w:r w:rsidR="001F751C" w:rsidRPr="00E83613">
        <w:t xml:space="preserve"> to </w:t>
      </w:r>
      <w:r w:rsidRPr="00E83613">
        <w:t>36 weeks in study groups randomised 1:1:1:1:1 as follows:</w:t>
      </w:r>
    </w:p>
    <w:p w14:paraId="41414E9D" w14:textId="77777777" w:rsidR="0020344B" w:rsidRPr="00E83613" w:rsidRDefault="00191513" w:rsidP="00E83613">
      <w:pPr>
        <w:pStyle w:val="ListBullet"/>
      </w:pPr>
      <w:r w:rsidRPr="00E83613">
        <w:t>RSVpreF 120</w:t>
      </w:r>
      <w:r w:rsidR="001F751C" w:rsidRPr="00E83613">
        <w:t xml:space="preserve"> </w:t>
      </w:r>
      <w:r w:rsidRPr="00E83613">
        <w:t>μg unadjuvanted</w:t>
      </w:r>
    </w:p>
    <w:p w14:paraId="759E2FC1" w14:textId="71DD0D5D" w:rsidR="0020344B" w:rsidRPr="00E83613" w:rsidRDefault="00191513" w:rsidP="00E83613">
      <w:pPr>
        <w:pStyle w:val="ListBullet"/>
      </w:pPr>
      <w:r w:rsidRPr="00E83613">
        <w:t>RSVpreF 120</w:t>
      </w:r>
      <w:r w:rsidR="001F751C" w:rsidRPr="00E83613">
        <w:t xml:space="preserve"> </w:t>
      </w:r>
      <w:r w:rsidRPr="00E83613">
        <w:t xml:space="preserve">μg adjuvanted with </w:t>
      </w:r>
      <w:proofErr w:type="gramStart"/>
      <w:r w:rsidRPr="00E83613">
        <w:t>Al(</w:t>
      </w:r>
      <w:proofErr w:type="gramEnd"/>
      <w:r w:rsidRPr="00E83613">
        <w:t>OH)</w:t>
      </w:r>
      <w:r w:rsidR="0025184B" w:rsidRPr="00860A49">
        <w:rPr>
          <w:vertAlign w:val="subscript"/>
        </w:rPr>
        <w:t>3</w:t>
      </w:r>
    </w:p>
    <w:p w14:paraId="06683DF3" w14:textId="77777777" w:rsidR="0020344B" w:rsidRPr="00E83613" w:rsidRDefault="00191513" w:rsidP="00E83613">
      <w:pPr>
        <w:pStyle w:val="ListBullet"/>
      </w:pPr>
      <w:r w:rsidRPr="00E83613">
        <w:t>RSVpreF 240</w:t>
      </w:r>
      <w:r w:rsidR="001F751C" w:rsidRPr="00E83613">
        <w:t xml:space="preserve"> </w:t>
      </w:r>
      <w:r w:rsidRPr="00E83613">
        <w:t>μg unadjuvanted</w:t>
      </w:r>
    </w:p>
    <w:p w14:paraId="10AF180C" w14:textId="485698BA" w:rsidR="0020344B" w:rsidRPr="00E83613" w:rsidRDefault="00191513" w:rsidP="00E83613">
      <w:pPr>
        <w:pStyle w:val="ListBullet"/>
      </w:pPr>
      <w:r w:rsidRPr="00E83613">
        <w:t>RSVpreF 240</w:t>
      </w:r>
      <w:r w:rsidR="001F751C" w:rsidRPr="00E83613">
        <w:t xml:space="preserve"> </w:t>
      </w:r>
      <w:r w:rsidRPr="00E83613">
        <w:t xml:space="preserve">μg adjuvanted with </w:t>
      </w:r>
      <w:proofErr w:type="gramStart"/>
      <w:r w:rsidRPr="00E83613">
        <w:t>Al(</w:t>
      </w:r>
      <w:proofErr w:type="gramEnd"/>
      <w:r w:rsidRPr="00E83613">
        <w:t>OH)</w:t>
      </w:r>
      <w:r w:rsidR="0025184B" w:rsidRPr="00860A49">
        <w:rPr>
          <w:vertAlign w:val="subscript"/>
        </w:rPr>
        <w:t>3</w:t>
      </w:r>
    </w:p>
    <w:p w14:paraId="0E570774" w14:textId="253A6B5A" w:rsidR="00191513" w:rsidRPr="00E83613" w:rsidRDefault="00191513" w:rsidP="00E83613">
      <w:pPr>
        <w:pStyle w:val="ListBullet"/>
      </w:pPr>
      <w:r w:rsidRPr="00E83613">
        <w:t>Placebo (saline)</w:t>
      </w:r>
      <w:r w:rsidR="0020344B" w:rsidRPr="00E83613">
        <w:t>.</w:t>
      </w:r>
    </w:p>
    <w:p w14:paraId="08549379" w14:textId="77777777" w:rsidR="00E83613" w:rsidRDefault="00E83613" w:rsidP="00E83613">
      <w:pPr>
        <w:rPr>
          <w:b/>
          <w:bCs/>
          <w:i/>
          <w:iCs/>
        </w:rPr>
      </w:pPr>
      <w:r>
        <w:rPr>
          <w:b/>
          <w:bCs/>
          <w:i/>
          <w:iCs/>
        </w:rPr>
        <w:t>Demographic details</w:t>
      </w:r>
    </w:p>
    <w:p w14:paraId="6DA4365F" w14:textId="65832591" w:rsidR="0020344B" w:rsidRDefault="0020344B" w:rsidP="00191513">
      <w:r w:rsidRPr="0020344B">
        <w:lastRenderedPageBreak/>
        <w:t xml:space="preserve">Demographic characteristics </w:t>
      </w:r>
      <w:r w:rsidR="00191513" w:rsidRPr="00B321D6">
        <w:t>of maternal participants</w:t>
      </w:r>
      <w:r w:rsidR="00EF215F">
        <w:t xml:space="preserve"> </w:t>
      </w:r>
      <w:r w:rsidR="00E83613" w:rsidRPr="0020344B">
        <w:t xml:space="preserve">at Baseline </w:t>
      </w:r>
      <w:r w:rsidR="00E83613">
        <w:t xml:space="preserve">are </w:t>
      </w:r>
      <w:r w:rsidR="00EF215F">
        <w:t xml:space="preserve">shown in Table </w:t>
      </w:r>
      <w:r w:rsidR="00F23D8F">
        <w:t>5.</w:t>
      </w:r>
    </w:p>
    <w:p w14:paraId="3BC59AEC" w14:textId="012BB7F0" w:rsidR="00191513" w:rsidRPr="0020344B" w:rsidRDefault="00EF215F" w:rsidP="005425EC">
      <w:pPr>
        <w:pStyle w:val="TableTitle"/>
      </w:pPr>
      <w:r w:rsidRPr="0020344B">
        <w:t xml:space="preserve">Table </w:t>
      </w:r>
      <w:r w:rsidR="00F23D8F" w:rsidRPr="0020344B">
        <w:t>5</w:t>
      </w:r>
      <w:r w:rsidRPr="0020344B">
        <w:t xml:space="preserve">: </w:t>
      </w:r>
      <w:r w:rsidR="0020344B">
        <w:t xml:space="preserve">Demographic characteristics of </w:t>
      </w:r>
      <w:r w:rsidR="00E83613">
        <w:t>m</w:t>
      </w:r>
      <w:r w:rsidR="0020344B">
        <w:t xml:space="preserve">aternal </w:t>
      </w:r>
      <w:r w:rsidR="00E83613">
        <w:t>p</w:t>
      </w:r>
      <w:r w:rsidR="00D7359B">
        <w:t xml:space="preserve">articipants – </w:t>
      </w:r>
      <w:r w:rsidR="00E83613">
        <w:t>s</w:t>
      </w:r>
      <w:r w:rsidR="00D7359B">
        <w:t xml:space="preserve">afety </w:t>
      </w:r>
      <w:r w:rsidR="00E83613">
        <w:t>p</w:t>
      </w:r>
      <w:r w:rsidR="0020344B">
        <w:t>opulation</w:t>
      </w:r>
    </w:p>
    <w:p w14:paraId="26D528E7" w14:textId="77777777" w:rsidR="00191513" w:rsidRDefault="00191513" w:rsidP="005425EC">
      <w:r w:rsidRPr="00B321D6">
        <w:rPr>
          <w:noProof/>
        </w:rPr>
        <w:drawing>
          <wp:inline distT="0" distB="0" distL="0" distR="0" wp14:anchorId="6E199457" wp14:editId="0C4BD694">
            <wp:extent cx="5833767" cy="3514725"/>
            <wp:effectExtent l="19050" t="19050" r="0" b="0"/>
            <wp:docPr id="61" name="Picture 61" descr="Table 5: Demographic characteristics of maternal participant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able 5: Demographic characteristics of maternal participants – safety population"/>
                    <pic:cNvPicPr>
                      <a:picLocks noChangeAspect="1" noChangeArrowheads="1"/>
                    </pic:cNvPicPr>
                  </pic:nvPicPr>
                  <pic:blipFill rotWithShape="1">
                    <a:blip r:embed="rId27">
                      <a:extLst>
                        <a:ext uri="{28A0092B-C50C-407E-A947-70E740481C1C}">
                          <a14:useLocalDpi xmlns:a14="http://schemas.microsoft.com/office/drawing/2010/main" val="0"/>
                        </a:ext>
                      </a:extLst>
                    </a:blip>
                    <a:srcRect l="124" t="4892"/>
                    <a:stretch/>
                  </pic:blipFill>
                  <pic:spPr bwMode="auto">
                    <a:xfrm>
                      <a:off x="0" y="0"/>
                      <a:ext cx="5863907" cy="3532884"/>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701D35" w14:textId="0091014F" w:rsidR="00E83613" w:rsidRPr="00E83613" w:rsidRDefault="00E83613" w:rsidP="00191513">
      <w:r w:rsidRPr="0020344B">
        <w:t xml:space="preserve">Demographic characteristics </w:t>
      </w:r>
      <w:r w:rsidRPr="00B321D6">
        <w:t xml:space="preserve">of the infant participants </w:t>
      </w:r>
      <w:r w:rsidRPr="0020344B">
        <w:t xml:space="preserve">at Baseline </w:t>
      </w:r>
      <w:r>
        <w:t>are shown in Table 6.</w:t>
      </w:r>
    </w:p>
    <w:p w14:paraId="23935309" w14:textId="4798A41D" w:rsidR="00EF215F" w:rsidRDefault="0020344B" w:rsidP="00E83613">
      <w:pPr>
        <w:pStyle w:val="TableTitle"/>
      </w:pPr>
      <w:r>
        <w:t xml:space="preserve">Table 6: Demographic characteristics of </w:t>
      </w:r>
      <w:r w:rsidR="0025184B">
        <w:t xml:space="preserve">infant participants </w:t>
      </w:r>
      <w:r w:rsidR="00487157">
        <w:t>–</w:t>
      </w:r>
      <w:r w:rsidR="00D7359B">
        <w:t xml:space="preserve"> </w:t>
      </w:r>
      <w:r w:rsidR="0025184B">
        <w:t>safety population</w:t>
      </w:r>
    </w:p>
    <w:p w14:paraId="2B4C11A6" w14:textId="77777777" w:rsidR="00191513" w:rsidRPr="00B321D6" w:rsidRDefault="00191513" w:rsidP="00E83613">
      <w:r w:rsidRPr="00B321D6">
        <w:rPr>
          <w:noProof/>
        </w:rPr>
        <w:drawing>
          <wp:inline distT="0" distB="0" distL="0" distR="0" wp14:anchorId="0F567DA4" wp14:editId="1C15D5E6">
            <wp:extent cx="5823376" cy="2762250"/>
            <wp:effectExtent l="19050" t="19050" r="6350" b="0"/>
            <wp:docPr id="14" name="Picture 14" descr="Table 6: Demographic characteristics of infant participant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6: Demographic characteristics of infant participants – safety population"/>
                    <pic:cNvPicPr>
                      <a:picLocks noChangeAspect="1" noChangeArrowheads="1"/>
                    </pic:cNvPicPr>
                  </pic:nvPicPr>
                  <pic:blipFill rotWithShape="1">
                    <a:blip r:embed="rId28">
                      <a:extLst>
                        <a:ext uri="{28A0092B-C50C-407E-A947-70E740481C1C}">
                          <a14:useLocalDpi xmlns:a14="http://schemas.microsoft.com/office/drawing/2010/main" val="0"/>
                        </a:ext>
                      </a:extLst>
                    </a:blip>
                    <a:srcRect l="618" t="9059"/>
                    <a:stretch/>
                  </pic:blipFill>
                  <pic:spPr bwMode="auto">
                    <a:xfrm>
                      <a:off x="0" y="0"/>
                      <a:ext cx="5862557" cy="2780835"/>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902665" w14:textId="3D0C13E0" w:rsidR="00E83613" w:rsidRDefault="00E83613" w:rsidP="00191513">
      <w:pPr>
        <w:rPr>
          <w:b/>
          <w:bCs/>
          <w:i/>
          <w:iCs/>
        </w:rPr>
      </w:pPr>
      <w:r>
        <w:rPr>
          <w:b/>
          <w:bCs/>
          <w:i/>
          <w:iCs/>
        </w:rPr>
        <w:t>Immunogenicity</w:t>
      </w:r>
    </w:p>
    <w:p w14:paraId="04BD3FA9" w14:textId="1C4A4587" w:rsidR="00F23D8F" w:rsidRDefault="00191513" w:rsidP="00191513">
      <w:r w:rsidRPr="00B321D6">
        <w:t xml:space="preserve">Maternal RSV neutralising titres (combined A </w:t>
      </w:r>
      <w:r w:rsidR="00993055">
        <w:t>and</w:t>
      </w:r>
      <w:r w:rsidRPr="00B321D6">
        <w:t xml:space="preserve"> B) peaked at </w:t>
      </w:r>
      <w:r w:rsidR="00993055">
        <w:t>two</w:t>
      </w:r>
      <w:r w:rsidRPr="00B321D6">
        <w:t xml:space="preserve"> weeks after vaccination and were maintained to </w:t>
      </w:r>
      <w:r w:rsidR="00993055">
        <w:t>six</w:t>
      </w:r>
      <w:r w:rsidRPr="00B321D6">
        <w:t xml:space="preserve"> months </w:t>
      </w:r>
      <w:r>
        <w:t>after delivery</w:t>
      </w:r>
      <w:r w:rsidRPr="00B321D6">
        <w:t>. There was no dose or adjuvant effect</w:t>
      </w:r>
      <w:r w:rsidR="0025184B">
        <w:t>s</w:t>
      </w:r>
      <w:r w:rsidR="00F23D8F">
        <w:t xml:space="preserve"> (see Figure 2)</w:t>
      </w:r>
      <w:r w:rsidR="00C35CDD">
        <w:t>.</w:t>
      </w:r>
    </w:p>
    <w:p w14:paraId="0D5DC8CD" w14:textId="5529BC94" w:rsidR="00F23D8F" w:rsidRPr="00B321D6" w:rsidRDefault="00F23D8F" w:rsidP="005425EC">
      <w:pPr>
        <w:pStyle w:val="FigureTitle"/>
      </w:pPr>
      <w:r w:rsidRPr="00E83613">
        <w:lastRenderedPageBreak/>
        <w:t xml:space="preserve">Figure 2: Line </w:t>
      </w:r>
      <w:r w:rsidR="00E83613">
        <w:t>p</w:t>
      </w:r>
      <w:r w:rsidRPr="00E83613">
        <w:t xml:space="preserve">lot for RSV 50% </w:t>
      </w:r>
      <w:r w:rsidR="00E83613">
        <w:t>n</w:t>
      </w:r>
      <w:r w:rsidRPr="00E83613">
        <w:t>eutrali</w:t>
      </w:r>
      <w:r w:rsidR="0020344B">
        <w:t>s</w:t>
      </w:r>
      <w:r w:rsidRPr="00E83613">
        <w:t xml:space="preserve">ing </w:t>
      </w:r>
      <w:r w:rsidR="00E83613">
        <w:t>t</w:t>
      </w:r>
      <w:r w:rsidRPr="00E83613">
        <w:t xml:space="preserve">itres </w:t>
      </w:r>
      <w:r w:rsidRPr="00E83613">
        <w:rPr>
          <w:rFonts w:hint="eastAsia"/>
        </w:rPr>
        <w:t>–</w:t>
      </w:r>
      <w:r w:rsidRPr="00E83613">
        <w:t xml:space="preserve"> </w:t>
      </w:r>
      <w:r w:rsidR="00E83613">
        <w:t>m</w:t>
      </w:r>
      <w:r w:rsidRPr="00E83613">
        <w:t xml:space="preserve">aternal </w:t>
      </w:r>
      <w:r w:rsidR="00E83613">
        <w:t>p</w:t>
      </w:r>
      <w:r w:rsidRPr="00E83613">
        <w:t xml:space="preserve">articipants </w:t>
      </w:r>
      <w:r w:rsidRPr="00E83613">
        <w:rPr>
          <w:rFonts w:hint="eastAsia"/>
        </w:rPr>
        <w:t>–</w:t>
      </w:r>
      <w:r w:rsidRPr="00E83613">
        <w:t xml:space="preserve"> </w:t>
      </w:r>
      <w:r w:rsidR="00E83613">
        <w:t>e</w:t>
      </w:r>
      <w:r w:rsidRPr="00E83613">
        <w:t xml:space="preserve">valuable </w:t>
      </w:r>
      <w:r w:rsidR="00E83613">
        <w:t>i</w:t>
      </w:r>
      <w:r w:rsidRPr="00E83613">
        <w:t xml:space="preserve">mmunogenicity </w:t>
      </w:r>
      <w:r w:rsidR="00E83613">
        <w:t>p</w:t>
      </w:r>
      <w:r w:rsidRPr="00E83613">
        <w:t>opulation</w:t>
      </w:r>
    </w:p>
    <w:p w14:paraId="648D0BEF" w14:textId="537164F9" w:rsidR="00191513" w:rsidRPr="00B321D6" w:rsidRDefault="00191513" w:rsidP="00191513">
      <w:pPr>
        <w:jc w:val="center"/>
      </w:pPr>
      <w:r w:rsidRPr="00B321D6">
        <w:rPr>
          <w:noProof/>
        </w:rPr>
        <w:drawing>
          <wp:inline distT="0" distB="0" distL="0" distR="0" wp14:anchorId="265DD164" wp14:editId="1027E4BC">
            <wp:extent cx="5648249" cy="3457575"/>
            <wp:effectExtent l="19050" t="19050" r="0" b="0"/>
            <wp:docPr id="15" name="Picture 15" descr="Figure 2: Line plot for RSV 50% neutralising titres – maternal participants –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2: Line plot for RSV 50% neutralising titres – maternal participants – evaluable immunogenicity population"/>
                    <pic:cNvPicPr>
                      <a:picLocks noChangeAspect="1" noChangeArrowheads="1"/>
                    </pic:cNvPicPr>
                  </pic:nvPicPr>
                  <pic:blipFill rotWithShape="1">
                    <a:blip r:embed="rId29">
                      <a:extLst>
                        <a:ext uri="{28A0092B-C50C-407E-A947-70E740481C1C}">
                          <a14:useLocalDpi xmlns:a14="http://schemas.microsoft.com/office/drawing/2010/main" val="0"/>
                        </a:ext>
                      </a:extLst>
                    </a:blip>
                    <a:srcRect l="1383" t="10485"/>
                    <a:stretch/>
                  </pic:blipFill>
                  <pic:spPr bwMode="auto">
                    <a:xfrm>
                      <a:off x="0" y="0"/>
                      <a:ext cx="5662572" cy="3466343"/>
                    </a:xfrm>
                    <a:prstGeom prst="rect">
                      <a:avLst/>
                    </a:prstGeom>
                    <a:noFill/>
                    <a:ln w="9525" cap="flat" cmpd="sng" algn="ctr">
                      <a:solidFill>
                        <a:schemeClr val="bg2">
                          <a:lumMod val="9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F72C8A" w14:textId="2B706285" w:rsidR="00C35CDD" w:rsidRPr="00E83613" w:rsidRDefault="00F23D8F" w:rsidP="00E83613">
      <w:r w:rsidRPr="00E83613">
        <w:t>The placental transfer ratio of combined RSV A and B neutralising antibodies i</w:t>
      </w:r>
      <w:r w:rsidR="00191513" w:rsidRPr="00E83613">
        <w:t xml:space="preserve">n </w:t>
      </w:r>
      <w:r w:rsidR="00C35CDD" w:rsidRPr="00E83613">
        <w:t>the</w:t>
      </w:r>
      <w:r w:rsidR="00191513" w:rsidRPr="00E83613">
        <w:t>120</w:t>
      </w:r>
      <w:r w:rsidRPr="00E83613">
        <w:t xml:space="preserve"> </w:t>
      </w:r>
      <w:r w:rsidR="00191513" w:rsidRPr="00E83613">
        <w:t>μg group (unadjuvanted)was 1.83 (95%CI 1.44, 2.31)</w:t>
      </w:r>
      <w:r w:rsidRPr="00E83613">
        <w:t>. This</w:t>
      </w:r>
      <w:r w:rsidR="0020344B" w:rsidRPr="00E83613">
        <w:t xml:space="preserve"> </w:t>
      </w:r>
      <w:r w:rsidR="00191513" w:rsidRPr="00E83613">
        <w:t>was similar for the other treatment groups</w:t>
      </w:r>
      <w:r w:rsidR="00C35CDD" w:rsidRPr="00E83613">
        <w:t xml:space="preserve"> (see Table </w:t>
      </w:r>
      <w:r w:rsidR="0093721A">
        <w:t>7</w:t>
      </w:r>
      <w:r w:rsidR="00C35CDD" w:rsidRPr="00E83613">
        <w:t>).</w:t>
      </w:r>
    </w:p>
    <w:p w14:paraId="120FC637" w14:textId="07C1C032" w:rsidR="00191513" w:rsidRPr="00E83613" w:rsidRDefault="00C35CDD" w:rsidP="005425EC">
      <w:pPr>
        <w:pStyle w:val="TableTitle"/>
      </w:pPr>
      <w:r w:rsidRPr="00E83613">
        <w:t xml:space="preserve">Table </w:t>
      </w:r>
      <w:r w:rsidR="0093721A">
        <w:t>7</w:t>
      </w:r>
      <w:r w:rsidRPr="00E83613">
        <w:t xml:space="preserve">: </w:t>
      </w:r>
      <w:r w:rsidR="00F23D8F" w:rsidRPr="00E83613">
        <w:t>Maternal-to-</w:t>
      </w:r>
      <w:r w:rsidR="00E83613">
        <w:t>i</w:t>
      </w:r>
      <w:r w:rsidR="00F23D8F" w:rsidRPr="00E83613">
        <w:t xml:space="preserve">nfant </w:t>
      </w:r>
      <w:r w:rsidR="0020344B">
        <w:t>p</w:t>
      </w:r>
      <w:r w:rsidR="00F23D8F" w:rsidRPr="00E83613">
        <w:t xml:space="preserve">lacental transfer ratio of </w:t>
      </w:r>
      <w:r w:rsidR="0020344B">
        <w:t xml:space="preserve">RSV 50% neutralising titres – </w:t>
      </w:r>
      <w:r w:rsidR="00E83613">
        <w:t>e</w:t>
      </w:r>
      <w:r w:rsidR="0020344B">
        <w:t xml:space="preserve">valuable </w:t>
      </w:r>
      <w:r w:rsidR="00E83613">
        <w:t>i</w:t>
      </w:r>
      <w:r w:rsidR="0020344B">
        <w:t>mmunogenicity</w:t>
      </w:r>
      <w:r w:rsidR="00E83613">
        <w:t xml:space="preserve"> </w:t>
      </w:r>
      <w:r w:rsidR="0020344B">
        <w:t>population</w:t>
      </w:r>
    </w:p>
    <w:p w14:paraId="0233DF29" w14:textId="77777777" w:rsidR="00191513" w:rsidRPr="00B321D6" w:rsidRDefault="00191513" w:rsidP="005425EC">
      <w:r>
        <w:rPr>
          <w:noProof/>
        </w:rPr>
        <w:drawing>
          <wp:inline distT="0" distB="0" distL="0" distR="0" wp14:anchorId="66B0C863" wp14:editId="523FE01C">
            <wp:extent cx="5523865" cy="1847850"/>
            <wp:effectExtent l="19050" t="19050" r="19685" b="19050"/>
            <wp:docPr id="49" name="Picture 49" descr="Table 7: Maternal-to-infant placental transfer ratio of RSV 50% neutralising titres –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 7: Maternal-to-infant placental transfer ratio of RSV 50% neutralising titres – evaluable immunogenicity population"/>
                    <pic:cNvPicPr>
                      <a:picLocks noChangeAspect="1" noChangeArrowheads="1"/>
                    </pic:cNvPicPr>
                  </pic:nvPicPr>
                  <pic:blipFill rotWithShape="1">
                    <a:blip r:embed="rId30">
                      <a:extLst>
                        <a:ext uri="{28A0092B-C50C-407E-A947-70E740481C1C}">
                          <a14:useLocalDpi xmlns:a14="http://schemas.microsoft.com/office/drawing/2010/main" val="0"/>
                        </a:ext>
                      </a:extLst>
                    </a:blip>
                    <a:srcRect l="1137" t="16895" b="3783"/>
                    <a:stretch/>
                  </pic:blipFill>
                  <pic:spPr bwMode="auto">
                    <a:xfrm>
                      <a:off x="0" y="0"/>
                      <a:ext cx="5545066" cy="1854942"/>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89526A" w14:textId="0514A1E5" w:rsidR="00F23D8F" w:rsidRDefault="00191513" w:rsidP="00191513">
      <w:r w:rsidRPr="00E83613">
        <w:t xml:space="preserve">Infant RSV neutralising titres (combined A </w:t>
      </w:r>
      <w:r w:rsidR="00817232" w:rsidRPr="00E83613">
        <w:t xml:space="preserve">and </w:t>
      </w:r>
      <w:r w:rsidRPr="00E83613">
        <w:t xml:space="preserve">B) decreased progressively from birth to </w:t>
      </w:r>
      <w:r w:rsidR="00FE66D9">
        <w:t>six</w:t>
      </w:r>
      <w:r w:rsidRPr="00E83613">
        <w:t xml:space="preserve"> months. In the 120</w:t>
      </w:r>
      <w:r w:rsidR="00817232" w:rsidRPr="00E83613">
        <w:t xml:space="preserve"> </w:t>
      </w:r>
      <w:r w:rsidRPr="00E83613">
        <w:t xml:space="preserve">μg group (unadjuvanted), at birth titres in infants approached maternal levels and were at maternal pre-vaccination levels by </w:t>
      </w:r>
      <w:r w:rsidR="0058608B">
        <w:t>six</w:t>
      </w:r>
      <w:r w:rsidRPr="00E83613">
        <w:t xml:space="preserve"> months</w:t>
      </w:r>
      <w:r w:rsidR="00F23D8F" w:rsidRPr="00E83613">
        <w:t xml:space="preserve"> (see Figure 3).</w:t>
      </w:r>
    </w:p>
    <w:p w14:paraId="3FDC80CB" w14:textId="46DF421F" w:rsidR="00F23D8F" w:rsidRPr="00E83613" w:rsidRDefault="00F23D8F" w:rsidP="005425EC">
      <w:pPr>
        <w:pStyle w:val="FigureTitle"/>
      </w:pPr>
      <w:r w:rsidRPr="00E83613">
        <w:lastRenderedPageBreak/>
        <w:t xml:space="preserve">Figure 3: Line plot for RSV 50% neutralising titres </w:t>
      </w:r>
      <w:r w:rsidR="00487157">
        <w:t>–</w:t>
      </w:r>
      <w:r w:rsidR="00E83613">
        <w:t xml:space="preserve"> i</w:t>
      </w:r>
      <w:r w:rsidRPr="00E83613">
        <w:t xml:space="preserve">nfant </w:t>
      </w:r>
      <w:r w:rsidR="00E83613">
        <w:t>p</w:t>
      </w:r>
      <w:r w:rsidRPr="00E83613">
        <w:t xml:space="preserve">articipants – </w:t>
      </w:r>
      <w:r w:rsidR="00E83613">
        <w:t>e</w:t>
      </w:r>
      <w:r w:rsidRPr="00E83613">
        <w:t xml:space="preserve">valuable </w:t>
      </w:r>
      <w:r w:rsidR="00E83613">
        <w:t>i</w:t>
      </w:r>
      <w:r w:rsidRPr="00E83613">
        <w:t xml:space="preserve">mmunogenicity </w:t>
      </w:r>
      <w:r w:rsidR="00E83613">
        <w:t>p</w:t>
      </w:r>
      <w:r w:rsidRPr="00E83613">
        <w:t>opulation</w:t>
      </w:r>
    </w:p>
    <w:p w14:paraId="24B9B92E" w14:textId="77777777" w:rsidR="00191513" w:rsidRPr="00B321D6" w:rsidRDefault="00191513" w:rsidP="005425EC">
      <w:r w:rsidRPr="00B321D6">
        <w:rPr>
          <w:noProof/>
        </w:rPr>
        <w:drawing>
          <wp:inline distT="0" distB="0" distL="0" distR="0" wp14:anchorId="70AE5D35" wp14:editId="41B8DF03">
            <wp:extent cx="6039863" cy="3571875"/>
            <wp:effectExtent l="19050" t="19050" r="0" b="0"/>
            <wp:docPr id="17" name="Picture 17" descr="Figure 3: Line plot for RSV 50% neutralising titres – infant participants –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3: Line plot for RSV 50% neutralising titres – infant participants – evaluable immunogenicity population"/>
                    <pic:cNvPicPr>
                      <a:picLocks noChangeAspect="1" noChangeArrowheads="1"/>
                    </pic:cNvPicPr>
                  </pic:nvPicPr>
                  <pic:blipFill rotWithShape="1">
                    <a:blip r:embed="rId31">
                      <a:extLst>
                        <a:ext uri="{28A0092B-C50C-407E-A947-70E740481C1C}">
                          <a14:useLocalDpi xmlns:a14="http://schemas.microsoft.com/office/drawing/2010/main" val="0"/>
                        </a:ext>
                      </a:extLst>
                    </a:blip>
                    <a:srcRect l="279" t="9810"/>
                    <a:stretch/>
                  </pic:blipFill>
                  <pic:spPr bwMode="auto">
                    <a:xfrm>
                      <a:off x="0" y="0"/>
                      <a:ext cx="6080364" cy="3595826"/>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F3FDB2" w14:textId="47200138" w:rsidR="0020344B" w:rsidRPr="00E83613" w:rsidRDefault="0020344B" w:rsidP="00191513">
      <w:pPr>
        <w:rPr>
          <w:b/>
          <w:bCs/>
          <w:i/>
          <w:iCs/>
        </w:rPr>
      </w:pPr>
      <w:r w:rsidRPr="00E83613">
        <w:rPr>
          <w:b/>
          <w:bCs/>
          <w:i/>
          <w:iCs/>
        </w:rPr>
        <w:t xml:space="preserve">Vaccine </w:t>
      </w:r>
      <w:r w:rsidR="005425EC">
        <w:rPr>
          <w:b/>
          <w:bCs/>
          <w:i/>
          <w:iCs/>
        </w:rPr>
        <w:t>e</w:t>
      </w:r>
      <w:r w:rsidRPr="00E83613">
        <w:rPr>
          <w:b/>
          <w:bCs/>
          <w:i/>
          <w:iCs/>
        </w:rPr>
        <w:t>fficacy in infants with vaccinated mothers</w:t>
      </w:r>
    </w:p>
    <w:p w14:paraId="4AD40D43" w14:textId="4C0D56A0" w:rsidR="00817232" w:rsidRPr="00E83613" w:rsidRDefault="00191513" w:rsidP="00E83613">
      <w:r w:rsidRPr="00E83613">
        <w:t xml:space="preserve">The preliminary estimates of </w:t>
      </w:r>
      <w:r w:rsidR="00817232" w:rsidRPr="00E83613">
        <w:t>VE</w:t>
      </w:r>
      <w:r w:rsidRPr="00E83613">
        <w:t xml:space="preserve"> for prevention </w:t>
      </w:r>
      <w:r w:rsidR="00817232" w:rsidRPr="00E83613">
        <w:t xml:space="preserve">of </w:t>
      </w:r>
      <w:r w:rsidRPr="00E83613">
        <w:t xml:space="preserve">RSV disease in infants with vaccinated mothers in this </w:t>
      </w:r>
      <w:r w:rsidR="00817232" w:rsidRPr="00E83613">
        <w:t>P</w:t>
      </w:r>
      <w:r w:rsidRPr="00E83613">
        <w:t xml:space="preserve">hase </w:t>
      </w:r>
      <w:r w:rsidR="00817232" w:rsidRPr="00E83613">
        <w:t>II</w:t>
      </w:r>
      <w:r w:rsidRPr="00E83613">
        <w:t xml:space="preserve"> study </w:t>
      </w:r>
      <w:r w:rsidR="0020344B" w:rsidRPr="00E83613">
        <w:t>ranged from 75% for medically significant and medically attended</w:t>
      </w:r>
      <w:r w:rsidR="00487157">
        <w:t xml:space="preserve"> lower respiratory tract illness</w:t>
      </w:r>
      <w:r w:rsidR="0020344B" w:rsidRPr="00E83613">
        <w:t xml:space="preserve"> </w:t>
      </w:r>
      <w:r w:rsidR="00487157">
        <w:t>(</w:t>
      </w:r>
      <w:r w:rsidR="0020344B" w:rsidRPr="00487157">
        <w:t>LRTI</w:t>
      </w:r>
      <w:r w:rsidR="00487157" w:rsidRPr="00487157">
        <w:t>)</w:t>
      </w:r>
      <w:r w:rsidR="0020344B" w:rsidRPr="00E83613">
        <w:t xml:space="preserve"> to 83% for medically attended severe LRTI (see</w:t>
      </w:r>
      <w:r w:rsidR="00817232" w:rsidRPr="00E83613">
        <w:t xml:space="preserve"> Table</w:t>
      </w:r>
      <w:r w:rsidR="00F23D8F" w:rsidRPr="00E83613">
        <w:t xml:space="preserve"> </w:t>
      </w:r>
      <w:r w:rsidR="0093721A">
        <w:t>8</w:t>
      </w:r>
      <w:r w:rsidR="0020344B" w:rsidRPr="00E83613">
        <w:t>)</w:t>
      </w:r>
      <w:r w:rsidR="00817232" w:rsidRPr="00E83613">
        <w:t>.</w:t>
      </w:r>
    </w:p>
    <w:p w14:paraId="6C505D0A" w14:textId="77777777" w:rsidR="006F28FB" w:rsidRPr="00E83613" w:rsidRDefault="006F28FB" w:rsidP="006F28FB">
      <w:pPr>
        <w:pStyle w:val="FigureTitle"/>
      </w:pPr>
      <w:r w:rsidRPr="00E83613">
        <w:t xml:space="preserve">Figure 3: Line plot for RSV 50% neutralising titres </w:t>
      </w:r>
      <w:r>
        <w:t>– i</w:t>
      </w:r>
      <w:r w:rsidRPr="00E83613">
        <w:t xml:space="preserve">nfant </w:t>
      </w:r>
      <w:r>
        <w:t>p</w:t>
      </w:r>
      <w:r w:rsidRPr="00E83613">
        <w:t xml:space="preserve">articipants – </w:t>
      </w:r>
      <w:r>
        <w:t>e</w:t>
      </w:r>
      <w:r w:rsidRPr="00E83613">
        <w:t xml:space="preserve">valuable </w:t>
      </w:r>
      <w:r>
        <w:t>i</w:t>
      </w:r>
      <w:r w:rsidRPr="00E83613">
        <w:t xml:space="preserve">mmunogenicity </w:t>
      </w:r>
      <w:r>
        <w:t>p</w:t>
      </w:r>
      <w:r w:rsidRPr="00E83613">
        <w:t>opulation</w:t>
      </w:r>
    </w:p>
    <w:p w14:paraId="55A4EB0A" w14:textId="77777777" w:rsidR="00191513" w:rsidRPr="00B321D6" w:rsidRDefault="00191513" w:rsidP="00191513">
      <w:pPr>
        <w:jc w:val="center"/>
      </w:pPr>
      <w:r w:rsidRPr="00B321D6">
        <w:rPr>
          <w:noProof/>
        </w:rPr>
        <w:drawing>
          <wp:inline distT="0" distB="0" distL="0" distR="0" wp14:anchorId="215E0B4B" wp14:editId="569A67AE">
            <wp:extent cx="5883141" cy="1473200"/>
            <wp:effectExtent l="19050" t="19050" r="22860" b="12700"/>
            <wp:docPr id="18" name="Picture 18" descr="Figure 3: Line plot for RSV 50% neutralising titres – infant participants –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3: Line plot for RSV 50% neutralising titres – infant participants – evaluable immunogenicity population"/>
                    <pic:cNvPicPr>
                      <a:picLocks noChangeAspect="1" noChangeArrowheads="1"/>
                    </pic:cNvPicPr>
                  </pic:nvPicPr>
                  <pic:blipFill rotWithShape="1">
                    <a:blip r:embed="rId32">
                      <a:extLst>
                        <a:ext uri="{28A0092B-C50C-407E-A947-70E740481C1C}">
                          <a14:useLocalDpi xmlns:a14="http://schemas.microsoft.com/office/drawing/2010/main" val="0"/>
                        </a:ext>
                      </a:extLst>
                    </a:blip>
                    <a:srcRect l="118" t="18469" r="-2"/>
                    <a:stretch/>
                  </pic:blipFill>
                  <pic:spPr bwMode="auto">
                    <a:xfrm>
                      <a:off x="0" y="0"/>
                      <a:ext cx="5897124" cy="1476702"/>
                    </a:xfrm>
                    <a:prstGeom prst="rect">
                      <a:avLst/>
                    </a:prstGeom>
                    <a:noFill/>
                    <a:ln w="9525" cap="flat" cmpd="sng" algn="ctr">
                      <a:solidFill>
                        <a:schemeClr val="bg2">
                          <a:lumMod val="9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FC78CD" w14:textId="2A4CDA10" w:rsidR="0020344B" w:rsidRPr="00E83613" w:rsidRDefault="0020344B" w:rsidP="00191513">
      <w:pPr>
        <w:rPr>
          <w:b/>
          <w:bCs/>
          <w:i/>
          <w:iCs/>
        </w:rPr>
      </w:pPr>
      <w:r w:rsidRPr="00E83613">
        <w:rPr>
          <w:b/>
          <w:bCs/>
          <w:i/>
          <w:iCs/>
        </w:rPr>
        <w:t xml:space="preserve">Adverse </w:t>
      </w:r>
      <w:r w:rsidR="005425EC">
        <w:rPr>
          <w:b/>
          <w:bCs/>
          <w:i/>
          <w:iCs/>
        </w:rPr>
        <w:t>e</w:t>
      </w:r>
      <w:r w:rsidRPr="00E83613">
        <w:rPr>
          <w:b/>
          <w:bCs/>
          <w:i/>
          <w:iCs/>
        </w:rPr>
        <w:t>vents</w:t>
      </w:r>
    </w:p>
    <w:p w14:paraId="32D9B121" w14:textId="1C71AD53" w:rsidR="00191513" w:rsidRDefault="00191513" w:rsidP="00191513">
      <w:r w:rsidRPr="00B321D6">
        <w:t xml:space="preserve">Overall, </w:t>
      </w:r>
      <w:r w:rsidR="0020344B">
        <w:t xml:space="preserve">the number of </w:t>
      </w:r>
      <w:r w:rsidRPr="00B321D6">
        <w:t xml:space="preserve">maternal </w:t>
      </w:r>
      <w:r w:rsidRPr="00AE7200">
        <w:t>adverse events</w:t>
      </w:r>
      <w:r w:rsidR="0025184B" w:rsidRPr="00AE7200">
        <w:t xml:space="preserve"> (</w:t>
      </w:r>
      <w:r w:rsidR="0020344B" w:rsidRPr="00AE7200">
        <w:t>A</w:t>
      </w:r>
      <w:r w:rsidR="00AE7200">
        <w:t>E</w:t>
      </w:r>
      <w:r w:rsidR="0020344B" w:rsidRPr="00AE7200">
        <w:t>s</w:t>
      </w:r>
      <w:r w:rsidR="0025184B" w:rsidRPr="00AE7200">
        <w:t>)</w:t>
      </w:r>
      <w:r w:rsidRPr="00B321D6">
        <w:t xml:space="preserve"> reported in this study were </w:t>
      </w:r>
      <w:proofErr w:type="gramStart"/>
      <w:r>
        <w:t xml:space="preserve">similar </w:t>
      </w:r>
      <w:r w:rsidR="0020344B">
        <w:t>to</w:t>
      </w:r>
      <w:proofErr w:type="gramEnd"/>
      <w:r w:rsidR="0020344B">
        <w:t xml:space="preserve"> those reported in the</w:t>
      </w:r>
      <w:r>
        <w:t xml:space="preserve"> placebo group</w:t>
      </w:r>
      <w:r w:rsidR="00DF33FE">
        <w:t xml:space="preserve"> (see Table</w:t>
      </w:r>
      <w:r w:rsidR="00F23D8F">
        <w:t xml:space="preserve"> </w:t>
      </w:r>
      <w:r w:rsidR="0093721A">
        <w:t>9</w:t>
      </w:r>
      <w:r w:rsidR="00DF33FE">
        <w:t>).</w:t>
      </w:r>
    </w:p>
    <w:p w14:paraId="7C886E9A" w14:textId="77777777" w:rsidR="006F28FB" w:rsidRPr="00E83613" w:rsidRDefault="006F28FB" w:rsidP="006F28FB">
      <w:pPr>
        <w:pStyle w:val="FigureTitle"/>
      </w:pPr>
      <w:r w:rsidRPr="00E83613">
        <w:lastRenderedPageBreak/>
        <w:t xml:space="preserve">Figure 3: Line plot for RSV 50% neutralising titres </w:t>
      </w:r>
      <w:r>
        <w:t>– i</w:t>
      </w:r>
      <w:r w:rsidRPr="00E83613">
        <w:t xml:space="preserve">nfant </w:t>
      </w:r>
      <w:r>
        <w:t>p</w:t>
      </w:r>
      <w:r w:rsidRPr="00E83613">
        <w:t xml:space="preserve">articipants – </w:t>
      </w:r>
      <w:r>
        <w:t>e</w:t>
      </w:r>
      <w:r w:rsidRPr="00E83613">
        <w:t xml:space="preserve">valuable </w:t>
      </w:r>
      <w:r>
        <w:t>i</w:t>
      </w:r>
      <w:r w:rsidRPr="00E83613">
        <w:t xml:space="preserve">mmunogenicity </w:t>
      </w:r>
      <w:r>
        <w:t>p</w:t>
      </w:r>
      <w:r w:rsidRPr="00E83613">
        <w:t>opulation</w:t>
      </w:r>
    </w:p>
    <w:p w14:paraId="646D184D" w14:textId="77777777" w:rsidR="00191513" w:rsidRPr="00B321D6" w:rsidRDefault="00191513" w:rsidP="005425EC">
      <w:r w:rsidRPr="00B321D6">
        <w:rPr>
          <w:noProof/>
        </w:rPr>
        <w:drawing>
          <wp:inline distT="0" distB="0" distL="0" distR="0" wp14:anchorId="562B60FB" wp14:editId="6160C93E">
            <wp:extent cx="5745286" cy="3736340"/>
            <wp:effectExtent l="19050" t="19050" r="27305" b="16510"/>
            <wp:docPr id="21" name="Picture 21" descr="Figure 3: Line plot for RSV 50% neutralising titres – infant participants –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3: Line plot for RSV 50% neutralising titres – infant participants – evaluable immunogenicity population"/>
                    <pic:cNvPicPr>
                      <a:picLocks noChangeAspect="1" noChangeArrowheads="1"/>
                    </pic:cNvPicPr>
                  </pic:nvPicPr>
                  <pic:blipFill rotWithShape="1">
                    <a:blip r:embed="rId33">
                      <a:extLst>
                        <a:ext uri="{28A0092B-C50C-407E-A947-70E740481C1C}">
                          <a14:useLocalDpi xmlns:a14="http://schemas.microsoft.com/office/drawing/2010/main" val="0"/>
                        </a:ext>
                      </a:extLst>
                    </a:blip>
                    <a:srcRect l="-1072" t="10278" r="-562" b="2807"/>
                    <a:stretch/>
                  </pic:blipFill>
                  <pic:spPr bwMode="auto">
                    <a:xfrm>
                      <a:off x="0" y="0"/>
                      <a:ext cx="5774349" cy="3755241"/>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24AF67" w14:textId="39C9105D" w:rsidR="00E83613" w:rsidRDefault="00191513" w:rsidP="0020344B">
      <w:r w:rsidRPr="00B321D6">
        <w:t xml:space="preserve">Overall, infant </w:t>
      </w:r>
      <w:r w:rsidR="00E83613">
        <w:t>AEs</w:t>
      </w:r>
      <w:r w:rsidRPr="00B321D6">
        <w:t xml:space="preserve"> reported in this study were</w:t>
      </w:r>
      <w:r>
        <w:t xml:space="preserve"> also similar for the vaccinated groups v</w:t>
      </w:r>
      <w:r w:rsidR="00E83613">
        <w:t>ersu</w:t>
      </w:r>
      <w:r>
        <w:t>s the placebo group</w:t>
      </w:r>
      <w:r w:rsidR="00E83613">
        <w:t xml:space="preserve"> (see Table </w:t>
      </w:r>
      <w:r w:rsidR="0093721A">
        <w:t>10</w:t>
      </w:r>
      <w:r w:rsidR="00E83613">
        <w:t>).</w:t>
      </w:r>
    </w:p>
    <w:p w14:paraId="484A2F98" w14:textId="379F0CF3" w:rsidR="00191513" w:rsidRPr="00B321D6" w:rsidRDefault="0020344B" w:rsidP="005425EC">
      <w:pPr>
        <w:pStyle w:val="TableTitle"/>
      </w:pPr>
      <w:r w:rsidRPr="001E12E1">
        <w:lastRenderedPageBreak/>
        <w:t xml:space="preserve">Table </w:t>
      </w:r>
      <w:r w:rsidR="0093721A">
        <w:t>10</w:t>
      </w:r>
      <w:r w:rsidRPr="001E12E1">
        <w:t xml:space="preserve">: </w:t>
      </w:r>
      <w:r>
        <w:t xml:space="preserve">Number (%) of participants reporting adverse events, by category, within </w:t>
      </w:r>
      <w:r w:rsidR="00FE66D9">
        <w:t>one</w:t>
      </w:r>
      <w:r>
        <w:t xml:space="preserve"> month of age </w:t>
      </w:r>
      <w:r w:rsidR="00487157">
        <w:t>–</w:t>
      </w:r>
      <w:r>
        <w:t xml:space="preserve"> </w:t>
      </w:r>
      <w:r w:rsidR="00E83613">
        <w:t>infant</w:t>
      </w:r>
      <w:r w:rsidR="00E83613" w:rsidRPr="001E12E1">
        <w:t xml:space="preserve"> </w:t>
      </w:r>
      <w:r w:rsidR="00E83613">
        <w:t xml:space="preserve">participants </w:t>
      </w:r>
      <w:r>
        <w:t>-</w:t>
      </w:r>
      <w:r w:rsidR="00E83613">
        <w:t>safety population</w:t>
      </w:r>
      <w:r w:rsidR="00E34F49">
        <w:t>.</w:t>
      </w:r>
    </w:p>
    <w:p w14:paraId="2A7E83A0" w14:textId="476DF78D" w:rsidR="00D7359B" w:rsidRDefault="00191513" w:rsidP="005425EC">
      <w:r w:rsidRPr="00B321D6">
        <w:rPr>
          <w:noProof/>
        </w:rPr>
        <w:drawing>
          <wp:inline distT="0" distB="0" distL="0" distR="0" wp14:anchorId="4B3CED59" wp14:editId="119E0016">
            <wp:extent cx="5612130" cy="3346450"/>
            <wp:effectExtent l="19050" t="19050" r="26670" b="25400"/>
            <wp:docPr id="23" name="Picture 23" descr="Table 10: Number (%) of participants reporting adverse events, by category, within one month of age – infant participa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 10: Number (%) of participants reporting adverse events, by category, within one month of age – infant participants -safety population"/>
                    <pic:cNvPicPr>
                      <a:picLocks noChangeAspect="1" noChangeArrowheads="1"/>
                    </pic:cNvPicPr>
                  </pic:nvPicPr>
                  <pic:blipFill rotWithShape="1">
                    <a:blip r:embed="rId34">
                      <a:extLst>
                        <a:ext uri="{28A0092B-C50C-407E-A947-70E740481C1C}">
                          <a14:useLocalDpi xmlns:a14="http://schemas.microsoft.com/office/drawing/2010/main" val="0"/>
                        </a:ext>
                      </a:extLst>
                    </a:blip>
                    <a:srcRect l="744" t="12034" b="3379"/>
                    <a:stretch/>
                  </pic:blipFill>
                  <pic:spPr bwMode="auto">
                    <a:xfrm>
                      <a:off x="0" y="0"/>
                      <a:ext cx="5645736" cy="3366489"/>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5A2652" w14:textId="7CC94B07" w:rsidR="00191513" w:rsidRPr="00E83613" w:rsidRDefault="00191513" w:rsidP="00E83613">
      <w:r w:rsidRPr="00E83613">
        <w:t xml:space="preserve">The final dose </w:t>
      </w:r>
      <w:r w:rsidR="001D29A8" w:rsidRPr="00E83613">
        <w:t>and</w:t>
      </w:r>
      <w:r w:rsidRPr="00E83613">
        <w:t xml:space="preserve"> formulation (120 </w:t>
      </w:r>
      <w:r w:rsidR="00F23D8F" w:rsidRPr="00E83613">
        <w:t xml:space="preserve">μg </w:t>
      </w:r>
      <w:r w:rsidRPr="00E83613">
        <w:t>unadjuvanted, henceforth called the 120</w:t>
      </w:r>
      <w:r w:rsidR="001D29A8" w:rsidRPr="00E83613">
        <w:t xml:space="preserve"> </w:t>
      </w:r>
      <w:r w:rsidRPr="00E83613">
        <w:t xml:space="preserve">μg formulation) for use in the subsequent pivotal </w:t>
      </w:r>
      <w:r w:rsidR="001D29A8" w:rsidRPr="00E83613">
        <w:t>VE</w:t>
      </w:r>
      <w:r w:rsidRPr="00E83613">
        <w:t xml:space="preserve"> trials is supported by the observed results in these </w:t>
      </w:r>
      <w:r w:rsidR="001D29A8" w:rsidRPr="00E83613">
        <w:t>P</w:t>
      </w:r>
      <w:r w:rsidRPr="00E83613">
        <w:t xml:space="preserve">hase </w:t>
      </w:r>
      <w:r w:rsidR="001D29A8" w:rsidRPr="00E83613">
        <w:t>I-II</w:t>
      </w:r>
      <w:r w:rsidRPr="00E83613">
        <w:t xml:space="preserve"> studies (1001 </w:t>
      </w:r>
      <w:r w:rsidR="001D29A8" w:rsidRPr="00E83613">
        <w:t xml:space="preserve">and </w:t>
      </w:r>
      <w:r w:rsidRPr="00E83613">
        <w:t xml:space="preserve">1002), human virus challenge study (WI257521) and the </w:t>
      </w:r>
      <w:r w:rsidR="001D29A8" w:rsidRPr="00E83613">
        <w:t>P</w:t>
      </w:r>
      <w:r w:rsidRPr="00E83613">
        <w:t xml:space="preserve">hase </w:t>
      </w:r>
      <w:r w:rsidR="001D29A8" w:rsidRPr="00E83613">
        <w:t>II</w:t>
      </w:r>
      <w:r w:rsidRPr="00E83613">
        <w:t xml:space="preserve"> study (1003).</w:t>
      </w:r>
      <w:r w:rsidR="00F23D8F" w:rsidRPr="00E83613">
        <w:t xml:space="preserve"> </w:t>
      </w:r>
    </w:p>
    <w:p w14:paraId="387CFC32" w14:textId="41FD5AA8" w:rsidR="00191513" w:rsidRPr="00B321D6" w:rsidRDefault="00191513" w:rsidP="00191513">
      <w:pPr>
        <w:pStyle w:val="Heading4"/>
        <w:spacing w:before="240"/>
      </w:pPr>
      <w:bookmarkStart w:id="51" w:name="_Toc165552529"/>
      <w:r w:rsidRPr="00B321D6">
        <w:t xml:space="preserve">Clinical </w:t>
      </w:r>
      <w:r w:rsidR="005425EC">
        <w:t>e</w:t>
      </w:r>
      <w:r w:rsidRPr="00B321D6">
        <w:t>fficacy</w:t>
      </w:r>
      <w:bookmarkEnd w:id="51"/>
    </w:p>
    <w:p w14:paraId="2DE3CCED" w14:textId="6A858EC2" w:rsidR="00191513" w:rsidRPr="00E83613" w:rsidRDefault="00191513" w:rsidP="00E83613">
      <w:r w:rsidRPr="00E83613">
        <w:t xml:space="preserve">There was one pivotal VE trial </w:t>
      </w:r>
      <w:r w:rsidR="001D29A8" w:rsidRPr="00E83613">
        <w:t>for</w:t>
      </w:r>
      <w:r w:rsidRPr="00E83613">
        <w:t xml:space="preserve"> each of the two proposed indications:</w:t>
      </w:r>
    </w:p>
    <w:p w14:paraId="324305D0" w14:textId="6BC08F7B" w:rsidR="0020344B" w:rsidRPr="00E83613" w:rsidRDefault="00191513" w:rsidP="00E83613">
      <w:pPr>
        <w:pStyle w:val="ListBullet"/>
      </w:pPr>
      <w:r w:rsidRPr="00E83613">
        <w:t xml:space="preserve">Study C3671008 </w:t>
      </w:r>
      <w:r w:rsidR="001D29A8" w:rsidRPr="00E83613">
        <w:t>for the</w:t>
      </w:r>
      <w:r w:rsidRPr="00E83613">
        <w:t xml:space="preserve"> maternal indication</w:t>
      </w:r>
      <w:r w:rsidR="00E34F49">
        <w:t>.</w:t>
      </w:r>
    </w:p>
    <w:p w14:paraId="121EE856" w14:textId="18C8389F" w:rsidR="00191513" w:rsidRPr="00E83613" w:rsidRDefault="00191513" w:rsidP="00E83613">
      <w:pPr>
        <w:pStyle w:val="ListBullet"/>
      </w:pPr>
      <w:r w:rsidRPr="00E83613">
        <w:t xml:space="preserve">Study C3671013 </w:t>
      </w:r>
      <w:r w:rsidR="001D29A8" w:rsidRPr="00E83613">
        <w:t>for</w:t>
      </w:r>
      <w:r w:rsidRPr="00E83613">
        <w:t xml:space="preserve"> </w:t>
      </w:r>
      <w:r w:rsidR="00A4308A">
        <w:t xml:space="preserve">the </w:t>
      </w:r>
      <w:r w:rsidRPr="00E83613">
        <w:t>older adults (≥60 years of age) indication</w:t>
      </w:r>
      <w:r w:rsidR="0020344B" w:rsidRPr="00E83613">
        <w:t>.</w:t>
      </w:r>
    </w:p>
    <w:p w14:paraId="46C3F92B" w14:textId="77777777" w:rsidR="00191513" w:rsidRPr="00E83613" w:rsidRDefault="00191513" w:rsidP="00E83613">
      <w:r w:rsidRPr="00E83613">
        <w:t>Both studies were impacted by the concurrent COVID-19 pandemic at the time.</w:t>
      </w:r>
    </w:p>
    <w:p w14:paraId="673ABCDD" w14:textId="77777777" w:rsidR="00191513" w:rsidRPr="00B321D6" w:rsidRDefault="00191513" w:rsidP="00860A49">
      <w:pPr>
        <w:pStyle w:val="Heading6"/>
      </w:pPr>
      <w:r w:rsidRPr="00B321D6">
        <w:t>Study C3671008 (</w:t>
      </w:r>
      <w:r>
        <w:t>M</w:t>
      </w:r>
      <w:r w:rsidRPr="00B321D6">
        <w:t>aternal study)</w:t>
      </w:r>
    </w:p>
    <w:p w14:paraId="536C46BF" w14:textId="5430E66E" w:rsidR="00191513" w:rsidRPr="00AB1066" w:rsidRDefault="00191513" w:rsidP="00AB1066">
      <w:r w:rsidRPr="00AB1066">
        <w:t xml:space="preserve">This was the pivotal </w:t>
      </w:r>
      <w:r w:rsidR="001D29A8" w:rsidRPr="00AB1066">
        <w:t>P</w:t>
      </w:r>
      <w:r w:rsidRPr="00AB1066">
        <w:t xml:space="preserve">hase </w:t>
      </w:r>
      <w:r w:rsidR="001D29A8" w:rsidRPr="00AB1066">
        <w:t>III</w:t>
      </w:r>
      <w:r w:rsidRPr="00AB1066">
        <w:t>, randomised, double-blind, placebo</w:t>
      </w:r>
      <w:r w:rsidR="001D29A8" w:rsidRPr="00AB1066">
        <w:t>-</w:t>
      </w:r>
      <w:r w:rsidRPr="00AB1066">
        <w:t xml:space="preserve">controlled, multinational (including Australia </w:t>
      </w:r>
      <w:r w:rsidR="001D29A8" w:rsidRPr="00AB1066">
        <w:t>and</w:t>
      </w:r>
      <w:r w:rsidRPr="00AB1066">
        <w:t xml:space="preserve"> N</w:t>
      </w:r>
      <w:r w:rsidR="00487157">
        <w:t>ew Zealand</w:t>
      </w:r>
      <w:r w:rsidRPr="00AB1066">
        <w:t>) trial to assess VE of RSVpreF 120</w:t>
      </w:r>
      <w:r w:rsidR="004E10CD" w:rsidRPr="00AB1066">
        <w:t xml:space="preserve"> </w:t>
      </w:r>
      <w:r w:rsidRPr="00AB1066">
        <w:t>µg for prevention of RSV</w:t>
      </w:r>
      <w:r w:rsidR="004E10CD" w:rsidRPr="00AB1066">
        <w:t>-</w:t>
      </w:r>
      <w:r w:rsidRPr="00AB1066">
        <w:t>related illness in infants born to women vaccinated during pregnancy. A single dose of the study vaccine (RSVpreF 120</w:t>
      </w:r>
      <w:r w:rsidR="004E10CD" w:rsidRPr="00AB1066">
        <w:t xml:space="preserve"> </w:t>
      </w:r>
      <w:r w:rsidRPr="00AB1066">
        <w:t xml:space="preserve">µg or placebo) was administered intramuscularly to maternal participants between 24 and 36 weeks of gestation. </w:t>
      </w:r>
    </w:p>
    <w:p w14:paraId="06F8AC16" w14:textId="148000F8" w:rsidR="00D7359B" w:rsidRPr="00860A49" w:rsidRDefault="00D7359B" w:rsidP="00191513">
      <w:pPr>
        <w:rPr>
          <w:b/>
          <w:bCs/>
          <w:i/>
          <w:iCs/>
        </w:rPr>
      </w:pPr>
      <w:r>
        <w:rPr>
          <w:b/>
          <w:bCs/>
          <w:i/>
          <w:iCs/>
        </w:rPr>
        <w:t>Inclusion criteria</w:t>
      </w:r>
    </w:p>
    <w:p w14:paraId="7BE2ECC4" w14:textId="2286DB82" w:rsidR="00191513" w:rsidRPr="00AB1066" w:rsidRDefault="00191513" w:rsidP="00AB1066">
      <w:r w:rsidRPr="00AB1066">
        <w:t xml:space="preserve">The inclusion criteria were, among others, healthy women ≤49 years of age who </w:t>
      </w:r>
      <w:r w:rsidR="0025184B">
        <w:t>we</w:t>
      </w:r>
      <w:r w:rsidR="0025184B" w:rsidRPr="00AB1066">
        <w:t xml:space="preserve">re </w:t>
      </w:r>
      <w:r w:rsidRPr="00AB1066">
        <w:t>between 24 and 36 weeks of gestation on the day of vaccination, with uncomplicated, singleton pregnancy, who were receiving prenatal, country specific, standard of care and who had no known risk factor for complications.</w:t>
      </w:r>
    </w:p>
    <w:p w14:paraId="18DAE7D7" w14:textId="2367361A" w:rsidR="00D7359B" w:rsidRPr="00860A49" w:rsidRDefault="00D7359B" w:rsidP="00191513">
      <w:pPr>
        <w:rPr>
          <w:b/>
          <w:bCs/>
          <w:i/>
          <w:iCs/>
        </w:rPr>
      </w:pPr>
      <w:r>
        <w:rPr>
          <w:b/>
          <w:bCs/>
          <w:i/>
          <w:iCs/>
        </w:rPr>
        <w:lastRenderedPageBreak/>
        <w:t>Exclusion criteria</w:t>
      </w:r>
    </w:p>
    <w:p w14:paraId="4BA2242C" w14:textId="0406EDBC" w:rsidR="00191513" w:rsidRPr="008412B7" w:rsidRDefault="00191513" w:rsidP="008412B7">
      <w:r w:rsidRPr="008412B7">
        <w:t xml:space="preserve">The exclusion criteria were, among others, current </w:t>
      </w:r>
      <w:r w:rsidRPr="00BF3D7E">
        <w:t>IVF</w:t>
      </w:r>
      <w:r w:rsidRPr="008412B7">
        <w:t xml:space="preserve"> pregnancy, previous preterm delivery (≤34 weeks gestation), previous stillbirth or neonatal death, prior infant with known genetic disorder or significant congenital anomaly, major maternal </w:t>
      </w:r>
      <w:proofErr w:type="gramStart"/>
      <w:r w:rsidRPr="008412B7">
        <w:t>illness</w:t>
      </w:r>
      <w:proofErr w:type="gramEnd"/>
      <w:r w:rsidRPr="008412B7">
        <w:t xml:space="preserve"> or conditions of the foetus.</w:t>
      </w:r>
    </w:p>
    <w:p w14:paraId="2FD0342E" w14:textId="7774280B" w:rsidR="00D7359B" w:rsidRPr="008412B7" w:rsidRDefault="00191513" w:rsidP="008412B7">
      <w:r w:rsidRPr="008412B7">
        <w:t xml:space="preserve">Immunosuppressants were prohibited. Blood products </w:t>
      </w:r>
      <w:r w:rsidR="00F3135C" w:rsidRPr="008412B7">
        <w:t>and</w:t>
      </w:r>
      <w:r w:rsidRPr="008412B7">
        <w:t xml:space="preserve"> immunoglobulins were prohibited for 60 days after the study vaccine administration. Non-study vaccines were not allowed for </w:t>
      </w:r>
      <w:r w:rsidR="00F3135C" w:rsidRPr="008412B7">
        <w:t xml:space="preserve">seven </w:t>
      </w:r>
      <w:r w:rsidRPr="008412B7">
        <w:t xml:space="preserve">days after the study vaccine administration. Licensed vaccines containing pertussis were permitted </w:t>
      </w:r>
      <w:r w:rsidR="005555D4" w:rsidRPr="005555D4">
        <w:t>up to 14 before and from 14 days after the administration of ABRYSVO</w:t>
      </w:r>
      <w:r w:rsidRPr="008412B7">
        <w:t>.</w:t>
      </w:r>
    </w:p>
    <w:p w14:paraId="471E3EBD" w14:textId="15553013" w:rsidR="00191513" w:rsidRPr="008412B7" w:rsidRDefault="00191513" w:rsidP="008412B7">
      <w:r w:rsidRPr="008412B7">
        <w:t xml:space="preserve">The randomisation and disposition of maternal participants in the study </w:t>
      </w:r>
      <w:r w:rsidR="00AB1066" w:rsidRPr="008412B7">
        <w:t>is</w:t>
      </w:r>
      <w:r w:rsidR="00F3135C" w:rsidRPr="008412B7">
        <w:t xml:space="preserve"> shown in Table</w:t>
      </w:r>
      <w:r w:rsidR="00F23D8F" w:rsidRPr="008412B7">
        <w:t xml:space="preserve"> </w:t>
      </w:r>
      <w:r w:rsidR="00824FCC">
        <w:t>11</w:t>
      </w:r>
      <w:r w:rsidR="00AB1066" w:rsidRPr="008412B7">
        <w:t>.</w:t>
      </w:r>
    </w:p>
    <w:p w14:paraId="76952498" w14:textId="0617E052" w:rsidR="00DA0E29" w:rsidRPr="00AB1066" w:rsidRDefault="00DA0E29" w:rsidP="005425EC">
      <w:pPr>
        <w:pStyle w:val="TableTitle"/>
      </w:pPr>
      <w:r w:rsidRPr="00AB1066">
        <w:t xml:space="preserve">Table </w:t>
      </w:r>
      <w:r w:rsidR="00824FCC">
        <w:t>11</w:t>
      </w:r>
      <w:r w:rsidRPr="00AB1066">
        <w:t>: Dispos</w:t>
      </w:r>
      <w:r w:rsidR="00F83421" w:rsidRPr="00AB1066">
        <w:t>i</w:t>
      </w:r>
      <w:r w:rsidRPr="00AB1066">
        <w:t xml:space="preserve">tion of all </w:t>
      </w:r>
      <w:r w:rsidR="00AB1066">
        <w:t>m</w:t>
      </w:r>
      <w:r w:rsidRPr="00AB1066">
        <w:t xml:space="preserve">aternal </w:t>
      </w:r>
      <w:r w:rsidR="00AB1066">
        <w:t>p</w:t>
      </w:r>
      <w:r w:rsidRPr="00AB1066">
        <w:t>articipants</w:t>
      </w:r>
    </w:p>
    <w:p w14:paraId="6E59AC5A" w14:textId="77777777" w:rsidR="00191513" w:rsidRPr="00B321D6" w:rsidRDefault="00191513" w:rsidP="005425EC">
      <w:r w:rsidRPr="00B321D6">
        <w:rPr>
          <w:noProof/>
        </w:rPr>
        <w:drawing>
          <wp:inline distT="0" distB="0" distL="0" distR="0" wp14:anchorId="36947985" wp14:editId="1CCCE2CA">
            <wp:extent cx="5486400" cy="2279015"/>
            <wp:effectExtent l="19050" t="19050" r="19050" b="26035"/>
            <wp:docPr id="22" name="Picture 22" descr="Table 11: Disposition of all maternal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 11: Disposition of all maternal participants"/>
                    <pic:cNvPicPr>
                      <a:picLocks noChangeAspect="1" noChangeArrowheads="1"/>
                    </pic:cNvPicPr>
                  </pic:nvPicPr>
                  <pic:blipFill rotWithShape="1">
                    <a:blip r:embed="rId35">
                      <a:extLst>
                        <a:ext uri="{28A0092B-C50C-407E-A947-70E740481C1C}">
                          <a14:useLocalDpi xmlns:a14="http://schemas.microsoft.com/office/drawing/2010/main" val="0"/>
                        </a:ext>
                      </a:extLst>
                    </a:blip>
                    <a:srcRect l="291" t="16665" r="577"/>
                    <a:stretch/>
                  </pic:blipFill>
                  <pic:spPr bwMode="auto">
                    <a:xfrm>
                      <a:off x="0" y="0"/>
                      <a:ext cx="5518823" cy="2292483"/>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F847F8" w14:textId="006B3605" w:rsidR="00AB1066" w:rsidRPr="008412B7" w:rsidRDefault="00191513" w:rsidP="008412B7">
      <w:r w:rsidRPr="008412B7">
        <w:t xml:space="preserve">The disposition of infant participants in this study </w:t>
      </w:r>
      <w:r w:rsidR="00AB1066" w:rsidRPr="008412B7">
        <w:t>is shown in Table 1</w:t>
      </w:r>
      <w:r w:rsidR="00824FCC">
        <w:t>2</w:t>
      </w:r>
      <w:r w:rsidR="00AB1066" w:rsidRPr="008412B7">
        <w:t>.</w:t>
      </w:r>
    </w:p>
    <w:p w14:paraId="7F15B29E" w14:textId="0ABF6F79" w:rsidR="00DA0E29" w:rsidRPr="00AB1066" w:rsidRDefault="00DA0E29" w:rsidP="005425EC">
      <w:pPr>
        <w:pStyle w:val="TableTitle"/>
      </w:pPr>
      <w:r w:rsidRPr="00AB1066">
        <w:t xml:space="preserve">Table </w:t>
      </w:r>
      <w:r w:rsidR="00F23D8F" w:rsidRPr="00AB1066">
        <w:t>1</w:t>
      </w:r>
      <w:r w:rsidR="00824FCC">
        <w:t>2</w:t>
      </w:r>
      <w:r w:rsidRPr="00AB1066">
        <w:t xml:space="preserve">: Disposition of </w:t>
      </w:r>
      <w:r w:rsidR="00D7359B">
        <w:t xml:space="preserve">all </w:t>
      </w:r>
      <w:r w:rsidR="00AB1066">
        <w:t>i</w:t>
      </w:r>
      <w:r w:rsidRPr="00AB1066">
        <w:t xml:space="preserve">nfant </w:t>
      </w:r>
      <w:r w:rsidR="00AB1066">
        <w:t>p</w:t>
      </w:r>
      <w:r w:rsidRPr="00AB1066">
        <w:t>articipants</w:t>
      </w:r>
    </w:p>
    <w:p w14:paraId="0DFC4858" w14:textId="77777777" w:rsidR="00191513" w:rsidRPr="00B321D6" w:rsidRDefault="00191513" w:rsidP="005425EC">
      <w:r w:rsidRPr="00B321D6">
        <w:rPr>
          <w:noProof/>
        </w:rPr>
        <w:drawing>
          <wp:inline distT="0" distB="0" distL="0" distR="0" wp14:anchorId="12AA782C" wp14:editId="7DC31904">
            <wp:extent cx="5314950" cy="2190750"/>
            <wp:effectExtent l="19050" t="19050" r="19050" b="19050"/>
            <wp:docPr id="39" name="Picture 39" descr="Table 12: Disposition of all infant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 12: Disposition of all infant participants"/>
                    <pic:cNvPicPr>
                      <a:picLocks noChangeAspect="1" noChangeArrowheads="1"/>
                    </pic:cNvPicPr>
                  </pic:nvPicPr>
                  <pic:blipFill rotWithShape="1">
                    <a:blip r:embed="rId36">
                      <a:extLst>
                        <a:ext uri="{28A0092B-C50C-407E-A947-70E740481C1C}">
                          <a14:useLocalDpi xmlns:a14="http://schemas.microsoft.com/office/drawing/2010/main" val="0"/>
                        </a:ext>
                      </a:extLst>
                    </a:blip>
                    <a:srcRect l="1171" t="14451" r="925" b="1835"/>
                    <a:stretch/>
                  </pic:blipFill>
                  <pic:spPr bwMode="auto">
                    <a:xfrm>
                      <a:off x="0" y="0"/>
                      <a:ext cx="5360028" cy="2209330"/>
                    </a:xfrm>
                    <a:prstGeom prst="rect">
                      <a:avLst/>
                    </a:prstGeom>
                    <a:noFill/>
                    <a:ln w="9525" cap="flat" cmpd="sng" algn="ctr">
                      <a:solidFill>
                        <a:schemeClr val="bg2">
                          <a:lumMod val="9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2C8029" w14:textId="46E8AC47" w:rsidR="00A4308A" w:rsidRDefault="00A4308A" w:rsidP="00A4308A">
      <w:pPr>
        <w:rPr>
          <w:b/>
          <w:bCs/>
          <w:i/>
          <w:iCs/>
        </w:rPr>
      </w:pPr>
      <w:r>
        <w:rPr>
          <w:b/>
          <w:bCs/>
          <w:i/>
          <w:iCs/>
        </w:rPr>
        <w:t>Analysis population details</w:t>
      </w:r>
    </w:p>
    <w:p w14:paraId="2270077A" w14:textId="04A3AC26" w:rsidR="00191513" w:rsidRPr="008412B7" w:rsidRDefault="00191513" w:rsidP="008412B7">
      <w:r w:rsidRPr="008412B7">
        <w:t>The primary efficacy population was per</w:t>
      </w:r>
      <w:r w:rsidR="00DA0E29" w:rsidRPr="008412B7">
        <w:t xml:space="preserve"> </w:t>
      </w:r>
      <w:r w:rsidRPr="008412B7">
        <w:t xml:space="preserve">protocol infant population and was designated as </w:t>
      </w:r>
      <w:r w:rsidR="00F23D8F" w:rsidRPr="008412B7">
        <w:t xml:space="preserve">the </w:t>
      </w:r>
      <w:r w:rsidR="008412B7" w:rsidRPr="008412B7">
        <w:t>evaluable efficacy population</w:t>
      </w:r>
      <w:r w:rsidRPr="008412B7">
        <w:t>. This analysis set included all eligible infant participants born to maternal participants who received the randomised study vaccine (RSVpreF or placebo) at least 14 days prior to delivery, did not receive palivizumab or other RSV</w:t>
      </w:r>
      <w:r w:rsidR="00F23D8F" w:rsidRPr="008412B7">
        <w:t>-</w:t>
      </w:r>
      <w:r w:rsidRPr="008412B7">
        <w:t xml:space="preserve">targeting monoclonal </w:t>
      </w:r>
      <w:r w:rsidRPr="008412B7">
        <w:lastRenderedPageBreak/>
        <w:t>antibody, had no major protocol violation and did not receive transfusion &gt;20 mL/kg of any blood products within 180 days.</w:t>
      </w:r>
    </w:p>
    <w:p w14:paraId="697587AE" w14:textId="2DE2F869" w:rsidR="008412B7" w:rsidRPr="008412B7" w:rsidRDefault="00191513" w:rsidP="008412B7">
      <w:r w:rsidRPr="008412B7">
        <w:t xml:space="preserve">A secondary analysis was performed using the modified </w:t>
      </w:r>
      <w:r w:rsidR="00487157">
        <w:t>intention to treat</w:t>
      </w:r>
      <w:r w:rsidR="00A4308A">
        <w:t xml:space="preserve"> </w:t>
      </w:r>
      <w:r w:rsidR="00A4308A" w:rsidRPr="00487157">
        <w:t>(</w:t>
      </w:r>
      <w:proofErr w:type="spellStart"/>
      <w:r w:rsidR="00A4308A" w:rsidRPr="00487157">
        <w:t>mITT</w:t>
      </w:r>
      <w:proofErr w:type="spellEnd"/>
      <w:r w:rsidR="00A4308A" w:rsidRPr="00487157">
        <w:t>)</w:t>
      </w:r>
      <w:r w:rsidR="00A4308A" w:rsidRPr="008412B7">
        <w:t xml:space="preserve"> </w:t>
      </w:r>
      <w:r w:rsidRPr="00487157">
        <w:t xml:space="preserve">population </w:t>
      </w:r>
      <w:r w:rsidRPr="008412B7">
        <w:t>which included all infant participants who were born to vaccinated maternal participants. The infant safety population included all infant participants who were born to vaccinated maternal participants</w:t>
      </w:r>
      <w:r w:rsidR="00787F44" w:rsidRPr="008412B7">
        <w:t xml:space="preserve"> (see Table </w:t>
      </w:r>
      <w:r w:rsidR="00F23D8F" w:rsidRPr="008412B7">
        <w:t>1</w:t>
      </w:r>
      <w:r w:rsidR="007B5C8C">
        <w:t>3</w:t>
      </w:r>
      <w:r w:rsidR="00787F44" w:rsidRPr="008412B7">
        <w:t>)</w:t>
      </w:r>
      <w:r w:rsidR="0020344B" w:rsidRPr="008412B7">
        <w:t>.</w:t>
      </w:r>
    </w:p>
    <w:p w14:paraId="3EDB9871" w14:textId="26888AF2" w:rsidR="00191513" w:rsidRPr="008412B7" w:rsidRDefault="00787F44" w:rsidP="005425EC">
      <w:pPr>
        <w:pStyle w:val="TableTitle"/>
      </w:pPr>
      <w:r w:rsidRPr="008412B7">
        <w:t>Table</w:t>
      </w:r>
      <w:r w:rsidR="00F23D8F" w:rsidRPr="008412B7">
        <w:t xml:space="preserve"> 1</w:t>
      </w:r>
      <w:r w:rsidR="007B5C8C">
        <w:t>3</w:t>
      </w:r>
      <w:r w:rsidRPr="008412B7">
        <w:t xml:space="preserve">: Analysis populations – </w:t>
      </w:r>
      <w:r w:rsidR="008412B7">
        <w:t>i</w:t>
      </w:r>
      <w:r w:rsidRPr="008412B7">
        <w:t xml:space="preserve">nfant </w:t>
      </w:r>
      <w:r w:rsidR="008412B7">
        <w:t>p</w:t>
      </w:r>
      <w:r w:rsidRPr="008412B7">
        <w:t>articipants</w:t>
      </w:r>
    </w:p>
    <w:p w14:paraId="09740354" w14:textId="77777777" w:rsidR="00191513" w:rsidRPr="00B321D6" w:rsidRDefault="00191513" w:rsidP="005425EC">
      <w:r w:rsidRPr="00B321D6">
        <w:rPr>
          <w:noProof/>
        </w:rPr>
        <w:drawing>
          <wp:inline distT="0" distB="0" distL="0" distR="0" wp14:anchorId="59766EBE" wp14:editId="59FE2883">
            <wp:extent cx="5521325" cy="1682749"/>
            <wp:effectExtent l="19050" t="19050" r="22225" b="13335"/>
            <wp:docPr id="19" name="Picture 19" descr="Table 13: Analysis populations – infant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13: Analysis populations – infant participants"/>
                    <pic:cNvPicPr>
                      <a:picLocks noChangeAspect="1" noChangeArrowheads="1"/>
                    </pic:cNvPicPr>
                  </pic:nvPicPr>
                  <pic:blipFill rotWithShape="1">
                    <a:blip r:embed="rId37">
                      <a:extLst>
                        <a:ext uri="{28A0092B-C50C-407E-A947-70E740481C1C}">
                          <a14:useLocalDpi xmlns:a14="http://schemas.microsoft.com/office/drawing/2010/main" val="0"/>
                        </a:ext>
                      </a:extLst>
                    </a:blip>
                    <a:srcRect l="1805" t="20731" r="1464" b="5720"/>
                    <a:stretch/>
                  </pic:blipFill>
                  <pic:spPr bwMode="auto">
                    <a:xfrm>
                      <a:off x="0" y="0"/>
                      <a:ext cx="5546130" cy="1690309"/>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9C9568" w14:textId="0BA7C8C9" w:rsidR="00191513" w:rsidRPr="008412B7" w:rsidRDefault="00191513" w:rsidP="008412B7">
      <w:r w:rsidRPr="008412B7">
        <w:t>The maternal safety population included all randomised maternal participants who received investigational product.</w:t>
      </w:r>
      <w:r w:rsidR="00F83421" w:rsidRPr="008412B7">
        <w:t xml:space="preserve"> </w:t>
      </w:r>
      <w:r w:rsidRPr="008412B7">
        <w:t>The maternal groups were well balanced at Baseline. The mean age was 29</w:t>
      </w:r>
      <w:r w:rsidR="0020344B" w:rsidRPr="008412B7">
        <w:t xml:space="preserve"> </w:t>
      </w:r>
      <w:r w:rsidRPr="008412B7">
        <w:t>±</w:t>
      </w:r>
      <w:r w:rsidR="0020344B" w:rsidRPr="008412B7">
        <w:t xml:space="preserve"> </w:t>
      </w:r>
      <w:r w:rsidRPr="008412B7">
        <w:t>5 years and mean gestational age at vaccination was 30</w:t>
      </w:r>
      <w:r w:rsidR="0020344B" w:rsidRPr="008412B7">
        <w:t xml:space="preserve"> </w:t>
      </w:r>
      <w:r w:rsidRPr="008412B7">
        <w:t>±</w:t>
      </w:r>
      <w:r w:rsidR="0020344B" w:rsidRPr="008412B7">
        <w:t xml:space="preserve"> </w:t>
      </w:r>
      <w:r w:rsidRPr="008412B7">
        <w:t>3 weeks</w:t>
      </w:r>
      <w:r w:rsidR="00787F44" w:rsidRPr="008412B7">
        <w:t xml:space="preserve"> (see Table</w:t>
      </w:r>
      <w:r w:rsidR="00F23D8F" w:rsidRPr="008412B7">
        <w:t xml:space="preserve"> 1</w:t>
      </w:r>
      <w:r w:rsidR="0041509E">
        <w:t>4</w:t>
      </w:r>
      <w:r w:rsidR="00787F44" w:rsidRPr="008412B7">
        <w:t>).</w:t>
      </w:r>
    </w:p>
    <w:p w14:paraId="0C7A602F" w14:textId="16E64B8C" w:rsidR="00787F44" w:rsidRPr="008412B7" w:rsidRDefault="00787F44" w:rsidP="005425EC">
      <w:pPr>
        <w:pStyle w:val="TableTitle"/>
      </w:pPr>
      <w:r w:rsidRPr="008412B7">
        <w:t>Table</w:t>
      </w:r>
      <w:r w:rsidR="00F83421" w:rsidRPr="008412B7">
        <w:t xml:space="preserve"> 1</w:t>
      </w:r>
      <w:r w:rsidR="0041509E">
        <w:t>4</w:t>
      </w:r>
      <w:r w:rsidRPr="008412B7">
        <w:t xml:space="preserve">: Demographic </w:t>
      </w:r>
      <w:r w:rsidR="008412B7">
        <w:t>c</w:t>
      </w:r>
      <w:r w:rsidRPr="008412B7">
        <w:t xml:space="preserve">haracteristics – </w:t>
      </w:r>
      <w:r w:rsidR="008412B7">
        <w:t>m</w:t>
      </w:r>
      <w:r w:rsidRPr="008412B7">
        <w:t xml:space="preserve">aternal </w:t>
      </w:r>
      <w:r w:rsidR="008412B7">
        <w:t>p</w:t>
      </w:r>
      <w:r w:rsidRPr="008412B7">
        <w:t xml:space="preserve">articipants – </w:t>
      </w:r>
      <w:r w:rsidR="008412B7">
        <w:t>s</w:t>
      </w:r>
      <w:r w:rsidRPr="008412B7">
        <w:t xml:space="preserve">afety </w:t>
      </w:r>
      <w:r w:rsidR="008412B7">
        <w:t>p</w:t>
      </w:r>
      <w:r w:rsidRPr="008412B7">
        <w:t>opulation</w:t>
      </w:r>
    </w:p>
    <w:p w14:paraId="061C59B4" w14:textId="77777777" w:rsidR="00191513" w:rsidRPr="00B321D6" w:rsidRDefault="00191513" w:rsidP="005425EC">
      <w:r w:rsidRPr="00B321D6">
        <w:rPr>
          <w:noProof/>
        </w:rPr>
        <w:drawing>
          <wp:inline distT="0" distB="0" distL="0" distR="0" wp14:anchorId="5E7D2AB1" wp14:editId="15B38928">
            <wp:extent cx="5523441" cy="3600922"/>
            <wp:effectExtent l="19050" t="19050" r="1270" b="0"/>
            <wp:docPr id="20" name="Picture 20" descr="Table 14: Demographic characteristics – maternal participant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 14: Demographic characteristics – maternal participants – safety population"/>
                    <pic:cNvPicPr>
                      <a:picLocks noChangeAspect="1" noChangeArrowheads="1"/>
                    </pic:cNvPicPr>
                  </pic:nvPicPr>
                  <pic:blipFill rotWithShape="1">
                    <a:blip r:embed="rId38">
                      <a:extLst>
                        <a:ext uri="{28A0092B-C50C-407E-A947-70E740481C1C}">
                          <a14:useLocalDpi xmlns:a14="http://schemas.microsoft.com/office/drawing/2010/main" val="0"/>
                        </a:ext>
                      </a:extLst>
                    </a:blip>
                    <a:srcRect l="1525" t="10662" r="1591" b="1308"/>
                    <a:stretch/>
                  </pic:blipFill>
                  <pic:spPr bwMode="auto">
                    <a:xfrm>
                      <a:off x="0" y="0"/>
                      <a:ext cx="5565320" cy="3628225"/>
                    </a:xfrm>
                    <a:prstGeom prst="rect">
                      <a:avLst/>
                    </a:prstGeom>
                    <a:noFill/>
                    <a:ln w="9525" cap="flat" cmpd="sng" algn="ctr">
                      <a:solidFill>
                        <a:schemeClr val="bg2">
                          <a:lumMod val="9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A9F43C" w14:textId="405CF62F" w:rsidR="00191513" w:rsidRPr="008412B7" w:rsidRDefault="00191513" w:rsidP="008412B7">
      <w:r w:rsidRPr="008412B7">
        <w:t>The racial representation was White (64.7% v</w:t>
      </w:r>
      <w:r w:rsidR="00787F44" w:rsidRPr="008412B7">
        <w:t>ersu</w:t>
      </w:r>
      <w:r w:rsidRPr="008412B7">
        <w:t>s 64.4%), Black/African American (19.6% v</w:t>
      </w:r>
      <w:r w:rsidR="00787F44" w:rsidRPr="008412B7">
        <w:t>ersu</w:t>
      </w:r>
      <w:r w:rsidRPr="008412B7">
        <w:t>s 19.7%) and Asian (12.3% v</w:t>
      </w:r>
      <w:r w:rsidR="00787F44" w:rsidRPr="008412B7">
        <w:t>ersu</w:t>
      </w:r>
      <w:r w:rsidRPr="008412B7">
        <w:t>s 12.6%) RSVpreF and placebo groups</w:t>
      </w:r>
      <w:r w:rsidR="00787F44" w:rsidRPr="008412B7">
        <w:t>,</w:t>
      </w:r>
      <w:r w:rsidRPr="008412B7">
        <w:t xml:space="preserve"> respectively</w:t>
      </w:r>
      <w:r w:rsidR="00787F44" w:rsidRPr="008412B7">
        <w:t>,</w:t>
      </w:r>
      <w:r w:rsidRPr="008412B7">
        <w:t xml:space="preserve"> with other groups ≤1% individually. A pertussis</w:t>
      </w:r>
      <w:r w:rsidR="00787F44" w:rsidRPr="008412B7">
        <w:t>-</w:t>
      </w:r>
      <w:r w:rsidRPr="008412B7">
        <w:t>containing vaccine (</w:t>
      </w:r>
      <w:r w:rsidRPr="00FB3344">
        <w:t xml:space="preserve">including </w:t>
      </w:r>
      <w:r w:rsidR="00CF1C64">
        <w:t>Tdap</w:t>
      </w:r>
      <w:r w:rsidRPr="008412B7">
        <w:t xml:space="preserve">) was </w:t>
      </w:r>
      <w:r w:rsidRPr="008412B7">
        <w:lastRenderedPageBreak/>
        <w:t xml:space="preserve">administered antenatally in </w:t>
      </w:r>
      <w:r w:rsidR="00FB3344">
        <w:t>approximately</w:t>
      </w:r>
      <w:r w:rsidRPr="008412B7">
        <w:t xml:space="preserve"> 40% participants in each of the two comparator groups (RSVpreF and placebo).</w:t>
      </w:r>
    </w:p>
    <w:p w14:paraId="7B0B4ADB" w14:textId="4C8BEF17" w:rsidR="00191513" w:rsidRPr="008412B7" w:rsidRDefault="00191513" w:rsidP="008412B7">
      <w:r w:rsidRPr="008412B7">
        <w:t>The infant groups were well balanced at Baseline. Most (93</w:t>
      </w:r>
      <w:r w:rsidR="00F83421" w:rsidRPr="008412B7">
        <w:t>% to</w:t>
      </w:r>
      <w:r w:rsidR="00523798">
        <w:t xml:space="preserve"> </w:t>
      </w:r>
      <w:r w:rsidRPr="008412B7">
        <w:t xml:space="preserve">94%) were born from 37 to &lt;42 weeks of gestation but there was some imbalance towards more births &lt;37 weeks of gestation in the RSVpreF group compared to the maternal placebo recipients. Selected </w:t>
      </w:r>
      <w:r w:rsidR="00F83421" w:rsidRPr="008412B7">
        <w:t>B</w:t>
      </w:r>
      <w:r w:rsidRPr="008412B7">
        <w:t xml:space="preserve">aseline features </w:t>
      </w:r>
      <w:r w:rsidR="00787F44" w:rsidRPr="008412B7">
        <w:t xml:space="preserve">are shown in Table </w:t>
      </w:r>
      <w:r w:rsidR="00F83421" w:rsidRPr="008412B7">
        <w:t>1</w:t>
      </w:r>
      <w:r w:rsidR="0041509E">
        <w:t>5</w:t>
      </w:r>
      <w:r w:rsidR="009D214E" w:rsidRPr="008412B7">
        <w:t>.</w:t>
      </w:r>
      <w:r w:rsidR="009D214E" w:rsidRPr="0025184B">
        <w:rPr>
          <w:vertAlign w:val="superscript"/>
        </w:rPr>
        <w:footnoteReference w:id="13"/>
      </w:r>
      <w:r w:rsidRPr="008412B7">
        <w:t xml:space="preserve"> </w:t>
      </w:r>
    </w:p>
    <w:p w14:paraId="00464FDD" w14:textId="219BD2C7" w:rsidR="005B1461" w:rsidRPr="008412B7" w:rsidRDefault="005B1461" w:rsidP="005425EC">
      <w:pPr>
        <w:pStyle w:val="TableTitle"/>
      </w:pPr>
      <w:r w:rsidRPr="008412B7">
        <w:t>Table</w:t>
      </w:r>
      <w:r w:rsidR="00F83421" w:rsidRPr="008412B7">
        <w:t xml:space="preserve"> 1</w:t>
      </w:r>
      <w:r w:rsidR="0041509E">
        <w:t>5</w:t>
      </w:r>
      <w:r w:rsidRPr="008412B7">
        <w:t xml:space="preserve">: </w:t>
      </w:r>
      <w:r w:rsidR="00F83421" w:rsidRPr="008412B7">
        <w:t>Demographic characteristics – infants</w:t>
      </w:r>
    </w:p>
    <w:p w14:paraId="7B43A213" w14:textId="77777777" w:rsidR="00191513" w:rsidRPr="00B321D6" w:rsidRDefault="00191513" w:rsidP="005425EC">
      <w:r w:rsidRPr="00B321D6">
        <w:rPr>
          <w:noProof/>
        </w:rPr>
        <w:drawing>
          <wp:inline distT="0" distB="0" distL="0" distR="0" wp14:anchorId="4126F6E3" wp14:editId="2F8F64D2">
            <wp:extent cx="5036656" cy="3962400"/>
            <wp:effectExtent l="0" t="0" r="0" b="0"/>
            <wp:docPr id="24" name="Picture 24" descr="Table 15: Demographic characteristics – i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15: Demographic characteristics – infan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1930" cy="4005885"/>
                    </a:xfrm>
                    <a:prstGeom prst="rect">
                      <a:avLst/>
                    </a:prstGeom>
                    <a:noFill/>
                    <a:ln>
                      <a:noFill/>
                    </a:ln>
                  </pic:spPr>
                </pic:pic>
              </a:graphicData>
            </a:graphic>
          </wp:inline>
        </w:drawing>
      </w:r>
    </w:p>
    <w:p w14:paraId="74DE3C78" w14:textId="55D98155" w:rsidR="00F83421" w:rsidRPr="00A4308A" w:rsidRDefault="00A4308A" w:rsidP="00191513">
      <w:pPr>
        <w:rPr>
          <w:b/>
          <w:bCs/>
          <w:i/>
          <w:iCs/>
        </w:rPr>
      </w:pPr>
      <w:r>
        <w:rPr>
          <w:b/>
          <w:bCs/>
          <w:i/>
          <w:iCs/>
        </w:rPr>
        <w:t>Efficacy</w:t>
      </w:r>
      <w:r w:rsidRPr="00A4308A">
        <w:rPr>
          <w:b/>
          <w:bCs/>
          <w:i/>
          <w:iCs/>
        </w:rPr>
        <w:t xml:space="preserve"> outcomes </w:t>
      </w:r>
    </w:p>
    <w:p w14:paraId="6CADB01B" w14:textId="1575077E" w:rsidR="00191513" w:rsidRPr="008412B7" w:rsidRDefault="00191513" w:rsidP="008412B7">
      <w:r w:rsidRPr="008412B7">
        <w:t xml:space="preserve">There were two primary VE outcomes </w:t>
      </w:r>
      <w:r w:rsidR="00A4308A">
        <w:t xml:space="preserve">for infants </w:t>
      </w:r>
      <w:r w:rsidRPr="008412B7">
        <w:t>as follows</w:t>
      </w:r>
      <w:r w:rsidR="009B6DE9" w:rsidRPr="008412B7">
        <w:t>:</w:t>
      </w:r>
      <w:r w:rsidRPr="008412B7">
        <w:t xml:space="preserve"> </w:t>
      </w:r>
    </w:p>
    <w:p w14:paraId="2F1018DF" w14:textId="4207B8CB" w:rsidR="009B6DE9" w:rsidRPr="008412B7" w:rsidRDefault="00191513" w:rsidP="008412B7">
      <w:pPr>
        <w:pStyle w:val="ListBullet"/>
      </w:pPr>
      <w:r w:rsidRPr="008412B7">
        <w:t>Medically attended</w:t>
      </w:r>
      <w:r w:rsidR="00487157">
        <w:t>-</w:t>
      </w:r>
      <w:r w:rsidRPr="00860A49">
        <w:t>lower respiratory tract illness (MA-LRTI)</w:t>
      </w:r>
      <w:r w:rsidRPr="008412B7">
        <w:t xml:space="preserve"> due to RSV at 90, 120, 150 </w:t>
      </w:r>
      <w:r w:rsidR="009B6DE9" w:rsidRPr="008412B7">
        <w:t>and</w:t>
      </w:r>
      <w:r w:rsidRPr="008412B7">
        <w:t xml:space="preserve"> 180 days after birth, and</w:t>
      </w:r>
    </w:p>
    <w:p w14:paraId="54987064" w14:textId="3C07444D" w:rsidR="00191513" w:rsidRPr="008412B7" w:rsidRDefault="00191513" w:rsidP="008412B7">
      <w:pPr>
        <w:pStyle w:val="ListBullet"/>
      </w:pPr>
      <w:r w:rsidRPr="008412B7">
        <w:t xml:space="preserve">Severe MA-LRTI due to RSV at 90, 120, 150 </w:t>
      </w:r>
      <w:r w:rsidR="009B6DE9" w:rsidRPr="008412B7">
        <w:t>and</w:t>
      </w:r>
      <w:r w:rsidRPr="008412B7">
        <w:t xml:space="preserve"> 180 days after birth.</w:t>
      </w:r>
    </w:p>
    <w:p w14:paraId="771C94C6" w14:textId="77777777" w:rsidR="00191513" w:rsidRPr="008412B7" w:rsidRDefault="00191513" w:rsidP="008412B7">
      <w:r w:rsidRPr="008412B7">
        <w:t>The results were as follows:</w:t>
      </w:r>
    </w:p>
    <w:p w14:paraId="2C1F73F4" w14:textId="2650A5C1" w:rsidR="008412B7" w:rsidRPr="009A338A" w:rsidRDefault="00191513" w:rsidP="008412B7">
      <w:pPr>
        <w:pStyle w:val="ListBullet"/>
      </w:pPr>
      <w:r w:rsidRPr="008412B7">
        <w:t xml:space="preserve">VE (%) for MA-LRTI due to confirmed RSV </w:t>
      </w:r>
      <w:r w:rsidRPr="009A338A">
        <w:t>was</w:t>
      </w:r>
      <w:r w:rsidR="009A338A">
        <w:t xml:space="preserve"> </w:t>
      </w:r>
      <w:r w:rsidRPr="009A338A">
        <w:t>57.1% (99.5%</w:t>
      </w:r>
      <w:r w:rsidR="00F10601">
        <w:t xml:space="preserve"> </w:t>
      </w:r>
      <w:r w:rsidRPr="009A338A">
        <w:t>CI: 14.7% to 79.8%) at 90 days and 51.3% (97.58%</w:t>
      </w:r>
      <w:r w:rsidR="00F10601">
        <w:t xml:space="preserve"> </w:t>
      </w:r>
      <w:r w:rsidRPr="009A338A">
        <w:t xml:space="preserve">CI: 29.4% to 66.8%) at </w:t>
      </w:r>
      <w:r w:rsidR="00FE66D9">
        <w:t>six</w:t>
      </w:r>
      <w:r w:rsidRPr="009A338A">
        <w:t xml:space="preserve"> months. Note the C</w:t>
      </w:r>
      <w:r w:rsidR="00AB6D0D">
        <w:t>I</w:t>
      </w:r>
      <w:r w:rsidR="00F83421" w:rsidRPr="009A338A">
        <w:t>s</w:t>
      </w:r>
      <w:r w:rsidRPr="009A338A">
        <w:t xml:space="preserve"> are 99.5% at 90 days and 97.58% at later timepoints to control alpha error </w:t>
      </w:r>
      <w:r w:rsidR="001F4EF5" w:rsidRPr="009A338A">
        <w:t>(see Figure</w:t>
      </w:r>
      <w:r w:rsidR="00F83421" w:rsidRPr="009A338A">
        <w:t xml:space="preserve"> 4a</w:t>
      </w:r>
      <w:r w:rsidR="001F4EF5" w:rsidRPr="009A338A">
        <w:t>).</w:t>
      </w:r>
      <w:r w:rsidR="001F4EF5" w:rsidRPr="009A338A">
        <w:rPr>
          <w:vertAlign w:val="superscript"/>
        </w:rPr>
        <w:t>1</w:t>
      </w:r>
      <w:r w:rsidR="0025184B" w:rsidRPr="009A338A">
        <w:rPr>
          <w:vertAlign w:val="superscript"/>
        </w:rPr>
        <w:t>2</w:t>
      </w:r>
      <w:r w:rsidR="001F4EF5" w:rsidRPr="009A338A">
        <w:rPr>
          <w:vertAlign w:val="superscript"/>
        </w:rPr>
        <w:t xml:space="preserve"> </w:t>
      </w:r>
    </w:p>
    <w:p w14:paraId="1B6CA490" w14:textId="45B1D935" w:rsidR="00F83421" w:rsidRPr="009A338A" w:rsidRDefault="00F83421" w:rsidP="008412B7">
      <w:pPr>
        <w:pStyle w:val="ListBullet"/>
      </w:pPr>
      <w:r w:rsidRPr="009A338A">
        <w:lastRenderedPageBreak/>
        <w:t>VE for severe MA-LRTIs due to confirmed RSV was 81.8% (99.5%</w:t>
      </w:r>
      <w:r w:rsidR="00F10601">
        <w:t xml:space="preserve"> </w:t>
      </w:r>
      <w:r w:rsidRPr="009A338A">
        <w:t>CI: 40.6% to 96.3%) at 90 days and 69.4% (97.58%</w:t>
      </w:r>
      <w:r w:rsidR="00F10601">
        <w:t xml:space="preserve"> </w:t>
      </w:r>
      <w:r w:rsidRPr="009A338A">
        <w:t xml:space="preserve">CI: 44.3% to 84.1%) at </w:t>
      </w:r>
      <w:r w:rsidR="00FE66D9">
        <w:t>six</w:t>
      </w:r>
      <w:r w:rsidRPr="009A338A">
        <w:t xml:space="preserve"> months after birth </w:t>
      </w:r>
      <w:r w:rsidRPr="009A338A">
        <w:rPr>
          <w:color w:val="auto"/>
        </w:rPr>
        <w:t>(see Figure 4b)</w:t>
      </w:r>
      <w:r w:rsidR="005555D4" w:rsidRPr="009A338A">
        <w:rPr>
          <w:color w:val="auto"/>
        </w:rPr>
        <w:t>.</w:t>
      </w:r>
      <w:r w:rsidR="005555D4" w:rsidRPr="009A338A">
        <w:rPr>
          <w:color w:val="auto"/>
          <w:vertAlign w:val="superscript"/>
        </w:rPr>
        <w:t>12.</w:t>
      </w:r>
    </w:p>
    <w:p w14:paraId="584518E6" w14:textId="2EFD5571" w:rsidR="00F83421" w:rsidRPr="008412B7" w:rsidRDefault="00F83421" w:rsidP="005425EC">
      <w:pPr>
        <w:pStyle w:val="FigureTitle"/>
      </w:pPr>
      <w:r w:rsidRPr="008412B7">
        <w:t xml:space="preserve">Figure 4: Vaccine </w:t>
      </w:r>
      <w:r w:rsidR="0020344B" w:rsidRPr="008412B7">
        <w:t>E</w:t>
      </w:r>
      <w:r w:rsidRPr="008412B7">
        <w:t>fficacy for medically attended LRTI</w:t>
      </w:r>
      <w:r w:rsidR="0020344B" w:rsidRPr="008412B7">
        <w:t xml:space="preserve"> (a)</w:t>
      </w:r>
      <w:r w:rsidRPr="008412B7">
        <w:t xml:space="preserve"> and medically attended severe LRTI </w:t>
      </w:r>
      <w:r w:rsidR="0020344B" w:rsidRPr="008412B7">
        <w:t xml:space="preserve">(b) </w:t>
      </w:r>
      <w:r w:rsidRPr="008412B7">
        <w:t>due to confirmed RSV in infants</w:t>
      </w:r>
      <w:r w:rsidR="0041509E">
        <w:t>.</w:t>
      </w:r>
    </w:p>
    <w:p w14:paraId="25F48F02" w14:textId="77777777" w:rsidR="008412B7" w:rsidRDefault="00191513" w:rsidP="005425EC">
      <w:r w:rsidRPr="00B321D6">
        <w:rPr>
          <w:noProof/>
        </w:rPr>
        <w:drawing>
          <wp:inline distT="0" distB="0" distL="0" distR="0" wp14:anchorId="626E45DC" wp14:editId="1C2EDF9D">
            <wp:extent cx="5249203" cy="3062626"/>
            <wp:effectExtent l="19050" t="19050" r="8890" b="4445"/>
            <wp:docPr id="26" name="Picture 26" descr="Figure 4: Vaccine Efficacy for medically attended LRTI (a) and medically attended severe LRTI (b) due to confirmed RSV in i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4: Vaccine Efficacy for medically attended LRTI (a) and medically attended severe LRTI (b) due to confirmed RSV in infants"/>
                    <pic:cNvPicPr>
                      <a:picLocks noChangeAspect="1" noChangeArrowheads="1"/>
                    </pic:cNvPicPr>
                  </pic:nvPicPr>
                  <pic:blipFill rotWithShape="1">
                    <a:blip r:embed="rId40">
                      <a:extLst>
                        <a:ext uri="{28A0092B-C50C-407E-A947-70E740481C1C}">
                          <a14:useLocalDpi xmlns:a14="http://schemas.microsoft.com/office/drawing/2010/main" val="0"/>
                        </a:ext>
                      </a:extLst>
                    </a:blip>
                    <a:srcRect l="572" t="4871" r="-1"/>
                    <a:stretch/>
                  </pic:blipFill>
                  <pic:spPr bwMode="auto">
                    <a:xfrm>
                      <a:off x="0" y="0"/>
                      <a:ext cx="5249249" cy="3062653"/>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A6D67B" w14:textId="0D2CE586" w:rsidR="00F83421" w:rsidRDefault="008412B7" w:rsidP="005425EC">
      <w:pPr>
        <w:pStyle w:val="FigureCaption"/>
      </w:pPr>
      <w:r>
        <w:t>Figure 4a</w:t>
      </w:r>
    </w:p>
    <w:p w14:paraId="4C9D2289" w14:textId="77777777" w:rsidR="0020344B" w:rsidRDefault="00191513" w:rsidP="005425EC">
      <w:r w:rsidRPr="00B321D6">
        <w:rPr>
          <w:noProof/>
        </w:rPr>
        <w:drawing>
          <wp:inline distT="0" distB="0" distL="0" distR="0" wp14:anchorId="7490C20D" wp14:editId="7660C4B9">
            <wp:extent cx="5299661" cy="3041283"/>
            <wp:effectExtent l="19050" t="19050" r="0" b="6985"/>
            <wp:docPr id="25" name="Picture 25" descr="Figure 4: Vaccine Efficacy for medically attended LRTI (a) and medically attended severe LRTI (b) due to confirmed RSV in i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4: Vaccine Efficacy for medically attended LRTI (a) and medically attended severe LRTI (b) due to confirmed RSV in infants"/>
                    <pic:cNvPicPr>
                      <a:picLocks noChangeAspect="1" noChangeArrowheads="1"/>
                    </pic:cNvPicPr>
                  </pic:nvPicPr>
                  <pic:blipFill rotWithShape="1">
                    <a:blip r:embed="rId41">
                      <a:extLst>
                        <a:ext uri="{28A0092B-C50C-407E-A947-70E740481C1C}">
                          <a14:useLocalDpi xmlns:a14="http://schemas.microsoft.com/office/drawing/2010/main" val="0"/>
                        </a:ext>
                      </a:extLst>
                    </a:blip>
                    <a:srcRect l="-227" t="5526"/>
                    <a:stretch/>
                  </pic:blipFill>
                  <pic:spPr bwMode="auto">
                    <a:xfrm>
                      <a:off x="0" y="0"/>
                      <a:ext cx="5309577" cy="3046974"/>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DEC373" w14:textId="635F021A" w:rsidR="00F83421" w:rsidRPr="008412B7" w:rsidRDefault="008412B7" w:rsidP="005425EC">
      <w:pPr>
        <w:pStyle w:val="FigureCaption"/>
        <w:rPr>
          <w:b/>
          <w:bCs/>
          <w:i/>
          <w:iCs/>
        </w:rPr>
      </w:pPr>
      <w:r>
        <w:t>Figure 4b</w:t>
      </w:r>
    </w:p>
    <w:p w14:paraId="14FC0647" w14:textId="263D0995" w:rsidR="00F83421" w:rsidRPr="008412B7" w:rsidRDefault="00191513" w:rsidP="008412B7">
      <w:r w:rsidRPr="008412B7">
        <w:t>Most infections were</w:t>
      </w:r>
      <w:r w:rsidR="00293C05" w:rsidRPr="008412B7">
        <w:t xml:space="preserve"> caused</w:t>
      </w:r>
      <w:r w:rsidRPr="008412B7">
        <w:t xml:space="preserve"> by </w:t>
      </w:r>
      <w:r w:rsidR="00293C05" w:rsidRPr="008412B7">
        <w:t xml:space="preserve">the </w:t>
      </w:r>
      <w:r w:rsidRPr="008412B7">
        <w:t>RSV B</w:t>
      </w:r>
      <w:r w:rsidR="00293C05" w:rsidRPr="008412B7">
        <w:t xml:space="preserve"> subgroup</w:t>
      </w:r>
      <w:r w:rsidRPr="008412B7">
        <w:t>.</w:t>
      </w:r>
      <w:r w:rsidR="00D7359B" w:rsidRPr="008412B7">
        <w:t xml:space="preserve"> </w:t>
      </w:r>
      <w:r w:rsidRPr="008412B7">
        <w:t>VE</w:t>
      </w:r>
      <w:r w:rsidR="00A4308A">
        <w:t xml:space="preserve"> </w:t>
      </w:r>
      <w:r w:rsidRPr="008412B7">
        <w:t xml:space="preserve">(%) by </w:t>
      </w:r>
      <w:r w:rsidR="00293C05" w:rsidRPr="008412B7">
        <w:t xml:space="preserve">the </w:t>
      </w:r>
      <w:r w:rsidRPr="008412B7">
        <w:t xml:space="preserve">RSV A or </w:t>
      </w:r>
      <w:r w:rsidR="00293C05" w:rsidRPr="008412B7">
        <w:t xml:space="preserve">RSV </w:t>
      </w:r>
      <w:r w:rsidRPr="008412B7">
        <w:t xml:space="preserve">B </w:t>
      </w:r>
      <w:r w:rsidR="00293C05" w:rsidRPr="008412B7">
        <w:t xml:space="preserve">subgroups </w:t>
      </w:r>
      <w:r w:rsidRPr="008412B7">
        <w:t xml:space="preserve">for MA-LRTI within 180 days after birth </w:t>
      </w:r>
      <w:r w:rsidR="008412B7" w:rsidRPr="008412B7">
        <w:t>is</w:t>
      </w:r>
      <w:r w:rsidR="0020344B" w:rsidRPr="008412B7">
        <w:t xml:space="preserve"> shown in </w:t>
      </w:r>
      <w:r w:rsidR="00F83421" w:rsidRPr="008412B7">
        <w:t>Table 1</w:t>
      </w:r>
      <w:r w:rsidR="0041509E">
        <w:t>6</w:t>
      </w:r>
      <w:r w:rsidR="008412B7" w:rsidRPr="008412B7">
        <w:t>.</w:t>
      </w:r>
    </w:p>
    <w:p w14:paraId="5A856ED8" w14:textId="52E9528B" w:rsidR="00191513" w:rsidRPr="008412B7" w:rsidRDefault="00F83421" w:rsidP="005425EC">
      <w:pPr>
        <w:pStyle w:val="TableTitle"/>
      </w:pPr>
      <w:r w:rsidRPr="008412B7">
        <w:lastRenderedPageBreak/>
        <w:t>Table 1</w:t>
      </w:r>
      <w:r w:rsidR="0041509E">
        <w:t>6</w:t>
      </w:r>
      <w:r w:rsidR="00191513" w:rsidRPr="008412B7">
        <w:t>:</w:t>
      </w:r>
      <w:r w:rsidR="00D7359B" w:rsidRPr="008412B7">
        <w:t xml:space="preserve"> Medically attended LRTIs confirmed by the </w:t>
      </w:r>
      <w:r w:rsidR="00D7359B" w:rsidRPr="007B69F6">
        <w:t>EAC,</w:t>
      </w:r>
      <w:r w:rsidR="00D7359B" w:rsidRPr="008412B7">
        <w:t xml:space="preserve"> shown by RSV subgroup A and subgroup B, occurring within 180 days after birth – </w:t>
      </w:r>
      <w:r w:rsidR="008412B7">
        <w:t>i</w:t>
      </w:r>
      <w:r w:rsidR="00D7359B" w:rsidRPr="008412B7">
        <w:t xml:space="preserve">nfant </w:t>
      </w:r>
      <w:r w:rsidR="008412B7">
        <w:t>p</w:t>
      </w:r>
      <w:r w:rsidR="00D7359B" w:rsidRPr="008412B7">
        <w:t xml:space="preserve">articipants – </w:t>
      </w:r>
      <w:r w:rsidR="008412B7">
        <w:t>e</w:t>
      </w:r>
      <w:r w:rsidR="00D7359B" w:rsidRPr="008412B7">
        <w:t xml:space="preserve">valuable </w:t>
      </w:r>
      <w:r w:rsidR="008412B7">
        <w:t>e</w:t>
      </w:r>
      <w:r w:rsidR="00D7359B" w:rsidRPr="008412B7">
        <w:t xml:space="preserve">fficacy </w:t>
      </w:r>
      <w:r w:rsidR="008412B7">
        <w:t>p</w:t>
      </w:r>
      <w:r w:rsidR="00D7359B" w:rsidRPr="008412B7">
        <w:t>opulation</w:t>
      </w:r>
      <w:r w:rsidR="00E672F2">
        <w:t>.</w:t>
      </w:r>
    </w:p>
    <w:p w14:paraId="4BFA3833" w14:textId="77777777" w:rsidR="00191513" w:rsidRPr="00B321D6" w:rsidRDefault="00191513" w:rsidP="005425EC">
      <w:r w:rsidRPr="00B321D6">
        <w:rPr>
          <w:noProof/>
        </w:rPr>
        <w:drawing>
          <wp:inline distT="0" distB="0" distL="0" distR="0" wp14:anchorId="4A1EF543" wp14:editId="38A8F604">
            <wp:extent cx="5054600" cy="1530941"/>
            <wp:effectExtent l="19050" t="19050" r="12700" b="12700"/>
            <wp:docPr id="32" name="Picture 32" descr="Table 16: Medically attended LRTIs confirmed by the EAC, shown by RSV subgroup A and subgroup B, occurring within 180 days after birth – infant participants – evaluable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 16: Medically attended LRTIs confirmed by the EAC, shown by RSV subgroup A and subgroup B, occurring within 180 days after birth – infant participants – evaluable efficacy population."/>
                    <pic:cNvPicPr>
                      <a:picLocks noChangeAspect="1" noChangeArrowheads="1"/>
                    </pic:cNvPicPr>
                  </pic:nvPicPr>
                  <pic:blipFill rotWithShape="1">
                    <a:blip r:embed="rId42">
                      <a:extLst>
                        <a:ext uri="{28A0092B-C50C-407E-A947-70E740481C1C}">
                          <a14:useLocalDpi xmlns:a14="http://schemas.microsoft.com/office/drawing/2010/main" val="0"/>
                        </a:ext>
                      </a:extLst>
                    </a:blip>
                    <a:srcRect l="1217" t="28682" r="1934" b="-1"/>
                    <a:stretch/>
                  </pic:blipFill>
                  <pic:spPr bwMode="auto">
                    <a:xfrm>
                      <a:off x="0" y="0"/>
                      <a:ext cx="5054600" cy="1530941"/>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551CF4" w14:textId="7E86FC65" w:rsidR="008412B7" w:rsidRPr="008412B7" w:rsidRDefault="008412B7" w:rsidP="008412B7">
      <w:r w:rsidRPr="008412B7">
        <w:t>VE (%) by the RSV A or RSV B subgroups for severe MA-LRTI within 180 days after birth is shown in Table 1</w:t>
      </w:r>
      <w:r w:rsidR="0041509E">
        <w:t>7</w:t>
      </w:r>
      <w:r w:rsidRPr="008412B7">
        <w:t>.</w:t>
      </w:r>
    </w:p>
    <w:p w14:paraId="594ACD4C" w14:textId="7BADBAEF" w:rsidR="00191513" w:rsidRPr="008412B7" w:rsidRDefault="00D7359B" w:rsidP="005425EC">
      <w:pPr>
        <w:pStyle w:val="TableTitle"/>
      </w:pPr>
      <w:r w:rsidRPr="008412B7">
        <w:t>Table 1</w:t>
      </w:r>
      <w:r w:rsidR="0041509E">
        <w:t>7</w:t>
      </w:r>
      <w:r w:rsidRPr="008412B7">
        <w:t xml:space="preserve">: Severe medically attended LRTIs confirmed by the EAC, shown by RSV subgroup A and subgroup B, occurring within 180 days after birth – </w:t>
      </w:r>
      <w:r w:rsidR="008412B7">
        <w:t>i</w:t>
      </w:r>
      <w:r w:rsidRPr="008412B7">
        <w:t xml:space="preserve">nfant </w:t>
      </w:r>
      <w:r w:rsidR="008412B7">
        <w:t>p</w:t>
      </w:r>
      <w:r w:rsidRPr="008412B7">
        <w:t xml:space="preserve">articipants – </w:t>
      </w:r>
      <w:r w:rsidR="008412B7">
        <w:t>e</w:t>
      </w:r>
      <w:r w:rsidRPr="008412B7">
        <w:t xml:space="preserve">valuable </w:t>
      </w:r>
      <w:r w:rsidR="008412B7">
        <w:t>e</w:t>
      </w:r>
      <w:r w:rsidRPr="008412B7">
        <w:t xml:space="preserve">fficacy </w:t>
      </w:r>
      <w:r w:rsidR="008412B7">
        <w:t>p</w:t>
      </w:r>
      <w:r w:rsidRPr="008412B7">
        <w:t>opulation</w:t>
      </w:r>
      <w:r w:rsidR="00E672F2">
        <w:t>.</w:t>
      </w:r>
    </w:p>
    <w:p w14:paraId="25B2D578" w14:textId="77777777" w:rsidR="00191513" w:rsidRPr="00B321D6" w:rsidRDefault="00191513" w:rsidP="005425EC">
      <w:r w:rsidRPr="00B321D6">
        <w:rPr>
          <w:noProof/>
        </w:rPr>
        <w:drawing>
          <wp:inline distT="0" distB="0" distL="0" distR="0" wp14:anchorId="2FCAEEA0" wp14:editId="4D1F6907">
            <wp:extent cx="5015099" cy="1504950"/>
            <wp:effectExtent l="19050" t="19050" r="14605" b="19050"/>
            <wp:docPr id="33" name="Picture 33" descr="Table 17: Severe medically attended LRTIs confirmed by the EAC, shown by RSV subgroup A and subgroup B, occurring within 180 days after birth – infant participants – evaluable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 17: Severe medically attended LRTIs confirmed by the EAC, shown by RSV subgroup A and subgroup B, occurring within 180 days after birth – infant participants – evaluable efficacy population."/>
                    <pic:cNvPicPr>
                      <a:picLocks noChangeAspect="1" noChangeArrowheads="1"/>
                    </pic:cNvPicPr>
                  </pic:nvPicPr>
                  <pic:blipFill rotWithShape="1">
                    <a:blip r:embed="rId43">
                      <a:extLst>
                        <a:ext uri="{28A0092B-C50C-407E-A947-70E740481C1C}">
                          <a14:useLocalDpi xmlns:a14="http://schemas.microsoft.com/office/drawing/2010/main" val="0"/>
                        </a:ext>
                      </a:extLst>
                    </a:blip>
                    <a:srcRect l="1354" t="25816" r="1488" b="6925"/>
                    <a:stretch/>
                  </pic:blipFill>
                  <pic:spPr bwMode="auto">
                    <a:xfrm>
                      <a:off x="0" y="0"/>
                      <a:ext cx="5041215" cy="1512787"/>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D1F1C2" w14:textId="443B6930" w:rsidR="00F83421" w:rsidRPr="008412B7" w:rsidRDefault="00191513" w:rsidP="008412B7">
      <w:r w:rsidRPr="008412B7">
        <w:t xml:space="preserve">VE (%) for </w:t>
      </w:r>
      <w:r w:rsidR="00D7359B" w:rsidRPr="008412B7">
        <w:t>RSV-</w:t>
      </w:r>
      <w:r w:rsidRPr="008412B7">
        <w:t xml:space="preserve">specific hospitalisations in infants after birth were significantly reduced in infants born to vaccinated mothers compared </w:t>
      </w:r>
      <w:r w:rsidR="0025184B">
        <w:t xml:space="preserve">to </w:t>
      </w:r>
      <w:r w:rsidRPr="008412B7">
        <w:t xml:space="preserve">infants </w:t>
      </w:r>
      <w:r w:rsidR="0025184B">
        <w:t xml:space="preserve">born </w:t>
      </w:r>
      <w:r w:rsidRPr="008412B7">
        <w:t xml:space="preserve">to </w:t>
      </w:r>
      <w:r w:rsidR="0025184B">
        <w:t xml:space="preserve">mothers who received </w:t>
      </w:r>
      <w:r w:rsidRPr="008412B7">
        <w:t>the placebo</w:t>
      </w:r>
      <w:r w:rsidR="0025184B">
        <w:t xml:space="preserve">, </w:t>
      </w:r>
      <w:r w:rsidRPr="008412B7">
        <w:t xml:space="preserve">and the advantage was maintained to </w:t>
      </w:r>
      <w:r w:rsidR="00FE66D9">
        <w:t>six</w:t>
      </w:r>
      <w:r w:rsidRPr="008412B7">
        <w:t xml:space="preserve"> months after birth</w:t>
      </w:r>
      <w:r w:rsidR="00F83421" w:rsidRPr="008412B7">
        <w:t xml:space="preserve"> (see </w:t>
      </w:r>
      <w:r w:rsidR="00DA1B50">
        <w:t>T</w:t>
      </w:r>
      <w:r w:rsidR="00F83421" w:rsidRPr="008412B7">
        <w:t>able 1</w:t>
      </w:r>
      <w:r w:rsidR="0041509E">
        <w:t>8</w:t>
      </w:r>
      <w:r w:rsidR="00F83421" w:rsidRPr="008412B7">
        <w:t>).</w:t>
      </w:r>
    </w:p>
    <w:p w14:paraId="0A35BF2B" w14:textId="6BE9995F" w:rsidR="00F83421" w:rsidRPr="008412B7" w:rsidRDefault="00F83421" w:rsidP="005425EC">
      <w:pPr>
        <w:pStyle w:val="TableTitle"/>
      </w:pPr>
      <w:r w:rsidRPr="008412B7">
        <w:t>Table 1</w:t>
      </w:r>
      <w:r w:rsidR="0041509E">
        <w:t>8</w:t>
      </w:r>
      <w:r w:rsidRPr="008412B7">
        <w:t>: Hospitalisation due to RSV</w:t>
      </w:r>
      <w:r w:rsidR="00D7359B" w:rsidRPr="008412B7">
        <w:t xml:space="preserve">, confirmed by the EAC, occurring within 90, 120, 150, 180, and 360 days after birth – </w:t>
      </w:r>
      <w:r w:rsidR="008412B7">
        <w:t>i</w:t>
      </w:r>
      <w:r w:rsidR="00D7359B" w:rsidRPr="008412B7">
        <w:t xml:space="preserve">nfant </w:t>
      </w:r>
      <w:r w:rsidR="008412B7">
        <w:t>p</w:t>
      </w:r>
      <w:r w:rsidR="00D7359B" w:rsidRPr="008412B7">
        <w:t xml:space="preserve">articipants – </w:t>
      </w:r>
      <w:r w:rsidR="008412B7">
        <w:t>e</w:t>
      </w:r>
      <w:r w:rsidR="00D7359B" w:rsidRPr="008412B7">
        <w:t xml:space="preserve">valuable </w:t>
      </w:r>
      <w:r w:rsidR="008412B7">
        <w:t>e</w:t>
      </w:r>
      <w:r w:rsidR="00D7359B" w:rsidRPr="008412B7">
        <w:t xml:space="preserve">fficacy </w:t>
      </w:r>
      <w:r w:rsidR="008412B7">
        <w:t>p</w:t>
      </w:r>
      <w:r w:rsidR="00D7359B" w:rsidRPr="008412B7">
        <w:t>opulation</w:t>
      </w:r>
      <w:r w:rsidR="00E672F2">
        <w:t>.</w:t>
      </w:r>
    </w:p>
    <w:p w14:paraId="1484F2E8" w14:textId="42F33539" w:rsidR="00191513" w:rsidRPr="00B321D6" w:rsidRDefault="0025184B" w:rsidP="005425EC">
      <w:r>
        <w:rPr>
          <w:noProof/>
        </w:rPr>
        <w:drawing>
          <wp:inline distT="0" distB="0" distL="0" distR="0" wp14:anchorId="0D2A3EBC" wp14:editId="32227AD1">
            <wp:extent cx="5565140" cy="1987280"/>
            <wp:effectExtent l="19050" t="19050" r="0" b="0"/>
            <wp:docPr id="3" name="Picture 3" descr="Table 18: Hospitalisation due to RSV, confirmed by the EAC, occurring within 90, 120, 150, 180, and 360 days after birth – infant participants – evaluable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18: Hospitalisation due to RSV, confirmed by the EAC, occurring within 90, 120, 150, 180, and 360 days after birth – infant participants – evaluable efficacy population."/>
                    <pic:cNvPicPr>
                      <a:picLocks noChangeAspect="1" noChangeArrowheads="1"/>
                    </pic:cNvPicPr>
                  </pic:nvPicPr>
                  <pic:blipFill rotWithShape="1">
                    <a:blip r:embed="rId44">
                      <a:extLst>
                        <a:ext uri="{28A0092B-C50C-407E-A947-70E740481C1C}">
                          <a14:useLocalDpi xmlns:a14="http://schemas.microsoft.com/office/drawing/2010/main" val="0"/>
                        </a:ext>
                      </a:extLst>
                    </a:blip>
                    <a:srcRect l="-229" t="25479"/>
                    <a:stretch/>
                  </pic:blipFill>
                  <pic:spPr bwMode="auto">
                    <a:xfrm>
                      <a:off x="0" y="0"/>
                      <a:ext cx="5568038" cy="1988315"/>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4B6757CB" w14:textId="7863ECC0" w:rsidR="00191513" w:rsidRPr="008412B7" w:rsidRDefault="00191513" w:rsidP="008412B7">
      <w:r w:rsidRPr="008412B7">
        <w:t xml:space="preserve">The results for all cause hospitalisations were not included. However, VE (%) for MA-LRTI due to any cause was not significantly different between the </w:t>
      </w:r>
      <w:r w:rsidR="005B5AA4" w:rsidRPr="008412B7">
        <w:t>two</w:t>
      </w:r>
      <w:r w:rsidRPr="008412B7">
        <w:t xml:space="preserve"> groups at any timepoint after birth as shown</w:t>
      </w:r>
      <w:r w:rsidR="00F83421" w:rsidRPr="008412B7">
        <w:t xml:space="preserve"> in Table 1</w:t>
      </w:r>
      <w:r w:rsidR="0041509E">
        <w:t>9</w:t>
      </w:r>
      <w:r w:rsidR="00F83421" w:rsidRPr="008412B7">
        <w:t>.</w:t>
      </w:r>
    </w:p>
    <w:p w14:paraId="057DB5A1" w14:textId="6E130D14" w:rsidR="00F83421" w:rsidRPr="008412B7" w:rsidRDefault="00F83421" w:rsidP="005425EC">
      <w:pPr>
        <w:pStyle w:val="TableTitle"/>
      </w:pPr>
      <w:r w:rsidRPr="008412B7">
        <w:lastRenderedPageBreak/>
        <w:t>Table 1</w:t>
      </w:r>
      <w:r w:rsidR="0041509E">
        <w:t>9</w:t>
      </w:r>
      <w:r w:rsidRPr="008412B7">
        <w:t>:</w:t>
      </w:r>
      <w:r w:rsidR="00D7359B" w:rsidRPr="008412B7">
        <w:t xml:space="preserve"> Medically attended LRTIs due to any cause with protocol defined criteria, per investigator, occurring within 90, 120, 150, 180 and 360 days after birth – </w:t>
      </w:r>
      <w:r w:rsidR="008412B7">
        <w:t>i</w:t>
      </w:r>
      <w:r w:rsidR="00D7359B" w:rsidRPr="008412B7">
        <w:t xml:space="preserve">nfant </w:t>
      </w:r>
      <w:r w:rsidR="008412B7">
        <w:t>p</w:t>
      </w:r>
      <w:r w:rsidR="00D7359B" w:rsidRPr="008412B7">
        <w:t xml:space="preserve">articipants – </w:t>
      </w:r>
      <w:r w:rsidR="008412B7">
        <w:t>e</w:t>
      </w:r>
      <w:r w:rsidR="00D7359B" w:rsidRPr="008412B7">
        <w:t xml:space="preserve">valuable </w:t>
      </w:r>
      <w:r w:rsidR="008412B7">
        <w:t>e</w:t>
      </w:r>
      <w:r w:rsidR="00D7359B" w:rsidRPr="008412B7">
        <w:t xml:space="preserve">fficacy </w:t>
      </w:r>
      <w:r w:rsidR="008412B7">
        <w:t>p</w:t>
      </w:r>
      <w:r w:rsidR="00D7359B" w:rsidRPr="008412B7">
        <w:t>opulation</w:t>
      </w:r>
      <w:r w:rsidR="00E672F2">
        <w:t>.</w:t>
      </w:r>
    </w:p>
    <w:p w14:paraId="569FD259" w14:textId="7007A835" w:rsidR="00191513" w:rsidRDefault="0025184B" w:rsidP="005425EC">
      <w:r>
        <w:rPr>
          <w:noProof/>
        </w:rPr>
        <w:drawing>
          <wp:inline distT="0" distB="0" distL="0" distR="0" wp14:anchorId="22965E33" wp14:editId="25A2BEC9">
            <wp:extent cx="5449310" cy="1955800"/>
            <wp:effectExtent l="19050" t="19050" r="0" b="6350"/>
            <wp:docPr id="4" name="Picture 4" descr="Table 19: Medically attended LRTIs due to any cause with protocol defined criteria, per investigator, occurring within 90, 120, 150, 180 and 360 days after birth – infant participants – evaluable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19: Medically attended LRTIs due to any cause with protocol defined criteria, per investigator, occurring within 90, 120, 150, 180 and 360 days after birth – infant participants – evaluable efficacy population."/>
                    <pic:cNvPicPr>
                      <a:picLocks noChangeAspect="1" noChangeArrowheads="1"/>
                    </pic:cNvPicPr>
                  </pic:nvPicPr>
                  <pic:blipFill rotWithShape="1">
                    <a:blip r:embed="rId45">
                      <a:extLst>
                        <a:ext uri="{28A0092B-C50C-407E-A947-70E740481C1C}">
                          <a14:useLocalDpi xmlns:a14="http://schemas.microsoft.com/office/drawing/2010/main" val="0"/>
                        </a:ext>
                      </a:extLst>
                    </a:blip>
                    <a:srcRect l="273" t="22654"/>
                    <a:stretch/>
                  </pic:blipFill>
                  <pic:spPr bwMode="auto">
                    <a:xfrm>
                      <a:off x="0" y="0"/>
                      <a:ext cx="5450914" cy="1956376"/>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07D2096D" w14:textId="3EFD85D0" w:rsidR="00191513" w:rsidRDefault="00191513" w:rsidP="007020B9">
      <w:r w:rsidRPr="008412B7">
        <w:t>There were too few cases of RSV to allow</w:t>
      </w:r>
      <w:r w:rsidR="00293C05" w:rsidRPr="008412B7">
        <w:t xml:space="preserve"> a</w:t>
      </w:r>
      <w:r w:rsidRPr="008412B7">
        <w:t xml:space="preserve"> reliable estimate of VE within the prematurely born </w:t>
      </w:r>
      <w:r w:rsidR="00F83421" w:rsidRPr="008412B7">
        <w:t xml:space="preserve">(&lt;37 weeks gestation) </w:t>
      </w:r>
      <w:r w:rsidRPr="008412B7">
        <w:t>subgroup of infants</w:t>
      </w:r>
      <w:r w:rsidR="00F83421" w:rsidRPr="008412B7">
        <w:t xml:space="preserve">. </w:t>
      </w:r>
    </w:p>
    <w:p w14:paraId="1FC04802" w14:textId="5EBA57B7" w:rsidR="00191513" w:rsidRPr="008412B7" w:rsidRDefault="00191513" w:rsidP="008412B7">
      <w:r w:rsidRPr="008412B7">
        <w:t xml:space="preserve">A secondary/exploratory outcome was incidence of maternal all-cause </w:t>
      </w:r>
      <w:r w:rsidR="00487157">
        <w:t>medically attended-respiratory tract illnesses (</w:t>
      </w:r>
      <w:r w:rsidRPr="008412B7">
        <w:t>MA</w:t>
      </w:r>
      <w:r w:rsidRPr="00C43898">
        <w:t>-RTIs</w:t>
      </w:r>
      <w:r w:rsidR="00487157" w:rsidRPr="00487157">
        <w:t>)</w:t>
      </w:r>
      <w:r w:rsidRPr="008412B7">
        <w:t xml:space="preserve"> </w:t>
      </w:r>
      <w:r w:rsidR="00FE4F4C" w:rsidRPr="008412B7">
        <w:t>a</w:t>
      </w:r>
      <w:r w:rsidRPr="008412B7">
        <w:t>t 180 days after delivery. This incidence was similar (6.7% v</w:t>
      </w:r>
      <w:r w:rsidR="00FE4F4C" w:rsidRPr="008412B7">
        <w:t>ersus</w:t>
      </w:r>
      <w:r w:rsidRPr="008412B7">
        <w:t xml:space="preserve"> 6.6%) in maternal RSVpreF recipients v</w:t>
      </w:r>
      <w:r w:rsidR="00FE4F4C" w:rsidRPr="008412B7">
        <w:t>ersu</w:t>
      </w:r>
      <w:r w:rsidRPr="008412B7">
        <w:t>s maternal placebo recipients</w:t>
      </w:r>
      <w:r w:rsidR="008412B7" w:rsidRPr="008412B7">
        <w:t xml:space="preserve"> (see Table </w:t>
      </w:r>
      <w:r w:rsidR="0041509E">
        <w:t>2</w:t>
      </w:r>
      <w:r w:rsidR="007020B9">
        <w:t>0</w:t>
      </w:r>
      <w:r w:rsidR="008412B7" w:rsidRPr="008412B7">
        <w:t>)</w:t>
      </w:r>
      <w:r w:rsidR="00293C05" w:rsidRPr="008412B7">
        <w:t>.</w:t>
      </w:r>
    </w:p>
    <w:p w14:paraId="6FA9B896" w14:textId="3DF23E6B" w:rsidR="00F83421" w:rsidRPr="008412B7" w:rsidRDefault="008412B7" w:rsidP="005425EC">
      <w:pPr>
        <w:pStyle w:val="TableTitle"/>
      </w:pPr>
      <w:r>
        <w:t xml:space="preserve">Table </w:t>
      </w:r>
      <w:r w:rsidR="0041509E">
        <w:t>2</w:t>
      </w:r>
      <w:r w:rsidR="007020B9">
        <w:t>0</w:t>
      </w:r>
      <w:r>
        <w:t>: Incidence of all cause MA-RTIs from vaccination up to 180 days after delivery – maternal participants – safety population</w:t>
      </w:r>
      <w:r w:rsidR="007020B9">
        <w:t>.</w:t>
      </w:r>
    </w:p>
    <w:p w14:paraId="785B5FA5" w14:textId="5D9002E3" w:rsidR="00191513" w:rsidRPr="008412B7" w:rsidRDefault="00191513" w:rsidP="005425EC">
      <w:r w:rsidRPr="00B321D6">
        <w:rPr>
          <w:noProof/>
        </w:rPr>
        <w:drawing>
          <wp:inline distT="0" distB="0" distL="0" distR="0" wp14:anchorId="176DD184" wp14:editId="535F68A9">
            <wp:extent cx="5636905" cy="1492250"/>
            <wp:effectExtent l="19050" t="19050" r="20955" b="12700"/>
            <wp:docPr id="35" name="Picture 35" descr="Table 20: Incidence of all cause MA-RTIs from vaccination up to 180 days after delivery – maternal participant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 20: Incidence of all cause MA-RTIs from vaccination up to 180 days after delivery – maternal participants – safety population."/>
                    <pic:cNvPicPr>
                      <a:picLocks noChangeAspect="1" noChangeArrowheads="1"/>
                    </pic:cNvPicPr>
                  </pic:nvPicPr>
                  <pic:blipFill rotWithShape="1">
                    <a:blip r:embed="rId46">
                      <a:extLst>
                        <a:ext uri="{28A0092B-C50C-407E-A947-70E740481C1C}">
                          <a14:useLocalDpi xmlns:a14="http://schemas.microsoft.com/office/drawing/2010/main" val="0"/>
                        </a:ext>
                      </a:extLst>
                    </a:blip>
                    <a:srcRect l="268" t="25950" r="1"/>
                    <a:stretch/>
                  </pic:blipFill>
                  <pic:spPr bwMode="auto">
                    <a:xfrm>
                      <a:off x="0" y="0"/>
                      <a:ext cx="5678091" cy="1503153"/>
                    </a:xfrm>
                    <a:prstGeom prst="rect">
                      <a:avLst/>
                    </a:prstGeom>
                    <a:noFill/>
                    <a:ln w="9525" cap="flat" cmpd="sng" algn="ctr">
                      <a:solidFill>
                        <a:schemeClr val="bg2">
                          <a:lumMod val="9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8412B7">
        <w:t xml:space="preserve">A numerical imbalance in </w:t>
      </w:r>
      <w:r w:rsidR="00293C05" w:rsidRPr="008412B7">
        <w:t xml:space="preserve">the </w:t>
      </w:r>
      <w:r w:rsidRPr="008412B7">
        <w:t>premature birth rate of 5.7% (95%</w:t>
      </w:r>
      <w:r w:rsidR="00362099">
        <w:t xml:space="preserve"> </w:t>
      </w:r>
      <w:r w:rsidRPr="008412B7">
        <w:t xml:space="preserve">CI 4.9%, 6.5%) in </w:t>
      </w:r>
      <w:r w:rsidR="00FE4F4C" w:rsidRPr="008412B7">
        <w:t xml:space="preserve">the </w:t>
      </w:r>
      <w:r w:rsidRPr="008412B7">
        <w:t>RSVpreF group v</w:t>
      </w:r>
      <w:r w:rsidR="00FE4F4C" w:rsidRPr="008412B7">
        <w:t>ersu</w:t>
      </w:r>
      <w:r w:rsidRPr="008412B7">
        <w:t>s 4.8% (95%</w:t>
      </w:r>
      <w:r w:rsidR="00362099">
        <w:t xml:space="preserve"> </w:t>
      </w:r>
      <w:r w:rsidRPr="008412B7">
        <w:t xml:space="preserve">CI 4.1%, 5.5%) in </w:t>
      </w:r>
      <w:r w:rsidR="00FE4F4C" w:rsidRPr="008412B7">
        <w:t xml:space="preserve">the </w:t>
      </w:r>
      <w:r w:rsidRPr="008412B7">
        <w:t>placebo group was reported in the study. Similarly, there was a numerical imbalance in the rate of low</w:t>
      </w:r>
      <w:r w:rsidR="00FE4F4C" w:rsidRPr="008412B7">
        <w:t>-</w:t>
      </w:r>
      <w:r w:rsidRPr="008412B7">
        <w:t>birth weight babie</w:t>
      </w:r>
      <w:r w:rsidR="00293C05" w:rsidRPr="008412B7">
        <w:t>s, with</w:t>
      </w:r>
      <w:r w:rsidRPr="008412B7">
        <w:t xml:space="preserve"> 5.1% (95%</w:t>
      </w:r>
      <w:r w:rsidR="00362099">
        <w:t xml:space="preserve"> </w:t>
      </w:r>
      <w:r w:rsidRPr="008412B7">
        <w:t xml:space="preserve">CI 4.4%, 5.8%) </w:t>
      </w:r>
      <w:r w:rsidR="00293C05" w:rsidRPr="008412B7">
        <w:t xml:space="preserve">reported </w:t>
      </w:r>
      <w:r w:rsidRPr="008412B7">
        <w:t xml:space="preserve">in </w:t>
      </w:r>
      <w:r w:rsidR="00FE4F4C" w:rsidRPr="008412B7">
        <w:t xml:space="preserve">the </w:t>
      </w:r>
      <w:r w:rsidRPr="008412B7">
        <w:t>RSVpreF group v</w:t>
      </w:r>
      <w:r w:rsidR="00FE4F4C" w:rsidRPr="008412B7">
        <w:t>ersu</w:t>
      </w:r>
      <w:r w:rsidRPr="008412B7">
        <w:t>s 4.3% (95%</w:t>
      </w:r>
      <w:r w:rsidR="00362099">
        <w:t xml:space="preserve"> </w:t>
      </w:r>
      <w:r w:rsidRPr="008412B7">
        <w:t xml:space="preserve">CI 3.7%, 5.0%) in </w:t>
      </w:r>
      <w:r w:rsidR="00FE4F4C" w:rsidRPr="008412B7">
        <w:t xml:space="preserve">the </w:t>
      </w:r>
      <w:r w:rsidRPr="008412B7">
        <w:t xml:space="preserve">placebo group. </w:t>
      </w:r>
      <w:r w:rsidR="00FE4F4C" w:rsidRPr="008412B7">
        <w:t>R</w:t>
      </w:r>
      <w:r w:rsidRPr="008412B7">
        <w:t>esults stratified by high</w:t>
      </w:r>
      <w:r w:rsidR="00FE4F4C" w:rsidRPr="008412B7">
        <w:t>-</w:t>
      </w:r>
      <w:r w:rsidRPr="008412B7">
        <w:t xml:space="preserve"> and low </w:t>
      </w:r>
      <w:r w:rsidR="00FE4F4C" w:rsidRPr="008412B7">
        <w:t>-</w:t>
      </w:r>
      <w:r w:rsidRPr="008412B7">
        <w:t xml:space="preserve">income countries indicate that the imbalance was not observed in </w:t>
      </w:r>
      <w:r w:rsidR="00FE4F4C" w:rsidRPr="008412B7">
        <w:t>high-</w:t>
      </w:r>
      <w:r w:rsidRPr="008412B7">
        <w:t xml:space="preserve">income countries implying that </w:t>
      </w:r>
      <w:r w:rsidR="00FE4F4C" w:rsidRPr="008412B7">
        <w:t>this</w:t>
      </w:r>
      <w:r w:rsidRPr="008412B7">
        <w:t xml:space="preserve"> may be related to antenatal care.</w:t>
      </w:r>
    </w:p>
    <w:p w14:paraId="6471398C" w14:textId="346D0ED5" w:rsidR="00191513" w:rsidRPr="008412B7" w:rsidRDefault="00191513" w:rsidP="008412B7">
      <w:r w:rsidRPr="008412B7">
        <w:t xml:space="preserve">Furthermore, no increase in overall infant mortality or increased mortality in prematurely born infants was observed. However, a very small imbalance in overall neonatal hospitalisations (391 [11%] in </w:t>
      </w:r>
      <w:r w:rsidR="00293C05" w:rsidRPr="008412B7">
        <w:t xml:space="preserve">the </w:t>
      </w:r>
      <w:r w:rsidRPr="008412B7">
        <w:t>RSVpreF</w:t>
      </w:r>
      <w:r w:rsidR="00293C05" w:rsidRPr="008412B7">
        <w:t xml:space="preserve"> group</w:t>
      </w:r>
      <w:r w:rsidRPr="008412B7">
        <w:t xml:space="preserve"> v</w:t>
      </w:r>
      <w:r w:rsidR="00FE4F4C" w:rsidRPr="008412B7">
        <w:t>ersu</w:t>
      </w:r>
      <w:r w:rsidRPr="008412B7">
        <w:t>s 353 [9.9%] in</w:t>
      </w:r>
      <w:r w:rsidR="00293C05" w:rsidRPr="008412B7">
        <w:t xml:space="preserve"> the</w:t>
      </w:r>
      <w:r w:rsidRPr="008412B7">
        <w:t xml:space="preserve"> placebo</w:t>
      </w:r>
      <w:r w:rsidR="00293C05" w:rsidRPr="008412B7">
        <w:t xml:space="preserve"> group</w:t>
      </w:r>
      <w:r w:rsidRPr="008412B7">
        <w:t>), and hospitalisations in those born premature</w:t>
      </w:r>
      <w:r w:rsidR="008412B7" w:rsidRPr="008412B7">
        <w:t>ly</w:t>
      </w:r>
      <w:r w:rsidRPr="008412B7">
        <w:t xml:space="preserve"> (83 [2.3%] in </w:t>
      </w:r>
      <w:r w:rsidR="00293C05" w:rsidRPr="008412B7">
        <w:t xml:space="preserve">the </w:t>
      </w:r>
      <w:r w:rsidRPr="008412B7">
        <w:t>RSVpreF</w:t>
      </w:r>
      <w:r w:rsidR="006F5FA7" w:rsidRPr="008412B7">
        <w:t xml:space="preserve"> </w:t>
      </w:r>
      <w:r w:rsidR="00293C05" w:rsidRPr="008412B7">
        <w:t xml:space="preserve">group </w:t>
      </w:r>
      <w:r w:rsidR="006F5FA7" w:rsidRPr="008412B7">
        <w:t xml:space="preserve">versus </w:t>
      </w:r>
      <w:r w:rsidRPr="008412B7">
        <w:t xml:space="preserve">80 [2.2%] in </w:t>
      </w:r>
      <w:r w:rsidR="00293C05" w:rsidRPr="008412B7">
        <w:t xml:space="preserve">the </w:t>
      </w:r>
      <w:r w:rsidRPr="008412B7">
        <w:t>placebo</w:t>
      </w:r>
      <w:r w:rsidR="00293C05" w:rsidRPr="008412B7">
        <w:t xml:space="preserve"> group</w:t>
      </w:r>
      <w:r w:rsidRPr="008412B7">
        <w:t xml:space="preserve">) were reported. Of the infants born prematurely, the majority in both groups (180/201 [89.5%] in </w:t>
      </w:r>
      <w:r w:rsidR="00293C05" w:rsidRPr="008412B7">
        <w:t xml:space="preserve">the </w:t>
      </w:r>
      <w:r w:rsidRPr="008412B7">
        <w:t xml:space="preserve">RSVpreF </w:t>
      </w:r>
      <w:r w:rsidR="00293C05" w:rsidRPr="008412B7">
        <w:t xml:space="preserve">group </w:t>
      </w:r>
      <w:r w:rsidRPr="008412B7">
        <w:t>v</w:t>
      </w:r>
      <w:r w:rsidR="006F5FA7" w:rsidRPr="008412B7">
        <w:t>ersu</w:t>
      </w:r>
      <w:r w:rsidRPr="008412B7">
        <w:t>s 157/169 [92.9%] in</w:t>
      </w:r>
      <w:r w:rsidR="00293C05" w:rsidRPr="008412B7">
        <w:t xml:space="preserve"> the</w:t>
      </w:r>
      <w:r w:rsidRPr="008412B7">
        <w:t xml:space="preserve"> placebo</w:t>
      </w:r>
      <w:r w:rsidR="00293C05" w:rsidRPr="008412B7">
        <w:t xml:space="preserve"> group</w:t>
      </w:r>
      <w:r w:rsidRPr="008412B7">
        <w:t xml:space="preserve">) were born late preterm between ≥34 to &lt;37 weeks. </w:t>
      </w:r>
      <w:r w:rsidR="00293C05" w:rsidRPr="008412B7">
        <w:t>Further,</w:t>
      </w:r>
      <w:r w:rsidRPr="008412B7">
        <w:t xml:space="preserve"> no differences were observed between the RSVpreF and </w:t>
      </w:r>
      <w:r w:rsidRPr="008412B7">
        <w:lastRenderedPageBreak/>
        <w:t>placebo groups with respect to various time intervals from vaccination to birth among preterm and term infants v</w:t>
      </w:r>
      <w:r w:rsidR="00293C05" w:rsidRPr="008412B7">
        <w:t>ersus</w:t>
      </w:r>
      <w:r w:rsidRPr="008412B7">
        <w:t xml:space="preserve"> </w:t>
      </w:r>
      <w:r w:rsidR="00487157" w:rsidRPr="008412B7">
        <w:t>P</w:t>
      </w:r>
      <w:r w:rsidRPr="008412B7">
        <w:t>lacebo.</w:t>
      </w:r>
    </w:p>
    <w:p w14:paraId="66B98C65" w14:textId="5E50CF2E" w:rsidR="00191513" w:rsidRPr="008412B7" w:rsidRDefault="00191513" w:rsidP="008412B7">
      <w:r w:rsidRPr="008412B7">
        <w:t xml:space="preserve">There is some evidence, based on analysis of subgroups by maternal gestational age at vaccination, that </w:t>
      </w:r>
      <w:r w:rsidR="00293C05" w:rsidRPr="008412B7">
        <w:t xml:space="preserve">reduced </w:t>
      </w:r>
      <w:r w:rsidRPr="008412B7">
        <w:t xml:space="preserve">VE </w:t>
      </w:r>
      <w:r w:rsidR="00293C05" w:rsidRPr="008412B7">
        <w:t xml:space="preserve">at 90 </w:t>
      </w:r>
      <w:r w:rsidR="0025184B">
        <w:t>d</w:t>
      </w:r>
      <w:r w:rsidR="00293C05" w:rsidRPr="008412B7">
        <w:t xml:space="preserve">ays post vaccination </w:t>
      </w:r>
      <w:r w:rsidRPr="008412B7">
        <w:t>is related with earlier vaccination (</w:t>
      </w:r>
      <w:r w:rsidR="00293C05" w:rsidRPr="008412B7">
        <w:t>before 28 weeks gestation)</w:t>
      </w:r>
      <w:r w:rsidR="008412B7" w:rsidRPr="008412B7">
        <w:t xml:space="preserve"> as shown in </w:t>
      </w:r>
      <w:r w:rsidR="00DB26AA" w:rsidRPr="008412B7">
        <w:t>Table</w:t>
      </w:r>
      <w:r w:rsidR="00F83421" w:rsidRPr="008412B7">
        <w:t xml:space="preserve"> </w:t>
      </w:r>
      <w:r w:rsidR="00824FCC">
        <w:t>2</w:t>
      </w:r>
      <w:r w:rsidR="00E672F2">
        <w:t>1</w:t>
      </w:r>
      <w:r w:rsidR="00DB26AA" w:rsidRPr="008412B7">
        <w:t>.</w:t>
      </w:r>
    </w:p>
    <w:p w14:paraId="54C309DD" w14:textId="6A8792AE" w:rsidR="00DB26AA" w:rsidRPr="008412B7" w:rsidRDefault="00DB26AA" w:rsidP="005425EC">
      <w:pPr>
        <w:pStyle w:val="TableTitle"/>
      </w:pPr>
      <w:r w:rsidRPr="008412B7">
        <w:t>Table</w:t>
      </w:r>
      <w:r w:rsidR="00F83421" w:rsidRPr="008412B7">
        <w:t xml:space="preserve"> </w:t>
      </w:r>
      <w:r w:rsidR="00824FCC">
        <w:t>2</w:t>
      </w:r>
      <w:r w:rsidR="00E672F2">
        <w:t>1</w:t>
      </w:r>
      <w:r w:rsidR="00293C05" w:rsidRPr="008412B7">
        <w:t>: RSV-</w:t>
      </w:r>
      <w:r w:rsidR="0025184B">
        <w:t>p</w:t>
      </w:r>
      <w:r w:rsidR="0025184B" w:rsidRPr="008412B7">
        <w:t>ositive</w:t>
      </w:r>
      <w:r w:rsidR="00293C05" w:rsidRPr="008412B7">
        <w:t xml:space="preserve">, confirmed by the EAC, occurring within 90, 120, 150, and 180 days after birth </w:t>
      </w:r>
      <w:r w:rsidR="008412B7">
        <w:t>b</w:t>
      </w:r>
      <w:r w:rsidR="00293C05" w:rsidRPr="008412B7">
        <w:t xml:space="preserve">y subgroups – </w:t>
      </w:r>
      <w:r w:rsidR="008412B7">
        <w:t>i</w:t>
      </w:r>
      <w:r w:rsidR="00293C05" w:rsidRPr="008412B7">
        <w:t xml:space="preserve">nfant </w:t>
      </w:r>
      <w:r w:rsidR="008412B7">
        <w:t>p</w:t>
      </w:r>
      <w:r w:rsidR="00293C05" w:rsidRPr="008412B7">
        <w:t xml:space="preserve">articipants – </w:t>
      </w:r>
      <w:r w:rsidR="008412B7">
        <w:t>e</w:t>
      </w:r>
      <w:r w:rsidR="00293C05" w:rsidRPr="008412B7">
        <w:t xml:space="preserve">valuable </w:t>
      </w:r>
      <w:r w:rsidR="008412B7">
        <w:t>e</w:t>
      </w:r>
      <w:r w:rsidR="00293C05" w:rsidRPr="008412B7">
        <w:t xml:space="preserve">fficacy </w:t>
      </w:r>
      <w:r w:rsidR="008412B7">
        <w:t>p</w:t>
      </w:r>
      <w:r w:rsidR="00293C05" w:rsidRPr="008412B7">
        <w:t>opulation</w:t>
      </w:r>
      <w:r w:rsidR="00E672F2">
        <w:t>.</w:t>
      </w:r>
    </w:p>
    <w:p w14:paraId="774BE50A" w14:textId="77777777" w:rsidR="00191513" w:rsidRDefault="00191513" w:rsidP="005425EC">
      <w:r>
        <w:rPr>
          <w:noProof/>
        </w:rPr>
        <w:drawing>
          <wp:inline distT="0" distB="0" distL="0" distR="0" wp14:anchorId="32AEB33C" wp14:editId="7644F8B2">
            <wp:extent cx="4635403" cy="3453130"/>
            <wp:effectExtent l="19050" t="19050" r="13335" b="13970"/>
            <wp:docPr id="57" name="Picture 57" descr="Table 21: RSV-positive, confirmed by the EAC, occurring within 90, 120, 150, and 180 days after birth by subgroups – infant participants – evaluable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 21: RSV-positive, confirmed by the EAC, occurring within 90, 120, 150, and 180 days after birth by subgroups – infant participants – evaluable efficacy population"/>
                    <pic:cNvPicPr>
                      <a:picLocks noChangeAspect="1" noChangeArrowheads="1"/>
                    </pic:cNvPicPr>
                  </pic:nvPicPr>
                  <pic:blipFill rotWithShape="1">
                    <a:blip r:embed="rId47">
                      <a:extLst>
                        <a:ext uri="{28A0092B-C50C-407E-A947-70E740481C1C}">
                          <a14:useLocalDpi xmlns:a14="http://schemas.microsoft.com/office/drawing/2010/main" val="0"/>
                        </a:ext>
                      </a:extLst>
                    </a:blip>
                    <a:srcRect l="-137" t="8111" r="-1"/>
                    <a:stretch/>
                  </pic:blipFill>
                  <pic:spPr bwMode="auto">
                    <a:xfrm>
                      <a:off x="0" y="0"/>
                      <a:ext cx="4651921" cy="346543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9EB57B" w14:textId="77777777" w:rsidR="00191513" w:rsidRPr="008412B7" w:rsidRDefault="00191513" w:rsidP="008412B7">
      <w:r w:rsidRPr="001C2296">
        <w:t>Further clarification will be sought from the sponsor in its pre-ACV response with respect to VE and birth outcomes (premature births) by maternal gestational age at the time of vaccination.</w:t>
      </w:r>
    </w:p>
    <w:p w14:paraId="322CDEC5" w14:textId="23D382FB" w:rsidR="00A4308A" w:rsidRPr="00A4308A" w:rsidRDefault="00A4308A" w:rsidP="008412B7">
      <w:pPr>
        <w:rPr>
          <w:b/>
          <w:bCs/>
          <w:i/>
          <w:iCs/>
        </w:rPr>
      </w:pPr>
      <w:r w:rsidRPr="00A4308A">
        <w:rPr>
          <w:b/>
          <w:bCs/>
          <w:i/>
          <w:iCs/>
        </w:rPr>
        <w:t xml:space="preserve">Coadministration of pertussis vaccine </w:t>
      </w:r>
    </w:p>
    <w:p w14:paraId="24A50B79" w14:textId="7514988A" w:rsidR="00191513" w:rsidRPr="008412B7" w:rsidRDefault="00191513" w:rsidP="008412B7">
      <w:r w:rsidRPr="008412B7">
        <w:t>A pertussis</w:t>
      </w:r>
      <w:r w:rsidR="00DB26AA" w:rsidRPr="008412B7">
        <w:t>-</w:t>
      </w:r>
      <w:r w:rsidRPr="008412B7">
        <w:t xml:space="preserve">containing vaccine was given antenatally to </w:t>
      </w:r>
      <w:r w:rsidR="0025184B">
        <w:t xml:space="preserve">approximately </w:t>
      </w:r>
      <w:r w:rsidRPr="008412B7">
        <w:t xml:space="preserve">40% participants in each group. This was administered across the gestational age </w:t>
      </w:r>
      <w:r w:rsidR="00487157">
        <w:t xml:space="preserve">range </w:t>
      </w:r>
      <w:r w:rsidRPr="008412B7">
        <w:t>from 24 weeks onwards</w:t>
      </w:r>
      <w:r w:rsidR="0025184B">
        <w:t>,</w:t>
      </w:r>
      <w:r w:rsidRPr="008412B7">
        <w:t xml:space="preserve"> with</w:t>
      </w:r>
      <w:r w:rsidR="0025184B">
        <w:t xml:space="preserve"> the</w:t>
      </w:r>
      <w:r w:rsidRPr="008412B7">
        <w:t xml:space="preserve"> majority receiving the pertussis vaccine between 28 and 34 weeks </w:t>
      </w:r>
      <w:r w:rsidR="0025184B">
        <w:t xml:space="preserve">of </w:t>
      </w:r>
      <w:r w:rsidRPr="008412B7">
        <w:t xml:space="preserve">gestation. The protocol specified that </w:t>
      </w:r>
      <w:r w:rsidR="0025184B">
        <w:t xml:space="preserve">the </w:t>
      </w:r>
      <w:r w:rsidRPr="008412B7">
        <w:t>RSVpreF and pertussis vaccine</w:t>
      </w:r>
      <w:r w:rsidR="0025184B">
        <w:t>s</w:t>
      </w:r>
      <w:r w:rsidRPr="008412B7">
        <w:t xml:space="preserve"> be separated by 14 days. However, 2.2% RSVpreF v</w:t>
      </w:r>
      <w:r w:rsidR="00F43919" w:rsidRPr="008412B7">
        <w:t>ersu</w:t>
      </w:r>
      <w:r w:rsidRPr="008412B7">
        <w:t xml:space="preserve">s 2.0% placebo participants received </w:t>
      </w:r>
      <w:r w:rsidR="0025184B">
        <w:t xml:space="preserve">the </w:t>
      </w:r>
      <w:r w:rsidRPr="008412B7">
        <w:t xml:space="preserve">pertussis vaccine ≤14 days before </w:t>
      </w:r>
      <w:r w:rsidR="00293C05" w:rsidRPr="008412B7">
        <w:t xml:space="preserve">the </w:t>
      </w:r>
      <w:r w:rsidRPr="008412B7">
        <w:t>study vaccine, and 1.4% RSVpreF v</w:t>
      </w:r>
      <w:r w:rsidR="00F43919" w:rsidRPr="008412B7">
        <w:t>ersu</w:t>
      </w:r>
      <w:r w:rsidRPr="008412B7">
        <w:t xml:space="preserve">s 1.6% placebo participants received </w:t>
      </w:r>
      <w:r w:rsidR="0025184B">
        <w:t xml:space="preserve">the </w:t>
      </w:r>
      <w:r w:rsidRPr="008412B7">
        <w:t>pertussis vaccine ≤14 days after the study vaccine.</w:t>
      </w:r>
    </w:p>
    <w:p w14:paraId="6AB5E7FD" w14:textId="0E2A122E" w:rsidR="00191513" w:rsidRPr="008412B7" w:rsidRDefault="00191513" w:rsidP="008412B7">
      <w:r w:rsidRPr="008412B7">
        <w:t>The assessment of timing of pertussis</w:t>
      </w:r>
      <w:r w:rsidR="00F43919" w:rsidRPr="008412B7">
        <w:t>-</w:t>
      </w:r>
      <w:r w:rsidRPr="008412B7">
        <w:t>containing vaccine relative to RSVpreF was not an objective of the study and no immunogenicity data were collected. No cases of pertussis were reported in infants &lt;6 months of age in either the RSVpreF or the placebo group</w:t>
      </w:r>
      <w:r w:rsidR="00293C05" w:rsidRPr="008412B7">
        <w:t>s</w:t>
      </w:r>
      <w:r w:rsidRPr="008412B7">
        <w:t xml:space="preserve">. Two cases (one in </w:t>
      </w:r>
      <w:r w:rsidR="00F43919" w:rsidRPr="008412B7">
        <w:t xml:space="preserve">the </w:t>
      </w:r>
      <w:r w:rsidRPr="008412B7">
        <w:t xml:space="preserve">placebo group) were reported outside of this timeframe: an infant reported with whooping cough (at day 584 of life) in </w:t>
      </w:r>
      <w:r w:rsidR="00F43919" w:rsidRPr="008412B7">
        <w:t xml:space="preserve">the </w:t>
      </w:r>
      <w:r w:rsidRPr="008412B7">
        <w:t xml:space="preserve">RSVpreF group was born to a maternal participant who received RSVpreF at 27 weeks and DPT at 18 days after RSVpreF vaccination. The infant’s vaccination status is not known. </w:t>
      </w:r>
    </w:p>
    <w:p w14:paraId="5F91B63E" w14:textId="77777777" w:rsidR="00191513" w:rsidRPr="00B321D6" w:rsidRDefault="00191513" w:rsidP="00A4308A">
      <w:pPr>
        <w:pStyle w:val="Heading6"/>
      </w:pPr>
      <w:r w:rsidRPr="00B321D6">
        <w:lastRenderedPageBreak/>
        <w:t>Study C3671013 (</w:t>
      </w:r>
      <w:r>
        <w:t>O</w:t>
      </w:r>
      <w:r w:rsidRPr="00B321D6">
        <w:t xml:space="preserve">lder </w:t>
      </w:r>
      <w:r>
        <w:t>A</w:t>
      </w:r>
      <w:r w:rsidRPr="00B321D6">
        <w:t>dults study)</w:t>
      </w:r>
    </w:p>
    <w:p w14:paraId="7409407D" w14:textId="73AAC1E6" w:rsidR="00191513" w:rsidRPr="008412B7" w:rsidRDefault="00191513" w:rsidP="008412B7">
      <w:r w:rsidRPr="008412B7">
        <w:t xml:space="preserve">This was the pivotal </w:t>
      </w:r>
      <w:r w:rsidR="00F43919" w:rsidRPr="008412B7">
        <w:t>P</w:t>
      </w:r>
      <w:r w:rsidRPr="008412B7">
        <w:t xml:space="preserve">hase </w:t>
      </w:r>
      <w:r w:rsidR="00F43919" w:rsidRPr="008412B7">
        <w:t>III</w:t>
      </w:r>
      <w:r w:rsidRPr="008412B7">
        <w:t>, randomised, double</w:t>
      </w:r>
      <w:r w:rsidR="00F43919" w:rsidRPr="008412B7">
        <w:t>-</w:t>
      </w:r>
      <w:r w:rsidRPr="008412B7">
        <w:t>blind, placebo</w:t>
      </w:r>
      <w:r w:rsidR="00F43919" w:rsidRPr="008412B7">
        <w:t>-</w:t>
      </w:r>
      <w:r w:rsidRPr="008412B7">
        <w:t>controlled, multinational study in adults ≥60 years to assess VE of RSVpreF 120μg for prevention of RSV</w:t>
      </w:r>
      <w:r w:rsidR="00F43919" w:rsidRPr="008412B7">
        <w:t>-</w:t>
      </w:r>
      <w:r w:rsidRPr="008412B7">
        <w:t>related respiratory illness. The study vaccines were single dose of RSVpreF 120</w:t>
      </w:r>
      <w:r w:rsidR="00F43919" w:rsidRPr="008412B7">
        <w:t xml:space="preserve"> </w:t>
      </w:r>
      <w:r w:rsidRPr="008412B7">
        <w:t xml:space="preserve">μg or </w:t>
      </w:r>
      <w:r w:rsidR="00F43919" w:rsidRPr="008412B7">
        <w:t xml:space="preserve">placebo </w:t>
      </w:r>
      <w:r w:rsidR="00293C05" w:rsidRPr="008412B7">
        <w:t xml:space="preserve">administered </w:t>
      </w:r>
      <w:r w:rsidRPr="008412B7">
        <w:t xml:space="preserve">by intramuscular injection. This submission focuses on efficacy after </w:t>
      </w:r>
      <w:r w:rsidR="00A4308A">
        <w:t>s</w:t>
      </w:r>
      <w:r w:rsidRPr="008412B7">
        <w:t xml:space="preserve">eason 1. The study is ongoing to cover RSV </w:t>
      </w:r>
      <w:r w:rsidR="00A4308A">
        <w:t>s</w:t>
      </w:r>
      <w:r w:rsidRPr="008412B7">
        <w:t>eason 2.</w:t>
      </w:r>
    </w:p>
    <w:p w14:paraId="21FBDEB1" w14:textId="7816CCCF" w:rsidR="00191513" w:rsidRPr="008412B7" w:rsidRDefault="00191513" w:rsidP="008412B7">
      <w:r w:rsidRPr="008412B7">
        <w:t xml:space="preserve">The disposition of randomised participants </w:t>
      </w:r>
      <w:r w:rsidR="00F43919" w:rsidRPr="008412B7">
        <w:t>is shown in Table</w:t>
      </w:r>
      <w:r w:rsidR="00F83421" w:rsidRPr="008412B7">
        <w:t xml:space="preserve"> </w:t>
      </w:r>
      <w:r w:rsidR="008412B7" w:rsidRPr="008412B7">
        <w:t>2</w:t>
      </w:r>
      <w:r w:rsidR="00E672F2">
        <w:t>2</w:t>
      </w:r>
      <w:r w:rsidR="00F43919" w:rsidRPr="008412B7">
        <w:t>.</w:t>
      </w:r>
    </w:p>
    <w:p w14:paraId="31C1D967" w14:textId="08A1CA8F" w:rsidR="00F43919" w:rsidRPr="008412B7" w:rsidRDefault="00F43919" w:rsidP="005425EC">
      <w:pPr>
        <w:pStyle w:val="TableTitle"/>
      </w:pPr>
      <w:r w:rsidRPr="008412B7">
        <w:t>Table</w:t>
      </w:r>
      <w:r w:rsidR="00F83421" w:rsidRPr="008412B7">
        <w:t xml:space="preserve"> </w:t>
      </w:r>
      <w:r w:rsidR="008412B7">
        <w:t>2</w:t>
      </w:r>
      <w:r w:rsidR="00E672F2">
        <w:t>2</w:t>
      </w:r>
      <w:r w:rsidR="00F83421" w:rsidRPr="008412B7">
        <w:t>:</w:t>
      </w:r>
      <w:r w:rsidRPr="008412B7">
        <w:t xml:space="preserve"> Disposition of randomised participants</w:t>
      </w:r>
    </w:p>
    <w:p w14:paraId="569AF9B3" w14:textId="77777777" w:rsidR="00191513" w:rsidRPr="00B321D6" w:rsidRDefault="00191513" w:rsidP="005425EC">
      <w:r w:rsidRPr="00B321D6">
        <w:rPr>
          <w:noProof/>
        </w:rPr>
        <w:drawing>
          <wp:inline distT="0" distB="0" distL="0" distR="0" wp14:anchorId="7EF18BAE" wp14:editId="4B49499F">
            <wp:extent cx="4545573" cy="1782736"/>
            <wp:effectExtent l="19050" t="19050" r="26670" b="27305"/>
            <wp:docPr id="43" name="Picture 43" descr="Table 22: Disposition of randomised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 22: Disposition of randomised participant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68994" cy="1791921"/>
                    </a:xfrm>
                    <a:prstGeom prst="rect">
                      <a:avLst/>
                    </a:prstGeom>
                    <a:noFill/>
                    <a:ln>
                      <a:solidFill>
                        <a:schemeClr val="bg2">
                          <a:lumMod val="90000"/>
                        </a:schemeClr>
                      </a:solidFill>
                    </a:ln>
                  </pic:spPr>
                </pic:pic>
              </a:graphicData>
            </a:graphic>
          </wp:inline>
        </w:drawing>
      </w:r>
    </w:p>
    <w:p w14:paraId="126A3A39" w14:textId="5266401A" w:rsidR="00191513" w:rsidRPr="008412B7" w:rsidRDefault="00191513" w:rsidP="008412B7">
      <w:r w:rsidRPr="008412B7">
        <w:t xml:space="preserve">The assessment of VE was based on </w:t>
      </w:r>
      <w:r w:rsidR="00293C05" w:rsidRPr="008412B7">
        <w:t xml:space="preserve">the </w:t>
      </w:r>
      <w:r w:rsidR="0025184B">
        <w:t>e</w:t>
      </w:r>
      <w:r w:rsidR="0025184B" w:rsidRPr="008412B7">
        <w:t xml:space="preserve">valuable </w:t>
      </w:r>
      <w:r w:rsidR="0025184B">
        <w:t>e</w:t>
      </w:r>
      <w:r w:rsidR="0025184B" w:rsidRPr="008412B7">
        <w:t xml:space="preserve">fficacy </w:t>
      </w:r>
      <w:r w:rsidRPr="008412B7">
        <w:t>population</w:t>
      </w:r>
      <w:r w:rsidR="00F43919" w:rsidRPr="008412B7">
        <w:t>,</w:t>
      </w:r>
      <w:r w:rsidRPr="008412B7">
        <w:t xml:space="preserve"> </w:t>
      </w:r>
      <w:r w:rsidR="0025184B">
        <w:t>that is</w:t>
      </w:r>
      <w:r w:rsidRPr="008412B7">
        <w:t xml:space="preserve"> </w:t>
      </w:r>
      <w:r w:rsidR="0025184B">
        <w:t>p</w:t>
      </w:r>
      <w:r w:rsidR="0025184B" w:rsidRPr="008412B7">
        <w:t xml:space="preserve">er </w:t>
      </w:r>
      <w:r w:rsidR="0025184B">
        <w:t>p</w:t>
      </w:r>
      <w:r w:rsidR="0025184B" w:rsidRPr="008412B7">
        <w:t xml:space="preserve">rotocol </w:t>
      </w:r>
      <w:r w:rsidRPr="008412B7">
        <w:t xml:space="preserve">population. </w:t>
      </w:r>
      <w:r w:rsidR="00F43919" w:rsidRPr="008412B7">
        <w:t xml:space="preserve">Definitions of </w:t>
      </w:r>
      <w:r w:rsidR="00A4308A">
        <w:t>the</w:t>
      </w:r>
      <w:r w:rsidRPr="008412B7">
        <w:t xml:space="preserve"> populations </w:t>
      </w:r>
      <w:r w:rsidR="00F43919" w:rsidRPr="008412B7">
        <w:t>are</w:t>
      </w:r>
      <w:r w:rsidRPr="008412B7">
        <w:t xml:space="preserve"> </w:t>
      </w:r>
      <w:r w:rsidR="00F43919" w:rsidRPr="008412B7">
        <w:t>outlined in Table</w:t>
      </w:r>
      <w:r w:rsidR="00F83421" w:rsidRPr="008412B7">
        <w:t xml:space="preserve"> 2</w:t>
      </w:r>
      <w:r w:rsidR="00E672F2">
        <w:t>3</w:t>
      </w:r>
      <w:r w:rsidR="00F83421" w:rsidRPr="008412B7">
        <w:t>.</w:t>
      </w:r>
    </w:p>
    <w:p w14:paraId="47DEC05A" w14:textId="5D70F548" w:rsidR="00F43919" w:rsidRPr="008412B7" w:rsidRDefault="00F43919" w:rsidP="005425EC">
      <w:pPr>
        <w:pStyle w:val="TableTitle"/>
      </w:pPr>
      <w:r w:rsidRPr="008412B7">
        <w:t>Table</w:t>
      </w:r>
      <w:r w:rsidR="00F83421" w:rsidRPr="008412B7">
        <w:t xml:space="preserve"> 2</w:t>
      </w:r>
      <w:r w:rsidR="00E672F2">
        <w:t>3</w:t>
      </w:r>
      <w:r w:rsidRPr="008412B7">
        <w:t>: Definitions of populations</w:t>
      </w:r>
    </w:p>
    <w:p w14:paraId="1048494B" w14:textId="77777777" w:rsidR="00191513" w:rsidRPr="00B321D6" w:rsidRDefault="00191513" w:rsidP="005425EC">
      <w:r w:rsidRPr="00B321D6">
        <w:rPr>
          <w:noProof/>
        </w:rPr>
        <w:drawing>
          <wp:inline distT="0" distB="0" distL="0" distR="0" wp14:anchorId="7AA7AFC4" wp14:editId="6C463591">
            <wp:extent cx="5355928" cy="1530350"/>
            <wp:effectExtent l="0" t="0" r="0" b="0"/>
            <wp:docPr id="42" name="Picture 42" descr="Table 23: Definitions of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 23: Definitions of population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4455" cy="1541358"/>
                    </a:xfrm>
                    <a:prstGeom prst="rect">
                      <a:avLst/>
                    </a:prstGeom>
                    <a:noFill/>
                    <a:ln>
                      <a:noFill/>
                    </a:ln>
                  </pic:spPr>
                </pic:pic>
              </a:graphicData>
            </a:graphic>
          </wp:inline>
        </w:drawing>
      </w:r>
    </w:p>
    <w:p w14:paraId="403078A5" w14:textId="0701C8F8" w:rsidR="00191513" w:rsidRPr="008412B7" w:rsidRDefault="00191513" w:rsidP="008412B7">
      <w:r w:rsidRPr="008412B7">
        <w:t xml:space="preserve">The study was event driven with a target of 59 first episodes of evaluable </w:t>
      </w:r>
      <w:r w:rsidR="00487157" w:rsidRPr="00487157">
        <w:t xml:space="preserve">RSV-associated lower respiratory tract illness </w:t>
      </w:r>
      <w:r w:rsidR="00487157">
        <w:t>(</w:t>
      </w:r>
      <w:r w:rsidRPr="008412B7">
        <w:t>LRTI-RSV</w:t>
      </w:r>
      <w:r w:rsidR="00487157">
        <w:t>)</w:t>
      </w:r>
      <w:r w:rsidRPr="008412B7">
        <w:t xml:space="preserve"> with ≥2 symptoms starting from Day 15 after the study vaccination, as the primary efficacy outcome. The two groups were well balance at Baseline. The mean age of the participants was 68</w:t>
      </w:r>
      <w:r w:rsidR="0025184B">
        <w:t xml:space="preserve"> </w:t>
      </w:r>
      <w:r w:rsidRPr="008412B7">
        <w:t>±</w:t>
      </w:r>
      <w:r w:rsidR="0025184B">
        <w:t xml:space="preserve"> </w:t>
      </w:r>
      <w:r w:rsidRPr="008412B7">
        <w:t xml:space="preserve">8 years. Selected baseline features </w:t>
      </w:r>
      <w:r w:rsidR="00594CB5" w:rsidRPr="008412B7">
        <w:t xml:space="preserve">are shown in Table </w:t>
      </w:r>
      <w:r w:rsidR="00F83421" w:rsidRPr="008412B7">
        <w:t>2</w:t>
      </w:r>
      <w:r w:rsidR="00E672F2">
        <w:t>4</w:t>
      </w:r>
      <w:r w:rsidR="00594CB5" w:rsidRPr="008412B7">
        <w:t>.</w:t>
      </w:r>
      <w:r w:rsidR="00594CB5" w:rsidRPr="00591C9E">
        <w:rPr>
          <w:vertAlign w:val="superscript"/>
        </w:rPr>
        <w:t>1</w:t>
      </w:r>
      <w:r w:rsidR="0025184B" w:rsidRPr="00591C9E">
        <w:rPr>
          <w:vertAlign w:val="superscript"/>
        </w:rPr>
        <w:t>2</w:t>
      </w:r>
    </w:p>
    <w:p w14:paraId="186FFB3C" w14:textId="55902005" w:rsidR="00594CB5" w:rsidRPr="008412B7" w:rsidRDefault="00594CB5" w:rsidP="005425EC">
      <w:pPr>
        <w:pStyle w:val="TableTitle"/>
      </w:pPr>
      <w:r w:rsidRPr="008412B7">
        <w:lastRenderedPageBreak/>
        <w:t>Table</w:t>
      </w:r>
      <w:r w:rsidR="0041509E">
        <w:t xml:space="preserve"> </w:t>
      </w:r>
      <w:r w:rsidR="00F83421" w:rsidRPr="008412B7">
        <w:t>2</w:t>
      </w:r>
      <w:r w:rsidR="00E672F2">
        <w:t>4</w:t>
      </w:r>
      <w:r w:rsidRPr="008412B7">
        <w:t>: Demographic and clinical characteristics of the participants at Baseline (safety population)</w:t>
      </w:r>
      <w:r w:rsidR="00E672F2">
        <w:t>.</w:t>
      </w:r>
    </w:p>
    <w:p w14:paraId="1E9126D6" w14:textId="068BFFB3" w:rsidR="00191513" w:rsidRDefault="007A427A" w:rsidP="005425EC">
      <w:r>
        <w:rPr>
          <w:noProof/>
        </w:rPr>
        <w:drawing>
          <wp:anchor distT="0" distB="0" distL="114300" distR="114300" simplePos="0" relativeHeight="251658245" behindDoc="0" locked="0" layoutInCell="1" allowOverlap="1" wp14:anchorId="3C4849F6" wp14:editId="7CA89760">
            <wp:simplePos x="0" y="0"/>
            <wp:positionH relativeFrom="margin">
              <wp:posOffset>-3750</wp:posOffset>
            </wp:positionH>
            <wp:positionV relativeFrom="paragraph">
              <wp:posOffset>3094990</wp:posOffset>
            </wp:positionV>
            <wp:extent cx="4041775" cy="1793875"/>
            <wp:effectExtent l="0" t="0" r="0" b="0"/>
            <wp:wrapTopAndBottom/>
            <wp:docPr id="30" name="Picture 30" descr="Table 24: Demographic and clinical characteristics of the participants at Baselin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 24: Demographic and clinical characteristics of the participants at Baseline (safety population)."/>
                    <pic:cNvPicPr/>
                  </pic:nvPicPr>
                  <pic:blipFill>
                    <a:blip r:embed="rId50">
                      <a:extLst>
                        <a:ext uri="{28A0092B-C50C-407E-A947-70E740481C1C}">
                          <a14:useLocalDpi xmlns:a14="http://schemas.microsoft.com/office/drawing/2010/main" val="0"/>
                        </a:ext>
                      </a:extLst>
                    </a:blip>
                    <a:stretch>
                      <a:fillRect/>
                    </a:stretch>
                  </pic:blipFill>
                  <pic:spPr>
                    <a:xfrm>
                      <a:off x="0" y="0"/>
                      <a:ext cx="4041775" cy="1793875"/>
                    </a:xfrm>
                    <a:prstGeom prst="rect">
                      <a:avLst/>
                    </a:prstGeom>
                  </pic:spPr>
                </pic:pic>
              </a:graphicData>
            </a:graphic>
            <wp14:sizeRelH relativeFrom="margin">
              <wp14:pctWidth>0</wp14:pctWidth>
            </wp14:sizeRelH>
            <wp14:sizeRelV relativeFrom="margin">
              <wp14:pctHeight>0</wp14:pctHeight>
            </wp14:sizeRelV>
          </wp:anchor>
        </w:drawing>
      </w:r>
      <w:r w:rsidR="00191513">
        <w:rPr>
          <w:noProof/>
        </w:rPr>
        <w:drawing>
          <wp:inline distT="0" distB="0" distL="0" distR="0" wp14:anchorId="6F42686B" wp14:editId="7682A144">
            <wp:extent cx="4048015" cy="3079738"/>
            <wp:effectExtent l="0" t="0" r="0" b="6985"/>
            <wp:docPr id="16" name="Picture 16" descr="Table 24: Demographic and clinical characteristics of the participants at Baselin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24: Demographic and clinical characteristics of the participants at Baseline (safety population)."/>
                    <pic:cNvPicPr/>
                  </pic:nvPicPr>
                  <pic:blipFill>
                    <a:blip r:embed="rId51"/>
                    <a:stretch>
                      <a:fillRect/>
                    </a:stretch>
                  </pic:blipFill>
                  <pic:spPr>
                    <a:xfrm>
                      <a:off x="0" y="0"/>
                      <a:ext cx="4071371" cy="3097508"/>
                    </a:xfrm>
                    <a:prstGeom prst="rect">
                      <a:avLst/>
                    </a:prstGeom>
                  </pic:spPr>
                </pic:pic>
              </a:graphicData>
            </a:graphic>
          </wp:inline>
        </w:drawing>
      </w:r>
    </w:p>
    <w:p w14:paraId="418BB1DD" w14:textId="1F438FC5" w:rsidR="00191513" w:rsidRDefault="00191513" w:rsidP="00191513">
      <w:pPr>
        <w:jc w:val="center"/>
      </w:pPr>
    </w:p>
    <w:p w14:paraId="27334820" w14:textId="73F5DC01" w:rsidR="00191513" w:rsidRPr="008412B7" w:rsidRDefault="00293C05" w:rsidP="008412B7">
      <w:r w:rsidRPr="008412B7">
        <w:t>At the</w:t>
      </w:r>
      <w:r w:rsidR="00191513" w:rsidRPr="008412B7">
        <w:t xml:space="preserve"> cut-off date of 8 July 2022, with an average surveillance of 6.8 months, using the evaluable efficacy population there were 45 participants with 46 episodes of LRTI-RSV with ≥2 symptoms reported after vaccination. Of these, one episode was reported before Day 15</w:t>
      </w:r>
      <w:r w:rsidRPr="008412B7">
        <w:t>;</w:t>
      </w:r>
      <w:r w:rsidR="00191513" w:rsidRPr="008412B7">
        <w:t xml:space="preserve"> therefore</w:t>
      </w:r>
      <w:r w:rsidRPr="008412B7">
        <w:t>,</w:t>
      </w:r>
      <w:r w:rsidR="00191513" w:rsidRPr="008412B7">
        <w:t xml:space="preserve"> 44 reported episodes qualified for inclusion in the efficacy analysis.</w:t>
      </w:r>
    </w:p>
    <w:p w14:paraId="7562A91F" w14:textId="68A9FE4E" w:rsidR="00191513" w:rsidRPr="008412B7" w:rsidRDefault="00191513" w:rsidP="008412B7">
      <w:r w:rsidRPr="008412B7">
        <w:t>The 44 cases comprised 11 LRTI-RSV cases in the RSVpreF group and 33 cases in</w:t>
      </w:r>
      <w:r w:rsidR="00594CB5" w:rsidRPr="008412B7">
        <w:t xml:space="preserve"> the</w:t>
      </w:r>
      <w:r w:rsidRPr="008412B7">
        <w:t xml:space="preserve"> placebo group corresponding to an overall VE (%) of 66.7% (96.66%</w:t>
      </w:r>
      <w:r w:rsidR="00362099">
        <w:t xml:space="preserve"> </w:t>
      </w:r>
      <w:r w:rsidRPr="008412B7">
        <w:t>CI: 28.8%, 85.8%)</w:t>
      </w:r>
      <w:r w:rsidR="00594CB5" w:rsidRPr="008412B7">
        <w:t xml:space="preserve"> as shown in Table </w:t>
      </w:r>
      <w:r w:rsidR="00F83421" w:rsidRPr="008412B7">
        <w:t>2</w:t>
      </w:r>
      <w:r w:rsidR="00E672F2">
        <w:t>5</w:t>
      </w:r>
      <w:r w:rsidR="00594CB5" w:rsidRPr="008412B7">
        <w:t>.</w:t>
      </w:r>
    </w:p>
    <w:p w14:paraId="2770891C" w14:textId="4C0CEB41" w:rsidR="00594CB5" w:rsidRPr="008412B7" w:rsidRDefault="00594CB5" w:rsidP="005425EC">
      <w:pPr>
        <w:pStyle w:val="TableTitle"/>
      </w:pPr>
      <w:r w:rsidRPr="008412B7">
        <w:lastRenderedPageBreak/>
        <w:t>Table</w:t>
      </w:r>
      <w:r w:rsidR="00F83421" w:rsidRPr="008412B7">
        <w:t xml:space="preserve"> 2</w:t>
      </w:r>
      <w:r w:rsidR="00E672F2">
        <w:t>5</w:t>
      </w:r>
      <w:r w:rsidRPr="008412B7">
        <w:t xml:space="preserve">: Vaccine </w:t>
      </w:r>
      <w:r w:rsidR="008412B7">
        <w:t>e</w:t>
      </w:r>
      <w:r w:rsidRPr="008412B7">
        <w:t xml:space="preserve">fficacy of RSVpreF against first episode of LRTI-RSV with ≥2 symptoms – </w:t>
      </w:r>
      <w:r w:rsidR="008412B7">
        <w:t>e</w:t>
      </w:r>
      <w:r w:rsidRPr="008412B7">
        <w:t xml:space="preserve">valuable </w:t>
      </w:r>
      <w:r w:rsidR="008412B7">
        <w:t>e</w:t>
      </w:r>
      <w:r w:rsidRPr="008412B7">
        <w:t xml:space="preserve">fficacy </w:t>
      </w:r>
      <w:r w:rsidR="008412B7">
        <w:t>p</w:t>
      </w:r>
      <w:r w:rsidRPr="008412B7">
        <w:t>opulation.</w:t>
      </w:r>
    </w:p>
    <w:p w14:paraId="64FEFEA0" w14:textId="77777777" w:rsidR="00191513" w:rsidRDefault="00191513" w:rsidP="005425EC">
      <w:r>
        <w:rPr>
          <w:noProof/>
        </w:rPr>
        <w:drawing>
          <wp:inline distT="0" distB="0" distL="0" distR="0" wp14:anchorId="0411D02B" wp14:editId="666735FF">
            <wp:extent cx="4822190" cy="2158848"/>
            <wp:effectExtent l="19050" t="19050" r="16510" b="13335"/>
            <wp:docPr id="55" name="Picture 55" descr="Table 25: Vaccine efficacy of RSVpreF against first episode of LRTI-RSV with ≥2 symptoms – evaluable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able 25: Vaccine efficacy of RSVpreF against first episode of LRTI-RSV with ≥2 symptoms – evaluable efficacy population."/>
                    <pic:cNvPicPr>
                      <a:picLocks noChangeAspect="1" noChangeArrowheads="1"/>
                    </pic:cNvPicPr>
                  </pic:nvPicPr>
                  <pic:blipFill rotWithShape="1">
                    <a:blip r:embed="rId52">
                      <a:extLst>
                        <a:ext uri="{28A0092B-C50C-407E-A947-70E740481C1C}">
                          <a14:useLocalDpi xmlns:a14="http://schemas.microsoft.com/office/drawing/2010/main" val="0"/>
                        </a:ext>
                      </a:extLst>
                    </a:blip>
                    <a:srcRect l="1555" t="16049" b="1"/>
                    <a:stretch/>
                  </pic:blipFill>
                  <pic:spPr bwMode="auto">
                    <a:xfrm>
                      <a:off x="0" y="0"/>
                      <a:ext cx="4829460" cy="2162103"/>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291ED3" w14:textId="00175C7F" w:rsidR="00191513" w:rsidRPr="008412B7" w:rsidRDefault="00191513" w:rsidP="008412B7">
      <w:r w:rsidRPr="008412B7">
        <w:t xml:space="preserve">Most cases were RSV </w:t>
      </w:r>
      <w:r w:rsidR="000650D9" w:rsidRPr="008412B7">
        <w:t xml:space="preserve">subgroup </w:t>
      </w:r>
      <w:r w:rsidRPr="008412B7">
        <w:t>B</w:t>
      </w:r>
      <w:r w:rsidR="000650D9" w:rsidRPr="008412B7">
        <w:t>. The</w:t>
      </w:r>
      <w:r w:rsidR="0025184B">
        <w:t xml:space="preserve"> </w:t>
      </w:r>
      <w:r w:rsidRPr="008412B7">
        <w:t xml:space="preserve">VE (%) </w:t>
      </w:r>
      <w:r w:rsidR="000650D9" w:rsidRPr="008412B7">
        <w:t xml:space="preserve">for RSV subgroups </w:t>
      </w:r>
      <w:r w:rsidRPr="008412B7">
        <w:t xml:space="preserve">A </w:t>
      </w:r>
      <w:r w:rsidR="000650D9" w:rsidRPr="008412B7">
        <w:t xml:space="preserve">and </w:t>
      </w:r>
      <w:r w:rsidRPr="008412B7">
        <w:t xml:space="preserve">B </w:t>
      </w:r>
      <w:r w:rsidR="00594CB5" w:rsidRPr="008412B7">
        <w:t>a</w:t>
      </w:r>
      <w:r w:rsidR="000650D9" w:rsidRPr="008412B7">
        <w:t>re</w:t>
      </w:r>
      <w:r w:rsidR="00594CB5" w:rsidRPr="008412B7">
        <w:t xml:space="preserve"> shown in Table</w:t>
      </w:r>
      <w:r w:rsidR="00F83421" w:rsidRPr="008412B7">
        <w:t xml:space="preserve"> 2</w:t>
      </w:r>
      <w:r w:rsidR="00E672F2">
        <w:t>6</w:t>
      </w:r>
      <w:r w:rsidR="00594CB5" w:rsidRPr="008412B7">
        <w:t>.</w:t>
      </w:r>
    </w:p>
    <w:p w14:paraId="1833D59F" w14:textId="1B442BA9" w:rsidR="00F83421" w:rsidRPr="000650D9" w:rsidRDefault="00F83421" w:rsidP="005425EC">
      <w:pPr>
        <w:pStyle w:val="TableTitle"/>
      </w:pPr>
      <w:r w:rsidRPr="000650D9">
        <w:t>Table 2</w:t>
      </w:r>
      <w:r w:rsidR="00E672F2">
        <w:t>6</w:t>
      </w:r>
      <w:r w:rsidRPr="000650D9">
        <w:t xml:space="preserve">: </w:t>
      </w:r>
      <w:r w:rsidR="000650D9" w:rsidRPr="000650D9">
        <w:t xml:space="preserve">Vaccine efficacy of RSVpreF against first episode of LRTI-RSV with ≥2 symptoms – </w:t>
      </w:r>
      <w:r w:rsidR="008412B7">
        <w:t>e</w:t>
      </w:r>
      <w:r w:rsidR="000650D9" w:rsidRPr="000650D9">
        <w:t xml:space="preserve">valuable </w:t>
      </w:r>
      <w:r w:rsidR="008412B7">
        <w:t>e</w:t>
      </w:r>
      <w:r w:rsidR="000650D9" w:rsidRPr="000650D9">
        <w:t xml:space="preserve">fficacy </w:t>
      </w:r>
      <w:r w:rsidR="008412B7">
        <w:t>p</w:t>
      </w:r>
      <w:r w:rsidR="000650D9" w:rsidRPr="000650D9">
        <w:t>opulation</w:t>
      </w:r>
      <w:r w:rsidR="00E672F2">
        <w:t>.</w:t>
      </w:r>
    </w:p>
    <w:p w14:paraId="54907532" w14:textId="77777777" w:rsidR="00191513" w:rsidRDefault="00191513" w:rsidP="005425EC">
      <w:r>
        <w:rPr>
          <w:noProof/>
        </w:rPr>
        <w:drawing>
          <wp:inline distT="0" distB="0" distL="0" distR="0" wp14:anchorId="64A9731D" wp14:editId="6B31DC83">
            <wp:extent cx="5658273" cy="1936750"/>
            <wp:effectExtent l="19050" t="19050" r="19050" b="25400"/>
            <wp:docPr id="29" name="Picture 29" descr="Most cases were RSV subgroup B. The VE (%) for RSV subgroups A and B are shown in Table 26.&#10;Table 26: Vaccine efficacy of RSVpreF against first episode of LRTI-RSV with ≥2 symptoms – evaluable efficacy pop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ost cases were RSV subgroup B. The VE (%) for RSV subgroups A and B are shown in Table 26.&#10;Table 26: Vaccine efficacy of RSVpreF against first episode of LRTI-RSV with ≥2 symptoms – evaluable efficacy population&#10;"/>
                    <pic:cNvPicPr>
                      <a:picLocks noChangeAspect="1" noChangeArrowheads="1"/>
                    </pic:cNvPicPr>
                  </pic:nvPicPr>
                  <pic:blipFill rotWithShape="1">
                    <a:blip r:embed="rId53">
                      <a:extLst>
                        <a:ext uri="{28A0092B-C50C-407E-A947-70E740481C1C}">
                          <a14:useLocalDpi xmlns:a14="http://schemas.microsoft.com/office/drawing/2010/main" val="0"/>
                        </a:ext>
                      </a:extLst>
                    </a:blip>
                    <a:srcRect l="976" t="17615"/>
                    <a:stretch/>
                  </pic:blipFill>
                  <pic:spPr bwMode="auto">
                    <a:xfrm>
                      <a:off x="0" y="0"/>
                      <a:ext cx="5694389" cy="1949112"/>
                    </a:xfrm>
                    <a:prstGeom prst="rect">
                      <a:avLst/>
                    </a:prstGeom>
                    <a:solidFill>
                      <a:schemeClr val="bg2">
                        <a:lumMod val="90000"/>
                      </a:schemeClr>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C4031A" w14:textId="5A25B049" w:rsidR="008412B7" w:rsidRPr="008412B7" w:rsidRDefault="00191513" w:rsidP="008412B7">
      <w:r w:rsidRPr="008412B7">
        <w:t xml:space="preserve">Analyses by baseline subgroups showed, in general, </w:t>
      </w:r>
      <w:r w:rsidR="000650D9" w:rsidRPr="008412B7">
        <w:t xml:space="preserve">a </w:t>
      </w:r>
      <w:r w:rsidRPr="008412B7">
        <w:t xml:space="preserve">homogeneous effect in favour of RSVpreF efficacy, except in </w:t>
      </w:r>
      <w:r w:rsidR="000650D9" w:rsidRPr="008412B7">
        <w:t xml:space="preserve">the </w:t>
      </w:r>
      <w:r w:rsidRPr="008412B7">
        <w:t>Black/African American population with an expected lack of statistical power in all subgroups</w:t>
      </w:r>
      <w:r w:rsidR="00F83421" w:rsidRPr="008412B7">
        <w:t xml:space="preserve"> (</w:t>
      </w:r>
      <w:r w:rsidR="000650D9" w:rsidRPr="008412B7">
        <w:t xml:space="preserve">see </w:t>
      </w:r>
      <w:r w:rsidR="00F83421" w:rsidRPr="008412B7">
        <w:t xml:space="preserve">Figure </w:t>
      </w:r>
      <w:r w:rsidR="00CC1C11">
        <w:t>5</w:t>
      </w:r>
      <w:r w:rsidR="00F83421" w:rsidRPr="008412B7">
        <w:t>).</w:t>
      </w:r>
    </w:p>
    <w:p w14:paraId="44ECD242" w14:textId="67574AC3" w:rsidR="00191513" w:rsidRPr="008412B7" w:rsidRDefault="00F83421" w:rsidP="005425EC">
      <w:pPr>
        <w:pStyle w:val="FigureTitle"/>
      </w:pPr>
      <w:r w:rsidRPr="0009002D">
        <w:lastRenderedPageBreak/>
        <w:t xml:space="preserve">Figure </w:t>
      </w:r>
      <w:r w:rsidR="00CC1C11">
        <w:t>5</w:t>
      </w:r>
      <w:r w:rsidR="000650D9" w:rsidRPr="0009002D">
        <w:t>: Forest plot of vaccine efficacy of RSVpreF against first episode of LRTI-RSV with</w:t>
      </w:r>
      <w:r w:rsidR="000650D9" w:rsidRPr="008412B7">
        <w:t xml:space="preserve"> ≥2 symptoms by demographic and baseline characteristic subgroups – </w:t>
      </w:r>
      <w:r w:rsidR="008412B7">
        <w:t>e</w:t>
      </w:r>
      <w:r w:rsidR="000650D9" w:rsidRPr="008412B7">
        <w:t xml:space="preserve">valuable </w:t>
      </w:r>
      <w:r w:rsidR="008412B7">
        <w:t>e</w:t>
      </w:r>
      <w:r w:rsidR="000650D9" w:rsidRPr="008412B7">
        <w:t xml:space="preserve">fficacy </w:t>
      </w:r>
      <w:r w:rsidR="008412B7">
        <w:t>p</w:t>
      </w:r>
      <w:r w:rsidR="000650D9" w:rsidRPr="008412B7">
        <w:t>opulation</w:t>
      </w:r>
      <w:r w:rsidR="00E672F2">
        <w:t>.</w:t>
      </w:r>
    </w:p>
    <w:p w14:paraId="4C4B18AD" w14:textId="77777777" w:rsidR="00191513" w:rsidRPr="00B321D6" w:rsidRDefault="00191513" w:rsidP="005425EC">
      <w:r>
        <w:rPr>
          <w:noProof/>
        </w:rPr>
        <w:drawing>
          <wp:inline distT="0" distB="0" distL="0" distR="0" wp14:anchorId="715EDF83" wp14:editId="2B46F574">
            <wp:extent cx="5691739" cy="3195417"/>
            <wp:effectExtent l="19050" t="19050" r="4445" b="5080"/>
            <wp:docPr id="60" name="Picture 60" descr="Figure 5: Forest plot of vaccine efficacy of RSVpreF against first episode of LRTI-RSV with ≥2 symptoms by demographic and baseline characteristic subgroups – evaluable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igure 5: Forest plot of vaccine efficacy of RSVpreF against first episode of LRTI-RSV with ≥2 symptoms by demographic and baseline characteristic subgroups – evaluable efficacy population."/>
                    <pic:cNvPicPr>
                      <a:picLocks noChangeAspect="1" noChangeArrowheads="1"/>
                    </pic:cNvPicPr>
                  </pic:nvPicPr>
                  <pic:blipFill rotWithShape="1">
                    <a:blip r:embed="rId54">
                      <a:extLst>
                        <a:ext uri="{28A0092B-C50C-407E-A947-70E740481C1C}">
                          <a14:useLocalDpi xmlns:a14="http://schemas.microsoft.com/office/drawing/2010/main" val="0"/>
                        </a:ext>
                      </a:extLst>
                    </a:blip>
                    <a:srcRect l="-125" t="8710" r="-1"/>
                    <a:stretch/>
                  </pic:blipFill>
                  <pic:spPr bwMode="auto">
                    <a:xfrm>
                      <a:off x="0" y="0"/>
                      <a:ext cx="5744666" cy="3225131"/>
                    </a:xfrm>
                    <a:prstGeom prst="rect">
                      <a:avLst/>
                    </a:prstGeom>
                    <a:solidFill>
                      <a:schemeClr val="bg2">
                        <a:lumMod val="90000"/>
                      </a:schemeClr>
                    </a:solidFill>
                    <a:ln w="9525" cap="flat" cmpd="sng" algn="ctr">
                      <a:solidFill>
                        <a:schemeClr val="bg2">
                          <a:lumMod val="9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C8AE1B" w14:textId="6C0B51E6" w:rsidR="00F83421" w:rsidRPr="008412B7" w:rsidRDefault="00191513" w:rsidP="008412B7">
      <w:r w:rsidRPr="008412B7">
        <w:t>Analysis of primary VE outcome</w:t>
      </w:r>
      <w:r w:rsidR="0025184B">
        <w:t>, that is,</w:t>
      </w:r>
      <w:r w:rsidRPr="008412B7">
        <w:t xml:space="preserve"> ≥2 RSV symptoms using</w:t>
      </w:r>
      <w:r w:rsidR="0025184B">
        <w:t xml:space="preserve"> the</w:t>
      </w:r>
      <w:r w:rsidRPr="008412B7">
        <w:t xml:space="preserve"> </w:t>
      </w:r>
      <w:proofErr w:type="spellStart"/>
      <w:r w:rsidRPr="008412B7">
        <w:t>mITT</w:t>
      </w:r>
      <w:proofErr w:type="spellEnd"/>
      <w:r w:rsidRPr="008412B7">
        <w:t xml:space="preserve"> population</w:t>
      </w:r>
      <w:r w:rsidR="0025184B">
        <w:t>,</w:t>
      </w:r>
      <w:r w:rsidRPr="008412B7">
        <w:t xml:space="preserve"> was consistent with the evaluable efficacy population</w:t>
      </w:r>
      <w:r w:rsidR="00F83421" w:rsidRPr="008412B7">
        <w:t xml:space="preserve"> (</w:t>
      </w:r>
      <w:r w:rsidR="008412B7" w:rsidRPr="008412B7">
        <w:t xml:space="preserve">see </w:t>
      </w:r>
      <w:r w:rsidR="00F83421" w:rsidRPr="008412B7">
        <w:t>Table 2</w:t>
      </w:r>
      <w:r w:rsidR="00412179">
        <w:t>8</w:t>
      </w:r>
      <w:r w:rsidR="00F83421" w:rsidRPr="008412B7">
        <w:t>)</w:t>
      </w:r>
      <w:r w:rsidR="008412B7" w:rsidRPr="008412B7">
        <w:t>.</w:t>
      </w:r>
    </w:p>
    <w:p w14:paraId="77FE717F" w14:textId="61F50D1D" w:rsidR="00191513" w:rsidRPr="000650D9" w:rsidRDefault="00F83421" w:rsidP="005425EC">
      <w:pPr>
        <w:pStyle w:val="TableTitle"/>
      </w:pPr>
      <w:r w:rsidRPr="000650D9">
        <w:t>Table 2</w:t>
      </w:r>
      <w:r w:rsidR="00865BC5">
        <w:t>7</w:t>
      </w:r>
      <w:r w:rsidRPr="000650D9">
        <w:t xml:space="preserve">: </w:t>
      </w:r>
      <w:r w:rsidR="000650D9" w:rsidRPr="000650D9">
        <w:t xml:space="preserve">Vaccine </w:t>
      </w:r>
      <w:r w:rsidR="008412B7">
        <w:t>e</w:t>
      </w:r>
      <w:r w:rsidR="000650D9" w:rsidRPr="000650D9">
        <w:t xml:space="preserve">fficacy of RSVpreF against first episode of LRTI-RSV with ≥2 symptoms – </w:t>
      </w:r>
      <w:proofErr w:type="spellStart"/>
      <w:r w:rsidR="000650D9" w:rsidRPr="000650D9">
        <w:t>mITT</w:t>
      </w:r>
      <w:proofErr w:type="spellEnd"/>
      <w:r w:rsidR="000650D9" w:rsidRPr="000650D9">
        <w:t xml:space="preserve"> </w:t>
      </w:r>
      <w:r w:rsidR="008412B7">
        <w:t>e</w:t>
      </w:r>
      <w:r w:rsidR="000650D9" w:rsidRPr="000650D9">
        <w:t xml:space="preserve">fficacy </w:t>
      </w:r>
      <w:r w:rsidR="008412B7">
        <w:t>po</w:t>
      </w:r>
      <w:r w:rsidR="000650D9" w:rsidRPr="000650D9">
        <w:t>pulation</w:t>
      </w:r>
      <w:r w:rsidR="00E672F2">
        <w:t>.</w:t>
      </w:r>
    </w:p>
    <w:p w14:paraId="77550E5E" w14:textId="77777777" w:rsidR="00191513" w:rsidRPr="00B321D6" w:rsidRDefault="00191513" w:rsidP="005425EC">
      <w:r w:rsidRPr="00B321D6">
        <w:rPr>
          <w:noProof/>
        </w:rPr>
        <w:drawing>
          <wp:inline distT="0" distB="0" distL="0" distR="0" wp14:anchorId="3D7BEC86" wp14:editId="7E9A0C20">
            <wp:extent cx="5363084" cy="2046898"/>
            <wp:effectExtent l="19050" t="19050" r="0" b="0"/>
            <wp:docPr id="45" name="Picture 45" descr="Table 28: Vaccine efficacy of RSVpreF against first episode of LRTI-RSV with ≥2 symptoms – mITT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 28: Vaccine efficacy of RSVpreF against first episode of LRTI-RSV with ≥2 symptoms – mITT efficacy population"/>
                    <pic:cNvPicPr/>
                  </pic:nvPicPr>
                  <pic:blipFill rotWithShape="1">
                    <a:blip r:embed="rId55"/>
                    <a:srcRect l="214" t="18562" r="1"/>
                    <a:stretch/>
                  </pic:blipFill>
                  <pic:spPr bwMode="auto">
                    <a:xfrm>
                      <a:off x="0" y="0"/>
                      <a:ext cx="5418223" cy="206794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274E39" w14:textId="3DA10DBD" w:rsidR="00F83421" w:rsidRPr="008412B7" w:rsidRDefault="00191513" w:rsidP="008412B7">
      <w:r w:rsidRPr="008412B7">
        <w:t>VE (%) for RSV</w:t>
      </w:r>
      <w:r w:rsidR="000650D9" w:rsidRPr="008412B7">
        <w:t>-</w:t>
      </w:r>
      <w:r w:rsidRPr="008412B7">
        <w:t xml:space="preserve">associated LRTI with ≥3 LRTI signs/symptoms was 58.7% (96.99% CI: 32.0% to 98.7% </w:t>
      </w:r>
      <w:r w:rsidR="00F83421" w:rsidRPr="008412B7">
        <w:t xml:space="preserve">as shown in Figure </w:t>
      </w:r>
      <w:r w:rsidR="00CC1C11">
        <w:t>6</w:t>
      </w:r>
      <w:r w:rsidR="00F83421" w:rsidRPr="008412B7">
        <w:t>.</w:t>
      </w:r>
      <w:r w:rsidR="00F83421" w:rsidRPr="00591C9E">
        <w:rPr>
          <w:vertAlign w:val="superscript"/>
        </w:rPr>
        <w:t>1</w:t>
      </w:r>
      <w:r w:rsidR="0025184B" w:rsidRPr="00591C9E">
        <w:rPr>
          <w:vertAlign w:val="superscript"/>
        </w:rPr>
        <w:t>2</w:t>
      </w:r>
    </w:p>
    <w:p w14:paraId="15152875" w14:textId="2B87623F" w:rsidR="00191513" w:rsidRPr="00B321D6" w:rsidRDefault="00F83421" w:rsidP="005425EC">
      <w:pPr>
        <w:pStyle w:val="FigureTitle"/>
      </w:pPr>
      <w:r w:rsidRPr="000650D9">
        <w:lastRenderedPageBreak/>
        <w:t>Figur</w:t>
      </w:r>
      <w:r w:rsidRPr="0009002D">
        <w:t xml:space="preserve">e </w:t>
      </w:r>
      <w:r w:rsidR="00CC1C11">
        <w:t>6</w:t>
      </w:r>
      <w:r w:rsidRPr="0009002D">
        <w:t>:</w:t>
      </w:r>
      <w:r w:rsidRPr="000650D9">
        <w:t xml:space="preserve"> </w:t>
      </w:r>
      <w:r w:rsidR="000650D9" w:rsidRPr="000650D9">
        <w:t>RSV-associated lower respiratory tract illness with ≥3 signs or symptoms</w:t>
      </w:r>
    </w:p>
    <w:p w14:paraId="67BDD12A" w14:textId="77777777" w:rsidR="00191513" w:rsidRPr="008C0C06" w:rsidRDefault="00191513" w:rsidP="005425EC">
      <w:pPr>
        <w:rPr>
          <w:color w:val="D0CECE" w:themeColor="background2" w:themeShade="E6"/>
        </w:rPr>
      </w:pPr>
      <w:r w:rsidRPr="00B321D6">
        <w:rPr>
          <w:noProof/>
        </w:rPr>
        <w:drawing>
          <wp:inline distT="0" distB="0" distL="0" distR="0" wp14:anchorId="31E21741" wp14:editId="152AABE3">
            <wp:extent cx="3779227" cy="2273984"/>
            <wp:effectExtent l="19050" t="19050" r="0" b="0"/>
            <wp:docPr id="38" name="Picture 38" descr="Figure 6: RSV-associated lower respiratory tract illness with ≥3 signs or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6: RSV-associated lower respiratory tract illness with ≥3 signs or symptoms"/>
                    <pic:cNvPicPr/>
                  </pic:nvPicPr>
                  <pic:blipFill rotWithShape="1">
                    <a:blip r:embed="rId56"/>
                    <a:srcRect l="627" t="7263" r="6346" b="3029"/>
                    <a:stretch/>
                  </pic:blipFill>
                  <pic:spPr bwMode="auto">
                    <a:xfrm>
                      <a:off x="0" y="0"/>
                      <a:ext cx="3803628" cy="2288666"/>
                    </a:xfrm>
                    <a:prstGeom prst="rect">
                      <a:avLst/>
                    </a:prstGeom>
                    <a:solidFill>
                      <a:schemeClr val="bg2">
                        <a:lumMod val="90000"/>
                      </a:schemeClr>
                    </a:solid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0E2F17" w14:textId="2FBF033B" w:rsidR="00191513" w:rsidRPr="008412B7" w:rsidRDefault="00191513" w:rsidP="008412B7">
      <w:r w:rsidRPr="008412B7">
        <w:t>VE (%) for RSV associated acute respiratory illness (</w:t>
      </w:r>
      <w:r w:rsidRPr="00487157">
        <w:t>ARI</w:t>
      </w:r>
      <w:r w:rsidRPr="008412B7">
        <w:t xml:space="preserve">) was 62.1% (95%CI: 37.1% to 77.9%) </w:t>
      </w:r>
      <w:r w:rsidR="00F83421" w:rsidRPr="008412B7">
        <w:t xml:space="preserve">as shown in Figure </w:t>
      </w:r>
      <w:r w:rsidR="00CC1C11">
        <w:t>7</w:t>
      </w:r>
      <w:r w:rsidR="00F83421" w:rsidRPr="008412B7">
        <w:t>.</w:t>
      </w:r>
      <w:r w:rsidR="00F83421" w:rsidRPr="00591C9E">
        <w:rPr>
          <w:vertAlign w:val="superscript"/>
        </w:rPr>
        <w:t>1</w:t>
      </w:r>
      <w:r w:rsidR="0025184B" w:rsidRPr="00591C9E">
        <w:rPr>
          <w:vertAlign w:val="superscript"/>
        </w:rPr>
        <w:t>2</w:t>
      </w:r>
      <w:r w:rsidRPr="008412B7">
        <w:t xml:space="preserve"> </w:t>
      </w:r>
    </w:p>
    <w:p w14:paraId="01C87083" w14:textId="674CCFAC" w:rsidR="0098000F" w:rsidRPr="0098000F" w:rsidRDefault="0098000F" w:rsidP="005425EC">
      <w:pPr>
        <w:pStyle w:val="FigureTitle"/>
      </w:pPr>
      <w:r w:rsidRPr="005425EC">
        <w:t>Figure</w:t>
      </w:r>
      <w:r w:rsidRPr="0098000F">
        <w:t xml:space="preserve"> </w:t>
      </w:r>
      <w:r w:rsidR="00CC1C11">
        <w:t>7</w:t>
      </w:r>
      <w:r w:rsidRPr="0098000F">
        <w:t>: RSV-associated acute respiratory illness</w:t>
      </w:r>
    </w:p>
    <w:p w14:paraId="533188B4" w14:textId="77777777" w:rsidR="00191513" w:rsidRDefault="00191513" w:rsidP="005425EC">
      <w:r w:rsidRPr="00B321D6">
        <w:rPr>
          <w:noProof/>
        </w:rPr>
        <w:drawing>
          <wp:inline distT="0" distB="0" distL="0" distR="0" wp14:anchorId="0BA67908" wp14:editId="39CCA5D1">
            <wp:extent cx="5132134" cy="2794000"/>
            <wp:effectExtent l="19050" t="19050" r="0" b="6350"/>
            <wp:docPr id="40" name="Picture 40" descr="Figure 7: RSV-associated acute respiratory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7: RSV-associated acute respiratory illness"/>
                    <pic:cNvPicPr/>
                  </pic:nvPicPr>
                  <pic:blipFill rotWithShape="1">
                    <a:blip r:embed="rId57"/>
                    <a:srcRect l="1548" t="8134" r="2479" b="5727"/>
                    <a:stretch/>
                  </pic:blipFill>
                  <pic:spPr bwMode="auto">
                    <a:xfrm>
                      <a:off x="0" y="0"/>
                      <a:ext cx="5143493" cy="2800184"/>
                    </a:xfrm>
                    <a:prstGeom prst="rect">
                      <a:avLst/>
                    </a:prstGeom>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564B44" w14:textId="3FDA2D64" w:rsidR="00191513" w:rsidRPr="008412B7" w:rsidRDefault="00191513" w:rsidP="008412B7">
      <w:r w:rsidRPr="008412B7">
        <w:t>A preliminary analysis into the</w:t>
      </w:r>
      <w:r w:rsidR="00F83421" w:rsidRPr="008412B7">
        <w:t xml:space="preserve"> second</w:t>
      </w:r>
      <w:r w:rsidRPr="008412B7">
        <w:t xml:space="preserve"> RSV season (mid-</w:t>
      </w:r>
      <w:r w:rsidR="00A4308A">
        <w:t>s</w:t>
      </w:r>
      <w:r w:rsidRPr="008412B7">
        <w:t xml:space="preserve">eason 2) was conducted from ARI surveillance in the Northern </w:t>
      </w:r>
      <w:r w:rsidR="0025184B">
        <w:t>h</w:t>
      </w:r>
      <w:r w:rsidR="0025184B" w:rsidRPr="008412B7">
        <w:t xml:space="preserve">emisphere </w:t>
      </w:r>
      <w:r w:rsidRPr="008412B7">
        <w:t xml:space="preserve">(largely the USA) to a cut-off date of 31 January 2023. The average duration of ARI surveillance was 5.67 months. </w:t>
      </w:r>
      <w:r w:rsidR="00931929" w:rsidRPr="008412B7">
        <w:t>The t</w:t>
      </w:r>
      <w:r w:rsidRPr="008412B7">
        <w:t>otal average duration from vaccination to</w:t>
      </w:r>
      <w:r w:rsidR="00931929" w:rsidRPr="008412B7">
        <w:t xml:space="preserve"> th</w:t>
      </w:r>
      <w:r w:rsidR="0025184B">
        <w:t>e</w:t>
      </w:r>
      <w:r w:rsidRPr="008412B7">
        <w:t xml:space="preserve"> mid-</w:t>
      </w:r>
      <w:r w:rsidR="00A4308A">
        <w:t>s</w:t>
      </w:r>
      <w:r w:rsidRPr="008412B7">
        <w:t xml:space="preserve">eason 2 cut-off was 13.9 months. The VE (%), along with updated VE (%) at the end of </w:t>
      </w:r>
      <w:r w:rsidR="00A4308A">
        <w:t>s</w:t>
      </w:r>
      <w:r w:rsidRPr="008412B7">
        <w:t xml:space="preserve">eason 1 (average duration of follow up of 7.05 months) was reported </w:t>
      </w:r>
      <w:r w:rsidR="00F83421" w:rsidRPr="008412B7">
        <w:t>as shown in Table 2</w:t>
      </w:r>
      <w:r w:rsidR="00E672F2">
        <w:t>8</w:t>
      </w:r>
      <w:r w:rsidR="00F83421" w:rsidRPr="008412B7">
        <w:t>.</w:t>
      </w:r>
    </w:p>
    <w:p w14:paraId="1BCA7A19" w14:textId="5C07B27C" w:rsidR="00F83421" w:rsidRPr="00931929" w:rsidRDefault="00F83421" w:rsidP="005425EC">
      <w:pPr>
        <w:pStyle w:val="TableTitle"/>
      </w:pPr>
      <w:r w:rsidRPr="00931929">
        <w:lastRenderedPageBreak/>
        <w:t>Table 2</w:t>
      </w:r>
      <w:r w:rsidR="00E672F2">
        <w:t>8</w:t>
      </w:r>
      <w:r w:rsidRPr="00931929">
        <w:t>:</w:t>
      </w:r>
      <w:r w:rsidR="00931929" w:rsidRPr="00931929">
        <w:t xml:space="preserve"> RSVpreF </w:t>
      </w:r>
      <w:r w:rsidR="008412B7">
        <w:t>v</w:t>
      </w:r>
      <w:r w:rsidR="00931929" w:rsidRPr="00931929">
        <w:t xml:space="preserve">accine </w:t>
      </w:r>
      <w:r w:rsidR="008412B7">
        <w:t>e</w:t>
      </w:r>
      <w:r w:rsidR="00931929" w:rsidRPr="00931929">
        <w:t xml:space="preserve">fficacy against LRTI-RSV at end of </w:t>
      </w:r>
      <w:r w:rsidR="008412B7">
        <w:t>s</w:t>
      </w:r>
      <w:r w:rsidR="00931929" w:rsidRPr="00931929">
        <w:t>eason 1 and mid-</w:t>
      </w:r>
      <w:r w:rsidR="008412B7">
        <w:t>s</w:t>
      </w:r>
      <w:r w:rsidR="00931929" w:rsidRPr="00931929">
        <w:t>eason 2</w:t>
      </w:r>
    </w:p>
    <w:p w14:paraId="3F923C6E" w14:textId="77777777" w:rsidR="00191513" w:rsidRDefault="00191513" w:rsidP="005425EC">
      <w:r w:rsidRPr="00B321D6">
        <w:rPr>
          <w:noProof/>
        </w:rPr>
        <w:drawing>
          <wp:inline distT="0" distB="0" distL="0" distR="0" wp14:anchorId="536A2F5E" wp14:editId="1C95C563">
            <wp:extent cx="4853751" cy="1488440"/>
            <wp:effectExtent l="19050" t="19050" r="23495" b="16510"/>
            <wp:docPr id="48" name="Picture 48" descr="Table 28: RSVpreF vaccine efficacy against LRTI-RSV at end of season 1 and mid-seas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 28: RSVpreF vaccine efficacy against LRTI-RSV at end of season 1 and mid-season 2"/>
                    <pic:cNvPicPr/>
                  </pic:nvPicPr>
                  <pic:blipFill rotWithShape="1">
                    <a:blip r:embed="rId58"/>
                    <a:srcRect l="-263" t="19561"/>
                    <a:stretch/>
                  </pic:blipFill>
                  <pic:spPr bwMode="auto">
                    <a:xfrm>
                      <a:off x="0" y="0"/>
                      <a:ext cx="4864039" cy="14915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2521CC" w14:textId="347BC258" w:rsidR="00191513" w:rsidRPr="00B321D6" w:rsidRDefault="00931929" w:rsidP="00191513">
      <w:r>
        <w:t>S</w:t>
      </w:r>
      <w:r w:rsidR="00191513" w:rsidRPr="00B321D6">
        <w:t xml:space="preserve">tudy C3671013 </w:t>
      </w:r>
      <w:r w:rsidR="00F83421">
        <w:t xml:space="preserve">is </w:t>
      </w:r>
      <w:r w:rsidR="00191513" w:rsidRPr="00B321D6">
        <w:t xml:space="preserve">ongoing and planned to run through </w:t>
      </w:r>
      <w:r w:rsidR="00191513">
        <w:t>two</w:t>
      </w:r>
      <w:r w:rsidR="00191513" w:rsidRPr="00B321D6">
        <w:t xml:space="preserve"> RSV seasons. </w:t>
      </w:r>
      <w:r w:rsidR="00191513">
        <w:t xml:space="preserve">The </w:t>
      </w:r>
      <w:r w:rsidR="00A4308A">
        <w:t>s</w:t>
      </w:r>
      <w:r w:rsidR="00191513" w:rsidRPr="00B321D6">
        <w:t>eason 2 efficacy, safety and immunogenicity data from the Northern and Southern hemisphere</w:t>
      </w:r>
      <w:r>
        <w:t>s</w:t>
      </w:r>
      <w:r w:rsidR="00191513" w:rsidRPr="00B321D6">
        <w:t xml:space="preserve"> are expected to be</w:t>
      </w:r>
      <w:r w:rsidR="00191513">
        <w:t>come</w:t>
      </w:r>
      <w:r w:rsidR="00191513" w:rsidRPr="00B321D6">
        <w:t xml:space="preserve"> available in the second half of 2024</w:t>
      </w:r>
      <w:r>
        <w:t>,</w:t>
      </w:r>
      <w:r w:rsidR="00191513" w:rsidRPr="00B321D6">
        <w:t xml:space="preserve"> and additional immunogenicity data </w:t>
      </w:r>
      <w:r>
        <w:t>from</w:t>
      </w:r>
      <w:r w:rsidRPr="00B321D6">
        <w:t xml:space="preserve"> </w:t>
      </w:r>
      <w:r w:rsidR="00A4308A">
        <w:t>s</w:t>
      </w:r>
      <w:r w:rsidR="00191513" w:rsidRPr="00B321D6">
        <w:t>eason 3 are expected in 2025.</w:t>
      </w:r>
    </w:p>
    <w:p w14:paraId="738E8724" w14:textId="77777777" w:rsidR="00191513" w:rsidRPr="00B321D6" w:rsidRDefault="00191513" w:rsidP="00F867DF">
      <w:pPr>
        <w:pStyle w:val="Heading5"/>
      </w:pPr>
      <w:r w:rsidRPr="00B321D6">
        <w:t>Other studies</w:t>
      </w:r>
    </w:p>
    <w:p w14:paraId="3DE36FD5" w14:textId="77777777" w:rsidR="00191513" w:rsidRDefault="00191513" w:rsidP="00F867DF">
      <w:pPr>
        <w:pStyle w:val="Heading6"/>
      </w:pPr>
      <w:r w:rsidRPr="001B3C1F">
        <w:t>SIIV interaction study C3671006</w:t>
      </w:r>
    </w:p>
    <w:p w14:paraId="533A221C" w14:textId="4958068A" w:rsidR="00F83421" w:rsidRPr="008412B7" w:rsidRDefault="00191513" w:rsidP="008412B7">
      <w:r w:rsidRPr="008412B7">
        <w:t>This study examined the immunogenicity of RSVpreF on coadministration with seasonal inactivated influenza vacci</w:t>
      </w:r>
      <w:r w:rsidRPr="00487157">
        <w:t>ne (SIIV</w:t>
      </w:r>
      <w:r w:rsidRPr="008412B7">
        <w:t>) in adults ≥65 years age. The results indicated that RSV neutralising antibody titres and anti</w:t>
      </w:r>
      <w:r w:rsidRPr="00591C9E">
        <w:t>-</w:t>
      </w:r>
      <w:r w:rsidR="00487157" w:rsidRPr="00591C9E">
        <w:t>haemagglutination inhibition (</w:t>
      </w:r>
      <w:r w:rsidRPr="00591C9E">
        <w:t>HAI</w:t>
      </w:r>
      <w:r w:rsidR="00487157" w:rsidRPr="00591C9E">
        <w:t>)</w:t>
      </w:r>
      <w:r w:rsidRPr="00591C9E">
        <w:t xml:space="preserve"> antibodies</w:t>
      </w:r>
      <w:r w:rsidRPr="008412B7">
        <w:t xml:space="preserve"> were all nominally higher with sequential administration compared to coadministration, although non-inferiority is claimed based on predefined criterion of</w:t>
      </w:r>
      <w:r w:rsidR="001B21F6">
        <w:t xml:space="preserve"> a</w:t>
      </w:r>
      <w:r w:rsidRPr="008412B7">
        <w:t xml:space="preserve"> </w:t>
      </w:r>
      <w:r w:rsidR="001B21F6">
        <w:t>lower limit</w:t>
      </w:r>
      <w:r w:rsidRPr="008412B7">
        <w:t xml:space="preserve"> of 95%</w:t>
      </w:r>
      <w:r w:rsidR="00C35807">
        <w:t xml:space="preserve"> </w:t>
      </w:r>
      <w:r w:rsidRPr="008412B7">
        <w:t>CI for</w:t>
      </w:r>
      <w:r w:rsidR="00487157">
        <w:t xml:space="preserve"> geometric mean ratio </w:t>
      </w:r>
      <w:r w:rsidR="00487157" w:rsidRPr="00487157">
        <w:t>(</w:t>
      </w:r>
      <w:r w:rsidRPr="00487157">
        <w:t>GMR</w:t>
      </w:r>
      <w:r w:rsidR="00487157" w:rsidRPr="00487157">
        <w:t>)</w:t>
      </w:r>
      <w:r w:rsidRPr="008412B7">
        <w:t xml:space="preserve"> (coadministration/sequential) to be no worse than 0.667</w:t>
      </w:r>
      <w:r w:rsidR="00F83421" w:rsidRPr="008412B7">
        <w:t xml:space="preserve"> (</w:t>
      </w:r>
      <w:r w:rsidR="00931929" w:rsidRPr="008412B7">
        <w:t xml:space="preserve">see </w:t>
      </w:r>
      <w:r w:rsidR="00F83421" w:rsidRPr="008412B7">
        <w:t xml:space="preserve">Table </w:t>
      </w:r>
      <w:r w:rsidR="00E672F2">
        <w:t>29</w:t>
      </w:r>
      <w:r w:rsidR="00F83421" w:rsidRPr="008412B7">
        <w:t>).</w:t>
      </w:r>
    </w:p>
    <w:p w14:paraId="59460CAE" w14:textId="707C4A5E" w:rsidR="00191513" w:rsidRPr="00931929" w:rsidRDefault="00F83421" w:rsidP="005425EC">
      <w:pPr>
        <w:pStyle w:val="TableTitle"/>
      </w:pPr>
      <w:r w:rsidRPr="00931929">
        <w:t xml:space="preserve">Table </w:t>
      </w:r>
      <w:r w:rsidR="00E672F2">
        <w:t>29</w:t>
      </w:r>
      <w:r w:rsidRPr="00931929">
        <w:t>:</w:t>
      </w:r>
      <w:r w:rsidR="008412B7">
        <w:t xml:space="preserve"> </w:t>
      </w:r>
      <w:r w:rsidR="00931929" w:rsidRPr="00931929">
        <w:t xml:space="preserve">SIIV HA1 and RSV neutralising titre GMT/GMRs at </w:t>
      </w:r>
      <w:r w:rsidR="00B92A58">
        <w:t>one</w:t>
      </w:r>
      <w:r w:rsidR="00931929" w:rsidRPr="00931929">
        <w:t xml:space="preserve"> month after vaccination – </w:t>
      </w:r>
      <w:r w:rsidR="008412B7">
        <w:t>e</w:t>
      </w:r>
      <w:r w:rsidR="00931929" w:rsidRPr="00931929">
        <w:t xml:space="preserve">valuable SIIV immunogenicity population and evaluable RSV immunogenicity population (study </w:t>
      </w:r>
      <w:r w:rsidR="008C4719">
        <w:t>C</w:t>
      </w:r>
      <w:r w:rsidR="00931929" w:rsidRPr="00931929">
        <w:t>3671006)</w:t>
      </w:r>
      <w:r w:rsidR="00E672F2">
        <w:t>.</w:t>
      </w:r>
    </w:p>
    <w:p w14:paraId="6F6141EE" w14:textId="77777777" w:rsidR="00191513" w:rsidRDefault="00191513" w:rsidP="005425EC">
      <w:r w:rsidRPr="00B321D6">
        <w:rPr>
          <w:noProof/>
        </w:rPr>
        <w:drawing>
          <wp:inline distT="0" distB="0" distL="0" distR="0" wp14:anchorId="68E345EE" wp14:editId="35F58821">
            <wp:extent cx="5008251" cy="2940050"/>
            <wp:effectExtent l="19050" t="19050" r="20955" b="12700"/>
            <wp:docPr id="7" name="Picture 7" descr="Table 29: SIIV HA1 and RSV neutralising titre GMT/GMRs at one month after vaccination – evaluable SIIV immunogenicity population and evaluable RSV immunogenicity population (study C367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29: SIIV HA1 and RSV neutralising titre GMT/GMRs at one month after vaccination – evaluable SIIV immunogenicity population and evaluable RSV immunogenicity population (study C3671006)."/>
                    <pic:cNvPicPr>
                      <a:picLocks noChangeAspect="1" noChangeArrowheads="1"/>
                    </pic:cNvPicPr>
                  </pic:nvPicPr>
                  <pic:blipFill rotWithShape="1">
                    <a:blip r:embed="rId59">
                      <a:extLst>
                        <a:ext uri="{28A0092B-C50C-407E-A947-70E740481C1C}">
                          <a14:useLocalDpi xmlns:a14="http://schemas.microsoft.com/office/drawing/2010/main" val="0"/>
                        </a:ext>
                      </a:extLst>
                    </a:blip>
                    <a:srcRect l="143" t="11442" r="2647" b="2511"/>
                    <a:stretch/>
                  </pic:blipFill>
                  <pic:spPr bwMode="auto">
                    <a:xfrm>
                      <a:off x="0" y="0"/>
                      <a:ext cx="5026667" cy="295086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2B35AF" w14:textId="439B8FD6" w:rsidR="00191513" w:rsidRPr="008412B7" w:rsidRDefault="00191513" w:rsidP="008412B7">
      <w:r w:rsidRPr="008412B7">
        <w:t xml:space="preserve">SIIV interaction was also assessed in studies C3671001 and C3671002. In study C3671001 concomitant SIIV did not affect response to RSV A or RSV B. There was no difference in response </w:t>
      </w:r>
      <w:r w:rsidRPr="008412B7">
        <w:lastRenderedPageBreak/>
        <w:t>for the two age groups. There was a tendency for RSVpreF to interfere with SIIV titres at the higher dose levels in the 18 to 49 years age group. This was not apparent in the 50 to 89 years age group. In study C3671002 RSVpreF did not influence response to SIIV.</w:t>
      </w:r>
    </w:p>
    <w:p w14:paraId="71B7358A" w14:textId="77777777" w:rsidR="00191513" w:rsidRPr="008412B7" w:rsidRDefault="00191513" w:rsidP="008412B7">
      <w:pPr>
        <w:pStyle w:val="Heading6"/>
      </w:pPr>
      <w:r w:rsidRPr="008412B7">
        <w:t>Interaction with COVID-19 vaccine</w:t>
      </w:r>
    </w:p>
    <w:p w14:paraId="7135B550" w14:textId="4BCB8B10" w:rsidR="00F83421" w:rsidRPr="008412B7" w:rsidRDefault="00191513" w:rsidP="008412B7">
      <w:r w:rsidRPr="008412B7">
        <w:t xml:space="preserve">In Round 2, the sponsor provided summary results of a coadministration study of </w:t>
      </w:r>
      <w:r w:rsidR="0039268A" w:rsidRPr="008412B7">
        <w:t xml:space="preserve">Abrysvo </w:t>
      </w:r>
      <w:r w:rsidRPr="008412B7">
        <w:t>with the Pfizer</w:t>
      </w:r>
      <w:r w:rsidR="008C4719">
        <w:t>-BioNTech</w:t>
      </w:r>
      <w:r w:rsidRPr="008412B7">
        <w:t xml:space="preserve"> mRNA vaccine</w:t>
      </w:r>
      <w:r w:rsidR="00931929" w:rsidRPr="008412B7">
        <w:t xml:space="preserve"> </w:t>
      </w:r>
      <w:r w:rsidRPr="008412B7">
        <w:t>(Omicron/BA 4-5)</w:t>
      </w:r>
      <w:r w:rsidR="0025184B">
        <w:t>, which</w:t>
      </w:r>
      <w:r w:rsidRPr="008412B7">
        <w:t xml:space="preserve"> satisfactorily </w:t>
      </w:r>
      <w:r w:rsidR="0025184B" w:rsidRPr="008412B7">
        <w:t>demonstrat</w:t>
      </w:r>
      <w:r w:rsidR="0025184B">
        <w:t>ed a</w:t>
      </w:r>
      <w:r w:rsidR="0025184B" w:rsidRPr="008412B7">
        <w:t xml:space="preserve"> </w:t>
      </w:r>
      <w:r w:rsidRPr="008412B7">
        <w:t>lack of immune interference on coadministration</w:t>
      </w:r>
      <w:r w:rsidR="005555D4">
        <w:t>.</w:t>
      </w:r>
    </w:p>
    <w:p w14:paraId="17B7F660" w14:textId="00C39B64" w:rsidR="00191513" w:rsidRDefault="00CF1C64" w:rsidP="008412B7">
      <w:pPr>
        <w:pStyle w:val="Heading6"/>
      </w:pPr>
      <w:r>
        <w:t>Tdap</w:t>
      </w:r>
      <w:r w:rsidR="00191513" w:rsidRPr="00FB3344">
        <w:t xml:space="preserve"> interaction</w:t>
      </w:r>
      <w:r w:rsidR="00191513" w:rsidRPr="00B321D6">
        <w:t xml:space="preserve"> study C3671004</w:t>
      </w:r>
    </w:p>
    <w:p w14:paraId="2AEFE265" w14:textId="33B80014" w:rsidR="00F83421" w:rsidRPr="008412B7" w:rsidRDefault="00191513" w:rsidP="008412B7">
      <w:r w:rsidRPr="008412B7">
        <w:t>This placebo</w:t>
      </w:r>
      <w:r w:rsidR="0039268A" w:rsidRPr="008412B7">
        <w:t>-</w:t>
      </w:r>
      <w:r w:rsidRPr="008412B7">
        <w:t xml:space="preserve">controlled study was conducted in non-pregnant females to examine the immune interaction on concomitant administration of RSVpreF and </w:t>
      </w:r>
      <w:r w:rsidR="00CF1C64">
        <w:t>Tdap</w:t>
      </w:r>
      <w:r w:rsidRPr="008412B7">
        <w:t xml:space="preserve">. The results were indicative of </w:t>
      </w:r>
      <w:r w:rsidR="00931929" w:rsidRPr="008412B7">
        <w:t xml:space="preserve">a </w:t>
      </w:r>
      <w:r w:rsidRPr="008412B7">
        <w:t>similar response to tetanus, diphtheria and RSVpreF components. However,</w:t>
      </w:r>
      <w:r w:rsidR="00931929" w:rsidRPr="008412B7">
        <w:t xml:space="preserve"> a</w:t>
      </w:r>
      <w:r w:rsidRPr="008412B7">
        <w:t xml:space="preserve"> significantly reduced response to the pertussis components particularly against </w:t>
      </w:r>
      <w:r w:rsidRPr="001C1B44">
        <w:t>FHA and PRN</w:t>
      </w:r>
      <w:r w:rsidRPr="008412B7">
        <w:t xml:space="preserve"> was found on coadministration compared to placebo</w:t>
      </w:r>
      <w:r w:rsidR="00F83421" w:rsidRPr="008412B7">
        <w:t xml:space="preserve"> (</w:t>
      </w:r>
      <w:r w:rsidR="00931929" w:rsidRPr="008412B7">
        <w:t xml:space="preserve">see </w:t>
      </w:r>
      <w:r w:rsidR="00F83421" w:rsidRPr="008412B7">
        <w:t xml:space="preserve">Table </w:t>
      </w:r>
      <w:r w:rsidR="00824FCC">
        <w:t>3</w:t>
      </w:r>
      <w:r w:rsidR="00E672F2">
        <w:t>0</w:t>
      </w:r>
      <w:r w:rsidR="00F83421" w:rsidRPr="008412B7">
        <w:t>).</w:t>
      </w:r>
    </w:p>
    <w:p w14:paraId="077384EA" w14:textId="40D28472" w:rsidR="00191513" w:rsidRPr="00931929" w:rsidRDefault="00F83421" w:rsidP="005425EC">
      <w:pPr>
        <w:pStyle w:val="TableTitle"/>
      </w:pPr>
      <w:r w:rsidRPr="00931929">
        <w:t xml:space="preserve">Table </w:t>
      </w:r>
      <w:r w:rsidR="00824FCC">
        <w:t>3</w:t>
      </w:r>
      <w:r w:rsidR="00E672F2">
        <w:t>0</w:t>
      </w:r>
      <w:r w:rsidR="00931929" w:rsidRPr="00931929">
        <w:t xml:space="preserve">: </w:t>
      </w:r>
      <w:proofErr w:type="spellStart"/>
      <w:r w:rsidR="00931929" w:rsidRPr="00931929">
        <w:t>Antipertussis</w:t>
      </w:r>
      <w:proofErr w:type="spellEnd"/>
      <w:r w:rsidR="00931929" w:rsidRPr="00931929">
        <w:t xml:space="preserve"> component antibody GMRs of combined RSVpreF/Tdap groups GMCs to placebo/Tdap group GMCs – </w:t>
      </w:r>
      <w:r w:rsidR="008412B7">
        <w:t>e</w:t>
      </w:r>
      <w:r w:rsidR="00931929" w:rsidRPr="00931929">
        <w:t xml:space="preserve">valuable </w:t>
      </w:r>
      <w:r w:rsidR="008412B7">
        <w:t>i</w:t>
      </w:r>
      <w:r w:rsidR="00931929" w:rsidRPr="00931929">
        <w:t xml:space="preserve">mmunogenicity </w:t>
      </w:r>
      <w:r w:rsidR="008412B7">
        <w:t>p</w:t>
      </w:r>
      <w:r w:rsidR="00931929" w:rsidRPr="00931929">
        <w:t>opulation (</w:t>
      </w:r>
      <w:r w:rsidR="0025184B">
        <w:t>s</w:t>
      </w:r>
      <w:r w:rsidR="0025184B" w:rsidRPr="00931929">
        <w:t xml:space="preserve">tudy </w:t>
      </w:r>
      <w:r w:rsidR="00931929" w:rsidRPr="00931929">
        <w:t>C3781004)</w:t>
      </w:r>
      <w:r w:rsidR="005555D4">
        <w:t>.</w:t>
      </w:r>
    </w:p>
    <w:p w14:paraId="75BEB5C8" w14:textId="77777777" w:rsidR="00191513" w:rsidRDefault="00191513" w:rsidP="005425EC">
      <w:r w:rsidRPr="00B321D6">
        <w:rPr>
          <w:noProof/>
        </w:rPr>
        <w:drawing>
          <wp:inline distT="0" distB="0" distL="0" distR="0" wp14:anchorId="276704C7" wp14:editId="500C7EDB">
            <wp:extent cx="5432588" cy="2738218"/>
            <wp:effectExtent l="19050" t="19050" r="0" b="5080"/>
            <wp:docPr id="9" name="Picture 9" descr="Table 30: Antipertussis component antibody GMRs of combined RSVpreF/Tdap groups GMCs to placebo/Tdap group GMCs – evaluable immunogenicity population (study C378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30: Antipertussis component antibody GMRs of combined RSVpreF/Tdap groups GMCs to placebo/Tdap group GMCs – evaluable immunogenicity population (study C3781004)."/>
                    <pic:cNvPicPr>
                      <a:picLocks noChangeAspect="1" noChangeArrowheads="1"/>
                    </pic:cNvPicPr>
                  </pic:nvPicPr>
                  <pic:blipFill rotWithShape="1">
                    <a:blip r:embed="rId60">
                      <a:extLst>
                        <a:ext uri="{28A0092B-C50C-407E-A947-70E740481C1C}">
                          <a14:useLocalDpi xmlns:a14="http://schemas.microsoft.com/office/drawing/2010/main" val="0"/>
                        </a:ext>
                      </a:extLst>
                    </a:blip>
                    <a:srcRect l="555" t="13439" b="2399"/>
                    <a:stretch/>
                  </pic:blipFill>
                  <pic:spPr bwMode="auto">
                    <a:xfrm>
                      <a:off x="0" y="0"/>
                      <a:ext cx="5454039" cy="2749030"/>
                    </a:xfrm>
                    <a:prstGeom prst="rect">
                      <a:avLst/>
                    </a:prstGeom>
                    <a:noFill/>
                    <a:ln w="9525" cap="flat" cmpd="sng" algn="ctr">
                      <a:solidFill>
                        <a:schemeClr val="bg2">
                          <a:lumMod val="9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50C360" w14:textId="1298B389" w:rsidR="00191513" w:rsidRPr="008412B7" w:rsidRDefault="00191513" w:rsidP="008412B7">
      <w:r w:rsidRPr="008412B7">
        <w:t xml:space="preserve">Based on these findings, administration of a pertussis vaccine (including </w:t>
      </w:r>
      <w:r w:rsidR="00CF1C64">
        <w:t>Tdap</w:t>
      </w:r>
      <w:r w:rsidRPr="008412B7">
        <w:t xml:space="preserve">) within 14 days of RSVpreF vaccine was not allowed in the subsequent pivotal maternal study 1008. Summary clinical data on pertussis outcomes in </w:t>
      </w:r>
      <w:r w:rsidR="0025184B">
        <w:t>s</w:t>
      </w:r>
      <w:r w:rsidRPr="008412B7">
        <w:t>tudy 1008 was noted earlier. However, immunogenicity data were not collected in study 1008. Therefore</w:t>
      </w:r>
      <w:r w:rsidR="00824BF6" w:rsidRPr="008412B7">
        <w:t>,</w:t>
      </w:r>
      <w:r w:rsidRPr="008412B7">
        <w:t xml:space="preserve"> no data on optimal timing of a pertussis</w:t>
      </w:r>
      <w:r w:rsidR="00931929" w:rsidRPr="008412B7">
        <w:t>-</w:t>
      </w:r>
      <w:r w:rsidRPr="008412B7">
        <w:t>containing vaccine relative to RSVpreF during pregnancy are currently available.</w:t>
      </w:r>
    </w:p>
    <w:p w14:paraId="25640E52" w14:textId="77777777" w:rsidR="00191513" w:rsidRDefault="00191513" w:rsidP="008412B7">
      <w:pPr>
        <w:pStyle w:val="Heading6"/>
      </w:pPr>
      <w:r w:rsidRPr="00B321D6">
        <w:t>Lot consistency study C3671014</w:t>
      </w:r>
    </w:p>
    <w:p w14:paraId="0A862E78" w14:textId="16BBAC41" w:rsidR="00191513" w:rsidRPr="008412B7" w:rsidRDefault="00191513" w:rsidP="008412B7">
      <w:r w:rsidRPr="008412B7">
        <w:t xml:space="preserve">This study satisfactorily demonstrated equivalent immunogenicity for </w:t>
      </w:r>
      <w:r w:rsidR="00824BF6" w:rsidRPr="008412B7">
        <w:t>three</w:t>
      </w:r>
      <w:r w:rsidRPr="008412B7">
        <w:t xml:space="preserve"> separate production batches of RSVpreF</w:t>
      </w:r>
      <w:r w:rsidR="0025184B">
        <w:t>.</w:t>
      </w:r>
    </w:p>
    <w:p w14:paraId="58B15A6E" w14:textId="10A36676" w:rsidR="00191513" w:rsidRPr="00B321D6" w:rsidRDefault="00191513" w:rsidP="00191513">
      <w:pPr>
        <w:pStyle w:val="Heading4"/>
        <w:spacing w:before="240"/>
      </w:pPr>
      <w:bookmarkStart w:id="52" w:name="_Toc165552530"/>
      <w:r w:rsidRPr="00B321D6">
        <w:lastRenderedPageBreak/>
        <w:t xml:space="preserve">Clinical </w:t>
      </w:r>
      <w:r w:rsidR="005425EC">
        <w:t>s</w:t>
      </w:r>
      <w:r w:rsidRPr="00B321D6">
        <w:t>afety</w:t>
      </w:r>
      <w:bookmarkEnd w:id="52"/>
    </w:p>
    <w:p w14:paraId="26E70794" w14:textId="763BFC9A" w:rsidR="00191513" w:rsidRPr="00B321D6" w:rsidRDefault="00191513" w:rsidP="008412B7">
      <w:pPr>
        <w:pStyle w:val="Heading6"/>
      </w:pPr>
      <w:r w:rsidRPr="00B321D6">
        <w:t>Participant exposure</w:t>
      </w:r>
    </w:p>
    <w:p w14:paraId="0BCE1001" w14:textId="3C897D9A" w:rsidR="00F83421" w:rsidRDefault="00191513" w:rsidP="00191513">
      <w:r w:rsidRPr="00B321D6">
        <w:t>A total of 4</w:t>
      </w:r>
      <w:r>
        <w:t>,</w:t>
      </w:r>
      <w:r w:rsidRPr="00B321D6">
        <w:t xml:space="preserve">144 pregnant women were exposed to RSVpreF </w:t>
      </w:r>
      <w:r>
        <w:t xml:space="preserve">in the </w:t>
      </w:r>
      <w:r w:rsidR="00931929">
        <w:t>two</w:t>
      </w:r>
      <w:r>
        <w:t xml:space="preserve"> maternal studies of which </w:t>
      </w:r>
      <w:r w:rsidRPr="00B321D6">
        <w:t>3</w:t>
      </w:r>
      <w:r>
        <w:t>,</w:t>
      </w:r>
      <w:r w:rsidRPr="00B321D6">
        <w:t xml:space="preserve">797 </w:t>
      </w:r>
      <w:r>
        <w:t xml:space="preserve">were exposed </w:t>
      </w:r>
      <w:r w:rsidRPr="00B321D6">
        <w:t>to the unadjuvanted 120</w:t>
      </w:r>
      <w:r w:rsidR="00931929">
        <w:t xml:space="preserve"> </w:t>
      </w:r>
      <w:r w:rsidRPr="00B321D6">
        <w:t>µg formulation</w:t>
      </w:r>
      <w:r>
        <w:t xml:space="preserve"> between</w:t>
      </w:r>
      <w:r w:rsidRPr="00B321D6">
        <w:t xml:space="preserve"> 24 </w:t>
      </w:r>
      <w:r>
        <w:t xml:space="preserve">and 36 </w:t>
      </w:r>
      <w:r w:rsidRPr="00B321D6">
        <w:t>weeks of gestation</w:t>
      </w:r>
      <w:r>
        <w:t>. All were exposed to a single vaccine dose</w:t>
      </w:r>
      <w:r w:rsidR="00F83421">
        <w:t xml:space="preserve"> (</w:t>
      </w:r>
      <w:r w:rsidR="008412B7">
        <w:t xml:space="preserve">see </w:t>
      </w:r>
      <w:r w:rsidR="00F83421">
        <w:t xml:space="preserve">Table </w:t>
      </w:r>
      <w:r w:rsidR="008412B7">
        <w:t>3</w:t>
      </w:r>
      <w:r w:rsidR="00E672F2">
        <w:t>1</w:t>
      </w:r>
      <w:r w:rsidR="00F83421">
        <w:t>).</w:t>
      </w:r>
    </w:p>
    <w:p w14:paraId="081A7589" w14:textId="19EF9FB1" w:rsidR="00191513" w:rsidRDefault="00F83421" w:rsidP="005425EC">
      <w:pPr>
        <w:pStyle w:val="TableTitle"/>
      </w:pPr>
      <w:r w:rsidRPr="00931929">
        <w:t xml:space="preserve">Table </w:t>
      </w:r>
      <w:r w:rsidR="008412B7">
        <w:t>3</w:t>
      </w:r>
      <w:r w:rsidR="00E672F2">
        <w:t>1</w:t>
      </w:r>
      <w:r w:rsidRPr="00931929">
        <w:t>:</w:t>
      </w:r>
      <w:r w:rsidR="00931929" w:rsidRPr="00931929">
        <w:t xml:space="preserve"> Maternal </w:t>
      </w:r>
      <w:r w:rsidR="008412B7">
        <w:t>p</w:t>
      </w:r>
      <w:r w:rsidR="00931929" w:rsidRPr="00931929">
        <w:t>articipants exposed to RSVpreF</w:t>
      </w:r>
    </w:p>
    <w:p w14:paraId="7A1BC828" w14:textId="77777777" w:rsidR="00191513" w:rsidRPr="00B321D6" w:rsidRDefault="00191513" w:rsidP="005425EC">
      <w:r w:rsidRPr="00B321D6">
        <w:rPr>
          <w:noProof/>
        </w:rPr>
        <w:drawing>
          <wp:inline distT="0" distB="0" distL="0" distR="0" wp14:anchorId="48D98B0F" wp14:editId="38EF3D92">
            <wp:extent cx="5909054" cy="2089053"/>
            <wp:effectExtent l="19050" t="19050" r="0" b="6985"/>
            <wp:docPr id="44" name="Picture 44" descr="Table 31: Maternal participants exposed to RSVp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 31: Maternal participants exposed to RSVpreF"/>
                    <pic:cNvPicPr/>
                  </pic:nvPicPr>
                  <pic:blipFill>
                    <a:blip r:embed="rId61"/>
                    <a:stretch>
                      <a:fillRect/>
                    </a:stretch>
                  </pic:blipFill>
                  <pic:spPr>
                    <a:xfrm>
                      <a:off x="0" y="0"/>
                      <a:ext cx="5983708" cy="2115446"/>
                    </a:xfrm>
                    <a:prstGeom prst="rect">
                      <a:avLst/>
                    </a:prstGeom>
                    <a:ln>
                      <a:solidFill>
                        <a:srgbClr val="E7E6E6">
                          <a:lumMod val="90000"/>
                        </a:srgbClr>
                      </a:solidFill>
                    </a:ln>
                  </pic:spPr>
                </pic:pic>
              </a:graphicData>
            </a:graphic>
          </wp:inline>
        </w:drawing>
      </w:r>
    </w:p>
    <w:p w14:paraId="16DA9A00" w14:textId="346F588D" w:rsidR="00191513" w:rsidRDefault="00191513" w:rsidP="00191513">
      <w:r w:rsidRPr="00B321D6">
        <w:t xml:space="preserve">A total of 9,046 males and 9,208 females were exposed to </w:t>
      </w:r>
      <w:r>
        <w:t xml:space="preserve">the </w:t>
      </w:r>
      <w:r w:rsidRPr="00B321D6">
        <w:t>unadjuvanted 120</w:t>
      </w:r>
      <w:r w:rsidR="00931929">
        <w:t xml:space="preserve"> </w:t>
      </w:r>
      <w:r w:rsidRPr="00B321D6">
        <w:t xml:space="preserve">µg RSVpreF </w:t>
      </w:r>
      <w:r>
        <w:t xml:space="preserve">formulation </w:t>
      </w:r>
      <w:r w:rsidRPr="00B321D6">
        <w:t xml:space="preserve">in all clinical </w:t>
      </w:r>
      <w:r>
        <w:t xml:space="preserve">studies (other than the </w:t>
      </w:r>
      <w:r w:rsidR="00931929">
        <w:t>two</w:t>
      </w:r>
      <w:r>
        <w:t xml:space="preserve"> maternal studies).</w:t>
      </w:r>
      <w:r w:rsidRPr="00B321D6">
        <w:t xml:space="preserve"> The age distribution </w:t>
      </w:r>
      <w:r w:rsidR="00F83421">
        <w:t>is shown in Table 3</w:t>
      </w:r>
      <w:r w:rsidR="00E672F2">
        <w:t>2</w:t>
      </w:r>
      <w:r w:rsidR="00F83421">
        <w:t>.</w:t>
      </w:r>
    </w:p>
    <w:p w14:paraId="54A9256F" w14:textId="0568B874" w:rsidR="00F83421" w:rsidRPr="00931929" w:rsidRDefault="00F83421" w:rsidP="005425EC">
      <w:pPr>
        <w:pStyle w:val="TableTitle"/>
      </w:pPr>
      <w:r w:rsidRPr="00931929">
        <w:t>Table 3</w:t>
      </w:r>
      <w:r w:rsidR="00E672F2">
        <w:t>2</w:t>
      </w:r>
      <w:r w:rsidRPr="00931929">
        <w:t xml:space="preserve">: </w:t>
      </w:r>
      <w:r w:rsidR="00931929" w:rsidRPr="00931929">
        <w:t>Age distribution of male and female participants exposed to 120 µg RSVpreF</w:t>
      </w:r>
    </w:p>
    <w:p w14:paraId="5B52A207" w14:textId="77777777" w:rsidR="00191513" w:rsidRPr="00B321D6" w:rsidRDefault="00191513" w:rsidP="005425EC">
      <w:r w:rsidRPr="00B321D6">
        <w:rPr>
          <w:noProof/>
        </w:rPr>
        <w:drawing>
          <wp:inline distT="0" distB="0" distL="0" distR="0" wp14:anchorId="2FD6EAA5" wp14:editId="0E403886">
            <wp:extent cx="4832180" cy="1306285"/>
            <wp:effectExtent l="0" t="0" r="6985" b="8255"/>
            <wp:docPr id="37" name="Picture 37" descr="Table 32: Age distribution of male and female participants exposed to 120 µg RSVp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 32: Age distribution of male and female participants exposed to 120 µg RSVpreF"/>
                    <pic:cNvPicPr/>
                  </pic:nvPicPr>
                  <pic:blipFill>
                    <a:blip r:embed="rId62"/>
                    <a:stretch>
                      <a:fillRect/>
                    </a:stretch>
                  </pic:blipFill>
                  <pic:spPr>
                    <a:xfrm>
                      <a:off x="0" y="0"/>
                      <a:ext cx="4890941" cy="1322170"/>
                    </a:xfrm>
                    <a:prstGeom prst="rect">
                      <a:avLst/>
                    </a:prstGeom>
                  </pic:spPr>
                </pic:pic>
              </a:graphicData>
            </a:graphic>
          </wp:inline>
        </w:drawing>
      </w:r>
    </w:p>
    <w:p w14:paraId="0C1ED0F2" w14:textId="31DE0602" w:rsidR="00191513" w:rsidRDefault="00191513" w:rsidP="00191513">
      <w:r w:rsidRPr="00B321D6">
        <w:t>The description below focuses on the</w:t>
      </w:r>
      <w:r w:rsidR="00F83421">
        <w:t xml:space="preserve"> two</w:t>
      </w:r>
      <w:r w:rsidRPr="00B321D6">
        <w:t xml:space="preserve"> pivotal studies.</w:t>
      </w:r>
      <w:r>
        <w:t xml:space="preserve"> </w:t>
      </w:r>
    </w:p>
    <w:p w14:paraId="154284B2" w14:textId="77777777" w:rsidR="00191513" w:rsidRPr="00E1018C" w:rsidRDefault="00191513" w:rsidP="008412B7">
      <w:pPr>
        <w:pStyle w:val="Heading6"/>
      </w:pPr>
      <w:r w:rsidRPr="00E1018C">
        <w:t>Maternal study C3671008</w:t>
      </w:r>
    </w:p>
    <w:p w14:paraId="33E95DA8" w14:textId="763003CD" w:rsidR="00191513" w:rsidRPr="008412B7" w:rsidRDefault="00191513" w:rsidP="008412B7">
      <w:r w:rsidRPr="008412B7">
        <w:t xml:space="preserve">Solicited local and systemic reactions were separately reported within </w:t>
      </w:r>
      <w:r w:rsidR="0025184B">
        <w:t>seven</w:t>
      </w:r>
      <w:r w:rsidR="0025184B" w:rsidRPr="008412B7">
        <w:t xml:space="preserve"> </w:t>
      </w:r>
      <w:r w:rsidRPr="008412B7">
        <w:t>days of vaccination and showed consistently higher incidence in the RSVpreF group compared to placebo.</w:t>
      </w:r>
    </w:p>
    <w:p w14:paraId="5DBE274F" w14:textId="774D4E70" w:rsidR="00F83421" w:rsidRPr="008412B7" w:rsidRDefault="00191513" w:rsidP="008412B7">
      <w:r w:rsidRPr="008412B7">
        <w:t xml:space="preserve">Local reactions reported by maternal participants within </w:t>
      </w:r>
      <w:r w:rsidR="0025184B">
        <w:t>seven</w:t>
      </w:r>
      <w:r w:rsidR="0025184B" w:rsidRPr="008412B7">
        <w:t xml:space="preserve"> </w:t>
      </w:r>
      <w:r w:rsidRPr="008412B7">
        <w:t xml:space="preserve">days of vaccination </w:t>
      </w:r>
      <w:r w:rsidR="00F83421" w:rsidRPr="008412B7">
        <w:t xml:space="preserve">are shown in </w:t>
      </w:r>
      <w:r w:rsidR="00F83421" w:rsidRPr="0009002D">
        <w:t xml:space="preserve">Figure </w:t>
      </w:r>
      <w:r w:rsidR="00CC1C11">
        <w:t>8</w:t>
      </w:r>
      <w:r w:rsidR="00F83421" w:rsidRPr="0009002D">
        <w:t>.</w:t>
      </w:r>
    </w:p>
    <w:p w14:paraId="1ABACA54" w14:textId="6EE9D487" w:rsidR="00191513" w:rsidRPr="00931929" w:rsidRDefault="00F83421" w:rsidP="005425EC">
      <w:pPr>
        <w:pStyle w:val="FigureTitle"/>
      </w:pPr>
      <w:r w:rsidRPr="00931929">
        <w:lastRenderedPageBreak/>
        <w:t xml:space="preserve">Figure </w:t>
      </w:r>
      <w:r w:rsidR="00CC1C11">
        <w:t>8</w:t>
      </w:r>
      <w:r w:rsidR="00191513" w:rsidRPr="00931929">
        <w:t>:</w:t>
      </w:r>
      <w:r w:rsidR="00931929" w:rsidRPr="00931929">
        <w:t xml:space="preserve"> Participants reporting local reactions by maximum severity within </w:t>
      </w:r>
      <w:r w:rsidR="00052690">
        <w:t>seven</w:t>
      </w:r>
      <w:r w:rsidR="00931929" w:rsidRPr="00931929">
        <w:t xml:space="preserve"> days after vaccination – </w:t>
      </w:r>
      <w:r w:rsidR="008412B7">
        <w:t>m</w:t>
      </w:r>
      <w:r w:rsidR="00931929" w:rsidRPr="00931929">
        <w:t xml:space="preserve">aternal </w:t>
      </w:r>
      <w:r w:rsidR="008412B7">
        <w:t>p</w:t>
      </w:r>
      <w:r w:rsidR="00931929" w:rsidRPr="00931929">
        <w:t xml:space="preserve">articipants – </w:t>
      </w:r>
      <w:r w:rsidR="008412B7">
        <w:t>s</w:t>
      </w:r>
      <w:r w:rsidR="00931929" w:rsidRPr="00931929">
        <w:t xml:space="preserve">afety </w:t>
      </w:r>
      <w:r w:rsidR="008412B7">
        <w:t>p</w:t>
      </w:r>
      <w:r w:rsidR="00931929" w:rsidRPr="00931929">
        <w:t>opulation</w:t>
      </w:r>
      <w:r w:rsidR="005555D4">
        <w:t>.</w:t>
      </w:r>
    </w:p>
    <w:p w14:paraId="0AF0B942" w14:textId="77777777" w:rsidR="00191513" w:rsidRDefault="00191513" w:rsidP="005425EC">
      <w:r>
        <w:rPr>
          <w:noProof/>
        </w:rPr>
        <w:drawing>
          <wp:inline distT="0" distB="0" distL="0" distR="0" wp14:anchorId="587F953A" wp14:editId="340DF023">
            <wp:extent cx="5411282" cy="2406650"/>
            <wp:effectExtent l="19050" t="19050" r="0" b="0"/>
            <wp:docPr id="36" name="Picture 36" descr="Figure 8: Participants reporting local reactions by maximum severity within seven days after vaccination – maternal participant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8: Participants reporting local reactions by maximum severity within seven days after vaccination – maternal participants – safety population."/>
                    <pic:cNvPicPr>
                      <a:picLocks noChangeAspect="1" noChangeArrowheads="1"/>
                    </pic:cNvPicPr>
                  </pic:nvPicPr>
                  <pic:blipFill rotWithShape="1">
                    <a:blip r:embed="rId63">
                      <a:extLst>
                        <a:ext uri="{28A0092B-C50C-407E-A947-70E740481C1C}">
                          <a14:useLocalDpi xmlns:a14="http://schemas.microsoft.com/office/drawing/2010/main" val="0"/>
                        </a:ext>
                      </a:extLst>
                    </a:blip>
                    <a:srcRect l="293" t="14388"/>
                    <a:stretch/>
                  </pic:blipFill>
                  <pic:spPr bwMode="auto">
                    <a:xfrm>
                      <a:off x="0" y="0"/>
                      <a:ext cx="5482575" cy="2438357"/>
                    </a:xfrm>
                    <a:prstGeom prst="rect">
                      <a:avLst/>
                    </a:prstGeom>
                    <a:noFill/>
                    <a:ln>
                      <a:solidFill>
                        <a:srgbClr val="E7E6E6">
                          <a:lumMod val="90000"/>
                        </a:srgbClr>
                      </a:solidFill>
                    </a:ln>
                    <a:extLst>
                      <a:ext uri="{53640926-AAD7-44D8-BBD7-CCE9431645EC}">
                        <a14:shadowObscured xmlns:a14="http://schemas.microsoft.com/office/drawing/2010/main"/>
                      </a:ext>
                    </a:extLst>
                  </pic:spPr>
                </pic:pic>
              </a:graphicData>
            </a:graphic>
          </wp:inline>
        </w:drawing>
      </w:r>
    </w:p>
    <w:p w14:paraId="4FFFCA0E" w14:textId="4BEDECA8" w:rsidR="00191513" w:rsidRPr="008412B7" w:rsidRDefault="00191513" w:rsidP="008412B7">
      <w:r w:rsidRPr="008412B7">
        <w:t xml:space="preserve">Systemic reactions reported by maternal participants within </w:t>
      </w:r>
      <w:r w:rsidR="0025184B">
        <w:t>seven</w:t>
      </w:r>
      <w:r w:rsidR="0025184B" w:rsidRPr="008412B7">
        <w:t xml:space="preserve"> </w:t>
      </w:r>
      <w:r w:rsidRPr="008412B7">
        <w:t xml:space="preserve">days of vaccination </w:t>
      </w:r>
      <w:r w:rsidR="00931929" w:rsidRPr="008412B7">
        <w:t xml:space="preserve">are shown in Figure </w:t>
      </w:r>
      <w:r w:rsidR="00CC1C11">
        <w:t>9</w:t>
      </w:r>
      <w:r w:rsidR="00931929" w:rsidRPr="008412B7">
        <w:t>.</w:t>
      </w:r>
    </w:p>
    <w:p w14:paraId="549D6B27" w14:textId="1B8B337C" w:rsidR="00931929" w:rsidRPr="00931929" w:rsidRDefault="00931929" w:rsidP="005425EC">
      <w:pPr>
        <w:pStyle w:val="FigureTitle"/>
      </w:pPr>
      <w:r w:rsidRPr="0009002D">
        <w:t xml:space="preserve">Figure </w:t>
      </w:r>
      <w:r w:rsidR="00CC1C11">
        <w:t>9</w:t>
      </w:r>
      <w:r>
        <w:t xml:space="preserve">: Participants reporting systemic events by maximum severity – </w:t>
      </w:r>
      <w:r w:rsidR="008412B7">
        <w:t>m</w:t>
      </w:r>
      <w:r>
        <w:t xml:space="preserve">aternal </w:t>
      </w:r>
      <w:r w:rsidR="008412B7">
        <w:t>p</w:t>
      </w:r>
      <w:r>
        <w:t xml:space="preserve">articipants </w:t>
      </w:r>
      <w:r w:rsidR="00487157">
        <w:t>–</w:t>
      </w:r>
      <w:r>
        <w:t xml:space="preserve"> </w:t>
      </w:r>
      <w:r w:rsidR="008412B7">
        <w:t>s</w:t>
      </w:r>
      <w:r>
        <w:t xml:space="preserve">afety </w:t>
      </w:r>
      <w:r w:rsidR="008412B7">
        <w:t>p</w:t>
      </w:r>
      <w:r>
        <w:t>opulation</w:t>
      </w:r>
      <w:r w:rsidR="005555D4">
        <w:t>.</w:t>
      </w:r>
    </w:p>
    <w:p w14:paraId="22F753F4" w14:textId="77777777" w:rsidR="00191513" w:rsidRDefault="00191513" w:rsidP="005425EC">
      <w:r>
        <w:rPr>
          <w:noProof/>
        </w:rPr>
        <w:drawing>
          <wp:inline distT="0" distB="0" distL="0" distR="0" wp14:anchorId="013AE6D0" wp14:editId="1018F088">
            <wp:extent cx="4742387" cy="2859706"/>
            <wp:effectExtent l="19050" t="19050" r="1270" b="0"/>
            <wp:docPr id="41" name="Picture 41" descr="Figure 9: Participants reporting systemic events by maximum severity – maternal participant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9: Participants reporting systemic events by maximum severity – maternal participants – safety population."/>
                    <pic:cNvPicPr>
                      <a:picLocks noChangeAspect="1" noChangeArrowheads="1"/>
                    </pic:cNvPicPr>
                  </pic:nvPicPr>
                  <pic:blipFill rotWithShape="1">
                    <a:blip r:embed="rId64">
                      <a:extLst>
                        <a:ext uri="{28A0092B-C50C-407E-A947-70E740481C1C}">
                          <a14:useLocalDpi xmlns:a14="http://schemas.microsoft.com/office/drawing/2010/main" val="0"/>
                        </a:ext>
                      </a:extLst>
                    </a:blip>
                    <a:srcRect l="1369" t="11136"/>
                    <a:stretch/>
                  </pic:blipFill>
                  <pic:spPr bwMode="auto">
                    <a:xfrm>
                      <a:off x="0" y="0"/>
                      <a:ext cx="4807189" cy="2898782"/>
                    </a:xfrm>
                    <a:prstGeom prst="rect">
                      <a:avLst/>
                    </a:prstGeom>
                    <a:noFill/>
                    <a:ln>
                      <a:solidFill>
                        <a:srgbClr val="E7E6E6">
                          <a:lumMod val="90000"/>
                        </a:srgbClr>
                      </a:solidFill>
                    </a:ln>
                    <a:extLst>
                      <a:ext uri="{53640926-AAD7-44D8-BBD7-CCE9431645EC}">
                        <a14:shadowObscured xmlns:a14="http://schemas.microsoft.com/office/drawing/2010/main"/>
                      </a:ext>
                    </a:extLst>
                  </pic:spPr>
                </pic:pic>
              </a:graphicData>
            </a:graphic>
          </wp:inline>
        </w:drawing>
      </w:r>
    </w:p>
    <w:p w14:paraId="073862F9" w14:textId="453ED11D" w:rsidR="00F83421" w:rsidRPr="008412B7" w:rsidRDefault="00191513" w:rsidP="008412B7">
      <w:r w:rsidRPr="008412B7">
        <w:t>In maternal participants, A</w:t>
      </w:r>
      <w:r w:rsidR="00C16A62">
        <w:t>E</w:t>
      </w:r>
      <w:r w:rsidRPr="008412B7">
        <w:t>s</w:t>
      </w:r>
      <w:r w:rsidR="0025184B">
        <w:t xml:space="preserve"> </w:t>
      </w:r>
      <w:r w:rsidRPr="008412B7">
        <w:t>were reported in 13.8% RSVpreF 120</w:t>
      </w:r>
      <w:r w:rsidR="00F83421" w:rsidRPr="008412B7">
        <w:t xml:space="preserve"> </w:t>
      </w:r>
      <w:r w:rsidRPr="008412B7">
        <w:t xml:space="preserve">μg </w:t>
      </w:r>
      <w:r w:rsidR="00F83421" w:rsidRPr="008412B7">
        <w:t xml:space="preserve">versus </w:t>
      </w:r>
      <w:r w:rsidRPr="008412B7">
        <w:t>13.1% in placebo participants. A</w:t>
      </w:r>
      <w:r w:rsidR="0025184B">
        <w:t>dverse events</w:t>
      </w:r>
      <w:r w:rsidRPr="008412B7">
        <w:t xml:space="preserve"> of special interest (</w:t>
      </w:r>
      <w:r w:rsidRPr="0025184B">
        <w:t>AESI</w:t>
      </w:r>
      <w:r w:rsidRPr="008412B7">
        <w:t>s) were reported in 2.7% in RSVpreF 120μg v</w:t>
      </w:r>
      <w:r w:rsidR="00F83421" w:rsidRPr="008412B7">
        <w:t>ersu</w:t>
      </w:r>
      <w:r w:rsidRPr="008412B7">
        <w:t>s 2.5% placebo participants</w:t>
      </w:r>
      <w:r w:rsidR="00931929" w:rsidRPr="008412B7">
        <w:t xml:space="preserve"> (see Table 3</w:t>
      </w:r>
      <w:r w:rsidR="00E672F2">
        <w:t>3</w:t>
      </w:r>
      <w:r w:rsidR="00931929" w:rsidRPr="008412B7">
        <w:t>)</w:t>
      </w:r>
      <w:r w:rsidR="00F83421" w:rsidRPr="008412B7">
        <w:t>.</w:t>
      </w:r>
    </w:p>
    <w:p w14:paraId="734DC94C" w14:textId="41520031" w:rsidR="00931929" w:rsidRPr="00931929" w:rsidRDefault="00931929" w:rsidP="005425EC">
      <w:pPr>
        <w:pStyle w:val="TableTitle"/>
      </w:pPr>
      <w:r>
        <w:lastRenderedPageBreak/>
        <w:t>Table 3</w:t>
      </w:r>
      <w:r w:rsidR="00E672F2">
        <w:t>3</w:t>
      </w:r>
      <w:r w:rsidR="00A5706A">
        <w:t>:</w:t>
      </w:r>
      <w:r>
        <w:t xml:space="preserve"> Number (%) of participants reporting adverse events by category within </w:t>
      </w:r>
      <w:r w:rsidR="00B92A58">
        <w:t>one</w:t>
      </w:r>
      <w:r>
        <w:t xml:space="preserve"> month after vaccination – </w:t>
      </w:r>
      <w:r w:rsidR="008412B7">
        <w:t>m</w:t>
      </w:r>
      <w:r>
        <w:t xml:space="preserve">aternal </w:t>
      </w:r>
      <w:r w:rsidR="008412B7">
        <w:t>p</w:t>
      </w:r>
      <w:r>
        <w:t>articipants -</w:t>
      </w:r>
      <w:r w:rsidR="008412B7">
        <w:t>s</w:t>
      </w:r>
      <w:r>
        <w:t xml:space="preserve">afety </w:t>
      </w:r>
      <w:r w:rsidR="008412B7">
        <w:t>p</w:t>
      </w:r>
      <w:r>
        <w:t>opulation</w:t>
      </w:r>
      <w:r w:rsidR="00E672F2">
        <w:t>.</w:t>
      </w:r>
    </w:p>
    <w:p w14:paraId="47F8D361" w14:textId="77777777" w:rsidR="00191513" w:rsidRDefault="00191513" w:rsidP="005425EC">
      <w:r>
        <w:rPr>
          <w:noProof/>
        </w:rPr>
        <w:drawing>
          <wp:inline distT="0" distB="0" distL="0" distR="0" wp14:anchorId="0C4CD17B" wp14:editId="79CED816">
            <wp:extent cx="5259167" cy="2720813"/>
            <wp:effectExtent l="19050" t="19050" r="0" b="3810"/>
            <wp:docPr id="52" name="Picture 52" descr="Table 33: Number (%) of participants reporting adverse events by category within one month after vaccination – maternal participa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 33: Number (%) of participants reporting adverse events by category within one month after vaccination – maternal participants -safety population"/>
                    <pic:cNvPicPr/>
                  </pic:nvPicPr>
                  <pic:blipFill rotWithShape="1">
                    <a:blip r:embed="rId65"/>
                    <a:srcRect l="-631" t="12933" r="1"/>
                    <a:stretch/>
                  </pic:blipFill>
                  <pic:spPr bwMode="auto">
                    <a:xfrm>
                      <a:off x="0" y="0"/>
                      <a:ext cx="5299861" cy="274186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C87A4C" w14:textId="3B87DB9D" w:rsidR="00931929" w:rsidRPr="008412B7" w:rsidRDefault="00191513" w:rsidP="008412B7">
      <w:r w:rsidRPr="008412B7">
        <w:t>In infants, A</w:t>
      </w:r>
      <w:r w:rsidR="00C16A62">
        <w:t>E</w:t>
      </w:r>
      <w:r w:rsidRPr="008412B7">
        <w:t>s were reported in 37.1% RSVpreF v</w:t>
      </w:r>
      <w:r w:rsidR="00931929" w:rsidRPr="008412B7">
        <w:t>ersu</w:t>
      </w:r>
      <w:r w:rsidRPr="008412B7">
        <w:t xml:space="preserve">s 34.5% placebo participants. The most frequently reported infant AE was neonatal hyper-bilirubinaemia in 3.0% infants in </w:t>
      </w:r>
      <w:r w:rsidR="00931929" w:rsidRPr="008412B7">
        <w:t xml:space="preserve">the </w:t>
      </w:r>
      <w:r w:rsidRPr="008412B7">
        <w:t>RSVpreF group v</w:t>
      </w:r>
      <w:r w:rsidR="00931929" w:rsidRPr="008412B7">
        <w:t>ersu</w:t>
      </w:r>
      <w:r w:rsidRPr="008412B7">
        <w:t>s 2.9% in</w:t>
      </w:r>
      <w:r w:rsidR="00931929" w:rsidRPr="008412B7">
        <w:t xml:space="preserve"> the</w:t>
      </w:r>
      <w:r w:rsidRPr="008412B7">
        <w:t xml:space="preserve"> placebo group. The reported rate was 10.8% v</w:t>
      </w:r>
      <w:r w:rsidR="00931929" w:rsidRPr="008412B7">
        <w:t>ersu</w:t>
      </w:r>
      <w:r w:rsidRPr="008412B7">
        <w:t>s 9.7% for AESIs and 0.2% v</w:t>
      </w:r>
      <w:r w:rsidR="00931929" w:rsidRPr="008412B7">
        <w:t>ersu</w:t>
      </w:r>
      <w:r w:rsidRPr="008412B7">
        <w:t xml:space="preserve">s 0.2% for newly diagnosed chronic medical </w:t>
      </w:r>
      <w:r w:rsidRPr="00487157">
        <w:t>conditions (NDCMC)</w:t>
      </w:r>
      <w:r w:rsidRPr="008412B7">
        <w:t xml:space="preserve"> in the </w:t>
      </w:r>
      <w:r w:rsidR="00931929" w:rsidRPr="008412B7">
        <w:t xml:space="preserve">two </w:t>
      </w:r>
      <w:r w:rsidRPr="008412B7">
        <w:t>groups respectively</w:t>
      </w:r>
      <w:r w:rsidR="00931929" w:rsidRPr="008412B7">
        <w:t xml:space="preserve"> (see Table 3</w:t>
      </w:r>
      <w:r w:rsidR="00E672F2">
        <w:t>5)</w:t>
      </w:r>
      <w:r w:rsidR="00931929" w:rsidRPr="008412B7">
        <w:t>.</w:t>
      </w:r>
    </w:p>
    <w:p w14:paraId="2FD1F998" w14:textId="5CF95A65" w:rsidR="00191513" w:rsidRPr="00931929" w:rsidRDefault="00931929" w:rsidP="005425EC">
      <w:pPr>
        <w:pStyle w:val="TableTitle"/>
      </w:pPr>
      <w:r w:rsidRPr="00931929">
        <w:t>Table 3</w:t>
      </w:r>
      <w:r w:rsidR="006F28FB">
        <w:t>4</w:t>
      </w:r>
      <w:r w:rsidR="00191513" w:rsidRPr="00931929">
        <w:t>:</w:t>
      </w:r>
      <w:r w:rsidRPr="00931929">
        <w:t xml:space="preserve"> Number (%) of participants reporting adverse events by category within </w:t>
      </w:r>
      <w:r w:rsidR="00B92A58">
        <w:t>one</w:t>
      </w:r>
      <w:r w:rsidRPr="00931929">
        <w:t xml:space="preserve"> month after birth – </w:t>
      </w:r>
      <w:r w:rsidR="008412B7">
        <w:t>i</w:t>
      </w:r>
      <w:r w:rsidRPr="00931929">
        <w:t xml:space="preserve">nfant </w:t>
      </w:r>
      <w:r w:rsidR="008412B7">
        <w:t>p</w:t>
      </w:r>
      <w:r w:rsidRPr="00931929">
        <w:t xml:space="preserve">articipants – </w:t>
      </w:r>
      <w:r w:rsidR="008412B7">
        <w:t>s</w:t>
      </w:r>
      <w:r w:rsidRPr="00931929">
        <w:t xml:space="preserve">afety </w:t>
      </w:r>
      <w:r w:rsidR="008412B7">
        <w:t>p</w:t>
      </w:r>
      <w:r w:rsidRPr="00931929">
        <w:t>opulation</w:t>
      </w:r>
      <w:r w:rsidR="005555D4">
        <w:t>.</w:t>
      </w:r>
    </w:p>
    <w:p w14:paraId="25610F64" w14:textId="77777777" w:rsidR="00191513" w:rsidRDefault="00191513" w:rsidP="005425EC">
      <w:r>
        <w:rPr>
          <w:noProof/>
        </w:rPr>
        <w:drawing>
          <wp:inline distT="0" distB="0" distL="0" distR="0" wp14:anchorId="601A1FF0" wp14:editId="313F6377">
            <wp:extent cx="5525651" cy="2696015"/>
            <wp:effectExtent l="19050" t="19050" r="0" b="9525"/>
            <wp:docPr id="53" name="Picture 53" descr="Table 34: Number (%) of participants reporting adverse events by category within one month after birth – infant participant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able 34: Number (%) of participants reporting adverse events by category within one month after birth – infant participants – safety population."/>
                    <pic:cNvPicPr>
                      <a:picLocks noChangeAspect="1" noChangeArrowheads="1"/>
                    </pic:cNvPicPr>
                  </pic:nvPicPr>
                  <pic:blipFill rotWithShape="1">
                    <a:blip r:embed="rId66">
                      <a:extLst>
                        <a:ext uri="{28A0092B-C50C-407E-A947-70E740481C1C}">
                          <a14:useLocalDpi xmlns:a14="http://schemas.microsoft.com/office/drawing/2010/main" val="0"/>
                        </a:ext>
                      </a:extLst>
                    </a:blip>
                    <a:srcRect l="-542" t="14932" r="1"/>
                    <a:stretch/>
                  </pic:blipFill>
                  <pic:spPr bwMode="auto">
                    <a:xfrm>
                      <a:off x="0" y="0"/>
                      <a:ext cx="5557238" cy="271142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983AA2" w14:textId="0F08807D" w:rsidR="00191513" w:rsidRPr="008412B7" w:rsidRDefault="00191513" w:rsidP="008412B7">
      <w:r w:rsidRPr="008412B7">
        <w:t>In maternal participants</w:t>
      </w:r>
      <w:r w:rsidRPr="001C1B44">
        <w:t>, ADRs (</w:t>
      </w:r>
      <w:r w:rsidR="00487157" w:rsidRPr="001C1B44">
        <w:t>adverse</w:t>
      </w:r>
      <w:r w:rsidR="00487157">
        <w:t xml:space="preserve"> drug reactions</w:t>
      </w:r>
      <w:r w:rsidRPr="008412B7">
        <w:t>) were reported in 0.4% RSVpreF 120</w:t>
      </w:r>
      <w:r w:rsidR="00F83421" w:rsidRPr="008412B7">
        <w:t xml:space="preserve"> </w:t>
      </w:r>
      <w:r w:rsidRPr="008412B7">
        <w:t>μg v</w:t>
      </w:r>
      <w:r w:rsidR="00F83421" w:rsidRPr="008412B7">
        <w:t>ersu</w:t>
      </w:r>
      <w:r w:rsidRPr="008412B7">
        <w:t>s 0.2% placebo participants. Two women were reported with injection site bruising, and two with lymphadenopathy, in RSVpreF group. In infants, one ADR was reported in the RSVpreF group (premature baby).</w:t>
      </w:r>
    </w:p>
    <w:p w14:paraId="460E2162" w14:textId="5435F82D" w:rsidR="00191513" w:rsidRPr="008412B7" w:rsidRDefault="00191513" w:rsidP="008412B7">
      <w:r w:rsidRPr="008412B7">
        <w:lastRenderedPageBreak/>
        <w:t>In maternal participants, serious A</w:t>
      </w:r>
      <w:r w:rsidR="00487157">
        <w:t>E</w:t>
      </w:r>
      <w:r w:rsidRPr="008412B7">
        <w:t>s (</w:t>
      </w:r>
      <w:r w:rsidRPr="00487157">
        <w:t>SAEs</w:t>
      </w:r>
      <w:r w:rsidRPr="008412B7">
        <w:t>) were reported in 4.2% women in RSVpreF 120</w:t>
      </w:r>
      <w:r w:rsidR="00F83421" w:rsidRPr="008412B7">
        <w:t xml:space="preserve"> </w:t>
      </w:r>
      <w:r w:rsidRPr="008412B7">
        <w:t>μg group v</w:t>
      </w:r>
      <w:r w:rsidR="00F83421" w:rsidRPr="008412B7">
        <w:t>ersu</w:t>
      </w:r>
      <w:r w:rsidRPr="008412B7">
        <w:t>s 3.7% in placebo group. SAEs in the pregnancy, puerperium and perinatal conditions category were reported in 12.1% women in RSVpreF group v</w:t>
      </w:r>
      <w:r w:rsidR="00F83421" w:rsidRPr="008412B7">
        <w:t>ersu</w:t>
      </w:r>
      <w:r w:rsidRPr="008412B7">
        <w:t>s 11.2% in placebo.</w:t>
      </w:r>
    </w:p>
    <w:p w14:paraId="27237FD9" w14:textId="357EBC1A" w:rsidR="00191513" w:rsidRPr="008412B7" w:rsidRDefault="00191513" w:rsidP="008412B7">
      <w:r w:rsidRPr="008412B7">
        <w:t xml:space="preserve">In infants, SAEs were reported in 15.5% infants in </w:t>
      </w:r>
      <w:r w:rsidR="00F83421" w:rsidRPr="008412B7">
        <w:t xml:space="preserve">the </w:t>
      </w:r>
      <w:r w:rsidRPr="008412B7">
        <w:t>RSVpreF group v</w:t>
      </w:r>
      <w:r w:rsidR="00F83421" w:rsidRPr="008412B7">
        <w:t>ersu</w:t>
      </w:r>
      <w:r w:rsidRPr="008412B7">
        <w:t xml:space="preserve">s 15.2% in </w:t>
      </w:r>
      <w:r w:rsidR="00F83421" w:rsidRPr="008412B7">
        <w:t xml:space="preserve">the </w:t>
      </w:r>
      <w:r w:rsidRPr="008412B7">
        <w:t>placebo group. Congenital anomalies were reported in 5.0% infants in</w:t>
      </w:r>
      <w:r w:rsidR="00F83421" w:rsidRPr="008412B7">
        <w:t xml:space="preserve"> the</w:t>
      </w:r>
      <w:r w:rsidRPr="008412B7">
        <w:t xml:space="preserve"> RSVpreF group v</w:t>
      </w:r>
      <w:r w:rsidR="00F83421" w:rsidRPr="008412B7">
        <w:t>ersu</w:t>
      </w:r>
      <w:r w:rsidRPr="008412B7">
        <w:t xml:space="preserve">s 6.2% infants in </w:t>
      </w:r>
      <w:r w:rsidR="00F83421" w:rsidRPr="008412B7">
        <w:t xml:space="preserve">the </w:t>
      </w:r>
      <w:r w:rsidRPr="008412B7">
        <w:t>placebo</w:t>
      </w:r>
      <w:r w:rsidR="00F83421" w:rsidRPr="008412B7">
        <w:t xml:space="preserve"> group</w:t>
      </w:r>
      <w:r w:rsidRPr="008412B7">
        <w:t>. Neonatal jaundice as a</w:t>
      </w:r>
      <w:r w:rsidR="0025184B">
        <w:t>n</w:t>
      </w:r>
      <w:r w:rsidRPr="008412B7">
        <w:t xml:space="preserve"> SAE was reported in 2.1% infants in </w:t>
      </w:r>
      <w:r w:rsidR="00F83421" w:rsidRPr="008412B7">
        <w:t xml:space="preserve">the </w:t>
      </w:r>
      <w:r w:rsidRPr="008412B7">
        <w:t>RSVpreF group v</w:t>
      </w:r>
      <w:r w:rsidR="00F83421" w:rsidRPr="008412B7">
        <w:t>ersu</w:t>
      </w:r>
      <w:r w:rsidRPr="008412B7">
        <w:t xml:space="preserve">s 1.9% in </w:t>
      </w:r>
      <w:r w:rsidR="00F83421" w:rsidRPr="008412B7">
        <w:t xml:space="preserve">the </w:t>
      </w:r>
      <w:r w:rsidRPr="008412B7">
        <w:t>placebo group and respiratory distress as</w:t>
      </w:r>
      <w:r w:rsidR="0025184B">
        <w:t xml:space="preserve"> an </w:t>
      </w:r>
      <w:r w:rsidRPr="008412B7">
        <w:t>SAE was reported in 1.3% infants in</w:t>
      </w:r>
      <w:r w:rsidR="00F83421" w:rsidRPr="008412B7">
        <w:t xml:space="preserve"> the</w:t>
      </w:r>
      <w:r w:rsidRPr="008412B7">
        <w:t xml:space="preserve"> RSVpreF group v</w:t>
      </w:r>
      <w:r w:rsidR="00F83421" w:rsidRPr="008412B7">
        <w:t>ersu</w:t>
      </w:r>
      <w:r w:rsidRPr="008412B7">
        <w:t>s 1.2% in the placebo group.</w:t>
      </w:r>
    </w:p>
    <w:p w14:paraId="17EC7A1B" w14:textId="5A02FE8C" w:rsidR="00191513" w:rsidRPr="008412B7" w:rsidRDefault="00191513" w:rsidP="008412B7">
      <w:r w:rsidRPr="008412B7">
        <w:t xml:space="preserve">One maternal death was reported in RSVpreF group due to postpartum haemorrhage and shock. There were 11 (0.3%) intrauterine deaths in </w:t>
      </w:r>
      <w:r w:rsidR="00F83421" w:rsidRPr="008412B7">
        <w:t xml:space="preserve">the </w:t>
      </w:r>
      <w:r w:rsidRPr="008412B7">
        <w:t>RSVpreF group v</w:t>
      </w:r>
      <w:r w:rsidR="00F83421" w:rsidRPr="008412B7">
        <w:t>ersu</w:t>
      </w:r>
      <w:r w:rsidRPr="008412B7">
        <w:t xml:space="preserve">s 10 (0.3%) in </w:t>
      </w:r>
      <w:r w:rsidR="00F83421" w:rsidRPr="008412B7">
        <w:t xml:space="preserve">the </w:t>
      </w:r>
      <w:r w:rsidRPr="008412B7">
        <w:t xml:space="preserve">placebo group. There were </w:t>
      </w:r>
      <w:r w:rsidR="0025184B">
        <w:t>five</w:t>
      </w:r>
      <w:r w:rsidR="0025184B" w:rsidRPr="008412B7">
        <w:t xml:space="preserve"> </w:t>
      </w:r>
      <w:r w:rsidRPr="008412B7">
        <w:t>(0.1%) infant deaths in RSVpreF group v</w:t>
      </w:r>
      <w:r w:rsidR="00F83421" w:rsidRPr="008412B7">
        <w:t>ersu</w:t>
      </w:r>
      <w:r w:rsidRPr="008412B7">
        <w:t xml:space="preserve">s 12 (0.3%) in </w:t>
      </w:r>
      <w:r w:rsidR="00F83421" w:rsidRPr="008412B7">
        <w:t xml:space="preserve">the </w:t>
      </w:r>
      <w:r w:rsidRPr="008412B7">
        <w:t>placebo group.</w:t>
      </w:r>
    </w:p>
    <w:p w14:paraId="66152237" w14:textId="77777777" w:rsidR="00191513" w:rsidRPr="00E1018C" w:rsidRDefault="00191513" w:rsidP="008412B7">
      <w:pPr>
        <w:pStyle w:val="Heading6"/>
      </w:pPr>
      <w:r w:rsidRPr="00E1018C">
        <w:t xml:space="preserve">Older </w:t>
      </w:r>
      <w:proofErr w:type="gramStart"/>
      <w:r>
        <w:t>a</w:t>
      </w:r>
      <w:r w:rsidRPr="00E1018C">
        <w:t>dults</w:t>
      </w:r>
      <w:proofErr w:type="gramEnd"/>
      <w:r w:rsidRPr="00E1018C">
        <w:t xml:space="preserve"> study C3671013</w:t>
      </w:r>
    </w:p>
    <w:p w14:paraId="53CE91F6" w14:textId="7C46DE3F" w:rsidR="00191513" w:rsidRPr="008412B7" w:rsidRDefault="00191513" w:rsidP="008412B7">
      <w:r w:rsidRPr="008412B7">
        <w:t xml:space="preserve">Solicited local and systemic reactions were separately reported within </w:t>
      </w:r>
      <w:r w:rsidR="0025184B">
        <w:t>seven</w:t>
      </w:r>
      <w:r w:rsidR="0025184B" w:rsidRPr="008412B7">
        <w:t xml:space="preserve"> </w:t>
      </w:r>
      <w:r w:rsidRPr="008412B7">
        <w:t>days of vaccination and showed consistently higher incidence in the RSVpreF group compared to placebo.</w:t>
      </w:r>
    </w:p>
    <w:p w14:paraId="36C27F7B" w14:textId="7D8ABA6D" w:rsidR="00191513" w:rsidRPr="004A07AC" w:rsidRDefault="00191513" w:rsidP="008412B7">
      <w:pPr>
        <w:rPr>
          <w:highlight w:val="yellow"/>
        </w:rPr>
      </w:pPr>
      <w:r w:rsidRPr="008412B7">
        <w:t>Overall</w:t>
      </w:r>
      <w:r w:rsidR="00F83421" w:rsidRPr="008412B7">
        <w:t>,</w:t>
      </w:r>
      <w:r w:rsidRPr="008412B7">
        <w:t xml:space="preserve"> any local reaction within </w:t>
      </w:r>
      <w:r w:rsidR="0025184B">
        <w:t>seven</w:t>
      </w:r>
      <w:r w:rsidR="0025184B" w:rsidRPr="008412B7">
        <w:t xml:space="preserve"> </w:t>
      </w:r>
      <w:r w:rsidRPr="008412B7">
        <w:t>days of vaccination was reported in 12.1% RSVpreF v</w:t>
      </w:r>
      <w:r w:rsidR="00F83421" w:rsidRPr="008412B7">
        <w:t>ersu</w:t>
      </w:r>
      <w:r w:rsidRPr="008412B7">
        <w:t>s 6.6% placebo participants</w:t>
      </w:r>
      <w:r w:rsidR="00F83421" w:rsidRPr="008412B7">
        <w:t xml:space="preserve">. Systemic reactions within </w:t>
      </w:r>
      <w:r w:rsidR="0025184B">
        <w:t>seven</w:t>
      </w:r>
      <w:r w:rsidR="00F83421" w:rsidRPr="008412B7">
        <w:t xml:space="preserve"> days of vaccination were reported in 27.4% RSVpreF versus 25.7% in placebo participants (see Figure</w:t>
      </w:r>
      <w:r w:rsidR="00931929" w:rsidRPr="008412B7">
        <w:t>s</w:t>
      </w:r>
      <w:r w:rsidR="00F83421" w:rsidRPr="008412B7">
        <w:t xml:space="preserve"> </w:t>
      </w:r>
      <w:r w:rsidR="00931929" w:rsidRPr="008412B7">
        <w:t>1</w:t>
      </w:r>
      <w:r w:rsidR="00CC1C11">
        <w:t>0</w:t>
      </w:r>
      <w:r w:rsidR="00931929" w:rsidRPr="008412B7">
        <w:t>a and 1</w:t>
      </w:r>
      <w:r w:rsidR="00CC1C11">
        <w:t>0</w:t>
      </w:r>
      <w:r w:rsidR="00931929" w:rsidRPr="008412B7">
        <w:t xml:space="preserve">b, </w:t>
      </w:r>
      <w:r w:rsidR="00931929" w:rsidRPr="0009002D">
        <w:t>respectively</w:t>
      </w:r>
      <w:r w:rsidR="00F83421" w:rsidRPr="0009002D">
        <w:t>)</w:t>
      </w:r>
      <w:r w:rsidR="00931929" w:rsidRPr="0009002D">
        <w:t>.</w:t>
      </w:r>
    </w:p>
    <w:p w14:paraId="6BE0334A" w14:textId="77CE3FDD" w:rsidR="00F83421" w:rsidRPr="00931929" w:rsidRDefault="00F83421" w:rsidP="005425EC">
      <w:pPr>
        <w:pStyle w:val="FigureTitle"/>
      </w:pPr>
      <w:r w:rsidRPr="0009002D">
        <w:t>Figure</w:t>
      </w:r>
      <w:r w:rsidR="00931929" w:rsidRPr="0009002D">
        <w:t xml:space="preserve"> 1</w:t>
      </w:r>
      <w:r w:rsidR="00CC1C11">
        <w:t>0</w:t>
      </w:r>
      <w:r w:rsidRPr="0009002D">
        <w:t>:</w:t>
      </w:r>
      <w:r w:rsidR="008412B7" w:rsidRPr="0009002D">
        <w:t xml:space="preserve"> </w:t>
      </w:r>
      <w:r w:rsidR="00931929" w:rsidRPr="0009002D">
        <w:t>Local</w:t>
      </w:r>
      <w:r w:rsidR="00931929" w:rsidRPr="00931929">
        <w:t xml:space="preserve"> reactions (Figure 1</w:t>
      </w:r>
      <w:r w:rsidR="00CC1C11">
        <w:t>0</w:t>
      </w:r>
      <w:r w:rsidR="00931929" w:rsidRPr="00931929">
        <w:t xml:space="preserve">a) and </w:t>
      </w:r>
      <w:r w:rsidR="0025184B">
        <w:t>s</w:t>
      </w:r>
      <w:r w:rsidR="0025184B" w:rsidRPr="00931929">
        <w:t xml:space="preserve">ystemic </w:t>
      </w:r>
      <w:r w:rsidR="0025184B">
        <w:t>e</w:t>
      </w:r>
      <w:r w:rsidR="0025184B" w:rsidRPr="00931929">
        <w:t xml:space="preserve">vents </w:t>
      </w:r>
      <w:r w:rsidR="00931929" w:rsidRPr="00931929">
        <w:t>(Figure 1</w:t>
      </w:r>
      <w:r w:rsidR="00CC1C11">
        <w:t>0</w:t>
      </w:r>
      <w:r w:rsidR="00931929" w:rsidRPr="00931929">
        <w:t xml:space="preserve">b), by maximum severity, within </w:t>
      </w:r>
      <w:r w:rsidR="00052690">
        <w:t>seven</w:t>
      </w:r>
      <w:r w:rsidR="00931929" w:rsidRPr="00931929">
        <w:t xml:space="preserve"> days after vaccination – E-diary subset </w:t>
      </w:r>
      <w:r w:rsidR="0025184B">
        <w:t>s</w:t>
      </w:r>
      <w:r w:rsidR="0025184B" w:rsidRPr="00931929">
        <w:t xml:space="preserve">afety </w:t>
      </w:r>
      <w:r w:rsidR="0025184B">
        <w:t>p</w:t>
      </w:r>
      <w:r w:rsidR="0025184B" w:rsidRPr="00931929">
        <w:t>opulation</w:t>
      </w:r>
    </w:p>
    <w:p w14:paraId="4842C021" w14:textId="77777777" w:rsidR="008412B7" w:rsidRDefault="00191513" w:rsidP="005425EC">
      <w:r>
        <w:rPr>
          <w:noProof/>
        </w:rPr>
        <w:drawing>
          <wp:inline distT="0" distB="0" distL="0" distR="0" wp14:anchorId="1C823C32" wp14:editId="31FA4901">
            <wp:extent cx="4163060" cy="3386455"/>
            <wp:effectExtent l="19050" t="19050" r="27940" b="23495"/>
            <wp:docPr id="56" name="Picture 56" descr="Figure 10: Local reactions (Figure 10a) and systemic events (Figure 10b), by maximum severity, within seven days after vaccination – E-diary subse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10: Local reactions (Figure 10a) and systemic events (Figure 10b), by maximum severity, within seven days after vaccination – E-diary subset safety population"/>
                    <pic:cNvPicPr/>
                  </pic:nvPicPr>
                  <pic:blipFill rotWithShape="1">
                    <a:blip r:embed="rId67">
                      <a:extLst>
                        <a:ext uri="{28A0092B-C50C-407E-A947-70E740481C1C}">
                          <a14:useLocalDpi xmlns:a14="http://schemas.microsoft.com/office/drawing/2010/main" val="0"/>
                        </a:ext>
                      </a:extLst>
                    </a:blip>
                    <a:srcRect l="349" t="9899"/>
                    <a:stretch/>
                  </pic:blipFill>
                  <pic:spPr bwMode="auto">
                    <a:xfrm>
                      <a:off x="0" y="0"/>
                      <a:ext cx="4163060" cy="33864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ADECA24" w14:textId="26A7518D" w:rsidR="00931929" w:rsidRPr="00181D35" w:rsidRDefault="008412B7" w:rsidP="005425EC">
      <w:pPr>
        <w:pStyle w:val="FigureCaption"/>
      </w:pPr>
      <w:r w:rsidRPr="00181D35">
        <w:t xml:space="preserve">Figure </w:t>
      </w:r>
      <w:r w:rsidR="00565355">
        <w:t>10</w:t>
      </w:r>
      <w:r w:rsidRPr="00181D35">
        <w:t>a</w:t>
      </w:r>
    </w:p>
    <w:p w14:paraId="369C6BC8" w14:textId="77777777" w:rsidR="008412B7" w:rsidRDefault="00191513" w:rsidP="005425EC">
      <w:r>
        <w:rPr>
          <w:noProof/>
        </w:rPr>
        <w:lastRenderedPageBreak/>
        <w:drawing>
          <wp:inline distT="0" distB="0" distL="0" distR="0" wp14:anchorId="3FA4335A" wp14:editId="56087229">
            <wp:extent cx="4276904" cy="3994542"/>
            <wp:effectExtent l="19050" t="19050" r="9525" b="25400"/>
            <wp:docPr id="58" name="Picture 58" descr="Figure 10: Local reactions (Figure 10a) and systemic events (Figure 10b), by maximum severity, within seven days after vaccination – E-diary subse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igure 10: Local reactions (Figure 10a) and systemic events (Figure 10b), by maximum severity, within seven days after vaccination – E-diary subset safety population"/>
                    <pic:cNvPicPr>
                      <a:picLocks noChangeAspect="1" noChangeArrowheads="1"/>
                    </pic:cNvPicPr>
                  </pic:nvPicPr>
                  <pic:blipFill rotWithShape="1">
                    <a:blip r:embed="rId68">
                      <a:extLst>
                        <a:ext uri="{28A0092B-C50C-407E-A947-70E740481C1C}">
                          <a14:useLocalDpi xmlns:a14="http://schemas.microsoft.com/office/drawing/2010/main" val="0"/>
                        </a:ext>
                      </a:extLst>
                    </a:blip>
                    <a:srcRect l="496" t="6484"/>
                    <a:stretch/>
                  </pic:blipFill>
                  <pic:spPr bwMode="auto">
                    <a:xfrm>
                      <a:off x="0" y="0"/>
                      <a:ext cx="4276904" cy="399454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AD816A" w14:textId="4EB5B7ED" w:rsidR="00931929" w:rsidRPr="00181D35" w:rsidRDefault="008412B7" w:rsidP="005425EC">
      <w:pPr>
        <w:pStyle w:val="FigureCaption"/>
      </w:pPr>
      <w:r w:rsidRPr="00181D35">
        <w:t>Figure 1</w:t>
      </w:r>
      <w:r w:rsidR="00565355">
        <w:t>0</w:t>
      </w:r>
      <w:r w:rsidRPr="00181D35">
        <w:t>b</w:t>
      </w:r>
    </w:p>
    <w:p w14:paraId="5356C804" w14:textId="34A1CCE0" w:rsidR="00191513" w:rsidRPr="008412B7" w:rsidRDefault="00191513" w:rsidP="008412B7">
      <w:r w:rsidRPr="008412B7">
        <w:t>A</w:t>
      </w:r>
      <w:r w:rsidR="002A3EA7">
        <w:t>E</w:t>
      </w:r>
      <w:r w:rsidRPr="008412B7">
        <w:t>s were reported in 13.0% RSVpreF v</w:t>
      </w:r>
      <w:r w:rsidR="00F83421" w:rsidRPr="008412B7">
        <w:t>ersu</w:t>
      </w:r>
      <w:r w:rsidRPr="008412B7">
        <w:t>s 12.8% placebo participants and were generally balanced between the vaccinated and the placebo group</w:t>
      </w:r>
      <w:r w:rsidR="00F83421" w:rsidRPr="008412B7">
        <w:t xml:space="preserve"> (see </w:t>
      </w:r>
      <w:r w:rsidR="0074799B">
        <w:t>T</w:t>
      </w:r>
      <w:r w:rsidR="00F83421" w:rsidRPr="008412B7">
        <w:t>able 3</w:t>
      </w:r>
      <w:r w:rsidR="00E672F2">
        <w:t>6</w:t>
      </w:r>
      <w:r w:rsidR="00F83421" w:rsidRPr="008412B7">
        <w:t>).</w:t>
      </w:r>
    </w:p>
    <w:p w14:paraId="740B0025" w14:textId="1D1077A6" w:rsidR="00F83421" w:rsidRPr="00931929" w:rsidRDefault="00F83421" w:rsidP="005425EC">
      <w:pPr>
        <w:pStyle w:val="TableTitle"/>
      </w:pPr>
      <w:r w:rsidRPr="00931929">
        <w:t xml:space="preserve">Table </w:t>
      </w:r>
      <w:r w:rsidR="0025184B" w:rsidRPr="00931929">
        <w:t>3</w:t>
      </w:r>
      <w:r w:rsidR="006F28FB">
        <w:t>5</w:t>
      </w:r>
      <w:r w:rsidRPr="00931929">
        <w:t xml:space="preserve">: </w:t>
      </w:r>
      <w:r w:rsidR="00931929" w:rsidRPr="00931929">
        <w:t xml:space="preserve">Adverse events, by category, reported from vaccination through data cutoff (14 July 2022) – </w:t>
      </w:r>
      <w:r w:rsidR="008412B7">
        <w:t>s</w:t>
      </w:r>
      <w:r w:rsidR="00931929" w:rsidRPr="00931929">
        <w:t xml:space="preserve">afety </w:t>
      </w:r>
      <w:r w:rsidR="008412B7">
        <w:t>p</w:t>
      </w:r>
      <w:r w:rsidR="00931929" w:rsidRPr="00931929">
        <w:t>opulation</w:t>
      </w:r>
      <w:r w:rsidR="005555D4">
        <w:t>.</w:t>
      </w:r>
    </w:p>
    <w:p w14:paraId="434419A5" w14:textId="031594B0" w:rsidR="00191513" w:rsidRDefault="008412B7" w:rsidP="005425EC">
      <w:r w:rsidRPr="008412B7">
        <w:rPr>
          <w:noProof/>
        </w:rPr>
        <w:drawing>
          <wp:inline distT="0" distB="0" distL="0" distR="0" wp14:anchorId="0CFB5D34" wp14:editId="6C987F9F">
            <wp:extent cx="5392860" cy="2480945"/>
            <wp:effectExtent l="19050" t="19050" r="0" b="0"/>
            <wp:docPr id="1" name="Picture 1" descr="Table 35: Adverse events, by category, reported from vaccination through data cutoff (14 July 2022)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35: Adverse events, by category, reported from vaccination through data cutoff (14 July 2022) – safety population"/>
                    <pic:cNvPicPr>
                      <a:picLocks noChangeAspect="1" noChangeArrowheads="1"/>
                    </pic:cNvPicPr>
                  </pic:nvPicPr>
                  <pic:blipFill rotWithShape="1">
                    <a:blip r:embed="rId69">
                      <a:extLst>
                        <a:ext uri="{28A0092B-C50C-407E-A947-70E740481C1C}">
                          <a14:useLocalDpi xmlns:a14="http://schemas.microsoft.com/office/drawing/2010/main" val="0"/>
                        </a:ext>
                      </a:extLst>
                    </a:blip>
                    <a:srcRect l="168" t="12261"/>
                    <a:stretch/>
                  </pic:blipFill>
                  <pic:spPr bwMode="auto">
                    <a:xfrm>
                      <a:off x="0" y="0"/>
                      <a:ext cx="5392860" cy="2480945"/>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98A0C4" w14:textId="76EC6288" w:rsidR="00191513" w:rsidRPr="008412B7" w:rsidRDefault="00191513" w:rsidP="008412B7">
      <w:r w:rsidRPr="008412B7">
        <w:t>SAEs leading to death was reported for 69 (0.4%) RSVpreF v</w:t>
      </w:r>
      <w:r w:rsidR="00F83421" w:rsidRPr="008412B7">
        <w:t>ersu</w:t>
      </w:r>
      <w:r w:rsidRPr="008412B7">
        <w:t xml:space="preserve">s 71 (0.4%) placebo participants. None of the deaths were attributed to </w:t>
      </w:r>
      <w:r w:rsidR="00931929" w:rsidRPr="008412B7">
        <w:t xml:space="preserve">the </w:t>
      </w:r>
      <w:r w:rsidRPr="008412B7">
        <w:t>study vaccines.</w:t>
      </w:r>
    </w:p>
    <w:p w14:paraId="39D18D85" w14:textId="77777777" w:rsidR="004663C4" w:rsidRDefault="004663C4" w:rsidP="008412B7"/>
    <w:p w14:paraId="485C402A" w14:textId="22C6A5C0" w:rsidR="00191513" w:rsidRPr="008412B7" w:rsidRDefault="00191513" w:rsidP="008412B7">
      <w:r w:rsidRPr="008412B7">
        <w:lastRenderedPageBreak/>
        <w:t>Three SAEs in the RSVpreF group were considered related to</w:t>
      </w:r>
      <w:r w:rsidR="00931929" w:rsidRPr="008412B7">
        <w:t xml:space="preserve"> the</w:t>
      </w:r>
      <w:r w:rsidRPr="008412B7">
        <w:t xml:space="preserve"> study vaccine as follows:</w:t>
      </w:r>
    </w:p>
    <w:p w14:paraId="0E9C4165" w14:textId="77777777" w:rsidR="00F83421" w:rsidRPr="008412B7" w:rsidRDefault="00191513" w:rsidP="008412B7">
      <w:pPr>
        <w:pStyle w:val="ListBullet"/>
      </w:pPr>
      <w:r w:rsidRPr="008412B7">
        <w:t>Allergic reaction on the day of administration</w:t>
      </w:r>
    </w:p>
    <w:p w14:paraId="7FE929BF" w14:textId="1A55EE97" w:rsidR="00F83421" w:rsidRPr="008412B7" w:rsidRDefault="00487157" w:rsidP="008412B7">
      <w:pPr>
        <w:pStyle w:val="ListBullet"/>
      </w:pPr>
      <w:r w:rsidRPr="001C1B44">
        <w:t>Guillain</w:t>
      </w:r>
      <w:r w:rsidRPr="00487157">
        <w:t>-Barrè</w:t>
      </w:r>
      <w:r w:rsidRPr="001C1B44">
        <w:t xml:space="preserve"> Syndrome (</w:t>
      </w:r>
      <w:r w:rsidR="00191513" w:rsidRPr="00487157">
        <w:t>GBS</w:t>
      </w:r>
      <w:r>
        <w:t>)</w:t>
      </w:r>
      <w:r w:rsidR="00191513" w:rsidRPr="008412B7">
        <w:t xml:space="preserve"> with onset </w:t>
      </w:r>
      <w:r>
        <w:t>seven</w:t>
      </w:r>
      <w:r w:rsidRPr="008412B7">
        <w:t xml:space="preserve"> </w:t>
      </w:r>
      <w:r w:rsidR="00191513" w:rsidRPr="008412B7">
        <w:t>days after administration</w:t>
      </w:r>
    </w:p>
    <w:p w14:paraId="06A48D80" w14:textId="6BC35AA8" w:rsidR="00191513" w:rsidRPr="008412B7" w:rsidRDefault="00191513" w:rsidP="008412B7">
      <w:pPr>
        <w:pStyle w:val="ListBullet"/>
      </w:pPr>
      <w:r w:rsidRPr="008412B7">
        <w:t xml:space="preserve">Miller Fisher Syndrome with onset </w:t>
      </w:r>
      <w:r w:rsidR="00052690">
        <w:t>eight</w:t>
      </w:r>
      <w:r w:rsidRPr="008412B7">
        <w:t xml:space="preserve"> days after administration</w:t>
      </w:r>
      <w:r w:rsidR="00F83421" w:rsidRPr="008412B7">
        <w:t>.</w:t>
      </w:r>
    </w:p>
    <w:p w14:paraId="71D51F2B" w14:textId="6DAED9EA" w:rsidR="00191513" w:rsidRPr="008412B7" w:rsidRDefault="00191513" w:rsidP="008412B7">
      <w:r w:rsidRPr="008412B7">
        <w:t xml:space="preserve">Two more events of GBS were subsequently reported that included one in </w:t>
      </w:r>
      <w:r w:rsidR="00F83421" w:rsidRPr="008412B7">
        <w:t xml:space="preserve">the </w:t>
      </w:r>
      <w:r w:rsidRPr="008412B7">
        <w:t xml:space="preserve">RSVpreF group </w:t>
      </w:r>
      <w:r w:rsidR="0025184B">
        <w:t>eight</w:t>
      </w:r>
      <w:r w:rsidR="0025184B" w:rsidRPr="008412B7">
        <w:t xml:space="preserve"> </w:t>
      </w:r>
      <w:r w:rsidRPr="008412B7">
        <w:t>months after administration and one in</w:t>
      </w:r>
      <w:r w:rsidR="00F83421" w:rsidRPr="008412B7">
        <w:t xml:space="preserve"> the</w:t>
      </w:r>
      <w:r w:rsidRPr="008412B7">
        <w:t xml:space="preserve"> placebo group 14 months after administration and are not considered related to study interventions. A new study (C3671031) is planned to further evaluate the risk of GBS, other immune-mediated demyelinating conditions and polyneuropathies following RSVpreF administration among older adults.</w:t>
      </w:r>
    </w:p>
    <w:p w14:paraId="1819B341" w14:textId="705115C4" w:rsidR="00191513" w:rsidRPr="008412B7" w:rsidRDefault="00191513" w:rsidP="008412B7">
      <w:r w:rsidRPr="004A07AC">
        <w:t xml:space="preserve">Some of the reported incidence rates could not be reconciled between the sponsor’s dossier and the clinical evaluation report. The sponsor will be requested to provide </w:t>
      </w:r>
      <w:r w:rsidR="004A07AC" w:rsidRPr="004A07AC">
        <w:t xml:space="preserve">an </w:t>
      </w:r>
      <w:r w:rsidRPr="004A07AC">
        <w:t>updated summary.</w:t>
      </w:r>
      <w:r w:rsidRPr="008412B7">
        <w:t xml:space="preserve"> A summary of safety data to mid-</w:t>
      </w:r>
      <w:r w:rsidR="00A4308A">
        <w:t>s</w:t>
      </w:r>
      <w:r w:rsidRPr="008412B7">
        <w:t>eason 2 was included at Round 2 and showed the incidence of any AE was 10.6% v</w:t>
      </w:r>
      <w:r w:rsidR="00F83421" w:rsidRPr="008412B7">
        <w:t>ersu</w:t>
      </w:r>
      <w:r w:rsidRPr="008412B7">
        <w:t>s 10.4% in</w:t>
      </w:r>
      <w:r w:rsidR="00F83421" w:rsidRPr="008412B7">
        <w:t xml:space="preserve"> the</w:t>
      </w:r>
      <w:r w:rsidRPr="008412B7">
        <w:t xml:space="preserve"> RSVpreF and placebo groups respectively </w:t>
      </w:r>
      <w:r w:rsidR="00F83421" w:rsidRPr="008412B7">
        <w:t>(see Table 3</w:t>
      </w:r>
      <w:r w:rsidR="005555D4">
        <w:t>7</w:t>
      </w:r>
      <w:r w:rsidR="00F83421" w:rsidRPr="008412B7">
        <w:t>).</w:t>
      </w:r>
    </w:p>
    <w:p w14:paraId="1E5BEFF9" w14:textId="05BCFD96" w:rsidR="00F83421" w:rsidRPr="00931929" w:rsidRDefault="00F83421" w:rsidP="004663C4">
      <w:pPr>
        <w:pStyle w:val="TableTitle"/>
      </w:pPr>
      <w:r w:rsidRPr="00931929">
        <w:t>Table 3</w:t>
      </w:r>
      <w:r w:rsidR="006F28FB">
        <w:t>6</w:t>
      </w:r>
      <w:r w:rsidR="00931929" w:rsidRPr="00931929">
        <w:t xml:space="preserve">: Adverse events, by category, from vaccination through </w:t>
      </w:r>
      <w:r w:rsidR="00052690">
        <w:t>one</w:t>
      </w:r>
      <w:r w:rsidR="00931929" w:rsidRPr="00931929">
        <w:t xml:space="preserve">-month follow up visit and through data cutoff (31 January 2023) – </w:t>
      </w:r>
      <w:r w:rsidR="008412B7">
        <w:t>m</w:t>
      </w:r>
      <w:r w:rsidR="00931929" w:rsidRPr="00931929">
        <w:t xml:space="preserve">id-season 2 </w:t>
      </w:r>
      <w:r w:rsidR="008412B7">
        <w:t>s</w:t>
      </w:r>
      <w:r w:rsidR="00931929" w:rsidRPr="00931929">
        <w:t>afety analysis</w:t>
      </w:r>
    </w:p>
    <w:p w14:paraId="2CFE7731" w14:textId="576E8E3A" w:rsidR="00191513" w:rsidRPr="00B321D6" w:rsidRDefault="0025184B" w:rsidP="004663C4">
      <w:r w:rsidRPr="00B321D6">
        <w:rPr>
          <w:noProof/>
        </w:rPr>
        <w:drawing>
          <wp:inline distT="0" distB="0" distL="0" distR="0" wp14:anchorId="5AAFC030" wp14:editId="7382B9D1">
            <wp:extent cx="4932629" cy="2060575"/>
            <wp:effectExtent l="19050" t="19050" r="1905" b="0"/>
            <wp:docPr id="10" name="Picture 10" descr="Table 36: Adverse events, by category, from vaccination through one-month follow up visit and through data cutoff (31 January 2023) – mid-season 2 safet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36: Adverse events, by category, from vaccination through one-month follow up visit and through data cutoff (31 January 2023) – mid-season 2 safety analysis"/>
                    <pic:cNvPicPr/>
                  </pic:nvPicPr>
                  <pic:blipFill rotWithShape="1">
                    <a:blip r:embed="rId70"/>
                    <a:srcRect l="257" t="20757"/>
                    <a:stretch/>
                  </pic:blipFill>
                  <pic:spPr bwMode="auto">
                    <a:xfrm>
                      <a:off x="0" y="0"/>
                      <a:ext cx="4942447" cy="2064677"/>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92F5D94" w14:textId="4F2D010D" w:rsidR="00191513" w:rsidRDefault="00191513" w:rsidP="00191513">
      <w:r>
        <w:t>Overall, the updated summary continues to show comparable safety outcomes in RSVpreF recipients v</w:t>
      </w:r>
      <w:r w:rsidR="00F83421">
        <w:t>ersu</w:t>
      </w:r>
      <w:r>
        <w:t>s placebo recipients. The incidence of related A</w:t>
      </w:r>
      <w:r w:rsidR="00DE40FB">
        <w:t>E</w:t>
      </w:r>
      <w:r>
        <w:t>s (1.4% v</w:t>
      </w:r>
      <w:r w:rsidR="00931929">
        <w:t>ersu</w:t>
      </w:r>
      <w:r>
        <w:t>s 1.0%) and SAEs (4.3% v</w:t>
      </w:r>
      <w:r w:rsidR="00931929">
        <w:t>ersu</w:t>
      </w:r>
      <w:r>
        <w:t xml:space="preserve">s 4.1%) in the </w:t>
      </w:r>
      <w:r w:rsidR="00F83421">
        <w:t>two</w:t>
      </w:r>
      <w:r>
        <w:t xml:space="preserve"> groups respectively are noted.</w:t>
      </w:r>
    </w:p>
    <w:p w14:paraId="6C58C99D" w14:textId="76706BC6" w:rsidR="00191513" w:rsidRPr="00FA016E" w:rsidRDefault="00191513" w:rsidP="008412B7">
      <w:pPr>
        <w:pStyle w:val="Heading6"/>
      </w:pPr>
      <w:r>
        <w:t>Other studies</w:t>
      </w:r>
    </w:p>
    <w:p w14:paraId="253B820D" w14:textId="1EEFB551" w:rsidR="00191513" w:rsidRPr="008412B7" w:rsidRDefault="00191513" w:rsidP="008412B7">
      <w:r w:rsidRPr="008412B7">
        <w:t>In the dose</w:t>
      </w:r>
      <w:r w:rsidR="00A4308A">
        <w:t xml:space="preserve"> </w:t>
      </w:r>
      <w:r w:rsidRPr="008412B7">
        <w:t xml:space="preserve">finding study C3671001, </w:t>
      </w:r>
      <w:r w:rsidR="00F83421" w:rsidRPr="008412B7">
        <w:t>six</w:t>
      </w:r>
      <w:r w:rsidRPr="008412B7">
        <w:t xml:space="preserve"> deaths were reported in expanded and sentinel cohorts, none related to study treatments. In the dose finding study C3671002, one participant in </w:t>
      </w:r>
      <w:r w:rsidR="00931929" w:rsidRPr="008412B7">
        <w:t xml:space="preserve">the </w:t>
      </w:r>
      <w:proofErr w:type="spellStart"/>
      <w:r w:rsidRPr="008412B7">
        <w:t>RSVpreF</w:t>
      </w:r>
      <w:proofErr w:type="spellEnd"/>
      <w:r w:rsidRPr="008412B7">
        <w:t xml:space="preserve"> 240</w:t>
      </w:r>
      <w:r w:rsidR="00F83421" w:rsidRPr="008412B7">
        <w:t xml:space="preserve"> </w:t>
      </w:r>
      <w:proofErr w:type="spellStart"/>
      <w:r w:rsidRPr="008412B7">
        <w:t>μg+CpG</w:t>
      </w:r>
      <w:proofErr w:type="spellEnd"/>
      <w:r w:rsidRPr="008412B7">
        <w:t>/</w:t>
      </w:r>
      <w:proofErr w:type="gramStart"/>
      <w:r w:rsidRPr="008412B7">
        <w:t>Al(</w:t>
      </w:r>
      <w:proofErr w:type="gramEnd"/>
      <w:r w:rsidRPr="008412B7">
        <w:t>OH)</w:t>
      </w:r>
      <w:r w:rsidRPr="008412B7">
        <w:rPr>
          <w:vertAlign w:val="subscript"/>
        </w:rPr>
        <w:t>3</w:t>
      </w:r>
      <w:r w:rsidR="00931929" w:rsidRPr="008412B7">
        <w:t xml:space="preserve"> group</w:t>
      </w:r>
      <w:r w:rsidRPr="008412B7">
        <w:t xml:space="preserve"> in the </w:t>
      </w:r>
      <w:r w:rsidR="0025184B">
        <w:t>p</w:t>
      </w:r>
      <w:r w:rsidR="0025184B" w:rsidRPr="008412B7">
        <w:t xml:space="preserve">rimary </w:t>
      </w:r>
      <w:r w:rsidR="0025184B">
        <w:t>c</w:t>
      </w:r>
      <w:r w:rsidR="0025184B" w:rsidRPr="008412B7">
        <w:t xml:space="preserve">ohort </w:t>
      </w:r>
      <w:r w:rsidRPr="008412B7">
        <w:t>died due to myocardial infarction 210 days after administration</w:t>
      </w:r>
      <w:r w:rsidR="0025184B">
        <w:t>,</w:t>
      </w:r>
      <w:r w:rsidRPr="008412B7">
        <w:t xml:space="preserve"> and a second participant died after the final visit. There was one SAE in the RSVpreF 240</w:t>
      </w:r>
      <w:r w:rsidR="00F83421" w:rsidRPr="008412B7">
        <w:t xml:space="preserve"> </w:t>
      </w:r>
      <w:r w:rsidRPr="008412B7">
        <w:t>μg group (lymphadenopathy/device breakage).</w:t>
      </w:r>
    </w:p>
    <w:p w14:paraId="76F8E37E" w14:textId="7F78828E" w:rsidR="00191513" w:rsidRPr="008412B7" w:rsidRDefault="00191513" w:rsidP="008412B7">
      <w:r w:rsidRPr="008412B7">
        <w:t xml:space="preserve">In study C3671006, one death was reported following the placebo + SIIV vaccination 1 at 29 days after vaccination from cardiac failure. Within </w:t>
      </w:r>
      <w:r w:rsidR="0025184B">
        <w:t>one</w:t>
      </w:r>
      <w:r w:rsidR="0025184B" w:rsidRPr="008412B7">
        <w:t xml:space="preserve"> </w:t>
      </w:r>
      <w:r w:rsidRPr="008412B7">
        <w:t xml:space="preserve">month of </w:t>
      </w:r>
      <w:r w:rsidR="0025184B">
        <w:t>v</w:t>
      </w:r>
      <w:r w:rsidR="0025184B" w:rsidRPr="008412B7">
        <w:t xml:space="preserve">accination </w:t>
      </w:r>
      <w:r w:rsidRPr="008412B7">
        <w:t>1, SAEs were reported in eight (1.1%) of the RSVpreF + SIIV v</w:t>
      </w:r>
      <w:r w:rsidR="00F83421" w:rsidRPr="008412B7">
        <w:t>ersu</w:t>
      </w:r>
      <w:r w:rsidRPr="008412B7">
        <w:t xml:space="preserve">s six (0.9%) of the placebo + SIIV group participants; and within </w:t>
      </w:r>
      <w:r w:rsidR="0025184B">
        <w:t>one</w:t>
      </w:r>
      <w:r w:rsidR="0025184B" w:rsidRPr="008412B7">
        <w:t xml:space="preserve"> </w:t>
      </w:r>
      <w:r w:rsidRPr="008412B7">
        <w:t xml:space="preserve">month of </w:t>
      </w:r>
      <w:r w:rsidR="0025184B">
        <w:t>v</w:t>
      </w:r>
      <w:r w:rsidR="0025184B" w:rsidRPr="008412B7">
        <w:t xml:space="preserve">accination </w:t>
      </w:r>
      <w:r w:rsidRPr="008412B7">
        <w:t xml:space="preserve">2, SAEs were reported in two (0.3%) of the placebo group and five (0.7%) of the RSVpreF group. </w:t>
      </w:r>
      <w:r w:rsidR="0025184B">
        <w:t>C</w:t>
      </w:r>
      <w:r w:rsidRPr="008412B7">
        <w:t>oadministration did not result in a significant increase in local reactions or systemic reactions.</w:t>
      </w:r>
    </w:p>
    <w:p w14:paraId="0BABECAF" w14:textId="0C9E7B7C" w:rsidR="00191513" w:rsidRPr="00B321D6" w:rsidRDefault="00C22214" w:rsidP="00E72C34">
      <w:pPr>
        <w:pStyle w:val="Heading3"/>
        <w:rPr>
          <w:lang w:eastAsia="en-AU"/>
        </w:rPr>
      </w:pPr>
      <w:bookmarkStart w:id="53" w:name="_Toc314842514"/>
      <w:bookmarkStart w:id="54" w:name="_Toc103679298"/>
      <w:bookmarkStart w:id="55" w:name="_Toc165552531"/>
      <w:r>
        <w:rPr>
          <w:lang w:eastAsia="en-AU"/>
        </w:rPr>
        <w:lastRenderedPageBreak/>
        <w:t>Risk management plan</w:t>
      </w:r>
      <w:bookmarkStart w:id="56" w:name="_Toc247691531"/>
      <w:bookmarkStart w:id="57" w:name="_Toc314842515"/>
      <w:bookmarkEnd w:id="53"/>
      <w:bookmarkEnd w:id="54"/>
      <w:bookmarkEnd w:id="55"/>
    </w:p>
    <w:p w14:paraId="39F3CD1D" w14:textId="3941F062" w:rsidR="0072003B" w:rsidRPr="00BD5DBD" w:rsidRDefault="00C22214" w:rsidP="00C22214">
      <w:pPr>
        <w:rPr>
          <w:szCs w:val="22"/>
        </w:rPr>
      </w:pPr>
      <w:r w:rsidRPr="00BD5DBD">
        <w:rPr>
          <w:szCs w:val="22"/>
        </w:rPr>
        <w:t xml:space="preserve">The summary of safety concerns and their associated risk monitoring and mitigation strategies are </w:t>
      </w:r>
      <w:r w:rsidR="007A3E09">
        <w:rPr>
          <w:szCs w:val="22"/>
        </w:rPr>
        <w:t>presented</w:t>
      </w:r>
      <w:r w:rsidRPr="00BD5DBD">
        <w:rPr>
          <w:szCs w:val="22"/>
        </w:rPr>
        <w:t xml:space="preserve">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8B1CB5" w:rsidRPr="008B1CB5">
        <w:rPr>
          <w:szCs w:val="22"/>
        </w:rPr>
        <w:t xml:space="preserve">Table </w:t>
      </w:r>
      <w:r w:rsidR="008B1CB5" w:rsidRPr="008B1CB5">
        <w:rPr>
          <w:noProof/>
          <w:szCs w:val="22"/>
        </w:rPr>
        <w:t>3</w:t>
      </w:r>
      <w:r w:rsidR="003B149C" w:rsidRPr="003B149C">
        <w:rPr>
          <w:szCs w:val="22"/>
        </w:rPr>
        <w:fldChar w:fldCharType="end"/>
      </w:r>
      <w:r w:rsidR="005555D4">
        <w:rPr>
          <w:szCs w:val="22"/>
        </w:rPr>
        <w:t>8</w:t>
      </w:r>
      <w:r w:rsidR="008C49C6" w:rsidRPr="003B149C">
        <w:rPr>
          <w:szCs w:val="22"/>
        </w:rPr>
        <w:t>.</w:t>
      </w:r>
      <w:r w:rsidR="0072003B" w:rsidRPr="00BD5DBD">
        <w:rPr>
          <w:szCs w:val="22"/>
        </w:rPr>
        <w:t xml:space="preserve"> </w:t>
      </w:r>
    </w:p>
    <w:p w14:paraId="0E7D3ADC" w14:textId="061124AE" w:rsidR="00127A74" w:rsidRDefault="00C22214" w:rsidP="008412B7">
      <w:pPr>
        <w:pStyle w:val="TableTitle"/>
      </w:pPr>
      <w:bookmarkStart w:id="58" w:name="_Ref97629131"/>
      <w:r w:rsidRPr="008412B7">
        <w:t xml:space="preserve">Table </w:t>
      </w:r>
      <w:bookmarkEnd w:id="58"/>
      <w:r w:rsidR="008412B7" w:rsidRPr="008412B7">
        <w:t>3</w:t>
      </w:r>
      <w:r w:rsidR="00865BC5">
        <w:t>7</w:t>
      </w:r>
      <w:r w:rsidRPr="008412B7">
        <w:t>: Summary of safety concerns</w:t>
      </w:r>
    </w:p>
    <w:tbl>
      <w:tblPr>
        <w:tblStyle w:val="TableTGAblue2023"/>
        <w:tblW w:w="9067" w:type="dxa"/>
        <w:tblLayout w:type="fixed"/>
        <w:tblLook w:val="04A0" w:firstRow="1" w:lastRow="0" w:firstColumn="1" w:lastColumn="0" w:noHBand="0" w:noVBand="1"/>
      </w:tblPr>
      <w:tblGrid>
        <w:gridCol w:w="1555"/>
        <w:gridCol w:w="2409"/>
        <w:gridCol w:w="1134"/>
        <w:gridCol w:w="1418"/>
        <w:gridCol w:w="1134"/>
        <w:gridCol w:w="1417"/>
      </w:tblGrid>
      <w:tr w:rsidR="00127A74" w:rsidRPr="0025184B" w14:paraId="359A0C59" w14:textId="77777777" w:rsidTr="00EA2ED8">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Pr>
          <w:p w14:paraId="24B1F090" w14:textId="77777777" w:rsidR="00127A74" w:rsidRPr="00F51A3A" w:rsidRDefault="00127A74" w:rsidP="00127A74">
            <w:pPr>
              <w:rPr>
                <w:sz w:val="20"/>
                <w:szCs w:val="20"/>
              </w:rPr>
            </w:pPr>
            <w:r w:rsidRPr="00F51A3A">
              <w:rPr>
                <w:sz w:val="20"/>
                <w:szCs w:val="20"/>
              </w:rPr>
              <w:t>Summary of safety concerns</w:t>
            </w:r>
          </w:p>
        </w:tc>
        <w:tc>
          <w:tcPr>
            <w:tcW w:w="2552" w:type="dxa"/>
            <w:gridSpan w:val="2"/>
          </w:tcPr>
          <w:p w14:paraId="596694C9" w14:textId="77777777" w:rsidR="00127A74" w:rsidRPr="00F51A3A" w:rsidRDefault="00127A74" w:rsidP="00127A74">
            <w:pPr>
              <w:cnfStyle w:val="100000000000" w:firstRow="1" w:lastRow="0" w:firstColumn="0" w:lastColumn="0" w:oddVBand="0" w:evenVBand="0" w:oddHBand="0" w:evenHBand="0" w:firstRowFirstColumn="0" w:firstRowLastColumn="0" w:lastRowFirstColumn="0" w:lastRowLastColumn="0"/>
              <w:rPr>
                <w:sz w:val="20"/>
                <w:szCs w:val="20"/>
              </w:rPr>
            </w:pPr>
            <w:r w:rsidRPr="00F51A3A">
              <w:rPr>
                <w:sz w:val="20"/>
                <w:szCs w:val="20"/>
              </w:rPr>
              <w:t>Pharmacovigilance</w:t>
            </w:r>
          </w:p>
        </w:tc>
        <w:tc>
          <w:tcPr>
            <w:tcW w:w="2551" w:type="dxa"/>
            <w:gridSpan w:val="2"/>
          </w:tcPr>
          <w:p w14:paraId="4F66CB82" w14:textId="77777777" w:rsidR="00127A74" w:rsidRPr="00F51A3A" w:rsidRDefault="00127A74" w:rsidP="00127A74">
            <w:pPr>
              <w:cnfStyle w:val="100000000000" w:firstRow="1" w:lastRow="0" w:firstColumn="0" w:lastColumn="0" w:oddVBand="0" w:evenVBand="0" w:oddHBand="0" w:evenHBand="0" w:firstRowFirstColumn="0" w:firstRowLastColumn="0" w:lastRowFirstColumn="0" w:lastRowLastColumn="0"/>
              <w:rPr>
                <w:sz w:val="20"/>
                <w:szCs w:val="20"/>
              </w:rPr>
            </w:pPr>
            <w:r w:rsidRPr="00F51A3A">
              <w:rPr>
                <w:sz w:val="20"/>
                <w:szCs w:val="20"/>
              </w:rPr>
              <w:t>Risk minimisation</w:t>
            </w:r>
          </w:p>
        </w:tc>
      </w:tr>
      <w:tr w:rsidR="00127A74" w:rsidRPr="0025184B" w14:paraId="12411E68" w14:textId="77777777" w:rsidTr="00EA2ED8">
        <w:trPr>
          <w:trHeight w:val="150"/>
        </w:trPr>
        <w:tc>
          <w:tcPr>
            <w:cnfStyle w:val="001000000000" w:firstRow="0" w:lastRow="0" w:firstColumn="1" w:lastColumn="0" w:oddVBand="0" w:evenVBand="0" w:oddHBand="0" w:evenHBand="0" w:firstRowFirstColumn="0" w:firstRowLastColumn="0" w:lastRowFirstColumn="0" w:lastRowLastColumn="0"/>
            <w:tcW w:w="3964" w:type="dxa"/>
            <w:gridSpan w:val="2"/>
            <w:vMerge/>
            <w:shd w:val="clear" w:color="auto" w:fill="DEEAF6" w:themeFill="accent5" w:themeFillTint="33"/>
          </w:tcPr>
          <w:p w14:paraId="71D88F2A" w14:textId="77777777" w:rsidR="00127A74" w:rsidRPr="00F51A3A" w:rsidRDefault="00127A74" w:rsidP="00127A74">
            <w:pPr>
              <w:rPr>
                <w:sz w:val="20"/>
                <w:szCs w:val="20"/>
              </w:rPr>
            </w:pPr>
          </w:p>
        </w:tc>
        <w:tc>
          <w:tcPr>
            <w:tcW w:w="1134" w:type="dxa"/>
            <w:shd w:val="clear" w:color="auto" w:fill="DEEAF6"/>
          </w:tcPr>
          <w:p w14:paraId="1BF9407C" w14:textId="77777777" w:rsidR="00127A74" w:rsidRPr="00F51A3A"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sz w:val="20"/>
                <w:szCs w:val="20"/>
              </w:rPr>
            </w:pPr>
            <w:r w:rsidRPr="00F51A3A">
              <w:rPr>
                <w:b/>
                <w:color w:val="263287"/>
                <w:sz w:val="20"/>
                <w:szCs w:val="20"/>
              </w:rPr>
              <w:t>Routine</w:t>
            </w:r>
          </w:p>
        </w:tc>
        <w:tc>
          <w:tcPr>
            <w:tcW w:w="1418" w:type="dxa"/>
            <w:shd w:val="clear" w:color="auto" w:fill="DEEAF6"/>
          </w:tcPr>
          <w:p w14:paraId="442BA332" w14:textId="77777777" w:rsidR="00127A74" w:rsidRPr="00F51A3A"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sz w:val="20"/>
                <w:szCs w:val="20"/>
              </w:rPr>
            </w:pPr>
            <w:r w:rsidRPr="00F51A3A">
              <w:rPr>
                <w:b/>
                <w:color w:val="263287"/>
                <w:sz w:val="20"/>
                <w:szCs w:val="20"/>
              </w:rPr>
              <w:t>Additional</w:t>
            </w:r>
          </w:p>
        </w:tc>
        <w:tc>
          <w:tcPr>
            <w:tcW w:w="1134" w:type="dxa"/>
            <w:shd w:val="clear" w:color="auto" w:fill="DEEAF6"/>
          </w:tcPr>
          <w:p w14:paraId="5920A04F" w14:textId="77777777" w:rsidR="00127A74" w:rsidRPr="00F51A3A"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sz w:val="20"/>
                <w:szCs w:val="20"/>
              </w:rPr>
            </w:pPr>
            <w:r w:rsidRPr="00F51A3A">
              <w:rPr>
                <w:b/>
                <w:color w:val="263287"/>
                <w:sz w:val="20"/>
                <w:szCs w:val="20"/>
              </w:rPr>
              <w:t>Routine</w:t>
            </w:r>
          </w:p>
        </w:tc>
        <w:tc>
          <w:tcPr>
            <w:tcW w:w="1417" w:type="dxa"/>
            <w:shd w:val="clear" w:color="auto" w:fill="DEEAF6"/>
          </w:tcPr>
          <w:p w14:paraId="53B2ED29" w14:textId="77777777" w:rsidR="00127A74" w:rsidRPr="00F51A3A"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sz w:val="20"/>
                <w:szCs w:val="20"/>
              </w:rPr>
            </w:pPr>
            <w:r w:rsidRPr="00F51A3A">
              <w:rPr>
                <w:b/>
                <w:color w:val="263287"/>
                <w:sz w:val="20"/>
                <w:szCs w:val="20"/>
              </w:rPr>
              <w:t>Additional</w:t>
            </w:r>
          </w:p>
        </w:tc>
      </w:tr>
      <w:tr w:rsidR="00A57FAA" w:rsidRPr="0025184B" w14:paraId="05599231" w14:textId="77777777" w:rsidTr="006528BC">
        <w:trPr>
          <w:trHeight w:val="1231"/>
        </w:trPr>
        <w:tc>
          <w:tcPr>
            <w:cnfStyle w:val="001000000000" w:firstRow="0" w:lastRow="0" w:firstColumn="1" w:lastColumn="0" w:oddVBand="0" w:evenVBand="0" w:oddHBand="0" w:evenHBand="0" w:firstRowFirstColumn="0" w:firstRowLastColumn="0" w:lastRowFirstColumn="0" w:lastRowLastColumn="0"/>
            <w:tcW w:w="1555" w:type="dxa"/>
          </w:tcPr>
          <w:p w14:paraId="67382D75" w14:textId="77777777" w:rsidR="00A57FAA" w:rsidRPr="00F51A3A" w:rsidRDefault="00A57FAA" w:rsidP="00127A74">
            <w:pPr>
              <w:rPr>
                <w:b/>
                <w:bCs/>
                <w:sz w:val="20"/>
                <w:szCs w:val="20"/>
              </w:rPr>
            </w:pPr>
            <w:r w:rsidRPr="00F51A3A">
              <w:rPr>
                <w:b/>
                <w:bCs/>
                <w:sz w:val="20"/>
                <w:szCs w:val="20"/>
              </w:rPr>
              <w:t>Important identified risks</w:t>
            </w:r>
          </w:p>
        </w:tc>
        <w:tc>
          <w:tcPr>
            <w:tcW w:w="2409" w:type="dxa"/>
          </w:tcPr>
          <w:p w14:paraId="7134CBC0" w14:textId="3244FBC6" w:rsidR="00A57FAA" w:rsidRPr="00F51A3A" w:rsidRDefault="00A57FAA" w:rsidP="00127A74">
            <w:pPr>
              <w:cnfStyle w:val="000000000000" w:firstRow="0" w:lastRow="0" w:firstColumn="0" w:lastColumn="0" w:oddVBand="0" w:evenVBand="0" w:oddHBand="0" w:evenHBand="0" w:firstRowFirstColumn="0" w:firstRowLastColumn="0" w:lastRowFirstColumn="0" w:lastRowLastColumn="0"/>
              <w:rPr>
                <w:sz w:val="20"/>
                <w:szCs w:val="20"/>
              </w:rPr>
            </w:pPr>
            <w:r w:rsidRPr="00F51A3A">
              <w:rPr>
                <w:sz w:val="20"/>
                <w:szCs w:val="20"/>
              </w:rPr>
              <w:t>None</w:t>
            </w:r>
          </w:p>
        </w:tc>
        <w:tc>
          <w:tcPr>
            <w:tcW w:w="1134" w:type="dxa"/>
          </w:tcPr>
          <w:p w14:paraId="11797452" w14:textId="6E3B92E9" w:rsidR="00A57FAA" w:rsidRPr="00F51A3A" w:rsidRDefault="00A57FAA" w:rsidP="00127A74">
            <w:pPr>
              <w:cnfStyle w:val="000000000000" w:firstRow="0" w:lastRow="0" w:firstColumn="0" w:lastColumn="0" w:oddVBand="0" w:evenVBand="0" w:oddHBand="0" w:evenHBand="0" w:firstRowFirstColumn="0" w:firstRowLastColumn="0" w:lastRowFirstColumn="0" w:lastRowLastColumn="0"/>
              <w:rPr>
                <w:sz w:val="20"/>
                <w:szCs w:val="20"/>
              </w:rPr>
            </w:pPr>
            <w:r w:rsidRPr="00F51A3A">
              <w:rPr>
                <w:sz w:val="20"/>
                <w:szCs w:val="20"/>
              </w:rPr>
              <w:t>-</w:t>
            </w:r>
          </w:p>
        </w:tc>
        <w:tc>
          <w:tcPr>
            <w:tcW w:w="1418" w:type="dxa"/>
          </w:tcPr>
          <w:p w14:paraId="7B703318" w14:textId="7E7FEEED" w:rsidR="00A57FAA" w:rsidRPr="00F51A3A" w:rsidRDefault="00A57FAA" w:rsidP="00127A74">
            <w:pPr>
              <w:cnfStyle w:val="000000000000" w:firstRow="0" w:lastRow="0" w:firstColumn="0" w:lastColumn="0" w:oddVBand="0" w:evenVBand="0" w:oddHBand="0" w:evenHBand="0" w:firstRowFirstColumn="0" w:firstRowLastColumn="0" w:lastRowFirstColumn="0" w:lastRowLastColumn="0"/>
              <w:rPr>
                <w:sz w:val="20"/>
                <w:szCs w:val="20"/>
              </w:rPr>
            </w:pPr>
            <w:r w:rsidRPr="00F51A3A">
              <w:rPr>
                <w:sz w:val="20"/>
                <w:szCs w:val="20"/>
              </w:rPr>
              <w:t>-</w:t>
            </w:r>
          </w:p>
        </w:tc>
        <w:tc>
          <w:tcPr>
            <w:tcW w:w="1134" w:type="dxa"/>
          </w:tcPr>
          <w:p w14:paraId="1A652099" w14:textId="0CFDE4B9" w:rsidR="00A57FAA" w:rsidRPr="00F51A3A" w:rsidRDefault="00A57FAA" w:rsidP="00127A74">
            <w:pPr>
              <w:cnfStyle w:val="000000000000" w:firstRow="0" w:lastRow="0" w:firstColumn="0" w:lastColumn="0" w:oddVBand="0" w:evenVBand="0" w:oddHBand="0" w:evenHBand="0" w:firstRowFirstColumn="0" w:firstRowLastColumn="0" w:lastRowFirstColumn="0" w:lastRowLastColumn="0"/>
              <w:rPr>
                <w:sz w:val="20"/>
                <w:szCs w:val="20"/>
              </w:rPr>
            </w:pPr>
            <w:r w:rsidRPr="00F51A3A">
              <w:rPr>
                <w:sz w:val="20"/>
                <w:szCs w:val="20"/>
              </w:rPr>
              <w:t>-</w:t>
            </w:r>
          </w:p>
        </w:tc>
        <w:tc>
          <w:tcPr>
            <w:tcW w:w="1417" w:type="dxa"/>
          </w:tcPr>
          <w:p w14:paraId="34A0513E" w14:textId="033C52F8" w:rsidR="00A57FAA" w:rsidRPr="00F51A3A" w:rsidRDefault="00A57FAA" w:rsidP="00127A74">
            <w:pPr>
              <w:cnfStyle w:val="000000000000" w:firstRow="0" w:lastRow="0" w:firstColumn="0" w:lastColumn="0" w:oddVBand="0" w:evenVBand="0" w:oddHBand="0" w:evenHBand="0" w:firstRowFirstColumn="0" w:firstRowLastColumn="0" w:lastRowFirstColumn="0" w:lastRowLastColumn="0"/>
              <w:rPr>
                <w:sz w:val="20"/>
                <w:szCs w:val="20"/>
              </w:rPr>
            </w:pPr>
            <w:r w:rsidRPr="00F51A3A">
              <w:rPr>
                <w:sz w:val="20"/>
                <w:szCs w:val="20"/>
              </w:rPr>
              <w:t>-</w:t>
            </w:r>
          </w:p>
        </w:tc>
      </w:tr>
      <w:tr w:rsidR="006528BC" w:rsidRPr="0025184B" w14:paraId="176B93B3" w14:textId="77777777" w:rsidTr="006528BC">
        <w:trPr>
          <w:trHeight w:val="1255"/>
        </w:trPr>
        <w:tc>
          <w:tcPr>
            <w:cnfStyle w:val="001000000000" w:firstRow="0" w:lastRow="0" w:firstColumn="1" w:lastColumn="0" w:oddVBand="0" w:evenVBand="0" w:oddHBand="0" w:evenHBand="0" w:firstRowFirstColumn="0" w:firstRowLastColumn="0" w:lastRowFirstColumn="0" w:lastRowLastColumn="0"/>
            <w:tcW w:w="1555" w:type="dxa"/>
          </w:tcPr>
          <w:p w14:paraId="77F0DB3E" w14:textId="77777777" w:rsidR="006528BC" w:rsidRPr="00F51A3A" w:rsidRDefault="006528BC" w:rsidP="006528BC">
            <w:pPr>
              <w:rPr>
                <w:b/>
                <w:bCs/>
                <w:sz w:val="20"/>
                <w:szCs w:val="20"/>
              </w:rPr>
            </w:pPr>
            <w:r w:rsidRPr="00F51A3A">
              <w:rPr>
                <w:b/>
                <w:bCs/>
                <w:sz w:val="20"/>
                <w:szCs w:val="20"/>
              </w:rPr>
              <w:t>Important potential risks</w:t>
            </w:r>
          </w:p>
        </w:tc>
        <w:tc>
          <w:tcPr>
            <w:tcW w:w="2409" w:type="dxa"/>
          </w:tcPr>
          <w:p w14:paraId="6E17E14A" w14:textId="6319C230" w:rsidR="006528BC" w:rsidRPr="00F51A3A" w:rsidRDefault="006528BC" w:rsidP="006528BC">
            <w:pPr>
              <w:cnfStyle w:val="000000000000" w:firstRow="0" w:lastRow="0" w:firstColumn="0" w:lastColumn="0" w:oddVBand="0" w:evenVBand="0" w:oddHBand="0" w:evenHBand="0" w:firstRowFirstColumn="0" w:firstRowLastColumn="0" w:lastRowFirstColumn="0" w:lastRowLastColumn="0"/>
              <w:rPr>
                <w:sz w:val="20"/>
                <w:szCs w:val="20"/>
              </w:rPr>
            </w:pPr>
            <w:r w:rsidRPr="00F51A3A">
              <w:rPr>
                <w:sz w:val="20"/>
                <w:szCs w:val="20"/>
              </w:rPr>
              <w:t>Guillain-Barrè syndrome</w:t>
            </w:r>
          </w:p>
        </w:tc>
        <w:tc>
          <w:tcPr>
            <w:tcW w:w="1134" w:type="dxa"/>
          </w:tcPr>
          <w:p w14:paraId="252AD92F" w14:textId="46A6E111" w:rsidR="006528BC" w:rsidRPr="00F51A3A" w:rsidRDefault="006528BC" w:rsidP="006528BC">
            <w:pPr>
              <w:cnfStyle w:val="000000000000" w:firstRow="0" w:lastRow="0" w:firstColumn="0" w:lastColumn="0" w:oddVBand="0" w:evenVBand="0" w:oddHBand="0" w:evenHBand="0" w:firstRowFirstColumn="0" w:firstRowLastColumn="0" w:lastRowFirstColumn="0" w:lastRowLastColumn="0"/>
              <w:rPr>
                <w:sz w:val="20"/>
                <w:szCs w:val="20"/>
              </w:rPr>
            </w:pPr>
            <w:r w:rsidRPr="00F51A3A">
              <w:rPr>
                <w:rFonts w:ascii="Wingdings" w:eastAsia="Wingdings" w:hAnsi="Wingdings" w:cs="Wingdings"/>
                <w:sz w:val="20"/>
                <w:szCs w:val="20"/>
              </w:rPr>
              <w:t>ü</w:t>
            </w:r>
          </w:p>
        </w:tc>
        <w:tc>
          <w:tcPr>
            <w:tcW w:w="1418" w:type="dxa"/>
          </w:tcPr>
          <w:p w14:paraId="77DA98F1" w14:textId="159E5123" w:rsidR="006528BC" w:rsidRPr="00F51A3A" w:rsidRDefault="006528BC" w:rsidP="006528BC">
            <w:pPr>
              <w:cnfStyle w:val="000000000000" w:firstRow="0" w:lastRow="0" w:firstColumn="0" w:lastColumn="0" w:oddVBand="0" w:evenVBand="0" w:oddHBand="0" w:evenHBand="0" w:firstRowFirstColumn="0" w:firstRowLastColumn="0" w:lastRowFirstColumn="0" w:lastRowLastColumn="0"/>
              <w:rPr>
                <w:rFonts w:ascii="Wingdings" w:hAnsi="Wingdings"/>
                <w:sz w:val="20"/>
                <w:szCs w:val="20"/>
              </w:rPr>
            </w:pPr>
            <w:r w:rsidRPr="00F51A3A">
              <w:rPr>
                <w:rFonts w:ascii="Wingdings" w:eastAsia="Wingdings" w:hAnsi="Wingdings" w:cs="Wingdings"/>
                <w:sz w:val="20"/>
                <w:szCs w:val="20"/>
              </w:rPr>
              <w:t>ü</w:t>
            </w:r>
            <w:r w:rsidRPr="00F51A3A">
              <w:rPr>
                <w:sz w:val="20"/>
                <w:szCs w:val="20"/>
              </w:rPr>
              <w:t>*†‡</w:t>
            </w:r>
          </w:p>
        </w:tc>
        <w:tc>
          <w:tcPr>
            <w:tcW w:w="1134" w:type="dxa"/>
          </w:tcPr>
          <w:p w14:paraId="182A5096" w14:textId="56059EE3" w:rsidR="006528BC" w:rsidRPr="00F51A3A" w:rsidRDefault="006528BC" w:rsidP="006528BC">
            <w:pPr>
              <w:cnfStyle w:val="000000000000" w:firstRow="0" w:lastRow="0" w:firstColumn="0" w:lastColumn="0" w:oddVBand="0" w:evenVBand="0" w:oddHBand="0" w:evenHBand="0" w:firstRowFirstColumn="0" w:firstRowLastColumn="0" w:lastRowFirstColumn="0" w:lastRowLastColumn="0"/>
              <w:rPr>
                <w:sz w:val="20"/>
                <w:szCs w:val="20"/>
              </w:rPr>
            </w:pPr>
            <w:r w:rsidRPr="00F51A3A">
              <w:rPr>
                <w:sz w:val="20"/>
                <w:szCs w:val="20"/>
              </w:rPr>
              <w:t>-</w:t>
            </w:r>
          </w:p>
        </w:tc>
        <w:tc>
          <w:tcPr>
            <w:tcW w:w="1417" w:type="dxa"/>
          </w:tcPr>
          <w:p w14:paraId="2A6247DC" w14:textId="30AD5E01" w:rsidR="006528BC" w:rsidRPr="00F51A3A" w:rsidRDefault="006528BC" w:rsidP="006528BC">
            <w:pPr>
              <w:cnfStyle w:val="000000000000" w:firstRow="0" w:lastRow="0" w:firstColumn="0" w:lastColumn="0" w:oddVBand="0" w:evenVBand="0" w:oddHBand="0" w:evenHBand="0" w:firstRowFirstColumn="0" w:firstRowLastColumn="0" w:lastRowFirstColumn="0" w:lastRowLastColumn="0"/>
              <w:rPr>
                <w:sz w:val="20"/>
                <w:szCs w:val="20"/>
              </w:rPr>
            </w:pPr>
            <w:r w:rsidRPr="00F51A3A">
              <w:rPr>
                <w:sz w:val="20"/>
                <w:szCs w:val="20"/>
              </w:rPr>
              <w:t>-</w:t>
            </w:r>
          </w:p>
        </w:tc>
      </w:tr>
      <w:tr w:rsidR="006528BC" w:rsidRPr="0025184B" w14:paraId="74C5E610" w14:textId="77777777" w:rsidTr="006528BC">
        <w:trPr>
          <w:trHeight w:val="178"/>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262C65E3" w14:textId="77777777" w:rsidR="006528BC" w:rsidRPr="00F51A3A" w:rsidRDefault="006528BC" w:rsidP="006528BC">
            <w:pPr>
              <w:rPr>
                <w:b/>
                <w:bCs/>
                <w:sz w:val="20"/>
                <w:szCs w:val="20"/>
              </w:rPr>
            </w:pPr>
            <w:r w:rsidRPr="00F51A3A">
              <w:rPr>
                <w:b/>
                <w:bCs/>
                <w:sz w:val="20"/>
                <w:szCs w:val="20"/>
              </w:rPr>
              <w:t>Missing information</w:t>
            </w:r>
          </w:p>
        </w:tc>
        <w:tc>
          <w:tcPr>
            <w:tcW w:w="2409" w:type="dxa"/>
          </w:tcPr>
          <w:p w14:paraId="104D79CD" w14:textId="0B4919F6" w:rsidR="006528BC" w:rsidRPr="00F51A3A" w:rsidRDefault="006528BC" w:rsidP="006528BC">
            <w:pPr>
              <w:cnfStyle w:val="000000000000" w:firstRow="0" w:lastRow="0" w:firstColumn="0" w:lastColumn="0" w:oddVBand="0" w:evenVBand="0" w:oddHBand="0" w:evenHBand="0" w:firstRowFirstColumn="0" w:firstRowLastColumn="0" w:lastRowFirstColumn="0" w:lastRowLastColumn="0"/>
              <w:rPr>
                <w:sz w:val="20"/>
                <w:szCs w:val="20"/>
              </w:rPr>
            </w:pPr>
            <w:r w:rsidRPr="00F51A3A">
              <w:rPr>
                <w:sz w:val="20"/>
                <w:szCs w:val="20"/>
              </w:rPr>
              <w:t>Use in immunocompromised pregnant women and high-risk pregnancies</w:t>
            </w:r>
          </w:p>
        </w:tc>
        <w:tc>
          <w:tcPr>
            <w:tcW w:w="1134" w:type="dxa"/>
          </w:tcPr>
          <w:p w14:paraId="07467A21" w14:textId="1D6E9461" w:rsidR="006528BC" w:rsidRPr="00F51A3A" w:rsidRDefault="006528BC" w:rsidP="006528BC">
            <w:pPr>
              <w:cnfStyle w:val="000000000000" w:firstRow="0" w:lastRow="0" w:firstColumn="0" w:lastColumn="0" w:oddVBand="0" w:evenVBand="0" w:oddHBand="0" w:evenHBand="0" w:firstRowFirstColumn="0" w:firstRowLastColumn="0" w:lastRowFirstColumn="0" w:lastRowLastColumn="0"/>
              <w:rPr>
                <w:sz w:val="20"/>
                <w:szCs w:val="20"/>
              </w:rPr>
            </w:pPr>
            <w:r w:rsidRPr="00F51A3A">
              <w:rPr>
                <w:rFonts w:ascii="Wingdings" w:eastAsia="Wingdings" w:hAnsi="Wingdings" w:cs="Wingdings"/>
                <w:sz w:val="20"/>
                <w:szCs w:val="20"/>
              </w:rPr>
              <w:t>ü</w:t>
            </w:r>
          </w:p>
        </w:tc>
        <w:tc>
          <w:tcPr>
            <w:tcW w:w="1418" w:type="dxa"/>
          </w:tcPr>
          <w:p w14:paraId="35C7F07F" w14:textId="394AF86D" w:rsidR="006528BC" w:rsidRPr="00F51A3A" w:rsidRDefault="006528BC" w:rsidP="006528BC">
            <w:pPr>
              <w:cnfStyle w:val="000000000000" w:firstRow="0" w:lastRow="0" w:firstColumn="0" w:lastColumn="0" w:oddVBand="0" w:evenVBand="0" w:oddHBand="0" w:evenHBand="0" w:firstRowFirstColumn="0" w:firstRowLastColumn="0" w:lastRowFirstColumn="0" w:lastRowLastColumn="0"/>
              <w:rPr>
                <w:sz w:val="20"/>
                <w:szCs w:val="20"/>
              </w:rPr>
            </w:pPr>
            <w:r w:rsidRPr="00F51A3A">
              <w:rPr>
                <w:rFonts w:ascii="Wingdings" w:eastAsia="Wingdings" w:hAnsi="Wingdings" w:cs="Wingdings"/>
                <w:sz w:val="20"/>
                <w:szCs w:val="20"/>
              </w:rPr>
              <w:t>ü</w:t>
            </w:r>
            <w:r w:rsidRPr="00F51A3A">
              <w:rPr>
                <w:sz w:val="20"/>
                <w:szCs w:val="20"/>
              </w:rPr>
              <w:t>†</w:t>
            </w:r>
          </w:p>
        </w:tc>
        <w:tc>
          <w:tcPr>
            <w:tcW w:w="1134" w:type="dxa"/>
          </w:tcPr>
          <w:p w14:paraId="52620DEE" w14:textId="5AB564AB" w:rsidR="006528BC" w:rsidRPr="00F51A3A" w:rsidRDefault="006528BC" w:rsidP="006528BC">
            <w:pPr>
              <w:cnfStyle w:val="000000000000" w:firstRow="0" w:lastRow="0" w:firstColumn="0" w:lastColumn="0" w:oddVBand="0" w:evenVBand="0" w:oddHBand="0" w:evenHBand="0" w:firstRowFirstColumn="0" w:firstRowLastColumn="0" w:lastRowFirstColumn="0" w:lastRowLastColumn="0"/>
              <w:rPr>
                <w:sz w:val="20"/>
                <w:szCs w:val="20"/>
              </w:rPr>
            </w:pPr>
            <w:r w:rsidRPr="00F51A3A">
              <w:rPr>
                <w:rFonts w:ascii="Wingdings" w:eastAsia="Wingdings" w:hAnsi="Wingdings" w:cs="Wingdings"/>
                <w:sz w:val="20"/>
                <w:szCs w:val="20"/>
              </w:rPr>
              <w:t>ü</w:t>
            </w:r>
          </w:p>
        </w:tc>
        <w:tc>
          <w:tcPr>
            <w:tcW w:w="1417" w:type="dxa"/>
          </w:tcPr>
          <w:p w14:paraId="16BD3C7B" w14:textId="35A33DDB" w:rsidR="006528BC" w:rsidRPr="00F51A3A" w:rsidRDefault="006528BC" w:rsidP="006528BC">
            <w:pPr>
              <w:cnfStyle w:val="000000000000" w:firstRow="0" w:lastRow="0" w:firstColumn="0" w:lastColumn="0" w:oddVBand="0" w:evenVBand="0" w:oddHBand="0" w:evenHBand="0" w:firstRowFirstColumn="0" w:firstRowLastColumn="0" w:lastRowFirstColumn="0" w:lastRowLastColumn="0"/>
              <w:rPr>
                <w:sz w:val="20"/>
                <w:szCs w:val="20"/>
              </w:rPr>
            </w:pPr>
            <w:r w:rsidRPr="00F51A3A">
              <w:rPr>
                <w:sz w:val="20"/>
                <w:szCs w:val="20"/>
              </w:rPr>
              <w:t>-</w:t>
            </w:r>
          </w:p>
        </w:tc>
      </w:tr>
      <w:tr w:rsidR="006528BC" w:rsidRPr="0025184B" w14:paraId="0E5AEFE4" w14:textId="77777777" w:rsidTr="006528BC">
        <w:trPr>
          <w:trHeight w:val="1964"/>
        </w:trPr>
        <w:tc>
          <w:tcPr>
            <w:cnfStyle w:val="001000000000" w:firstRow="0" w:lastRow="0" w:firstColumn="1" w:lastColumn="0" w:oddVBand="0" w:evenVBand="0" w:oddHBand="0" w:evenHBand="0" w:firstRowFirstColumn="0" w:firstRowLastColumn="0" w:lastRowFirstColumn="0" w:lastRowLastColumn="0"/>
            <w:tcW w:w="1555" w:type="dxa"/>
            <w:vMerge/>
          </w:tcPr>
          <w:p w14:paraId="6717FA88" w14:textId="77777777" w:rsidR="006528BC" w:rsidRPr="00F51A3A" w:rsidRDefault="006528BC" w:rsidP="006528BC">
            <w:pPr>
              <w:rPr>
                <w:sz w:val="20"/>
                <w:szCs w:val="20"/>
              </w:rPr>
            </w:pPr>
          </w:p>
        </w:tc>
        <w:tc>
          <w:tcPr>
            <w:tcW w:w="2409" w:type="dxa"/>
          </w:tcPr>
          <w:p w14:paraId="1DF32407" w14:textId="317842A1" w:rsidR="006528BC" w:rsidRPr="00F51A3A" w:rsidRDefault="006528BC" w:rsidP="006528BC">
            <w:pPr>
              <w:cnfStyle w:val="000000000000" w:firstRow="0" w:lastRow="0" w:firstColumn="0" w:lastColumn="0" w:oddVBand="0" w:evenVBand="0" w:oddHBand="0" w:evenHBand="0" w:firstRowFirstColumn="0" w:firstRowLastColumn="0" w:lastRowFirstColumn="0" w:lastRowLastColumn="0"/>
              <w:rPr>
                <w:sz w:val="20"/>
                <w:szCs w:val="20"/>
              </w:rPr>
            </w:pPr>
            <w:r w:rsidRPr="00F51A3A">
              <w:rPr>
                <w:sz w:val="20"/>
                <w:szCs w:val="20"/>
              </w:rPr>
              <w:t>Use in immunocompromised or renally or hepatically impaired older adults ≥60 years old</w:t>
            </w:r>
          </w:p>
        </w:tc>
        <w:tc>
          <w:tcPr>
            <w:tcW w:w="1134" w:type="dxa"/>
          </w:tcPr>
          <w:p w14:paraId="13B9D43F" w14:textId="363F189E" w:rsidR="006528BC" w:rsidRPr="00F51A3A" w:rsidRDefault="006528BC" w:rsidP="006528BC">
            <w:pPr>
              <w:cnfStyle w:val="000000000000" w:firstRow="0" w:lastRow="0" w:firstColumn="0" w:lastColumn="0" w:oddVBand="0" w:evenVBand="0" w:oddHBand="0" w:evenHBand="0" w:firstRowFirstColumn="0" w:firstRowLastColumn="0" w:lastRowFirstColumn="0" w:lastRowLastColumn="0"/>
              <w:rPr>
                <w:sz w:val="20"/>
                <w:szCs w:val="20"/>
              </w:rPr>
            </w:pPr>
            <w:r w:rsidRPr="00F51A3A">
              <w:rPr>
                <w:rFonts w:ascii="Wingdings" w:eastAsia="Wingdings" w:hAnsi="Wingdings" w:cs="Wingdings"/>
                <w:sz w:val="20"/>
                <w:szCs w:val="20"/>
              </w:rPr>
              <w:t>ü</w:t>
            </w:r>
          </w:p>
        </w:tc>
        <w:tc>
          <w:tcPr>
            <w:tcW w:w="1418" w:type="dxa"/>
          </w:tcPr>
          <w:p w14:paraId="5B103519" w14:textId="25C06FB5" w:rsidR="006528BC" w:rsidRPr="00F51A3A" w:rsidRDefault="006528BC" w:rsidP="006528BC">
            <w:pPr>
              <w:cnfStyle w:val="000000000000" w:firstRow="0" w:lastRow="0" w:firstColumn="0" w:lastColumn="0" w:oddVBand="0" w:evenVBand="0" w:oddHBand="0" w:evenHBand="0" w:firstRowFirstColumn="0" w:firstRowLastColumn="0" w:lastRowFirstColumn="0" w:lastRowLastColumn="0"/>
              <w:rPr>
                <w:sz w:val="20"/>
                <w:szCs w:val="20"/>
              </w:rPr>
            </w:pPr>
            <w:r w:rsidRPr="00F51A3A">
              <w:rPr>
                <w:rFonts w:ascii="Wingdings" w:eastAsia="Wingdings" w:hAnsi="Wingdings" w:cs="Wingdings"/>
                <w:sz w:val="20"/>
                <w:szCs w:val="20"/>
              </w:rPr>
              <w:t>ü</w:t>
            </w:r>
            <w:r w:rsidRPr="00F51A3A">
              <w:rPr>
                <w:sz w:val="20"/>
                <w:szCs w:val="20"/>
              </w:rPr>
              <w:t>*</w:t>
            </w:r>
          </w:p>
        </w:tc>
        <w:tc>
          <w:tcPr>
            <w:tcW w:w="1134" w:type="dxa"/>
          </w:tcPr>
          <w:p w14:paraId="17D1F379" w14:textId="7BE3D3F3" w:rsidR="006528BC" w:rsidRPr="00F51A3A" w:rsidRDefault="006528BC" w:rsidP="006528BC">
            <w:pPr>
              <w:cnfStyle w:val="000000000000" w:firstRow="0" w:lastRow="0" w:firstColumn="0" w:lastColumn="0" w:oddVBand="0" w:evenVBand="0" w:oddHBand="0" w:evenHBand="0" w:firstRowFirstColumn="0" w:firstRowLastColumn="0" w:lastRowFirstColumn="0" w:lastRowLastColumn="0"/>
              <w:rPr>
                <w:sz w:val="20"/>
                <w:szCs w:val="20"/>
              </w:rPr>
            </w:pPr>
            <w:r w:rsidRPr="00F51A3A">
              <w:rPr>
                <w:rFonts w:ascii="Wingdings" w:eastAsia="Wingdings" w:hAnsi="Wingdings" w:cs="Wingdings"/>
                <w:sz w:val="20"/>
                <w:szCs w:val="20"/>
              </w:rPr>
              <w:t>ü</w:t>
            </w:r>
          </w:p>
        </w:tc>
        <w:tc>
          <w:tcPr>
            <w:tcW w:w="1417" w:type="dxa"/>
          </w:tcPr>
          <w:p w14:paraId="6C76384E" w14:textId="60D57865" w:rsidR="006528BC" w:rsidRPr="00F51A3A" w:rsidRDefault="006528BC" w:rsidP="006528BC">
            <w:pPr>
              <w:cnfStyle w:val="000000000000" w:firstRow="0" w:lastRow="0" w:firstColumn="0" w:lastColumn="0" w:oddVBand="0" w:evenVBand="0" w:oddHBand="0" w:evenHBand="0" w:firstRowFirstColumn="0" w:firstRowLastColumn="0" w:lastRowFirstColumn="0" w:lastRowLastColumn="0"/>
              <w:rPr>
                <w:sz w:val="20"/>
                <w:szCs w:val="20"/>
              </w:rPr>
            </w:pPr>
            <w:r w:rsidRPr="00F51A3A">
              <w:rPr>
                <w:sz w:val="20"/>
                <w:szCs w:val="20"/>
              </w:rPr>
              <w:t>-</w:t>
            </w:r>
          </w:p>
        </w:tc>
      </w:tr>
    </w:tbl>
    <w:p w14:paraId="223312E6" w14:textId="77777777" w:rsidR="007D1048" w:rsidRPr="008412B7" w:rsidRDefault="007D1048" w:rsidP="004663C4">
      <w:pPr>
        <w:pStyle w:val="TableDescription"/>
      </w:pPr>
      <w:r w:rsidRPr="008412B7">
        <w:t>* C3671038</w:t>
      </w:r>
    </w:p>
    <w:p w14:paraId="1C68D6E7" w14:textId="77777777" w:rsidR="007D1048" w:rsidRPr="008412B7" w:rsidRDefault="007D1048" w:rsidP="004663C4">
      <w:pPr>
        <w:pStyle w:val="TableDescription"/>
      </w:pPr>
      <w:r w:rsidRPr="008412B7">
        <w:t>† C3671026</w:t>
      </w:r>
    </w:p>
    <w:p w14:paraId="7D090B1F" w14:textId="77777777" w:rsidR="007D1048" w:rsidRPr="008412B7" w:rsidRDefault="007D1048" w:rsidP="004663C4">
      <w:pPr>
        <w:pStyle w:val="TableDescription"/>
      </w:pPr>
      <w:r w:rsidRPr="008412B7">
        <w:t>‡ C3671031</w:t>
      </w:r>
    </w:p>
    <w:p w14:paraId="28418BD4" w14:textId="624473EF" w:rsidR="00A2560C" w:rsidRPr="008412B7" w:rsidRDefault="00A2560C" w:rsidP="008412B7">
      <w:r w:rsidRPr="008412B7">
        <w:t>Pfizer Australia Pty Ltd has submitted</w:t>
      </w:r>
      <w:r w:rsidR="00487157">
        <w:t xml:space="preserve"> European </w:t>
      </w:r>
      <w:r w:rsidRPr="008412B7">
        <w:t>RMP</w:t>
      </w:r>
      <w:r w:rsidR="00487157">
        <w:t xml:space="preserve"> (EU RMP)</w:t>
      </w:r>
      <w:r w:rsidRPr="008412B7">
        <w:t xml:space="preserve"> version 0.3 (dated 27 June 2023; </w:t>
      </w:r>
      <w:r w:rsidR="00487157">
        <w:t xml:space="preserve">data lock point </w:t>
      </w:r>
      <w:r w:rsidRPr="008412B7">
        <w:t xml:space="preserve">2 September 2022 </w:t>
      </w:r>
      <w:r w:rsidR="00B7143A" w:rsidRPr="008412B7">
        <w:t>[</w:t>
      </w:r>
      <w:r w:rsidRPr="008412B7">
        <w:t xml:space="preserve">for </w:t>
      </w:r>
      <w:r w:rsidR="00A4308A">
        <w:t xml:space="preserve">the </w:t>
      </w:r>
      <w:r w:rsidRPr="008412B7">
        <w:t>maternal indication</w:t>
      </w:r>
      <w:r w:rsidR="00B7143A" w:rsidRPr="008412B7">
        <w:t>]</w:t>
      </w:r>
      <w:r w:rsidRPr="008412B7">
        <w:t xml:space="preserve"> and 13 October 2022 </w:t>
      </w:r>
      <w:r w:rsidR="00B7143A" w:rsidRPr="008412B7">
        <w:t>[</w:t>
      </w:r>
      <w:r w:rsidRPr="008412B7">
        <w:t xml:space="preserve">for </w:t>
      </w:r>
      <w:r w:rsidR="00A4308A">
        <w:t xml:space="preserve">the </w:t>
      </w:r>
      <w:r w:rsidRPr="008412B7">
        <w:t>older adult indication</w:t>
      </w:r>
      <w:r w:rsidR="00B7143A" w:rsidRPr="008412B7">
        <w:t>]</w:t>
      </w:r>
      <w:r w:rsidRPr="008412B7">
        <w:t xml:space="preserve">) in association with </w:t>
      </w:r>
      <w:r w:rsidR="00A4308A">
        <w:t>Australia-specific annex (</w:t>
      </w:r>
      <w:r w:rsidRPr="008412B7">
        <w:t>ASA</w:t>
      </w:r>
      <w:r w:rsidR="00A4308A">
        <w:t>)</w:t>
      </w:r>
      <w:r w:rsidRPr="008412B7">
        <w:t xml:space="preserve"> version 1.1 (dated 31 October 2023) in support of this application.</w:t>
      </w:r>
    </w:p>
    <w:p w14:paraId="759DFA8F" w14:textId="382A5994" w:rsidR="00A2560C" w:rsidRPr="008412B7" w:rsidRDefault="00A2560C" w:rsidP="008412B7">
      <w:r w:rsidRPr="008412B7">
        <w:t>The safety concerns in the ASA are consistent with the approved EU-RMP safety concerns for Abrysvo</w:t>
      </w:r>
      <w:r w:rsidR="0036057B" w:rsidRPr="008412B7">
        <w:t>, and</w:t>
      </w:r>
      <w:r w:rsidR="0025184B">
        <w:t xml:space="preserve"> </w:t>
      </w:r>
      <w:r w:rsidRPr="008412B7">
        <w:t>the summary of safety concerns are acceptable from an RMP perspective.</w:t>
      </w:r>
    </w:p>
    <w:p w14:paraId="48A24925" w14:textId="0ED6926E" w:rsidR="00A2560C" w:rsidRPr="008412B7" w:rsidRDefault="003D386E" w:rsidP="008412B7">
      <w:r w:rsidRPr="008412B7">
        <w:t>R</w:t>
      </w:r>
      <w:r w:rsidR="00A2560C" w:rsidRPr="008412B7">
        <w:t xml:space="preserve">outine and additional pharmacovigilance activities </w:t>
      </w:r>
      <w:r w:rsidRPr="008412B7">
        <w:t xml:space="preserve">which align with the EU RMP have been proposed </w:t>
      </w:r>
      <w:r w:rsidR="00A2560C" w:rsidRPr="008412B7">
        <w:t xml:space="preserve">in the ASA. Additional pharmacovigilance activities include </w:t>
      </w:r>
      <w:r w:rsidR="00DE5ED3" w:rsidRPr="008412B7">
        <w:t xml:space="preserve">three </w:t>
      </w:r>
      <w:r w:rsidR="00A2560C" w:rsidRPr="008412B7">
        <w:t>planned</w:t>
      </w:r>
      <w:r w:rsidR="00487157">
        <w:t xml:space="preserve"> post-authorisation safety studies</w:t>
      </w:r>
      <w:r w:rsidR="00A2560C" w:rsidRPr="008412B7">
        <w:t xml:space="preserve"> </w:t>
      </w:r>
      <w:r w:rsidR="00A2560C" w:rsidRPr="00487157">
        <w:t>(</w:t>
      </w:r>
      <w:r w:rsidR="00A2560C" w:rsidRPr="008412B7">
        <w:t>C3671026, C3671038 and C3671031). The studies do not include Australian patients</w:t>
      </w:r>
      <w:r w:rsidR="00DE5ED3" w:rsidRPr="008412B7">
        <w:t>;</w:t>
      </w:r>
      <w:r w:rsidR="00A2560C" w:rsidRPr="008412B7">
        <w:t xml:space="preserve"> however, the results from the studies will be considered generalisable to the Australian population.</w:t>
      </w:r>
    </w:p>
    <w:p w14:paraId="14DCDA66" w14:textId="36C43A39" w:rsidR="00A2560C" w:rsidRPr="008412B7" w:rsidRDefault="00A2560C" w:rsidP="008412B7">
      <w:r w:rsidRPr="008412B7">
        <w:t>Routine risk minimisation activities only are proposed for missing information ‘</w:t>
      </w:r>
      <w:r w:rsidRPr="00F80BE7">
        <w:rPr>
          <w:i/>
          <w:iCs/>
        </w:rPr>
        <w:t>use in immunocompromised pregnant women and high-risk pregnancies</w:t>
      </w:r>
      <w:r w:rsidRPr="008412B7">
        <w:t>’ and ‘</w:t>
      </w:r>
      <w:r w:rsidRPr="00F80BE7">
        <w:rPr>
          <w:i/>
          <w:iCs/>
        </w:rPr>
        <w:t>use in immunocompromised or renally or hepatically impaired older adults ≥60 years old</w:t>
      </w:r>
      <w:r w:rsidRPr="008412B7">
        <w:t xml:space="preserve">’. No risk </w:t>
      </w:r>
      <w:r w:rsidRPr="008412B7">
        <w:lastRenderedPageBreak/>
        <w:t>minimisation activities are proposed for the important potential risk of ‘</w:t>
      </w:r>
      <w:r w:rsidRPr="00F80BE7">
        <w:rPr>
          <w:i/>
          <w:iCs/>
        </w:rPr>
        <w:t xml:space="preserve">Guillain-Barré </w:t>
      </w:r>
      <w:r w:rsidRPr="00292CBA">
        <w:rPr>
          <w:i/>
          <w:iCs/>
        </w:rPr>
        <w:t>syndrome</w:t>
      </w:r>
      <w:r w:rsidRPr="00292CBA">
        <w:t>’. This has been raised to the Delegate to consider regarding a statement in the PI. The</w:t>
      </w:r>
      <w:r w:rsidRPr="00F51A3A">
        <w:t xml:space="preserve"> risk minimisation plan is acceptable from an RMP perspective.</w:t>
      </w:r>
      <w:r w:rsidRPr="008412B7">
        <w:t xml:space="preserve"> </w:t>
      </w:r>
    </w:p>
    <w:p w14:paraId="59EC6969" w14:textId="7A7E793D" w:rsidR="00D4758D" w:rsidRPr="00F51A3A" w:rsidRDefault="00D4758D" w:rsidP="008412B7">
      <w:r w:rsidRPr="00F51A3A">
        <w:t xml:space="preserve">The RMP evaluation recommended conditions of registration relating to the versions of the </w:t>
      </w:r>
      <w:r w:rsidR="00487157" w:rsidRPr="00F51A3A">
        <w:t>RMP</w:t>
      </w:r>
      <w:r w:rsidRPr="00F51A3A">
        <w:t>, requirement for periodic safety update reports</w:t>
      </w:r>
      <w:r w:rsidR="00487157" w:rsidRPr="00F51A3A">
        <w:t xml:space="preserve"> (PSURs)</w:t>
      </w:r>
      <w:r w:rsidRPr="00F51A3A">
        <w:t xml:space="preserve">, and inclusion of the medicine in the Black Triangle Scheme. </w:t>
      </w:r>
    </w:p>
    <w:p w14:paraId="0F229C57" w14:textId="7BEA6257" w:rsidR="00A31EBC" w:rsidRPr="008412B7" w:rsidRDefault="00A74B09" w:rsidP="008412B7">
      <w:r w:rsidRPr="008412B7">
        <w:t xml:space="preserve">There are no outstanding RMP recommendations. The conditions of registration have been provided </w:t>
      </w:r>
      <w:r w:rsidR="00970974" w:rsidRPr="008412B7">
        <w:t>to the Delegate</w:t>
      </w:r>
      <w:r w:rsidRPr="008412B7">
        <w:t>.</w:t>
      </w:r>
    </w:p>
    <w:p w14:paraId="456C7934" w14:textId="49F0EAD0" w:rsidR="00FA1BC9" w:rsidRPr="008412B7" w:rsidRDefault="00FA1BC9" w:rsidP="008412B7">
      <w:bookmarkStart w:id="59" w:name="_Toc103679299"/>
      <w:r w:rsidRPr="008412B7">
        <w:t>The TGA may request an updated RMP at any stage of a product</w:t>
      </w:r>
      <w:r w:rsidR="00487157">
        <w:t>’</w:t>
      </w:r>
      <w:r w:rsidRPr="008412B7">
        <w:t xml:space="preserve">s </w:t>
      </w:r>
      <w:proofErr w:type="gramStart"/>
      <w:r w:rsidRPr="008412B7">
        <w:t>life-cycle</w:t>
      </w:r>
      <w:proofErr w:type="gramEnd"/>
      <w:r w:rsidRPr="008412B7">
        <w:t xml:space="preserve">, during both the pre-approval and post-approval phases. Further information regarding the TGA’s risk management approach can be found in </w:t>
      </w:r>
      <w:hyperlink r:id="rId71" w:history="1">
        <w:r w:rsidRPr="008412B7">
          <w:rPr>
            <w:rStyle w:val="Hyperlink"/>
          </w:rPr>
          <w:t>risk management plans for medicines and biologicals</w:t>
        </w:r>
      </w:hyperlink>
      <w:r w:rsidRPr="008412B7">
        <w:t xml:space="preserve"> and </w:t>
      </w:r>
      <w:hyperlink r:id="rId72" w:history="1">
        <w:r w:rsidRPr="008412B7">
          <w:rPr>
            <w:rStyle w:val="Hyperlink"/>
          </w:rPr>
          <w:t>the TGA</w:t>
        </w:r>
        <w:r w:rsidR="00487157">
          <w:rPr>
            <w:rStyle w:val="Hyperlink"/>
          </w:rPr>
          <w:t>’</w:t>
        </w:r>
        <w:r w:rsidRPr="008412B7">
          <w:rPr>
            <w:rStyle w:val="Hyperlink"/>
          </w:rPr>
          <w:t>s risk management approach</w:t>
        </w:r>
      </w:hyperlink>
      <w:r w:rsidRPr="008412B7">
        <w:t xml:space="preserve">. Information on the </w:t>
      </w:r>
      <w:hyperlink r:id="rId73" w:history="1">
        <w:r w:rsidRPr="008412B7">
          <w:rPr>
            <w:rStyle w:val="Hyperlink"/>
          </w:rPr>
          <w:t>Australia</w:t>
        </w:r>
        <w:r w:rsidR="00C57CEA" w:rsidRPr="008412B7">
          <w:rPr>
            <w:rStyle w:val="Hyperlink"/>
          </w:rPr>
          <w:t>-</w:t>
        </w:r>
        <w:r w:rsidRPr="008412B7">
          <w:rPr>
            <w:rStyle w:val="Hyperlink"/>
          </w:rPr>
          <w:t>specific annex</w:t>
        </w:r>
      </w:hyperlink>
      <w:r w:rsidRPr="008412B7">
        <w:t xml:space="preserve"> (</w:t>
      </w:r>
      <w:hyperlink r:id="rId74" w:history="1">
        <w:r w:rsidRPr="008412B7">
          <w:rPr>
            <w:rStyle w:val="Hyperlink"/>
          </w:rPr>
          <w:t>ASA</w:t>
        </w:r>
      </w:hyperlink>
      <w:r w:rsidRPr="008412B7">
        <w:t>) can be found on the TGA website.</w:t>
      </w:r>
    </w:p>
    <w:p w14:paraId="74A4F87F" w14:textId="77777777" w:rsidR="00C22214" w:rsidRDefault="00C22214" w:rsidP="00C22214">
      <w:pPr>
        <w:pStyle w:val="Heading3"/>
      </w:pPr>
      <w:bookmarkStart w:id="60" w:name="_Toc165552532"/>
      <w:r>
        <w:t>Risk-benefit analysis</w:t>
      </w:r>
      <w:bookmarkEnd w:id="56"/>
      <w:bookmarkEnd w:id="57"/>
      <w:bookmarkEnd w:id="59"/>
      <w:bookmarkEnd w:id="60"/>
    </w:p>
    <w:p w14:paraId="77DE2655" w14:textId="77777777" w:rsidR="00C22214" w:rsidRDefault="00C22214" w:rsidP="00C22214">
      <w:pPr>
        <w:pStyle w:val="Heading4"/>
      </w:pPr>
      <w:bookmarkStart w:id="61" w:name="_Toc98931932"/>
      <w:bookmarkStart w:id="62" w:name="_Toc165552533"/>
      <w:r>
        <w:t>Delegate’s considerations</w:t>
      </w:r>
      <w:bookmarkEnd w:id="61"/>
      <w:bookmarkEnd w:id="62"/>
    </w:p>
    <w:p w14:paraId="4E843510" w14:textId="7267E907" w:rsidR="00130E05" w:rsidRPr="00835A13" w:rsidRDefault="00130E05" w:rsidP="00835A13">
      <w:r w:rsidRPr="00835A13">
        <w:t>A</w:t>
      </w:r>
      <w:r w:rsidR="00835A13" w:rsidRPr="00835A13">
        <w:t>brysvo</w:t>
      </w:r>
      <w:r w:rsidRPr="00835A13">
        <w:t xml:space="preserve"> (recombinant respiratory syncytial virus pre-fusion F protein [RSVpreF]) 120 </w:t>
      </w:r>
      <w:r w:rsidR="00835A13" w:rsidRPr="00835A13">
        <w:t>μg</w:t>
      </w:r>
      <w:r w:rsidRPr="00835A13">
        <w:t>/0.5 mL, bivalent vaccine powder for injection plus diluent, has a favourable benefit-risk balance for the proposed therapeutic indication:</w:t>
      </w:r>
    </w:p>
    <w:p w14:paraId="40F48034" w14:textId="163293B7" w:rsidR="00130E05" w:rsidRPr="00835A13" w:rsidRDefault="00130E05" w:rsidP="00521436">
      <w:pPr>
        <w:ind w:left="360"/>
        <w:rPr>
          <w:i/>
          <w:iCs/>
        </w:rPr>
      </w:pPr>
      <w:r w:rsidRPr="00835A13">
        <w:rPr>
          <w:i/>
          <w:iCs/>
        </w:rPr>
        <w:t>A</w:t>
      </w:r>
      <w:r w:rsidR="00835A13" w:rsidRPr="00835A13">
        <w:rPr>
          <w:i/>
          <w:iCs/>
        </w:rPr>
        <w:t>b</w:t>
      </w:r>
      <w:r w:rsidR="008C4719">
        <w:rPr>
          <w:i/>
          <w:iCs/>
        </w:rPr>
        <w:t>r</w:t>
      </w:r>
      <w:r w:rsidR="00835A13" w:rsidRPr="00835A13">
        <w:rPr>
          <w:i/>
          <w:iCs/>
        </w:rPr>
        <w:t>ysvo</w:t>
      </w:r>
      <w:r w:rsidRPr="00835A13">
        <w:rPr>
          <w:i/>
          <w:iCs/>
        </w:rPr>
        <w:t xml:space="preserve"> is a bivalent vaccine indicated for:</w:t>
      </w:r>
    </w:p>
    <w:p w14:paraId="44A0405B" w14:textId="77777777" w:rsidR="00835A13" w:rsidRPr="00521436" w:rsidRDefault="00130E05" w:rsidP="00521436">
      <w:pPr>
        <w:pStyle w:val="ListBullet"/>
        <w:ind w:left="720"/>
        <w:rPr>
          <w:i/>
          <w:iCs/>
        </w:rPr>
      </w:pPr>
      <w:r w:rsidRPr="00521436">
        <w:rPr>
          <w:i/>
          <w:iCs/>
        </w:rPr>
        <w:t>The prevention of lower respiratory tract disease and severe lower respiratory tract disease caused by respiratory syncytial virus (RSV) in infants from birth through 6 months of age by active immunisation of pregnant individuals.</w:t>
      </w:r>
    </w:p>
    <w:p w14:paraId="02BB5FA8" w14:textId="01EEE3A7" w:rsidR="00130E05" w:rsidRPr="00521436" w:rsidRDefault="00130E05" w:rsidP="00521436">
      <w:pPr>
        <w:pStyle w:val="ListBullet"/>
        <w:ind w:left="720"/>
        <w:rPr>
          <w:i/>
          <w:iCs/>
        </w:rPr>
      </w:pPr>
      <w:r w:rsidRPr="00521436">
        <w:rPr>
          <w:i/>
          <w:iCs/>
        </w:rPr>
        <w:t>The prevention of acute respiratory disease and lower respiratory tract disease caused by RSV in individuals 60 years of age and older by active immunisation.</w:t>
      </w:r>
    </w:p>
    <w:p w14:paraId="778E275C" w14:textId="604DD7D2" w:rsidR="00B969A5" w:rsidRPr="00521436" w:rsidRDefault="00B969A5" w:rsidP="00521436">
      <w:pPr>
        <w:rPr>
          <w:lang w:eastAsia="ja-JP"/>
        </w:rPr>
      </w:pPr>
      <w:r w:rsidRPr="00521436">
        <w:rPr>
          <w:lang w:eastAsia="ja-JP"/>
        </w:rPr>
        <w:t>The benefit-risk balance may become even more favourable if RSVpreF has efficacy beyond one RSV season. This would increase the benefit without further risks of revaccination. The longer the duration of effect without requiring revaccination, the more favourable the benefit-risk balance becomes.</w:t>
      </w:r>
    </w:p>
    <w:p w14:paraId="3916F296" w14:textId="08E11F23" w:rsidR="00C22214" w:rsidRDefault="00C22214" w:rsidP="00E2437F">
      <w:pPr>
        <w:pStyle w:val="Heading4"/>
      </w:pPr>
      <w:bookmarkStart w:id="63" w:name="_Toc98931933"/>
      <w:bookmarkStart w:id="64" w:name="_Toc165552534"/>
      <w:r w:rsidRPr="00D23139">
        <w:t>Proposed action</w:t>
      </w:r>
      <w:bookmarkEnd w:id="63"/>
      <w:bookmarkEnd w:id="64"/>
    </w:p>
    <w:p w14:paraId="643D3429" w14:textId="6D39AB8E" w:rsidR="00AD156C" w:rsidRPr="008412B7" w:rsidRDefault="00AD156C" w:rsidP="008412B7">
      <w:bookmarkStart w:id="65" w:name="_Toc98931934"/>
      <w:r w:rsidRPr="008412B7">
        <w:t xml:space="preserve">Pending advice from ACV, the </w:t>
      </w:r>
      <w:r w:rsidR="00E052DA" w:rsidRPr="008412B7">
        <w:t>D</w:t>
      </w:r>
      <w:r w:rsidRPr="008412B7">
        <w:t>elegate is of the view that the supplied data supports approval for the following indications:</w:t>
      </w:r>
    </w:p>
    <w:p w14:paraId="6B829A69" w14:textId="58775507" w:rsidR="00BB57A3" w:rsidRPr="008412B7" w:rsidRDefault="000650D9" w:rsidP="008412B7">
      <w:pPr>
        <w:ind w:left="360"/>
        <w:rPr>
          <w:i/>
          <w:iCs/>
        </w:rPr>
      </w:pPr>
      <w:r w:rsidRPr="008412B7">
        <w:rPr>
          <w:i/>
          <w:iCs/>
        </w:rPr>
        <w:t xml:space="preserve">Abrysvo </w:t>
      </w:r>
      <w:r w:rsidR="00BB57A3" w:rsidRPr="008412B7">
        <w:rPr>
          <w:i/>
          <w:iCs/>
        </w:rPr>
        <w:t>is indicated for:</w:t>
      </w:r>
    </w:p>
    <w:p w14:paraId="17BC2BDF" w14:textId="77777777" w:rsidR="000650D9" w:rsidRPr="008412B7" w:rsidRDefault="00BB57A3" w:rsidP="008412B7">
      <w:pPr>
        <w:pStyle w:val="ListBullet"/>
        <w:ind w:left="720"/>
        <w:rPr>
          <w:i/>
          <w:iCs/>
        </w:rPr>
      </w:pPr>
      <w:r w:rsidRPr="008412B7">
        <w:rPr>
          <w:i/>
          <w:iCs/>
        </w:rPr>
        <w:t>Active immunisation of pregnant women between 24-36 weeks of gestation for prevention of severe lower respiratory tract disease caused by respiratory syncytial virus (RSV) in infants from birth through 6 months of age.</w:t>
      </w:r>
    </w:p>
    <w:p w14:paraId="72EEC6AA" w14:textId="1043E530" w:rsidR="00BB57A3" w:rsidRPr="008412B7" w:rsidRDefault="00BB57A3" w:rsidP="008412B7">
      <w:pPr>
        <w:pStyle w:val="ListBullet"/>
        <w:ind w:left="720"/>
        <w:rPr>
          <w:i/>
          <w:iCs/>
        </w:rPr>
      </w:pPr>
      <w:r w:rsidRPr="008412B7">
        <w:rPr>
          <w:i/>
          <w:iCs/>
        </w:rPr>
        <w:t>Active immunisation of individuals 60 years of age and above for prevention of lower respiratory tract disease caused by respiratory syncytial virus (RSV).</w:t>
      </w:r>
    </w:p>
    <w:p w14:paraId="0AB18158" w14:textId="7505E3DA" w:rsidR="00BB57A3" w:rsidRPr="008412B7" w:rsidRDefault="00487157" w:rsidP="008412B7">
      <w:pPr>
        <w:ind w:left="360"/>
        <w:rPr>
          <w:i/>
          <w:iCs/>
        </w:rPr>
      </w:pPr>
      <w:r w:rsidRPr="008412B7">
        <w:rPr>
          <w:i/>
          <w:iCs/>
        </w:rPr>
        <w:lastRenderedPageBreak/>
        <w:t>A</w:t>
      </w:r>
      <w:r>
        <w:rPr>
          <w:i/>
          <w:iCs/>
        </w:rPr>
        <w:t>brysvo</w:t>
      </w:r>
      <w:r w:rsidRPr="008412B7">
        <w:rPr>
          <w:i/>
          <w:iCs/>
        </w:rPr>
        <w:t xml:space="preserve"> </w:t>
      </w:r>
      <w:r w:rsidR="00BB57A3" w:rsidRPr="008412B7">
        <w:rPr>
          <w:i/>
          <w:iCs/>
        </w:rPr>
        <w:t>should be used in accordance with official recommendations.</w:t>
      </w:r>
    </w:p>
    <w:p w14:paraId="4BB094F1" w14:textId="618127AC" w:rsidR="00AD156C" w:rsidRPr="008412B7" w:rsidRDefault="00AD156C" w:rsidP="008412B7">
      <w:r w:rsidRPr="008412B7">
        <w:t xml:space="preserve">Vaccination in both indications comprises </w:t>
      </w:r>
      <w:r w:rsidR="00BB57A3" w:rsidRPr="008412B7">
        <w:t xml:space="preserve">a </w:t>
      </w:r>
      <w:r w:rsidRPr="008412B7">
        <w:t>single 0.5</w:t>
      </w:r>
      <w:r w:rsidR="00BB57A3" w:rsidRPr="008412B7">
        <w:t xml:space="preserve"> </w:t>
      </w:r>
      <w:r w:rsidRPr="008412B7">
        <w:t>mL dose (120</w:t>
      </w:r>
      <w:r w:rsidR="00BB57A3" w:rsidRPr="008412B7">
        <w:t xml:space="preserve"> </w:t>
      </w:r>
      <w:r w:rsidRPr="008412B7">
        <w:t xml:space="preserve">µg </w:t>
      </w:r>
      <w:proofErr w:type="spellStart"/>
      <w:r w:rsidRPr="008412B7">
        <w:t>RSVPreF</w:t>
      </w:r>
      <w:proofErr w:type="spellEnd"/>
      <w:r w:rsidRPr="008412B7">
        <w:t>) by intramuscular injection. At present there are no data on revaccination. There are no data for use in children for active immunisation.</w:t>
      </w:r>
    </w:p>
    <w:p w14:paraId="504EBFBC" w14:textId="2DE5AA86" w:rsidR="00AD156C" w:rsidRPr="008412B7" w:rsidRDefault="00AD156C" w:rsidP="008412B7">
      <w:r w:rsidRPr="008412B7">
        <w:t xml:space="preserve">Further data on </w:t>
      </w:r>
      <w:r w:rsidR="00487157">
        <w:t xml:space="preserve">VE </w:t>
      </w:r>
      <w:r w:rsidRPr="008412B7">
        <w:t xml:space="preserve">beyond RSV </w:t>
      </w:r>
      <w:r w:rsidR="00A4308A">
        <w:t>s</w:t>
      </w:r>
      <w:r w:rsidRPr="008412B7">
        <w:t>eason 1 and comprehensive immunogenicity data should be made available in a future submission for appropriate PI update.</w:t>
      </w:r>
    </w:p>
    <w:p w14:paraId="07994E9B" w14:textId="77777777" w:rsidR="00C22214" w:rsidRDefault="00C22214" w:rsidP="00C22214">
      <w:pPr>
        <w:pStyle w:val="Heading4"/>
      </w:pPr>
      <w:bookmarkStart w:id="66" w:name="_Toc165552535"/>
      <w:r>
        <w:t>Questions for the sponsor</w:t>
      </w:r>
      <w:bookmarkEnd w:id="65"/>
      <w:bookmarkEnd w:id="66"/>
    </w:p>
    <w:p w14:paraId="1F694596" w14:textId="77777777" w:rsidR="00C22214" w:rsidRPr="008412B7" w:rsidRDefault="00C22214" w:rsidP="008412B7">
      <w:r w:rsidRPr="008412B7">
        <w:t>The sponsor provided the following response to questions from the Delegate.</w:t>
      </w:r>
    </w:p>
    <w:p w14:paraId="0F407A03" w14:textId="0126A45B" w:rsidR="0041001D" w:rsidRPr="008412B7" w:rsidRDefault="0041001D" w:rsidP="008412B7">
      <w:pPr>
        <w:pStyle w:val="Numberbullet0"/>
        <w:rPr>
          <w:b/>
          <w:bCs/>
          <w:i/>
          <w:iCs/>
        </w:rPr>
      </w:pPr>
      <w:r w:rsidRPr="008412B7">
        <w:rPr>
          <w:b/>
          <w:bCs/>
          <w:i/>
          <w:iCs/>
        </w:rPr>
        <w:t xml:space="preserve">Please provide summary results of Vaccine Efficacy in infants (MA-LRTI and severe MA-LRTI at 90 and 180 days) and pregnancy outcomes (premature births &lt;37 weeks gestation) by subgroups of women vaccinated at &lt;28 weeks and ≥28 </w:t>
      </w:r>
      <w:proofErr w:type="gramStart"/>
      <w:r w:rsidRPr="008412B7">
        <w:rPr>
          <w:b/>
          <w:bCs/>
          <w:i/>
          <w:iCs/>
        </w:rPr>
        <w:t>weeks, and</w:t>
      </w:r>
      <w:proofErr w:type="gramEnd"/>
      <w:r w:rsidRPr="008412B7">
        <w:rPr>
          <w:b/>
          <w:bCs/>
          <w:i/>
          <w:iCs/>
        </w:rPr>
        <w:t xml:space="preserve"> vaccinated at &lt;32 weeks and ≥32 weeks in Study C3671008.</w:t>
      </w:r>
    </w:p>
    <w:p w14:paraId="3B9BCB08" w14:textId="318D6E49" w:rsidR="00A22CD0" w:rsidRPr="008412B7" w:rsidRDefault="00A22CD0" w:rsidP="008412B7">
      <w:r w:rsidRPr="008412B7">
        <w:t>The requested tables are provided below</w:t>
      </w:r>
      <w:r w:rsidR="00880339">
        <w:t xml:space="preserve"> (Tables </w:t>
      </w:r>
      <w:r w:rsidR="007020B9">
        <w:t>39</w:t>
      </w:r>
      <w:r w:rsidR="00880339">
        <w:t xml:space="preserve"> to </w:t>
      </w:r>
      <w:r w:rsidR="00515835">
        <w:t>5</w:t>
      </w:r>
      <w:r w:rsidR="007020B9">
        <w:t>0</w:t>
      </w:r>
      <w:r w:rsidR="00880339">
        <w:t>)</w:t>
      </w:r>
      <w:r w:rsidRPr="008412B7">
        <w:t>.</w:t>
      </w:r>
    </w:p>
    <w:p w14:paraId="3C117850" w14:textId="305EDAD2" w:rsidR="00A22CD0" w:rsidRPr="008412B7" w:rsidRDefault="00A22CD0" w:rsidP="008412B7">
      <w:r w:rsidRPr="008412B7">
        <w:t xml:space="preserve">It is important to note that these are all post-hoc exploratory analyses and are not powered for significance, therefore should be interpreted with caution given the limited case numbers. Overall, analyses of VE by </w:t>
      </w:r>
      <w:r w:rsidR="00487157">
        <w:t>gestational age</w:t>
      </w:r>
      <w:r w:rsidRPr="008412B7">
        <w:t xml:space="preserve"> are consistent with the overall efficacy analyses, with high VE against severe MA-LRTI through 180 days among the different </w:t>
      </w:r>
      <w:r w:rsidR="00487157">
        <w:t>gestational age</w:t>
      </w:r>
      <w:r w:rsidRPr="008412B7">
        <w:t xml:space="preserve"> ranges. RSVpreF was also efficacious against MA-LRTI in each of the requested </w:t>
      </w:r>
      <w:r w:rsidR="00487157">
        <w:t>gestational age</w:t>
      </w:r>
      <w:r w:rsidRPr="008412B7">
        <w:t xml:space="preserve"> ranges, albeit with wide CIs due to the </w:t>
      </w:r>
      <w:proofErr w:type="gramStart"/>
      <w:r w:rsidRPr="008412B7">
        <w:t>lower case</w:t>
      </w:r>
      <w:proofErr w:type="gramEnd"/>
      <w:r w:rsidRPr="008412B7">
        <w:t xml:space="preserve"> numbers, particularly for maternal vaccination between 24 to &lt;28 weeks gestation.</w:t>
      </w:r>
    </w:p>
    <w:p w14:paraId="0048BA7B" w14:textId="16EE574D" w:rsidR="00A22CD0" w:rsidRPr="008412B7" w:rsidRDefault="00A22CD0" w:rsidP="008412B7">
      <w:r w:rsidRPr="008412B7">
        <w:t xml:space="preserve">Pregnancy outcomes tables presented show that </w:t>
      </w:r>
      <w:proofErr w:type="gramStart"/>
      <w:r w:rsidRPr="008412B7">
        <w:t>the majority of</w:t>
      </w:r>
      <w:proofErr w:type="gramEnd"/>
      <w:r w:rsidRPr="008412B7">
        <w:t xml:space="preserve"> infants overall had favourable birth outcomes, irrespective of maternal gestational age at vaccination. As previously noted in the response to Clinical Evaluation Question 9, Sequence 0001, there were no statistically meaningful imbalances between RSVpreF and placebo recipients in the overall AE rates of preterm birth. As described in the sponsor response, a numerical imbalance in preterm births was observed in upper-middle income countries, while no imbalances were observed in high income countries including the US</w:t>
      </w:r>
      <w:r w:rsidR="00487157">
        <w:t>A</w:t>
      </w:r>
      <w:r w:rsidRPr="008412B7">
        <w:t xml:space="preserve">, EU countries, Australia, New </w:t>
      </w:r>
      <w:proofErr w:type="gramStart"/>
      <w:r w:rsidRPr="008412B7">
        <w:t>Zealand</w:t>
      </w:r>
      <w:proofErr w:type="gramEnd"/>
      <w:r w:rsidRPr="008412B7">
        <w:t xml:space="preserve"> and Japan, with no differences observed between the RSVpreF and placebo groups with respect to time from vaccination to birth, and no imbalances in other adverse pregnancy outcomes such as neonatal and infant deaths.</w:t>
      </w:r>
    </w:p>
    <w:p w14:paraId="39B6B4EA" w14:textId="7A787F55" w:rsidR="0041001D" w:rsidRPr="008412B7" w:rsidRDefault="0041001D" w:rsidP="008412B7">
      <w:pPr>
        <w:pStyle w:val="Numberbullet0"/>
        <w:rPr>
          <w:b/>
          <w:bCs/>
          <w:i/>
          <w:iCs/>
        </w:rPr>
      </w:pPr>
      <w:proofErr w:type="gramStart"/>
      <w:r w:rsidRPr="008412B7">
        <w:rPr>
          <w:b/>
          <w:bCs/>
          <w:i/>
          <w:iCs/>
        </w:rPr>
        <w:t>A number of</w:t>
      </w:r>
      <w:proofErr w:type="gramEnd"/>
      <w:r w:rsidRPr="008412B7">
        <w:rPr>
          <w:b/>
          <w:bCs/>
          <w:i/>
          <w:iCs/>
        </w:rPr>
        <w:t xml:space="preserve"> adverse effect incidences could not be reconciled between the clinical evaluation report and the dossier for the Study C3671013. Please provide updated </w:t>
      </w:r>
      <w:proofErr w:type="gramStart"/>
      <w:r w:rsidRPr="008412B7">
        <w:rPr>
          <w:b/>
          <w:bCs/>
          <w:i/>
          <w:iCs/>
        </w:rPr>
        <w:t>higher level</w:t>
      </w:r>
      <w:proofErr w:type="gramEnd"/>
      <w:r w:rsidRPr="008412B7">
        <w:rPr>
          <w:b/>
          <w:bCs/>
          <w:i/>
          <w:iCs/>
        </w:rPr>
        <w:t xml:space="preserve"> summary of adverse events/reactions.</w:t>
      </w:r>
    </w:p>
    <w:p w14:paraId="31103261" w14:textId="1ACED40C" w:rsidR="00247D5D" w:rsidRDefault="00247D5D" w:rsidP="008412B7">
      <w:r w:rsidRPr="008412B7">
        <w:t xml:space="preserve">Only </w:t>
      </w:r>
      <w:r w:rsidR="00A4308A">
        <w:t>s</w:t>
      </w:r>
      <w:r w:rsidRPr="008412B7">
        <w:t xml:space="preserve">eason 1 data for Study C3671013 were provided in the dossier as the complete </w:t>
      </w:r>
      <w:r w:rsidR="00A4308A">
        <w:t>s</w:t>
      </w:r>
      <w:r w:rsidRPr="008412B7">
        <w:t>eason 2 data are not yet available. At the request of the Clinical Evaluator at Milestone 3, mid-</w:t>
      </w:r>
      <w:r w:rsidR="00A4308A">
        <w:t>s</w:t>
      </w:r>
      <w:r w:rsidRPr="008412B7">
        <w:t>eason 2 data through the data cutoff date of 31 January 2023 were provided (see response to Clinical Evaluation Question 8 in Sequence 0003, along with the referenced ACIP presentation). Mid-</w:t>
      </w:r>
      <w:r w:rsidR="00A4308A">
        <w:t>s</w:t>
      </w:r>
      <w:r w:rsidRPr="008412B7">
        <w:t xml:space="preserve">eason 2 data represent the most up to date summary of adverse events/reactions from the C3671013 study. C3671013 clinical study report including the entire </w:t>
      </w:r>
      <w:r w:rsidR="00A4308A">
        <w:t>s</w:t>
      </w:r>
      <w:r w:rsidRPr="008412B7">
        <w:t>eason 2 data will be submitted to the TGA in 2024.</w:t>
      </w:r>
    </w:p>
    <w:p w14:paraId="2F781FF9" w14:textId="7E90DBCA" w:rsidR="00E94ED9" w:rsidRDefault="00E94ED9" w:rsidP="004663C4">
      <w:pPr>
        <w:pStyle w:val="TableTitle"/>
      </w:pPr>
      <w:r>
        <w:lastRenderedPageBreak/>
        <w:t xml:space="preserve">Table </w:t>
      </w:r>
      <w:r w:rsidR="007020B9">
        <w:t>3</w:t>
      </w:r>
      <w:r w:rsidR="00865BC5">
        <w:t>8</w:t>
      </w:r>
      <w:r>
        <w:t>: RSV-positive MA-LRTIs, confirmed by the EAC in maternal gestational age at vaccination of 24 to &lt;28 weeks – infant participants - evaluable efficacy population</w:t>
      </w:r>
      <w:r w:rsidR="007020B9">
        <w:t>.</w:t>
      </w:r>
    </w:p>
    <w:p w14:paraId="2E6F6F9F" w14:textId="77777777" w:rsidR="00E94ED9" w:rsidRDefault="00E94ED9" w:rsidP="004663C4">
      <w:r>
        <w:rPr>
          <w:noProof/>
        </w:rPr>
        <w:drawing>
          <wp:inline distT="0" distB="0" distL="0" distR="0" wp14:anchorId="681019E8" wp14:editId="1764CBF7">
            <wp:extent cx="6202869" cy="2087593"/>
            <wp:effectExtent l="19050" t="19050" r="26670" b="27305"/>
            <wp:docPr id="2" name="Picture 2" descr="Table 38: RSV-positive MA-LRTIs, confirmed by the EAC in maternal gestational age at vaccination of 24 to &lt;28 weeks – infant participants - evaluable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38: RSV-positive MA-LRTIs, confirmed by the EAC in maternal gestational age at vaccination of 24 to &lt;28 weeks – infant participants - evaluable efficacy population"/>
                    <pic:cNvPicPr/>
                  </pic:nvPicPr>
                  <pic:blipFill rotWithShape="1">
                    <a:blip r:embed="rId75"/>
                    <a:srcRect l="449" t="12667" r="-1" b="10749"/>
                    <a:stretch/>
                  </pic:blipFill>
                  <pic:spPr bwMode="auto">
                    <a:xfrm>
                      <a:off x="0" y="0"/>
                      <a:ext cx="6211228" cy="2090406"/>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713D4C27" w14:textId="67C4161F" w:rsidR="00E94ED9" w:rsidRDefault="00E94ED9" w:rsidP="004663C4">
      <w:pPr>
        <w:pStyle w:val="TableTitle"/>
      </w:pPr>
      <w:r>
        <w:t xml:space="preserve">Table </w:t>
      </w:r>
      <w:r w:rsidR="00865BC5">
        <w:t>39</w:t>
      </w:r>
      <w:r>
        <w:t>:</w:t>
      </w:r>
      <w:r w:rsidRPr="00BC6131">
        <w:t xml:space="preserve"> </w:t>
      </w:r>
      <w:r>
        <w:t>RSV-positive MA-LRTIs, confirmed by the EAC in maternal gestational age at vaccination of 28 to &lt;37 weeks – infant participants - evaluable efficacy population</w:t>
      </w:r>
      <w:r w:rsidR="007020B9">
        <w:t>.</w:t>
      </w:r>
    </w:p>
    <w:p w14:paraId="579F745F" w14:textId="77777777" w:rsidR="00E94ED9" w:rsidRPr="008412B7" w:rsidRDefault="00E94ED9" w:rsidP="004663C4">
      <w:r>
        <w:rPr>
          <w:noProof/>
        </w:rPr>
        <w:drawing>
          <wp:inline distT="0" distB="0" distL="0" distR="0" wp14:anchorId="4E48EE23" wp14:editId="5003240E">
            <wp:extent cx="6177214" cy="2094422"/>
            <wp:effectExtent l="19050" t="19050" r="14605" b="20320"/>
            <wp:docPr id="8" name="Picture 8" descr="Table 39: RSV-positive MA-LRTIs, confirmed by the EAC in maternal gestational age at vaccination of 28 to &lt;37 weeks – infant participants - evaluable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39: RSV-positive MA-LRTIs, confirmed by the EAC in maternal gestational age at vaccination of 28 to &lt;37 weeks – infant participants - evaluable efficacy population"/>
                    <pic:cNvPicPr/>
                  </pic:nvPicPr>
                  <pic:blipFill rotWithShape="1">
                    <a:blip r:embed="rId76"/>
                    <a:srcRect l="-299" t="12845" r="-1" b="10409"/>
                    <a:stretch/>
                  </pic:blipFill>
                  <pic:spPr bwMode="auto">
                    <a:xfrm>
                      <a:off x="0" y="0"/>
                      <a:ext cx="6188890" cy="2098381"/>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08D4EE57" w14:textId="2787246B" w:rsidR="00E94ED9" w:rsidRDefault="00E94ED9" w:rsidP="004663C4">
      <w:pPr>
        <w:pStyle w:val="TableTitle"/>
      </w:pPr>
      <w:r>
        <w:t>Table 4</w:t>
      </w:r>
      <w:r w:rsidR="00865BC5">
        <w:t>0</w:t>
      </w:r>
      <w:r>
        <w:t>: RSV-Positive MA-LRTIs, confirmed by the EAC in maternal gestational age at vaccination of 24 to &lt;32 weeks – infant participants - evaluable efficacy population</w:t>
      </w:r>
      <w:r w:rsidR="007020B9">
        <w:t>.</w:t>
      </w:r>
    </w:p>
    <w:p w14:paraId="6BC82358" w14:textId="77777777" w:rsidR="00E94ED9" w:rsidRDefault="00E94ED9" w:rsidP="004663C4">
      <w:r>
        <w:rPr>
          <w:noProof/>
        </w:rPr>
        <w:drawing>
          <wp:inline distT="0" distB="0" distL="0" distR="0" wp14:anchorId="0442EC79" wp14:editId="563E1BE2">
            <wp:extent cx="6476483" cy="2191110"/>
            <wp:effectExtent l="19050" t="19050" r="19685" b="19050"/>
            <wp:docPr id="28" name="Picture 28" descr="Table 40: RSV-Positive MA-LRTIs, confirmed by the EAC in maternal gestational age at vaccination of 24 to &lt;32 weeks – infant participants - evaluable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 40: RSV-Positive MA-LRTIs, confirmed by the EAC in maternal gestational age at vaccination of 24 to &lt;32 weeks – infant participants - evaluable efficacy population"/>
                    <pic:cNvPicPr/>
                  </pic:nvPicPr>
                  <pic:blipFill rotWithShape="1">
                    <a:blip r:embed="rId77"/>
                    <a:srcRect l="17" t="12731" r="1" b="11609"/>
                    <a:stretch/>
                  </pic:blipFill>
                  <pic:spPr bwMode="auto">
                    <a:xfrm>
                      <a:off x="0" y="0"/>
                      <a:ext cx="6486562" cy="219452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7800D975" w14:textId="77777777" w:rsidR="00E94ED9" w:rsidRDefault="00E94ED9" w:rsidP="00E94ED9">
      <w:pPr>
        <w:autoSpaceDE w:val="0"/>
        <w:autoSpaceDN w:val="0"/>
        <w:adjustRightInd w:val="0"/>
        <w:spacing w:after="0"/>
      </w:pPr>
    </w:p>
    <w:p w14:paraId="53A34C52" w14:textId="1FAF611B" w:rsidR="00E94ED9" w:rsidRDefault="00E94ED9" w:rsidP="004663C4">
      <w:pPr>
        <w:pStyle w:val="TableTitle"/>
      </w:pPr>
      <w:r>
        <w:lastRenderedPageBreak/>
        <w:t>Table 4</w:t>
      </w:r>
      <w:r w:rsidR="00865BC5">
        <w:t>1</w:t>
      </w:r>
      <w:r>
        <w:t>: RSV-positive MA-LRTIs, confirmed by the EAC in maternal gestational age at vaccination of 32 to &lt;37 weeks – infant participants - evaluable efficacy population</w:t>
      </w:r>
      <w:r w:rsidR="007020B9">
        <w:t>.</w:t>
      </w:r>
    </w:p>
    <w:p w14:paraId="3AB3D881" w14:textId="77777777" w:rsidR="00E94ED9" w:rsidRDefault="00E94ED9" w:rsidP="004663C4">
      <w:r>
        <w:rPr>
          <w:noProof/>
        </w:rPr>
        <w:drawing>
          <wp:inline distT="0" distB="0" distL="0" distR="0" wp14:anchorId="5E3D3AEB" wp14:editId="7A8406EC">
            <wp:extent cx="6224996" cy="2154806"/>
            <wp:effectExtent l="19050" t="19050" r="23495" b="17145"/>
            <wp:docPr id="31" name="Picture 31" descr="Table 41: RSV-positive MA-LRTIs, confirmed by the EAC in maternal gestational age at vaccination of 32 to &lt;37 weeks – infant participants - evaluable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 41: RSV-positive MA-LRTIs, confirmed by the EAC in maternal gestational age at vaccination of 32 to &lt;37 weeks – infant participants - evaluable efficacy population."/>
                    <pic:cNvPicPr/>
                  </pic:nvPicPr>
                  <pic:blipFill rotWithShape="1">
                    <a:blip r:embed="rId78"/>
                    <a:srcRect l="599" t="12813" r="2006" b="11292"/>
                    <a:stretch/>
                  </pic:blipFill>
                  <pic:spPr bwMode="auto">
                    <a:xfrm>
                      <a:off x="0" y="0"/>
                      <a:ext cx="6248101" cy="2162804"/>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42E032FC" w14:textId="4C095A8F" w:rsidR="00E94ED9" w:rsidRDefault="00E94ED9" w:rsidP="004663C4">
      <w:pPr>
        <w:pStyle w:val="TableTitle"/>
      </w:pPr>
      <w:r>
        <w:t>Table 4</w:t>
      </w:r>
      <w:r w:rsidR="00865BC5">
        <w:t>2</w:t>
      </w:r>
      <w:r>
        <w:t>: Severe MA-LRTIs due to RSV, confirmed by the EAC in maternal gestational age at vaccination of 24 to &lt;28 weeks - infant participants - evaluable efficacy population</w:t>
      </w:r>
    </w:p>
    <w:p w14:paraId="5464D6A5" w14:textId="69F26681" w:rsidR="00E94ED9" w:rsidRDefault="00E94ED9" w:rsidP="004663C4">
      <w:r>
        <w:rPr>
          <w:noProof/>
        </w:rPr>
        <w:drawing>
          <wp:inline distT="0" distB="0" distL="0" distR="0" wp14:anchorId="159C844D" wp14:editId="3C1148B4">
            <wp:extent cx="5766806" cy="1940944"/>
            <wp:effectExtent l="19050" t="19050" r="24765" b="21590"/>
            <wp:docPr id="46" name="Picture 46" descr="Table 42: Severe MA-LRTIs due to RSV, confirmed by the EAC in maternal gestational age at vaccination of 24 to &lt;28 weeks - infant participants - evaluable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 42: Severe MA-LRTIs due to RSV, confirmed by the EAC in maternal gestational age at vaccination of 24 to &lt;28 weeks - infant participants - evaluable efficacy population"/>
                    <pic:cNvPicPr/>
                  </pic:nvPicPr>
                  <pic:blipFill rotWithShape="1">
                    <a:blip r:embed="rId79"/>
                    <a:srcRect l="-150" t="12868" b="10929"/>
                    <a:stretch/>
                  </pic:blipFill>
                  <pic:spPr bwMode="auto">
                    <a:xfrm>
                      <a:off x="0" y="0"/>
                      <a:ext cx="5768082" cy="1941373"/>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B8B5DFF" w14:textId="04F7DF5A" w:rsidR="00E94ED9" w:rsidRDefault="00E94ED9" w:rsidP="004663C4">
      <w:pPr>
        <w:pStyle w:val="TableTitle"/>
      </w:pPr>
      <w:r>
        <w:t>Table 4</w:t>
      </w:r>
      <w:r w:rsidR="00865BC5">
        <w:t>3</w:t>
      </w:r>
      <w:r>
        <w:t>: Severe MA-LRTIs due to RSV, confirmed by the EAC in maternal gestational age at vaccination of 28 to &lt;37 weeks - infant participants - evaluable efficacy population</w:t>
      </w:r>
      <w:r w:rsidR="007020B9">
        <w:t>.</w:t>
      </w:r>
    </w:p>
    <w:p w14:paraId="6CA1C23F" w14:textId="77777777" w:rsidR="00E94ED9" w:rsidRDefault="00E94ED9" w:rsidP="004663C4">
      <w:r>
        <w:rPr>
          <w:noProof/>
        </w:rPr>
        <w:drawing>
          <wp:inline distT="0" distB="0" distL="0" distR="0" wp14:anchorId="0F29453E" wp14:editId="04F1DDFD">
            <wp:extent cx="5872370" cy="1982279"/>
            <wp:effectExtent l="19050" t="19050" r="14605" b="18415"/>
            <wp:docPr id="47" name="Picture 47" descr="Table 43: Severe MA-LRTIs due to RSV, confirmed by the EAC in maternal gestational age at vaccination of 28 to &lt;37 weeks - infant participants - evaluable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able 43: Severe MA-LRTIs due to RSV, confirmed by the EAC in maternal gestational age at vaccination of 28 to &lt;37 weeks - infant participants - evaluable efficacy population"/>
                    <pic:cNvPicPr/>
                  </pic:nvPicPr>
                  <pic:blipFill rotWithShape="1">
                    <a:blip r:embed="rId80"/>
                    <a:srcRect l="598" t="12494" b="11857"/>
                    <a:stretch/>
                  </pic:blipFill>
                  <pic:spPr bwMode="auto">
                    <a:xfrm>
                      <a:off x="0" y="0"/>
                      <a:ext cx="5883496" cy="198603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4A5D716" w14:textId="77777777" w:rsidR="00E94ED9" w:rsidRDefault="00E94ED9" w:rsidP="00E94ED9">
      <w:pPr>
        <w:autoSpaceDE w:val="0"/>
        <w:autoSpaceDN w:val="0"/>
        <w:adjustRightInd w:val="0"/>
        <w:spacing w:after="0"/>
      </w:pPr>
    </w:p>
    <w:p w14:paraId="3939258F" w14:textId="53582718" w:rsidR="00E94ED9" w:rsidRDefault="00E94ED9" w:rsidP="004663C4">
      <w:pPr>
        <w:pStyle w:val="TableTitle"/>
      </w:pPr>
      <w:r>
        <w:lastRenderedPageBreak/>
        <w:t>Table 4</w:t>
      </w:r>
      <w:r w:rsidR="00865BC5">
        <w:t>4</w:t>
      </w:r>
      <w:r>
        <w:t>: Severe MA-LRTIs due to RSV, confirmed by the EAC in maternal gestational age at vaccination of 24 to &lt;32 weeks - infant participants - evaluable efficacy population</w:t>
      </w:r>
      <w:r w:rsidR="007020B9">
        <w:t>.</w:t>
      </w:r>
    </w:p>
    <w:p w14:paraId="6062AC20" w14:textId="77777777" w:rsidR="00E94ED9" w:rsidRDefault="00E94ED9" w:rsidP="004663C4">
      <w:r>
        <w:rPr>
          <w:noProof/>
        </w:rPr>
        <w:drawing>
          <wp:inline distT="0" distB="0" distL="0" distR="0" wp14:anchorId="12386C1A" wp14:editId="755A8A28">
            <wp:extent cx="5931720" cy="1990905"/>
            <wp:effectExtent l="19050" t="19050" r="12065" b="28575"/>
            <wp:docPr id="54" name="Picture 54" descr="Table 44: Severe MA-LRTIs due to RSV, confirmed by the EAC in maternal gestational age at vaccination of 24 to &lt;32 weeks - infant participants - evaluable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able 44: Severe MA-LRTIs due to RSV, confirmed by the EAC in maternal gestational age at vaccination of 24 to &lt;32 weeks - infant participants - evaluable efficacy population"/>
                    <pic:cNvPicPr/>
                  </pic:nvPicPr>
                  <pic:blipFill rotWithShape="1">
                    <a:blip r:embed="rId81"/>
                    <a:srcRect l="481" t="13205" r="-1" b="11281"/>
                    <a:stretch/>
                  </pic:blipFill>
                  <pic:spPr bwMode="auto">
                    <a:xfrm>
                      <a:off x="0" y="0"/>
                      <a:ext cx="5951398" cy="199751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69FEDDF3" w14:textId="3537388F" w:rsidR="00E94ED9" w:rsidRDefault="00E94ED9" w:rsidP="004663C4">
      <w:pPr>
        <w:pStyle w:val="TableTitle"/>
        <w:rPr>
          <w:lang w:eastAsia="ja-JP"/>
        </w:rPr>
      </w:pPr>
      <w:r>
        <w:rPr>
          <w:lang w:eastAsia="ja-JP"/>
        </w:rPr>
        <w:t>Table 4</w:t>
      </w:r>
      <w:r w:rsidR="00865BC5">
        <w:rPr>
          <w:lang w:eastAsia="ja-JP"/>
        </w:rPr>
        <w:t>5</w:t>
      </w:r>
      <w:r>
        <w:rPr>
          <w:lang w:eastAsia="ja-JP"/>
        </w:rPr>
        <w:t>: Severe MA-LRTIs due to RSV, confirmed by the EAC in maternal gestational age at vaccination of 32 to &lt;37 weeks - infant participants - evaluable efficacy population</w:t>
      </w:r>
      <w:r w:rsidR="007020B9">
        <w:rPr>
          <w:lang w:eastAsia="ja-JP"/>
        </w:rPr>
        <w:t>.</w:t>
      </w:r>
    </w:p>
    <w:p w14:paraId="7195B546" w14:textId="77777777" w:rsidR="00E94ED9" w:rsidRDefault="00E94ED9" w:rsidP="004663C4">
      <w:pPr>
        <w:rPr>
          <w:lang w:eastAsia="ja-JP"/>
        </w:rPr>
      </w:pPr>
      <w:r>
        <w:rPr>
          <w:noProof/>
        </w:rPr>
        <w:drawing>
          <wp:inline distT="0" distB="0" distL="0" distR="0" wp14:anchorId="74230D1F" wp14:editId="2F323EC5">
            <wp:extent cx="5749285" cy="1958197"/>
            <wp:effectExtent l="19050" t="19050" r="23495" b="23495"/>
            <wp:docPr id="59" name="Picture 59" descr="Table 45: Severe MA-LRTIs due to RSV, confirmed by the EAC in maternal gestational age at vaccination of 32 to &lt;37 weeks - infant participants - evaluable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able 45: Severe MA-LRTIs due to RSV, confirmed by the EAC in maternal gestational age at vaccination of 32 to &lt;37 weeks - infant participants - evaluable efficacy population"/>
                    <pic:cNvPicPr/>
                  </pic:nvPicPr>
                  <pic:blipFill rotWithShape="1">
                    <a:blip r:embed="rId82"/>
                    <a:srcRect l="149" t="12214" r="-1" b="10747"/>
                    <a:stretch/>
                  </pic:blipFill>
                  <pic:spPr bwMode="auto">
                    <a:xfrm>
                      <a:off x="0" y="0"/>
                      <a:ext cx="5750828" cy="1958723"/>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7584441" w14:textId="27476CD5" w:rsidR="00E94ED9" w:rsidRDefault="00E94ED9" w:rsidP="004663C4">
      <w:pPr>
        <w:pStyle w:val="TableTitle"/>
        <w:rPr>
          <w:lang w:eastAsia="ja-JP"/>
        </w:rPr>
      </w:pPr>
      <w:r>
        <w:rPr>
          <w:lang w:eastAsia="ja-JP"/>
        </w:rPr>
        <w:lastRenderedPageBreak/>
        <w:t>Table 4</w:t>
      </w:r>
      <w:r w:rsidR="00865BC5">
        <w:rPr>
          <w:lang w:eastAsia="ja-JP"/>
        </w:rPr>
        <w:t>6</w:t>
      </w:r>
      <w:r>
        <w:rPr>
          <w:lang w:eastAsia="ja-JP"/>
        </w:rPr>
        <w:t>: Live birth outcomes in maternal gestational age at vaccination of 24 to &lt;28 weeks - infant participants – safety population</w:t>
      </w:r>
      <w:r w:rsidR="007020B9">
        <w:rPr>
          <w:lang w:eastAsia="ja-JP"/>
        </w:rPr>
        <w:t>.</w:t>
      </w:r>
    </w:p>
    <w:p w14:paraId="303F34FA" w14:textId="77777777" w:rsidR="00E94ED9" w:rsidRDefault="00E94ED9" w:rsidP="004663C4">
      <w:pPr>
        <w:rPr>
          <w:lang w:eastAsia="ja-JP"/>
        </w:rPr>
      </w:pPr>
      <w:r>
        <w:rPr>
          <w:noProof/>
        </w:rPr>
        <w:drawing>
          <wp:anchor distT="0" distB="0" distL="114300" distR="114300" simplePos="0" relativeHeight="251658240" behindDoc="0" locked="0" layoutInCell="1" allowOverlap="1" wp14:anchorId="533D804D" wp14:editId="68499519">
            <wp:simplePos x="0" y="0"/>
            <wp:positionH relativeFrom="margin">
              <wp:posOffset>-3283</wp:posOffset>
            </wp:positionH>
            <wp:positionV relativeFrom="paragraph">
              <wp:posOffset>3587116</wp:posOffset>
            </wp:positionV>
            <wp:extent cx="5760876" cy="2536166"/>
            <wp:effectExtent l="0" t="0" r="0" b="0"/>
            <wp:wrapTopAndBottom/>
            <wp:docPr id="925891584" name="Picture 925891584" descr="Table 46: Live birth outcomes in maternal gestational age at vaccination of 24 to &lt;28 weeks - infant participant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91584" name="Picture 925891584" descr="Table 46: Live birth outcomes in maternal gestational age at vaccination of 24 to &lt;28 weeks - infant participants – safety population."/>
                    <pic:cNvPicPr/>
                  </pic:nvPicPr>
                  <pic:blipFill rotWithShape="1">
                    <a:blip r:embed="rId83">
                      <a:extLst>
                        <a:ext uri="{28A0092B-C50C-407E-A947-70E740481C1C}">
                          <a14:useLocalDpi xmlns:a14="http://schemas.microsoft.com/office/drawing/2010/main" val="0"/>
                        </a:ext>
                      </a:extLst>
                    </a:blip>
                    <a:srcRect t="3339" b="10390"/>
                    <a:stretch/>
                  </pic:blipFill>
                  <pic:spPr bwMode="auto">
                    <a:xfrm>
                      <a:off x="0" y="0"/>
                      <a:ext cx="5760876" cy="25361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838098E" wp14:editId="7CD9BD0B">
            <wp:extent cx="5742197" cy="3564854"/>
            <wp:effectExtent l="0" t="0" r="0" b="0"/>
            <wp:docPr id="62" name="Picture 62" descr="Table 46: Live birth outcomes in maternal gestational age at vaccination of 24 to &lt;28 weeks - infant participant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able 46: Live birth outcomes in maternal gestational age at vaccination of 24 to &lt;28 weeks - infant participants – safety population."/>
                    <pic:cNvPicPr/>
                  </pic:nvPicPr>
                  <pic:blipFill rotWithShape="1">
                    <a:blip r:embed="rId84"/>
                    <a:srcRect l="299" t="8013"/>
                    <a:stretch/>
                  </pic:blipFill>
                  <pic:spPr bwMode="auto">
                    <a:xfrm>
                      <a:off x="0" y="0"/>
                      <a:ext cx="5742197" cy="3564854"/>
                    </a:xfrm>
                    <a:prstGeom prst="rect">
                      <a:avLst/>
                    </a:prstGeom>
                    <a:ln>
                      <a:noFill/>
                    </a:ln>
                    <a:extLst>
                      <a:ext uri="{53640926-AAD7-44D8-BBD7-CCE9431645EC}">
                        <a14:shadowObscured xmlns:a14="http://schemas.microsoft.com/office/drawing/2010/main"/>
                      </a:ext>
                    </a:extLst>
                  </pic:spPr>
                </pic:pic>
              </a:graphicData>
            </a:graphic>
          </wp:inline>
        </w:drawing>
      </w:r>
    </w:p>
    <w:p w14:paraId="03E0199D" w14:textId="77777777" w:rsidR="00E94ED9" w:rsidRDefault="00E94ED9" w:rsidP="00E94ED9">
      <w:pPr>
        <w:rPr>
          <w:lang w:eastAsia="ja-JP"/>
        </w:rPr>
      </w:pPr>
    </w:p>
    <w:p w14:paraId="7D8A5808" w14:textId="48ECE91E" w:rsidR="00E94ED9" w:rsidRDefault="00E94ED9" w:rsidP="004663C4">
      <w:pPr>
        <w:pStyle w:val="TableTitle"/>
        <w:rPr>
          <w:lang w:eastAsia="ja-JP"/>
        </w:rPr>
      </w:pPr>
      <w:r>
        <w:rPr>
          <w:lang w:eastAsia="ja-JP"/>
        </w:rPr>
        <w:lastRenderedPageBreak/>
        <w:t>Table 4</w:t>
      </w:r>
      <w:r w:rsidR="00865BC5">
        <w:rPr>
          <w:lang w:eastAsia="ja-JP"/>
        </w:rPr>
        <w:t>7</w:t>
      </w:r>
      <w:r>
        <w:rPr>
          <w:lang w:eastAsia="ja-JP"/>
        </w:rPr>
        <w:t>: Live birth outcomes in maternal gestational age at vaccination of 28 to &lt;37 weeks - infant participants – safety population</w:t>
      </w:r>
      <w:r w:rsidR="007020B9">
        <w:rPr>
          <w:lang w:eastAsia="ja-JP"/>
        </w:rPr>
        <w:t>.</w:t>
      </w:r>
    </w:p>
    <w:p w14:paraId="3F6031B4" w14:textId="77777777" w:rsidR="00E94ED9" w:rsidRDefault="00E94ED9" w:rsidP="004663C4">
      <w:pPr>
        <w:rPr>
          <w:lang w:eastAsia="ja-JP"/>
        </w:rPr>
      </w:pPr>
      <w:r>
        <w:rPr>
          <w:noProof/>
        </w:rPr>
        <w:drawing>
          <wp:anchor distT="0" distB="0" distL="114300" distR="114300" simplePos="0" relativeHeight="251658241" behindDoc="0" locked="0" layoutInCell="1" allowOverlap="1" wp14:anchorId="64269193" wp14:editId="046C50F6">
            <wp:simplePos x="0" y="0"/>
            <wp:positionH relativeFrom="margin">
              <wp:posOffset>13970</wp:posOffset>
            </wp:positionH>
            <wp:positionV relativeFrom="paragraph">
              <wp:posOffset>3587115</wp:posOffset>
            </wp:positionV>
            <wp:extent cx="5749182" cy="2355011"/>
            <wp:effectExtent l="0" t="0" r="4445" b="7620"/>
            <wp:wrapTopAndBottom/>
            <wp:docPr id="925891586" name="Picture 925891586" descr="Table 47: Live birth outcomes in maternal gestational age at vaccination of 28 to &lt;37 weeks - infant participant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91586" name="Picture 925891586" descr="Table 47: Live birth outcomes in maternal gestational age at vaccination of 28 to &lt;37 weeks - infant participants – safety population."/>
                    <pic:cNvPicPr/>
                  </pic:nvPicPr>
                  <pic:blipFill rotWithShape="1">
                    <a:blip r:embed="rId85" cstate="print">
                      <a:extLst>
                        <a:ext uri="{28A0092B-C50C-407E-A947-70E740481C1C}">
                          <a14:useLocalDpi xmlns:a14="http://schemas.microsoft.com/office/drawing/2010/main" val="0"/>
                        </a:ext>
                      </a:extLst>
                    </a:blip>
                    <a:srcRect l="150" t="669" b="10924"/>
                    <a:stretch/>
                  </pic:blipFill>
                  <pic:spPr bwMode="auto">
                    <a:xfrm>
                      <a:off x="0" y="0"/>
                      <a:ext cx="5749182" cy="23550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0769B6E" wp14:editId="6C048F3A">
            <wp:extent cx="5742197" cy="3575649"/>
            <wp:effectExtent l="0" t="0" r="0" b="6350"/>
            <wp:docPr id="925891585" name="Picture 925891585" descr="Table 47: Live birth outcomes in maternal gestational age at vaccination of 28 to &lt;37 weeks - infant participant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91585" name="Picture 925891585" descr="Table 47: Live birth outcomes in maternal gestational age at vaccination of 28 to &lt;37 weeks - infant participants – safety population."/>
                    <pic:cNvPicPr/>
                  </pic:nvPicPr>
                  <pic:blipFill rotWithShape="1">
                    <a:blip r:embed="rId86"/>
                    <a:srcRect l="299" t="7991"/>
                    <a:stretch/>
                  </pic:blipFill>
                  <pic:spPr bwMode="auto">
                    <a:xfrm>
                      <a:off x="0" y="0"/>
                      <a:ext cx="5742197" cy="3575649"/>
                    </a:xfrm>
                    <a:prstGeom prst="rect">
                      <a:avLst/>
                    </a:prstGeom>
                    <a:ln>
                      <a:noFill/>
                    </a:ln>
                    <a:extLst>
                      <a:ext uri="{53640926-AAD7-44D8-BBD7-CCE9431645EC}">
                        <a14:shadowObscured xmlns:a14="http://schemas.microsoft.com/office/drawing/2010/main"/>
                      </a:ext>
                    </a:extLst>
                  </pic:spPr>
                </pic:pic>
              </a:graphicData>
            </a:graphic>
          </wp:inline>
        </w:drawing>
      </w:r>
    </w:p>
    <w:p w14:paraId="685F9789" w14:textId="77777777" w:rsidR="00E94ED9" w:rsidRDefault="00E94ED9" w:rsidP="00E94ED9">
      <w:pPr>
        <w:rPr>
          <w:lang w:eastAsia="ja-JP"/>
        </w:rPr>
      </w:pPr>
    </w:p>
    <w:p w14:paraId="1D51EEE2" w14:textId="78CBA313" w:rsidR="00E94ED9" w:rsidRDefault="00E94ED9" w:rsidP="004663C4">
      <w:pPr>
        <w:pStyle w:val="TableTitle"/>
        <w:rPr>
          <w:lang w:eastAsia="ja-JP"/>
        </w:rPr>
      </w:pPr>
      <w:r>
        <w:rPr>
          <w:lang w:eastAsia="ja-JP"/>
        </w:rPr>
        <w:lastRenderedPageBreak/>
        <w:t xml:space="preserve">Table </w:t>
      </w:r>
      <w:r w:rsidR="007020B9">
        <w:rPr>
          <w:lang w:eastAsia="ja-JP"/>
        </w:rPr>
        <w:t>4</w:t>
      </w:r>
      <w:r w:rsidR="00865BC5">
        <w:rPr>
          <w:lang w:eastAsia="ja-JP"/>
        </w:rPr>
        <w:t>8</w:t>
      </w:r>
      <w:r>
        <w:rPr>
          <w:lang w:eastAsia="ja-JP"/>
        </w:rPr>
        <w:t>: Live birth outcomes in maternal gestational age at vaccination of 24 to &lt;32 weeks - infant participants – safety population</w:t>
      </w:r>
      <w:r w:rsidR="007020B9">
        <w:rPr>
          <w:lang w:eastAsia="ja-JP"/>
        </w:rPr>
        <w:t>.</w:t>
      </w:r>
    </w:p>
    <w:p w14:paraId="6B461D3B" w14:textId="77777777" w:rsidR="00E94ED9" w:rsidRDefault="00E94ED9" w:rsidP="004663C4">
      <w:pPr>
        <w:rPr>
          <w:lang w:eastAsia="ja-JP"/>
        </w:rPr>
      </w:pPr>
      <w:r>
        <w:rPr>
          <w:noProof/>
        </w:rPr>
        <w:drawing>
          <wp:anchor distT="0" distB="0" distL="114300" distR="114300" simplePos="0" relativeHeight="251658242" behindDoc="0" locked="0" layoutInCell="1" allowOverlap="1" wp14:anchorId="58389692" wp14:editId="58ECAD58">
            <wp:simplePos x="0" y="0"/>
            <wp:positionH relativeFrom="margin">
              <wp:align>right</wp:align>
            </wp:positionH>
            <wp:positionV relativeFrom="paragraph">
              <wp:posOffset>3604260</wp:posOffset>
            </wp:positionV>
            <wp:extent cx="5759450" cy="2501265"/>
            <wp:effectExtent l="0" t="0" r="0" b="0"/>
            <wp:wrapTopAndBottom/>
            <wp:docPr id="925891588" name="Picture 925891588" descr="Table 48: Live birth outcomes in maternal gestational age at vaccination of 24 to &lt;32 weeks - infant participant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91588" name="Picture 925891588" descr="Table 48: Live birth outcomes in maternal gestational age at vaccination of 24 to &lt;32 weeks - infant participants – safety population."/>
                    <pic:cNvPicPr/>
                  </pic:nvPicPr>
                  <pic:blipFill rotWithShape="1">
                    <a:blip r:embed="rId87" cstate="print">
                      <a:extLst>
                        <a:ext uri="{28A0092B-C50C-407E-A947-70E740481C1C}">
                          <a14:useLocalDpi xmlns:a14="http://schemas.microsoft.com/office/drawing/2010/main" val="0"/>
                        </a:ext>
                      </a:extLst>
                    </a:blip>
                    <a:srcRect b="9579"/>
                    <a:stretch/>
                  </pic:blipFill>
                  <pic:spPr bwMode="auto">
                    <a:xfrm>
                      <a:off x="0" y="0"/>
                      <a:ext cx="5759450" cy="25016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inline distT="0" distB="0" distL="0" distR="0" wp14:anchorId="175C95D5" wp14:editId="2C933F0E">
            <wp:extent cx="5759450" cy="3554586"/>
            <wp:effectExtent l="0" t="0" r="0" b="8255"/>
            <wp:docPr id="925891587" name="Picture 925891587" descr="Table 48: Live birth outcomes in maternal gestational age at vaccination of 24 to &lt;32 weeks - infant participant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91587" name="Picture 925891587" descr="Table 48: Live birth outcomes in maternal gestational age at vaccination of 24 to &lt;32 weeks - infant participants – safety population."/>
                    <pic:cNvPicPr/>
                  </pic:nvPicPr>
                  <pic:blipFill rotWithShape="1">
                    <a:blip r:embed="rId88"/>
                    <a:srcRect l="150" t="8581"/>
                    <a:stretch/>
                  </pic:blipFill>
                  <pic:spPr bwMode="auto">
                    <a:xfrm>
                      <a:off x="0" y="0"/>
                      <a:ext cx="5759450" cy="3554586"/>
                    </a:xfrm>
                    <a:prstGeom prst="rect">
                      <a:avLst/>
                    </a:prstGeom>
                    <a:ln>
                      <a:noFill/>
                    </a:ln>
                    <a:extLst>
                      <a:ext uri="{53640926-AAD7-44D8-BBD7-CCE9431645EC}">
                        <a14:shadowObscured xmlns:a14="http://schemas.microsoft.com/office/drawing/2010/main"/>
                      </a:ext>
                    </a:extLst>
                  </pic:spPr>
                </pic:pic>
              </a:graphicData>
            </a:graphic>
          </wp:inline>
        </w:drawing>
      </w:r>
    </w:p>
    <w:p w14:paraId="7BDC450F" w14:textId="77777777" w:rsidR="00E94ED9" w:rsidRDefault="00E94ED9" w:rsidP="00E94ED9">
      <w:pPr>
        <w:rPr>
          <w:lang w:eastAsia="ja-JP"/>
        </w:rPr>
      </w:pPr>
    </w:p>
    <w:p w14:paraId="0C9C6C0A" w14:textId="12D84A79" w:rsidR="00E94ED9" w:rsidRDefault="00E94ED9" w:rsidP="004663C4">
      <w:pPr>
        <w:pStyle w:val="TableTitle"/>
        <w:rPr>
          <w:lang w:eastAsia="ja-JP"/>
        </w:rPr>
      </w:pPr>
      <w:r>
        <w:rPr>
          <w:lang w:eastAsia="ja-JP"/>
        </w:rPr>
        <w:lastRenderedPageBreak/>
        <w:t xml:space="preserve">Table </w:t>
      </w:r>
      <w:r w:rsidR="00865BC5">
        <w:rPr>
          <w:lang w:eastAsia="ja-JP"/>
        </w:rPr>
        <w:t>49</w:t>
      </w:r>
      <w:r>
        <w:rPr>
          <w:lang w:eastAsia="ja-JP"/>
        </w:rPr>
        <w:t>: Live birth outcomes in maternal gestational age at vaccination of 32 to &lt;37 weeks - infant participants – safety population</w:t>
      </w:r>
      <w:r w:rsidR="007020B9">
        <w:rPr>
          <w:lang w:eastAsia="ja-JP"/>
        </w:rPr>
        <w:t>.</w:t>
      </w:r>
    </w:p>
    <w:p w14:paraId="67E975ED" w14:textId="77777777" w:rsidR="00E94ED9" w:rsidRDefault="00E94ED9" w:rsidP="004663C4">
      <w:pPr>
        <w:rPr>
          <w:lang w:eastAsia="ja-JP"/>
        </w:rPr>
      </w:pPr>
      <w:r>
        <w:rPr>
          <w:noProof/>
        </w:rPr>
        <w:drawing>
          <wp:inline distT="0" distB="0" distL="0" distR="0" wp14:anchorId="754FB453" wp14:editId="79D3392F">
            <wp:extent cx="5759450" cy="3581364"/>
            <wp:effectExtent l="0" t="0" r="0" b="635"/>
            <wp:docPr id="925891589" name="Picture 925891589" descr="Table 49: Live birth outcomes in maternal gestational age at vaccination of 32 to &lt;37 weeks - infant participant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91589" name="Picture 925891589" descr="Table 49: Live birth outcomes in maternal gestational age at vaccination of 32 to &lt;37 weeks - infant participants – safety population."/>
                    <pic:cNvPicPr/>
                  </pic:nvPicPr>
                  <pic:blipFill rotWithShape="1">
                    <a:blip r:embed="rId89"/>
                    <a:srcRect t="7980"/>
                    <a:stretch/>
                  </pic:blipFill>
                  <pic:spPr bwMode="auto">
                    <a:xfrm>
                      <a:off x="0" y="0"/>
                      <a:ext cx="5759450" cy="3581364"/>
                    </a:xfrm>
                    <a:prstGeom prst="rect">
                      <a:avLst/>
                    </a:prstGeom>
                    <a:ln>
                      <a:noFill/>
                    </a:ln>
                    <a:extLst>
                      <a:ext uri="{53640926-AAD7-44D8-BBD7-CCE9431645EC}">
                        <a14:shadowObscured xmlns:a14="http://schemas.microsoft.com/office/drawing/2010/main"/>
                      </a:ext>
                    </a:extLst>
                  </pic:spPr>
                </pic:pic>
              </a:graphicData>
            </a:graphic>
          </wp:inline>
        </w:drawing>
      </w:r>
    </w:p>
    <w:p w14:paraId="2E154E40" w14:textId="025DEB14" w:rsidR="00E94ED9" w:rsidRPr="008412B7" w:rsidRDefault="00E94ED9" w:rsidP="004663C4">
      <w:r>
        <w:rPr>
          <w:noProof/>
        </w:rPr>
        <w:drawing>
          <wp:inline distT="0" distB="0" distL="0" distR="0" wp14:anchorId="77B2ECC6" wp14:editId="0B16484C">
            <wp:extent cx="5759450" cy="2311879"/>
            <wp:effectExtent l="0" t="0" r="0" b="0"/>
            <wp:docPr id="925891590" name="Picture 925891590" descr="Table 49: Live birth outcomes in maternal gestational age at vaccination of 32 to &lt;37 weeks - infant participant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91590" name="Picture 925891590" descr="Table 49: Live birth outcomes in maternal gestational age at vaccination of 32 to &lt;37 weeks - infant participants – safety population."/>
                    <pic:cNvPicPr/>
                  </pic:nvPicPr>
                  <pic:blipFill rotWithShape="1">
                    <a:blip r:embed="rId90"/>
                    <a:srcRect b="9681"/>
                    <a:stretch/>
                  </pic:blipFill>
                  <pic:spPr bwMode="auto">
                    <a:xfrm>
                      <a:off x="0" y="0"/>
                      <a:ext cx="5759450" cy="2311879"/>
                    </a:xfrm>
                    <a:prstGeom prst="rect">
                      <a:avLst/>
                    </a:prstGeom>
                    <a:ln>
                      <a:noFill/>
                    </a:ln>
                    <a:extLst>
                      <a:ext uri="{53640926-AAD7-44D8-BBD7-CCE9431645EC}">
                        <a14:shadowObscured xmlns:a14="http://schemas.microsoft.com/office/drawing/2010/main"/>
                      </a:ext>
                    </a:extLst>
                  </pic:spPr>
                </pic:pic>
              </a:graphicData>
            </a:graphic>
          </wp:inline>
        </w:drawing>
      </w:r>
    </w:p>
    <w:p w14:paraId="318CFABC" w14:textId="77777777" w:rsidR="00C22214" w:rsidRPr="00F73346" w:rsidRDefault="00C22214" w:rsidP="00C22214">
      <w:pPr>
        <w:pStyle w:val="Heading4"/>
      </w:pPr>
      <w:bookmarkStart w:id="67" w:name="_Toc98931936"/>
      <w:bookmarkStart w:id="68" w:name="_Toc165552536"/>
      <w:bookmarkStart w:id="69" w:name="_Toc247691532"/>
      <w:bookmarkStart w:id="70" w:name="_Toc314842516"/>
      <w:r w:rsidRPr="00F73346">
        <w:t>Advisory Committee considerations</w:t>
      </w:r>
      <w:bookmarkEnd w:id="67"/>
      <w:bookmarkEnd w:id="68"/>
    </w:p>
    <w:p w14:paraId="087BB9CB" w14:textId="622EBBB1" w:rsidR="00C22214" w:rsidRPr="008412B7" w:rsidRDefault="00C22214" w:rsidP="008412B7">
      <w:r w:rsidRPr="008412B7">
        <w:t xml:space="preserve">The </w:t>
      </w:r>
      <w:hyperlink r:id="rId91" w:history="1">
        <w:r w:rsidR="0025184B" w:rsidRPr="00BD5DBD">
          <w:rPr>
            <w:rStyle w:val="Hyperlink"/>
            <w:szCs w:val="22"/>
          </w:rPr>
          <w:t>Advisory Committee on Vaccines (ACV)</w:t>
        </w:r>
      </w:hyperlink>
      <w:r w:rsidR="0025184B" w:rsidRPr="00BD5DBD">
        <w:rPr>
          <w:szCs w:val="22"/>
        </w:rPr>
        <w:t>,</w:t>
      </w:r>
      <w:r w:rsidRPr="008412B7">
        <w:t xml:space="preserve"> having considered the evaluations and the Delegate’s overview, as well as the sponsor’s response to these documents, advised the following.</w:t>
      </w:r>
    </w:p>
    <w:p w14:paraId="0D935CC4" w14:textId="77777777" w:rsidR="00C22214" w:rsidRPr="00F73346" w:rsidRDefault="00C22214" w:rsidP="004663C4">
      <w:pPr>
        <w:pStyle w:val="Heading5"/>
        <w:pageBreakBefore/>
      </w:pPr>
      <w:r w:rsidRPr="00F73346">
        <w:lastRenderedPageBreak/>
        <w:t>Specific advice to the Delegate</w:t>
      </w:r>
    </w:p>
    <w:p w14:paraId="29223CDE" w14:textId="77777777" w:rsidR="00A1241A" w:rsidRPr="008412B7" w:rsidRDefault="00A1241A" w:rsidP="008412B7">
      <w:r w:rsidRPr="008412B7">
        <w:t>The ACV advised the following in response to the Delegate’s specific request for advice:</w:t>
      </w:r>
    </w:p>
    <w:p w14:paraId="2185EACA" w14:textId="77777777" w:rsidR="00A1241A" w:rsidRPr="008412B7" w:rsidRDefault="00A1241A" w:rsidP="008412B7">
      <w:pPr>
        <w:pStyle w:val="Numberbullet0"/>
        <w:numPr>
          <w:ilvl w:val="0"/>
          <w:numId w:val="30"/>
        </w:numPr>
        <w:rPr>
          <w:b/>
          <w:bCs/>
          <w:i/>
          <w:iCs/>
        </w:rPr>
      </w:pPr>
      <w:r w:rsidRPr="008412B7">
        <w:rPr>
          <w:b/>
          <w:bCs/>
          <w:i/>
          <w:iCs/>
        </w:rPr>
        <w:t>The ACV is requested to advise on the optimal timing of Abrysvo for antenatal vaccination in relation to the gestational age for prevention of RSV disease in infants.</w:t>
      </w:r>
    </w:p>
    <w:p w14:paraId="298D0E91" w14:textId="77777777" w:rsidR="00A1241A" w:rsidRPr="0025184B" w:rsidRDefault="00A1241A" w:rsidP="0025184B">
      <w:r w:rsidRPr="0025184B">
        <w:t>The ACV advised that data support that the optimal timing for administration commences from 28 weeks gestational age with respect to vaccine efficacy. Administration from 24 weeks can be considered for exceptional circumstances, but as vaccine effectiveness appeared lower when administered at 24-28 weeks, there was discussion that approving administration to this earlier gestational age may lead to unexpected negative outcomes (reduced efficacy and potential for temporal association with preterm labour) if pregnant women are routinely vaccinated at 24-28 weeks gestation.</w:t>
      </w:r>
    </w:p>
    <w:p w14:paraId="23749995" w14:textId="77777777" w:rsidR="00A1241A" w:rsidRPr="0025184B" w:rsidRDefault="00A1241A" w:rsidP="0025184B">
      <w:r w:rsidRPr="0025184B">
        <w:t>The ACV advised that although optimal timing extends to 36 weeks gestational age, later administration may occur if missed in the optimal gestational window and could still offer benefit if adequate time to delivery occurs to allow maternal immune response and transplacental antibody transfer. The ACV did not feel there were safety reasons if the vaccine was administered closer to full-term. In the pivotal study few women were administered the vaccine beyond 36 weeks gestational age and vaccine efficacy was unable to be calculated.</w:t>
      </w:r>
    </w:p>
    <w:p w14:paraId="4B34B8DA" w14:textId="0730E48D" w:rsidR="00A1241A" w:rsidRPr="0025184B" w:rsidRDefault="00A1241A" w:rsidP="0025184B">
      <w:r w:rsidRPr="0025184B">
        <w:t>The ACV noted the lower effectiveness of protection for infants whose mothers were vaccinated earlier in pregnancy. Protection of infants to 6 months of age against severe medically-attended LRTIs due to RSV (vaccine efficacy) was 64.6% (95% CI: −19.4, 91.8) for mothers vaccinated at ≥24 to &lt;28 weeks gestational age, increasing to 90.6 % (95% CI: 35.0, 99.8) for mother</w:t>
      </w:r>
      <w:r w:rsidR="0025184B">
        <w:t>s</w:t>
      </w:r>
      <w:r w:rsidRPr="0025184B">
        <w:t xml:space="preserve"> vaccinated at ≥28 to &lt;32 weeks gestational age and 91.1 % (95% CI: 38.8, 99.8) for mothers vaccinated at ≥32 to &lt;36 weeks gestational age. The Product Information should include the stratified analysis of vaccine efficacy (VE) based on gestational age at time of maternal vaccination, and clarity that vaccination should not routinely be provided at 24-28 weeks gestational age as vaccine effectiveness appeared lower when administered at 24-28 weeks.</w:t>
      </w:r>
    </w:p>
    <w:p w14:paraId="40A4673A" w14:textId="29A06DCC" w:rsidR="00A1241A" w:rsidRPr="0025184B" w:rsidRDefault="00A1241A" w:rsidP="0025184B">
      <w:r w:rsidRPr="0025184B">
        <w:t>An overall imbalance in infants born before 37 weeks of gestation (5.6%) compared to infants born at or after 37 weeks of gestation (4.7%) in vaccinated v</w:t>
      </w:r>
      <w:r w:rsidR="0025184B">
        <w:t>ersu</w:t>
      </w:r>
      <w:r w:rsidRPr="0025184B">
        <w:t>s placebo groups respectively was reported in the maternal study. This small increase in relative risk was not statistically significant.</w:t>
      </w:r>
    </w:p>
    <w:p w14:paraId="7E18E259" w14:textId="4B9FB48F" w:rsidR="00A1241A" w:rsidRPr="0025184B" w:rsidRDefault="00A1241A" w:rsidP="0025184B">
      <w:r w:rsidRPr="0025184B">
        <w:t xml:space="preserve">Maternal RSV neutralising antibody titres peaked at </w:t>
      </w:r>
      <w:r w:rsidR="0025184B">
        <w:t>two</w:t>
      </w:r>
      <w:r w:rsidR="0025184B" w:rsidRPr="0025184B">
        <w:t xml:space="preserve"> </w:t>
      </w:r>
      <w:r w:rsidRPr="0025184B">
        <w:t xml:space="preserve">weeks after vaccination and were maintained to </w:t>
      </w:r>
      <w:r w:rsidR="0025184B">
        <w:t>six</w:t>
      </w:r>
      <w:r w:rsidR="0025184B" w:rsidRPr="0025184B">
        <w:t> </w:t>
      </w:r>
      <w:r w:rsidRPr="0025184B">
        <w:t>months post-vaccination.</w:t>
      </w:r>
    </w:p>
    <w:p w14:paraId="1BB07F13" w14:textId="48DEB574" w:rsidR="00A1241A" w:rsidRPr="0025184B" w:rsidRDefault="00A1241A" w:rsidP="0025184B">
      <w:r w:rsidRPr="0025184B">
        <w:t xml:space="preserve">Infant RSV neutralising antibody titres decreased progressively from birth to </w:t>
      </w:r>
      <w:r w:rsidR="0025184B">
        <w:t>six</w:t>
      </w:r>
      <w:r w:rsidR="0025184B" w:rsidRPr="0025184B">
        <w:t xml:space="preserve"> </w:t>
      </w:r>
      <w:r w:rsidRPr="0025184B">
        <w:t>months.</w:t>
      </w:r>
    </w:p>
    <w:p w14:paraId="5D07B06D" w14:textId="04769BB9" w:rsidR="00A1241A" w:rsidRPr="0025184B" w:rsidRDefault="00A1241A" w:rsidP="0025184B">
      <w:r w:rsidRPr="0025184B">
        <w:t xml:space="preserve">Pertussis vaccination (as reduced antigen diphtheria-tetanus-acellular pertussis, </w:t>
      </w:r>
      <w:r w:rsidR="00CF1C64">
        <w:t>Tdap</w:t>
      </w:r>
      <w:r w:rsidRPr="0025184B">
        <w:t xml:space="preserve">) is recommended in Australia in pregnancy from 20 to 32 weeks gestational age. As </w:t>
      </w:r>
      <w:r w:rsidR="00CF1C64">
        <w:t>Tdap</w:t>
      </w:r>
      <w:r w:rsidRPr="0025184B">
        <w:t xml:space="preserve"> is administered primarily for protection of mother and young infant from pertussis, the Product Information should give more emphasis on the lower immune response to the pertussis antigen when </w:t>
      </w:r>
      <w:r w:rsidR="00CF1C64">
        <w:t>Tdap</w:t>
      </w:r>
      <w:r w:rsidRPr="0025184B">
        <w:t xml:space="preserve"> and Abrysvo are co</w:t>
      </w:r>
      <w:r w:rsidR="007020B9">
        <w:t>-</w:t>
      </w:r>
      <w:r w:rsidRPr="0025184B">
        <w:t xml:space="preserve">administered. The ACV advised that at least </w:t>
      </w:r>
      <w:r w:rsidR="0025184B">
        <w:t>two</w:t>
      </w:r>
      <w:r w:rsidRPr="0025184B">
        <w:t xml:space="preserve"> weeks could ideally elapse between administration of </w:t>
      </w:r>
      <w:r w:rsidR="00CF1C64">
        <w:t>Tdap</w:t>
      </w:r>
      <w:r w:rsidRPr="0025184B">
        <w:t xml:space="preserve"> and Abrysvo.</w:t>
      </w:r>
    </w:p>
    <w:p w14:paraId="0B082C1A" w14:textId="77777777" w:rsidR="00A1241A" w:rsidRPr="008412B7" w:rsidRDefault="00A1241A" w:rsidP="008412B7">
      <w:pPr>
        <w:pStyle w:val="Numberbullet0"/>
        <w:rPr>
          <w:b/>
          <w:bCs/>
          <w:i/>
          <w:iCs/>
        </w:rPr>
      </w:pPr>
      <w:r w:rsidRPr="008412B7">
        <w:rPr>
          <w:b/>
          <w:bCs/>
          <w:i/>
          <w:iCs/>
        </w:rPr>
        <w:t>The ACV is requested to advise on the suitability of approval of Abrysvo for vaccination in older adults given the modest efficacy and potentially lower effectiveness in the Indigenous Australian population.</w:t>
      </w:r>
    </w:p>
    <w:p w14:paraId="5390A781" w14:textId="256B93C7" w:rsidR="00A1241A" w:rsidRPr="008412B7" w:rsidRDefault="00A1241A" w:rsidP="008412B7">
      <w:r w:rsidRPr="008412B7">
        <w:lastRenderedPageBreak/>
        <w:t xml:space="preserve">The ACV advised that the vaccine efficacy of a single 120 microgram dose of Abrysvo is clinically useful. Vaccine efficacy in older adults was 85.7% (96.66% CI: 32.0, 98.7) against RSV confirmed LRTI with at least </w:t>
      </w:r>
      <w:r w:rsidR="0025184B">
        <w:t>three</w:t>
      </w:r>
      <w:r w:rsidRPr="008412B7">
        <w:t xml:space="preserve"> signs or symptoms, over a follow-up period of about </w:t>
      </w:r>
      <w:r w:rsidR="0025184B">
        <w:t>six</w:t>
      </w:r>
      <w:r w:rsidR="0025184B" w:rsidRPr="008412B7">
        <w:t xml:space="preserve"> </w:t>
      </w:r>
      <w:r w:rsidRPr="008412B7">
        <w:t>months.</w:t>
      </w:r>
    </w:p>
    <w:p w14:paraId="6F76D355" w14:textId="77777777" w:rsidR="00A1241A" w:rsidRPr="008412B7" w:rsidRDefault="00A1241A" w:rsidP="008412B7">
      <w:r w:rsidRPr="008412B7">
        <w:t>The clinical studies included good representations of people with chronic illnesses.</w:t>
      </w:r>
    </w:p>
    <w:p w14:paraId="3C964B0E" w14:textId="2B10FCF4" w:rsidR="00A1241A" w:rsidRPr="008412B7" w:rsidRDefault="00A1241A" w:rsidP="008412B7">
      <w:r w:rsidRPr="008412B7">
        <w:t xml:space="preserve">The safety profile appears acceptable </w:t>
      </w:r>
      <w:proofErr w:type="gramStart"/>
      <w:r w:rsidRPr="008412B7">
        <w:t>at this time</w:t>
      </w:r>
      <w:proofErr w:type="gramEnd"/>
      <w:r w:rsidRPr="008412B7">
        <w:t>, with surveillance and further studies to address any link with GBS and immune</w:t>
      </w:r>
      <w:r w:rsidR="0025184B">
        <w:t>-</w:t>
      </w:r>
      <w:r w:rsidRPr="008412B7">
        <w:t>mediated disease.</w:t>
      </w:r>
    </w:p>
    <w:p w14:paraId="6CCA3691" w14:textId="77777777" w:rsidR="00A1241A" w:rsidRPr="008412B7" w:rsidRDefault="00A1241A" w:rsidP="008412B7">
      <w:r w:rsidRPr="008412B7">
        <w:t>The pivotal study C3671013 in older adults did not include Australian study sites. Subgroup analyses of efficacy by demographic baseline characteristics, including race, ethnicity, age and prespecified significant medical conditions, did not identify clinically meaningful differences from the main analyses or between subgroups, noting wide confidence intervals where the number of participants or cases of RSV infection were few.</w:t>
      </w:r>
    </w:p>
    <w:p w14:paraId="249C5AC1" w14:textId="11E77480" w:rsidR="00A1241A" w:rsidRPr="008412B7" w:rsidRDefault="00A1241A" w:rsidP="008412B7">
      <w:r w:rsidRPr="008412B7">
        <w:t>Study C3671006 study to evaluate RSVpreF coadministration with seasonal inactivated influenza vaccine was conducted in over 1</w:t>
      </w:r>
      <w:r w:rsidR="0025184B">
        <w:t>,</w:t>
      </w:r>
      <w:r w:rsidRPr="008412B7">
        <w:t xml:space="preserve">400 Australian adults 65 years of age and older, including </w:t>
      </w:r>
      <w:r w:rsidR="0025184B">
        <w:t>nine</w:t>
      </w:r>
      <w:r w:rsidRPr="008412B7">
        <w:t xml:space="preserve"> participants who were Aboriginal or Torres Strait Islander people. Overall, robust immune responses to RSVpreF were demonstrated in an Australian population with RSV</w:t>
      </w:r>
      <w:r w:rsidRPr="008412B7">
        <w:noBreakHyphen/>
        <w:t>A and RSV</w:t>
      </w:r>
      <w:r w:rsidRPr="008412B7">
        <w:noBreakHyphen/>
        <w:t xml:space="preserve">B </w:t>
      </w:r>
      <w:r w:rsidR="0025184B" w:rsidRPr="008412B7">
        <w:t>neutrali</w:t>
      </w:r>
      <w:r w:rsidR="0025184B">
        <w:t>s</w:t>
      </w:r>
      <w:r w:rsidR="0025184B" w:rsidRPr="008412B7">
        <w:t xml:space="preserve">ing </w:t>
      </w:r>
      <w:r w:rsidRPr="008412B7">
        <w:t>titre geometric mean fold rise above</w:t>
      </w:r>
      <w:r w:rsidR="0025184B">
        <w:t xml:space="preserve"> </w:t>
      </w:r>
      <w:r w:rsidRPr="00D340C3">
        <w:t>10</w:t>
      </w:r>
      <w:r w:rsidRPr="008412B7">
        <w:t>, consistent with the immune responses observed in the global pivotal efficacy study C3671013. Findings in Black or African American people do not necessarily imply that Indigenous Australians will also have lower protection than other Australians.</w:t>
      </w:r>
    </w:p>
    <w:p w14:paraId="1D525E2E" w14:textId="77777777" w:rsidR="00A1241A" w:rsidRPr="008412B7" w:rsidRDefault="00A1241A" w:rsidP="008412B7">
      <w:pPr>
        <w:pStyle w:val="Numberbullet0"/>
        <w:rPr>
          <w:b/>
          <w:bCs/>
          <w:i/>
          <w:iCs/>
        </w:rPr>
      </w:pPr>
      <w:r w:rsidRPr="008412B7">
        <w:rPr>
          <w:b/>
          <w:bCs/>
          <w:i/>
          <w:iCs/>
        </w:rPr>
        <w:t>The ACV is requested to provide advice on any additional matter it considers relevant to this submission.</w:t>
      </w:r>
    </w:p>
    <w:p w14:paraId="7BF3C9CC" w14:textId="7F5D483F" w:rsidR="00A1241A" w:rsidRPr="008412B7" w:rsidRDefault="00A1241A" w:rsidP="008412B7">
      <w:r w:rsidRPr="008412B7">
        <w:t>Concomitant vaccination using any new vaccine in vulnerable populations (older adults, pregnant women) can make post-market monitoring and attribution of adverse effects to Abrysvo more difficult to confirm. Hence suitable proposals for active surveillance, that compare adverse events following immunisation with concomitant and non-concomitant vaccination are highly recommended.</w:t>
      </w:r>
    </w:p>
    <w:p w14:paraId="52919510" w14:textId="5FFA4F14" w:rsidR="00A1241A" w:rsidRPr="008412B7" w:rsidRDefault="00A1241A" w:rsidP="008412B7">
      <w:r w:rsidRPr="008412B7">
        <w:t>The ACV noted the US</w:t>
      </w:r>
      <w:r w:rsidR="00900FD7">
        <w:t>A</w:t>
      </w:r>
      <w:r w:rsidRPr="008412B7">
        <w:t xml:space="preserve"> experience </w:t>
      </w:r>
      <w:r w:rsidRPr="00254427">
        <w:t>of inappropriate administration</w:t>
      </w:r>
      <w:r w:rsidRPr="008412B7">
        <w:t xml:space="preserve"> to children of RSV vaccines that have no paediatric indication. Additional effort to reduce vaccination errors should be further considered. The Product Information should explicitly state that Abrysvo is not approved for use in infants and children.</w:t>
      </w:r>
    </w:p>
    <w:p w14:paraId="36106DB1" w14:textId="77777777" w:rsidR="00A1241A" w:rsidRPr="008412B7" w:rsidRDefault="00A1241A" w:rsidP="008412B7">
      <w:r w:rsidRPr="008412B7">
        <w:t xml:space="preserve">There were too few premature infants to explore with precision efficacy for infants born before 37 weeks gestational age. Areas of additional study should include outcomes in premature infants, the timing and effect on efficacy of other vaccines administered during pregnancy, pregnancies with </w:t>
      </w:r>
      <w:proofErr w:type="gramStart"/>
      <w:r w:rsidRPr="008412B7">
        <w:t>complications;</w:t>
      </w:r>
      <w:proofErr w:type="gramEnd"/>
      <w:r w:rsidRPr="008412B7">
        <w:t xml:space="preserve"> and efficacy in Indigenous Australians.</w:t>
      </w:r>
    </w:p>
    <w:p w14:paraId="2F4CE1D7" w14:textId="017E370E" w:rsidR="00A1241A" w:rsidRPr="008412B7" w:rsidRDefault="00A1241A" w:rsidP="008412B7">
      <w:r w:rsidRPr="008412B7">
        <w:t xml:space="preserve">The ACV noted that Study C3671013 clinical study report including the entire </w:t>
      </w:r>
      <w:r w:rsidR="00A4308A">
        <w:t>s</w:t>
      </w:r>
      <w:r w:rsidRPr="008412B7">
        <w:t>eason 2 data will be submitted to the TGA in 2024.</w:t>
      </w:r>
    </w:p>
    <w:p w14:paraId="3380B3F9" w14:textId="77777777" w:rsidR="00A1241A" w:rsidRPr="008412B7" w:rsidRDefault="00A1241A" w:rsidP="008412B7">
      <w:r w:rsidRPr="008412B7">
        <w:t xml:space="preserve">The ACV agreed that Abrysvo </w:t>
      </w:r>
      <w:bookmarkStart w:id="71" w:name="_Hlk159236604"/>
      <w:r w:rsidRPr="008412B7">
        <w:t>should be used in accordance with official recommendations</w:t>
      </w:r>
      <w:bookmarkEnd w:id="71"/>
      <w:r w:rsidRPr="008412B7">
        <w:t>.</w:t>
      </w:r>
    </w:p>
    <w:p w14:paraId="5291EA2A" w14:textId="77777777" w:rsidR="00C22214" w:rsidRPr="00F73346" w:rsidRDefault="00C22214" w:rsidP="00C22214">
      <w:pPr>
        <w:pStyle w:val="Heading5"/>
      </w:pPr>
      <w:r w:rsidRPr="00F73346">
        <w:t>Conclusion</w:t>
      </w:r>
    </w:p>
    <w:p w14:paraId="6BB15943" w14:textId="77777777" w:rsidR="00C0037E" w:rsidRPr="008412B7" w:rsidRDefault="00C0037E" w:rsidP="008412B7">
      <w:r w:rsidRPr="008412B7">
        <w:t>The ACV considered this vaccine to have an overall positive benefit-risk profile for the indication:</w:t>
      </w:r>
    </w:p>
    <w:p w14:paraId="0DBA50A3" w14:textId="301D1459" w:rsidR="00C0037E" w:rsidRPr="008412B7" w:rsidRDefault="0025184B" w:rsidP="008412B7">
      <w:pPr>
        <w:ind w:left="360"/>
        <w:rPr>
          <w:i/>
          <w:iCs/>
        </w:rPr>
      </w:pPr>
      <w:r w:rsidRPr="008412B7">
        <w:rPr>
          <w:i/>
          <w:iCs/>
        </w:rPr>
        <w:t>A</w:t>
      </w:r>
      <w:r>
        <w:rPr>
          <w:i/>
          <w:iCs/>
        </w:rPr>
        <w:t>brysvo</w:t>
      </w:r>
      <w:r w:rsidRPr="008412B7">
        <w:rPr>
          <w:i/>
          <w:iCs/>
        </w:rPr>
        <w:t xml:space="preserve"> </w:t>
      </w:r>
      <w:r w:rsidR="00C0037E" w:rsidRPr="008412B7">
        <w:rPr>
          <w:i/>
          <w:iCs/>
        </w:rPr>
        <w:t>is indicated for:</w:t>
      </w:r>
    </w:p>
    <w:p w14:paraId="2DF8AC2C" w14:textId="77777777" w:rsidR="008412B7" w:rsidRPr="008412B7" w:rsidRDefault="00C0037E" w:rsidP="008412B7">
      <w:pPr>
        <w:pStyle w:val="ListBullet"/>
        <w:ind w:left="720"/>
        <w:rPr>
          <w:i/>
          <w:iCs/>
        </w:rPr>
      </w:pPr>
      <w:r w:rsidRPr="008412B7">
        <w:rPr>
          <w:i/>
          <w:iCs/>
        </w:rPr>
        <w:lastRenderedPageBreak/>
        <w:t>Active immunisation of pregnant women between 24-36 weeks of gestation for prevention of lower respiratory tract disease caused by respiratory syncytial virus (RSV) in infants from birth through 6 months of age.</w:t>
      </w:r>
    </w:p>
    <w:p w14:paraId="68B458F6" w14:textId="041B7F8B" w:rsidR="00C0037E" w:rsidRPr="008412B7" w:rsidRDefault="00C0037E" w:rsidP="008412B7">
      <w:pPr>
        <w:pStyle w:val="ListBullet"/>
        <w:ind w:left="720"/>
        <w:rPr>
          <w:i/>
          <w:iCs/>
        </w:rPr>
      </w:pPr>
      <w:r w:rsidRPr="008412B7">
        <w:rPr>
          <w:i/>
          <w:iCs/>
        </w:rPr>
        <w:t>Active immunisation of individuals 60 years of age and above for prevention of lower respiratory tract disease caused by respiratory syncytial virus (RSV).</w:t>
      </w:r>
    </w:p>
    <w:p w14:paraId="69C5D1D2" w14:textId="66A26363" w:rsidR="00C0037E" w:rsidRPr="008412B7" w:rsidRDefault="0025184B" w:rsidP="008412B7">
      <w:pPr>
        <w:ind w:left="360"/>
        <w:rPr>
          <w:i/>
          <w:iCs/>
        </w:rPr>
      </w:pPr>
      <w:r w:rsidRPr="008412B7">
        <w:rPr>
          <w:i/>
          <w:iCs/>
        </w:rPr>
        <w:t>A</w:t>
      </w:r>
      <w:r>
        <w:rPr>
          <w:i/>
          <w:iCs/>
        </w:rPr>
        <w:t>brysvo</w:t>
      </w:r>
      <w:r w:rsidR="00C0037E" w:rsidRPr="008412B7">
        <w:rPr>
          <w:i/>
          <w:iCs/>
        </w:rPr>
        <w:t xml:space="preserve"> should be used in accordance with official recommendations.</w:t>
      </w:r>
    </w:p>
    <w:p w14:paraId="307F236C" w14:textId="77777777" w:rsidR="00C22214" w:rsidRPr="002E238E" w:rsidRDefault="00C22214" w:rsidP="00C22214">
      <w:pPr>
        <w:pStyle w:val="Heading2"/>
      </w:pPr>
      <w:bookmarkStart w:id="72" w:name="_Toc103679300"/>
      <w:bookmarkStart w:id="73" w:name="_Toc165552537"/>
      <w:r>
        <w:t>Outcome</w:t>
      </w:r>
      <w:bookmarkEnd w:id="69"/>
      <w:bookmarkEnd w:id="70"/>
      <w:bookmarkEnd w:id="72"/>
      <w:bookmarkEnd w:id="73"/>
    </w:p>
    <w:p w14:paraId="4EF22939" w14:textId="75F0A7B8" w:rsidR="00C22214" w:rsidRPr="008412B7" w:rsidRDefault="00C22214" w:rsidP="008412B7">
      <w:r w:rsidRPr="008412B7">
        <w:t xml:space="preserve">Based on a review of quality, safety, and efficacy, the TGA </w:t>
      </w:r>
      <w:r w:rsidR="00B46DFB" w:rsidRPr="008412B7">
        <w:t>decided to</w:t>
      </w:r>
      <w:r w:rsidRPr="008412B7">
        <w:t xml:space="preserve"> regist</w:t>
      </w:r>
      <w:r w:rsidR="00B46DFB" w:rsidRPr="008412B7">
        <w:t>er</w:t>
      </w:r>
      <w:r w:rsidRPr="008412B7">
        <w:t xml:space="preserve"> </w:t>
      </w:r>
      <w:r w:rsidR="0025184B" w:rsidRPr="008412B7">
        <w:t>A</w:t>
      </w:r>
      <w:r w:rsidR="0025184B">
        <w:t>brysvo</w:t>
      </w:r>
      <w:r w:rsidR="0025184B" w:rsidRPr="008412B7">
        <w:t xml:space="preserve"> </w:t>
      </w:r>
      <w:r w:rsidR="00863FE1" w:rsidRPr="008412B7">
        <w:t>(recombinant respiratory syncytial virus pre-fusion F protein) 120 mg/0.5 mL powder for injection vial and prefilled diluent syringe</w:t>
      </w:r>
      <w:r w:rsidRPr="008412B7">
        <w:t>, indicated for:</w:t>
      </w:r>
    </w:p>
    <w:p w14:paraId="62C6D2F1" w14:textId="2C5F3AE7" w:rsidR="00825D51" w:rsidRPr="008412B7" w:rsidRDefault="0025184B" w:rsidP="008412B7">
      <w:pPr>
        <w:ind w:left="360"/>
        <w:rPr>
          <w:i/>
          <w:iCs/>
        </w:rPr>
      </w:pPr>
      <w:r w:rsidRPr="008412B7">
        <w:rPr>
          <w:i/>
          <w:iCs/>
        </w:rPr>
        <w:t>A</w:t>
      </w:r>
      <w:r>
        <w:rPr>
          <w:i/>
          <w:iCs/>
        </w:rPr>
        <w:t>brysvo</w:t>
      </w:r>
      <w:r w:rsidR="00825D51" w:rsidRPr="008412B7">
        <w:rPr>
          <w:i/>
          <w:iCs/>
        </w:rPr>
        <w:t xml:space="preserve"> is indicated for:</w:t>
      </w:r>
    </w:p>
    <w:p w14:paraId="0FFBD775" w14:textId="6CD1222C" w:rsidR="00825D51" w:rsidRPr="008412B7" w:rsidRDefault="00825D51" w:rsidP="008412B7">
      <w:pPr>
        <w:pStyle w:val="ListBullet"/>
        <w:ind w:left="720"/>
        <w:rPr>
          <w:i/>
          <w:iCs/>
        </w:rPr>
      </w:pPr>
      <w:r w:rsidRPr="008412B7">
        <w:rPr>
          <w:i/>
          <w:iCs/>
        </w:rPr>
        <w:t>Active immunisation of pregnant women between 24-36 weeks of gestation for prevention of lower respiratory tract disease caused by respiratory syncytial virus (RSV)</w:t>
      </w:r>
      <w:r w:rsidR="00A4308A">
        <w:rPr>
          <w:i/>
          <w:iCs/>
        </w:rPr>
        <w:t xml:space="preserve"> </w:t>
      </w:r>
      <w:r w:rsidRPr="008412B7">
        <w:rPr>
          <w:i/>
          <w:iCs/>
        </w:rPr>
        <w:t>in infants from birth through 6 months of age.</w:t>
      </w:r>
    </w:p>
    <w:p w14:paraId="39CCE7C8" w14:textId="2E18E3CD" w:rsidR="00067A73" w:rsidRPr="008412B7" w:rsidRDefault="00825D51" w:rsidP="008412B7">
      <w:pPr>
        <w:pStyle w:val="ListBullet"/>
        <w:ind w:left="720"/>
        <w:rPr>
          <w:i/>
          <w:iCs/>
        </w:rPr>
      </w:pPr>
      <w:r w:rsidRPr="008412B7">
        <w:rPr>
          <w:i/>
          <w:iCs/>
        </w:rPr>
        <w:t>Active immunisation of individuals 60 years of age and above for prevention of lower</w:t>
      </w:r>
      <w:r w:rsidR="00A4308A">
        <w:rPr>
          <w:i/>
          <w:iCs/>
        </w:rPr>
        <w:t xml:space="preserve"> </w:t>
      </w:r>
      <w:r w:rsidRPr="008412B7">
        <w:rPr>
          <w:i/>
          <w:iCs/>
        </w:rPr>
        <w:t>respiratory tract disease caused by respiratory syncytial virus (RSV).</w:t>
      </w:r>
    </w:p>
    <w:p w14:paraId="1B5D42C5" w14:textId="5C636989" w:rsidR="00067A73" w:rsidRPr="008412B7" w:rsidRDefault="0025184B" w:rsidP="008412B7">
      <w:pPr>
        <w:ind w:left="360"/>
        <w:rPr>
          <w:i/>
          <w:iCs/>
        </w:rPr>
      </w:pPr>
      <w:r w:rsidRPr="008412B7">
        <w:rPr>
          <w:i/>
          <w:iCs/>
        </w:rPr>
        <w:t>A</w:t>
      </w:r>
      <w:r>
        <w:rPr>
          <w:i/>
          <w:iCs/>
        </w:rPr>
        <w:t>brysvo</w:t>
      </w:r>
      <w:r w:rsidR="00825D51" w:rsidRPr="008412B7">
        <w:rPr>
          <w:i/>
          <w:iCs/>
        </w:rPr>
        <w:t xml:space="preserve"> should be used in accordance with official recommendations.</w:t>
      </w:r>
      <w:bookmarkStart w:id="74" w:name="_Toc103679301"/>
    </w:p>
    <w:p w14:paraId="0D732DA4" w14:textId="73ABA81C" w:rsidR="00854D98" w:rsidRPr="00D23139" w:rsidRDefault="00854D98" w:rsidP="00854D98">
      <w:pPr>
        <w:pStyle w:val="Heading3"/>
      </w:pPr>
      <w:bookmarkStart w:id="75" w:name="_Toc165552538"/>
      <w:r w:rsidRPr="00D23139">
        <w:t>Specific conditions of registration applying to these goods</w:t>
      </w:r>
      <w:bookmarkEnd w:id="74"/>
      <w:bookmarkEnd w:id="75"/>
    </w:p>
    <w:p w14:paraId="2BA76729" w14:textId="6ED84B93" w:rsidR="00CB6439" w:rsidRPr="008412B7" w:rsidRDefault="00BB4692" w:rsidP="008412B7">
      <w:pPr>
        <w:pStyle w:val="ListBullet"/>
      </w:pPr>
      <w:r w:rsidRPr="008412B7">
        <w:t>A</w:t>
      </w:r>
      <w:r w:rsidR="00CB6439" w:rsidRPr="008412B7">
        <w:t>brysvo</w:t>
      </w:r>
      <w:r w:rsidRPr="008412B7">
        <w:t xml:space="preserve"> (recombinant respiratory syncytial virus pre-fusion F protein) is to be</w:t>
      </w:r>
      <w:r w:rsidR="00067A73" w:rsidRPr="008412B7">
        <w:t xml:space="preserve"> </w:t>
      </w:r>
      <w:r w:rsidRPr="008412B7">
        <w:t xml:space="preserve">included in the Black Triangle Scheme. The </w:t>
      </w:r>
      <w:r w:rsidRPr="00254427">
        <w:t xml:space="preserve">PI and </w:t>
      </w:r>
      <w:r w:rsidR="00254427">
        <w:t xml:space="preserve">Consumer Medicines </w:t>
      </w:r>
      <w:r w:rsidR="00254427" w:rsidRPr="00254427">
        <w:t>Information (</w:t>
      </w:r>
      <w:r w:rsidRPr="00254427">
        <w:t>CMI</w:t>
      </w:r>
      <w:r w:rsidR="00254427" w:rsidRPr="00254427">
        <w:t>)</w:t>
      </w:r>
      <w:r w:rsidRPr="00254427">
        <w:t xml:space="preserve"> for</w:t>
      </w:r>
      <w:r w:rsidRPr="008412B7">
        <w:t xml:space="preserve"> A</w:t>
      </w:r>
      <w:r w:rsidR="00254427">
        <w:t xml:space="preserve">brysvo </w:t>
      </w:r>
      <w:r w:rsidRPr="008412B7">
        <w:t>must include the</w:t>
      </w:r>
      <w:r w:rsidR="00CB6439" w:rsidRPr="008412B7">
        <w:t xml:space="preserve"> </w:t>
      </w:r>
      <w:r w:rsidRPr="008412B7">
        <w:t>black triangle symbol and mandatory accompanying text for five years, which starts</w:t>
      </w:r>
      <w:r w:rsidR="00CB6439" w:rsidRPr="008412B7">
        <w:t xml:space="preserve"> </w:t>
      </w:r>
      <w:r w:rsidRPr="008412B7">
        <w:t>from the date of first supply of the product.</w:t>
      </w:r>
    </w:p>
    <w:p w14:paraId="4D1EB39A" w14:textId="0026E86E" w:rsidR="00C95C54" w:rsidRPr="008412B7" w:rsidRDefault="00BB4692" w:rsidP="008412B7">
      <w:pPr>
        <w:pStyle w:val="ListBullet"/>
      </w:pPr>
      <w:r w:rsidRPr="008412B7">
        <w:t xml:space="preserve">The </w:t>
      </w:r>
      <w:r w:rsidR="00CB6439" w:rsidRPr="008412B7">
        <w:t>Abrysvo</w:t>
      </w:r>
      <w:r w:rsidRPr="008412B7">
        <w:t xml:space="preserve"> EU-RMP (version 0.3, dated 27 June 2023, data</w:t>
      </w:r>
      <w:r w:rsidR="00487157">
        <w:t xml:space="preserve"> </w:t>
      </w:r>
      <w:r w:rsidRPr="008412B7">
        <w:t xml:space="preserve">lock point 2 September 2022 </w:t>
      </w:r>
      <w:r w:rsidR="00CB6439" w:rsidRPr="008412B7">
        <w:t>[</w:t>
      </w:r>
      <w:r w:rsidRPr="008412B7">
        <w:t>for</w:t>
      </w:r>
      <w:r w:rsidR="00A4308A">
        <w:t xml:space="preserve"> the</w:t>
      </w:r>
      <w:r w:rsidRPr="008412B7">
        <w:t xml:space="preserve"> maternal indication</w:t>
      </w:r>
      <w:r w:rsidR="00CB6439" w:rsidRPr="008412B7">
        <w:t xml:space="preserve">] </w:t>
      </w:r>
      <w:r w:rsidRPr="008412B7">
        <w:t xml:space="preserve">and 13 October 2022 </w:t>
      </w:r>
      <w:r w:rsidR="00CB6439" w:rsidRPr="008412B7">
        <w:t>[</w:t>
      </w:r>
      <w:r w:rsidRPr="008412B7">
        <w:t>for</w:t>
      </w:r>
      <w:r w:rsidR="00A4308A">
        <w:t xml:space="preserve"> the</w:t>
      </w:r>
      <w:r w:rsidRPr="008412B7">
        <w:t xml:space="preserve"> older</w:t>
      </w:r>
      <w:r w:rsidR="00CB6439" w:rsidRPr="008412B7">
        <w:t xml:space="preserve"> </w:t>
      </w:r>
      <w:r w:rsidRPr="008412B7">
        <w:t>adult indication</w:t>
      </w:r>
      <w:r w:rsidR="00CB6439" w:rsidRPr="008412B7">
        <w:t>]</w:t>
      </w:r>
      <w:r w:rsidRPr="008412B7">
        <w:t xml:space="preserve">), with </w:t>
      </w:r>
      <w:r w:rsidR="0025184B">
        <w:t>ASA</w:t>
      </w:r>
      <w:r w:rsidRPr="008412B7">
        <w:t xml:space="preserve"> (version 1.1, dated 31 October 2023),</w:t>
      </w:r>
      <w:r w:rsidR="00CB6439" w:rsidRPr="008412B7">
        <w:t xml:space="preserve"> </w:t>
      </w:r>
      <w:r w:rsidRPr="008412B7">
        <w:t>included with submission PM-2023-01210-1-2, and any subsequent revisions, as</w:t>
      </w:r>
      <w:r w:rsidR="00CB6439" w:rsidRPr="008412B7">
        <w:t xml:space="preserve"> </w:t>
      </w:r>
      <w:r w:rsidRPr="008412B7">
        <w:t>agreed with the TGA will be implemented in Australia.</w:t>
      </w:r>
    </w:p>
    <w:p w14:paraId="7361DB7B" w14:textId="457D5126" w:rsidR="00C95C54" w:rsidRPr="008412B7" w:rsidRDefault="00BB4692" w:rsidP="008412B7">
      <w:pPr>
        <w:ind w:left="360"/>
      </w:pPr>
      <w:r w:rsidRPr="008412B7">
        <w:t>An obligatory component of risk management plans is routine pharmacovigilance.</w:t>
      </w:r>
      <w:r w:rsidR="00C95C54" w:rsidRPr="008412B7">
        <w:t xml:space="preserve"> </w:t>
      </w:r>
      <w:r w:rsidRPr="008412B7">
        <w:t xml:space="preserve">Routine pharmacovigilance includes the submission of </w:t>
      </w:r>
      <w:r w:rsidRPr="00254427">
        <w:t>PSURs.</w:t>
      </w:r>
    </w:p>
    <w:p w14:paraId="7DBF6AAD" w14:textId="77777777" w:rsidR="00C95C54" w:rsidRPr="008412B7" w:rsidRDefault="00AF64F5" w:rsidP="008412B7">
      <w:pPr>
        <w:ind w:left="360"/>
      </w:pPr>
      <w:r w:rsidRPr="008412B7">
        <w:t xml:space="preserve">Reports are to be provided in line with the current published list of EU reference dates and frequency of submission of PSURs until the period covered by such reports is not less than three years from the date of this approval letter. </w:t>
      </w:r>
    </w:p>
    <w:p w14:paraId="72B0EBBA" w14:textId="078277D1" w:rsidR="00B6712D" w:rsidRPr="008412B7" w:rsidRDefault="00AF64F5" w:rsidP="008412B7">
      <w:pPr>
        <w:ind w:left="360"/>
      </w:pPr>
      <w:r w:rsidRPr="008412B7">
        <w:t xml:space="preserve">The reports are to at least meet the requirements for PSURs as described in the </w:t>
      </w:r>
      <w:r w:rsidR="00487157">
        <w:t>EMA’s</w:t>
      </w:r>
      <w:r w:rsidRPr="008412B7">
        <w:t xml:space="preserve"> Guideline on good pharmacovigilance practices </w:t>
      </w:r>
      <w:r w:rsidRPr="00E65BD3">
        <w:t>(GVP)</w:t>
      </w:r>
      <w:r w:rsidRPr="008412B7">
        <w:t xml:space="preserve"> Module VII-</w:t>
      </w:r>
      <w:r w:rsidR="00487157">
        <w:t>PSUR</w:t>
      </w:r>
      <w:r w:rsidRPr="008412B7">
        <w:t xml:space="preserve"> (Rev 1), Part VII.B Structures and processes. Note that submission of a PSUR does not constitute an application to vary the registration. Each report must have been prepared within ninety calendar days of the data lock point for that report.</w:t>
      </w:r>
    </w:p>
    <w:p w14:paraId="1D260C0F" w14:textId="77777777" w:rsidR="00C57403" w:rsidRPr="008412B7" w:rsidRDefault="00AF64F5" w:rsidP="008412B7">
      <w:pPr>
        <w:pStyle w:val="ListBullet"/>
      </w:pPr>
      <w:r w:rsidRPr="008412B7">
        <w:t xml:space="preserve">Batch Release Testing and Compliance </w:t>
      </w:r>
    </w:p>
    <w:p w14:paraId="10F5A746" w14:textId="77777777" w:rsidR="00C57403" w:rsidRPr="008412B7" w:rsidRDefault="00AF64F5" w:rsidP="008412B7">
      <w:pPr>
        <w:ind w:left="360"/>
      </w:pPr>
      <w:r w:rsidRPr="00C57403">
        <w:rPr>
          <w:szCs w:val="22"/>
        </w:rPr>
        <w:lastRenderedPageBreak/>
        <w:t>It is a condition of registration that all independent batches of A</w:t>
      </w:r>
      <w:r w:rsidR="00C57403">
        <w:rPr>
          <w:szCs w:val="22"/>
        </w:rPr>
        <w:t>brysvo</w:t>
      </w:r>
      <w:r w:rsidRPr="00C57403">
        <w:rPr>
          <w:szCs w:val="22"/>
        </w:rPr>
        <w:t xml:space="preserve"> recombinant </w:t>
      </w:r>
      <w:r w:rsidRPr="008412B7">
        <w:t xml:space="preserve">respiratory syncytial virus pre-fusion F protein 120 </w:t>
      </w:r>
      <w:r w:rsidR="00C57403" w:rsidRPr="008412B7">
        <w:t>μg</w:t>
      </w:r>
      <w:r w:rsidRPr="008412B7">
        <w:t xml:space="preserve">/0.5 mL bivalent vaccine powder for injection vial </w:t>
      </w:r>
      <w:r w:rsidR="00C57403" w:rsidRPr="008412B7">
        <w:t>plus</w:t>
      </w:r>
      <w:r w:rsidRPr="008412B7">
        <w:t xml:space="preserve"> diluent syringe imported into Australia are not released for sale until samples and the manufacturer’s release data have been assessed and you have received notification acknowledging release from the Laboratories Branch, TGA. </w:t>
      </w:r>
    </w:p>
    <w:p w14:paraId="6449DD9E" w14:textId="173C09D4" w:rsidR="00AF64F5" w:rsidRPr="008412B7" w:rsidRDefault="00AF64F5" w:rsidP="008412B7">
      <w:pPr>
        <w:ind w:left="360"/>
      </w:pPr>
      <w:r w:rsidRPr="008412B7">
        <w:t xml:space="preserve">For each independent batch of the product imported into Australia, the </w:t>
      </w:r>
      <w:r w:rsidR="00C57403" w:rsidRPr="008412B7">
        <w:t>s</w:t>
      </w:r>
      <w:r w:rsidRPr="008412B7">
        <w:t>ponsor must supply the following:</w:t>
      </w:r>
    </w:p>
    <w:p w14:paraId="336F1778" w14:textId="2857E94A" w:rsidR="008412B7" w:rsidRDefault="00AF64F5" w:rsidP="008412B7">
      <w:pPr>
        <w:pStyle w:val="ListBullet2"/>
      </w:pPr>
      <w:r w:rsidRPr="008412B7">
        <w:t xml:space="preserve">A completed Request for Release Form, available from </w:t>
      </w:r>
      <w:hyperlink r:id="rId92" w:history="1">
        <w:r w:rsidR="00F03D75" w:rsidRPr="008412B7">
          <w:rPr>
            <w:rStyle w:val="Hyperlink"/>
          </w:rPr>
          <w:t>vaccines@health.gov.au</w:t>
        </w:r>
      </w:hyperlink>
      <w:r w:rsidRPr="008412B7">
        <w:t>.</w:t>
      </w:r>
    </w:p>
    <w:p w14:paraId="2859E7FD" w14:textId="67F0D94F" w:rsidR="008412B7" w:rsidRDefault="00AF64F5" w:rsidP="008412B7">
      <w:pPr>
        <w:pStyle w:val="ListBullet2"/>
      </w:pPr>
      <w:r w:rsidRPr="008412B7">
        <w:t xml:space="preserve">Complete summary protocols for manufacture and </w:t>
      </w:r>
      <w:r w:rsidR="00487157">
        <w:t>quality control</w:t>
      </w:r>
      <w:r w:rsidRPr="008412B7">
        <w:t xml:space="preserve">, including all steps in production in the agreed format. </w:t>
      </w:r>
    </w:p>
    <w:p w14:paraId="4E78BA0F" w14:textId="1DCD9726" w:rsidR="008412B7" w:rsidRDefault="00AF64F5" w:rsidP="008412B7">
      <w:pPr>
        <w:pStyle w:val="ListBullet2"/>
      </w:pPr>
      <w:r w:rsidRPr="008412B7">
        <w:t xml:space="preserve">At least ten samples (vials </w:t>
      </w:r>
      <w:r w:rsidR="0025184B">
        <w:t>plus</w:t>
      </w:r>
      <w:r w:rsidR="0025184B" w:rsidRPr="008412B7">
        <w:t xml:space="preserve"> </w:t>
      </w:r>
      <w:r w:rsidRPr="008412B7">
        <w:t>syringes) of each manufacturing batch of A</w:t>
      </w:r>
      <w:r w:rsidR="00F03D75" w:rsidRPr="008412B7">
        <w:t>brysvo</w:t>
      </w:r>
      <w:r w:rsidRPr="008412B7">
        <w:t xml:space="preserve"> recombinant respiratory syncytial virus pre-fusion F protein 120 </w:t>
      </w:r>
      <w:r w:rsidR="00F03D75" w:rsidRPr="008412B7">
        <w:t xml:space="preserve">μg </w:t>
      </w:r>
      <w:r w:rsidRPr="008412B7">
        <w:t xml:space="preserve">/0.5 mL bivalent vaccine powder for injection vial </w:t>
      </w:r>
      <w:r w:rsidR="00F03D75" w:rsidRPr="008412B7">
        <w:t xml:space="preserve">plus </w:t>
      </w:r>
      <w:r w:rsidRPr="008412B7">
        <w:t xml:space="preserve">diluent syringe with the Australian approved labels, </w:t>
      </w:r>
      <w:proofErr w:type="gramStart"/>
      <w:r w:rsidRPr="008412B7">
        <w:t>PI</w:t>
      </w:r>
      <w:proofErr w:type="gramEnd"/>
      <w:r w:rsidRPr="008412B7">
        <w:t xml:space="preserve"> and packaging (unless an exemption to supply these has been granted) representative of all batches of product seeking distribution in Australia. </w:t>
      </w:r>
    </w:p>
    <w:p w14:paraId="522C148D" w14:textId="1841E7C9" w:rsidR="008412B7" w:rsidRDefault="00AF64F5" w:rsidP="008412B7">
      <w:pPr>
        <w:pStyle w:val="ListBullet2"/>
      </w:pPr>
      <w:r w:rsidRPr="008412B7">
        <w:t xml:space="preserve">If the manufacturing batch has been released in Europe or </w:t>
      </w:r>
      <w:r w:rsidR="0025184B">
        <w:t>UK</w:t>
      </w:r>
      <w:r w:rsidRPr="008412B7">
        <w:t xml:space="preserve"> a copy of the EU Official Control Authority Batch Release (OCABR) certificate (or equivalent from the UK) must be provided. </w:t>
      </w:r>
    </w:p>
    <w:p w14:paraId="6406B28B" w14:textId="132A2076" w:rsidR="002A0D0F" w:rsidRPr="008412B7" w:rsidRDefault="00AF64F5" w:rsidP="008412B7">
      <w:pPr>
        <w:pStyle w:val="ListBullet2"/>
      </w:pPr>
      <w:r w:rsidRPr="008412B7">
        <w:t xml:space="preserve">Any reagents, reference material and standards required to undertake testing, as requested by Laboratories Branch, TGA. </w:t>
      </w:r>
    </w:p>
    <w:p w14:paraId="3651C570" w14:textId="4B6C355F" w:rsidR="002D7379" w:rsidRPr="00EB15A2" w:rsidRDefault="00AF64F5" w:rsidP="00EB15A2">
      <w:pPr>
        <w:ind w:left="360"/>
      </w:pPr>
      <w:r w:rsidRPr="008412B7">
        <w:t xml:space="preserve">Sponsors must provide all requested </w:t>
      </w:r>
      <w:r w:rsidR="0025184B">
        <w:t>s</w:t>
      </w:r>
      <w:r w:rsidR="0025184B" w:rsidRPr="008412B7">
        <w:t xml:space="preserve">amples </w:t>
      </w:r>
      <w:r w:rsidRPr="008412B7">
        <w:t xml:space="preserve">and data in sufficient time (at least </w:t>
      </w:r>
      <w:r w:rsidR="002A0D0F" w:rsidRPr="008412B7">
        <w:t>five</w:t>
      </w:r>
      <w:r w:rsidRPr="008412B7">
        <w:t xml:space="preserve"> business days) prior to any distribution date to allow the TGA to perform testing and review. Distribution of each batch of vaccine is conditional upon fulfilment of these conditions and receipt of a letter from the Laboratories Branch acknowledging release. </w:t>
      </w:r>
    </w:p>
    <w:p w14:paraId="01996658" w14:textId="77777777" w:rsidR="002D7379" w:rsidRDefault="002D7379" w:rsidP="008412B7">
      <w:pPr>
        <w:pStyle w:val="ListBullet"/>
      </w:pPr>
      <w:r w:rsidRPr="008412B7">
        <w:t>Certified</w:t>
      </w:r>
      <w:r>
        <w:t xml:space="preserve"> Product Details </w:t>
      </w:r>
    </w:p>
    <w:p w14:paraId="3BCCD731" w14:textId="30F1B238" w:rsidR="002D7379" w:rsidRPr="008412B7" w:rsidRDefault="002D7379" w:rsidP="008412B7">
      <w:r w:rsidRPr="008412B7">
        <w:t xml:space="preserve">An electronic copy of the Certified Product </w:t>
      </w:r>
      <w:r w:rsidRPr="00EB15A2">
        <w:t>Details (CPD</w:t>
      </w:r>
      <w:r w:rsidRPr="008412B7">
        <w:t xml:space="preserve">) as described in Guidance 7: Certified Product Details of the Australian Regulatory Guidelines for Prescription Medicines (ARGPM) </w:t>
      </w:r>
      <w:hyperlink r:id="rId93" w:history="1">
        <w:r w:rsidR="0025184B" w:rsidRPr="0025184B">
          <w:rPr>
            <w:rStyle w:val="Hyperlink"/>
          </w:rPr>
          <w:t>https://www.tga.gov.au/resources/resource/guidance/guidance-7-certified-product-details</w:t>
        </w:r>
      </w:hyperlink>
      <w:r w:rsidRPr="008412B7">
        <w:t xml:space="preserve"> should be provided upon registration of the therapeutic good. In addition, an updated CPD, for the above products incorporating the approved changes is to be provided within one month of the date of approval letter. </w:t>
      </w:r>
    </w:p>
    <w:p w14:paraId="451DC3FC" w14:textId="341C83E9" w:rsidR="00C22214" w:rsidRDefault="00C22214" w:rsidP="00C22214">
      <w:pPr>
        <w:pStyle w:val="Heading2"/>
      </w:pPr>
      <w:bookmarkStart w:id="76" w:name="_Toc103679303"/>
      <w:bookmarkStart w:id="77" w:name="_Toc165552539"/>
      <w:r>
        <w:t>Attachment 1. Product Information</w:t>
      </w:r>
      <w:bookmarkEnd w:id="76"/>
      <w:bookmarkEnd w:id="77"/>
    </w:p>
    <w:p w14:paraId="74F59983" w14:textId="74982503" w:rsidR="00675F81" w:rsidRDefault="00675F81" w:rsidP="008412B7">
      <w:pPr>
        <w:rPr>
          <w:rStyle w:val="Hyperlink"/>
        </w:rPr>
      </w:pPr>
      <w:r w:rsidRPr="008412B7">
        <w:t xml:space="preserve">The </w:t>
      </w:r>
      <w:hyperlink r:id="rId94" w:history="1">
        <w:r w:rsidRPr="008412B7">
          <w:rPr>
            <w:rStyle w:val="Hyperlink"/>
          </w:rPr>
          <w:t>Product Information</w:t>
        </w:r>
      </w:hyperlink>
      <w:r w:rsidRPr="008412B7">
        <w:t xml:space="preserve"> (</w:t>
      </w:r>
      <w:hyperlink r:id="rId95" w:history="1">
        <w:r w:rsidRPr="008412B7">
          <w:rPr>
            <w:rStyle w:val="Hyperlink"/>
          </w:rPr>
          <w:t>PI</w:t>
        </w:r>
      </w:hyperlink>
      <w:r w:rsidRPr="008412B7">
        <w:t>) approved with the submission</w:t>
      </w:r>
      <w:r w:rsidR="0017005C" w:rsidRPr="008412B7">
        <w:t xml:space="preserve"> for </w:t>
      </w:r>
      <w:r w:rsidR="002D7379" w:rsidRPr="008412B7">
        <w:t>Abrysvo</w:t>
      </w:r>
      <w:r w:rsidR="003163BC" w:rsidRPr="008412B7">
        <w:t xml:space="preserve"> </w:t>
      </w:r>
      <w:r w:rsidRPr="008412B7">
        <w:t xml:space="preserve">which is described in this AusPAR can be found as Attachment 1. </w:t>
      </w:r>
      <w:r w:rsidR="0025785B" w:rsidRPr="008412B7">
        <w:t xml:space="preserve">It may have been superseded. </w:t>
      </w:r>
      <w:r w:rsidRPr="008412B7">
        <w:t xml:space="preserve">For the most recent PI and </w:t>
      </w:r>
      <w:hyperlink r:id="rId96" w:history="1">
        <w:r w:rsidRPr="008412B7">
          <w:rPr>
            <w:rStyle w:val="Hyperlink"/>
          </w:rPr>
          <w:t>Consumer Medicines Information</w:t>
        </w:r>
      </w:hyperlink>
      <w:r w:rsidRPr="008412B7">
        <w:t xml:space="preserve"> (CMI), please refer to the TGA </w:t>
      </w:r>
      <w:hyperlink r:id="rId97" w:history="1">
        <w:r w:rsidRPr="008412B7">
          <w:rPr>
            <w:rStyle w:val="Hyperlink"/>
          </w:rPr>
          <w:t>PI/CMI search facility.</w:t>
        </w:r>
      </w:hyperlink>
    </w:p>
    <w:p w14:paraId="0BEF5F89" w14:textId="0A3567E8" w:rsidR="00880339" w:rsidRDefault="00880339">
      <w:pPr>
        <w:rPr>
          <w:rStyle w:val="Hyperlink"/>
        </w:rPr>
      </w:pPr>
      <w:r>
        <w:rPr>
          <w:rStyle w:val="Hyperlink"/>
        </w:rPr>
        <w:br w:type="page"/>
      </w:r>
    </w:p>
    <w:p w14:paraId="53357BF3" w14:textId="1FD90233" w:rsidR="00A1491B" w:rsidRDefault="00A1491B" w:rsidP="00A1491B">
      <w:pPr>
        <w:rPr>
          <w:lang w:eastAsia="ja-JP"/>
        </w:rPr>
        <w:sectPr w:rsidR="00A1491B" w:rsidSect="00BC394D">
          <w:headerReference w:type="default" r:id="rId98"/>
          <w:footerReference w:type="default" r:id="rId99"/>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5"/>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100"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865BC5">
            <w:pPr>
              <w:pStyle w:val="Address"/>
              <w:jc w:val="center"/>
              <w:rPr>
                <w:rStyle w:val="Hyperlink"/>
                <w:b/>
                <w:color w:val="auto"/>
                <w:sz w:val="22"/>
              </w:rPr>
            </w:pPr>
            <w:hyperlink r:id="rId101"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6C5909BC" w:rsidR="00F02AEC" w:rsidRPr="00215D48" w:rsidRDefault="00F02AEC" w:rsidP="007452E8">
            <w:pPr>
              <w:pStyle w:val="Address"/>
              <w:jc w:val="center"/>
            </w:pPr>
          </w:p>
        </w:tc>
      </w:tr>
    </w:tbl>
    <w:p w14:paraId="788B80FD" w14:textId="77777777" w:rsidR="007452E8" w:rsidRDefault="007452E8"/>
    <w:sectPr w:rsidR="007452E8" w:rsidSect="00BC394D">
      <w:headerReference w:type="first" r:id="rId102"/>
      <w:footerReference w:type="first" r:id="rId103"/>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EFAFD" w14:textId="77777777" w:rsidR="00BC394D" w:rsidRDefault="00BC394D" w:rsidP="00F02AEC">
      <w:pPr>
        <w:spacing w:after="0" w:line="240" w:lineRule="auto"/>
      </w:pPr>
      <w:r>
        <w:separator/>
      </w:r>
    </w:p>
  </w:endnote>
  <w:endnote w:type="continuationSeparator" w:id="0">
    <w:p w14:paraId="6406062F" w14:textId="77777777" w:rsidR="00BC394D" w:rsidRDefault="00BC394D" w:rsidP="00F02AEC">
      <w:pPr>
        <w:spacing w:after="0" w:line="240" w:lineRule="auto"/>
      </w:pPr>
      <w:r>
        <w:continuationSeparator/>
      </w:r>
    </w:p>
  </w:endnote>
  <w:endnote w:type="continuationNotice" w:id="1">
    <w:p w14:paraId="5F4154F0" w14:textId="77777777" w:rsidR="00BC394D" w:rsidRDefault="00BC39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17C6FB05" w:rsidR="007452E8" w:rsidRPr="004A3084" w:rsidRDefault="007452E8" w:rsidP="007452E8">
          <w:pPr>
            <w:pStyle w:val="Footer"/>
          </w:pPr>
          <w:r w:rsidRPr="00487162">
            <w:t>AusPA</w:t>
          </w:r>
          <w:r>
            <w:t xml:space="preserve">R - </w:t>
          </w:r>
          <w:r w:rsidR="00116F0E">
            <w:t>ABRYSVO</w:t>
          </w:r>
          <w:r>
            <w:t xml:space="preserve"> -</w:t>
          </w:r>
          <w:r w:rsidRPr="00460036">
            <w:t xml:space="preserve"> </w:t>
          </w:r>
          <w:r w:rsidR="005F5A57" w:rsidRPr="005F5A57">
            <w:t>Recombinant respiratory syncytial virus pre-fusion F protein</w:t>
          </w:r>
          <w:r w:rsidR="005F5A57">
            <w:t xml:space="preserve"> – Pfizer Australia Pty Ltd </w:t>
          </w:r>
          <w:r>
            <w:t xml:space="preserve">- </w:t>
          </w:r>
          <w:r w:rsidR="00116F0E" w:rsidRPr="00116F0E">
            <w:t>PM-2023-01210-1-2</w:t>
          </w:r>
          <w:r>
            <w:br/>
          </w:r>
          <w:r w:rsidR="007020B9">
            <w:t>Final 2 May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p w14:paraId="2845DF19" w14:textId="77777777" w:rsidR="00C56902" w:rsidRDefault="00C56902"/>
  <w:p w14:paraId="1B24351D" w14:textId="77777777" w:rsidR="00C56902" w:rsidRDefault="00C5690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77987" w14:textId="77777777" w:rsidR="00BC394D" w:rsidRDefault="00BC394D" w:rsidP="00F02AEC">
      <w:pPr>
        <w:spacing w:after="0" w:line="240" w:lineRule="auto"/>
      </w:pPr>
      <w:r>
        <w:separator/>
      </w:r>
    </w:p>
  </w:footnote>
  <w:footnote w:type="continuationSeparator" w:id="0">
    <w:p w14:paraId="50D180DC" w14:textId="77777777" w:rsidR="00BC394D" w:rsidRDefault="00BC394D" w:rsidP="00F02AEC">
      <w:pPr>
        <w:spacing w:after="0" w:line="240" w:lineRule="auto"/>
      </w:pPr>
      <w:r>
        <w:continuationSeparator/>
      </w:r>
    </w:p>
  </w:footnote>
  <w:footnote w:type="continuationNotice" w:id="1">
    <w:p w14:paraId="67BE586A" w14:textId="77777777" w:rsidR="00BC394D" w:rsidRDefault="00BC394D">
      <w:pPr>
        <w:spacing w:after="0" w:line="240" w:lineRule="auto"/>
      </w:pPr>
    </w:p>
  </w:footnote>
  <w:footnote w:id="2">
    <w:p w14:paraId="2EE5A769" w14:textId="0218F7C6" w:rsidR="0025184B" w:rsidRDefault="0025184B">
      <w:pPr>
        <w:pStyle w:val="FootnoteText"/>
      </w:pPr>
      <w:r>
        <w:rPr>
          <w:rStyle w:val="FootnoteReference"/>
        </w:rPr>
        <w:footnoteRef/>
      </w:r>
      <w:r>
        <w:t xml:space="preserve"> </w:t>
      </w:r>
      <w:r w:rsidRPr="0025184B">
        <w:t>Produced in Chinese Hamster Ovary cells by recombinant DNA technology.</w:t>
      </w:r>
    </w:p>
  </w:footnote>
  <w:footnote w:id="3">
    <w:p w14:paraId="0919A7AC" w14:textId="4FE2C3B9" w:rsidR="00DE05ED" w:rsidRDefault="00DE05ED">
      <w:pPr>
        <w:pStyle w:val="FootnoteText"/>
      </w:pPr>
      <w:r>
        <w:rPr>
          <w:rStyle w:val="FootnoteReference"/>
        </w:rPr>
        <w:footnoteRef/>
      </w:r>
      <w:r>
        <w:t xml:space="preserve"> This is the original indication proposed by the 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in the Australian Register of Therapeutic Goods.</w:t>
      </w:r>
    </w:p>
  </w:footnote>
  <w:footnote w:id="4">
    <w:p w14:paraId="50D01E4D" w14:textId="3F3B20BE" w:rsidR="00590C09" w:rsidRPr="00BB5FFF" w:rsidRDefault="00590C09">
      <w:pPr>
        <w:pStyle w:val="FootnoteText"/>
        <w:rPr>
          <w:sz w:val="18"/>
          <w:szCs w:val="22"/>
        </w:rPr>
      </w:pPr>
      <w:r w:rsidRPr="00BB5FFF">
        <w:rPr>
          <w:rStyle w:val="FootnoteReference"/>
          <w:sz w:val="18"/>
          <w:szCs w:val="22"/>
        </w:rPr>
        <w:footnoteRef/>
      </w:r>
      <w:r w:rsidRPr="00BB5FFF">
        <w:rPr>
          <w:sz w:val="18"/>
          <w:szCs w:val="22"/>
        </w:rPr>
        <w:t xml:space="preserve"> </w:t>
      </w:r>
      <w:r w:rsidR="00283D4B" w:rsidRPr="00BB5FFF">
        <w:rPr>
          <w:sz w:val="18"/>
          <w:szCs w:val="22"/>
        </w:rPr>
        <w:t xml:space="preserve">Schmidt H, </w:t>
      </w:r>
      <w:r w:rsidR="00BB5FFF">
        <w:rPr>
          <w:sz w:val="18"/>
          <w:szCs w:val="22"/>
        </w:rPr>
        <w:t>et al</w:t>
      </w:r>
      <w:r w:rsidR="00283D4B" w:rsidRPr="00BB5FFF">
        <w:rPr>
          <w:sz w:val="18"/>
          <w:szCs w:val="22"/>
        </w:rPr>
        <w:t>. Epidemiology and outcomes of hospitalized adults with respiratory syncytial virus: A 6‐year retrospective study</w:t>
      </w:r>
      <w:r w:rsidR="009B5DD5">
        <w:rPr>
          <w:sz w:val="18"/>
          <w:szCs w:val="22"/>
        </w:rPr>
        <w:t>,</w:t>
      </w:r>
      <w:r w:rsidR="00283D4B" w:rsidRPr="00BB5FFF">
        <w:rPr>
          <w:sz w:val="18"/>
          <w:szCs w:val="22"/>
        </w:rPr>
        <w:t xml:space="preserve"> </w:t>
      </w:r>
      <w:r w:rsidR="00283D4B" w:rsidRPr="009B5DD5">
        <w:rPr>
          <w:i/>
          <w:iCs/>
          <w:sz w:val="18"/>
          <w:szCs w:val="22"/>
        </w:rPr>
        <w:t>Influenza Other Respi</w:t>
      </w:r>
      <w:r w:rsidR="006B1C30">
        <w:rPr>
          <w:i/>
          <w:iCs/>
          <w:sz w:val="18"/>
          <w:szCs w:val="22"/>
        </w:rPr>
        <w:t>r</w:t>
      </w:r>
      <w:r w:rsidR="00283D4B" w:rsidRPr="009B5DD5">
        <w:rPr>
          <w:i/>
          <w:iCs/>
          <w:sz w:val="18"/>
          <w:szCs w:val="22"/>
        </w:rPr>
        <w:t xml:space="preserve"> Viruses</w:t>
      </w:r>
      <w:r w:rsidR="009B5DD5">
        <w:rPr>
          <w:sz w:val="18"/>
          <w:szCs w:val="22"/>
        </w:rPr>
        <w:t>,</w:t>
      </w:r>
      <w:r w:rsidR="00283D4B" w:rsidRPr="00BB5FFF">
        <w:rPr>
          <w:sz w:val="18"/>
          <w:szCs w:val="22"/>
        </w:rPr>
        <w:t xml:space="preserve"> 2019;</w:t>
      </w:r>
      <w:r w:rsidR="009B5DD5">
        <w:rPr>
          <w:sz w:val="18"/>
          <w:szCs w:val="22"/>
        </w:rPr>
        <w:t xml:space="preserve"> </w:t>
      </w:r>
      <w:r w:rsidR="00283D4B" w:rsidRPr="00BB5FFF">
        <w:rPr>
          <w:sz w:val="18"/>
          <w:szCs w:val="22"/>
        </w:rPr>
        <w:t>13:</w:t>
      </w:r>
      <w:r w:rsidR="006B1C30">
        <w:rPr>
          <w:sz w:val="18"/>
          <w:szCs w:val="22"/>
        </w:rPr>
        <w:t xml:space="preserve"> </w:t>
      </w:r>
      <w:r w:rsidR="00283D4B" w:rsidRPr="00BB5FFF">
        <w:rPr>
          <w:sz w:val="18"/>
          <w:szCs w:val="22"/>
        </w:rPr>
        <w:t>331–338.</w:t>
      </w:r>
    </w:p>
  </w:footnote>
  <w:footnote w:id="5">
    <w:p w14:paraId="39076D40" w14:textId="35B89688" w:rsidR="001F69A4" w:rsidRPr="00BB5FFF" w:rsidRDefault="001F69A4">
      <w:pPr>
        <w:pStyle w:val="FootnoteText"/>
        <w:rPr>
          <w:sz w:val="18"/>
          <w:szCs w:val="22"/>
        </w:rPr>
      </w:pPr>
      <w:r w:rsidRPr="00BB5FFF">
        <w:rPr>
          <w:rStyle w:val="FootnoteReference"/>
          <w:sz w:val="18"/>
          <w:szCs w:val="22"/>
        </w:rPr>
        <w:footnoteRef/>
      </w:r>
      <w:r w:rsidRPr="00BB5FFF">
        <w:rPr>
          <w:sz w:val="18"/>
          <w:szCs w:val="22"/>
        </w:rPr>
        <w:t xml:space="preserve"> </w:t>
      </w:r>
      <w:r w:rsidR="008F0750" w:rsidRPr="00BB5FFF">
        <w:rPr>
          <w:sz w:val="18"/>
          <w:szCs w:val="22"/>
        </w:rPr>
        <w:t xml:space="preserve">Price OH, </w:t>
      </w:r>
      <w:r w:rsidR="006B1C30">
        <w:rPr>
          <w:sz w:val="18"/>
          <w:szCs w:val="22"/>
        </w:rPr>
        <w:t>et al</w:t>
      </w:r>
      <w:r w:rsidR="008F0750" w:rsidRPr="00BB5FFF">
        <w:rPr>
          <w:sz w:val="18"/>
          <w:szCs w:val="22"/>
        </w:rPr>
        <w:t>. Using routine testing data to understand circulation patterns of influenza A, respiratory syncytial virus and other respiratory viruses in Victoria, Australia</w:t>
      </w:r>
      <w:r w:rsidR="006B1C30">
        <w:rPr>
          <w:sz w:val="18"/>
          <w:szCs w:val="22"/>
        </w:rPr>
        <w:t>,</w:t>
      </w:r>
      <w:r w:rsidR="008F0750" w:rsidRPr="00BB5FFF">
        <w:rPr>
          <w:sz w:val="18"/>
          <w:szCs w:val="22"/>
        </w:rPr>
        <w:t xml:space="preserve"> </w:t>
      </w:r>
      <w:r w:rsidR="008F0750" w:rsidRPr="006B1C30">
        <w:rPr>
          <w:i/>
          <w:iCs/>
          <w:sz w:val="18"/>
          <w:szCs w:val="22"/>
        </w:rPr>
        <w:t>Epidemiol Infect</w:t>
      </w:r>
      <w:r w:rsidR="007B4D3A">
        <w:rPr>
          <w:sz w:val="18"/>
          <w:szCs w:val="22"/>
        </w:rPr>
        <w:t>,</w:t>
      </w:r>
      <w:r w:rsidR="008F0750" w:rsidRPr="00BB5FFF">
        <w:rPr>
          <w:sz w:val="18"/>
          <w:szCs w:val="22"/>
        </w:rPr>
        <w:t xml:space="preserve"> 2019;</w:t>
      </w:r>
      <w:r w:rsidR="007B4D3A">
        <w:rPr>
          <w:sz w:val="18"/>
          <w:szCs w:val="22"/>
        </w:rPr>
        <w:t xml:space="preserve"> </w:t>
      </w:r>
      <w:r w:rsidR="008F0750" w:rsidRPr="00BB5FFF">
        <w:rPr>
          <w:sz w:val="18"/>
          <w:szCs w:val="22"/>
        </w:rPr>
        <w:t>147</w:t>
      </w:r>
      <w:r w:rsidR="0090427F">
        <w:rPr>
          <w:sz w:val="18"/>
          <w:szCs w:val="22"/>
        </w:rPr>
        <w:t>: e221</w:t>
      </w:r>
      <w:r w:rsidR="008F0750" w:rsidRPr="00BB5FFF">
        <w:rPr>
          <w:sz w:val="18"/>
          <w:szCs w:val="22"/>
        </w:rPr>
        <w:t>.</w:t>
      </w:r>
    </w:p>
  </w:footnote>
  <w:footnote w:id="6">
    <w:p w14:paraId="686B481A" w14:textId="6DF4600F" w:rsidR="00C366D6" w:rsidRPr="00BB5FFF" w:rsidRDefault="00C366D6">
      <w:pPr>
        <w:pStyle w:val="FootnoteText"/>
        <w:rPr>
          <w:sz w:val="18"/>
          <w:szCs w:val="22"/>
        </w:rPr>
      </w:pPr>
      <w:r w:rsidRPr="00BB5FFF">
        <w:rPr>
          <w:rStyle w:val="FootnoteReference"/>
          <w:sz w:val="18"/>
          <w:szCs w:val="22"/>
        </w:rPr>
        <w:footnoteRef/>
      </w:r>
      <w:r w:rsidRPr="00BB5FFF">
        <w:rPr>
          <w:sz w:val="18"/>
          <w:szCs w:val="22"/>
        </w:rPr>
        <w:t xml:space="preserve"> </w:t>
      </w:r>
      <w:proofErr w:type="spellStart"/>
      <w:r w:rsidR="00A16C3E" w:rsidRPr="00BB5FFF">
        <w:rPr>
          <w:sz w:val="18"/>
          <w:szCs w:val="22"/>
        </w:rPr>
        <w:t>Saravanos</w:t>
      </w:r>
      <w:proofErr w:type="spellEnd"/>
      <w:r w:rsidR="00A16C3E" w:rsidRPr="00BB5FFF">
        <w:rPr>
          <w:sz w:val="18"/>
          <w:szCs w:val="22"/>
        </w:rPr>
        <w:t xml:space="preserve"> GL, </w:t>
      </w:r>
      <w:r w:rsidR="0090427F">
        <w:rPr>
          <w:sz w:val="18"/>
          <w:szCs w:val="22"/>
        </w:rPr>
        <w:t>et al</w:t>
      </w:r>
      <w:r w:rsidR="00A16C3E" w:rsidRPr="00BB5FFF">
        <w:rPr>
          <w:sz w:val="18"/>
          <w:szCs w:val="22"/>
        </w:rPr>
        <w:t>. Respiratory syncytial virus-associated hospitalisations in Australia, 2006–2015</w:t>
      </w:r>
      <w:r w:rsidR="0090427F">
        <w:rPr>
          <w:sz w:val="18"/>
          <w:szCs w:val="22"/>
        </w:rPr>
        <w:t>,</w:t>
      </w:r>
      <w:r w:rsidR="00A16C3E" w:rsidRPr="00BB5FFF">
        <w:rPr>
          <w:sz w:val="18"/>
          <w:szCs w:val="22"/>
        </w:rPr>
        <w:t xml:space="preserve"> </w:t>
      </w:r>
      <w:r w:rsidR="00A16C3E" w:rsidRPr="0090427F">
        <w:rPr>
          <w:i/>
          <w:iCs/>
          <w:sz w:val="18"/>
          <w:szCs w:val="22"/>
        </w:rPr>
        <w:t>Med J Aust</w:t>
      </w:r>
      <w:r w:rsidR="0090427F">
        <w:rPr>
          <w:sz w:val="18"/>
          <w:szCs w:val="22"/>
        </w:rPr>
        <w:t>,</w:t>
      </w:r>
      <w:r w:rsidR="00A16C3E" w:rsidRPr="00BB5FFF">
        <w:rPr>
          <w:sz w:val="18"/>
          <w:szCs w:val="22"/>
        </w:rPr>
        <w:t xml:space="preserve"> 2019;</w:t>
      </w:r>
      <w:r w:rsidR="0090427F">
        <w:rPr>
          <w:sz w:val="18"/>
          <w:szCs w:val="22"/>
        </w:rPr>
        <w:t xml:space="preserve"> </w:t>
      </w:r>
      <w:r w:rsidR="00A16C3E" w:rsidRPr="00BB5FFF">
        <w:rPr>
          <w:sz w:val="18"/>
          <w:szCs w:val="22"/>
        </w:rPr>
        <w:t>210(10):</w:t>
      </w:r>
      <w:r w:rsidR="0090427F">
        <w:rPr>
          <w:sz w:val="18"/>
          <w:szCs w:val="22"/>
        </w:rPr>
        <w:t xml:space="preserve"> </w:t>
      </w:r>
      <w:r w:rsidR="00A16C3E" w:rsidRPr="00BB5FFF">
        <w:rPr>
          <w:sz w:val="18"/>
          <w:szCs w:val="22"/>
        </w:rPr>
        <w:t>447–53.</w:t>
      </w:r>
    </w:p>
  </w:footnote>
  <w:footnote w:id="7">
    <w:p w14:paraId="0639CE4F" w14:textId="15973EC9" w:rsidR="00A16C3E" w:rsidRPr="00BB5FFF" w:rsidRDefault="00A16C3E">
      <w:pPr>
        <w:pStyle w:val="FootnoteText"/>
        <w:rPr>
          <w:sz w:val="18"/>
          <w:szCs w:val="22"/>
        </w:rPr>
      </w:pPr>
      <w:r w:rsidRPr="00BB5FFF">
        <w:rPr>
          <w:rStyle w:val="FootnoteReference"/>
          <w:sz w:val="18"/>
          <w:szCs w:val="22"/>
        </w:rPr>
        <w:footnoteRef/>
      </w:r>
      <w:r w:rsidRPr="00BB5FFF">
        <w:rPr>
          <w:sz w:val="18"/>
          <w:szCs w:val="22"/>
        </w:rPr>
        <w:t xml:space="preserve"> </w:t>
      </w:r>
      <w:r w:rsidR="009E5ACE" w:rsidRPr="00BB5FFF">
        <w:rPr>
          <w:sz w:val="18"/>
          <w:szCs w:val="22"/>
        </w:rPr>
        <w:t xml:space="preserve">Shi T, </w:t>
      </w:r>
      <w:r w:rsidR="0090427F">
        <w:rPr>
          <w:sz w:val="18"/>
          <w:szCs w:val="22"/>
        </w:rPr>
        <w:t>et al</w:t>
      </w:r>
      <w:r w:rsidR="009E5ACE" w:rsidRPr="00BB5FFF">
        <w:rPr>
          <w:sz w:val="18"/>
          <w:szCs w:val="22"/>
        </w:rPr>
        <w:t xml:space="preserve">. Risk Factors for Poor Outcome or Death in Young Children </w:t>
      </w:r>
      <w:proofErr w:type="gramStart"/>
      <w:r w:rsidR="009E5ACE" w:rsidRPr="00BB5FFF">
        <w:rPr>
          <w:sz w:val="18"/>
          <w:szCs w:val="22"/>
        </w:rPr>
        <w:t>With</w:t>
      </w:r>
      <w:proofErr w:type="gramEnd"/>
      <w:r w:rsidR="009E5ACE" w:rsidRPr="00BB5FFF">
        <w:rPr>
          <w:sz w:val="18"/>
          <w:szCs w:val="22"/>
        </w:rPr>
        <w:t xml:space="preserve"> Respiratory Syncytial Virus-Associated Acute Lower Respiratory Tract Infection: A Systematic Review and Meta-Analysis. </w:t>
      </w:r>
      <w:r w:rsidR="009E5ACE" w:rsidRPr="001B1930">
        <w:rPr>
          <w:i/>
          <w:iCs/>
          <w:sz w:val="18"/>
          <w:szCs w:val="22"/>
        </w:rPr>
        <w:t>J Infect Dis</w:t>
      </w:r>
      <w:r w:rsidR="00C53116">
        <w:rPr>
          <w:i/>
          <w:iCs/>
          <w:sz w:val="18"/>
          <w:szCs w:val="22"/>
        </w:rPr>
        <w:t>,</w:t>
      </w:r>
      <w:r w:rsidR="009E5ACE" w:rsidRPr="001B1930">
        <w:rPr>
          <w:i/>
          <w:iCs/>
          <w:sz w:val="18"/>
          <w:szCs w:val="22"/>
        </w:rPr>
        <w:t xml:space="preserve"> </w:t>
      </w:r>
      <w:r w:rsidR="009E5ACE" w:rsidRPr="00C53116">
        <w:rPr>
          <w:sz w:val="18"/>
          <w:szCs w:val="22"/>
        </w:rPr>
        <w:t>2022</w:t>
      </w:r>
      <w:r w:rsidR="00C53116">
        <w:rPr>
          <w:sz w:val="18"/>
          <w:szCs w:val="22"/>
        </w:rPr>
        <w:t>;</w:t>
      </w:r>
      <w:r w:rsidR="009E5ACE" w:rsidRPr="00BB5FFF">
        <w:rPr>
          <w:sz w:val="18"/>
          <w:szCs w:val="22"/>
        </w:rPr>
        <w:t xml:space="preserve"> 226(Suppl 1):</w:t>
      </w:r>
      <w:r w:rsidR="001B1930">
        <w:rPr>
          <w:sz w:val="18"/>
          <w:szCs w:val="22"/>
        </w:rPr>
        <w:t xml:space="preserve"> </w:t>
      </w:r>
      <w:r w:rsidR="009E5ACE" w:rsidRPr="00BB5FFF">
        <w:rPr>
          <w:sz w:val="18"/>
          <w:szCs w:val="22"/>
        </w:rPr>
        <w:t>S10-S16.</w:t>
      </w:r>
    </w:p>
  </w:footnote>
  <w:footnote w:id="8">
    <w:p w14:paraId="17C97F64" w14:textId="5D58C5B0" w:rsidR="009E5ACE" w:rsidRDefault="009E5ACE">
      <w:pPr>
        <w:pStyle w:val="FootnoteText"/>
      </w:pPr>
      <w:r>
        <w:rPr>
          <w:rStyle w:val="FootnoteReference"/>
        </w:rPr>
        <w:footnoteRef/>
      </w:r>
      <w:r>
        <w:t xml:space="preserve"> </w:t>
      </w:r>
      <w:r w:rsidR="009237F2" w:rsidRPr="009237F2">
        <w:t xml:space="preserve">Stevenson PG, </w:t>
      </w:r>
      <w:r w:rsidR="001B1930">
        <w:t>et al</w:t>
      </w:r>
      <w:r w:rsidR="009237F2" w:rsidRPr="009237F2">
        <w:t>. Health service utilisation for acute respiratory infections in infants graduating from the neonatal intensive care unit: a population‑based cohort study</w:t>
      </w:r>
      <w:r w:rsidR="001B1930">
        <w:t>,</w:t>
      </w:r>
      <w:r w:rsidR="009237F2" w:rsidRPr="009237F2">
        <w:t xml:space="preserve"> </w:t>
      </w:r>
      <w:r w:rsidR="009237F2" w:rsidRPr="001B1930">
        <w:rPr>
          <w:i/>
          <w:iCs/>
        </w:rPr>
        <w:t xml:space="preserve">BMC </w:t>
      </w:r>
      <w:proofErr w:type="spellStart"/>
      <w:r w:rsidR="009237F2" w:rsidRPr="001B1930">
        <w:rPr>
          <w:i/>
          <w:iCs/>
        </w:rPr>
        <w:t>Pediatrics</w:t>
      </w:r>
      <w:proofErr w:type="spellEnd"/>
      <w:r w:rsidR="001B1930">
        <w:t xml:space="preserve">, </w:t>
      </w:r>
      <w:r w:rsidR="009237F2" w:rsidRPr="009237F2">
        <w:t>2023</w:t>
      </w:r>
      <w:r w:rsidR="001B1930">
        <w:t xml:space="preserve">; </w:t>
      </w:r>
      <w:r w:rsidR="009237F2" w:rsidRPr="009237F2">
        <w:t>23:</w:t>
      </w:r>
      <w:r w:rsidR="001B1930">
        <w:t xml:space="preserve"> </w:t>
      </w:r>
      <w:r w:rsidR="009237F2" w:rsidRPr="009237F2">
        <w:t>335</w:t>
      </w:r>
      <w:r w:rsidR="001B1930">
        <w:t>.</w:t>
      </w:r>
    </w:p>
  </w:footnote>
  <w:footnote w:id="9">
    <w:p w14:paraId="1A8203F8" w14:textId="31FB59C6" w:rsidR="006275D4" w:rsidRDefault="006275D4">
      <w:pPr>
        <w:pStyle w:val="FootnoteText"/>
      </w:pPr>
      <w:r>
        <w:rPr>
          <w:rStyle w:val="FootnoteReference"/>
        </w:rPr>
        <w:footnoteRef/>
      </w:r>
      <w:r>
        <w:t xml:space="preserve"> </w:t>
      </w:r>
      <w:proofErr w:type="spellStart"/>
      <w:r w:rsidR="00335170" w:rsidRPr="00335170">
        <w:t>Brunwasser</w:t>
      </w:r>
      <w:proofErr w:type="spellEnd"/>
      <w:r w:rsidR="00335170" w:rsidRPr="00335170">
        <w:t xml:space="preserve"> SM, </w:t>
      </w:r>
      <w:r w:rsidR="001B1930">
        <w:t>et al</w:t>
      </w:r>
      <w:r w:rsidR="00335170" w:rsidRPr="00335170">
        <w:t xml:space="preserve">. Assessing the strength of evidence for a causal effect of respiratory syncytial virus lower respiratory tract infections on subsequent wheezing illness: a systematic review and meta-analysis. </w:t>
      </w:r>
      <w:r w:rsidR="00335170" w:rsidRPr="001B1930">
        <w:rPr>
          <w:i/>
          <w:iCs/>
        </w:rPr>
        <w:t>Lancet Respir Med</w:t>
      </w:r>
      <w:r w:rsidR="001B1930">
        <w:t>,</w:t>
      </w:r>
      <w:r w:rsidR="00335170" w:rsidRPr="00335170">
        <w:t xml:space="preserve"> 2020</w:t>
      </w:r>
      <w:r w:rsidR="001B1930">
        <w:t xml:space="preserve">; </w:t>
      </w:r>
      <w:r w:rsidR="00335170" w:rsidRPr="00335170">
        <w:t>8(8):</w:t>
      </w:r>
      <w:r w:rsidR="001B1930">
        <w:t xml:space="preserve"> </w:t>
      </w:r>
      <w:r w:rsidR="00335170" w:rsidRPr="00335170">
        <w:t xml:space="preserve">795-806. </w:t>
      </w:r>
    </w:p>
  </w:footnote>
  <w:footnote w:id="10">
    <w:p w14:paraId="6A114285" w14:textId="648E12ED" w:rsidR="00335170" w:rsidRDefault="00335170">
      <w:pPr>
        <w:pStyle w:val="FootnoteText"/>
      </w:pPr>
      <w:r>
        <w:rPr>
          <w:rStyle w:val="FootnoteReference"/>
        </w:rPr>
        <w:footnoteRef/>
      </w:r>
      <w:r>
        <w:t xml:space="preserve"> </w:t>
      </w:r>
      <w:proofErr w:type="spellStart"/>
      <w:r w:rsidR="006B3A71" w:rsidRPr="006B3A71">
        <w:t>Régnier</w:t>
      </w:r>
      <w:proofErr w:type="spellEnd"/>
      <w:r w:rsidR="006B3A71" w:rsidRPr="006B3A71">
        <w:t xml:space="preserve"> SA</w:t>
      </w:r>
      <w:r w:rsidR="008168B7">
        <w:t xml:space="preserve"> and </w:t>
      </w:r>
      <w:proofErr w:type="spellStart"/>
      <w:r w:rsidR="006B3A71" w:rsidRPr="006B3A71">
        <w:t>Huels</w:t>
      </w:r>
      <w:proofErr w:type="spellEnd"/>
      <w:r w:rsidR="006B3A71" w:rsidRPr="006B3A71">
        <w:t xml:space="preserve"> J. Association between respiratory syncytial virus hospitalizations in infants and respiratory sequelae: systematic review and meta-analysis. </w:t>
      </w:r>
      <w:proofErr w:type="spellStart"/>
      <w:r w:rsidR="006B3A71" w:rsidRPr="008168B7">
        <w:rPr>
          <w:i/>
          <w:iCs/>
        </w:rPr>
        <w:t>Pediatr</w:t>
      </w:r>
      <w:proofErr w:type="spellEnd"/>
      <w:r w:rsidR="006B3A71" w:rsidRPr="008168B7">
        <w:rPr>
          <w:i/>
          <w:iCs/>
        </w:rPr>
        <w:t xml:space="preserve"> Infect Dis J</w:t>
      </w:r>
      <w:r w:rsidR="008168B7">
        <w:rPr>
          <w:i/>
          <w:iCs/>
        </w:rPr>
        <w:t>,</w:t>
      </w:r>
      <w:r w:rsidR="006B3A71" w:rsidRPr="006B3A71">
        <w:t xml:space="preserve"> 2013</w:t>
      </w:r>
      <w:r w:rsidR="008168B7">
        <w:t>;</w:t>
      </w:r>
      <w:r w:rsidR="006B3A71" w:rsidRPr="006B3A71">
        <w:t xml:space="preserve"> 32(8):820-</w:t>
      </w:r>
      <w:r w:rsidR="008168B7">
        <w:t>82</w:t>
      </w:r>
      <w:r w:rsidR="006B3A71" w:rsidRPr="006B3A71">
        <w:t xml:space="preserve">6. </w:t>
      </w:r>
    </w:p>
  </w:footnote>
  <w:footnote w:id="11">
    <w:p w14:paraId="55215E34" w14:textId="35152ADA" w:rsidR="00DC265D" w:rsidRDefault="00DC265D">
      <w:pPr>
        <w:pStyle w:val="FootnoteText"/>
      </w:pPr>
      <w:r>
        <w:rPr>
          <w:rStyle w:val="FootnoteReference"/>
        </w:rPr>
        <w:footnoteRef/>
      </w:r>
      <w:r>
        <w:t xml:space="preserve"> </w:t>
      </w:r>
      <w:proofErr w:type="spellStart"/>
      <w:r w:rsidR="00C31791" w:rsidRPr="00C31791">
        <w:t>Gatt</w:t>
      </w:r>
      <w:proofErr w:type="spellEnd"/>
      <w:r w:rsidR="00C31791" w:rsidRPr="00C31791">
        <w:t xml:space="preserve"> D, </w:t>
      </w:r>
      <w:r w:rsidR="008168B7">
        <w:t>et al</w:t>
      </w:r>
      <w:r w:rsidR="00C31791" w:rsidRPr="00C31791">
        <w:t xml:space="preserve">. Prevention and Treatment Strategies for Respiratory Syncytial Virus (RSV). </w:t>
      </w:r>
      <w:r w:rsidR="00C31791" w:rsidRPr="008168B7">
        <w:rPr>
          <w:i/>
          <w:iCs/>
        </w:rPr>
        <w:t>Pathogens</w:t>
      </w:r>
      <w:r w:rsidR="008168B7">
        <w:rPr>
          <w:i/>
          <w:iCs/>
        </w:rPr>
        <w:t>,</w:t>
      </w:r>
      <w:r w:rsidR="00C31791" w:rsidRPr="00C31791">
        <w:t xml:space="preserve"> 2023</w:t>
      </w:r>
      <w:r w:rsidR="004D662A">
        <w:t>;</w:t>
      </w:r>
      <w:r w:rsidR="00C31791" w:rsidRPr="00C31791">
        <w:t xml:space="preserve"> 12</w:t>
      </w:r>
      <w:r w:rsidR="004D662A">
        <w:t xml:space="preserve">: </w:t>
      </w:r>
      <w:r w:rsidR="00C31791" w:rsidRPr="00C31791">
        <w:t xml:space="preserve">154. </w:t>
      </w:r>
    </w:p>
  </w:footnote>
  <w:footnote w:id="12">
    <w:p w14:paraId="224CD836" w14:textId="161B396C" w:rsidR="00500D68" w:rsidRDefault="00500D68">
      <w:pPr>
        <w:pStyle w:val="FootnoteText"/>
      </w:pPr>
      <w:r>
        <w:rPr>
          <w:rStyle w:val="FootnoteReference"/>
        </w:rPr>
        <w:footnoteRef/>
      </w:r>
      <w:r>
        <w:t xml:space="preserve"> </w:t>
      </w:r>
      <w:r w:rsidR="00AD0111" w:rsidRPr="00AD0111">
        <w:t xml:space="preserve"> </w:t>
      </w:r>
      <w:r w:rsidR="00AD0111">
        <w:t>In this report the ‘</w:t>
      </w:r>
      <w:r w:rsidR="00AD0111" w:rsidRPr="00C133A3">
        <w:t>Delegate</w:t>
      </w:r>
      <w:r w:rsidR="00AD0111">
        <w:t>’</w:t>
      </w:r>
      <w:r w:rsidR="00AD0111" w:rsidRPr="00C133A3">
        <w:t xml:space="preserve"> </w:t>
      </w:r>
      <w:r w:rsidR="00AD0111">
        <w:t xml:space="preserve">is the </w:t>
      </w:r>
      <w:r w:rsidR="00AD0111" w:rsidRPr="00C133A3">
        <w:t xml:space="preserve">Delegate of the Secretary of the Department of Health and Aged Care who </w:t>
      </w:r>
      <w:r w:rsidR="00AD0111">
        <w:t>decided the submission</w:t>
      </w:r>
      <w:r w:rsidR="00AD0111" w:rsidRPr="00C133A3">
        <w:t xml:space="preserve"> under section 25 of the Act.</w:t>
      </w:r>
    </w:p>
  </w:footnote>
  <w:footnote w:id="13">
    <w:p w14:paraId="7CA6D7F0" w14:textId="26C5F485" w:rsidR="009D214E" w:rsidRDefault="009D214E">
      <w:pPr>
        <w:pStyle w:val="FootnoteText"/>
      </w:pPr>
      <w:r>
        <w:rPr>
          <w:rStyle w:val="FootnoteReference"/>
        </w:rPr>
        <w:footnoteRef/>
      </w:r>
      <w:r>
        <w:t xml:space="preserve"> Adapted from: Kampmann, B</w:t>
      </w:r>
      <w:r w:rsidR="00FA2882">
        <w:t xml:space="preserve">. et al. Bivalent prefusion F vaccine in pregnancy to prevent RSV illness in infants. </w:t>
      </w:r>
      <w:r w:rsidR="00FA2882" w:rsidRPr="005B1461">
        <w:rPr>
          <w:i/>
          <w:iCs/>
        </w:rPr>
        <w:t>NEJM</w:t>
      </w:r>
      <w:r w:rsidR="00FA2882">
        <w:t xml:space="preserve">, 2023; </w:t>
      </w:r>
      <w:r w:rsidR="00022D79">
        <w:t>388: 1451-1464.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865BC5"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p w14:paraId="4DA70F13" w14:textId="77777777" w:rsidR="00C56902" w:rsidRDefault="00C5690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80BAE"/>
    <w:multiLevelType w:val="hybridMultilevel"/>
    <w:tmpl w:val="95546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2A4DF2"/>
    <w:multiLevelType w:val="hybridMultilevel"/>
    <w:tmpl w:val="61F6A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69473D"/>
    <w:multiLevelType w:val="hybridMultilevel"/>
    <w:tmpl w:val="5F000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9108CD"/>
    <w:multiLevelType w:val="hybridMultilevel"/>
    <w:tmpl w:val="2CD8C86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53F11"/>
    <w:multiLevelType w:val="multilevel"/>
    <w:tmpl w:val="7110F94C"/>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6"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9" w15:restartNumberingAfterBreak="0">
    <w:nsid w:val="194226C0"/>
    <w:multiLevelType w:val="hybridMultilevel"/>
    <w:tmpl w:val="A31AA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553213"/>
    <w:multiLevelType w:val="hybridMultilevel"/>
    <w:tmpl w:val="C8E239DC"/>
    <w:lvl w:ilvl="0" w:tplc="044C13E6">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2" w15:restartNumberingAfterBreak="0">
    <w:nsid w:val="29D3450B"/>
    <w:multiLevelType w:val="hybridMultilevel"/>
    <w:tmpl w:val="FCE8EDA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0BE2EDB"/>
    <w:multiLevelType w:val="hybridMultilevel"/>
    <w:tmpl w:val="6FC2D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D624D3"/>
    <w:multiLevelType w:val="hybridMultilevel"/>
    <w:tmpl w:val="CA8E5E2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6" w15:restartNumberingAfterBreak="0">
    <w:nsid w:val="48120DE2"/>
    <w:multiLevelType w:val="hybridMultilevel"/>
    <w:tmpl w:val="3C9A5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9"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0"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003296"/>
    <w:multiLevelType w:val="hybridMultilevel"/>
    <w:tmpl w:val="4C8CF8EC"/>
    <w:lvl w:ilvl="0" w:tplc="40708C4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3" w15:restartNumberingAfterBreak="0">
    <w:nsid w:val="5BD11955"/>
    <w:multiLevelType w:val="hybridMultilevel"/>
    <w:tmpl w:val="FA1456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5476E86"/>
    <w:multiLevelType w:val="hybridMultilevel"/>
    <w:tmpl w:val="B6C8CDA4"/>
    <w:lvl w:ilvl="0" w:tplc="C6542686">
      <w:start w:val="1"/>
      <w:numFmt w:val="bullet"/>
      <w:lvlText w:val=""/>
      <w:lvlJc w:val="left"/>
      <w:pPr>
        <w:ind w:left="1280" w:hanging="360"/>
      </w:pPr>
      <w:rPr>
        <w:rFonts w:ascii="Symbol" w:hAnsi="Symbol"/>
      </w:rPr>
    </w:lvl>
    <w:lvl w:ilvl="1" w:tplc="44000C1C">
      <w:start w:val="1"/>
      <w:numFmt w:val="bullet"/>
      <w:lvlText w:val=""/>
      <w:lvlJc w:val="left"/>
      <w:pPr>
        <w:ind w:left="1280" w:hanging="360"/>
      </w:pPr>
      <w:rPr>
        <w:rFonts w:ascii="Symbol" w:hAnsi="Symbol"/>
      </w:rPr>
    </w:lvl>
    <w:lvl w:ilvl="2" w:tplc="EBE8C9A8">
      <w:start w:val="1"/>
      <w:numFmt w:val="bullet"/>
      <w:lvlText w:val=""/>
      <w:lvlJc w:val="left"/>
      <w:pPr>
        <w:ind w:left="1280" w:hanging="360"/>
      </w:pPr>
      <w:rPr>
        <w:rFonts w:ascii="Symbol" w:hAnsi="Symbol"/>
      </w:rPr>
    </w:lvl>
    <w:lvl w:ilvl="3" w:tplc="ED740480">
      <w:start w:val="1"/>
      <w:numFmt w:val="bullet"/>
      <w:lvlText w:val=""/>
      <w:lvlJc w:val="left"/>
      <w:pPr>
        <w:ind w:left="1280" w:hanging="360"/>
      </w:pPr>
      <w:rPr>
        <w:rFonts w:ascii="Symbol" w:hAnsi="Symbol"/>
      </w:rPr>
    </w:lvl>
    <w:lvl w:ilvl="4" w:tplc="1C184A68">
      <w:start w:val="1"/>
      <w:numFmt w:val="bullet"/>
      <w:lvlText w:val=""/>
      <w:lvlJc w:val="left"/>
      <w:pPr>
        <w:ind w:left="1280" w:hanging="360"/>
      </w:pPr>
      <w:rPr>
        <w:rFonts w:ascii="Symbol" w:hAnsi="Symbol"/>
      </w:rPr>
    </w:lvl>
    <w:lvl w:ilvl="5" w:tplc="F6AEF22A">
      <w:start w:val="1"/>
      <w:numFmt w:val="bullet"/>
      <w:lvlText w:val=""/>
      <w:lvlJc w:val="left"/>
      <w:pPr>
        <w:ind w:left="1280" w:hanging="360"/>
      </w:pPr>
      <w:rPr>
        <w:rFonts w:ascii="Symbol" w:hAnsi="Symbol"/>
      </w:rPr>
    </w:lvl>
    <w:lvl w:ilvl="6" w:tplc="DCDCA402">
      <w:start w:val="1"/>
      <w:numFmt w:val="bullet"/>
      <w:lvlText w:val=""/>
      <w:lvlJc w:val="left"/>
      <w:pPr>
        <w:ind w:left="1280" w:hanging="360"/>
      </w:pPr>
      <w:rPr>
        <w:rFonts w:ascii="Symbol" w:hAnsi="Symbol"/>
      </w:rPr>
    </w:lvl>
    <w:lvl w:ilvl="7" w:tplc="76A661FA">
      <w:start w:val="1"/>
      <w:numFmt w:val="bullet"/>
      <w:lvlText w:val=""/>
      <w:lvlJc w:val="left"/>
      <w:pPr>
        <w:ind w:left="1280" w:hanging="360"/>
      </w:pPr>
      <w:rPr>
        <w:rFonts w:ascii="Symbol" w:hAnsi="Symbol"/>
      </w:rPr>
    </w:lvl>
    <w:lvl w:ilvl="8" w:tplc="287A3FAC">
      <w:start w:val="1"/>
      <w:numFmt w:val="bullet"/>
      <w:lvlText w:val=""/>
      <w:lvlJc w:val="left"/>
      <w:pPr>
        <w:ind w:left="1280" w:hanging="360"/>
      </w:pPr>
      <w:rPr>
        <w:rFonts w:ascii="Symbol" w:hAnsi="Symbol"/>
      </w:rPr>
    </w:lvl>
  </w:abstractNum>
  <w:abstractNum w:abstractNumId="25"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26" w15:restartNumberingAfterBreak="0">
    <w:nsid w:val="7F1C16C5"/>
    <w:multiLevelType w:val="hybridMultilevel"/>
    <w:tmpl w:val="CD1ADACA"/>
    <w:lvl w:ilvl="0" w:tplc="1D4A12CE">
      <w:start w:val="1"/>
      <w:numFmt w:val="bullet"/>
      <w:lvlText w:val="-"/>
      <w:lvlJc w:val="left"/>
      <w:pPr>
        <w:ind w:left="1800" w:hanging="360"/>
      </w:pPr>
      <w:rPr>
        <w:rFonts w:ascii="Arial" w:eastAsiaTheme="minorHAnsi"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16cid:durableId="1032997172">
    <w:abstractNumId w:val="7"/>
  </w:num>
  <w:num w:numId="2" w16cid:durableId="994338486">
    <w:abstractNumId w:val="4"/>
    <w:lvlOverride w:ilvl="0">
      <w:lvl w:ilvl="0">
        <w:start w:val="1"/>
        <w:numFmt w:val="decimal"/>
        <w:pStyle w:val="Numberbullet0"/>
        <w:lvlText w:val="%1."/>
        <w:lvlJc w:val="left"/>
        <w:pPr>
          <w:ind w:left="360" w:hanging="360"/>
        </w:pPr>
        <w:rPr>
          <w:rFonts w:ascii="Arial" w:hAnsi="Arial"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3" w16cid:durableId="357703499">
    <w:abstractNumId w:val="6"/>
  </w:num>
  <w:num w:numId="4" w16cid:durableId="1869176708">
    <w:abstractNumId w:val="20"/>
  </w:num>
  <w:num w:numId="5" w16cid:durableId="1652950129">
    <w:abstractNumId w:val="11"/>
  </w:num>
  <w:num w:numId="6" w16cid:durableId="1053193207">
    <w:abstractNumId w:val="18"/>
  </w:num>
  <w:num w:numId="7" w16cid:durableId="201135927">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9"/>
  </w:num>
  <w:num w:numId="9" w16cid:durableId="173421270">
    <w:abstractNumId w:val="5"/>
  </w:num>
  <w:num w:numId="10" w16cid:durableId="2108043357">
    <w:abstractNumId w:val="8"/>
  </w:num>
  <w:num w:numId="11" w16cid:durableId="1725904230">
    <w:abstractNumId w:val="15"/>
  </w:num>
  <w:num w:numId="12" w16cid:durableId="141579354">
    <w:abstractNumId w:val="22"/>
  </w:num>
  <w:num w:numId="13" w16cid:durableId="283735081">
    <w:abstractNumId w:val="25"/>
  </w:num>
  <w:num w:numId="14" w16cid:durableId="1599832037">
    <w:abstractNumId w:val="16"/>
  </w:num>
  <w:num w:numId="15" w16cid:durableId="72552618">
    <w:abstractNumId w:val="1"/>
  </w:num>
  <w:num w:numId="16" w16cid:durableId="538317488">
    <w:abstractNumId w:val="10"/>
  </w:num>
  <w:num w:numId="17" w16cid:durableId="391201864">
    <w:abstractNumId w:val="24"/>
  </w:num>
  <w:num w:numId="18" w16cid:durableId="429588622">
    <w:abstractNumId w:val="17"/>
  </w:num>
  <w:num w:numId="19" w16cid:durableId="1988507753">
    <w:abstractNumId w:val="13"/>
  </w:num>
  <w:num w:numId="20" w16cid:durableId="1290822102">
    <w:abstractNumId w:val="9"/>
  </w:num>
  <w:num w:numId="21" w16cid:durableId="311561972">
    <w:abstractNumId w:val="0"/>
  </w:num>
  <w:num w:numId="22" w16cid:durableId="1616281078">
    <w:abstractNumId w:val="14"/>
  </w:num>
  <w:num w:numId="23" w16cid:durableId="616178768">
    <w:abstractNumId w:val="12"/>
  </w:num>
  <w:num w:numId="24" w16cid:durableId="490945456">
    <w:abstractNumId w:val="21"/>
  </w:num>
  <w:num w:numId="25" w16cid:durableId="1894778351">
    <w:abstractNumId w:val="3"/>
  </w:num>
  <w:num w:numId="26" w16cid:durableId="996109851">
    <w:abstractNumId w:val="2"/>
  </w:num>
  <w:num w:numId="27" w16cid:durableId="15591253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498433">
    <w:abstractNumId w:val="26"/>
  </w:num>
  <w:num w:numId="29" w16cid:durableId="1050954099">
    <w:abstractNumId w:val="4"/>
  </w:num>
  <w:num w:numId="30" w16cid:durableId="412512017">
    <w:abstractNumId w:val="4"/>
    <w:lvlOverride w:ilvl="0">
      <w:startOverride w:val="1"/>
      <w:lvl w:ilvl="0">
        <w:start w:val="1"/>
        <w:numFmt w:val="decimal"/>
        <w:pStyle w:val="Numberbullet0"/>
        <w:lvlText w:val="%1."/>
        <w:lvlJc w:val="left"/>
        <w:pPr>
          <w:ind w:left="360" w:hanging="360"/>
        </w:pPr>
        <w:rPr>
          <w:rFonts w:ascii="Arial" w:hAnsi="Arial"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1" w16cid:durableId="46840078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EC2"/>
    <w:rsid w:val="00000E6E"/>
    <w:rsid w:val="00001084"/>
    <w:rsid w:val="00001FC4"/>
    <w:rsid w:val="00002588"/>
    <w:rsid w:val="0000374D"/>
    <w:rsid w:val="00004431"/>
    <w:rsid w:val="00005062"/>
    <w:rsid w:val="0000523E"/>
    <w:rsid w:val="00005D28"/>
    <w:rsid w:val="0001064C"/>
    <w:rsid w:val="00013416"/>
    <w:rsid w:val="0001384A"/>
    <w:rsid w:val="00020FF2"/>
    <w:rsid w:val="00022D79"/>
    <w:rsid w:val="0003006F"/>
    <w:rsid w:val="000322AF"/>
    <w:rsid w:val="00032A0F"/>
    <w:rsid w:val="00035D2F"/>
    <w:rsid w:val="00040D8D"/>
    <w:rsid w:val="00040DF5"/>
    <w:rsid w:val="000414E7"/>
    <w:rsid w:val="00046423"/>
    <w:rsid w:val="000465A7"/>
    <w:rsid w:val="000506DB"/>
    <w:rsid w:val="00052690"/>
    <w:rsid w:val="0005283B"/>
    <w:rsid w:val="0005677A"/>
    <w:rsid w:val="00057E43"/>
    <w:rsid w:val="0006104E"/>
    <w:rsid w:val="000640BD"/>
    <w:rsid w:val="000650D9"/>
    <w:rsid w:val="00065839"/>
    <w:rsid w:val="00065FDF"/>
    <w:rsid w:val="00067A73"/>
    <w:rsid w:val="00077844"/>
    <w:rsid w:val="0009002D"/>
    <w:rsid w:val="00090510"/>
    <w:rsid w:val="000917AE"/>
    <w:rsid w:val="00094B81"/>
    <w:rsid w:val="00095915"/>
    <w:rsid w:val="000975AA"/>
    <w:rsid w:val="000A6868"/>
    <w:rsid w:val="000B24D4"/>
    <w:rsid w:val="000B6B15"/>
    <w:rsid w:val="000B6BAE"/>
    <w:rsid w:val="000C18DA"/>
    <w:rsid w:val="000C25A7"/>
    <w:rsid w:val="000C3A58"/>
    <w:rsid w:val="000C61E1"/>
    <w:rsid w:val="000D09EA"/>
    <w:rsid w:val="000D37E7"/>
    <w:rsid w:val="000D78EC"/>
    <w:rsid w:val="000D7934"/>
    <w:rsid w:val="000E2597"/>
    <w:rsid w:val="000E6746"/>
    <w:rsid w:val="000F0488"/>
    <w:rsid w:val="000F7B51"/>
    <w:rsid w:val="00101BEE"/>
    <w:rsid w:val="00101CE6"/>
    <w:rsid w:val="00101FB1"/>
    <w:rsid w:val="0010558A"/>
    <w:rsid w:val="001100BB"/>
    <w:rsid w:val="001101FF"/>
    <w:rsid w:val="00111BB9"/>
    <w:rsid w:val="00113B5E"/>
    <w:rsid w:val="001143E9"/>
    <w:rsid w:val="00116F0E"/>
    <w:rsid w:val="00117FE8"/>
    <w:rsid w:val="001214A2"/>
    <w:rsid w:val="0012473C"/>
    <w:rsid w:val="00127A74"/>
    <w:rsid w:val="00130E05"/>
    <w:rsid w:val="0013132F"/>
    <w:rsid w:val="0013306D"/>
    <w:rsid w:val="0013528C"/>
    <w:rsid w:val="00144049"/>
    <w:rsid w:val="001442A2"/>
    <w:rsid w:val="001468CA"/>
    <w:rsid w:val="001500A8"/>
    <w:rsid w:val="00155D85"/>
    <w:rsid w:val="00157314"/>
    <w:rsid w:val="00164F81"/>
    <w:rsid w:val="00165D28"/>
    <w:rsid w:val="0017005C"/>
    <w:rsid w:val="0017148B"/>
    <w:rsid w:val="00173AC5"/>
    <w:rsid w:val="00175CD8"/>
    <w:rsid w:val="00176CE1"/>
    <w:rsid w:val="001803E1"/>
    <w:rsid w:val="00181D35"/>
    <w:rsid w:val="00182859"/>
    <w:rsid w:val="00182BD8"/>
    <w:rsid w:val="001839D1"/>
    <w:rsid w:val="0018446E"/>
    <w:rsid w:val="001846E9"/>
    <w:rsid w:val="00191513"/>
    <w:rsid w:val="0019165A"/>
    <w:rsid w:val="001A76F9"/>
    <w:rsid w:val="001B06FF"/>
    <w:rsid w:val="001B154E"/>
    <w:rsid w:val="001B1703"/>
    <w:rsid w:val="001B1930"/>
    <w:rsid w:val="001B21F6"/>
    <w:rsid w:val="001B23FE"/>
    <w:rsid w:val="001C1439"/>
    <w:rsid w:val="001C177E"/>
    <w:rsid w:val="001C1B44"/>
    <w:rsid w:val="001C1C2E"/>
    <w:rsid w:val="001C2296"/>
    <w:rsid w:val="001C31A1"/>
    <w:rsid w:val="001C3FA2"/>
    <w:rsid w:val="001C4076"/>
    <w:rsid w:val="001C48AC"/>
    <w:rsid w:val="001C5EE2"/>
    <w:rsid w:val="001D0077"/>
    <w:rsid w:val="001D29A8"/>
    <w:rsid w:val="001D3226"/>
    <w:rsid w:val="001D5757"/>
    <w:rsid w:val="001D583C"/>
    <w:rsid w:val="001E3611"/>
    <w:rsid w:val="001E407B"/>
    <w:rsid w:val="001E4B4C"/>
    <w:rsid w:val="001E63EC"/>
    <w:rsid w:val="001E7FC6"/>
    <w:rsid w:val="001F2051"/>
    <w:rsid w:val="001F2502"/>
    <w:rsid w:val="001F4EF5"/>
    <w:rsid w:val="001F69A4"/>
    <w:rsid w:val="001F70A5"/>
    <w:rsid w:val="001F751C"/>
    <w:rsid w:val="002006E3"/>
    <w:rsid w:val="0020235D"/>
    <w:rsid w:val="002024E9"/>
    <w:rsid w:val="0020344B"/>
    <w:rsid w:val="0020369B"/>
    <w:rsid w:val="00207B4D"/>
    <w:rsid w:val="002117B1"/>
    <w:rsid w:val="00214E40"/>
    <w:rsid w:val="00217CCE"/>
    <w:rsid w:val="002203B1"/>
    <w:rsid w:val="002235A2"/>
    <w:rsid w:val="00226F39"/>
    <w:rsid w:val="002313E4"/>
    <w:rsid w:val="002334AD"/>
    <w:rsid w:val="00241B60"/>
    <w:rsid w:val="00247D5D"/>
    <w:rsid w:val="00247FD8"/>
    <w:rsid w:val="0025184B"/>
    <w:rsid w:val="00254427"/>
    <w:rsid w:val="0025544A"/>
    <w:rsid w:val="0025785B"/>
    <w:rsid w:val="00257969"/>
    <w:rsid w:val="00262DBE"/>
    <w:rsid w:val="00266C51"/>
    <w:rsid w:val="00267A42"/>
    <w:rsid w:val="00267FA5"/>
    <w:rsid w:val="00270291"/>
    <w:rsid w:val="002709F9"/>
    <w:rsid w:val="002716D2"/>
    <w:rsid w:val="00272EDB"/>
    <w:rsid w:val="00280048"/>
    <w:rsid w:val="00283D4B"/>
    <w:rsid w:val="0028489E"/>
    <w:rsid w:val="002848DE"/>
    <w:rsid w:val="002871AA"/>
    <w:rsid w:val="0028794E"/>
    <w:rsid w:val="002901A7"/>
    <w:rsid w:val="002907CD"/>
    <w:rsid w:val="00292CBA"/>
    <w:rsid w:val="00293C05"/>
    <w:rsid w:val="00296702"/>
    <w:rsid w:val="002A0D0F"/>
    <w:rsid w:val="002A1438"/>
    <w:rsid w:val="002A2D69"/>
    <w:rsid w:val="002A3EA7"/>
    <w:rsid w:val="002A4CE3"/>
    <w:rsid w:val="002A5841"/>
    <w:rsid w:val="002A64D2"/>
    <w:rsid w:val="002A68D7"/>
    <w:rsid w:val="002B1EDF"/>
    <w:rsid w:val="002B2061"/>
    <w:rsid w:val="002C1232"/>
    <w:rsid w:val="002C1E44"/>
    <w:rsid w:val="002C5C92"/>
    <w:rsid w:val="002C5E29"/>
    <w:rsid w:val="002D0467"/>
    <w:rsid w:val="002D0478"/>
    <w:rsid w:val="002D3C0B"/>
    <w:rsid w:val="002D5A54"/>
    <w:rsid w:val="002D7127"/>
    <w:rsid w:val="002D7379"/>
    <w:rsid w:val="002E2364"/>
    <w:rsid w:val="002F593D"/>
    <w:rsid w:val="002F599E"/>
    <w:rsid w:val="002F7667"/>
    <w:rsid w:val="003008D8"/>
    <w:rsid w:val="00301A92"/>
    <w:rsid w:val="00301D9A"/>
    <w:rsid w:val="00303959"/>
    <w:rsid w:val="00306E72"/>
    <w:rsid w:val="00312AC3"/>
    <w:rsid w:val="0031310D"/>
    <w:rsid w:val="00314384"/>
    <w:rsid w:val="00314430"/>
    <w:rsid w:val="003163BC"/>
    <w:rsid w:val="0032351A"/>
    <w:rsid w:val="00323D14"/>
    <w:rsid w:val="00324B33"/>
    <w:rsid w:val="00327488"/>
    <w:rsid w:val="003343F9"/>
    <w:rsid w:val="00335170"/>
    <w:rsid w:val="00336FE1"/>
    <w:rsid w:val="00337786"/>
    <w:rsid w:val="00342670"/>
    <w:rsid w:val="00342D56"/>
    <w:rsid w:val="003456E7"/>
    <w:rsid w:val="00346665"/>
    <w:rsid w:val="00346EC2"/>
    <w:rsid w:val="003477F9"/>
    <w:rsid w:val="0035444D"/>
    <w:rsid w:val="0035495D"/>
    <w:rsid w:val="00354A35"/>
    <w:rsid w:val="00356440"/>
    <w:rsid w:val="00356D62"/>
    <w:rsid w:val="0036057B"/>
    <w:rsid w:val="00362099"/>
    <w:rsid w:val="00363EE3"/>
    <w:rsid w:val="00364AA7"/>
    <w:rsid w:val="00366F04"/>
    <w:rsid w:val="00370B23"/>
    <w:rsid w:val="003735F3"/>
    <w:rsid w:val="00374729"/>
    <w:rsid w:val="00376BD9"/>
    <w:rsid w:val="003827DA"/>
    <w:rsid w:val="00382C25"/>
    <w:rsid w:val="00387298"/>
    <w:rsid w:val="00387984"/>
    <w:rsid w:val="0039268A"/>
    <w:rsid w:val="00395140"/>
    <w:rsid w:val="003A0B16"/>
    <w:rsid w:val="003A0C35"/>
    <w:rsid w:val="003A130D"/>
    <w:rsid w:val="003A2422"/>
    <w:rsid w:val="003B149C"/>
    <w:rsid w:val="003B2FBE"/>
    <w:rsid w:val="003B5F21"/>
    <w:rsid w:val="003C0FDB"/>
    <w:rsid w:val="003C1192"/>
    <w:rsid w:val="003C1FFA"/>
    <w:rsid w:val="003C239F"/>
    <w:rsid w:val="003C55E2"/>
    <w:rsid w:val="003C5E3F"/>
    <w:rsid w:val="003C63D5"/>
    <w:rsid w:val="003C776B"/>
    <w:rsid w:val="003C7AA8"/>
    <w:rsid w:val="003D2B66"/>
    <w:rsid w:val="003D386E"/>
    <w:rsid w:val="003D49A4"/>
    <w:rsid w:val="003D4DE0"/>
    <w:rsid w:val="003D71A1"/>
    <w:rsid w:val="003E183A"/>
    <w:rsid w:val="003E1DEA"/>
    <w:rsid w:val="003F7651"/>
    <w:rsid w:val="00404764"/>
    <w:rsid w:val="0041001D"/>
    <w:rsid w:val="00410CBB"/>
    <w:rsid w:val="00412179"/>
    <w:rsid w:val="0041226D"/>
    <w:rsid w:val="004126C2"/>
    <w:rsid w:val="00414324"/>
    <w:rsid w:val="0041509E"/>
    <w:rsid w:val="0041688F"/>
    <w:rsid w:val="00416FD9"/>
    <w:rsid w:val="0042376F"/>
    <w:rsid w:val="004246B8"/>
    <w:rsid w:val="004248F1"/>
    <w:rsid w:val="00432523"/>
    <w:rsid w:val="00433318"/>
    <w:rsid w:val="00442A56"/>
    <w:rsid w:val="004444B0"/>
    <w:rsid w:val="0044468C"/>
    <w:rsid w:val="004452D0"/>
    <w:rsid w:val="0045060B"/>
    <w:rsid w:val="004552E6"/>
    <w:rsid w:val="00457E6F"/>
    <w:rsid w:val="00461E73"/>
    <w:rsid w:val="004626FF"/>
    <w:rsid w:val="00462A40"/>
    <w:rsid w:val="00463A3D"/>
    <w:rsid w:val="0046498F"/>
    <w:rsid w:val="004663C4"/>
    <w:rsid w:val="00470A52"/>
    <w:rsid w:val="00471BD5"/>
    <w:rsid w:val="00477C4E"/>
    <w:rsid w:val="00477F07"/>
    <w:rsid w:val="00481503"/>
    <w:rsid w:val="00481D12"/>
    <w:rsid w:val="00483673"/>
    <w:rsid w:val="004854A6"/>
    <w:rsid w:val="00487157"/>
    <w:rsid w:val="00491A55"/>
    <w:rsid w:val="00492DD4"/>
    <w:rsid w:val="00494C3E"/>
    <w:rsid w:val="00497DF1"/>
    <w:rsid w:val="004A07AC"/>
    <w:rsid w:val="004A318E"/>
    <w:rsid w:val="004A57E8"/>
    <w:rsid w:val="004B0DDF"/>
    <w:rsid w:val="004B3081"/>
    <w:rsid w:val="004B4A09"/>
    <w:rsid w:val="004C2B2A"/>
    <w:rsid w:val="004C41CE"/>
    <w:rsid w:val="004C631B"/>
    <w:rsid w:val="004C7178"/>
    <w:rsid w:val="004C7F52"/>
    <w:rsid w:val="004D2759"/>
    <w:rsid w:val="004D2BA3"/>
    <w:rsid w:val="004D2E29"/>
    <w:rsid w:val="004D2F00"/>
    <w:rsid w:val="004D31D8"/>
    <w:rsid w:val="004D4C9E"/>
    <w:rsid w:val="004D5388"/>
    <w:rsid w:val="004D662A"/>
    <w:rsid w:val="004E062E"/>
    <w:rsid w:val="004E10CD"/>
    <w:rsid w:val="004E5956"/>
    <w:rsid w:val="004E7A0A"/>
    <w:rsid w:val="004E7F16"/>
    <w:rsid w:val="004F18EC"/>
    <w:rsid w:val="004F664A"/>
    <w:rsid w:val="00500D68"/>
    <w:rsid w:val="0051249D"/>
    <w:rsid w:val="005126EC"/>
    <w:rsid w:val="00513EB1"/>
    <w:rsid w:val="00515835"/>
    <w:rsid w:val="00521436"/>
    <w:rsid w:val="00523798"/>
    <w:rsid w:val="00524E70"/>
    <w:rsid w:val="005300DB"/>
    <w:rsid w:val="0053377D"/>
    <w:rsid w:val="00535347"/>
    <w:rsid w:val="00535DFE"/>
    <w:rsid w:val="005373B5"/>
    <w:rsid w:val="00537AB7"/>
    <w:rsid w:val="005425EC"/>
    <w:rsid w:val="005462EC"/>
    <w:rsid w:val="0054669B"/>
    <w:rsid w:val="005507B4"/>
    <w:rsid w:val="005517F6"/>
    <w:rsid w:val="00555412"/>
    <w:rsid w:val="005555D4"/>
    <w:rsid w:val="00556398"/>
    <w:rsid w:val="005610D1"/>
    <w:rsid w:val="00562F42"/>
    <w:rsid w:val="00564DEF"/>
    <w:rsid w:val="005650CF"/>
    <w:rsid w:val="00565355"/>
    <w:rsid w:val="00565739"/>
    <w:rsid w:val="00566231"/>
    <w:rsid w:val="0056766D"/>
    <w:rsid w:val="00567E7A"/>
    <w:rsid w:val="00575215"/>
    <w:rsid w:val="005822F2"/>
    <w:rsid w:val="0058500A"/>
    <w:rsid w:val="0058575E"/>
    <w:rsid w:val="0058608B"/>
    <w:rsid w:val="0058636F"/>
    <w:rsid w:val="00586CB7"/>
    <w:rsid w:val="0058783C"/>
    <w:rsid w:val="00590C09"/>
    <w:rsid w:val="00590CE4"/>
    <w:rsid w:val="005911AE"/>
    <w:rsid w:val="00591C9E"/>
    <w:rsid w:val="005926E2"/>
    <w:rsid w:val="0059313A"/>
    <w:rsid w:val="00594CB5"/>
    <w:rsid w:val="005A3994"/>
    <w:rsid w:val="005A54EA"/>
    <w:rsid w:val="005A66B4"/>
    <w:rsid w:val="005A714A"/>
    <w:rsid w:val="005B023F"/>
    <w:rsid w:val="005B02A2"/>
    <w:rsid w:val="005B1417"/>
    <w:rsid w:val="005B1461"/>
    <w:rsid w:val="005B5AA4"/>
    <w:rsid w:val="005B69CF"/>
    <w:rsid w:val="005B7A81"/>
    <w:rsid w:val="005C0860"/>
    <w:rsid w:val="005C3F07"/>
    <w:rsid w:val="005C4B46"/>
    <w:rsid w:val="005C5DC5"/>
    <w:rsid w:val="005D2089"/>
    <w:rsid w:val="005D543C"/>
    <w:rsid w:val="005D6CDD"/>
    <w:rsid w:val="005D7514"/>
    <w:rsid w:val="005D7971"/>
    <w:rsid w:val="005D7E78"/>
    <w:rsid w:val="005E0FC6"/>
    <w:rsid w:val="005E1A7B"/>
    <w:rsid w:val="005E231F"/>
    <w:rsid w:val="005E23A3"/>
    <w:rsid w:val="005F01E2"/>
    <w:rsid w:val="005F08BC"/>
    <w:rsid w:val="005F2E04"/>
    <w:rsid w:val="005F5A57"/>
    <w:rsid w:val="00600DEF"/>
    <w:rsid w:val="00602D6E"/>
    <w:rsid w:val="006058C3"/>
    <w:rsid w:val="00605C05"/>
    <w:rsid w:val="0060635F"/>
    <w:rsid w:val="00611351"/>
    <w:rsid w:val="0061217D"/>
    <w:rsid w:val="0061230C"/>
    <w:rsid w:val="006169C5"/>
    <w:rsid w:val="00616F97"/>
    <w:rsid w:val="006275D4"/>
    <w:rsid w:val="006277A1"/>
    <w:rsid w:val="006304DD"/>
    <w:rsid w:val="006316A6"/>
    <w:rsid w:val="0063243D"/>
    <w:rsid w:val="00633BD7"/>
    <w:rsid w:val="00634580"/>
    <w:rsid w:val="00634884"/>
    <w:rsid w:val="006351D9"/>
    <w:rsid w:val="00637130"/>
    <w:rsid w:val="0063735E"/>
    <w:rsid w:val="00637F0E"/>
    <w:rsid w:val="006423F2"/>
    <w:rsid w:val="00643675"/>
    <w:rsid w:val="00650234"/>
    <w:rsid w:val="006528BC"/>
    <w:rsid w:val="00654596"/>
    <w:rsid w:val="00656796"/>
    <w:rsid w:val="0066044B"/>
    <w:rsid w:val="006630AA"/>
    <w:rsid w:val="00663544"/>
    <w:rsid w:val="0066553C"/>
    <w:rsid w:val="00666507"/>
    <w:rsid w:val="00666539"/>
    <w:rsid w:val="00666911"/>
    <w:rsid w:val="00670E87"/>
    <w:rsid w:val="006713F9"/>
    <w:rsid w:val="0067361F"/>
    <w:rsid w:val="00675F81"/>
    <w:rsid w:val="0067707A"/>
    <w:rsid w:val="0068143E"/>
    <w:rsid w:val="00681BD9"/>
    <w:rsid w:val="0068507D"/>
    <w:rsid w:val="00691AF2"/>
    <w:rsid w:val="00691B1B"/>
    <w:rsid w:val="006923AC"/>
    <w:rsid w:val="00692B80"/>
    <w:rsid w:val="00692CCD"/>
    <w:rsid w:val="00692D51"/>
    <w:rsid w:val="00694DD7"/>
    <w:rsid w:val="00695ACC"/>
    <w:rsid w:val="0069636B"/>
    <w:rsid w:val="00697F34"/>
    <w:rsid w:val="006A0E12"/>
    <w:rsid w:val="006A1762"/>
    <w:rsid w:val="006A1D9A"/>
    <w:rsid w:val="006A1F0B"/>
    <w:rsid w:val="006A277A"/>
    <w:rsid w:val="006A355E"/>
    <w:rsid w:val="006A3997"/>
    <w:rsid w:val="006A4999"/>
    <w:rsid w:val="006A4BE4"/>
    <w:rsid w:val="006A5973"/>
    <w:rsid w:val="006A75C5"/>
    <w:rsid w:val="006B1C30"/>
    <w:rsid w:val="006B1D7D"/>
    <w:rsid w:val="006B3A71"/>
    <w:rsid w:val="006B3EBF"/>
    <w:rsid w:val="006B7126"/>
    <w:rsid w:val="006C0617"/>
    <w:rsid w:val="006C33F7"/>
    <w:rsid w:val="006C45B9"/>
    <w:rsid w:val="006C6716"/>
    <w:rsid w:val="006C6B86"/>
    <w:rsid w:val="006D1AAE"/>
    <w:rsid w:val="006D4280"/>
    <w:rsid w:val="006D4379"/>
    <w:rsid w:val="006D4553"/>
    <w:rsid w:val="006D4A35"/>
    <w:rsid w:val="006D6B44"/>
    <w:rsid w:val="006E27FE"/>
    <w:rsid w:val="006E63F8"/>
    <w:rsid w:val="006E65D7"/>
    <w:rsid w:val="006E6677"/>
    <w:rsid w:val="006F0354"/>
    <w:rsid w:val="006F28FB"/>
    <w:rsid w:val="006F2989"/>
    <w:rsid w:val="006F3877"/>
    <w:rsid w:val="006F5FA7"/>
    <w:rsid w:val="007009BD"/>
    <w:rsid w:val="00701110"/>
    <w:rsid w:val="007020B9"/>
    <w:rsid w:val="007021E8"/>
    <w:rsid w:val="00702E91"/>
    <w:rsid w:val="0070330F"/>
    <w:rsid w:val="00703624"/>
    <w:rsid w:val="007046ED"/>
    <w:rsid w:val="00706B1A"/>
    <w:rsid w:val="007072A1"/>
    <w:rsid w:val="00710BC5"/>
    <w:rsid w:val="007121CA"/>
    <w:rsid w:val="0071736B"/>
    <w:rsid w:val="0072003B"/>
    <w:rsid w:val="00721059"/>
    <w:rsid w:val="007211E6"/>
    <w:rsid w:val="007220C4"/>
    <w:rsid w:val="00724306"/>
    <w:rsid w:val="00725DDB"/>
    <w:rsid w:val="0072658A"/>
    <w:rsid w:val="0073010B"/>
    <w:rsid w:val="007303EA"/>
    <w:rsid w:val="00732361"/>
    <w:rsid w:val="00733805"/>
    <w:rsid w:val="007357B9"/>
    <w:rsid w:val="0073712C"/>
    <w:rsid w:val="00740CDE"/>
    <w:rsid w:val="007412E9"/>
    <w:rsid w:val="00741AB9"/>
    <w:rsid w:val="00742D03"/>
    <w:rsid w:val="00744216"/>
    <w:rsid w:val="00745188"/>
    <w:rsid w:val="007452E8"/>
    <w:rsid w:val="00746990"/>
    <w:rsid w:val="00747093"/>
    <w:rsid w:val="0074799B"/>
    <w:rsid w:val="00750D70"/>
    <w:rsid w:val="00756880"/>
    <w:rsid w:val="0075739C"/>
    <w:rsid w:val="007575D0"/>
    <w:rsid w:val="007629CC"/>
    <w:rsid w:val="007662E0"/>
    <w:rsid w:val="00766540"/>
    <w:rsid w:val="007712B1"/>
    <w:rsid w:val="00774CB7"/>
    <w:rsid w:val="00775DC1"/>
    <w:rsid w:val="007760B4"/>
    <w:rsid w:val="00776E9C"/>
    <w:rsid w:val="00777CD7"/>
    <w:rsid w:val="007816D8"/>
    <w:rsid w:val="007821F5"/>
    <w:rsid w:val="00784150"/>
    <w:rsid w:val="00784402"/>
    <w:rsid w:val="0078440C"/>
    <w:rsid w:val="00787A9A"/>
    <w:rsid w:val="00787F44"/>
    <w:rsid w:val="00793272"/>
    <w:rsid w:val="00794B64"/>
    <w:rsid w:val="007967C3"/>
    <w:rsid w:val="007A0A33"/>
    <w:rsid w:val="007A13FF"/>
    <w:rsid w:val="007A1989"/>
    <w:rsid w:val="007A2986"/>
    <w:rsid w:val="007A3E09"/>
    <w:rsid w:val="007A427A"/>
    <w:rsid w:val="007A57B6"/>
    <w:rsid w:val="007B031C"/>
    <w:rsid w:val="007B04DE"/>
    <w:rsid w:val="007B06F0"/>
    <w:rsid w:val="007B0AE6"/>
    <w:rsid w:val="007B4D3A"/>
    <w:rsid w:val="007B5C8C"/>
    <w:rsid w:val="007B69F6"/>
    <w:rsid w:val="007B7846"/>
    <w:rsid w:val="007C0F0B"/>
    <w:rsid w:val="007C44D1"/>
    <w:rsid w:val="007C4AC0"/>
    <w:rsid w:val="007C57BC"/>
    <w:rsid w:val="007C7DDB"/>
    <w:rsid w:val="007D04CA"/>
    <w:rsid w:val="007D0A2B"/>
    <w:rsid w:val="007D1048"/>
    <w:rsid w:val="007D12A1"/>
    <w:rsid w:val="007D40E5"/>
    <w:rsid w:val="007D4138"/>
    <w:rsid w:val="007D78FF"/>
    <w:rsid w:val="007E4178"/>
    <w:rsid w:val="007E6B6E"/>
    <w:rsid w:val="007F0450"/>
    <w:rsid w:val="007F0A77"/>
    <w:rsid w:val="007F2560"/>
    <w:rsid w:val="007F50D3"/>
    <w:rsid w:val="007F56C4"/>
    <w:rsid w:val="007F6B1F"/>
    <w:rsid w:val="007F6DDD"/>
    <w:rsid w:val="00801B53"/>
    <w:rsid w:val="00804897"/>
    <w:rsid w:val="00806724"/>
    <w:rsid w:val="00815D91"/>
    <w:rsid w:val="008168B7"/>
    <w:rsid w:val="00816C3F"/>
    <w:rsid w:val="00817232"/>
    <w:rsid w:val="00820DAA"/>
    <w:rsid w:val="00824BF6"/>
    <w:rsid w:val="00824FCC"/>
    <w:rsid w:val="00825D51"/>
    <w:rsid w:val="00826270"/>
    <w:rsid w:val="008328E4"/>
    <w:rsid w:val="008329DB"/>
    <w:rsid w:val="00832FF6"/>
    <w:rsid w:val="00834E16"/>
    <w:rsid w:val="00835A13"/>
    <w:rsid w:val="008361C5"/>
    <w:rsid w:val="0083628F"/>
    <w:rsid w:val="00837AB9"/>
    <w:rsid w:val="008412B7"/>
    <w:rsid w:val="00850637"/>
    <w:rsid w:val="008518EE"/>
    <w:rsid w:val="00852D4D"/>
    <w:rsid w:val="00854D98"/>
    <w:rsid w:val="0085751E"/>
    <w:rsid w:val="00860A49"/>
    <w:rsid w:val="00860B29"/>
    <w:rsid w:val="008622E8"/>
    <w:rsid w:val="00863FE1"/>
    <w:rsid w:val="008644B8"/>
    <w:rsid w:val="008645EE"/>
    <w:rsid w:val="00865BC5"/>
    <w:rsid w:val="00870144"/>
    <w:rsid w:val="00872DD7"/>
    <w:rsid w:val="00873D7A"/>
    <w:rsid w:val="0087714E"/>
    <w:rsid w:val="00877CB3"/>
    <w:rsid w:val="00880339"/>
    <w:rsid w:val="008804CF"/>
    <w:rsid w:val="0088163C"/>
    <w:rsid w:val="00882A4B"/>
    <w:rsid w:val="00882D58"/>
    <w:rsid w:val="00882F19"/>
    <w:rsid w:val="00883D35"/>
    <w:rsid w:val="00884569"/>
    <w:rsid w:val="00886E39"/>
    <w:rsid w:val="00887A51"/>
    <w:rsid w:val="00890D9B"/>
    <w:rsid w:val="00891C6C"/>
    <w:rsid w:val="00893CCD"/>
    <w:rsid w:val="008946B1"/>
    <w:rsid w:val="008960EB"/>
    <w:rsid w:val="008964B3"/>
    <w:rsid w:val="008A1911"/>
    <w:rsid w:val="008A4BB6"/>
    <w:rsid w:val="008B1CB5"/>
    <w:rsid w:val="008B78AB"/>
    <w:rsid w:val="008C08B2"/>
    <w:rsid w:val="008C0C06"/>
    <w:rsid w:val="008C2D69"/>
    <w:rsid w:val="008C4719"/>
    <w:rsid w:val="008C49C6"/>
    <w:rsid w:val="008C754C"/>
    <w:rsid w:val="008D3486"/>
    <w:rsid w:val="008D56C9"/>
    <w:rsid w:val="008D6A54"/>
    <w:rsid w:val="008E08AC"/>
    <w:rsid w:val="008E2585"/>
    <w:rsid w:val="008E2D7A"/>
    <w:rsid w:val="008E3335"/>
    <w:rsid w:val="008E5C17"/>
    <w:rsid w:val="008E6676"/>
    <w:rsid w:val="008F0255"/>
    <w:rsid w:val="008F0750"/>
    <w:rsid w:val="008F1052"/>
    <w:rsid w:val="008F3215"/>
    <w:rsid w:val="008F4A62"/>
    <w:rsid w:val="008F7256"/>
    <w:rsid w:val="009000DA"/>
    <w:rsid w:val="00900FD7"/>
    <w:rsid w:val="009037B5"/>
    <w:rsid w:val="0090424C"/>
    <w:rsid w:val="0090427F"/>
    <w:rsid w:val="0090605E"/>
    <w:rsid w:val="00907798"/>
    <w:rsid w:val="009108CE"/>
    <w:rsid w:val="00915A9F"/>
    <w:rsid w:val="00915E41"/>
    <w:rsid w:val="0092011D"/>
    <w:rsid w:val="009237F2"/>
    <w:rsid w:val="00930D58"/>
    <w:rsid w:val="00931929"/>
    <w:rsid w:val="00932DDF"/>
    <w:rsid w:val="00932FD8"/>
    <w:rsid w:val="00934522"/>
    <w:rsid w:val="00935AAA"/>
    <w:rsid w:val="0093721A"/>
    <w:rsid w:val="0094284C"/>
    <w:rsid w:val="009440A0"/>
    <w:rsid w:val="009500FE"/>
    <w:rsid w:val="0095031E"/>
    <w:rsid w:val="00954297"/>
    <w:rsid w:val="009542FA"/>
    <w:rsid w:val="00956650"/>
    <w:rsid w:val="00956C1B"/>
    <w:rsid w:val="00960A56"/>
    <w:rsid w:val="0096264C"/>
    <w:rsid w:val="00966EF1"/>
    <w:rsid w:val="00967223"/>
    <w:rsid w:val="0097057F"/>
    <w:rsid w:val="00970974"/>
    <w:rsid w:val="009751F7"/>
    <w:rsid w:val="0098000F"/>
    <w:rsid w:val="0098350E"/>
    <w:rsid w:val="00993055"/>
    <w:rsid w:val="0099404F"/>
    <w:rsid w:val="00994A8D"/>
    <w:rsid w:val="0099622F"/>
    <w:rsid w:val="00996FA5"/>
    <w:rsid w:val="009A338A"/>
    <w:rsid w:val="009A4C72"/>
    <w:rsid w:val="009B2FF4"/>
    <w:rsid w:val="009B3D86"/>
    <w:rsid w:val="009B5662"/>
    <w:rsid w:val="009B5D17"/>
    <w:rsid w:val="009B5DD5"/>
    <w:rsid w:val="009B6DE9"/>
    <w:rsid w:val="009B73A9"/>
    <w:rsid w:val="009C2211"/>
    <w:rsid w:val="009C40E8"/>
    <w:rsid w:val="009C45C5"/>
    <w:rsid w:val="009D214E"/>
    <w:rsid w:val="009D7326"/>
    <w:rsid w:val="009E5ACE"/>
    <w:rsid w:val="009E6858"/>
    <w:rsid w:val="009E6F8C"/>
    <w:rsid w:val="009F11E4"/>
    <w:rsid w:val="009F1A63"/>
    <w:rsid w:val="009F3E60"/>
    <w:rsid w:val="009F405F"/>
    <w:rsid w:val="009F4FA7"/>
    <w:rsid w:val="00A006D7"/>
    <w:rsid w:val="00A01B30"/>
    <w:rsid w:val="00A01C56"/>
    <w:rsid w:val="00A1112A"/>
    <w:rsid w:val="00A1241A"/>
    <w:rsid w:val="00A1491B"/>
    <w:rsid w:val="00A16C3E"/>
    <w:rsid w:val="00A22CD0"/>
    <w:rsid w:val="00A2560C"/>
    <w:rsid w:val="00A30B4B"/>
    <w:rsid w:val="00A31EBC"/>
    <w:rsid w:val="00A32195"/>
    <w:rsid w:val="00A32C50"/>
    <w:rsid w:val="00A358E7"/>
    <w:rsid w:val="00A361BB"/>
    <w:rsid w:val="00A4015F"/>
    <w:rsid w:val="00A40690"/>
    <w:rsid w:val="00A4308A"/>
    <w:rsid w:val="00A4380B"/>
    <w:rsid w:val="00A45C6B"/>
    <w:rsid w:val="00A47F29"/>
    <w:rsid w:val="00A507AE"/>
    <w:rsid w:val="00A51A2D"/>
    <w:rsid w:val="00A53C38"/>
    <w:rsid w:val="00A5596B"/>
    <w:rsid w:val="00A5706A"/>
    <w:rsid w:val="00A57FAA"/>
    <w:rsid w:val="00A63C07"/>
    <w:rsid w:val="00A63D9B"/>
    <w:rsid w:val="00A704DC"/>
    <w:rsid w:val="00A708EE"/>
    <w:rsid w:val="00A7445D"/>
    <w:rsid w:val="00A74B09"/>
    <w:rsid w:val="00A83FF4"/>
    <w:rsid w:val="00A86E2C"/>
    <w:rsid w:val="00A91AC5"/>
    <w:rsid w:val="00A92F29"/>
    <w:rsid w:val="00A93DC6"/>
    <w:rsid w:val="00A9411A"/>
    <w:rsid w:val="00A965A3"/>
    <w:rsid w:val="00A972F6"/>
    <w:rsid w:val="00AA3565"/>
    <w:rsid w:val="00AA3D27"/>
    <w:rsid w:val="00AA4A4B"/>
    <w:rsid w:val="00AA6682"/>
    <w:rsid w:val="00AA6869"/>
    <w:rsid w:val="00AB1066"/>
    <w:rsid w:val="00AB13DA"/>
    <w:rsid w:val="00AB5FC6"/>
    <w:rsid w:val="00AB6D0D"/>
    <w:rsid w:val="00AB7C5C"/>
    <w:rsid w:val="00AB7CBF"/>
    <w:rsid w:val="00AC2710"/>
    <w:rsid w:val="00AC49B8"/>
    <w:rsid w:val="00AD0111"/>
    <w:rsid w:val="00AD0985"/>
    <w:rsid w:val="00AD156C"/>
    <w:rsid w:val="00AD4C72"/>
    <w:rsid w:val="00AD5451"/>
    <w:rsid w:val="00AE1947"/>
    <w:rsid w:val="00AE1B35"/>
    <w:rsid w:val="00AE4123"/>
    <w:rsid w:val="00AE7200"/>
    <w:rsid w:val="00AF1C8B"/>
    <w:rsid w:val="00AF299B"/>
    <w:rsid w:val="00AF64F5"/>
    <w:rsid w:val="00AF6C47"/>
    <w:rsid w:val="00AF7E43"/>
    <w:rsid w:val="00B02AE0"/>
    <w:rsid w:val="00B04321"/>
    <w:rsid w:val="00B05326"/>
    <w:rsid w:val="00B13820"/>
    <w:rsid w:val="00B14372"/>
    <w:rsid w:val="00B14545"/>
    <w:rsid w:val="00B14E60"/>
    <w:rsid w:val="00B163BE"/>
    <w:rsid w:val="00B17BA2"/>
    <w:rsid w:val="00B23ECC"/>
    <w:rsid w:val="00B26DC3"/>
    <w:rsid w:val="00B30B9D"/>
    <w:rsid w:val="00B30BC7"/>
    <w:rsid w:val="00B45477"/>
    <w:rsid w:val="00B4551A"/>
    <w:rsid w:val="00B4574D"/>
    <w:rsid w:val="00B468E1"/>
    <w:rsid w:val="00B46BC0"/>
    <w:rsid w:val="00B46DFB"/>
    <w:rsid w:val="00B507AF"/>
    <w:rsid w:val="00B5141B"/>
    <w:rsid w:val="00B55681"/>
    <w:rsid w:val="00B57AAD"/>
    <w:rsid w:val="00B652F9"/>
    <w:rsid w:val="00B6638F"/>
    <w:rsid w:val="00B664E7"/>
    <w:rsid w:val="00B6712D"/>
    <w:rsid w:val="00B7143A"/>
    <w:rsid w:val="00B72AC3"/>
    <w:rsid w:val="00B72B16"/>
    <w:rsid w:val="00B77ADA"/>
    <w:rsid w:val="00B80408"/>
    <w:rsid w:val="00B81397"/>
    <w:rsid w:val="00B869E1"/>
    <w:rsid w:val="00B8739B"/>
    <w:rsid w:val="00B87CCE"/>
    <w:rsid w:val="00B925DB"/>
    <w:rsid w:val="00B92791"/>
    <w:rsid w:val="00B92A58"/>
    <w:rsid w:val="00B95F19"/>
    <w:rsid w:val="00B967FF"/>
    <w:rsid w:val="00B969A5"/>
    <w:rsid w:val="00B974B9"/>
    <w:rsid w:val="00BA3F6D"/>
    <w:rsid w:val="00BA4BE6"/>
    <w:rsid w:val="00BA4FC0"/>
    <w:rsid w:val="00BA61E0"/>
    <w:rsid w:val="00BA7F7D"/>
    <w:rsid w:val="00BB1C14"/>
    <w:rsid w:val="00BB4692"/>
    <w:rsid w:val="00BB57A3"/>
    <w:rsid w:val="00BB5FFF"/>
    <w:rsid w:val="00BB6015"/>
    <w:rsid w:val="00BB6847"/>
    <w:rsid w:val="00BB7F8F"/>
    <w:rsid w:val="00BC394D"/>
    <w:rsid w:val="00BC6131"/>
    <w:rsid w:val="00BC716A"/>
    <w:rsid w:val="00BD07DF"/>
    <w:rsid w:val="00BD26F4"/>
    <w:rsid w:val="00BD5DBD"/>
    <w:rsid w:val="00BD5DF6"/>
    <w:rsid w:val="00BE0041"/>
    <w:rsid w:val="00BE375F"/>
    <w:rsid w:val="00BE640F"/>
    <w:rsid w:val="00BF3D7E"/>
    <w:rsid w:val="00BF4638"/>
    <w:rsid w:val="00C0037E"/>
    <w:rsid w:val="00C018DE"/>
    <w:rsid w:val="00C059D0"/>
    <w:rsid w:val="00C07551"/>
    <w:rsid w:val="00C1109F"/>
    <w:rsid w:val="00C12D65"/>
    <w:rsid w:val="00C133AB"/>
    <w:rsid w:val="00C16A62"/>
    <w:rsid w:val="00C20B56"/>
    <w:rsid w:val="00C218A3"/>
    <w:rsid w:val="00C22214"/>
    <w:rsid w:val="00C254B1"/>
    <w:rsid w:val="00C26F72"/>
    <w:rsid w:val="00C309A7"/>
    <w:rsid w:val="00C31791"/>
    <w:rsid w:val="00C335AB"/>
    <w:rsid w:val="00C35807"/>
    <w:rsid w:val="00C35CDD"/>
    <w:rsid w:val="00C366D6"/>
    <w:rsid w:val="00C37716"/>
    <w:rsid w:val="00C407AB"/>
    <w:rsid w:val="00C43898"/>
    <w:rsid w:val="00C47A36"/>
    <w:rsid w:val="00C47E63"/>
    <w:rsid w:val="00C51A91"/>
    <w:rsid w:val="00C52B7B"/>
    <w:rsid w:val="00C53116"/>
    <w:rsid w:val="00C547CD"/>
    <w:rsid w:val="00C56902"/>
    <w:rsid w:val="00C570FF"/>
    <w:rsid w:val="00C57403"/>
    <w:rsid w:val="00C57CEA"/>
    <w:rsid w:val="00C60FEC"/>
    <w:rsid w:val="00C62870"/>
    <w:rsid w:val="00C648B5"/>
    <w:rsid w:val="00C6504D"/>
    <w:rsid w:val="00C6574E"/>
    <w:rsid w:val="00C679AC"/>
    <w:rsid w:val="00C707FD"/>
    <w:rsid w:val="00C74DCC"/>
    <w:rsid w:val="00C752D3"/>
    <w:rsid w:val="00C76A32"/>
    <w:rsid w:val="00C76DEB"/>
    <w:rsid w:val="00C816C6"/>
    <w:rsid w:val="00C84946"/>
    <w:rsid w:val="00C84C4D"/>
    <w:rsid w:val="00C863A7"/>
    <w:rsid w:val="00C90965"/>
    <w:rsid w:val="00C9129C"/>
    <w:rsid w:val="00C912F4"/>
    <w:rsid w:val="00C9156F"/>
    <w:rsid w:val="00C95232"/>
    <w:rsid w:val="00C9581A"/>
    <w:rsid w:val="00C95C54"/>
    <w:rsid w:val="00C95F41"/>
    <w:rsid w:val="00C97D29"/>
    <w:rsid w:val="00CB0550"/>
    <w:rsid w:val="00CB05BF"/>
    <w:rsid w:val="00CB158F"/>
    <w:rsid w:val="00CB2410"/>
    <w:rsid w:val="00CB6439"/>
    <w:rsid w:val="00CB6813"/>
    <w:rsid w:val="00CC1C11"/>
    <w:rsid w:val="00CC4772"/>
    <w:rsid w:val="00CC574D"/>
    <w:rsid w:val="00CD3134"/>
    <w:rsid w:val="00CD37C0"/>
    <w:rsid w:val="00CD3EF0"/>
    <w:rsid w:val="00CD4041"/>
    <w:rsid w:val="00CE0A6E"/>
    <w:rsid w:val="00CE0B0F"/>
    <w:rsid w:val="00CE1EB2"/>
    <w:rsid w:val="00CE4525"/>
    <w:rsid w:val="00CE550C"/>
    <w:rsid w:val="00CE5A3B"/>
    <w:rsid w:val="00CE6E03"/>
    <w:rsid w:val="00CF1C64"/>
    <w:rsid w:val="00CF3179"/>
    <w:rsid w:val="00CF6A55"/>
    <w:rsid w:val="00CF6DC6"/>
    <w:rsid w:val="00CF6DCF"/>
    <w:rsid w:val="00D01DDB"/>
    <w:rsid w:val="00D076E8"/>
    <w:rsid w:val="00D078BE"/>
    <w:rsid w:val="00D13F8A"/>
    <w:rsid w:val="00D16F60"/>
    <w:rsid w:val="00D22981"/>
    <w:rsid w:val="00D31F24"/>
    <w:rsid w:val="00D3279F"/>
    <w:rsid w:val="00D3349B"/>
    <w:rsid w:val="00D340C3"/>
    <w:rsid w:val="00D424A8"/>
    <w:rsid w:val="00D431B7"/>
    <w:rsid w:val="00D4758D"/>
    <w:rsid w:val="00D52B11"/>
    <w:rsid w:val="00D6036F"/>
    <w:rsid w:val="00D62877"/>
    <w:rsid w:val="00D63095"/>
    <w:rsid w:val="00D63760"/>
    <w:rsid w:val="00D6703F"/>
    <w:rsid w:val="00D720DB"/>
    <w:rsid w:val="00D734EB"/>
    <w:rsid w:val="00D7359B"/>
    <w:rsid w:val="00D76178"/>
    <w:rsid w:val="00D81A11"/>
    <w:rsid w:val="00D82713"/>
    <w:rsid w:val="00D86F00"/>
    <w:rsid w:val="00D918D5"/>
    <w:rsid w:val="00D93F97"/>
    <w:rsid w:val="00D94C8E"/>
    <w:rsid w:val="00DA0869"/>
    <w:rsid w:val="00DA0E29"/>
    <w:rsid w:val="00DA1B50"/>
    <w:rsid w:val="00DB1372"/>
    <w:rsid w:val="00DB192C"/>
    <w:rsid w:val="00DB1CF3"/>
    <w:rsid w:val="00DB26AA"/>
    <w:rsid w:val="00DB5051"/>
    <w:rsid w:val="00DB5425"/>
    <w:rsid w:val="00DB72A6"/>
    <w:rsid w:val="00DC01D0"/>
    <w:rsid w:val="00DC265D"/>
    <w:rsid w:val="00DC2F31"/>
    <w:rsid w:val="00DC6611"/>
    <w:rsid w:val="00DD3DFC"/>
    <w:rsid w:val="00DE05ED"/>
    <w:rsid w:val="00DE1344"/>
    <w:rsid w:val="00DE40FB"/>
    <w:rsid w:val="00DE46A4"/>
    <w:rsid w:val="00DE5ED3"/>
    <w:rsid w:val="00DE5F24"/>
    <w:rsid w:val="00DF2DAE"/>
    <w:rsid w:val="00DF33FE"/>
    <w:rsid w:val="00DF5BFE"/>
    <w:rsid w:val="00E01E1E"/>
    <w:rsid w:val="00E0523F"/>
    <w:rsid w:val="00E052DA"/>
    <w:rsid w:val="00E20F90"/>
    <w:rsid w:val="00E23E50"/>
    <w:rsid w:val="00E2437F"/>
    <w:rsid w:val="00E243A1"/>
    <w:rsid w:val="00E26213"/>
    <w:rsid w:val="00E26746"/>
    <w:rsid w:val="00E274DF"/>
    <w:rsid w:val="00E30563"/>
    <w:rsid w:val="00E31181"/>
    <w:rsid w:val="00E34D66"/>
    <w:rsid w:val="00E34F49"/>
    <w:rsid w:val="00E362C4"/>
    <w:rsid w:val="00E41AA4"/>
    <w:rsid w:val="00E46831"/>
    <w:rsid w:val="00E46CC2"/>
    <w:rsid w:val="00E47E0C"/>
    <w:rsid w:val="00E51813"/>
    <w:rsid w:val="00E52C0B"/>
    <w:rsid w:val="00E53D3F"/>
    <w:rsid w:val="00E5579B"/>
    <w:rsid w:val="00E5646A"/>
    <w:rsid w:val="00E57FAC"/>
    <w:rsid w:val="00E57FF4"/>
    <w:rsid w:val="00E65BD3"/>
    <w:rsid w:val="00E66149"/>
    <w:rsid w:val="00E672F2"/>
    <w:rsid w:val="00E679D1"/>
    <w:rsid w:val="00E67AEF"/>
    <w:rsid w:val="00E67C1C"/>
    <w:rsid w:val="00E71672"/>
    <w:rsid w:val="00E72C34"/>
    <w:rsid w:val="00E72E4F"/>
    <w:rsid w:val="00E740F9"/>
    <w:rsid w:val="00E76B10"/>
    <w:rsid w:val="00E83613"/>
    <w:rsid w:val="00E87CFF"/>
    <w:rsid w:val="00E91F11"/>
    <w:rsid w:val="00E92E30"/>
    <w:rsid w:val="00E94ED9"/>
    <w:rsid w:val="00E96D6C"/>
    <w:rsid w:val="00E9706D"/>
    <w:rsid w:val="00E97AB6"/>
    <w:rsid w:val="00EA0921"/>
    <w:rsid w:val="00EA2ED8"/>
    <w:rsid w:val="00EA3AF4"/>
    <w:rsid w:val="00EA5915"/>
    <w:rsid w:val="00EB15A2"/>
    <w:rsid w:val="00EB498F"/>
    <w:rsid w:val="00EE322C"/>
    <w:rsid w:val="00EE528B"/>
    <w:rsid w:val="00EE62B2"/>
    <w:rsid w:val="00EE6457"/>
    <w:rsid w:val="00EE78E6"/>
    <w:rsid w:val="00EF215F"/>
    <w:rsid w:val="00EF3F0B"/>
    <w:rsid w:val="00EF5583"/>
    <w:rsid w:val="00F0289D"/>
    <w:rsid w:val="00F02AEC"/>
    <w:rsid w:val="00F03D75"/>
    <w:rsid w:val="00F0427D"/>
    <w:rsid w:val="00F0626A"/>
    <w:rsid w:val="00F07572"/>
    <w:rsid w:val="00F105B4"/>
    <w:rsid w:val="00F10601"/>
    <w:rsid w:val="00F157FC"/>
    <w:rsid w:val="00F16C00"/>
    <w:rsid w:val="00F2014F"/>
    <w:rsid w:val="00F22549"/>
    <w:rsid w:val="00F238D1"/>
    <w:rsid w:val="00F23D8F"/>
    <w:rsid w:val="00F25744"/>
    <w:rsid w:val="00F275AB"/>
    <w:rsid w:val="00F30614"/>
    <w:rsid w:val="00F30AF3"/>
    <w:rsid w:val="00F3135C"/>
    <w:rsid w:val="00F329D8"/>
    <w:rsid w:val="00F336C7"/>
    <w:rsid w:val="00F414BB"/>
    <w:rsid w:val="00F4285B"/>
    <w:rsid w:val="00F42CE5"/>
    <w:rsid w:val="00F43919"/>
    <w:rsid w:val="00F43CD1"/>
    <w:rsid w:val="00F45AE0"/>
    <w:rsid w:val="00F461CF"/>
    <w:rsid w:val="00F51A3A"/>
    <w:rsid w:val="00F51FEA"/>
    <w:rsid w:val="00F56395"/>
    <w:rsid w:val="00F60CF2"/>
    <w:rsid w:val="00F6416E"/>
    <w:rsid w:val="00F657B4"/>
    <w:rsid w:val="00F75A0C"/>
    <w:rsid w:val="00F7649F"/>
    <w:rsid w:val="00F77A41"/>
    <w:rsid w:val="00F8083B"/>
    <w:rsid w:val="00F80BE7"/>
    <w:rsid w:val="00F80E41"/>
    <w:rsid w:val="00F83421"/>
    <w:rsid w:val="00F844C7"/>
    <w:rsid w:val="00F865A7"/>
    <w:rsid w:val="00F867DF"/>
    <w:rsid w:val="00F91B2E"/>
    <w:rsid w:val="00F94A5C"/>
    <w:rsid w:val="00F94C0C"/>
    <w:rsid w:val="00FA0754"/>
    <w:rsid w:val="00FA1BC9"/>
    <w:rsid w:val="00FA2637"/>
    <w:rsid w:val="00FA2882"/>
    <w:rsid w:val="00FA49C3"/>
    <w:rsid w:val="00FB236E"/>
    <w:rsid w:val="00FB3344"/>
    <w:rsid w:val="00FB3F7B"/>
    <w:rsid w:val="00FB4C2A"/>
    <w:rsid w:val="00FB6295"/>
    <w:rsid w:val="00FC2107"/>
    <w:rsid w:val="00FC2938"/>
    <w:rsid w:val="00FC48FE"/>
    <w:rsid w:val="00FC4B7D"/>
    <w:rsid w:val="00FC6F56"/>
    <w:rsid w:val="00FD6BB7"/>
    <w:rsid w:val="00FE087C"/>
    <w:rsid w:val="00FE4F4C"/>
    <w:rsid w:val="00FE66D9"/>
    <w:rsid w:val="00FE79A0"/>
    <w:rsid w:val="00FF0939"/>
    <w:rsid w:val="00FF2409"/>
    <w:rsid w:val="00FF7AB3"/>
    <w:rsid w:val="0E36049F"/>
    <w:rsid w:val="2269C378"/>
    <w:rsid w:val="241B832E"/>
    <w:rsid w:val="3AA762D4"/>
    <w:rsid w:val="5847435A"/>
    <w:rsid w:val="6DA7C960"/>
    <w:rsid w:val="6EF34446"/>
    <w:rsid w:val="789D25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docId w15:val="{2B46D4F8-7846-496F-8E78-500EDB254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Heading2"/>
    <w:next w:val="Normal"/>
    <w:link w:val="Heading1Char"/>
    <w:qFormat/>
    <w:rsid w:val="00191513"/>
    <w:pPr>
      <w:spacing w:before="120" w:after="360"/>
      <w:outlineLvl w:val="0"/>
    </w:pPr>
    <w:rPr>
      <w:rFonts w:cs="Arial"/>
      <w:color w:val="auto"/>
      <w:sz w:val="64"/>
      <w:szCs w:val="64"/>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qFormat/>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qFormat/>
    <w:rsid w:val="00191513"/>
    <w:pPr>
      <w:keepNext/>
      <w:spacing w:before="120" w:after="60" w:line="180" w:lineRule="atLeast"/>
      <w:outlineLvl w:val="6"/>
    </w:pPr>
    <w:rPr>
      <w:rFonts w:eastAsia="Times New Roman" w:cs="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qFormat/>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qFormat/>
    <w:rsid w:val="0056766D"/>
  </w:style>
  <w:style w:type="paragraph" w:customStyle="1" w:styleId="LegalSubheading">
    <w:name w:val="Legal Subheading"/>
    <w:basedOn w:val="Footer"/>
    <w:qFormat/>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FC6F56"/>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9"/>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3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qFormat/>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Yu Gothic Light" w:hAnsi="Yu Gothic Light"/>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qFormat/>
    <w:rsid w:val="003D2B66"/>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3D2B66"/>
    <w:pPr>
      <w:keepNext/>
      <w:keepLines/>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Default">
    <w:name w:val="Default"/>
    <w:rsid w:val="00040DF5"/>
    <w:pPr>
      <w:autoSpaceDE w:val="0"/>
      <w:autoSpaceDN w:val="0"/>
      <w:adjustRightInd w:val="0"/>
      <w:spacing w:after="0" w:line="240" w:lineRule="auto"/>
    </w:pPr>
    <w:rPr>
      <w:rFonts w:ascii="Cambria" w:hAnsi="Cambria" w:cs="Cambria"/>
      <w:color w:val="000000"/>
      <w:sz w:val="24"/>
      <w:szCs w:val="24"/>
    </w:rPr>
  </w:style>
  <w:style w:type="character" w:customStyle="1" w:styleId="Heading1Char">
    <w:name w:val="Heading 1 Char"/>
    <w:basedOn w:val="DefaultParagraphFont"/>
    <w:link w:val="Heading1"/>
    <w:rsid w:val="00191513"/>
    <w:rPr>
      <w:rFonts w:ascii="Arial" w:eastAsia="Times New Roman" w:hAnsi="Arial" w:cs="Arial"/>
      <w:b/>
      <w:bCs/>
      <w:sz w:val="64"/>
      <w:szCs w:val="64"/>
    </w:rPr>
  </w:style>
  <w:style w:type="character" w:customStyle="1" w:styleId="Heading7Char">
    <w:name w:val="Heading 7 Char"/>
    <w:basedOn w:val="DefaultParagraphFont"/>
    <w:link w:val="Heading7"/>
    <w:uiPriority w:val="9"/>
    <w:rsid w:val="00191513"/>
    <w:rPr>
      <w:rFonts w:ascii="Cambria" w:eastAsia="Times New Roman" w:hAnsi="Cambria" w:cs="Times New Roman"/>
      <w:bCs/>
      <w:szCs w:val="24"/>
    </w:rPr>
  </w:style>
  <w:style w:type="paragraph" w:customStyle="1" w:styleId="AxisLabel">
    <w:name w:val="Axis Label"/>
    <w:basedOn w:val="Normal"/>
    <w:qFormat/>
    <w:rsid w:val="00191513"/>
    <w:pPr>
      <w:spacing w:before="120" w:after="0" w:line="240" w:lineRule="auto"/>
    </w:pPr>
    <w:rPr>
      <w:rFonts w:ascii="Arial" w:eastAsia="Cambria" w:hAnsi="Arial" w:cs="Times New Roman"/>
      <w:noProof/>
      <w:sz w:val="14"/>
      <w:szCs w:val="22"/>
      <w:lang w:eastAsia="en-AU"/>
    </w:rPr>
  </w:style>
  <w:style w:type="paragraph" w:customStyle="1" w:styleId="AxisTitle">
    <w:name w:val="Axis Title"/>
    <w:basedOn w:val="Normal"/>
    <w:qFormat/>
    <w:rsid w:val="00191513"/>
    <w:pPr>
      <w:spacing w:before="120" w:after="0" w:line="240" w:lineRule="auto"/>
    </w:pPr>
    <w:rPr>
      <w:rFonts w:ascii="Arial" w:eastAsia="Cambria" w:hAnsi="Arial" w:cs="Times New Roman"/>
      <w:sz w:val="16"/>
      <w:szCs w:val="22"/>
    </w:rPr>
  </w:style>
  <w:style w:type="paragraph" w:customStyle="1" w:styleId="Contents">
    <w:name w:val="Contents"/>
    <w:basedOn w:val="Normal"/>
    <w:rsid w:val="00191513"/>
    <w:pPr>
      <w:spacing w:after="0" w:line="240" w:lineRule="atLeast"/>
    </w:pPr>
    <w:rPr>
      <w:rFonts w:ascii="Arial" w:eastAsia="Cambria" w:hAnsi="Arial" w:cs="Times New Roman"/>
      <w:b/>
      <w:sz w:val="48"/>
      <w:szCs w:val="22"/>
    </w:rPr>
  </w:style>
  <w:style w:type="paragraph" w:customStyle="1" w:styleId="HeaderNoLine0">
    <w:name w:val="Header No Line"/>
    <w:basedOn w:val="Header"/>
    <w:rsid w:val="00191513"/>
    <w:pPr>
      <w:pBdr>
        <w:bottom w:val="none" w:sz="0" w:space="0" w:color="auto"/>
      </w:pBdr>
      <w:spacing w:before="120" w:after="240"/>
      <w:jc w:val="left"/>
    </w:pPr>
    <w:rPr>
      <w:rFonts w:ascii="Cambria" w:hAnsi="Cambria"/>
      <w:color w:val="auto"/>
      <w:szCs w:val="22"/>
    </w:rPr>
  </w:style>
  <w:style w:type="paragraph" w:customStyle="1" w:styleId="Key">
    <w:name w:val="Key"/>
    <w:basedOn w:val="Normal"/>
    <w:qFormat/>
    <w:rsid w:val="00191513"/>
    <w:pPr>
      <w:spacing w:before="120" w:line="240" w:lineRule="atLeast"/>
    </w:pPr>
    <w:rPr>
      <w:rFonts w:eastAsia="Cambria" w:cs="Times New Roman"/>
      <w:sz w:val="14"/>
      <w:szCs w:val="22"/>
    </w:rPr>
  </w:style>
  <w:style w:type="table" w:styleId="LightShading-Accent2">
    <w:name w:val="Light Shading Accent 2"/>
    <w:basedOn w:val="TableNormal"/>
    <w:uiPriority w:val="60"/>
    <w:rsid w:val="00191513"/>
    <w:pPr>
      <w:spacing w:after="0" w:line="240" w:lineRule="auto"/>
    </w:pPr>
    <w:rPr>
      <w:rFonts w:ascii="Cambria" w:eastAsia="Calibri" w:hAnsi="Cambria" w:cs="Times New Roman"/>
      <w:color w:val="943634"/>
      <w:sz w:val="21"/>
      <w:szCs w:val="21"/>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191513"/>
    <w:pPr>
      <w:spacing w:after="0" w:line="240" w:lineRule="auto"/>
    </w:pPr>
    <w:rPr>
      <w:rFonts w:ascii="Cambria" w:eastAsia="Times New Roman" w:hAnsi="Cambria" w:cs="Times New Roman"/>
      <w:color w:val="000000"/>
      <w:sz w:val="21"/>
      <w:szCs w:val="21"/>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qFormat/>
    <w:locked/>
    <w:rsid w:val="00191513"/>
    <w:pPr>
      <w:spacing w:before="120" w:after="0" w:line="240" w:lineRule="auto"/>
    </w:pPr>
    <w:rPr>
      <w:rFonts w:ascii="Arial" w:eastAsia="Cambria" w:hAnsi="Arial" w:cs="Times New Roman"/>
      <w:sz w:val="16"/>
      <w:szCs w:val="22"/>
    </w:rPr>
  </w:style>
  <w:style w:type="character" w:styleId="PlaceholderText">
    <w:name w:val="Placeholder Text"/>
    <w:uiPriority w:val="99"/>
    <w:semiHidden/>
    <w:rsid w:val="00191513"/>
    <w:rPr>
      <w:color w:val="808080"/>
    </w:rPr>
  </w:style>
  <w:style w:type="paragraph" w:customStyle="1" w:styleId="Reference">
    <w:name w:val="Reference"/>
    <w:basedOn w:val="Normal"/>
    <w:rsid w:val="00191513"/>
    <w:pPr>
      <w:spacing w:before="40" w:after="0" w:line="180" w:lineRule="atLeast"/>
      <w:ind w:hanging="170"/>
    </w:pPr>
    <w:rPr>
      <w:rFonts w:eastAsia="Cambria" w:cs="Times New Roman"/>
      <w:sz w:val="19"/>
      <w:szCs w:val="22"/>
    </w:rPr>
  </w:style>
  <w:style w:type="paragraph" w:customStyle="1" w:styleId="Tabletext0">
    <w:name w:val="Table text"/>
    <w:basedOn w:val="Normal"/>
    <w:rsid w:val="00191513"/>
    <w:pPr>
      <w:spacing w:before="120" w:line="240" w:lineRule="atLeast"/>
    </w:pPr>
    <w:rPr>
      <w:rFonts w:eastAsia="Cambria" w:cs="Times New Roman"/>
      <w:sz w:val="19"/>
      <w:szCs w:val="22"/>
    </w:rPr>
  </w:style>
  <w:style w:type="table" w:customStyle="1" w:styleId="TableTGAblack">
    <w:name w:val="Table TGA black"/>
    <w:basedOn w:val="TableNormal"/>
    <w:uiPriority w:val="99"/>
    <w:rsid w:val="00191513"/>
    <w:pPr>
      <w:spacing w:before="60" w:after="0" w:line="240" w:lineRule="auto"/>
      <w:ind w:left="170" w:right="170"/>
    </w:pPr>
    <w:rPr>
      <w:rFonts w:ascii="Cambria" w:eastAsia="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Verdana" w:hAnsi="Verdana"/>
        <w:b/>
        <w:color w:val="FFFFFF"/>
        <w:sz w:val="22"/>
      </w:rPr>
      <w:tblPr/>
      <w:tcPr>
        <w:shd w:val="clear" w:color="auto" w:fill="000000"/>
      </w:tcPr>
    </w:tblStylePr>
    <w:tblStylePr w:type="lastRow">
      <w:rPr>
        <w:b w:val="0"/>
      </w:rPr>
    </w:tblStylePr>
    <w:tblStylePr w:type="neCell">
      <w:rPr>
        <w:b w:val="0"/>
        <w:i w:val="0"/>
      </w:rPr>
    </w:tblStylePr>
    <w:tblStylePr w:type="nwCell">
      <w:rPr>
        <w:rFonts w:ascii="Verdana" w:hAnsi="Verdana"/>
        <w:b/>
        <w:i w:val="0"/>
        <w:color w:val="FFFFFF"/>
        <w:sz w:val="22"/>
      </w:rPr>
    </w:tblStylePr>
  </w:style>
  <w:style w:type="paragraph" w:styleId="TOCHeading">
    <w:name w:val="TOC Heading"/>
    <w:basedOn w:val="Heading1"/>
    <w:next w:val="Normal"/>
    <w:uiPriority w:val="39"/>
    <w:semiHidden/>
    <w:unhideWhenUsed/>
    <w:qFormat/>
    <w:rsid w:val="00191513"/>
    <w:pPr>
      <w:framePr w:wrap="around" w:hAnchor="text"/>
      <w:spacing w:before="480" w:after="0" w:line="276" w:lineRule="auto"/>
      <w:outlineLvl w:val="9"/>
    </w:pPr>
    <w:rPr>
      <w:rFonts w:cs="Times New Roman"/>
      <w:color w:val="002035"/>
      <w:sz w:val="28"/>
      <w:lang w:val="en-US"/>
    </w:rPr>
  </w:style>
  <w:style w:type="paragraph" w:customStyle="1" w:styleId="Quotation">
    <w:name w:val="Quotation"/>
    <w:basedOn w:val="Normal"/>
    <w:next w:val="Normal"/>
    <w:uiPriority w:val="4"/>
    <w:qFormat/>
    <w:rsid w:val="00191513"/>
    <w:pPr>
      <w:spacing w:before="120" w:after="180" w:line="240" w:lineRule="atLeast"/>
      <w:ind w:left="425"/>
    </w:pPr>
    <w:rPr>
      <w:rFonts w:eastAsia="PMingLiU" w:cs="Times New Roman"/>
      <w:sz w:val="20"/>
      <w:szCs w:val="22"/>
      <w:lang w:eastAsia="zh-TW"/>
    </w:rPr>
  </w:style>
  <w:style w:type="paragraph" w:customStyle="1" w:styleId="Comment">
    <w:name w:val="Comment"/>
    <w:basedOn w:val="Normal"/>
    <w:next w:val="Normal"/>
    <w:uiPriority w:val="1"/>
    <w:qFormat/>
    <w:rsid w:val="00191513"/>
    <w:pPr>
      <w:spacing w:before="120" w:line="240" w:lineRule="atLeast"/>
      <w:ind w:left="992" w:hanging="992"/>
    </w:pPr>
    <w:rPr>
      <w:rFonts w:eastAsia="Cambria" w:cs="Times New Roman"/>
      <w:szCs w:val="22"/>
    </w:rPr>
  </w:style>
  <w:style w:type="paragraph" w:styleId="EndnoteText">
    <w:name w:val="endnote text"/>
    <w:basedOn w:val="Normal"/>
    <w:link w:val="EndnoteTextChar"/>
    <w:uiPriority w:val="99"/>
    <w:semiHidden/>
    <w:unhideWhenUsed/>
    <w:rsid w:val="00191513"/>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semiHidden/>
    <w:rsid w:val="00191513"/>
    <w:rPr>
      <w:rFonts w:ascii="Cambria" w:eastAsia="Cambria" w:hAnsi="Cambria" w:cs="Times New Roman"/>
    </w:rPr>
  </w:style>
  <w:style w:type="character" w:styleId="EndnoteReference">
    <w:name w:val="endnote reference"/>
    <w:uiPriority w:val="99"/>
    <w:semiHidden/>
    <w:unhideWhenUsed/>
    <w:rsid w:val="00191513"/>
    <w:rPr>
      <w:vertAlign w:val="superscript"/>
    </w:rPr>
  </w:style>
  <w:style w:type="paragraph" w:customStyle="1" w:styleId="FigureCaption">
    <w:name w:val="Figure Caption"/>
    <w:basedOn w:val="Normal"/>
    <w:qFormat/>
    <w:rsid w:val="00191513"/>
    <w:pPr>
      <w:adjustRightInd w:val="0"/>
      <w:snapToGrid w:val="0"/>
      <w:spacing w:before="180" w:after="180" w:line="240" w:lineRule="atLeast"/>
    </w:pPr>
    <w:rPr>
      <w:rFonts w:eastAsia="MS Mincho" w:cs="Times New Roman"/>
      <w:lang w:eastAsia="ja-JP"/>
    </w:rPr>
  </w:style>
  <w:style w:type="paragraph" w:customStyle="1" w:styleId="TableCaption">
    <w:name w:val="Table Caption"/>
    <w:basedOn w:val="FigureCaption"/>
    <w:qFormat/>
    <w:rsid w:val="00191513"/>
    <w:pPr>
      <w:spacing w:after="240"/>
    </w:pPr>
    <w:rPr>
      <w:sz w:val="17"/>
    </w:rPr>
  </w:style>
  <w:style w:type="table" w:customStyle="1" w:styleId="TableTGA2">
    <w:name w:val="Table TGA 2"/>
    <w:basedOn w:val="TableNormal"/>
    <w:uiPriority w:val="99"/>
    <w:rsid w:val="00191513"/>
    <w:pPr>
      <w:spacing w:before="60" w:after="0" w:line="240" w:lineRule="auto"/>
    </w:pPr>
    <w:rPr>
      <w:rFonts w:ascii="Cambria" w:eastAsia="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Verdana" w:hAnsi="Verdan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Verdana" w:hAnsi="Verdana"/>
        <w:b/>
        <w:i w:val="0"/>
        <w:color w:val="FFFFFF"/>
        <w:sz w:val="22"/>
      </w:rPr>
    </w:tblStylePr>
  </w:style>
  <w:style w:type="paragraph" w:customStyle="1" w:styleId="Subject">
    <w:name w:val="Subject"/>
    <w:basedOn w:val="Normal"/>
    <w:qFormat/>
    <w:rsid w:val="00191513"/>
    <w:pPr>
      <w:adjustRightInd w:val="0"/>
      <w:snapToGrid w:val="0"/>
      <w:spacing w:before="180" w:after="180" w:line="240" w:lineRule="atLeast"/>
    </w:pPr>
    <w:rPr>
      <w:rFonts w:eastAsia="MS Mincho" w:cs="Times New Roman"/>
      <w:b/>
      <w:lang w:eastAsia="ja-JP"/>
    </w:rPr>
  </w:style>
  <w:style w:type="paragraph" w:customStyle="1" w:styleId="Addressee">
    <w:name w:val="Addressee"/>
    <w:basedOn w:val="Normal"/>
    <w:qFormat/>
    <w:rsid w:val="00191513"/>
    <w:pPr>
      <w:adjustRightInd w:val="0"/>
      <w:snapToGrid w:val="0"/>
      <w:spacing w:before="180" w:after="180" w:line="240" w:lineRule="atLeast"/>
    </w:pPr>
    <w:rPr>
      <w:rFonts w:eastAsia="MS Mincho" w:cs="Times New Roman"/>
      <w:lang w:eastAsia="ja-JP"/>
    </w:rPr>
  </w:style>
  <w:style w:type="character" w:customStyle="1" w:styleId="ABN">
    <w:name w:val="ABN"/>
    <w:uiPriority w:val="1"/>
    <w:qFormat/>
    <w:rsid w:val="00191513"/>
    <w:rPr>
      <w:rFonts w:ascii="Arial" w:hAnsi="Arial"/>
      <w:color w:val="002C47"/>
      <w:sz w:val="14"/>
    </w:rPr>
  </w:style>
  <w:style w:type="paragraph" w:customStyle="1" w:styleId="BodyCopy">
    <w:name w:val="Body Copy"/>
    <w:basedOn w:val="Normal"/>
    <w:qFormat/>
    <w:rsid w:val="00191513"/>
    <w:pPr>
      <w:adjustRightInd w:val="0"/>
      <w:snapToGrid w:val="0"/>
      <w:spacing w:before="180" w:after="180" w:line="240" w:lineRule="atLeast"/>
    </w:pPr>
    <w:rPr>
      <w:rFonts w:eastAsia="MS Mincho" w:cs="Times New Roman"/>
      <w:lang w:eastAsia="ja-JP"/>
    </w:rPr>
  </w:style>
  <w:style w:type="paragraph" w:customStyle="1" w:styleId="Standard">
    <w:name w:val="Standard"/>
    <w:basedOn w:val="Normal"/>
    <w:link w:val="StandardChar"/>
    <w:qFormat/>
    <w:rsid w:val="00191513"/>
    <w:pPr>
      <w:spacing w:after="220" w:line="252" w:lineRule="auto"/>
    </w:pPr>
    <w:rPr>
      <w:rFonts w:eastAsia="Times New Roman" w:cs="Times New Roman"/>
      <w:snapToGrid w:val="0"/>
      <w:kern w:val="16"/>
      <w:sz w:val="23"/>
      <w:szCs w:val="24"/>
    </w:rPr>
  </w:style>
  <w:style w:type="character" w:customStyle="1" w:styleId="StandardChar">
    <w:name w:val="Standard Char"/>
    <w:link w:val="Standard"/>
    <w:rsid w:val="00191513"/>
    <w:rPr>
      <w:rFonts w:ascii="Cambria" w:eastAsia="Times New Roman" w:hAnsi="Cambria" w:cs="Times New Roman"/>
      <w:snapToGrid w:val="0"/>
      <w:kern w:val="16"/>
      <w:sz w:val="23"/>
      <w:szCs w:val="24"/>
    </w:rPr>
  </w:style>
  <w:style w:type="paragraph" w:customStyle="1" w:styleId="Bulletpoint">
    <w:name w:val="Bullet point"/>
    <w:basedOn w:val="Standard"/>
    <w:rsid w:val="00191513"/>
    <w:pPr>
      <w:numPr>
        <w:numId w:val="18"/>
      </w:numPr>
      <w:tabs>
        <w:tab w:val="clear" w:pos="369"/>
        <w:tab w:val="left" w:pos="397"/>
        <w:tab w:val="num" w:pos="511"/>
      </w:tabs>
      <w:spacing w:after="180"/>
      <w:ind w:left="0" w:firstLine="0"/>
    </w:pPr>
    <w:rPr>
      <w:sz w:val="22"/>
    </w:rPr>
  </w:style>
  <w:style w:type="paragraph" w:customStyle="1" w:styleId="PISubsection">
    <w:name w:val="PI Subsection"/>
    <w:basedOn w:val="Standard"/>
    <w:next w:val="Standard"/>
    <w:rsid w:val="00191513"/>
    <w:pPr>
      <w:keepNext/>
      <w:spacing w:after="120"/>
    </w:pPr>
    <w:rPr>
      <w:b/>
      <w:i/>
      <w:kern w:val="2"/>
      <w:sz w:val="22"/>
    </w:rPr>
  </w:style>
  <w:style w:type="paragraph" w:customStyle="1" w:styleId="Bulletlist">
    <w:name w:val="Bullet list"/>
    <w:basedOn w:val="Standard"/>
    <w:link w:val="BulletlistChar"/>
    <w:qFormat/>
    <w:rsid w:val="001C1439"/>
    <w:pPr>
      <w:numPr>
        <w:numId w:val="25"/>
      </w:numPr>
      <w:spacing w:after="180"/>
    </w:pPr>
    <w:rPr>
      <w:kern w:val="2"/>
      <w:szCs w:val="22"/>
    </w:rPr>
  </w:style>
  <w:style w:type="character" w:customStyle="1" w:styleId="BulletlistChar">
    <w:name w:val="Bullet list Char"/>
    <w:basedOn w:val="StandardChar"/>
    <w:link w:val="Bulletlist"/>
    <w:rsid w:val="001C1439"/>
    <w:rPr>
      <w:rFonts w:ascii="Cambria" w:eastAsia="Times New Roman" w:hAnsi="Cambria" w:cs="Times New Roman"/>
      <w:snapToGrid w:val="0"/>
      <w:kern w:val="2"/>
      <w:sz w:val="23"/>
      <w:szCs w:val="22"/>
    </w:rPr>
  </w:style>
  <w:style w:type="paragraph" w:customStyle="1" w:styleId="pf0">
    <w:name w:val="pf0"/>
    <w:basedOn w:val="Normal"/>
    <w:rsid w:val="0025184B"/>
    <w:pPr>
      <w:spacing w:before="100" w:beforeAutospacing="1" w:after="100" w:afterAutospacing="1" w:line="240" w:lineRule="auto"/>
      <w:ind w:left="360"/>
    </w:pPr>
    <w:rPr>
      <w:rFonts w:ascii="Times New Roman" w:eastAsia="Times New Roman" w:hAnsi="Times New Roman" w:cs="Times New Roman"/>
      <w:sz w:val="24"/>
      <w:szCs w:val="24"/>
      <w:lang w:eastAsia="en-AU"/>
    </w:rPr>
  </w:style>
  <w:style w:type="character" w:customStyle="1" w:styleId="cf01">
    <w:name w:val="cf01"/>
    <w:basedOn w:val="DefaultParagraphFont"/>
    <w:rsid w:val="0025184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840437134">
      <w:bodyDiv w:val="1"/>
      <w:marLeft w:val="0"/>
      <w:marRight w:val="0"/>
      <w:marTop w:val="0"/>
      <w:marBottom w:val="0"/>
      <w:divBdr>
        <w:top w:val="none" w:sz="0" w:space="0" w:color="auto"/>
        <w:left w:val="none" w:sz="0" w:space="0" w:color="auto"/>
        <w:bottom w:val="none" w:sz="0" w:space="0" w:color="auto"/>
        <w:right w:val="none" w:sz="0" w:space="0" w:color="auto"/>
      </w:divBdr>
    </w:div>
    <w:div w:id="1265263804">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tga.gov.au/resources/resource/international-scientific-guidelines/international-scientific-guideline-treatment-and-prophylaxis-respiratory-syncytial-virus-rsv-disease"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2.png"/><Relationship Id="rId89"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hyperlink" Target="https://www.tga.gov.au/publication/risk-management-plans-medicines-and-biologicals" TargetMode="External"/><Relationship Id="rId92" Type="http://schemas.openxmlformats.org/officeDocument/2006/relationships/hyperlink" Target="mailto:vaccines@health.gov.au" TargetMode="External"/><Relationship Id="rId2" Type="http://schemas.openxmlformats.org/officeDocument/2006/relationships/numbering" Target="numbering.xml"/><Relationship Id="rId16" Type="http://schemas.openxmlformats.org/officeDocument/2006/relationships/hyperlink" Target="https://www.tga.gov.au/products/medicines/find-information-about-medicine/prescribing-medicines-pregnancy-database" TargetMode="External"/><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hyperlink" Target="https://www.tga.gov.au/resources/resource/guidance/risk-management-plans-medicines-and-biologicals/australia-specific-annex-eu-rmp" TargetMode="External"/><Relationship Id="rId79" Type="http://schemas.openxmlformats.org/officeDocument/2006/relationships/image" Target="media/image57.png"/><Relationship Id="rId87" Type="http://schemas.openxmlformats.org/officeDocument/2006/relationships/image" Target="media/image65.png"/><Relationship Id="rId102"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0.png"/><Relationship Id="rId90" Type="http://schemas.openxmlformats.org/officeDocument/2006/relationships/image" Target="media/image68.png"/><Relationship Id="rId95" Type="http://schemas.openxmlformats.org/officeDocument/2006/relationships/hyperlink" Target="https://www.tga.gov.au/products/australian-register-therapeutic-goods-artg/product-information-one" TargetMode="External"/><Relationship Id="rId19" Type="http://schemas.openxmlformats.org/officeDocument/2006/relationships/hyperlink" Target="https://www.tga.gov.au/resources/resource/international-scientific-guidelines/international-scientific-guideline-guideline-clinical-evaluation-new-vaccines" TargetMode="External"/><Relationship Id="rId14" Type="http://schemas.openxmlformats.org/officeDocument/2006/relationships/hyperlink" Target="mailto:tga.copyright@tga.gov.au" TargetMode="External"/><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emf"/><Relationship Id="rId77" Type="http://schemas.openxmlformats.org/officeDocument/2006/relationships/image" Target="media/image55.png"/><Relationship Id="rId100" Type="http://schemas.openxmlformats.org/officeDocument/2006/relationships/hyperlink" Target="mailto:info@tga.gov.au" TargetMode="External"/><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hyperlink" Target="https://www.tga.gov.au/tgas-risk-management-approach" TargetMode="External"/><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hyperlink" Target="https://www.tga.gov.au/resources/resource/guidance/guidance-7-certified-product-details" TargetMode="External"/><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hyperlink" Target="https://www.tga.gov.au/obstetric-drug-information-services" TargetMode="External"/><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footer" Target="footer4.xml"/><Relationship Id="rId20" Type="http://schemas.openxmlformats.org/officeDocument/2006/relationships/hyperlink" Target="https://www.tga.gov.au/resources/resource/international-scientific-guidelines/international-scientific-guideline-guideline-adjuvants-vaccines-human-use"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hyperlink" Target="https://www.tga.gov.au/committee/advisory-committee-vaccines-acv" TargetMode="External"/><Relationship Id="rId96" Type="http://schemas.openxmlformats.org/officeDocument/2006/relationships/hyperlink" Target="https://www.tga.gov.au/products/australian-register-therapeutic-goods-artg/consumer-medicines-information-cm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ga.gov.au/black-triangle-scheme" TargetMode="Externa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hyperlink" Target="https://www.tga.gov.au/resources/resource/guidance/risk-management-plans-medicines-and-biologicals/australia-specific-annex-eu-rmp" TargetMode="External"/><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hyperlink" Target="https://www.tga.gov.au/products/australian-register-therapeutic-goods-artg/product-information-one" TargetMode="External"/><Relationship Id="rId99" Type="http://schemas.openxmlformats.org/officeDocument/2006/relationships/footer" Target="footer3.xml"/><Relationship Id="rId101"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how-we-regulate/supply-therapeutic-good-0/supply-prescription-medicine/application-process/prescription-medicines-registration-process"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4.png"/><Relationship Id="rId97" Type="http://schemas.openxmlformats.org/officeDocument/2006/relationships/hyperlink" Target="https://www.tga.gov.au/picmi-search-facility" TargetMode="External"/><Relationship Id="rId10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59</Pages>
  <Words>12230</Words>
  <Characters>69228</Characters>
  <Application>Microsoft Office Word</Application>
  <DocSecurity>0</DocSecurity>
  <Lines>1573</Lines>
  <Paragraphs>905</Paragraphs>
  <ScaleCrop>false</ScaleCrop>
  <HeadingPairs>
    <vt:vector size="2" baseType="variant">
      <vt:variant>
        <vt:lpstr>Title</vt:lpstr>
      </vt:variant>
      <vt:variant>
        <vt:i4>1</vt:i4>
      </vt:variant>
    </vt:vector>
  </HeadingPairs>
  <TitlesOfParts>
    <vt:vector size="1" baseType="lpstr">
      <vt:lpstr>Australian public assessment report for AusPAR: Abrysvo</vt:lpstr>
    </vt:vector>
  </TitlesOfParts>
  <Company>Department of Health and Aged Care</Company>
  <LinksUpToDate>false</LinksUpToDate>
  <CharactersWithSpaces>80553</CharactersWithSpaces>
  <SharedDoc>false</SharedDoc>
  <HLinks>
    <vt:vector size="300" baseType="variant">
      <vt:variant>
        <vt:i4>3473445</vt:i4>
      </vt:variant>
      <vt:variant>
        <vt:i4>252</vt:i4>
      </vt:variant>
      <vt:variant>
        <vt:i4>0</vt:i4>
      </vt:variant>
      <vt:variant>
        <vt:i4>5</vt:i4>
      </vt:variant>
      <vt:variant>
        <vt:lpwstr>https://www.tga.gov.au/</vt:lpwstr>
      </vt:variant>
      <vt:variant>
        <vt:lpwstr/>
      </vt:variant>
      <vt:variant>
        <vt:i4>5242926</vt:i4>
      </vt:variant>
      <vt:variant>
        <vt:i4>249</vt:i4>
      </vt:variant>
      <vt:variant>
        <vt:i4>0</vt:i4>
      </vt:variant>
      <vt:variant>
        <vt:i4>5</vt:i4>
      </vt:variant>
      <vt:variant>
        <vt:lpwstr>mailto:info@tga.gov.au</vt:lpwstr>
      </vt:variant>
      <vt:variant>
        <vt:lpwstr/>
      </vt:variant>
      <vt:variant>
        <vt:i4>720961</vt:i4>
      </vt:variant>
      <vt:variant>
        <vt:i4>246</vt:i4>
      </vt:variant>
      <vt:variant>
        <vt:i4>0</vt:i4>
      </vt:variant>
      <vt:variant>
        <vt:i4>5</vt:i4>
      </vt:variant>
      <vt:variant>
        <vt:lpwstr>https://www.tga.gov.au/picmi-search-facility</vt:lpwstr>
      </vt:variant>
      <vt:variant>
        <vt:lpwstr/>
      </vt:variant>
      <vt:variant>
        <vt:i4>983049</vt:i4>
      </vt:variant>
      <vt:variant>
        <vt:i4>243</vt:i4>
      </vt:variant>
      <vt:variant>
        <vt:i4>0</vt:i4>
      </vt:variant>
      <vt:variant>
        <vt:i4>5</vt:i4>
      </vt:variant>
      <vt:variant>
        <vt:lpwstr>https://www.tga.gov.au/products/australian-register-therapeutic-goods-artg/consumer-medicines-information-cmi</vt:lpwstr>
      </vt:variant>
      <vt:variant>
        <vt:lpwstr/>
      </vt:variant>
      <vt:variant>
        <vt:i4>2752617</vt:i4>
      </vt:variant>
      <vt:variant>
        <vt:i4>240</vt:i4>
      </vt:variant>
      <vt:variant>
        <vt:i4>0</vt:i4>
      </vt:variant>
      <vt:variant>
        <vt:i4>5</vt:i4>
      </vt:variant>
      <vt:variant>
        <vt:lpwstr>https://www.tga.gov.au/products/australian-register-therapeutic-goods-artg/product-information-one</vt:lpwstr>
      </vt:variant>
      <vt:variant>
        <vt:lpwstr/>
      </vt:variant>
      <vt:variant>
        <vt:i4>2752617</vt:i4>
      </vt:variant>
      <vt:variant>
        <vt:i4>237</vt:i4>
      </vt:variant>
      <vt:variant>
        <vt:i4>0</vt:i4>
      </vt:variant>
      <vt:variant>
        <vt:i4>5</vt:i4>
      </vt:variant>
      <vt:variant>
        <vt:lpwstr>https://www.tga.gov.au/products/australian-register-therapeutic-goods-artg/product-information-one</vt:lpwstr>
      </vt:variant>
      <vt:variant>
        <vt:lpwstr/>
      </vt:variant>
      <vt:variant>
        <vt:i4>7340089</vt:i4>
      </vt:variant>
      <vt:variant>
        <vt:i4>234</vt:i4>
      </vt:variant>
      <vt:variant>
        <vt:i4>0</vt:i4>
      </vt:variant>
      <vt:variant>
        <vt:i4>5</vt:i4>
      </vt:variant>
      <vt:variant>
        <vt:lpwstr>https://www.tga.gov.au/resources/resource/guidance/guidance-7-certified-product-details</vt:lpwstr>
      </vt:variant>
      <vt:variant>
        <vt:lpwstr/>
      </vt:variant>
      <vt:variant>
        <vt:i4>2752583</vt:i4>
      </vt:variant>
      <vt:variant>
        <vt:i4>231</vt:i4>
      </vt:variant>
      <vt:variant>
        <vt:i4>0</vt:i4>
      </vt:variant>
      <vt:variant>
        <vt:i4>5</vt:i4>
      </vt:variant>
      <vt:variant>
        <vt:lpwstr>mailto:vaccines@health.gov.au</vt:lpwstr>
      </vt:variant>
      <vt:variant>
        <vt:lpwstr/>
      </vt:variant>
      <vt:variant>
        <vt:i4>5111820</vt:i4>
      </vt:variant>
      <vt:variant>
        <vt:i4>228</vt:i4>
      </vt:variant>
      <vt:variant>
        <vt:i4>0</vt:i4>
      </vt:variant>
      <vt:variant>
        <vt:i4>5</vt:i4>
      </vt:variant>
      <vt:variant>
        <vt:lpwstr>https://www.tga.gov.au/committee/advisory-committee-vaccines-acv</vt:lpwstr>
      </vt:variant>
      <vt:variant>
        <vt:lpwstr/>
      </vt:variant>
      <vt:variant>
        <vt:i4>2424877</vt:i4>
      </vt:variant>
      <vt:variant>
        <vt:i4>225</vt:i4>
      </vt:variant>
      <vt:variant>
        <vt:i4>0</vt:i4>
      </vt:variant>
      <vt:variant>
        <vt:i4>5</vt:i4>
      </vt:variant>
      <vt:variant>
        <vt:lpwstr>https://www.tga.gov.au/resources/resource/guidance/risk-management-plans-medicines-and-biologicals/australia-specific-annex-eu-rmp</vt:lpwstr>
      </vt:variant>
      <vt:variant>
        <vt:lpwstr/>
      </vt:variant>
      <vt:variant>
        <vt:i4>2424877</vt:i4>
      </vt:variant>
      <vt:variant>
        <vt:i4>222</vt:i4>
      </vt:variant>
      <vt:variant>
        <vt:i4>0</vt:i4>
      </vt:variant>
      <vt:variant>
        <vt:i4>5</vt:i4>
      </vt:variant>
      <vt:variant>
        <vt:lpwstr>https://www.tga.gov.au/resources/resource/guidance/risk-management-plans-medicines-and-biologicals/australia-specific-annex-eu-rmp</vt:lpwstr>
      </vt:variant>
      <vt:variant>
        <vt:lpwstr/>
      </vt:variant>
      <vt:variant>
        <vt:i4>5111899</vt:i4>
      </vt:variant>
      <vt:variant>
        <vt:i4>219</vt:i4>
      </vt:variant>
      <vt:variant>
        <vt:i4>0</vt:i4>
      </vt:variant>
      <vt:variant>
        <vt:i4>5</vt:i4>
      </vt:variant>
      <vt:variant>
        <vt:lpwstr>https://www.tga.gov.au/tgas-risk-management-approach</vt:lpwstr>
      </vt:variant>
      <vt:variant>
        <vt:lpwstr/>
      </vt:variant>
      <vt:variant>
        <vt:i4>7929888</vt:i4>
      </vt:variant>
      <vt:variant>
        <vt:i4>216</vt:i4>
      </vt:variant>
      <vt:variant>
        <vt:i4>0</vt:i4>
      </vt:variant>
      <vt:variant>
        <vt:i4>5</vt:i4>
      </vt:variant>
      <vt:variant>
        <vt:lpwstr>https://www.tga.gov.au/publication/risk-management-plans-medicines-and-biologicals</vt:lpwstr>
      </vt:variant>
      <vt:variant>
        <vt:lpwstr/>
      </vt:variant>
      <vt:variant>
        <vt:i4>3735589</vt:i4>
      </vt:variant>
      <vt:variant>
        <vt:i4>207</vt:i4>
      </vt:variant>
      <vt:variant>
        <vt:i4>0</vt:i4>
      </vt:variant>
      <vt:variant>
        <vt:i4>5</vt:i4>
      </vt:variant>
      <vt:variant>
        <vt:lpwstr>https://www.tga.gov.au/resources/resource/international-scientific-guidelines/international-scientific-guideline-treatment-and-prophylaxis-respiratory-syncytial-virus-rsv-disease</vt:lpwstr>
      </vt:variant>
      <vt:variant>
        <vt:lpwstr/>
      </vt:variant>
      <vt:variant>
        <vt:i4>4128877</vt:i4>
      </vt:variant>
      <vt:variant>
        <vt:i4>204</vt:i4>
      </vt:variant>
      <vt:variant>
        <vt:i4>0</vt:i4>
      </vt:variant>
      <vt:variant>
        <vt:i4>5</vt:i4>
      </vt:variant>
      <vt:variant>
        <vt:lpwstr>https://www.tga.gov.au/resources/resource/international-scientific-guidelines/international-scientific-guideline-guideline-adjuvants-vaccines-human-use</vt:lpwstr>
      </vt:variant>
      <vt:variant>
        <vt:lpwstr/>
      </vt:variant>
      <vt:variant>
        <vt:i4>7471147</vt:i4>
      </vt:variant>
      <vt:variant>
        <vt:i4>201</vt:i4>
      </vt:variant>
      <vt:variant>
        <vt:i4>0</vt:i4>
      </vt:variant>
      <vt:variant>
        <vt:i4>5</vt:i4>
      </vt:variant>
      <vt:variant>
        <vt:lpwstr>https://www.tga.gov.au/resources/resource/international-scientific-guidelines/international-scientific-guideline-guideline-clinical-evaluation-new-vaccines</vt:lpwstr>
      </vt:variant>
      <vt:variant>
        <vt:lpwstr/>
      </vt:variant>
      <vt:variant>
        <vt:i4>1835097</vt:i4>
      </vt:variant>
      <vt:variant>
        <vt:i4>195</vt:i4>
      </vt:variant>
      <vt:variant>
        <vt:i4>0</vt:i4>
      </vt:variant>
      <vt:variant>
        <vt:i4>5</vt:i4>
      </vt:variant>
      <vt:variant>
        <vt:lpwstr>https://www.tga.gov.au/how-we-regulate/supply-therapeutic-good-0/supply-prescription-medicine/application-process/prescription-medicines-registration-process</vt:lpwstr>
      </vt:variant>
      <vt:variant>
        <vt:lpwstr/>
      </vt:variant>
      <vt:variant>
        <vt:i4>3670063</vt:i4>
      </vt:variant>
      <vt:variant>
        <vt:i4>180</vt:i4>
      </vt:variant>
      <vt:variant>
        <vt:i4>0</vt:i4>
      </vt:variant>
      <vt:variant>
        <vt:i4>5</vt:i4>
      </vt:variant>
      <vt:variant>
        <vt:lpwstr>https://www.tga.gov.au/obstetric-drug-information-services</vt:lpwstr>
      </vt:variant>
      <vt:variant>
        <vt:lpwstr/>
      </vt:variant>
      <vt:variant>
        <vt:i4>2949173</vt:i4>
      </vt:variant>
      <vt:variant>
        <vt:i4>177</vt:i4>
      </vt:variant>
      <vt:variant>
        <vt:i4>0</vt:i4>
      </vt:variant>
      <vt:variant>
        <vt:i4>5</vt:i4>
      </vt:variant>
      <vt:variant>
        <vt:lpwstr>https://www.tga.gov.au/products/medicines/find-information-about-medicine/prescribing-medicines-pregnancy-database</vt:lpwstr>
      </vt:variant>
      <vt:variant>
        <vt:lpwstr/>
      </vt:variant>
      <vt:variant>
        <vt:i4>786511</vt:i4>
      </vt:variant>
      <vt:variant>
        <vt:i4>174</vt:i4>
      </vt:variant>
      <vt:variant>
        <vt:i4>0</vt:i4>
      </vt:variant>
      <vt:variant>
        <vt:i4>5</vt:i4>
      </vt:variant>
      <vt:variant>
        <vt:lpwstr>https://www.tga.gov.au/black-triangle-scheme</vt:lpwstr>
      </vt:variant>
      <vt:variant>
        <vt:lpwstr/>
      </vt:variant>
      <vt:variant>
        <vt:i4>1835058</vt:i4>
      </vt:variant>
      <vt:variant>
        <vt:i4>167</vt:i4>
      </vt:variant>
      <vt:variant>
        <vt:i4>0</vt:i4>
      </vt:variant>
      <vt:variant>
        <vt:i4>5</vt:i4>
      </vt:variant>
      <vt:variant>
        <vt:lpwstr/>
      </vt:variant>
      <vt:variant>
        <vt:lpwstr>_Toc163125295</vt:lpwstr>
      </vt:variant>
      <vt:variant>
        <vt:i4>1835058</vt:i4>
      </vt:variant>
      <vt:variant>
        <vt:i4>161</vt:i4>
      </vt:variant>
      <vt:variant>
        <vt:i4>0</vt:i4>
      </vt:variant>
      <vt:variant>
        <vt:i4>5</vt:i4>
      </vt:variant>
      <vt:variant>
        <vt:lpwstr/>
      </vt:variant>
      <vt:variant>
        <vt:lpwstr>_Toc163125294</vt:lpwstr>
      </vt:variant>
      <vt:variant>
        <vt:i4>1835058</vt:i4>
      </vt:variant>
      <vt:variant>
        <vt:i4>155</vt:i4>
      </vt:variant>
      <vt:variant>
        <vt:i4>0</vt:i4>
      </vt:variant>
      <vt:variant>
        <vt:i4>5</vt:i4>
      </vt:variant>
      <vt:variant>
        <vt:lpwstr/>
      </vt:variant>
      <vt:variant>
        <vt:lpwstr>_Toc163125293</vt:lpwstr>
      </vt:variant>
      <vt:variant>
        <vt:i4>1835058</vt:i4>
      </vt:variant>
      <vt:variant>
        <vt:i4>149</vt:i4>
      </vt:variant>
      <vt:variant>
        <vt:i4>0</vt:i4>
      </vt:variant>
      <vt:variant>
        <vt:i4>5</vt:i4>
      </vt:variant>
      <vt:variant>
        <vt:lpwstr/>
      </vt:variant>
      <vt:variant>
        <vt:lpwstr>_Toc163125292</vt:lpwstr>
      </vt:variant>
      <vt:variant>
        <vt:i4>1835058</vt:i4>
      </vt:variant>
      <vt:variant>
        <vt:i4>143</vt:i4>
      </vt:variant>
      <vt:variant>
        <vt:i4>0</vt:i4>
      </vt:variant>
      <vt:variant>
        <vt:i4>5</vt:i4>
      </vt:variant>
      <vt:variant>
        <vt:lpwstr/>
      </vt:variant>
      <vt:variant>
        <vt:lpwstr>_Toc163125291</vt:lpwstr>
      </vt:variant>
      <vt:variant>
        <vt:i4>1835058</vt:i4>
      </vt:variant>
      <vt:variant>
        <vt:i4>137</vt:i4>
      </vt:variant>
      <vt:variant>
        <vt:i4>0</vt:i4>
      </vt:variant>
      <vt:variant>
        <vt:i4>5</vt:i4>
      </vt:variant>
      <vt:variant>
        <vt:lpwstr/>
      </vt:variant>
      <vt:variant>
        <vt:lpwstr>_Toc163125290</vt:lpwstr>
      </vt:variant>
      <vt:variant>
        <vt:i4>1900594</vt:i4>
      </vt:variant>
      <vt:variant>
        <vt:i4>131</vt:i4>
      </vt:variant>
      <vt:variant>
        <vt:i4>0</vt:i4>
      </vt:variant>
      <vt:variant>
        <vt:i4>5</vt:i4>
      </vt:variant>
      <vt:variant>
        <vt:lpwstr/>
      </vt:variant>
      <vt:variant>
        <vt:lpwstr>_Toc163125289</vt:lpwstr>
      </vt:variant>
      <vt:variant>
        <vt:i4>1900594</vt:i4>
      </vt:variant>
      <vt:variant>
        <vt:i4>125</vt:i4>
      </vt:variant>
      <vt:variant>
        <vt:i4>0</vt:i4>
      </vt:variant>
      <vt:variant>
        <vt:i4>5</vt:i4>
      </vt:variant>
      <vt:variant>
        <vt:lpwstr/>
      </vt:variant>
      <vt:variant>
        <vt:lpwstr>_Toc163125288</vt:lpwstr>
      </vt:variant>
      <vt:variant>
        <vt:i4>1900594</vt:i4>
      </vt:variant>
      <vt:variant>
        <vt:i4>119</vt:i4>
      </vt:variant>
      <vt:variant>
        <vt:i4>0</vt:i4>
      </vt:variant>
      <vt:variant>
        <vt:i4>5</vt:i4>
      </vt:variant>
      <vt:variant>
        <vt:lpwstr/>
      </vt:variant>
      <vt:variant>
        <vt:lpwstr>_Toc163125287</vt:lpwstr>
      </vt:variant>
      <vt:variant>
        <vt:i4>1900594</vt:i4>
      </vt:variant>
      <vt:variant>
        <vt:i4>113</vt:i4>
      </vt:variant>
      <vt:variant>
        <vt:i4>0</vt:i4>
      </vt:variant>
      <vt:variant>
        <vt:i4>5</vt:i4>
      </vt:variant>
      <vt:variant>
        <vt:lpwstr/>
      </vt:variant>
      <vt:variant>
        <vt:lpwstr>_Toc163125286</vt:lpwstr>
      </vt:variant>
      <vt:variant>
        <vt:i4>1900594</vt:i4>
      </vt:variant>
      <vt:variant>
        <vt:i4>107</vt:i4>
      </vt:variant>
      <vt:variant>
        <vt:i4>0</vt:i4>
      </vt:variant>
      <vt:variant>
        <vt:i4>5</vt:i4>
      </vt:variant>
      <vt:variant>
        <vt:lpwstr/>
      </vt:variant>
      <vt:variant>
        <vt:lpwstr>_Toc163125285</vt:lpwstr>
      </vt:variant>
      <vt:variant>
        <vt:i4>1900594</vt:i4>
      </vt:variant>
      <vt:variant>
        <vt:i4>101</vt:i4>
      </vt:variant>
      <vt:variant>
        <vt:i4>0</vt:i4>
      </vt:variant>
      <vt:variant>
        <vt:i4>5</vt:i4>
      </vt:variant>
      <vt:variant>
        <vt:lpwstr/>
      </vt:variant>
      <vt:variant>
        <vt:lpwstr>_Toc163125284</vt:lpwstr>
      </vt:variant>
      <vt:variant>
        <vt:i4>1900594</vt:i4>
      </vt:variant>
      <vt:variant>
        <vt:i4>95</vt:i4>
      </vt:variant>
      <vt:variant>
        <vt:i4>0</vt:i4>
      </vt:variant>
      <vt:variant>
        <vt:i4>5</vt:i4>
      </vt:variant>
      <vt:variant>
        <vt:lpwstr/>
      </vt:variant>
      <vt:variant>
        <vt:lpwstr>_Toc163125283</vt:lpwstr>
      </vt:variant>
      <vt:variant>
        <vt:i4>1900594</vt:i4>
      </vt:variant>
      <vt:variant>
        <vt:i4>89</vt:i4>
      </vt:variant>
      <vt:variant>
        <vt:i4>0</vt:i4>
      </vt:variant>
      <vt:variant>
        <vt:i4>5</vt:i4>
      </vt:variant>
      <vt:variant>
        <vt:lpwstr/>
      </vt:variant>
      <vt:variant>
        <vt:lpwstr>_Toc163125282</vt:lpwstr>
      </vt:variant>
      <vt:variant>
        <vt:i4>1900594</vt:i4>
      </vt:variant>
      <vt:variant>
        <vt:i4>83</vt:i4>
      </vt:variant>
      <vt:variant>
        <vt:i4>0</vt:i4>
      </vt:variant>
      <vt:variant>
        <vt:i4>5</vt:i4>
      </vt:variant>
      <vt:variant>
        <vt:lpwstr/>
      </vt:variant>
      <vt:variant>
        <vt:lpwstr>_Toc163125281</vt:lpwstr>
      </vt:variant>
      <vt:variant>
        <vt:i4>1900594</vt:i4>
      </vt:variant>
      <vt:variant>
        <vt:i4>77</vt:i4>
      </vt:variant>
      <vt:variant>
        <vt:i4>0</vt:i4>
      </vt:variant>
      <vt:variant>
        <vt:i4>5</vt:i4>
      </vt:variant>
      <vt:variant>
        <vt:lpwstr/>
      </vt:variant>
      <vt:variant>
        <vt:lpwstr>_Toc163125280</vt:lpwstr>
      </vt:variant>
      <vt:variant>
        <vt:i4>1179698</vt:i4>
      </vt:variant>
      <vt:variant>
        <vt:i4>71</vt:i4>
      </vt:variant>
      <vt:variant>
        <vt:i4>0</vt:i4>
      </vt:variant>
      <vt:variant>
        <vt:i4>5</vt:i4>
      </vt:variant>
      <vt:variant>
        <vt:lpwstr/>
      </vt:variant>
      <vt:variant>
        <vt:lpwstr>_Toc163125279</vt:lpwstr>
      </vt:variant>
      <vt:variant>
        <vt:i4>1179698</vt:i4>
      </vt:variant>
      <vt:variant>
        <vt:i4>65</vt:i4>
      </vt:variant>
      <vt:variant>
        <vt:i4>0</vt:i4>
      </vt:variant>
      <vt:variant>
        <vt:i4>5</vt:i4>
      </vt:variant>
      <vt:variant>
        <vt:lpwstr/>
      </vt:variant>
      <vt:variant>
        <vt:lpwstr>_Toc163125278</vt:lpwstr>
      </vt:variant>
      <vt:variant>
        <vt:i4>1179698</vt:i4>
      </vt:variant>
      <vt:variant>
        <vt:i4>59</vt:i4>
      </vt:variant>
      <vt:variant>
        <vt:i4>0</vt:i4>
      </vt:variant>
      <vt:variant>
        <vt:i4>5</vt:i4>
      </vt:variant>
      <vt:variant>
        <vt:lpwstr/>
      </vt:variant>
      <vt:variant>
        <vt:lpwstr>_Toc163125277</vt:lpwstr>
      </vt:variant>
      <vt:variant>
        <vt:i4>1179698</vt:i4>
      </vt:variant>
      <vt:variant>
        <vt:i4>53</vt:i4>
      </vt:variant>
      <vt:variant>
        <vt:i4>0</vt:i4>
      </vt:variant>
      <vt:variant>
        <vt:i4>5</vt:i4>
      </vt:variant>
      <vt:variant>
        <vt:lpwstr/>
      </vt:variant>
      <vt:variant>
        <vt:lpwstr>_Toc163125276</vt:lpwstr>
      </vt:variant>
      <vt:variant>
        <vt:i4>1179698</vt:i4>
      </vt:variant>
      <vt:variant>
        <vt:i4>47</vt:i4>
      </vt:variant>
      <vt:variant>
        <vt:i4>0</vt:i4>
      </vt:variant>
      <vt:variant>
        <vt:i4>5</vt:i4>
      </vt:variant>
      <vt:variant>
        <vt:lpwstr/>
      </vt:variant>
      <vt:variant>
        <vt:lpwstr>_Toc163125275</vt:lpwstr>
      </vt:variant>
      <vt:variant>
        <vt:i4>1179698</vt:i4>
      </vt:variant>
      <vt:variant>
        <vt:i4>41</vt:i4>
      </vt:variant>
      <vt:variant>
        <vt:i4>0</vt:i4>
      </vt:variant>
      <vt:variant>
        <vt:i4>5</vt:i4>
      </vt:variant>
      <vt:variant>
        <vt:lpwstr/>
      </vt:variant>
      <vt:variant>
        <vt:lpwstr>_Toc163125274</vt:lpwstr>
      </vt:variant>
      <vt:variant>
        <vt:i4>1179698</vt:i4>
      </vt:variant>
      <vt:variant>
        <vt:i4>35</vt:i4>
      </vt:variant>
      <vt:variant>
        <vt:i4>0</vt:i4>
      </vt:variant>
      <vt:variant>
        <vt:i4>5</vt:i4>
      </vt:variant>
      <vt:variant>
        <vt:lpwstr/>
      </vt:variant>
      <vt:variant>
        <vt:lpwstr>_Toc163125273</vt:lpwstr>
      </vt:variant>
      <vt:variant>
        <vt:i4>1179698</vt:i4>
      </vt:variant>
      <vt:variant>
        <vt:i4>29</vt:i4>
      </vt:variant>
      <vt:variant>
        <vt:i4>0</vt:i4>
      </vt:variant>
      <vt:variant>
        <vt:i4>5</vt:i4>
      </vt:variant>
      <vt:variant>
        <vt:lpwstr/>
      </vt:variant>
      <vt:variant>
        <vt:lpwstr>_Toc163125272</vt:lpwstr>
      </vt:variant>
      <vt:variant>
        <vt:i4>1179698</vt:i4>
      </vt:variant>
      <vt:variant>
        <vt:i4>23</vt:i4>
      </vt:variant>
      <vt:variant>
        <vt:i4>0</vt:i4>
      </vt:variant>
      <vt:variant>
        <vt:i4>5</vt:i4>
      </vt:variant>
      <vt:variant>
        <vt:lpwstr/>
      </vt:variant>
      <vt:variant>
        <vt:lpwstr>_Toc163125271</vt:lpwstr>
      </vt:variant>
      <vt:variant>
        <vt:i4>1179698</vt:i4>
      </vt:variant>
      <vt:variant>
        <vt:i4>17</vt:i4>
      </vt:variant>
      <vt:variant>
        <vt:i4>0</vt:i4>
      </vt:variant>
      <vt:variant>
        <vt:i4>5</vt:i4>
      </vt:variant>
      <vt:variant>
        <vt:lpwstr/>
      </vt:variant>
      <vt:variant>
        <vt:lpwstr>_Toc163125270</vt:lpwstr>
      </vt:variant>
      <vt:variant>
        <vt:i4>1245234</vt:i4>
      </vt:variant>
      <vt:variant>
        <vt:i4>11</vt:i4>
      </vt:variant>
      <vt:variant>
        <vt:i4>0</vt:i4>
      </vt:variant>
      <vt:variant>
        <vt:i4>5</vt:i4>
      </vt:variant>
      <vt:variant>
        <vt:lpwstr/>
      </vt:variant>
      <vt:variant>
        <vt:lpwstr>_Toc163125269</vt:lpwstr>
      </vt:variant>
      <vt:variant>
        <vt:i4>6291548</vt:i4>
      </vt:variant>
      <vt:variant>
        <vt:i4>6</vt:i4>
      </vt:variant>
      <vt:variant>
        <vt:i4>0</vt:i4>
      </vt:variant>
      <vt:variant>
        <vt:i4>5</vt:i4>
      </vt:variant>
      <vt:variant>
        <vt:lpwstr>mailto:tga.copyright@tga.gov.au</vt:lpwstr>
      </vt:variant>
      <vt:variant>
        <vt:lpwstr/>
      </vt:variant>
      <vt:variant>
        <vt:i4>7995497</vt:i4>
      </vt:variant>
      <vt:variant>
        <vt:i4>3</vt:i4>
      </vt:variant>
      <vt:variant>
        <vt:i4>0</vt:i4>
      </vt:variant>
      <vt:variant>
        <vt:i4>5</vt:i4>
      </vt:variant>
      <vt:variant>
        <vt:lpwstr>https://www.tga.gov.au/australian-public-assessment-report-auspar-guidance</vt:lpwstr>
      </vt:variant>
      <vt:variant>
        <vt:lpwstr/>
      </vt:variant>
      <vt:variant>
        <vt:i4>3473445</vt:i4>
      </vt:variant>
      <vt:variant>
        <vt:i4>0</vt:i4>
      </vt:variant>
      <vt:variant>
        <vt:i4>0</vt:i4>
      </vt:variant>
      <vt:variant>
        <vt:i4>5</vt:i4>
      </vt:variant>
      <vt:variant>
        <vt:lpwstr>https://www.tga.gov.au/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AusPAR: Abrysvo</dc:title>
  <dc:subject>Prescription medicines</dc:subject>
  <dc:creator>Therapeutic Goods Administration</dc:creator>
  <cp:keywords/>
  <dc:description/>
  <cp:lastModifiedBy>LACK, Janet</cp:lastModifiedBy>
  <cp:revision>5</cp:revision>
  <dcterms:created xsi:type="dcterms:W3CDTF">2024-05-16T06:18:00Z</dcterms:created>
  <dcterms:modified xsi:type="dcterms:W3CDTF">2024-05-20T00:04:00Z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2024-04-10T01:58:36Z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7dfbb9dd-3ee1-44e3-badc-045cc40f77e2</vt:lpwstr>
  </property>
  <property fmtid="{D5CDD505-2E9C-101B-9397-08002B2CF9AE}" pid="8" name="MSIP_Label_4791b42f-c435-42ca-9531-75a3f42aae3d_ContentBits">
    <vt:lpwstr>0</vt:lpwstr>
  </property>
</Properties>
</file>