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7C50" w14:textId="77777777" w:rsidR="00CD1184" w:rsidRDefault="003301BE" w:rsidP="00C266F7">
      <w:pPr>
        <w:pStyle w:val="Title"/>
        <w:spacing w:after="0"/>
      </w:pPr>
      <w:r w:rsidRPr="003301BE">
        <w:t xml:space="preserve">AUSTRALIAN PRODUCT INFORMATION </w:t>
      </w:r>
      <w:r w:rsidR="00231426">
        <w:t xml:space="preserve">- </w:t>
      </w:r>
      <w:r w:rsidR="00734594" w:rsidRPr="00734594">
        <w:t>ADCETRIS</w:t>
      </w:r>
      <w:r w:rsidRPr="00734594">
        <w:rPr>
          <w:vertAlign w:val="superscript"/>
        </w:rPr>
        <w:t>®</w:t>
      </w:r>
    </w:p>
    <w:p w14:paraId="5248DE41" w14:textId="77777777" w:rsidR="00231426" w:rsidRDefault="00231426" w:rsidP="00C266F7">
      <w:pPr>
        <w:pStyle w:val="Title"/>
        <w:spacing w:before="0"/>
      </w:pPr>
      <w:r>
        <w:t>(BRENTUXIMAB VEDOTIN)</w:t>
      </w:r>
    </w:p>
    <w:p w14:paraId="5083519B" w14:textId="77777777" w:rsidR="00B541CE" w:rsidRDefault="00B541CE" w:rsidP="000550D7">
      <w:pPr>
        <w:pStyle w:val="Heading1"/>
        <w:numPr>
          <w:ilvl w:val="0"/>
          <w:numId w:val="21"/>
        </w:numPr>
        <w:tabs>
          <w:tab w:val="left" w:pos="567"/>
        </w:tabs>
        <w:ind w:left="567" w:hanging="567"/>
      </w:pPr>
      <w:r>
        <w:t>NAME OF THE MEDICINE</w:t>
      </w:r>
    </w:p>
    <w:p w14:paraId="58DE9A06" w14:textId="63F23E58" w:rsidR="00B541CE" w:rsidRDefault="00734594" w:rsidP="00105E46">
      <w:r w:rsidRPr="00734594">
        <w:t xml:space="preserve">brentuximab </w:t>
      </w:r>
      <w:proofErr w:type="spellStart"/>
      <w:r w:rsidRPr="00734594">
        <w:t>vedotin</w:t>
      </w:r>
      <w:proofErr w:type="spellEnd"/>
      <w:r w:rsidR="00CE4E28">
        <w:t xml:space="preserve"> </w:t>
      </w:r>
    </w:p>
    <w:p w14:paraId="6EC7B58A" w14:textId="77777777" w:rsidR="003301BE" w:rsidRDefault="003301BE" w:rsidP="000550D7">
      <w:pPr>
        <w:pStyle w:val="Heading1"/>
        <w:numPr>
          <w:ilvl w:val="0"/>
          <w:numId w:val="21"/>
        </w:numPr>
        <w:tabs>
          <w:tab w:val="left" w:pos="567"/>
        </w:tabs>
        <w:ind w:left="567" w:hanging="567"/>
      </w:pPr>
      <w:r>
        <w:t xml:space="preserve">QUALITATIVE AND QUANTITATIVE COMPOSITION </w:t>
      </w:r>
    </w:p>
    <w:p w14:paraId="7E8C5568" w14:textId="77777777" w:rsidR="003301BE" w:rsidRPr="003A20A8" w:rsidRDefault="00734594" w:rsidP="00F56EC8">
      <w:pPr>
        <w:spacing w:after="60"/>
      </w:pPr>
      <w:r w:rsidRPr="00734594">
        <w:t xml:space="preserve">ADCETRIS contains 50 mg brentuximab </w:t>
      </w:r>
      <w:proofErr w:type="spellStart"/>
      <w:r w:rsidRPr="00734594">
        <w:t>vedotin</w:t>
      </w:r>
      <w:proofErr w:type="spellEnd"/>
      <w:r w:rsidRPr="00734594">
        <w:t xml:space="preserve"> per vial. Following reconstitution with 10.5 mL sterile water for injection, a solution containing 5 mg/mL brentuximab </w:t>
      </w:r>
      <w:proofErr w:type="spellStart"/>
      <w:r w:rsidRPr="00734594">
        <w:t>vedotin</w:t>
      </w:r>
      <w:proofErr w:type="spellEnd"/>
      <w:r w:rsidRPr="00734594">
        <w:t xml:space="preserve"> is produced.</w:t>
      </w:r>
      <w:r w:rsidR="003A20A8">
        <w:t xml:space="preserve"> </w:t>
      </w:r>
    </w:p>
    <w:p w14:paraId="144C372D" w14:textId="444ADB82" w:rsidR="003301BE" w:rsidRDefault="001A5607" w:rsidP="001A5607">
      <w:pPr>
        <w:rPr>
          <w:highlight w:val="yellow"/>
        </w:rPr>
      </w:pPr>
      <w:r>
        <w:t>For the full list of excipients, see section 6.1 List of Excipients.</w:t>
      </w:r>
    </w:p>
    <w:p w14:paraId="4AED7BE2" w14:textId="77777777" w:rsidR="003301BE" w:rsidRDefault="003301BE" w:rsidP="000550D7">
      <w:pPr>
        <w:pStyle w:val="Heading1"/>
        <w:numPr>
          <w:ilvl w:val="0"/>
          <w:numId w:val="21"/>
        </w:numPr>
        <w:tabs>
          <w:tab w:val="left" w:pos="567"/>
        </w:tabs>
        <w:ind w:left="567" w:hanging="567"/>
      </w:pPr>
      <w:r>
        <w:t xml:space="preserve">PHARMACEUTICAL FORM </w:t>
      </w:r>
    </w:p>
    <w:p w14:paraId="13B67255" w14:textId="77777777" w:rsidR="003301BE" w:rsidRDefault="00351B7C" w:rsidP="00F7039B">
      <w:pPr>
        <w:spacing w:after="60"/>
        <w:rPr>
          <w:highlight w:val="yellow"/>
        </w:rPr>
      </w:pPr>
      <w:r>
        <w:t xml:space="preserve">Powder for </w:t>
      </w:r>
      <w:r w:rsidR="00CE4E28">
        <w:t>injection</w:t>
      </w:r>
      <w:r>
        <w:t>.</w:t>
      </w:r>
      <w:r w:rsidR="00F7039B">
        <w:t xml:space="preserve"> </w:t>
      </w:r>
      <w:r>
        <w:t>W</w:t>
      </w:r>
      <w:r w:rsidRPr="00351B7C">
        <w:t>hite to off-white lyophilized cake or powder</w:t>
      </w:r>
      <w:r>
        <w:t>.</w:t>
      </w:r>
    </w:p>
    <w:p w14:paraId="594CE990" w14:textId="77777777" w:rsidR="003301BE" w:rsidRDefault="003301BE" w:rsidP="000550D7">
      <w:pPr>
        <w:pStyle w:val="Heading1"/>
        <w:numPr>
          <w:ilvl w:val="0"/>
          <w:numId w:val="21"/>
        </w:numPr>
        <w:tabs>
          <w:tab w:val="left" w:pos="567"/>
        </w:tabs>
        <w:ind w:left="567" w:hanging="567"/>
      </w:pPr>
      <w:r>
        <w:t xml:space="preserve">CLINICAL PARTICULARS </w:t>
      </w:r>
    </w:p>
    <w:p w14:paraId="76A92C79" w14:textId="77777777" w:rsidR="003301BE" w:rsidRDefault="003301BE" w:rsidP="000550D7">
      <w:pPr>
        <w:pStyle w:val="Heading1"/>
        <w:numPr>
          <w:ilvl w:val="1"/>
          <w:numId w:val="21"/>
        </w:numPr>
        <w:tabs>
          <w:tab w:val="left" w:pos="567"/>
        </w:tabs>
        <w:ind w:left="567" w:hanging="567"/>
      </w:pPr>
      <w:bookmarkStart w:id="0" w:name="_Hlk12960209"/>
      <w:r>
        <w:t xml:space="preserve">THERAPEUTIC INDICATIONS </w:t>
      </w:r>
    </w:p>
    <w:p w14:paraId="531C2520" w14:textId="77777777" w:rsidR="00EF6DA3" w:rsidRPr="00EF6DA3" w:rsidRDefault="00EF6DA3" w:rsidP="007059A5">
      <w:pPr>
        <w:pStyle w:val="Heading2"/>
      </w:pPr>
      <w:r w:rsidRPr="00EF6DA3">
        <w:t xml:space="preserve">Hodgkin </w:t>
      </w:r>
      <w:r w:rsidR="00EC6F5F">
        <w:t>l</w:t>
      </w:r>
      <w:r w:rsidRPr="00EF6DA3">
        <w:t>ymphoma</w:t>
      </w:r>
    </w:p>
    <w:p w14:paraId="79C93089" w14:textId="15ABE78B" w:rsidR="0012499F" w:rsidRDefault="00D45BD0" w:rsidP="00EC6F5F">
      <w:pPr>
        <w:spacing w:after="120"/>
      </w:pPr>
      <w:r w:rsidRPr="00D45BD0">
        <w:t xml:space="preserve">Treatment of patients with </w:t>
      </w:r>
      <w:bookmarkStart w:id="1" w:name="_Hlk118198033"/>
      <w:r w:rsidRPr="00D45BD0">
        <w:t xml:space="preserve">previously untreated CD30+ </w:t>
      </w:r>
      <w:r w:rsidR="001F6B30">
        <w:t>Stage III or Stage IV</w:t>
      </w:r>
      <w:r w:rsidR="001F6B30" w:rsidRPr="00D45BD0">
        <w:t xml:space="preserve"> </w:t>
      </w:r>
      <w:r w:rsidRPr="00D45BD0">
        <w:t>Hodgkin lymphoma (HL) in combination with doxorubicin, vinblastine, and dacarbazine (AVD)</w:t>
      </w:r>
      <w:r w:rsidR="00354365">
        <w:t xml:space="preserve">. </w:t>
      </w:r>
      <w:bookmarkEnd w:id="1"/>
    </w:p>
    <w:p w14:paraId="3657F7E6" w14:textId="15D6EC49" w:rsidR="00EF6DA3" w:rsidRDefault="00EF6DA3" w:rsidP="00EC6F5F">
      <w:pPr>
        <w:spacing w:after="120"/>
      </w:pPr>
      <w:r>
        <w:t xml:space="preserve">Treatment of adult patients with CD30+ </w:t>
      </w:r>
      <w:r w:rsidR="00EC6F5F">
        <w:t>HL</w:t>
      </w:r>
      <w:r>
        <w:t xml:space="preserve"> at higher risk of relapse or progression following ASCT</w:t>
      </w:r>
      <w:r w:rsidR="00555AD8">
        <w:t>.</w:t>
      </w:r>
    </w:p>
    <w:p w14:paraId="67CDFD68" w14:textId="77777777" w:rsidR="00CC036A" w:rsidRDefault="00CC036A" w:rsidP="00F56EC8">
      <w:pPr>
        <w:spacing w:after="60"/>
      </w:pPr>
      <w:r>
        <w:t>Treatment of adult patients with relapsed or refractory CD30+ HL:</w:t>
      </w:r>
    </w:p>
    <w:p w14:paraId="647F6A3A" w14:textId="77777777" w:rsidR="00CC036A" w:rsidRDefault="00CC036A" w:rsidP="00F56EC8">
      <w:pPr>
        <w:spacing w:after="0"/>
        <w:ind w:left="567"/>
      </w:pPr>
      <w:r>
        <w:t>1. following autologous stem cell transplant (ASCT) or</w:t>
      </w:r>
    </w:p>
    <w:p w14:paraId="071B1F0C" w14:textId="77777777" w:rsidR="00CC036A" w:rsidRDefault="00CC036A" w:rsidP="00F56EC8">
      <w:pPr>
        <w:spacing w:after="120"/>
        <w:ind w:left="567"/>
      </w:pPr>
      <w:r>
        <w:t>2. following at least two prior therapies when ASCT or multi-agent chemotherapy is not a treatment option.</w:t>
      </w:r>
    </w:p>
    <w:p w14:paraId="3682B905" w14:textId="77777777" w:rsidR="00EF6DA3" w:rsidRPr="001C2783" w:rsidRDefault="00EF6DA3" w:rsidP="007059A5">
      <w:pPr>
        <w:pStyle w:val="Heading2"/>
      </w:pPr>
      <w:r w:rsidRPr="001C2783">
        <w:t>Peripheral T</w:t>
      </w:r>
      <w:r w:rsidRPr="001C2783">
        <w:noBreakHyphen/>
        <w:t>cell lymphoma</w:t>
      </w:r>
    </w:p>
    <w:p w14:paraId="5000CE5B" w14:textId="6280ADC2" w:rsidR="002D0085" w:rsidRPr="00F56EC8" w:rsidRDefault="002D0085" w:rsidP="00F56EC8">
      <w:pPr>
        <w:spacing w:after="120"/>
      </w:pPr>
      <w:r w:rsidRPr="001C2783">
        <w:t>Treatment of adult patients with previously untreated CD30+ peripheral T-cell lymphoma (PTCL) in combination with cyclophosphamide, doxorubicin, and prednisone (CHP)</w:t>
      </w:r>
      <w:r w:rsidR="005F4DA0">
        <w:t xml:space="preserve">. </w:t>
      </w:r>
    </w:p>
    <w:p w14:paraId="49F95538" w14:textId="77777777" w:rsidR="00CC036A" w:rsidRDefault="00CC036A" w:rsidP="00F56EC8">
      <w:pPr>
        <w:spacing w:after="120"/>
      </w:pPr>
      <w:r>
        <w:t>Treatment of adult patients with relapsed or refractory systemic anaplastic large cell lymphoma (</w:t>
      </w:r>
      <w:proofErr w:type="spellStart"/>
      <w:r>
        <w:t>sALCL</w:t>
      </w:r>
      <w:proofErr w:type="spellEnd"/>
      <w:r>
        <w:t>).</w:t>
      </w:r>
    </w:p>
    <w:p w14:paraId="7D472F37" w14:textId="77777777" w:rsidR="00EF6DA3" w:rsidRDefault="00EF6DA3" w:rsidP="007059A5">
      <w:pPr>
        <w:pStyle w:val="Heading2"/>
      </w:pPr>
      <w:r w:rsidRPr="00EF6DA3">
        <w:t>Cutaneous T cell lymphoma</w:t>
      </w:r>
    </w:p>
    <w:p w14:paraId="2EEB4412" w14:textId="77777777" w:rsidR="003301BE" w:rsidRPr="00217334" w:rsidRDefault="00CC036A" w:rsidP="00CC036A">
      <w:pPr>
        <w:rPr>
          <w:highlight w:val="yellow"/>
        </w:rPr>
      </w:pPr>
      <w:r>
        <w:t xml:space="preserve">Treatment of </w:t>
      </w:r>
      <w:r w:rsidR="00522CD3">
        <w:t xml:space="preserve">adult </w:t>
      </w:r>
      <w:r>
        <w:t xml:space="preserve">patients with CD30+ cutaneous T-cell lymphoma (CTCL) </w:t>
      </w:r>
      <w:r w:rsidR="00952A57">
        <w:t xml:space="preserve">after at least 1 prior </w:t>
      </w:r>
      <w:r>
        <w:t>systemic therapy.</w:t>
      </w:r>
      <w:r w:rsidR="003301BE" w:rsidRPr="00217334">
        <w:rPr>
          <w:highlight w:val="yellow"/>
        </w:rPr>
        <w:t xml:space="preserve"> </w:t>
      </w:r>
    </w:p>
    <w:bookmarkEnd w:id="0"/>
    <w:p w14:paraId="129F4062" w14:textId="77777777" w:rsidR="003301BE" w:rsidRDefault="003301BE" w:rsidP="000550D7">
      <w:pPr>
        <w:pStyle w:val="Heading1"/>
        <w:numPr>
          <w:ilvl w:val="1"/>
          <w:numId w:val="21"/>
        </w:numPr>
        <w:tabs>
          <w:tab w:val="left" w:pos="567"/>
        </w:tabs>
        <w:ind w:left="567" w:hanging="567"/>
      </w:pPr>
      <w:r>
        <w:t xml:space="preserve">DOSE AND METHOD OF ADMINISTRATION </w:t>
      </w:r>
    </w:p>
    <w:p w14:paraId="02759AEA" w14:textId="77777777" w:rsidR="001C532F" w:rsidRDefault="001C532F" w:rsidP="00133615">
      <w:pPr>
        <w:spacing w:after="60"/>
      </w:pPr>
      <w:r>
        <w:t>ADCETRIS should be administered under the supervision of a physician experienced in the use of anti-cancer agents.</w:t>
      </w:r>
    </w:p>
    <w:p w14:paraId="74C4B608" w14:textId="77777777" w:rsidR="001C532F" w:rsidRDefault="001C532F" w:rsidP="007059A5">
      <w:pPr>
        <w:pStyle w:val="Heading2"/>
      </w:pPr>
      <w:r>
        <w:lastRenderedPageBreak/>
        <w:t>Posology</w:t>
      </w:r>
    </w:p>
    <w:p w14:paraId="3988457F" w14:textId="77777777" w:rsidR="00B22039" w:rsidRDefault="00B22039" w:rsidP="00F56EC8">
      <w:pPr>
        <w:keepNext/>
        <w:spacing w:after="120"/>
        <w:rPr>
          <w:i/>
          <w:szCs w:val="22"/>
        </w:rPr>
      </w:pPr>
      <w:r>
        <w:rPr>
          <w:i/>
          <w:szCs w:val="22"/>
        </w:rPr>
        <w:t>Previously untreated HL</w:t>
      </w:r>
    </w:p>
    <w:p w14:paraId="3BDEFBF8" w14:textId="549F528A" w:rsidR="00B22039" w:rsidRDefault="00FC7778" w:rsidP="00F56EC8">
      <w:pPr>
        <w:keepNext/>
        <w:spacing w:after="120"/>
        <w:rPr>
          <w:iCs/>
          <w:szCs w:val="22"/>
        </w:rPr>
      </w:pPr>
      <w:r w:rsidRPr="00FC7778">
        <w:rPr>
          <w:iCs/>
          <w:szCs w:val="22"/>
        </w:rPr>
        <w:t>The recommended dose in combination with chemotherapy</w:t>
      </w:r>
      <w:r>
        <w:rPr>
          <w:iCs/>
          <w:szCs w:val="22"/>
        </w:rPr>
        <w:t xml:space="preserve"> </w:t>
      </w:r>
      <w:r w:rsidRPr="00FC7778">
        <w:rPr>
          <w:iCs/>
          <w:szCs w:val="22"/>
        </w:rPr>
        <w:t>(doxorubicin [A], vinblastine [V] and dacarbazine [D] [AVD]) is 1.2 mg/kg administered as an intravenous infusion over 30 minutes on days 1 and 15 of each 28</w:t>
      </w:r>
      <w:r>
        <w:rPr>
          <w:iCs/>
          <w:szCs w:val="22"/>
        </w:rPr>
        <w:t>-</w:t>
      </w:r>
      <w:r w:rsidRPr="00FC7778">
        <w:rPr>
          <w:iCs/>
          <w:szCs w:val="22"/>
        </w:rPr>
        <w:t>day cycle for 6 cycles (see 5.1</w:t>
      </w:r>
      <w:r w:rsidR="00C57EE5">
        <w:rPr>
          <w:iCs/>
          <w:szCs w:val="22"/>
        </w:rPr>
        <w:t xml:space="preserve"> </w:t>
      </w:r>
      <w:r w:rsidR="00C57EE5" w:rsidRPr="00C57EE5">
        <w:rPr>
          <w:iCs/>
          <w:szCs w:val="22"/>
        </w:rPr>
        <w:t>Pharmacodynamic Properties, Clinical Trials</w:t>
      </w:r>
      <w:r w:rsidRPr="00FC7778">
        <w:rPr>
          <w:iCs/>
          <w:szCs w:val="22"/>
        </w:rPr>
        <w:t>).</w:t>
      </w:r>
      <w:r w:rsidR="00DB0ADF">
        <w:rPr>
          <w:iCs/>
          <w:szCs w:val="22"/>
        </w:rPr>
        <w:t xml:space="preserve"> </w:t>
      </w:r>
      <w:r w:rsidR="00DB0ADF" w:rsidRPr="00DB0ADF">
        <w:rPr>
          <w:iCs/>
          <w:szCs w:val="22"/>
        </w:rPr>
        <w:t>If the patient’s weight is more than 100 kg, the dose calculation should use 100 kg (see</w:t>
      </w:r>
      <w:r w:rsidR="0078685D">
        <w:rPr>
          <w:iCs/>
          <w:szCs w:val="22"/>
        </w:rPr>
        <w:t xml:space="preserve"> </w:t>
      </w:r>
      <w:r w:rsidR="00C212A5">
        <w:rPr>
          <w:iCs/>
          <w:szCs w:val="22"/>
        </w:rPr>
        <w:fldChar w:fldCharType="begin"/>
      </w:r>
      <w:r w:rsidR="00C212A5">
        <w:rPr>
          <w:iCs/>
          <w:szCs w:val="22"/>
        </w:rPr>
        <w:instrText xml:space="preserve"> REF _Ref507495608 \h </w:instrText>
      </w:r>
      <w:r w:rsidR="00C212A5">
        <w:rPr>
          <w:iCs/>
          <w:szCs w:val="22"/>
        </w:rPr>
      </w:r>
      <w:r w:rsidR="00C212A5">
        <w:rPr>
          <w:iCs/>
          <w:szCs w:val="22"/>
        </w:rPr>
        <w:fldChar w:fldCharType="separate"/>
      </w:r>
      <w:r w:rsidR="001E2FAC" w:rsidRPr="002C2032">
        <w:rPr>
          <w:szCs w:val="22"/>
        </w:rPr>
        <w:t xml:space="preserve">Table </w:t>
      </w:r>
      <w:r w:rsidR="001E2FAC">
        <w:rPr>
          <w:noProof/>
          <w:szCs w:val="22"/>
        </w:rPr>
        <w:t>6</w:t>
      </w:r>
      <w:r w:rsidR="00C212A5">
        <w:rPr>
          <w:iCs/>
          <w:szCs w:val="22"/>
        </w:rPr>
        <w:fldChar w:fldCharType="end"/>
      </w:r>
      <w:r w:rsidR="00DB0ADF" w:rsidRPr="00DB0ADF">
        <w:rPr>
          <w:iCs/>
          <w:szCs w:val="22"/>
        </w:rPr>
        <w:t>).</w:t>
      </w:r>
    </w:p>
    <w:p w14:paraId="747522F8" w14:textId="77777777" w:rsidR="00132422" w:rsidRPr="00B8475F" w:rsidRDefault="00132422" w:rsidP="00132422">
      <w:pPr>
        <w:keepNext/>
        <w:spacing w:after="60"/>
        <w:rPr>
          <w:szCs w:val="22"/>
        </w:rPr>
      </w:pPr>
      <w:r w:rsidRPr="00B8475F">
        <w:rPr>
          <w:szCs w:val="22"/>
        </w:rPr>
        <w:t xml:space="preserve">Primary prophylaxis with G-CSF, beginning with the first dose, is recommended for all patients with previously untreated </w:t>
      </w:r>
      <w:r w:rsidR="0057005C">
        <w:rPr>
          <w:szCs w:val="22"/>
        </w:rPr>
        <w:t>HL</w:t>
      </w:r>
      <w:r w:rsidRPr="00B8475F">
        <w:rPr>
          <w:szCs w:val="22"/>
        </w:rPr>
        <w:t xml:space="preserve"> receiving combination therapy (see Special Warnings and Precautions for use).</w:t>
      </w:r>
    </w:p>
    <w:p w14:paraId="4CCB880B" w14:textId="77777777" w:rsidR="00132422" w:rsidRPr="00FC7778" w:rsidRDefault="00132422" w:rsidP="00F56EC8">
      <w:pPr>
        <w:keepNext/>
        <w:spacing w:after="120"/>
        <w:rPr>
          <w:iCs/>
          <w:szCs w:val="22"/>
        </w:rPr>
      </w:pPr>
      <w:r w:rsidRPr="00B8475F">
        <w:rPr>
          <w:szCs w:val="22"/>
        </w:rPr>
        <w:t>Refer to the product information of chemotherapy agents given in combination with ADCETRIS for</w:t>
      </w:r>
      <w:r w:rsidR="0057005C">
        <w:rPr>
          <w:szCs w:val="22"/>
        </w:rPr>
        <w:t xml:space="preserve"> the treatment of patients </w:t>
      </w:r>
      <w:r w:rsidR="0057005C" w:rsidRPr="0057005C">
        <w:rPr>
          <w:szCs w:val="22"/>
        </w:rPr>
        <w:t>with previously untreated HL</w:t>
      </w:r>
      <w:r w:rsidR="0057005C">
        <w:rPr>
          <w:szCs w:val="22"/>
        </w:rPr>
        <w:t>.</w:t>
      </w:r>
    </w:p>
    <w:p w14:paraId="372EE2E4" w14:textId="77777777" w:rsidR="00B22039" w:rsidRDefault="00B22039" w:rsidP="00F56EC8">
      <w:pPr>
        <w:keepNext/>
        <w:spacing w:after="120"/>
        <w:rPr>
          <w:i/>
          <w:szCs w:val="22"/>
        </w:rPr>
      </w:pPr>
    </w:p>
    <w:p w14:paraId="1CC316F4" w14:textId="77777777" w:rsidR="00750FBB" w:rsidRPr="002A1D82" w:rsidRDefault="00750FBB" w:rsidP="00F56EC8">
      <w:pPr>
        <w:keepNext/>
        <w:spacing w:after="120"/>
        <w:rPr>
          <w:szCs w:val="22"/>
        </w:rPr>
      </w:pPr>
      <w:r w:rsidRPr="002A1D82">
        <w:rPr>
          <w:i/>
          <w:szCs w:val="22"/>
        </w:rPr>
        <w:t>Relapsed or refractory HL</w:t>
      </w:r>
      <w:r w:rsidRPr="002A1D82">
        <w:rPr>
          <w:szCs w:val="22"/>
        </w:rPr>
        <w:t xml:space="preserve"> </w:t>
      </w:r>
    </w:p>
    <w:p w14:paraId="0354451E" w14:textId="40000C92" w:rsidR="001C532F" w:rsidRDefault="001C532F" w:rsidP="00F7039B">
      <w:pPr>
        <w:spacing w:after="60"/>
      </w:pPr>
      <w:r>
        <w:t xml:space="preserve">The recommended dose is 1.8 mg/kg administered as an intravenous infusion over 30 minutes every 3 weeks. If the patient’s weight is more than 100 kg, the dose calculation should use 100 kg </w:t>
      </w:r>
      <w:r w:rsidRPr="00D8476E">
        <w:t xml:space="preserve">(see </w:t>
      </w:r>
      <w:r w:rsidR="004A2B5A">
        <w:fldChar w:fldCharType="begin"/>
      </w:r>
      <w:r w:rsidR="004A2B5A">
        <w:instrText xml:space="preserve"> REF _Ref507495608 \h </w:instrText>
      </w:r>
      <w:r w:rsidR="004A2B5A">
        <w:fldChar w:fldCharType="separate"/>
      </w:r>
      <w:r w:rsidR="001E2FAC" w:rsidRPr="002C2032">
        <w:rPr>
          <w:szCs w:val="22"/>
        </w:rPr>
        <w:t xml:space="preserve">Table </w:t>
      </w:r>
      <w:r w:rsidR="001E2FAC">
        <w:rPr>
          <w:noProof/>
          <w:szCs w:val="22"/>
        </w:rPr>
        <w:t>6</w:t>
      </w:r>
      <w:r w:rsidR="004A2B5A">
        <w:fldChar w:fldCharType="end"/>
      </w:r>
      <w:r w:rsidRPr="00D8476E">
        <w:t>).</w:t>
      </w:r>
    </w:p>
    <w:p w14:paraId="52EC4565" w14:textId="77777777" w:rsidR="00750FBB" w:rsidRDefault="00750FBB" w:rsidP="00576E3A">
      <w:pPr>
        <w:spacing w:after="60"/>
      </w:pPr>
      <w:r w:rsidRPr="00750FBB">
        <w:t>The recommended starting dose for the retreatment of patients who have previously responded to treatment with ADCETRIS is 1.8 mg/kg administered as an intravenous infusion over 30 minutes every 3 weeks. Alternatively, treatment may be started at the last tolerated dose</w:t>
      </w:r>
      <w:r>
        <w:t>.</w:t>
      </w:r>
    </w:p>
    <w:p w14:paraId="4D2F280F" w14:textId="77777777" w:rsidR="00576E3A" w:rsidRDefault="00576E3A" w:rsidP="00F7039B">
      <w:pPr>
        <w:spacing w:after="120"/>
      </w:pPr>
      <w:r>
        <w:t xml:space="preserve">Patients who achieve stable disease or better should receive a minimum of 8 cycles and up to a maximum of 16 cycles (approximately 1 year) </w:t>
      </w:r>
      <w:r w:rsidRPr="00C81674">
        <w:t>(</w:t>
      </w:r>
      <w:bookmarkStart w:id="2" w:name="_Hlk119415408"/>
      <w:r w:rsidRPr="00C81674">
        <w:t xml:space="preserve">see </w:t>
      </w:r>
      <w:r>
        <w:t xml:space="preserve">5.1 </w:t>
      </w:r>
      <w:bookmarkStart w:id="3" w:name="_Hlk119415375"/>
      <w:r w:rsidRPr="004B7599">
        <w:t>Pharmacodynamic Properties</w:t>
      </w:r>
      <w:r>
        <w:t xml:space="preserve">, </w:t>
      </w:r>
      <w:r w:rsidRPr="00C81674">
        <w:t>Clinical Trials</w:t>
      </w:r>
      <w:bookmarkEnd w:id="2"/>
      <w:bookmarkEnd w:id="3"/>
      <w:r w:rsidRPr="00C81674">
        <w:t>).</w:t>
      </w:r>
      <w:r>
        <w:t xml:space="preserve"> </w:t>
      </w:r>
    </w:p>
    <w:p w14:paraId="2520954D" w14:textId="77777777" w:rsidR="00750FBB" w:rsidRDefault="00750FBB" w:rsidP="00576E3A">
      <w:pPr>
        <w:keepNext/>
        <w:spacing w:after="60"/>
        <w:rPr>
          <w:i/>
          <w:szCs w:val="22"/>
        </w:rPr>
      </w:pPr>
      <w:r w:rsidRPr="00750FBB">
        <w:rPr>
          <w:i/>
          <w:szCs w:val="22"/>
        </w:rPr>
        <w:t xml:space="preserve">HL at risk of relapse or progression following </w:t>
      </w:r>
      <w:proofErr w:type="gramStart"/>
      <w:r w:rsidRPr="00750FBB">
        <w:rPr>
          <w:i/>
          <w:szCs w:val="22"/>
        </w:rPr>
        <w:t>ASCT</w:t>
      </w:r>
      <w:proofErr w:type="gramEnd"/>
    </w:p>
    <w:p w14:paraId="6E0C7A3F" w14:textId="11566A78" w:rsidR="00750FBB" w:rsidRDefault="00750FBB" w:rsidP="00576E3A">
      <w:pPr>
        <w:spacing w:after="60"/>
      </w:pPr>
      <w:r>
        <w:t xml:space="preserve">The recommended dose is 1.8 mg/kg administered as an intravenous infusion over 30 minutes every 3 weeks. If the patient’s weight is more than 100 kg, the dose calculation should use 100 kg </w:t>
      </w:r>
      <w:r w:rsidRPr="00D8476E">
        <w:t xml:space="preserve">(see </w:t>
      </w:r>
      <w:r w:rsidR="00C212A5">
        <w:fldChar w:fldCharType="begin"/>
      </w:r>
      <w:r w:rsidR="00C212A5">
        <w:instrText xml:space="preserve"> REF _Ref507495608 \h </w:instrText>
      </w:r>
      <w:r w:rsidR="00C212A5">
        <w:fldChar w:fldCharType="separate"/>
      </w:r>
      <w:r w:rsidR="001E2FAC" w:rsidRPr="002C2032">
        <w:rPr>
          <w:szCs w:val="22"/>
        </w:rPr>
        <w:t xml:space="preserve">Table </w:t>
      </w:r>
      <w:r w:rsidR="001E2FAC">
        <w:rPr>
          <w:noProof/>
          <w:szCs w:val="22"/>
        </w:rPr>
        <w:t>6</w:t>
      </w:r>
      <w:r w:rsidR="00C212A5">
        <w:fldChar w:fldCharType="end"/>
      </w:r>
      <w:r w:rsidRPr="00D8476E">
        <w:t>).</w:t>
      </w:r>
    </w:p>
    <w:p w14:paraId="6FBAA377" w14:textId="77777777" w:rsidR="00567D2C" w:rsidRDefault="00567D2C" w:rsidP="00F7039B">
      <w:pPr>
        <w:spacing w:after="120"/>
      </w:pPr>
      <w:r>
        <w:t xml:space="preserve">ADCETRIS treatment should start following recovery from ASCT based on medical judgment. These patients should receive up to 16 cycles </w:t>
      </w:r>
      <w:r w:rsidRPr="009107CF">
        <w:t>(see</w:t>
      </w:r>
      <w:r w:rsidRPr="00C81674">
        <w:t xml:space="preserve"> </w:t>
      </w:r>
      <w:r>
        <w:t xml:space="preserve">5.1 </w:t>
      </w:r>
      <w:r w:rsidRPr="004B7599">
        <w:t>Pharmacodynamic Properties</w:t>
      </w:r>
      <w:r>
        <w:t>,</w:t>
      </w:r>
      <w:r w:rsidRPr="009107CF">
        <w:t xml:space="preserve"> Clinical Trials).</w:t>
      </w:r>
    </w:p>
    <w:p w14:paraId="661E11AD" w14:textId="77777777" w:rsidR="00750FBB" w:rsidRPr="00B8475F" w:rsidRDefault="00274AC7" w:rsidP="00576E3A">
      <w:pPr>
        <w:keepNext/>
        <w:spacing w:after="60"/>
        <w:rPr>
          <w:i/>
          <w:szCs w:val="22"/>
        </w:rPr>
      </w:pPr>
      <w:r w:rsidRPr="00B8475F">
        <w:rPr>
          <w:i/>
          <w:szCs w:val="22"/>
        </w:rPr>
        <w:t>Previously untreated PTCL</w:t>
      </w:r>
    </w:p>
    <w:p w14:paraId="2A990705" w14:textId="18FF4A39" w:rsidR="004A26A7" w:rsidRPr="00B8475F" w:rsidRDefault="00274AC7" w:rsidP="00504139">
      <w:pPr>
        <w:keepNext/>
        <w:spacing w:after="120"/>
        <w:rPr>
          <w:szCs w:val="22"/>
        </w:rPr>
      </w:pPr>
      <w:r w:rsidRPr="00B8475F">
        <w:rPr>
          <w:szCs w:val="22"/>
        </w:rPr>
        <w:t xml:space="preserve">The recommended dose in combination with chemotherapy (cyclophosphamide [C], doxorubicin [H], and prednisone [P]; [CHP]) is 1.8 mg/kg administered as an intravenous infusion over 30 minutes every 3 weeks for 6 to 8 cycles. </w:t>
      </w:r>
      <w:r w:rsidR="004A26A7" w:rsidRPr="00B8475F">
        <w:rPr>
          <w:szCs w:val="22"/>
        </w:rPr>
        <w:t>If the patient’s weight is more than 100 kg, the dose calculation should use 100 kg (see</w:t>
      </w:r>
      <w:r w:rsidR="00C17B3F">
        <w:rPr>
          <w:szCs w:val="22"/>
        </w:rPr>
        <w:t xml:space="preserve"> </w:t>
      </w:r>
      <w:r w:rsidR="0078685D">
        <w:rPr>
          <w:szCs w:val="22"/>
        </w:rPr>
        <w:fldChar w:fldCharType="begin"/>
      </w:r>
      <w:r w:rsidR="0078685D">
        <w:rPr>
          <w:szCs w:val="22"/>
        </w:rPr>
        <w:instrText xml:space="preserve"> REF _Ref507495608 \h </w:instrText>
      </w:r>
      <w:r w:rsidR="0078685D">
        <w:rPr>
          <w:szCs w:val="22"/>
        </w:rPr>
      </w:r>
      <w:r w:rsidR="0078685D">
        <w:rPr>
          <w:szCs w:val="22"/>
        </w:rPr>
        <w:fldChar w:fldCharType="separate"/>
      </w:r>
      <w:r w:rsidR="001E2FAC" w:rsidRPr="002C2032">
        <w:rPr>
          <w:szCs w:val="22"/>
        </w:rPr>
        <w:t xml:space="preserve">Table </w:t>
      </w:r>
      <w:r w:rsidR="001E2FAC">
        <w:rPr>
          <w:noProof/>
          <w:szCs w:val="22"/>
        </w:rPr>
        <w:t>6</w:t>
      </w:r>
      <w:r w:rsidR="0078685D">
        <w:rPr>
          <w:szCs w:val="22"/>
        </w:rPr>
        <w:fldChar w:fldCharType="end"/>
      </w:r>
      <w:r w:rsidR="004A26A7" w:rsidRPr="00B8475F">
        <w:rPr>
          <w:szCs w:val="22"/>
        </w:rPr>
        <w:t>).</w:t>
      </w:r>
    </w:p>
    <w:p w14:paraId="4BAF173E" w14:textId="77777777" w:rsidR="00274AC7" w:rsidRPr="00B8475F" w:rsidRDefault="00274AC7" w:rsidP="00576E3A">
      <w:pPr>
        <w:keepNext/>
        <w:spacing w:after="60"/>
        <w:rPr>
          <w:szCs w:val="22"/>
        </w:rPr>
      </w:pPr>
      <w:r w:rsidRPr="00B8475F">
        <w:rPr>
          <w:szCs w:val="22"/>
        </w:rPr>
        <w:t xml:space="preserve">Primary prophylaxis with G-CSF, beginning with the first dose, </w:t>
      </w:r>
      <w:r w:rsidR="00827ADE" w:rsidRPr="00B8475F">
        <w:rPr>
          <w:szCs w:val="22"/>
        </w:rPr>
        <w:t>is recommended</w:t>
      </w:r>
      <w:r w:rsidRPr="00B8475F">
        <w:rPr>
          <w:szCs w:val="22"/>
        </w:rPr>
        <w:t xml:space="preserve"> for all patients with previously untreated PTCL receiving combination therapy (see Special Warnings and Precautions for use).</w:t>
      </w:r>
    </w:p>
    <w:p w14:paraId="171B89DB" w14:textId="77777777" w:rsidR="00274AC7" w:rsidRDefault="00274AC7" w:rsidP="00F7039B">
      <w:pPr>
        <w:keepNext/>
        <w:spacing w:after="120"/>
        <w:rPr>
          <w:szCs w:val="22"/>
        </w:rPr>
      </w:pPr>
      <w:r w:rsidRPr="00B8475F">
        <w:rPr>
          <w:szCs w:val="22"/>
        </w:rPr>
        <w:t>Refer to the product information of chemotherapy agents given in combination with ADCETRIS for patients with previously untreated PTCL.</w:t>
      </w:r>
    </w:p>
    <w:p w14:paraId="1684525B" w14:textId="77777777" w:rsidR="00274AC7" w:rsidRDefault="00274AC7" w:rsidP="00576E3A">
      <w:pPr>
        <w:keepNext/>
        <w:spacing w:after="60"/>
        <w:rPr>
          <w:i/>
          <w:szCs w:val="22"/>
        </w:rPr>
      </w:pPr>
      <w:r w:rsidRPr="00274AC7">
        <w:rPr>
          <w:i/>
          <w:szCs w:val="22"/>
        </w:rPr>
        <w:t xml:space="preserve">Relapsed or refractory </w:t>
      </w:r>
      <w:proofErr w:type="spellStart"/>
      <w:r w:rsidRPr="00274AC7">
        <w:rPr>
          <w:i/>
          <w:szCs w:val="22"/>
        </w:rPr>
        <w:t>sALCL</w:t>
      </w:r>
      <w:proofErr w:type="spellEnd"/>
    </w:p>
    <w:p w14:paraId="6D581E95" w14:textId="2A13CEC4" w:rsidR="004A26A7" w:rsidRDefault="004A26A7" w:rsidP="00576E3A">
      <w:pPr>
        <w:spacing w:after="60"/>
      </w:pPr>
      <w:r>
        <w:t xml:space="preserve">The recommended dose is 1.8 mg/kg administered as an intravenous infusion over 30 minutes every 3 weeks. If the patient’s weight is more than 100 kg, the dose calculation should use 100 kg </w:t>
      </w:r>
      <w:r w:rsidRPr="00D8476E">
        <w:t xml:space="preserve">(see </w:t>
      </w:r>
      <w:r w:rsidR="00C212A5">
        <w:fldChar w:fldCharType="begin"/>
      </w:r>
      <w:r w:rsidR="00C212A5">
        <w:instrText xml:space="preserve"> REF _Ref507495608 \h </w:instrText>
      </w:r>
      <w:r w:rsidR="00C212A5">
        <w:fldChar w:fldCharType="separate"/>
      </w:r>
      <w:r w:rsidR="001E2FAC" w:rsidRPr="002C2032">
        <w:rPr>
          <w:szCs w:val="22"/>
        </w:rPr>
        <w:t xml:space="preserve">Table </w:t>
      </w:r>
      <w:r w:rsidR="001E2FAC">
        <w:rPr>
          <w:noProof/>
          <w:szCs w:val="22"/>
        </w:rPr>
        <w:t>6</w:t>
      </w:r>
      <w:r w:rsidR="00C212A5">
        <w:fldChar w:fldCharType="end"/>
      </w:r>
      <w:r w:rsidRPr="00D8476E">
        <w:t>).</w:t>
      </w:r>
    </w:p>
    <w:p w14:paraId="689A3CCD" w14:textId="77777777" w:rsidR="004A26A7" w:rsidRPr="00F7039B" w:rsidRDefault="004A26A7" w:rsidP="00576E3A">
      <w:pPr>
        <w:keepNext/>
        <w:spacing w:after="60"/>
      </w:pPr>
      <w:r w:rsidRPr="00F7039B">
        <w:lastRenderedPageBreak/>
        <w:t>The recommended starting dose for the retreatment of patients who have previously responded to treatment with ADCETRIS is 1.8 mg/kg administered as an intravenous infusion over 30 minutes every 3 weeks. Alternatively, treatment may be started at the last tolerated dose.</w:t>
      </w:r>
    </w:p>
    <w:p w14:paraId="001B7C4A" w14:textId="77777777" w:rsidR="004A26A7" w:rsidRDefault="004A26A7" w:rsidP="00576E3A">
      <w:pPr>
        <w:keepNext/>
        <w:spacing w:after="120"/>
      </w:pPr>
      <w:r>
        <w:t xml:space="preserve">Patients who achieve stable disease or better should receive a minimum of 8 cycles and up to a maximum of 16 cycles (approximately 1 year) </w:t>
      </w:r>
      <w:r w:rsidRPr="00C81674">
        <w:t xml:space="preserve">(see </w:t>
      </w:r>
      <w:r>
        <w:t xml:space="preserve">5.1 </w:t>
      </w:r>
      <w:r w:rsidRPr="004B7599">
        <w:t>Pharmacodynamic Properties</w:t>
      </w:r>
      <w:r>
        <w:t xml:space="preserve">, </w:t>
      </w:r>
      <w:r w:rsidRPr="00C81674">
        <w:t>Clinical Trials).</w:t>
      </w:r>
    </w:p>
    <w:p w14:paraId="397BC101" w14:textId="77777777" w:rsidR="004A26A7" w:rsidRDefault="00F8020C" w:rsidP="00576E3A">
      <w:pPr>
        <w:spacing w:after="60"/>
        <w:rPr>
          <w:i/>
        </w:rPr>
      </w:pPr>
      <w:r>
        <w:rPr>
          <w:i/>
        </w:rPr>
        <w:t xml:space="preserve">Relapsed or refractory </w:t>
      </w:r>
      <w:r w:rsidR="004A26A7" w:rsidRPr="004A26A7">
        <w:rPr>
          <w:i/>
        </w:rPr>
        <w:t>CTCL</w:t>
      </w:r>
      <w:r>
        <w:rPr>
          <w:i/>
        </w:rPr>
        <w:t xml:space="preserve"> after prior systemic treatment</w:t>
      </w:r>
    </w:p>
    <w:p w14:paraId="5BA81DF4" w14:textId="5E2CF481" w:rsidR="004A26A7" w:rsidRDefault="004A26A7" w:rsidP="00576E3A">
      <w:pPr>
        <w:spacing w:after="60"/>
      </w:pPr>
      <w:r>
        <w:t xml:space="preserve">The recommended dose is 1.8 mg/kg administered as an intravenous infusion over 30 minutes every 3 weeks. If the patient’s weight is more than 100 kg, the dose calculation should use 100 kg </w:t>
      </w:r>
      <w:r w:rsidRPr="00D8476E">
        <w:t xml:space="preserve">(see </w:t>
      </w:r>
      <w:r w:rsidR="00C212A5">
        <w:fldChar w:fldCharType="begin"/>
      </w:r>
      <w:r w:rsidR="00C212A5">
        <w:instrText xml:space="preserve"> REF _Ref507495608 \h </w:instrText>
      </w:r>
      <w:r w:rsidR="00C212A5">
        <w:fldChar w:fldCharType="separate"/>
      </w:r>
      <w:r w:rsidR="001E2FAC" w:rsidRPr="002C2032">
        <w:rPr>
          <w:szCs w:val="22"/>
        </w:rPr>
        <w:t xml:space="preserve">Table </w:t>
      </w:r>
      <w:r w:rsidR="001E2FAC">
        <w:rPr>
          <w:noProof/>
          <w:szCs w:val="22"/>
        </w:rPr>
        <w:t>6</w:t>
      </w:r>
      <w:r w:rsidR="00C212A5">
        <w:fldChar w:fldCharType="end"/>
      </w:r>
      <w:r w:rsidRPr="00D8476E">
        <w:t>).</w:t>
      </w:r>
    </w:p>
    <w:p w14:paraId="55831253" w14:textId="5902C2A0" w:rsidR="00CA4F4E" w:rsidRPr="002F32F3" w:rsidRDefault="00567D2C" w:rsidP="002F32F3">
      <w:pPr>
        <w:spacing w:after="120"/>
      </w:pPr>
      <w:r>
        <w:t xml:space="preserve">Patients with CTCL should receive up to 16 cycles </w:t>
      </w:r>
      <w:r w:rsidRPr="009107CF">
        <w:t xml:space="preserve">(see </w:t>
      </w:r>
      <w:r>
        <w:t xml:space="preserve">5.1 </w:t>
      </w:r>
      <w:r w:rsidRPr="004B7599">
        <w:t>Pharmacodynamic Properties</w:t>
      </w:r>
      <w:r>
        <w:t>,</w:t>
      </w:r>
      <w:r w:rsidRPr="009107CF">
        <w:t xml:space="preserve"> Clinical Trials</w:t>
      </w:r>
      <w:r>
        <w:t>).</w:t>
      </w:r>
    </w:p>
    <w:p w14:paraId="0916E8C8" w14:textId="1FC4A1E2" w:rsidR="00443B66" w:rsidRPr="00443B66" w:rsidRDefault="00443B66" w:rsidP="00443B66">
      <w:pPr>
        <w:spacing w:after="60"/>
        <w:rPr>
          <w:i/>
        </w:rPr>
      </w:pPr>
      <w:r w:rsidRPr="00443B66">
        <w:rPr>
          <w:i/>
        </w:rPr>
        <w:t>General</w:t>
      </w:r>
    </w:p>
    <w:p w14:paraId="4EECFAA6" w14:textId="77777777" w:rsidR="001C532F" w:rsidRDefault="001C532F" w:rsidP="00576E3A">
      <w:pPr>
        <w:spacing w:after="120"/>
      </w:pPr>
      <w:r>
        <w:t xml:space="preserve">Complete blood counts and hepatic function tests should be monitored prior to administration of each dose of this treatment </w:t>
      </w:r>
      <w:r w:rsidRPr="00C81674">
        <w:t xml:space="preserve">(see </w:t>
      </w:r>
      <w:r w:rsidR="00C81674">
        <w:t xml:space="preserve">4.4 Special Warnings and </w:t>
      </w:r>
      <w:r w:rsidR="00C81674" w:rsidRPr="00C81674">
        <w:t>Precautions</w:t>
      </w:r>
      <w:r w:rsidR="00C81674">
        <w:t xml:space="preserve"> for use</w:t>
      </w:r>
      <w:r w:rsidRPr="00C81674">
        <w:t>)</w:t>
      </w:r>
      <w:r>
        <w:t xml:space="preserve">. </w:t>
      </w:r>
    </w:p>
    <w:p w14:paraId="7458A2C5" w14:textId="77777777" w:rsidR="001C532F" w:rsidRDefault="001C532F" w:rsidP="00576E3A">
      <w:pPr>
        <w:spacing w:after="120"/>
      </w:pPr>
      <w:r>
        <w:t xml:space="preserve">Patients should be monitored during and after infusion </w:t>
      </w:r>
      <w:r w:rsidRPr="00C81674">
        <w:t xml:space="preserve">(see </w:t>
      </w:r>
      <w:r w:rsidR="00C81674">
        <w:t xml:space="preserve">4.4 Special Warnings and </w:t>
      </w:r>
      <w:r w:rsidR="00C81674" w:rsidRPr="00C81674">
        <w:t>Precautions</w:t>
      </w:r>
      <w:r w:rsidR="00C81674">
        <w:t xml:space="preserve"> for use</w:t>
      </w:r>
      <w:r w:rsidRPr="00C81674">
        <w:t>).</w:t>
      </w:r>
      <w:r>
        <w:t xml:space="preserve"> </w:t>
      </w:r>
    </w:p>
    <w:p w14:paraId="07695210" w14:textId="77777777" w:rsidR="001C532F" w:rsidRDefault="001C532F" w:rsidP="007059A5">
      <w:pPr>
        <w:pStyle w:val="Heading2"/>
      </w:pPr>
      <w:r>
        <w:t>Dose adjustments</w:t>
      </w:r>
    </w:p>
    <w:p w14:paraId="6E7DD1E7" w14:textId="77777777" w:rsidR="003F705D" w:rsidRDefault="003F705D" w:rsidP="00F7039B">
      <w:pPr>
        <w:spacing w:after="120"/>
        <w:rPr>
          <w:i/>
        </w:rPr>
      </w:pPr>
      <w:r w:rsidRPr="003F705D">
        <w:rPr>
          <w:i/>
        </w:rPr>
        <w:t>Renal and hepatic impairment</w:t>
      </w:r>
    </w:p>
    <w:p w14:paraId="6BEA7D8E" w14:textId="77777777" w:rsidR="003F705D" w:rsidRPr="00F7039B" w:rsidRDefault="003F705D" w:rsidP="00F7039B">
      <w:pPr>
        <w:spacing w:after="120"/>
        <w:rPr>
          <w:u w:val="single"/>
        </w:rPr>
      </w:pPr>
      <w:r w:rsidRPr="00F7039B">
        <w:rPr>
          <w:u w:val="single"/>
        </w:rPr>
        <w:t>Monotherapy</w:t>
      </w:r>
    </w:p>
    <w:p w14:paraId="1DDFAD7E" w14:textId="52D07872" w:rsidR="003F705D" w:rsidRDefault="003F705D" w:rsidP="00F7039B">
      <w:pPr>
        <w:spacing w:after="60"/>
      </w:pPr>
      <w:r>
        <w:t>ADCETRIS should be used with caution in patients with severe re</w:t>
      </w:r>
      <w:r w:rsidRPr="004B7599">
        <w:t xml:space="preserve">nal impairment due to the potential for increased exposure of </w:t>
      </w:r>
      <w:r w:rsidR="00C45ED6" w:rsidRPr="00C45ED6">
        <w:t xml:space="preserve">monomethyl auristatin E </w:t>
      </w:r>
      <w:r w:rsidR="00C45ED6">
        <w:t>(</w:t>
      </w:r>
      <w:r w:rsidRPr="004B7599">
        <w:t>MMAE</w:t>
      </w:r>
      <w:r w:rsidR="00C45ED6">
        <w:t>)</w:t>
      </w:r>
      <w:r w:rsidRPr="004B7599">
        <w:t xml:space="preserve"> and increased toxicity (see 5.2 Pharmacokinetic Properties).   The following dosage i</w:t>
      </w:r>
      <w:r>
        <w:t>s recommended:</w:t>
      </w:r>
    </w:p>
    <w:p w14:paraId="290F8CD2" w14:textId="5B2BB4D6" w:rsidR="003F705D" w:rsidRPr="001C532F" w:rsidRDefault="003F705D" w:rsidP="000550D7">
      <w:pPr>
        <w:numPr>
          <w:ilvl w:val="0"/>
          <w:numId w:val="22"/>
        </w:numPr>
        <w:spacing w:after="60"/>
      </w:pPr>
      <w:r w:rsidRPr="001C532F">
        <w:t>Mild (creatinine clearance 50–80 mL/min) or moderate (creatinine clearance 30–50 mL/min)</w:t>
      </w:r>
      <w:r w:rsidR="003B4F31">
        <w:t xml:space="preserve"> renal impairment</w:t>
      </w:r>
      <w:r w:rsidRPr="001C532F">
        <w:t xml:space="preserve">: 1.8 mg/kg </w:t>
      </w:r>
      <w:r w:rsidR="001A7E7E">
        <w:t>every 3 weeks</w:t>
      </w:r>
    </w:p>
    <w:p w14:paraId="549A2A28" w14:textId="6C0B488B" w:rsidR="003F705D" w:rsidRPr="001C532F" w:rsidRDefault="003F705D" w:rsidP="000550D7">
      <w:pPr>
        <w:numPr>
          <w:ilvl w:val="0"/>
          <w:numId w:val="22"/>
        </w:numPr>
        <w:spacing w:after="60"/>
        <w:ind w:left="714" w:hanging="357"/>
      </w:pPr>
      <w:r w:rsidRPr="001C532F">
        <w:t>Severe (creatinine clearance less than 30 mL/min)</w:t>
      </w:r>
      <w:r w:rsidR="001A7E7E">
        <w:t xml:space="preserve"> renal impairment</w:t>
      </w:r>
      <w:r w:rsidRPr="001C532F">
        <w:t>: In patients with active disease and no other treatment options, consider use with caution after evaluating benefit-risk at a starting dose of 1.2 mg/kg</w:t>
      </w:r>
      <w:r w:rsidR="001A7E7E">
        <w:t xml:space="preserve"> every 3 </w:t>
      </w:r>
      <w:proofErr w:type="gramStart"/>
      <w:r w:rsidR="001A7E7E">
        <w:t>weeks</w:t>
      </w:r>
      <w:proofErr w:type="gramEnd"/>
    </w:p>
    <w:p w14:paraId="39502084" w14:textId="436AA0ED" w:rsidR="003F705D" w:rsidRPr="001C532F" w:rsidRDefault="003F705D" w:rsidP="000550D7">
      <w:pPr>
        <w:numPr>
          <w:ilvl w:val="0"/>
          <w:numId w:val="22"/>
        </w:numPr>
      </w:pPr>
      <w:r w:rsidRPr="001C532F">
        <w:t>Dialysis dependent: no information</w:t>
      </w:r>
    </w:p>
    <w:p w14:paraId="51FC3594" w14:textId="4FF44A90" w:rsidR="003F705D" w:rsidRDefault="003F705D" w:rsidP="00F7039B">
      <w:pPr>
        <w:spacing w:after="60"/>
      </w:pPr>
      <w:r>
        <w:t>ADCETRIS should be used with caution in patients with hepatic impairment due to the potential for increased exposure of MMAE and increased toxicit</w:t>
      </w:r>
      <w:r w:rsidRPr="00C81674">
        <w:t xml:space="preserve">y (see </w:t>
      </w:r>
      <w:r>
        <w:t xml:space="preserve">4.4 Special Warnings and </w:t>
      </w:r>
      <w:r w:rsidRPr="00C81674">
        <w:t>Precautions</w:t>
      </w:r>
      <w:r>
        <w:t xml:space="preserve"> for use</w:t>
      </w:r>
      <w:r w:rsidRPr="00C81674">
        <w:t xml:space="preserve"> and </w:t>
      </w:r>
      <w:r w:rsidRPr="004B7599">
        <w:t>5.2 Pharmacokinetic Properties</w:t>
      </w:r>
      <w:r w:rsidRPr="00C81674">
        <w:t>).</w:t>
      </w:r>
      <w:r>
        <w:t xml:space="preserve"> </w:t>
      </w:r>
    </w:p>
    <w:p w14:paraId="53A04F7F" w14:textId="31D5C336" w:rsidR="003F705D" w:rsidRDefault="003F705D" w:rsidP="00F7039B">
      <w:pPr>
        <w:spacing w:after="60"/>
      </w:pPr>
      <w:r>
        <w:t>The following dosage is recommended:</w:t>
      </w:r>
    </w:p>
    <w:p w14:paraId="4816A815" w14:textId="1DC96EF2" w:rsidR="003F705D" w:rsidRDefault="003F705D" w:rsidP="000550D7">
      <w:pPr>
        <w:numPr>
          <w:ilvl w:val="0"/>
          <w:numId w:val="22"/>
        </w:numPr>
        <w:spacing w:after="60"/>
      </w:pPr>
      <w:r>
        <w:t>Mild (Child-Pugh A)</w:t>
      </w:r>
      <w:r w:rsidR="00223882">
        <w:t xml:space="preserve"> hepatic impairment</w:t>
      </w:r>
      <w:r>
        <w:t xml:space="preserve">: 1.2 mg/kg </w:t>
      </w:r>
      <w:r w:rsidR="00223882">
        <w:t>every 3 weeks</w:t>
      </w:r>
    </w:p>
    <w:p w14:paraId="283B0B84" w14:textId="4AC1114E" w:rsidR="003F705D" w:rsidRDefault="003F7536" w:rsidP="000550D7">
      <w:pPr>
        <w:numPr>
          <w:ilvl w:val="0"/>
          <w:numId w:val="22"/>
        </w:numPr>
        <w:spacing w:after="60"/>
      </w:pPr>
      <w:r>
        <w:t>Moderate (</w:t>
      </w:r>
      <w:r w:rsidR="003F705D">
        <w:t>Child-Pugh B) or severe (Child-Pugh C)</w:t>
      </w:r>
      <w:r w:rsidR="00223882">
        <w:t xml:space="preserve"> hepatic impairment</w:t>
      </w:r>
      <w:r w:rsidR="003F705D">
        <w:t>: In patients with active disease and no other treatment options, consider use with caution after evaluating benefit-risk at a starting dose of 1.2 mg/kg</w:t>
      </w:r>
      <w:r w:rsidR="00FB60FD">
        <w:t xml:space="preserve"> every 3 </w:t>
      </w:r>
      <w:proofErr w:type="gramStart"/>
      <w:r w:rsidR="00FB60FD">
        <w:t>weeks</w:t>
      </w:r>
      <w:proofErr w:type="gramEnd"/>
      <w:r w:rsidR="003F705D">
        <w:t xml:space="preserve"> </w:t>
      </w:r>
    </w:p>
    <w:p w14:paraId="75EB4586" w14:textId="6E361428" w:rsidR="000148BC" w:rsidRDefault="003F705D" w:rsidP="00FD6544">
      <w:pPr>
        <w:spacing w:after="120"/>
      </w:pPr>
      <w:r>
        <w:t>Patients should be closely monitored for the development of serious hepatotoxicity during ADCETRIS therapy as this risk may be greater with pre-existing hepatic impairment.</w:t>
      </w:r>
    </w:p>
    <w:p w14:paraId="2BFFB38D" w14:textId="77777777" w:rsidR="004A0AAC" w:rsidRDefault="004A0AAC" w:rsidP="00F7039B">
      <w:pPr>
        <w:spacing w:after="120"/>
        <w:rPr>
          <w:u w:val="single"/>
        </w:rPr>
      </w:pPr>
    </w:p>
    <w:p w14:paraId="34AE2487" w14:textId="77777777" w:rsidR="002A4A70" w:rsidRDefault="002A4A70" w:rsidP="00F7039B">
      <w:pPr>
        <w:spacing w:after="120"/>
        <w:rPr>
          <w:u w:val="single"/>
        </w:rPr>
      </w:pPr>
    </w:p>
    <w:p w14:paraId="2884B742" w14:textId="77777777" w:rsidR="002A4A70" w:rsidRDefault="002A4A70" w:rsidP="00F7039B">
      <w:pPr>
        <w:spacing w:after="120"/>
        <w:rPr>
          <w:u w:val="single"/>
        </w:rPr>
      </w:pPr>
    </w:p>
    <w:p w14:paraId="2441D8D4" w14:textId="77777777" w:rsidR="002A4A70" w:rsidRDefault="002A4A70" w:rsidP="00F7039B">
      <w:pPr>
        <w:spacing w:after="120"/>
        <w:rPr>
          <w:u w:val="single"/>
        </w:rPr>
      </w:pPr>
    </w:p>
    <w:p w14:paraId="51C8D1DB" w14:textId="77777777" w:rsidR="002A4A70" w:rsidRDefault="002A4A70" w:rsidP="00F7039B">
      <w:pPr>
        <w:spacing w:after="120"/>
        <w:rPr>
          <w:u w:val="single"/>
        </w:rPr>
      </w:pPr>
    </w:p>
    <w:p w14:paraId="2E135831" w14:textId="0D27FAAF" w:rsidR="003F705D" w:rsidRPr="00F7039B" w:rsidRDefault="003F705D" w:rsidP="00F7039B">
      <w:pPr>
        <w:spacing w:after="120"/>
        <w:rPr>
          <w:u w:val="single"/>
        </w:rPr>
      </w:pPr>
      <w:r w:rsidRPr="00F7039B">
        <w:rPr>
          <w:u w:val="single"/>
        </w:rPr>
        <w:lastRenderedPageBreak/>
        <w:t>Combination therapy</w:t>
      </w:r>
    </w:p>
    <w:p w14:paraId="372B0BF8" w14:textId="0667A5DC" w:rsidR="00BF5BC7" w:rsidRDefault="00BF5BC7" w:rsidP="00A740EE">
      <w:pPr>
        <w:spacing w:after="60"/>
      </w:pPr>
      <w:bookmarkStart w:id="4" w:name="_Hlk150255005"/>
      <w:r>
        <w:t xml:space="preserve">Patients with renal impairment should be closely monitored for adverse events. There is no clinical trial experience using ADCETRIS in combination with chemotherapy in patients with renal impairment, where serum creatinine is ≥ </w:t>
      </w:r>
      <w:r w:rsidR="00355160">
        <w:t xml:space="preserve">0.177 mmol/L </w:t>
      </w:r>
      <w:r w:rsidR="00896B7A">
        <w:t>(</w:t>
      </w:r>
      <w:r>
        <w:t>2.0 mg/dL</w:t>
      </w:r>
      <w:r w:rsidR="00896B7A">
        <w:t>)</w:t>
      </w:r>
      <w:r>
        <w:t xml:space="preserve"> and/or creatinine clearance or calculated creatinine clearance is ≤ 40 mL/minute. Use of ADCETRIS in combination with chemotherapy should be avoided in patients with severe renal impairment. </w:t>
      </w:r>
    </w:p>
    <w:p w14:paraId="0976FD77" w14:textId="1AEAE08B" w:rsidR="00BF5BC7" w:rsidRDefault="00BF5BC7" w:rsidP="00A740EE">
      <w:pPr>
        <w:spacing w:after="60"/>
      </w:pPr>
      <w:r>
        <w:t xml:space="preserve">Patients with hepatic impairment should be closely monitored for adverse events. </w:t>
      </w:r>
    </w:p>
    <w:p w14:paraId="3F5E8C1F" w14:textId="2F745CF2" w:rsidR="00E04ED0" w:rsidRDefault="00E04ED0" w:rsidP="00A740EE">
      <w:pPr>
        <w:spacing w:after="60"/>
      </w:pPr>
      <w:r>
        <w:t xml:space="preserve">See </w:t>
      </w:r>
      <w:r w:rsidRPr="000148BC">
        <w:fldChar w:fldCharType="begin"/>
      </w:r>
      <w:r w:rsidRPr="000148BC">
        <w:instrText xml:space="preserve"> REF _Ref150248700 \h </w:instrText>
      </w:r>
      <w:r>
        <w:instrText xml:space="preserve"> \* MERGEFORMAT </w:instrText>
      </w:r>
      <w:r w:rsidRPr="000148BC">
        <w:fldChar w:fldCharType="separate"/>
      </w:r>
      <w:r w:rsidR="001E2FAC" w:rsidRPr="00023572">
        <w:rPr>
          <w:szCs w:val="22"/>
        </w:rPr>
        <w:t xml:space="preserve">Table </w:t>
      </w:r>
      <w:r w:rsidR="001E2FAC">
        <w:rPr>
          <w:szCs w:val="22"/>
        </w:rPr>
        <w:t>1</w:t>
      </w:r>
      <w:r w:rsidRPr="000148BC">
        <w:fldChar w:fldCharType="end"/>
      </w:r>
      <w:r w:rsidRPr="000148BC">
        <w:t xml:space="preserve"> for starting</w:t>
      </w:r>
      <w:r>
        <w:t xml:space="preserve"> dose recommendations </w:t>
      </w:r>
      <w:r w:rsidRPr="00A740EE">
        <w:t>for patients with hepatic impairment receiving combination therapy</w:t>
      </w:r>
      <w:r>
        <w:t>.</w:t>
      </w:r>
    </w:p>
    <w:p w14:paraId="4532F006" w14:textId="120874C6" w:rsidR="004A0AAC" w:rsidRDefault="004A0AAC">
      <w:pPr>
        <w:spacing w:after="0"/>
        <w:jc w:val="left"/>
        <w:rPr>
          <w:b/>
          <w:bCs/>
        </w:rPr>
      </w:pPr>
      <w:r>
        <w:rPr>
          <w:b/>
          <w:bCs/>
        </w:rPr>
        <w:br w:type="page"/>
      </w:r>
    </w:p>
    <w:p w14:paraId="65734B79" w14:textId="6B48AFE2" w:rsidR="00DB68EA" w:rsidRPr="00023572" w:rsidRDefault="00023572" w:rsidP="00023572">
      <w:pPr>
        <w:pStyle w:val="Caption"/>
        <w:ind w:left="1134" w:hanging="1134"/>
        <w:rPr>
          <w:sz w:val="22"/>
          <w:szCs w:val="22"/>
        </w:rPr>
      </w:pPr>
      <w:bookmarkStart w:id="5" w:name="_Ref150248700"/>
      <w:r w:rsidRPr="00023572">
        <w:rPr>
          <w:sz w:val="22"/>
          <w:szCs w:val="22"/>
        </w:rPr>
        <w:lastRenderedPageBreak/>
        <w:t xml:space="preserve">Table </w:t>
      </w:r>
      <w:r w:rsidRPr="00023572">
        <w:rPr>
          <w:sz w:val="22"/>
          <w:szCs w:val="22"/>
        </w:rPr>
        <w:fldChar w:fldCharType="begin"/>
      </w:r>
      <w:r w:rsidRPr="00023572">
        <w:rPr>
          <w:sz w:val="22"/>
          <w:szCs w:val="22"/>
        </w:rPr>
        <w:instrText xml:space="preserve"> SEQ Table \* ARABIC </w:instrText>
      </w:r>
      <w:r w:rsidRPr="00023572">
        <w:rPr>
          <w:sz w:val="22"/>
          <w:szCs w:val="22"/>
        </w:rPr>
        <w:fldChar w:fldCharType="separate"/>
      </w:r>
      <w:r w:rsidR="001E2FAC">
        <w:rPr>
          <w:noProof/>
          <w:sz w:val="22"/>
          <w:szCs w:val="22"/>
        </w:rPr>
        <w:t>1</w:t>
      </w:r>
      <w:r w:rsidRPr="00023572">
        <w:rPr>
          <w:sz w:val="22"/>
          <w:szCs w:val="22"/>
        </w:rPr>
        <w:fldChar w:fldCharType="end"/>
      </w:r>
      <w:bookmarkEnd w:id="5"/>
      <w:r w:rsidRPr="00023572">
        <w:rPr>
          <w:sz w:val="22"/>
          <w:szCs w:val="22"/>
        </w:rPr>
        <w:tab/>
      </w:r>
      <w:r w:rsidR="00A37AAF" w:rsidRPr="00023572">
        <w:rPr>
          <w:sz w:val="22"/>
          <w:szCs w:val="22"/>
        </w:rPr>
        <w:t>R</w:t>
      </w:r>
      <w:r w:rsidR="00A740EE" w:rsidRPr="00023572">
        <w:rPr>
          <w:sz w:val="22"/>
          <w:szCs w:val="22"/>
        </w:rPr>
        <w:t>ecommend</w:t>
      </w:r>
      <w:r w:rsidR="00A37AAF" w:rsidRPr="00023572">
        <w:rPr>
          <w:sz w:val="22"/>
          <w:szCs w:val="22"/>
        </w:rPr>
        <w:t>ed starting dose</w:t>
      </w:r>
      <w:r w:rsidR="00A740EE" w:rsidRPr="00023572">
        <w:rPr>
          <w:sz w:val="22"/>
          <w:szCs w:val="22"/>
        </w:rPr>
        <w:t xml:space="preserve"> for patients with hepatic impairment receiving combination </w:t>
      </w:r>
      <w:proofErr w:type="gramStart"/>
      <w:r w:rsidR="00A740EE" w:rsidRPr="00023572">
        <w:rPr>
          <w:sz w:val="22"/>
          <w:szCs w:val="22"/>
        </w:rPr>
        <w:t>therapy</w:t>
      </w:r>
      <w:proofErr w:type="gramEnd"/>
      <w:r w:rsidR="00DB68EA" w:rsidRPr="00023572">
        <w:rPr>
          <w:sz w:val="22"/>
          <w:szCs w:val="22"/>
        </w:rPr>
        <w:t xml:space="preserve"> </w:t>
      </w:r>
    </w:p>
    <w:tbl>
      <w:tblPr>
        <w:tblW w:w="0" w:type="auto"/>
        <w:tblCellMar>
          <w:left w:w="0" w:type="dxa"/>
          <w:right w:w="0" w:type="dxa"/>
        </w:tblCellMar>
        <w:tblLook w:val="04A0" w:firstRow="1" w:lastRow="0" w:firstColumn="1" w:lastColumn="0" w:noHBand="0" w:noVBand="1"/>
      </w:tblPr>
      <w:tblGrid>
        <w:gridCol w:w="2715"/>
        <w:gridCol w:w="3037"/>
        <w:gridCol w:w="3866"/>
      </w:tblGrid>
      <w:tr w:rsidR="00DB68EA" w:rsidRPr="00DB68EA" w14:paraId="09B4357A" w14:textId="77777777" w:rsidTr="008E5B88">
        <w:tc>
          <w:tcPr>
            <w:tcW w:w="2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234810" w14:textId="77777777" w:rsidR="00DB68EA" w:rsidRPr="00DB68EA" w:rsidRDefault="00DB68EA" w:rsidP="00A740EE">
            <w:pPr>
              <w:jc w:val="center"/>
            </w:pPr>
          </w:p>
        </w:tc>
        <w:tc>
          <w:tcPr>
            <w:tcW w:w="3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6FD2DC" w14:textId="77777777" w:rsidR="000529D9" w:rsidRDefault="000529D9" w:rsidP="000529D9">
            <w:pPr>
              <w:spacing w:after="0"/>
              <w:jc w:val="center"/>
              <w:rPr>
                <w:rFonts w:cs="Arial"/>
                <w:b/>
                <w:bCs/>
                <w:sz w:val="20"/>
              </w:rPr>
            </w:pPr>
            <w:r w:rsidRPr="00DB68EA">
              <w:rPr>
                <w:rFonts w:cs="Arial"/>
                <w:b/>
                <w:bCs/>
                <w:sz w:val="20"/>
              </w:rPr>
              <w:t>Combination with AVD</w:t>
            </w:r>
          </w:p>
          <w:p w14:paraId="4B903EE4" w14:textId="10FFB282" w:rsidR="00DB68EA" w:rsidRPr="00DB68EA" w:rsidRDefault="000529D9" w:rsidP="000529D9">
            <w:pPr>
              <w:spacing w:after="0"/>
              <w:jc w:val="center"/>
              <w:rPr>
                <w:rFonts w:cs="Arial"/>
                <w:b/>
                <w:bCs/>
                <w:sz w:val="20"/>
              </w:rPr>
            </w:pPr>
            <w:r>
              <w:rPr>
                <w:rFonts w:cs="Arial"/>
                <w:b/>
                <w:bCs/>
                <w:sz w:val="20"/>
              </w:rPr>
              <w:t xml:space="preserve">Recommended starting dose </w:t>
            </w:r>
          </w:p>
        </w:tc>
        <w:tc>
          <w:tcPr>
            <w:tcW w:w="3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F7E35" w14:textId="021A2B27" w:rsidR="000529D9" w:rsidRDefault="000529D9" w:rsidP="000529D9">
            <w:pPr>
              <w:spacing w:after="0"/>
              <w:jc w:val="center"/>
              <w:rPr>
                <w:rFonts w:cs="Arial"/>
                <w:b/>
                <w:bCs/>
                <w:sz w:val="20"/>
              </w:rPr>
            </w:pPr>
            <w:r w:rsidRPr="00DB68EA">
              <w:rPr>
                <w:rFonts w:cs="Arial"/>
                <w:b/>
                <w:bCs/>
                <w:sz w:val="20"/>
              </w:rPr>
              <w:t xml:space="preserve">Combination with </w:t>
            </w:r>
            <w:r>
              <w:rPr>
                <w:rFonts w:cs="Arial"/>
                <w:b/>
                <w:bCs/>
                <w:sz w:val="20"/>
              </w:rPr>
              <w:t>CHP</w:t>
            </w:r>
          </w:p>
          <w:p w14:paraId="77C989B1" w14:textId="6F69AE3D" w:rsidR="00DB68EA" w:rsidRPr="00DB68EA" w:rsidRDefault="000529D9" w:rsidP="000529D9">
            <w:pPr>
              <w:jc w:val="center"/>
              <w:rPr>
                <w:rFonts w:cs="Arial"/>
                <w:b/>
                <w:bCs/>
                <w:sz w:val="20"/>
              </w:rPr>
            </w:pPr>
            <w:r>
              <w:rPr>
                <w:rFonts w:cs="Arial"/>
                <w:b/>
                <w:bCs/>
                <w:sz w:val="20"/>
              </w:rPr>
              <w:t>Recommended starting dose</w:t>
            </w:r>
          </w:p>
        </w:tc>
      </w:tr>
      <w:tr w:rsidR="00DB68EA" w:rsidRPr="00DB68EA" w14:paraId="461BD3BB" w14:textId="77777777" w:rsidTr="008E5B88">
        <w:tc>
          <w:tcPr>
            <w:tcW w:w="2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44BA1" w14:textId="59963DA9" w:rsidR="00DB68EA" w:rsidRPr="00DB68EA" w:rsidRDefault="00DB68EA" w:rsidP="00A740EE">
            <w:pPr>
              <w:jc w:val="left"/>
              <w:rPr>
                <w:rFonts w:cs="Arial"/>
                <w:b/>
                <w:bCs/>
                <w:sz w:val="20"/>
              </w:rPr>
            </w:pPr>
            <w:r w:rsidRPr="00DB68EA">
              <w:rPr>
                <w:rFonts w:cs="Arial"/>
                <w:b/>
                <w:bCs/>
                <w:sz w:val="20"/>
              </w:rPr>
              <w:t xml:space="preserve">Mild </w:t>
            </w:r>
            <w:r w:rsidR="00A740EE" w:rsidRPr="00A740EE">
              <w:rPr>
                <w:rFonts w:cs="Arial"/>
                <w:b/>
                <w:bCs/>
                <w:sz w:val="20"/>
              </w:rPr>
              <w:t>h</w:t>
            </w:r>
            <w:r w:rsidRPr="00DB68EA">
              <w:rPr>
                <w:rFonts w:cs="Arial"/>
                <w:b/>
                <w:bCs/>
                <w:sz w:val="20"/>
              </w:rPr>
              <w:t xml:space="preserve">epatic </w:t>
            </w:r>
            <w:r w:rsidR="00A740EE" w:rsidRPr="00A740EE">
              <w:rPr>
                <w:rFonts w:cs="Arial"/>
                <w:b/>
                <w:bCs/>
                <w:sz w:val="20"/>
              </w:rPr>
              <w:t>i</w:t>
            </w:r>
            <w:r w:rsidRPr="00DB68EA">
              <w:rPr>
                <w:rFonts w:cs="Arial"/>
                <w:b/>
                <w:bCs/>
                <w:sz w:val="20"/>
              </w:rPr>
              <w:t>mpairment</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4586562D" w14:textId="77777777" w:rsidR="00DB68EA" w:rsidRPr="00DB68EA" w:rsidRDefault="00DB68EA" w:rsidP="00A740EE">
            <w:pPr>
              <w:jc w:val="left"/>
              <w:rPr>
                <w:rFonts w:cs="Arial"/>
                <w:sz w:val="20"/>
              </w:rPr>
            </w:pPr>
            <w:r w:rsidRPr="00DB68EA">
              <w:rPr>
                <w:rFonts w:cs="Arial"/>
                <w:sz w:val="20"/>
              </w:rPr>
              <w:t xml:space="preserve">0.9 mg/kg administered as an intravenous infusion over 30 minutes every 2 weeks.  </w:t>
            </w:r>
          </w:p>
        </w:tc>
        <w:tc>
          <w:tcPr>
            <w:tcW w:w="3866" w:type="dxa"/>
            <w:tcBorders>
              <w:top w:val="nil"/>
              <w:left w:val="nil"/>
              <w:bottom w:val="single" w:sz="8" w:space="0" w:color="auto"/>
              <w:right w:val="single" w:sz="8" w:space="0" w:color="auto"/>
            </w:tcBorders>
            <w:tcMar>
              <w:top w:w="0" w:type="dxa"/>
              <w:left w:w="108" w:type="dxa"/>
              <w:bottom w:w="0" w:type="dxa"/>
              <w:right w:w="108" w:type="dxa"/>
            </w:tcMar>
            <w:hideMark/>
          </w:tcPr>
          <w:p w14:paraId="4DA4CB66" w14:textId="77777777" w:rsidR="00DB68EA" w:rsidRPr="00DB68EA" w:rsidRDefault="00DB68EA" w:rsidP="00A740EE">
            <w:pPr>
              <w:jc w:val="left"/>
              <w:rPr>
                <w:rFonts w:cs="Arial"/>
                <w:sz w:val="20"/>
              </w:rPr>
            </w:pPr>
            <w:r w:rsidRPr="00DB68EA">
              <w:rPr>
                <w:rFonts w:cs="Arial"/>
                <w:sz w:val="20"/>
              </w:rPr>
              <w:t>1.2 mg/kg administered as an intravenous infusion over 30 minutes every 3 weeks.</w:t>
            </w:r>
          </w:p>
        </w:tc>
      </w:tr>
      <w:tr w:rsidR="00DB68EA" w:rsidRPr="00DB68EA" w14:paraId="7A36DCD6" w14:textId="77777777" w:rsidTr="008E5B88">
        <w:trPr>
          <w:trHeight w:val="547"/>
        </w:trPr>
        <w:tc>
          <w:tcPr>
            <w:tcW w:w="2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6984F" w14:textId="3E492A10" w:rsidR="00DB68EA" w:rsidRPr="00DB68EA" w:rsidRDefault="00DB68EA" w:rsidP="00A740EE">
            <w:pPr>
              <w:jc w:val="left"/>
              <w:rPr>
                <w:rFonts w:cs="Arial"/>
                <w:b/>
                <w:bCs/>
                <w:sz w:val="20"/>
              </w:rPr>
            </w:pPr>
            <w:r w:rsidRPr="00DB68EA">
              <w:rPr>
                <w:rFonts w:cs="Arial"/>
                <w:b/>
                <w:bCs/>
                <w:sz w:val="20"/>
              </w:rPr>
              <w:t xml:space="preserve">Moderate to </w:t>
            </w:r>
            <w:r w:rsidR="00A740EE" w:rsidRPr="00A740EE">
              <w:rPr>
                <w:rFonts w:cs="Arial"/>
                <w:b/>
                <w:bCs/>
                <w:sz w:val="20"/>
              </w:rPr>
              <w:t>s</w:t>
            </w:r>
            <w:r w:rsidRPr="00DB68EA">
              <w:rPr>
                <w:rFonts w:cs="Arial"/>
                <w:b/>
                <w:bCs/>
                <w:sz w:val="20"/>
              </w:rPr>
              <w:t xml:space="preserve">evere </w:t>
            </w:r>
            <w:r w:rsidR="00A740EE" w:rsidRPr="00A740EE">
              <w:rPr>
                <w:rFonts w:cs="Arial"/>
                <w:b/>
                <w:bCs/>
                <w:sz w:val="20"/>
              </w:rPr>
              <w:t>h</w:t>
            </w:r>
            <w:r w:rsidRPr="00DB68EA">
              <w:rPr>
                <w:rFonts w:cs="Arial"/>
                <w:b/>
                <w:bCs/>
                <w:sz w:val="20"/>
              </w:rPr>
              <w:t xml:space="preserve">epatic </w:t>
            </w:r>
            <w:r w:rsidR="00A740EE" w:rsidRPr="00A740EE">
              <w:rPr>
                <w:rFonts w:cs="Arial"/>
                <w:b/>
                <w:bCs/>
                <w:sz w:val="20"/>
              </w:rPr>
              <w:t>i</w:t>
            </w:r>
            <w:r w:rsidRPr="00DB68EA">
              <w:rPr>
                <w:rFonts w:cs="Arial"/>
                <w:b/>
                <w:bCs/>
                <w:sz w:val="20"/>
              </w:rPr>
              <w:t>mpairment</w:t>
            </w:r>
          </w:p>
        </w:tc>
        <w:tc>
          <w:tcPr>
            <w:tcW w:w="6903" w:type="dxa"/>
            <w:gridSpan w:val="2"/>
            <w:tcBorders>
              <w:top w:val="nil"/>
              <w:left w:val="nil"/>
              <w:bottom w:val="single" w:sz="8" w:space="0" w:color="auto"/>
              <w:right w:val="single" w:sz="8" w:space="0" w:color="auto"/>
            </w:tcBorders>
            <w:tcMar>
              <w:top w:w="0" w:type="dxa"/>
              <w:left w:w="108" w:type="dxa"/>
              <w:bottom w:w="0" w:type="dxa"/>
              <w:right w:w="108" w:type="dxa"/>
            </w:tcMar>
          </w:tcPr>
          <w:p w14:paraId="12B3E559" w14:textId="77777777" w:rsidR="00F61B1A" w:rsidRDefault="00DB68EA" w:rsidP="00F61B1A">
            <w:pPr>
              <w:jc w:val="left"/>
              <w:rPr>
                <w:rFonts w:cs="Arial"/>
                <w:sz w:val="20"/>
              </w:rPr>
            </w:pPr>
            <w:r w:rsidRPr="00DB68EA">
              <w:rPr>
                <w:rFonts w:cs="Arial"/>
                <w:sz w:val="20"/>
              </w:rPr>
              <w:t>There is no clinical trial experience using ADCETRIS in combination with chemotherapy in patients with moderate or severe hepatic impairment, where total bilirubin is &gt; 1.5 times the upper limit of normal (ULN) (unless due to Gilbert syndrome), or aspartate aminotransferase (AST) or alanine aminotransferase (ALT) are &gt; 3 times the ULN, or &gt; 5 times the ULN if their elevation may be reasonably ascribed to the presence of HL in the liver.</w:t>
            </w:r>
          </w:p>
          <w:p w14:paraId="575BDCEA" w14:textId="7A11AA01" w:rsidR="00DB68EA" w:rsidRPr="00DB68EA" w:rsidRDefault="00DB68EA" w:rsidP="00F61B1A">
            <w:pPr>
              <w:jc w:val="left"/>
              <w:rPr>
                <w:rFonts w:cs="Arial"/>
                <w:sz w:val="20"/>
              </w:rPr>
            </w:pPr>
            <w:r w:rsidRPr="00DB68EA">
              <w:rPr>
                <w:rFonts w:cs="Arial"/>
                <w:sz w:val="20"/>
              </w:rPr>
              <w:t>Use of ADCETRIS in combination with chemotherapy should be avoided in patients with moderate and severe hepatic impairment.</w:t>
            </w:r>
          </w:p>
        </w:tc>
      </w:tr>
    </w:tbl>
    <w:bookmarkEnd w:id="4"/>
    <w:p w14:paraId="34E685F0" w14:textId="3A59D2BF" w:rsidR="001C532F" w:rsidRPr="001C532F" w:rsidRDefault="001C532F" w:rsidP="00FD6544">
      <w:pPr>
        <w:spacing w:after="120"/>
        <w:rPr>
          <w:i/>
        </w:rPr>
      </w:pPr>
      <w:r w:rsidRPr="001C532F">
        <w:rPr>
          <w:i/>
        </w:rPr>
        <w:t>Neutropenia</w:t>
      </w:r>
    </w:p>
    <w:p w14:paraId="0AAD1B83" w14:textId="16A7E3B8" w:rsidR="001C532F" w:rsidRDefault="001C532F" w:rsidP="001C532F">
      <w:r>
        <w:t xml:space="preserve">If neutropenia develops during </w:t>
      </w:r>
      <w:proofErr w:type="gramStart"/>
      <w:r>
        <w:t>treatment</w:t>
      </w:r>
      <w:proofErr w:type="gramEnd"/>
      <w:r>
        <w:t xml:space="preserve"> it should be managed by dose delays. See </w:t>
      </w:r>
      <w:r w:rsidR="00337817">
        <w:fldChar w:fldCharType="begin"/>
      </w:r>
      <w:r w:rsidR="00337817">
        <w:instrText xml:space="preserve"> REF _Ref507494672 \h </w:instrText>
      </w:r>
      <w:r w:rsidR="00337817">
        <w:fldChar w:fldCharType="separate"/>
      </w:r>
      <w:r w:rsidR="001E2FAC" w:rsidRPr="00337817">
        <w:rPr>
          <w:szCs w:val="22"/>
        </w:rPr>
        <w:t xml:space="preserve">Table </w:t>
      </w:r>
      <w:r w:rsidR="001E2FAC">
        <w:rPr>
          <w:noProof/>
          <w:szCs w:val="22"/>
        </w:rPr>
        <w:t>2</w:t>
      </w:r>
      <w:r w:rsidR="00337817">
        <w:fldChar w:fldCharType="end"/>
      </w:r>
      <w:r>
        <w:t xml:space="preserve"> </w:t>
      </w:r>
      <w:r w:rsidR="00437D24">
        <w:t xml:space="preserve">and </w:t>
      </w:r>
      <w:r w:rsidR="004A2B5A" w:rsidRPr="00A90ECE">
        <w:fldChar w:fldCharType="begin"/>
      </w:r>
      <w:r w:rsidR="004A2B5A" w:rsidRPr="00A90ECE">
        <w:instrText xml:space="preserve"> REF _Ref11397954 \h </w:instrText>
      </w:r>
      <w:r w:rsidR="00A90ECE" w:rsidRPr="00A90ECE">
        <w:instrText xml:space="preserve"> \* MERGEFORMAT </w:instrText>
      </w:r>
      <w:r w:rsidR="004A2B5A" w:rsidRPr="00A90ECE">
        <w:fldChar w:fldCharType="separate"/>
      </w:r>
      <w:r w:rsidR="001E2FAC" w:rsidRPr="001E2FAC">
        <w:rPr>
          <w:bCs/>
          <w:szCs w:val="22"/>
        </w:rPr>
        <w:t xml:space="preserve">Table </w:t>
      </w:r>
      <w:r w:rsidR="001E2FAC">
        <w:rPr>
          <w:bCs/>
          <w:noProof/>
          <w:szCs w:val="22"/>
        </w:rPr>
        <w:t>3</w:t>
      </w:r>
      <w:r w:rsidR="004A2B5A" w:rsidRPr="00A90ECE">
        <w:fldChar w:fldCharType="end"/>
      </w:r>
      <w:r w:rsidR="00437D24">
        <w:t xml:space="preserve"> </w:t>
      </w:r>
      <w:r>
        <w:t xml:space="preserve">below for appropriate dosing recommendations </w:t>
      </w:r>
      <w:r w:rsidR="00437D24">
        <w:t>for monotherapy and combination therapy, respectively</w:t>
      </w:r>
      <w:r w:rsidR="00437D24" w:rsidRPr="00A316ED">
        <w:t xml:space="preserve"> </w:t>
      </w:r>
      <w:r w:rsidRPr="00A316ED">
        <w:t xml:space="preserve">(see </w:t>
      </w:r>
      <w:r w:rsidR="00A316ED">
        <w:t xml:space="preserve">4.4 Special Warnings and </w:t>
      </w:r>
      <w:r w:rsidR="00A316ED" w:rsidRPr="00C81674">
        <w:t>Precautions</w:t>
      </w:r>
      <w:r w:rsidR="00A316ED">
        <w:t xml:space="preserve"> for use</w:t>
      </w:r>
      <w:r w:rsidRPr="00A316ED">
        <w:t>).</w:t>
      </w:r>
    </w:p>
    <w:p w14:paraId="2E052378" w14:textId="653B8D70" w:rsidR="00337817" w:rsidRPr="00337817" w:rsidRDefault="00337817" w:rsidP="001278CA">
      <w:pPr>
        <w:pStyle w:val="Caption"/>
        <w:keepNext/>
        <w:spacing w:after="0"/>
        <w:rPr>
          <w:sz w:val="22"/>
          <w:szCs w:val="22"/>
        </w:rPr>
      </w:pPr>
      <w:bookmarkStart w:id="6" w:name="_Ref507494672"/>
      <w:r w:rsidRPr="00337817">
        <w:rPr>
          <w:sz w:val="22"/>
          <w:szCs w:val="22"/>
        </w:rPr>
        <w:t xml:space="preserve">Table </w:t>
      </w:r>
      <w:r w:rsidR="00BB3E4E">
        <w:rPr>
          <w:sz w:val="22"/>
          <w:szCs w:val="22"/>
        </w:rPr>
        <w:fldChar w:fldCharType="begin"/>
      </w:r>
      <w:r w:rsidR="00BB3E4E">
        <w:rPr>
          <w:sz w:val="22"/>
          <w:szCs w:val="22"/>
        </w:rPr>
        <w:instrText xml:space="preserve"> SEQ Table \* ARABIC </w:instrText>
      </w:r>
      <w:r w:rsidR="00BB3E4E">
        <w:rPr>
          <w:sz w:val="22"/>
          <w:szCs w:val="22"/>
        </w:rPr>
        <w:fldChar w:fldCharType="separate"/>
      </w:r>
      <w:r w:rsidR="001E2FAC">
        <w:rPr>
          <w:noProof/>
          <w:sz w:val="22"/>
          <w:szCs w:val="22"/>
        </w:rPr>
        <w:t>2</w:t>
      </w:r>
      <w:r w:rsidR="00BB3E4E">
        <w:rPr>
          <w:sz w:val="22"/>
          <w:szCs w:val="22"/>
        </w:rPr>
        <w:fldChar w:fldCharType="end"/>
      </w:r>
      <w:bookmarkEnd w:id="6"/>
      <w:r w:rsidRPr="00337817">
        <w:rPr>
          <w:sz w:val="22"/>
          <w:szCs w:val="22"/>
        </w:rPr>
        <w:tab/>
        <w:t>Dosing recommendations for neutropenia</w:t>
      </w:r>
      <w:r w:rsidR="003F705D">
        <w:rPr>
          <w:sz w:val="22"/>
          <w:szCs w:val="22"/>
        </w:rPr>
        <w:t xml:space="preserve"> with monotherapy</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8"/>
        <w:gridCol w:w="6025"/>
      </w:tblGrid>
      <w:tr w:rsidR="00337817" w:rsidRPr="009722AB" w14:paraId="31A2DCA0" w14:textId="77777777" w:rsidTr="007434DC">
        <w:trPr>
          <w:jc w:val="center"/>
        </w:trPr>
        <w:tc>
          <w:tcPr>
            <w:tcW w:w="1850" w:type="pct"/>
          </w:tcPr>
          <w:p w14:paraId="162E72E3" w14:textId="77777777" w:rsidR="00337817" w:rsidRPr="009722AB" w:rsidRDefault="00337817" w:rsidP="00E977D4">
            <w:pPr>
              <w:keepNext/>
              <w:spacing w:after="0"/>
              <w:jc w:val="center"/>
              <w:rPr>
                <w:rFonts w:cs="Arial"/>
                <w:b/>
                <w:bCs/>
                <w:sz w:val="20"/>
              </w:rPr>
            </w:pPr>
            <w:r w:rsidRPr="009722AB">
              <w:rPr>
                <w:rFonts w:cs="Arial"/>
                <w:b/>
                <w:bCs/>
                <w:sz w:val="20"/>
              </w:rPr>
              <w:t>Severity grade of neutropenia</w:t>
            </w:r>
          </w:p>
          <w:p w14:paraId="0EFA1C19" w14:textId="77777777" w:rsidR="00337817" w:rsidRPr="009722AB" w:rsidRDefault="00337817" w:rsidP="00E977D4">
            <w:pPr>
              <w:keepNext/>
              <w:spacing w:after="0"/>
              <w:jc w:val="center"/>
              <w:rPr>
                <w:rFonts w:cs="Arial"/>
                <w:b/>
                <w:bCs/>
                <w:sz w:val="20"/>
              </w:rPr>
            </w:pPr>
            <w:r w:rsidRPr="009722AB">
              <w:rPr>
                <w:rFonts w:cs="Arial"/>
                <w:b/>
                <w:bCs/>
                <w:sz w:val="20"/>
              </w:rPr>
              <w:t>(</w:t>
            </w:r>
            <w:proofErr w:type="gramStart"/>
            <w:r w:rsidRPr="009722AB">
              <w:rPr>
                <w:rFonts w:cs="Arial"/>
                <w:b/>
                <w:bCs/>
                <w:sz w:val="20"/>
              </w:rPr>
              <w:t>signs</w:t>
            </w:r>
            <w:proofErr w:type="gramEnd"/>
            <w:r w:rsidRPr="009722AB">
              <w:rPr>
                <w:rFonts w:cs="Arial"/>
                <w:b/>
                <w:bCs/>
                <w:sz w:val="20"/>
              </w:rPr>
              <w:t xml:space="preserve"> and symptoms </w:t>
            </w:r>
            <w:r w:rsidRPr="009722AB">
              <w:rPr>
                <w:rFonts w:cs="Arial"/>
                <w:bCs/>
                <w:sz w:val="20"/>
              </w:rPr>
              <w:t xml:space="preserve">[abbreviated description of </w:t>
            </w:r>
            <w:proofErr w:type="spellStart"/>
            <w:r w:rsidRPr="009722AB">
              <w:rPr>
                <w:rFonts w:cs="Arial"/>
                <w:bCs/>
                <w:sz w:val="20"/>
              </w:rPr>
              <w:t>CTCAE</w:t>
            </w:r>
            <w:r w:rsidRPr="009722AB">
              <w:rPr>
                <w:rFonts w:cs="Arial"/>
                <w:bCs/>
                <w:sz w:val="20"/>
                <w:vertAlign w:val="superscript"/>
              </w:rPr>
              <w:t>a</w:t>
            </w:r>
            <w:proofErr w:type="spellEnd"/>
            <w:r w:rsidRPr="009722AB">
              <w:rPr>
                <w:rFonts w:cs="Arial"/>
                <w:bCs/>
                <w:sz w:val="20"/>
              </w:rPr>
              <w:t>])</w:t>
            </w:r>
          </w:p>
        </w:tc>
        <w:tc>
          <w:tcPr>
            <w:tcW w:w="3150" w:type="pct"/>
          </w:tcPr>
          <w:p w14:paraId="2C14B650" w14:textId="77777777" w:rsidR="00337817" w:rsidRPr="009722AB" w:rsidRDefault="00337817" w:rsidP="00E977D4">
            <w:pPr>
              <w:keepNext/>
              <w:spacing w:after="0"/>
              <w:jc w:val="center"/>
              <w:rPr>
                <w:rFonts w:cs="Arial"/>
                <w:b/>
                <w:bCs/>
                <w:sz w:val="20"/>
              </w:rPr>
            </w:pPr>
            <w:r w:rsidRPr="009722AB">
              <w:rPr>
                <w:rFonts w:cs="Arial"/>
                <w:b/>
                <w:bCs/>
                <w:sz w:val="20"/>
              </w:rPr>
              <w:t>Modification of dose and schedule</w:t>
            </w:r>
          </w:p>
        </w:tc>
      </w:tr>
      <w:tr w:rsidR="00337817" w:rsidRPr="009722AB" w14:paraId="757870C2" w14:textId="77777777" w:rsidTr="007434DC">
        <w:trPr>
          <w:jc w:val="center"/>
        </w:trPr>
        <w:tc>
          <w:tcPr>
            <w:tcW w:w="1850" w:type="pct"/>
          </w:tcPr>
          <w:p w14:paraId="4FF6BD7E" w14:textId="77777777" w:rsidR="00337817" w:rsidRPr="009722AB" w:rsidRDefault="00337817" w:rsidP="00E977D4">
            <w:pPr>
              <w:keepNext/>
              <w:spacing w:after="0"/>
              <w:rPr>
                <w:rFonts w:cs="Arial"/>
                <w:sz w:val="20"/>
                <w:vertAlign w:val="superscript"/>
              </w:rPr>
            </w:pPr>
            <w:r w:rsidRPr="009722AB">
              <w:rPr>
                <w:rFonts w:cs="Arial"/>
                <w:sz w:val="20"/>
              </w:rPr>
              <w:t>Grade 1 (&lt;LLN - 1500/mm</w:t>
            </w:r>
            <w:r w:rsidRPr="009722AB">
              <w:rPr>
                <w:rFonts w:cs="Arial"/>
                <w:sz w:val="20"/>
                <w:vertAlign w:val="superscript"/>
              </w:rPr>
              <w:t>3</w:t>
            </w:r>
          </w:p>
          <w:p w14:paraId="47D05CAB" w14:textId="77777777" w:rsidR="00337817" w:rsidRPr="009722AB" w:rsidRDefault="00337817" w:rsidP="00E977D4">
            <w:pPr>
              <w:keepNext/>
              <w:spacing w:after="0"/>
              <w:rPr>
                <w:rFonts w:cs="Arial"/>
                <w:sz w:val="20"/>
              </w:rPr>
            </w:pPr>
            <w:r w:rsidRPr="009722AB">
              <w:rPr>
                <w:rFonts w:cs="Arial"/>
                <w:sz w:val="20"/>
              </w:rPr>
              <w:t xml:space="preserve">               &lt;LLN - 1.5 x 10</w:t>
            </w:r>
            <w:r w:rsidRPr="009722AB">
              <w:rPr>
                <w:rFonts w:cs="Arial"/>
                <w:sz w:val="20"/>
                <w:vertAlign w:val="superscript"/>
              </w:rPr>
              <w:t>9</w:t>
            </w:r>
            <w:r w:rsidRPr="009722AB">
              <w:rPr>
                <w:rFonts w:cs="Arial"/>
                <w:sz w:val="20"/>
              </w:rPr>
              <w:t>/L) or</w:t>
            </w:r>
          </w:p>
          <w:p w14:paraId="1F7FFA6B" w14:textId="77777777" w:rsidR="00337817" w:rsidRPr="009722AB" w:rsidRDefault="00337817" w:rsidP="00E977D4">
            <w:pPr>
              <w:keepNext/>
              <w:spacing w:after="0"/>
              <w:rPr>
                <w:rFonts w:cs="Arial"/>
                <w:sz w:val="20"/>
                <w:vertAlign w:val="superscript"/>
              </w:rPr>
            </w:pPr>
            <w:r w:rsidRPr="009722AB">
              <w:rPr>
                <w:rFonts w:cs="Arial"/>
                <w:sz w:val="20"/>
              </w:rPr>
              <w:t>Grade 2 (&lt;1500 - 1000/mm</w:t>
            </w:r>
            <w:r w:rsidRPr="009722AB">
              <w:rPr>
                <w:rFonts w:cs="Arial"/>
                <w:sz w:val="20"/>
                <w:vertAlign w:val="superscript"/>
              </w:rPr>
              <w:t>3</w:t>
            </w:r>
          </w:p>
          <w:p w14:paraId="0BB69CBD" w14:textId="77777777" w:rsidR="00337817" w:rsidRPr="009722AB" w:rsidRDefault="00337817" w:rsidP="00E977D4">
            <w:pPr>
              <w:keepNext/>
              <w:spacing w:after="0"/>
              <w:rPr>
                <w:rFonts w:cs="Arial"/>
                <w:sz w:val="20"/>
              </w:rPr>
            </w:pPr>
            <w:r w:rsidRPr="009722AB">
              <w:rPr>
                <w:rFonts w:cs="Arial"/>
                <w:sz w:val="20"/>
                <w:vertAlign w:val="superscript"/>
              </w:rPr>
              <w:t xml:space="preserve">                          </w:t>
            </w:r>
            <w:r w:rsidRPr="009722AB">
              <w:rPr>
                <w:rFonts w:cs="Arial"/>
                <w:sz w:val="20"/>
              </w:rPr>
              <w:t>&lt;1.5 – 1.0 x 10</w:t>
            </w:r>
            <w:r w:rsidRPr="009722AB">
              <w:rPr>
                <w:rFonts w:cs="Arial"/>
                <w:sz w:val="20"/>
                <w:vertAlign w:val="superscript"/>
              </w:rPr>
              <w:t>9</w:t>
            </w:r>
            <w:r w:rsidRPr="009722AB">
              <w:rPr>
                <w:rFonts w:cs="Arial"/>
                <w:sz w:val="20"/>
              </w:rPr>
              <w:t>/L)</w:t>
            </w:r>
          </w:p>
        </w:tc>
        <w:tc>
          <w:tcPr>
            <w:tcW w:w="3150" w:type="pct"/>
          </w:tcPr>
          <w:p w14:paraId="77A7A52C" w14:textId="77777777" w:rsidR="00337817" w:rsidRPr="009722AB" w:rsidRDefault="00337817" w:rsidP="004D129C">
            <w:pPr>
              <w:keepNext/>
              <w:spacing w:after="0"/>
              <w:rPr>
                <w:rFonts w:cs="Arial"/>
                <w:sz w:val="20"/>
              </w:rPr>
            </w:pPr>
            <w:r w:rsidRPr="009722AB">
              <w:rPr>
                <w:rFonts w:cs="Arial"/>
                <w:sz w:val="20"/>
              </w:rPr>
              <w:t>Continue with the same dose and schedule</w:t>
            </w:r>
          </w:p>
        </w:tc>
      </w:tr>
      <w:tr w:rsidR="00337817" w:rsidRPr="009722AB" w14:paraId="2C99D5DB" w14:textId="77777777" w:rsidTr="007434DC">
        <w:trPr>
          <w:jc w:val="center"/>
        </w:trPr>
        <w:tc>
          <w:tcPr>
            <w:tcW w:w="1850" w:type="pct"/>
          </w:tcPr>
          <w:p w14:paraId="288AB259" w14:textId="77777777" w:rsidR="00337817" w:rsidRPr="009722AB" w:rsidRDefault="00337817" w:rsidP="00E977D4">
            <w:pPr>
              <w:keepNext/>
              <w:spacing w:after="0"/>
              <w:ind w:left="826" w:hanging="826"/>
              <w:rPr>
                <w:rFonts w:cs="Arial"/>
                <w:sz w:val="20"/>
              </w:rPr>
            </w:pPr>
            <w:r w:rsidRPr="009722AB">
              <w:rPr>
                <w:rFonts w:cs="Arial"/>
                <w:sz w:val="20"/>
              </w:rPr>
              <w:t>Grade 3 (&lt;1,000 - 500/mm</w:t>
            </w:r>
            <w:r w:rsidRPr="009722AB">
              <w:rPr>
                <w:rFonts w:cs="Arial"/>
                <w:sz w:val="20"/>
                <w:vertAlign w:val="superscript"/>
              </w:rPr>
              <w:t>3</w:t>
            </w:r>
          </w:p>
          <w:p w14:paraId="6BE8BB26" w14:textId="77777777" w:rsidR="00337817" w:rsidRPr="009722AB" w:rsidRDefault="00337817" w:rsidP="00E977D4">
            <w:pPr>
              <w:keepNext/>
              <w:spacing w:after="0"/>
              <w:ind w:left="826" w:hanging="826"/>
              <w:rPr>
                <w:rFonts w:cs="Arial"/>
                <w:sz w:val="20"/>
              </w:rPr>
            </w:pPr>
            <w:r w:rsidRPr="009722AB">
              <w:rPr>
                <w:rFonts w:cs="Arial"/>
                <w:sz w:val="20"/>
              </w:rPr>
              <w:t xml:space="preserve">                &lt;1.0 - 0.5 x 10</w:t>
            </w:r>
            <w:r w:rsidRPr="009722AB">
              <w:rPr>
                <w:rFonts w:cs="Arial"/>
                <w:sz w:val="20"/>
                <w:vertAlign w:val="superscript"/>
              </w:rPr>
              <w:t>9</w:t>
            </w:r>
            <w:r w:rsidRPr="009722AB">
              <w:rPr>
                <w:rFonts w:cs="Arial"/>
                <w:sz w:val="20"/>
              </w:rPr>
              <w:t>/L) or</w:t>
            </w:r>
          </w:p>
          <w:p w14:paraId="5A609132" w14:textId="77777777" w:rsidR="00337817" w:rsidRPr="009722AB" w:rsidRDefault="00337817" w:rsidP="00E977D4">
            <w:pPr>
              <w:keepNext/>
              <w:spacing w:after="0"/>
              <w:ind w:left="826" w:hanging="826"/>
              <w:rPr>
                <w:rFonts w:cs="Arial"/>
                <w:sz w:val="20"/>
                <w:vertAlign w:val="superscript"/>
              </w:rPr>
            </w:pPr>
            <w:r w:rsidRPr="009722AB">
              <w:rPr>
                <w:rFonts w:cs="Arial"/>
                <w:sz w:val="20"/>
              </w:rPr>
              <w:t>Grade 4 (&lt;500/mm</w:t>
            </w:r>
            <w:r w:rsidRPr="009722AB">
              <w:rPr>
                <w:rFonts w:cs="Arial"/>
                <w:sz w:val="20"/>
                <w:vertAlign w:val="superscript"/>
              </w:rPr>
              <w:t>3</w:t>
            </w:r>
          </w:p>
          <w:p w14:paraId="45AF16B0" w14:textId="77777777" w:rsidR="00337817" w:rsidRPr="009722AB" w:rsidRDefault="00337817" w:rsidP="00E977D4">
            <w:pPr>
              <w:keepNext/>
              <w:spacing w:after="0"/>
              <w:ind w:left="826" w:hanging="826"/>
              <w:rPr>
                <w:rFonts w:cs="Arial"/>
                <w:sz w:val="20"/>
              </w:rPr>
            </w:pPr>
            <w:r w:rsidRPr="009722AB">
              <w:rPr>
                <w:rFonts w:cs="Arial"/>
                <w:sz w:val="20"/>
                <w:vertAlign w:val="superscript"/>
              </w:rPr>
              <w:t xml:space="preserve">                          </w:t>
            </w:r>
            <w:r w:rsidRPr="009722AB">
              <w:rPr>
                <w:rFonts w:cs="Arial"/>
                <w:sz w:val="20"/>
              </w:rPr>
              <w:t>&lt;0.5 x 10</w:t>
            </w:r>
            <w:r w:rsidRPr="009722AB">
              <w:rPr>
                <w:rFonts w:cs="Arial"/>
                <w:sz w:val="20"/>
                <w:vertAlign w:val="superscript"/>
              </w:rPr>
              <w:t>9</w:t>
            </w:r>
            <w:r w:rsidRPr="009722AB">
              <w:rPr>
                <w:rFonts w:cs="Arial"/>
                <w:sz w:val="20"/>
              </w:rPr>
              <w:t>/L)</w:t>
            </w:r>
          </w:p>
        </w:tc>
        <w:tc>
          <w:tcPr>
            <w:tcW w:w="3150" w:type="pct"/>
          </w:tcPr>
          <w:p w14:paraId="69062A83" w14:textId="77777777" w:rsidR="00337817" w:rsidRPr="009722AB" w:rsidRDefault="00337817" w:rsidP="00E977D4">
            <w:pPr>
              <w:keepNext/>
              <w:spacing w:after="0"/>
              <w:rPr>
                <w:rFonts w:cs="Arial"/>
                <w:sz w:val="20"/>
              </w:rPr>
            </w:pPr>
            <w:r w:rsidRPr="009722AB">
              <w:rPr>
                <w:rFonts w:cs="Arial"/>
                <w:sz w:val="20"/>
              </w:rPr>
              <w:t xml:space="preserve">Withhold dose until toxicity returns to ≤ Grade 2 or baseline then resume treatment at the same dose and schedule </w:t>
            </w:r>
            <w:r w:rsidRPr="009722AB">
              <w:rPr>
                <w:rFonts w:cs="Arial"/>
                <w:sz w:val="20"/>
                <w:vertAlign w:val="superscript"/>
              </w:rPr>
              <w:t>b</w:t>
            </w:r>
            <w:r w:rsidRPr="009722AB">
              <w:rPr>
                <w:rFonts w:cs="Arial"/>
                <w:sz w:val="20"/>
              </w:rPr>
              <w:t xml:space="preserve">. Consider growth factor </w:t>
            </w:r>
            <w:r w:rsidRPr="009D1B3F">
              <w:rPr>
                <w:rFonts w:cs="Arial"/>
                <w:sz w:val="20"/>
              </w:rPr>
              <w:t>support (G-CSF or GM-CSF</w:t>
            </w:r>
            <w:r w:rsidRPr="009722AB">
              <w:rPr>
                <w:rFonts w:cs="Arial"/>
                <w:sz w:val="20"/>
              </w:rPr>
              <w:t>) in subsequent cycles for patients who develop Grade 3 or Grade 4 neutropenia.</w:t>
            </w:r>
          </w:p>
        </w:tc>
      </w:tr>
    </w:tbl>
    <w:p w14:paraId="24AE0C79" w14:textId="77777777" w:rsidR="00337817" w:rsidRPr="009722AB" w:rsidRDefault="00337817" w:rsidP="000550D7">
      <w:pPr>
        <w:pStyle w:val="Paragraph"/>
        <w:keepNext/>
        <w:numPr>
          <w:ilvl w:val="0"/>
          <w:numId w:val="23"/>
        </w:numPr>
        <w:spacing w:after="0"/>
        <w:rPr>
          <w:rFonts w:ascii="Arial" w:hAnsi="Arial" w:cs="Arial"/>
          <w:sz w:val="20"/>
          <w:szCs w:val="20"/>
        </w:rPr>
      </w:pPr>
      <w:r w:rsidRPr="009722AB">
        <w:rPr>
          <w:rFonts w:ascii="Arial" w:hAnsi="Arial" w:cs="Arial"/>
          <w:sz w:val="20"/>
          <w:szCs w:val="20"/>
          <w:lang w:val="en-GB"/>
        </w:rPr>
        <w:t>Grading based on National Cancer Institute (NCI) Common Terminology Criteria for Adverse Events (CTCAE) v3.0; see Neutrophils/granulocytes; LLN= lower limit of normal</w:t>
      </w:r>
    </w:p>
    <w:p w14:paraId="44215699" w14:textId="77777777" w:rsidR="00337817" w:rsidRPr="009722AB" w:rsidRDefault="00337817" w:rsidP="000550D7">
      <w:pPr>
        <w:pStyle w:val="Paragraph"/>
        <w:keepNext/>
        <w:numPr>
          <w:ilvl w:val="0"/>
          <w:numId w:val="23"/>
        </w:numPr>
        <w:spacing w:after="0"/>
        <w:rPr>
          <w:rFonts w:ascii="Arial" w:hAnsi="Arial" w:cs="Arial"/>
          <w:sz w:val="20"/>
          <w:szCs w:val="20"/>
        </w:rPr>
      </w:pPr>
      <w:r w:rsidRPr="009722AB">
        <w:rPr>
          <w:rFonts w:ascii="Arial" w:hAnsi="Arial" w:cs="Arial"/>
          <w:sz w:val="20"/>
          <w:szCs w:val="20"/>
          <w:lang w:val="en-GB"/>
        </w:rPr>
        <w:t xml:space="preserve">Patients who develop Grade 3 or Grade 4 lymphopenia may continue treatment without interruption. </w:t>
      </w:r>
    </w:p>
    <w:p w14:paraId="4E0400DA" w14:textId="77777777" w:rsidR="00B63382" w:rsidRDefault="00B63382" w:rsidP="00B63382">
      <w:pPr>
        <w:spacing w:after="0"/>
        <w:rPr>
          <w:i/>
        </w:rPr>
      </w:pPr>
    </w:p>
    <w:p w14:paraId="4464859A" w14:textId="77777777" w:rsidR="00FF4B7F" w:rsidRDefault="00FF4B7F">
      <w:pPr>
        <w:spacing w:after="0"/>
        <w:jc w:val="left"/>
        <w:rPr>
          <w:b/>
          <w:szCs w:val="22"/>
        </w:rPr>
      </w:pPr>
      <w:bookmarkStart w:id="7" w:name="_Ref11397954"/>
      <w:r>
        <w:rPr>
          <w:bCs/>
          <w:szCs w:val="22"/>
        </w:rPr>
        <w:br w:type="page"/>
      </w:r>
    </w:p>
    <w:p w14:paraId="0AA179CC" w14:textId="342D2EAE" w:rsidR="00437D24" w:rsidRPr="004A2B5A" w:rsidRDefault="00437D24" w:rsidP="001278CA">
      <w:pPr>
        <w:pStyle w:val="Caption"/>
        <w:spacing w:after="0"/>
        <w:rPr>
          <w:b w:val="0"/>
          <w:bCs w:val="0"/>
          <w:sz w:val="22"/>
          <w:szCs w:val="22"/>
        </w:rPr>
      </w:pPr>
      <w:r w:rsidRPr="00A90ECE">
        <w:rPr>
          <w:bCs w:val="0"/>
          <w:sz w:val="22"/>
          <w:szCs w:val="22"/>
        </w:rPr>
        <w:lastRenderedPageBreak/>
        <w:t xml:space="preserve">Table </w:t>
      </w:r>
      <w:r w:rsidR="00BB3E4E">
        <w:rPr>
          <w:bCs w:val="0"/>
          <w:sz w:val="22"/>
          <w:szCs w:val="22"/>
        </w:rPr>
        <w:fldChar w:fldCharType="begin"/>
      </w:r>
      <w:r w:rsidR="00BB3E4E">
        <w:rPr>
          <w:bCs w:val="0"/>
          <w:sz w:val="22"/>
          <w:szCs w:val="22"/>
        </w:rPr>
        <w:instrText xml:space="preserve"> SEQ Table \* ARABIC </w:instrText>
      </w:r>
      <w:r w:rsidR="00BB3E4E">
        <w:rPr>
          <w:bCs w:val="0"/>
          <w:sz w:val="22"/>
          <w:szCs w:val="22"/>
        </w:rPr>
        <w:fldChar w:fldCharType="separate"/>
      </w:r>
      <w:r w:rsidR="001E2FAC">
        <w:rPr>
          <w:bCs w:val="0"/>
          <w:noProof/>
          <w:sz w:val="22"/>
          <w:szCs w:val="22"/>
        </w:rPr>
        <w:t>3</w:t>
      </w:r>
      <w:r w:rsidR="00BB3E4E">
        <w:rPr>
          <w:bCs w:val="0"/>
          <w:sz w:val="22"/>
          <w:szCs w:val="22"/>
        </w:rPr>
        <w:fldChar w:fldCharType="end"/>
      </w:r>
      <w:bookmarkEnd w:id="7"/>
      <w:r w:rsidR="004A2B5A" w:rsidRPr="00A90ECE">
        <w:rPr>
          <w:bCs w:val="0"/>
          <w:sz w:val="22"/>
          <w:szCs w:val="22"/>
        </w:rPr>
        <w:tab/>
      </w:r>
      <w:r w:rsidRPr="004A2B5A">
        <w:rPr>
          <w:bCs w:val="0"/>
          <w:sz w:val="22"/>
          <w:szCs w:val="22"/>
        </w:rPr>
        <w:t xml:space="preserve">Dosing recommendations for neutropenia during combination therapy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7"/>
        <w:gridCol w:w="6039"/>
      </w:tblGrid>
      <w:tr w:rsidR="00437D24" w:rsidRPr="00437D24" w14:paraId="661D3891" w14:textId="77777777" w:rsidTr="008B6780">
        <w:tc>
          <w:tcPr>
            <w:tcW w:w="1814" w:type="pct"/>
          </w:tcPr>
          <w:p w14:paraId="6FCA4F56" w14:textId="77777777" w:rsidR="00437D24" w:rsidRPr="00437D24" w:rsidRDefault="00437D24" w:rsidP="004627D7">
            <w:pPr>
              <w:spacing w:after="0"/>
              <w:jc w:val="left"/>
              <w:rPr>
                <w:b/>
                <w:bCs/>
                <w:lang w:val="en-GB"/>
              </w:rPr>
            </w:pPr>
            <w:r w:rsidRPr="00437D24">
              <w:rPr>
                <w:b/>
                <w:bCs/>
                <w:lang w:val="en-GB"/>
              </w:rPr>
              <w:t>Severity grade of neutropenia</w:t>
            </w:r>
          </w:p>
          <w:p w14:paraId="3F529A57" w14:textId="77777777" w:rsidR="00437D24" w:rsidRPr="00437D24" w:rsidRDefault="00437D24" w:rsidP="004627D7">
            <w:pPr>
              <w:spacing w:after="0"/>
              <w:jc w:val="left"/>
              <w:rPr>
                <w:b/>
                <w:bCs/>
                <w:lang w:val="en-GB"/>
              </w:rPr>
            </w:pPr>
            <w:r w:rsidRPr="00437D24">
              <w:rPr>
                <w:b/>
                <w:bCs/>
                <w:lang w:val="en-GB"/>
              </w:rPr>
              <w:t>(</w:t>
            </w:r>
            <w:proofErr w:type="gramStart"/>
            <w:r w:rsidRPr="00437D24">
              <w:rPr>
                <w:b/>
                <w:bCs/>
                <w:lang w:val="en-GB"/>
              </w:rPr>
              <w:t>signs</w:t>
            </w:r>
            <w:proofErr w:type="gramEnd"/>
            <w:r w:rsidRPr="00437D24">
              <w:rPr>
                <w:b/>
                <w:bCs/>
                <w:lang w:val="en-GB"/>
              </w:rPr>
              <w:t xml:space="preserve"> and symptoms </w:t>
            </w:r>
            <w:r w:rsidRPr="00437D24">
              <w:rPr>
                <w:bCs/>
                <w:lang w:val="en-GB"/>
              </w:rPr>
              <w:t xml:space="preserve">[abbreviated description of </w:t>
            </w:r>
            <w:proofErr w:type="spellStart"/>
            <w:r w:rsidRPr="00437D24">
              <w:rPr>
                <w:bCs/>
                <w:lang w:val="en-GB"/>
              </w:rPr>
              <w:t>CTCAE</w:t>
            </w:r>
            <w:r w:rsidRPr="00437D24">
              <w:rPr>
                <w:bCs/>
                <w:vertAlign w:val="superscript"/>
                <w:lang w:val="en-GB"/>
              </w:rPr>
              <w:t>a</w:t>
            </w:r>
            <w:proofErr w:type="spellEnd"/>
            <w:r w:rsidRPr="00437D24">
              <w:rPr>
                <w:bCs/>
                <w:lang w:val="en-GB"/>
              </w:rPr>
              <w:t>])</w:t>
            </w:r>
          </w:p>
        </w:tc>
        <w:tc>
          <w:tcPr>
            <w:tcW w:w="3150" w:type="pct"/>
          </w:tcPr>
          <w:p w14:paraId="5EF7DE6F" w14:textId="77777777" w:rsidR="00437D24" w:rsidRPr="00437D24" w:rsidRDefault="00437D24" w:rsidP="00437D24">
            <w:pPr>
              <w:spacing w:after="0"/>
              <w:rPr>
                <w:b/>
                <w:bCs/>
                <w:lang w:val="en-GB"/>
              </w:rPr>
            </w:pPr>
            <w:r w:rsidRPr="00437D24">
              <w:rPr>
                <w:b/>
                <w:bCs/>
                <w:lang w:val="en-GB"/>
              </w:rPr>
              <w:t>Modification of dosing schedule</w:t>
            </w:r>
          </w:p>
        </w:tc>
      </w:tr>
      <w:tr w:rsidR="00437D24" w:rsidRPr="00437D24" w14:paraId="7DED20E5" w14:textId="77777777" w:rsidTr="008B6780">
        <w:trPr>
          <w:trHeight w:val="2034"/>
        </w:trPr>
        <w:tc>
          <w:tcPr>
            <w:tcW w:w="1814" w:type="pct"/>
          </w:tcPr>
          <w:p w14:paraId="0A0FF044" w14:textId="77777777" w:rsidR="00437D24" w:rsidRPr="00437D24" w:rsidRDefault="00437D24" w:rsidP="00437D24">
            <w:pPr>
              <w:spacing w:after="0"/>
              <w:rPr>
                <w:vertAlign w:val="superscript"/>
                <w:lang w:val="sv-SE"/>
              </w:rPr>
            </w:pPr>
            <w:r w:rsidRPr="00437D24">
              <w:rPr>
                <w:lang w:val="sv-SE"/>
              </w:rPr>
              <w:t>Grade 1 (&lt; LLN</w:t>
            </w:r>
            <w:r w:rsidRPr="00437D24">
              <w:rPr>
                <w:lang w:val="sv-SE"/>
              </w:rPr>
              <w:noBreakHyphen/>
              <w:t>1500/mm</w:t>
            </w:r>
            <w:r w:rsidRPr="00437D24">
              <w:rPr>
                <w:vertAlign w:val="superscript"/>
                <w:lang w:val="sv-SE"/>
              </w:rPr>
              <w:t>3</w:t>
            </w:r>
          </w:p>
          <w:p w14:paraId="20810F29" w14:textId="77777777" w:rsidR="00437D24" w:rsidRPr="00437D24" w:rsidRDefault="00437D24" w:rsidP="00437D24">
            <w:pPr>
              <w:spacing w:after="0"/>
              <w:rPr>
                <w:lang w:val="sv-SE"/>
              </w:rPr>
            </w:pPr>
            <w:r w:rsidRPr="00437D24">
              <w:rPr>
                <w:lang w:val="sv-SE"/>
              </w:rPr>
              <w:t xml:space="preserve">               &lt; LLN</w:t>
            </w:r>
            <w:r w:rsidRPr="00437D24">
              <w:rPr>
                <w:lang w:val="sv-SE"/>
              </w:rPr>
              <w:noBreakHyphen/>
              <w:t>1.5 x 10</w:t>
            </w:r>
            <w:r w:rsidRPr="00437D24">
              <w:rPr>
                <w:vertAlign w:val="superscript"/>
                <w:lang w:val="sv-SE"/>
              </w:rPr>
              <w:t>9</w:t>
            </w:r>
            <w:r w:rsidRPr="00437D24">
              <w:rPr>
                <w:lang w:val="sv-SE"/>
              </w:rPr>
              <w:t>/L) or</w:t>
            </w:r>
          </w:p>
          <w:p w14:paraId="122F630D" w14:textId="77777777" w:rsidR="00437D24" w:rsidRPr="00E945CF" w:rsidRDefault="00437D24" w:rsidP="00437D24">
            <w:pPr>
              <w:spacing w:after="0"/>
              <w:rPr>
                <w:vertAlign w:val="superscript"/>
                <w:lang w:val="de-DE"/>
              </w:rPr>
            </w:pPr>
            <w:r w:rsidRPr="00E945CF">
              <w:rPr>
                <w:lang w:val="de-DE"/>
              </w:rPr>
              <w:t>Grade 2 (&lt; 1500</w:t>
            </w:r>
            <w:r w:rsidRPr="00E945CF">
              <w:rPr>
                <w:lang w:val="de-DE"/>
              </w:rPr>
              <w:noBreakHyphen/>
              <w:t>1000/mm</w:t>
            </w:r>
            <w:r w:rsidRPr="00E945CF">
              <w:rPr>
                <w:vertAlign w:val="superscript"/>
                <w:lang w:val="de-DE"/>
              </w:rPr>
              <w:t>3</w:t>
            </w:r>
          </w:p>
          <w:p w14:paraId="3EF7A451" w14:textId="77777777" w:rsidR="00437D24" w:rsidRPr="00E945CF" w:rsidRDefault="00437D24" w:rsidP="00437D24">
            <w:pPr>
              <w:spacing w:after="0"/>
              <w:rPr>
                <w:lang w:val="de-DE"/>
              </w:rPr>
            </w:pPr>
            <w:r w:rsidRPr="00E945CF">
              <w:rPr>
                <w:vertAlign w:val="superscript"/>
                <w:lang w:val="de-DE"/>
              </w:rPr>
              <w:t xml:space="preserve">                          </w:t>
            </w:r>
            <w:r w:rsidRPr="00E945CF">
              <w:rPr>
                <w:lang w:val="de-DE"/>
              </w:rPr>
              <w:t>&lt; 1.5</w:t>
            </w:r>
            <w:r w:rsidRPr="00E945CF">
              <w:rPr>
                <w:lang w:val="de-DE"/>
              </w:rPr>
              <w:noBreakHyphen/>
              <w:t>1.0 x 10</w:t>
            </w:r>
            <w:r w:rsidRPr="00E945CF">
              <w:rPr>
                <w:vertAlign w:val="superscript"/>
                <w:lang w:val="de-DE"/>
              </w:rPr>
              <w:t>9</w:t>
            </w:r>
            <w:r w:rsidRPr="00E945CF">
              <w:rPr>
                <w:lang w:val="de-DE"/>
              </w:rPr>
              <w:t>/L)</w:t>
            </w:r>
          </w:p>
          <w:p w14:paraId="3D6792EA" w14:textId="77777777" w:rsidR="00437D24" w:rsidRPr="00E945CF" w:rsidRDefault="00437D24" w:rsidP="00437D24">
            <w:pPr>
              <w:spacing w:after="0"/>
              <w:rPr>
                <w:lang w:val="de-DE"/>
              </w:rPr>
            </w:pPr>
            <w:r w:rsidRPr="00E945CF">
              <w:rPr>
                <w:lang w:val="de-DE"/>
              </w:rPr>
              <w:t>Grade 3 (&lt; 1,000</w:t>
            </w:r>
            <w:r w:rsidRPr="00E945CF">
              <w:rPr>
                <w:lang w:val="de-DE"/>
              </w:rPr>
              <w:noBreakHyphen/>
              <w:t>500/mm</w:t>
            </w:r>
            <w:r w:rsidRPr="00E945CF">
              <w:rPr>
                <w:vertAlign w:val="superscript"/>
                <w:lang w:val="de-DE"/>
              </w:rPr>
              <w:t>3</w:t>
            </w:r>
          </w:p>
          <w:p w14:paraId="497BEC88" w14:textId="77777777" w:rsidR="00437D24" w:rsidRPr="00437D24" w:rsidRDefault="00437D24" w:rsidP="00437D24">
            <w:pPr>
              <w:spacing w:after="0"/>
              <w:rPr>
                <w:lang w:val="en-GB"/>
              </w:rPr>
            </w:pPr>
            <w:r w:rsidRPr="00E945CF">
              <w:rPr>
                <w:lang w:val="de-DE"/>
              </w:rPr>
              <w:t xml:space="preserve">                </w:t>
            </w:r>
            <w:r w:rsidRPr="00437D24">
              <w:rPr>
                <w:lang w:val="en-GB"/>
              </w:rPr>
              <w:t>&lt; 1.0</w:t>
            </w:r>
            <w:r w:rsidRPr="00437D24">
              <w:rPr>
                <w:lang w:val="en-GB"/>
              </w:rPr>
              <w:noBreakHyphen/>
              <w:t>0.5 x 10</w:t>
            </w:r>
            <w:r w:rsidRPr="00437D24">
              <w:rPr>
                <w:vertAlign w:val="superscript"/>
                <w:lang w:val="en-GB"/>
              </w:rPr>
              <w:t>9</w:t>
            </w:r>
            <w:r w:rsidRPr="00437D24">
              <w:rPr>
                <w:lang w:val="en-GB"/>
              </w:rPr>
              <w:t>/L) or</w:t>
            </w:r>
          </w:p>
          <w:p w14:paraId="322DE8DC" w14:textId="77777777" w:rsidR="00437D24" w:rsidRPr="00437D24" w:rsidRDefault="00437D24" w:rsidP="00437D24">
            <w:pPr>
              <w:spacing w:after="0"/>
              <w:rPr>
                <w:vertAlign w:val="superscript"/>
                <w:lang w:val="en-GB"/>
              </w:rPr>
            </w:pPr>
            <w:r w:rsidRPr="00437D24">
              <w:rPr>
                <w:lang w:val="en-GB"/>
              </w:rPr>
              <w:t>Grade 4 (&lt; 500/mm</w:t>
            </w:r>
            <w:r w:rsidRPr="00437D24">
              <w:rPr>
                <w:vertAlign w:val="superscript"/>
                <w:lang w:val="en-GB"/>
              </w:rPr>
              <w:t>3</w:t>
            </w:r>
          </w:p>
          <w:p w14:paraId="264B1664" w14:textId="77777777" w:rsidR="00437D24" w:rsidRPr="00437D24" w:rsidRDefault="00437D24" w:rsidP="00437D24">
            <w:pPr>
              <w:spacing w:after="0"/>
              <w:rPr>
                <w:lang w:val="en-GB"/>
              </w:rPr>
            </w:pPr>
            <w:r w:rsidRPr="00437D24">
              <w:rPr>
                <w:vertAlign w:val="superscript"/>
                <w:lang w:val="en-GB"/>
              </w:rPr>
              <w:t xml:space="preserve">                          </w:t>
            </w:r>
            <w:r w:rsidRPr="00437D24">
              <w:rPr>
                <w:lang w:val="en-GB"/>
              </w:rPr>
              <w:t>&lt; 0.5 x 10</w:t>
            </w:r>
            <w:r w:rsidRPr="00437D24">
              <w:rPr>
                <w:vertAlign w:val="superscript"/>
                <w:lang w:val="en-GB"/>
              </w:rPr>
              <w:t>9</w:t>
            </w:r>
            <w:r w:rsidRPr="00437D24">
              <w:rPr>
                <w:lang w:val="en-GB"/>
              </w:rPr>
              <w:t>/L)</w:t>
            </w:r>
          </w:p>
        </w:tc>
        <w:tc>
          <w:tcPr>
            <w:tcW w:w="3150" w:type="pct"/>
          </w:tcPr>
          <w:p w14:paraId="29A6C555" w14:textId="77777777" w:rsidR="00437D24" w:rsidRPr="00437D24" w:rsidRDefault="00437D24" w:rsidP="008F1530">
            <w:pPr>
              <w:spacing w:after="0"/>
              <w:rPr>
                <w:lang w:val="en-GB"/>
              </w:rPr>
            </w:pPr>
            <w:r w:rsidRPr="00437D24">
              <w:rPr>
                <w:bCs/>
                <w:lang w:val="en-GB"/>
              </w:rPr>
              <w:t xml:space="preserve">Primary prophylaxis with G-CSF, beginning with the first dose, </w:t>
            </w:r>
            <w:r w:rsidR="008F1530">
              <w:rPr>
                <w:bCs/>
                <w:lang w:val="en-GB"/>
              </w:rPr>
              <w:t xml:space="preserve">is recommended </w:t>
            </w:r>
            <w:r w:rsidRPr="00437D24">
              <w:rPr>
                <w:bCs/>
                <w:lang w:val="en-GB"/>
              </w:rPr>
              <w:t xml:space="preserve">for all patients receiving combination therapy. </w:t>
            </w:r>
            <w:r w:rsidRPr="00437D24">
              <w:rPr>
                <w:lang w:val="en-GB"/>
              </w:rPr>
              <w:t>Continue with the same dose and schedule.</w:t>
            </w:r>
          </w:p>
        </w:tc>
      </w:tr>
    </w:tbl>
    <w:p w14:paraId="0D13FB4A" w14:textId="77777777" w:rsidR="00437D24" w:rsidRPr="001E08E5" w:rsidRDefault="00437D24" w:rsidP="000550D7">
      <w:pPr>
        <w:pStyle w:val="Paragraph"/>
        <w:keepNext/>
        <w:numPr>
          <w:ilvl w:val="0"/>
          <w:numId w:val="36"/>
        </w:numPr>
        <w:spacing w:after="0"/>
        <w:rPr>
          <w:rFonts w:ascii="Arial" w:hAnsi="Arial" w:cs="Arial"/>
          <w:sz w:val="20"/>
          <w:szCs w:val="20"/>
          <w:lang w:val="en-GB"/>
        </w:rPr>
      </w:pPr>
      <w:r w:rsidRPr="001E08E5">
        <w:rPr>
          <w:rFonts w:ascii="Arial" w:hAnsi="Arial" w:cs="Arial"/>
          <w:sz w:val="20"/>
          <w:szCs w:val="20"/>
          <w:lang w:val="en-GB"/>
        </w:rPr>
        <w:t>Grading based on National Cancer Institute (NCI) Common Terminology Criteria for Adverse Events (CTCAE) v4.03; see Neutrophils/granulocytes; LLN = lower limit of normal.</w:t>
      </w:r>
    </w:p>
    <w:p w14:paraId="529BF05E" w14:textId="77777777" w:rsidR="00437D24" w:rsidRPr="00437D24" w:rsidRDefault="00437D24" w:rsidP="00437D24">
      <w:pPr>
        <w:spacing w:after="0"/>
        <w:rPr>
          <w:bCs/>
          <w:i/>
          <w:lang w:val="en-GB"/>
        </w:rPr>
      </w:pPr>
    </w:p>
    <w:p w14:paraId="43611F9D" w14:textId="6C931074" w:rsidR="00337817" w:rsidRPr="00337817" w:rsidRDefault="00337817" w:rsidP="00FD6544">
      <w:pPr>
        <w:spacing w:after="120"/>
        <w:rPr>
          <w:i/>
        </w:rPr>
      </w:pPr>
      <w:r w:rsidRPr="00337817">
        <w:rPr>
          <w:i/>
        </w:rPr>
        <w:t>Peripheral neuropathy</w:t>
      </w:r>
    </w:p>
    <w:p w14:paraId="00069F3C" w14:textId="153F54A5" w:rsidR="00337817" w:rsidRDefault="00337817" w:rsidP="00337817">
      <w:r w:rsidRPr="00A25956">
        <w:t xml:space="preserve">If peripheral sensory or motor neuropathy emerges or worsens during treatment see </w:t>
      </w:r>
      <w:r w:rsidR="004A2B5A">
        <w:fldChar w:fldCharType="begin"/>
      </w:r>
      <w:r w:rsidR="004A2B5A">
        <w:instrText xml:space="preserve"> REF _Ref11398094 \h </w:instrText>
      </w:r>
      <w:r w:rsidR="004A2B5A">
        <w:fldChar w:fldCharType="separate"/>
      </w:r>
      <w:r w:rsidR="001E2FAC" w:rsidRPr="00337817">
        <w:rPr>
          <w:szCs w:val="22"/>
        </w:rPr>
        <w:t xml:space="preserve">Table </w:t>
      </w:r>
      <w:r w:rsidR="001E2FAC">
        <w:rPr>
          <w:noProof/>
          <w:szCs w:val="22"/>
        </w:rPr>
        <w:t>4</w:t>
      </w:r>
      <w:r w:rsidR="004A2B5A">
        <w:fldChar w:fldCharType="end"/>
      </w:r>
      <w:r w:rsidR="001E08E5">
        <w:t xml:space="preserve"> and </w:t>
      </w:r>
      <w:r w:rsidR="003E495E">
        <w:fldChar w:fldCharType="begin"/>
      </w:r>
      <w:r w:rsidR="003E495E">
        <w:instrText xml:space="preserve"> REF _Ref11399413 \h </w:instrText>
      </w:r>
      <w:r w:rsidR="003E495E">
        <w:fldChar w:fldCharType="separate"/>
      </w:r>
      <w:r w:rsidR="001E2FAC" w:rsidRPr="00A90ECE">
        <w:rPr>
          <w:szCs w:val="22"/>
        </w:rPr>
        <w:t xml:space="preserve">Table </w:t>
      </w:r>
      <w:r w:rsidR="001E2FAC">
        <w:rPr>
          <w:noProof/>
          <w:szCs w:val="22"/>
        </w:rPr>
        <w:t>5</w:t>
      </w:r>
      <w:r w:rsidR="003E495E">
        <w:fldChar w:fldCharType="end"/>
      </w:r>
      <w:r w:rsidR="00FD6544">
        <w:t xml:space="preserve"> </w:t>
      </w:r>
      <w:r w:rsidRPr="00A25956">
        <w:t xml:space="preserve">for appropriate dosing recommendations </w:t>
      </w:r>
      <w:r w:rsidR="001E08E5">
        <w:t>f</w:t>
      </w:r>
      <w:r w:rsidR="001E08E5">
        <w:rPr>
          <w:szCs w:val="22"/>
        </w:rPr>
        <w:t xml:space="preserve">or monotherapy and combination therapy, respectively </w:t>
      </w:r>
      <w:r w:rsidRPr="00A316ED">
        <w:t xml:space="preserve">(see </w:t>
      </w:r>
      <w:r w:rsidR="00A316ED">
        <w:t xml:space="preserve">4.4 Special Warnings and </w:t>
      </w:r>
      <w:r w:rsidR="00A316ED" w:rsidRPr="00C81674">
        <w:t>Precautions</w:t>
      </w:r>
      <w:r w:rsidR="00A316ED">
        <w:t xml:space="preserve"> for use</w:t>
      </w:r>
      <w:r w:rsidRPr="00A316ED">
        <w:t>).</w:t>
      </w:r>
    </w:p>
    <w:p w14:paraId="19176211" w14:textId="4D2C29F6" w:rsidR="00337817" w:rsidRPr="00337817" w:rsidRDefault="00337817" w:rsidP="001278CA">
      <w:pPr>
        <w:pStyle w:val="Caption"/>
        <w:keepNext/>
        <w:spacing w:after="0"/>
        <w:rPr>
          <w:sz w:val="22"/>
          <w:szCs w:val="22"/>
        </w:rPr>
      </w:pPr>
      <w:bookmarkStart w:id="8" w:name="_Ref507494800"/>
      <w:bookmarkStart w:id="9" w:name="_Ref11398094"/>
      <w:r w:rsidRPr="00337817">
        <w:rPr>
          <w:sz w:val="22"/>
          <w:szCs w:val="22"/>
        </w:rPr>
        <w:t xml:space="preserve">Table </w:t>
      </w:r>
      <w:r w:rsidR="00BB3E4E">
        <w:rPr>
          <w:sz w:val="22"/>
          <w:szCs w:val="22"/>
        </w:rPr>
        <w:fldChar w:fldCharType="begin"/>
      </w:r>
      <w:r w:rsidR="00BB3E4E">
        <w:rPr>
          <w:sz w:val="22"/>
          <w:szCs w:val="22"/>
        </w:rPr>
        <w:instrText xml:space="preserve"> SEQ Table \* ARABIC </w:instrText>
      </w:r>
      <w:r w:rsidR="00BB3E4E">
        <w:rPr>
          <w:sz w:val="22"/>
          <w:szCs w:val="22"/>
        </w:rPr>
        <w:fldChar w:fldCharType="separate"/>
      </w:r>
      <w:r w:rsidR="001E2FAC">
        <w:rPr>
          <w:noProof/>
          <w:sz w:val="22"/>
          <w:szCs w:val="22"/>
        </w:rPr>
        <w:t>4</w:t>
      </w:r>
      <w:r w:rsidR="00BB3E4E">
        <w:rPr>
          <w:sz w:val="22"/>
          <w:szCs w:val="22"/>
        </w:rPr>
        <w:fldChar w:fldCharType="end"/>
      </w:r>
      <w:bookmarkEnd w:id="8"/>
      <w:bookmarkEnd w:id="9"/>
      <w:r w:rsidRPr="00337817">
        <w:rPr>
          <w:sz w:val="22"/>
          <w:szCs w:val="22"/>
        </w:rPr>
        <w:tab/>
        <w:t xml:space="preserve">Dosing recommendations for new or worsening peripheral sensory or motor </w:t>
      </w:r>
      <w:r>
        <w:rPr>
          <w:sz w:val="22"/>
          <w:szCs w:val="22"/>
        </w:rPr>
        <w:tab/>
      </w:r>
      <w:r>
        <w:rPr>
          <w:sz w:val="22"/>
          <w:szCs w:val="22"/>
        </w:rPr>
        <w:tab/>
      </w:r>
      <w:r w:rsidRPr="00337817">
        <w:rPr>
          <w:sz w:val="22"/>
          <w:szCs w:val="22"/>
        </w:rPr>
        <w:t>neuropathy</w:t>
      </w:r>
      <w:r w:rsidR="00437D24">
        <w:rPr>
          <w:sz w:val="22"/>
          <w:szCs w:val="22"/>
        </w:rPr>
        <w:t xml:space="preserve"> with </w:t>
      </w:r>
      <w:proofErr w:type="gramStart"/>
      <w:r w:rsidR="00437D24">
        <w:rPr>
          <w:sz w:val="22"/>
          <w:szCs w:val="22"/>
        </w:rPr>
        <w:t>monotherapy</w:t>
      </w:r>
      <w:proofErr w:type="gramEnd"/>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1"/>
        <w:gridCol w:w="3989"/>
      </w:tblGrid>
      <w:tr w:rsidR="00337817" w:rsidRPr="009722AB" w14:paraId="7EF621C8" w14:textId="77777777" w:rsidTr="001E08E5">
        <w:trPr>
          <w:jc w:val="center"/>
        </w:trPr>
        <w:tc>
          <w:tcPr>
            <w:tcW w:w="2907" w:type="pct"/>
          </w:tcPr>
          <w:p w14:paraId="3119F288" w14:textId="77777777" w:rsidR="00337817" w:rsidRPr="009722AB" w:rsidRDefault="00337817" w:rsidP="00072CE1">
            <w:pPr>
              <w:keepNext/>
              <w:spacing w:after="0"/>
              <w:jc w:val="center"/>
              <w:rPr>
                <w:rFonts w:cs="Arial"/>
                <w:b/>
                <w:bCs/>
                <w:sz w:val="20"/>
              </w:rPr>
            </w:pPr>
            <w:r w:rsidRPr="009722AB">
              <w:rPr>
                <w:rFonts w:cs="Arial"/>
                <w:b/>
                <w:bCs/>
                <w:sz w:val="20"/>
              </w:rPr>
              <w:t xml:space="preserve">Severity of peripheral sensory or motor neuropathy </w:t>
            </w:r>
          </w:p>
          <w:p w14:paraId="4B7A100F" w14:textId="77777777" w:rsidR="00337817" w:rsidRPr="009722AB" w:rsidRDefault="00337817" w:rsidP="00072CE1">
            <w:pPr>
              <w:keepNext/>
              <w:spacing w:after="0"/>
              <w:jc w:val="center"/>
              <w:rPr>
                <w:rFonts w:cs="Arial"/>
                <w:b/>
                <w:bCs/>
                <w:sz w:val="20"/>
              </w:rPr>
            </w:pPr>
            <w:r w:rsidRPr="009722AB">
              <w:rPr>
                <w:rFonts w:cs="Arial"/>
                <w:b/>
                <w:bCs/>
                <w:sz w:val="20"/>
              </w:rPr>
              <w:t>(</w:t>
            </w:r>
            <w:proofErr w:type="gramStart"/>
            <w:r w:rsidRPr="009722AB">
              <w:rPr>
                <w:rFonts w:cs="Arial"/>
                <w:b/>
                <w:bCs/>
                <w:sz w:val="20"/>
              </w:rPr>
              <w:t>signs</w:t>
            </w:r>
            <w:proofErr w:type="gramEnd"/>
            <w:r w:rsidRPr="009722AB">
              <w:rPr>
                <w:rFonts w:cs="Arial"/>
                <w:b/>
                <w:bCs/>
                <w:sz w:val="20"/>
              </w:rPr>
              <w:t xml:space="preserve"> and symptoms </w:t>
            </w:r>
            <w:r w:rsidRPr="009722AB">
              <w:rPr>
                <w:rFonts w:cs="Arial"/>
                <w:bCs/>
                <w:sz w:val="20"/>
              </w:rPr>
              <w:t xml:space="preserve">[abbreviated description of </w:t>
            </w:r>
            <w:proofErr w:type="spellStart"/>
            <w:r w:rsidRPr="009722AB">
              <w:rPr>
                <w:rFonts w:cs="Arial"/>
                <w:bCs/>
                <w:sz w:val="20"/>
              </w:rPr>
              <w:t>CTCAE</w:t>
            </w:r>
            <w:r w:rsidRPr="009722AB">
              <w:rPr>
                <w:rFonts w:cs="Arial"/>
                <w:bCs/>
                <w:sz w:val="20"/>
                <w:vertAlign w:val="superscript"/>
              </w:rPr>
              <w:t>a</w:t>
            </w:r>
            <w:proofErr w:type="spellEnd"/>
            <w:r w:rsidRPr="009722AB">
              <w:rPr>
                <w:rFonts w:cs="Arial"/>
                <w:bCs/>
                <w:sz w:val="20"/>
              </w:rPr>
              <w:t>])</w:t>
            </w:r>
          </w:p>
        </w:tc>
        <w:tc>
          <w:tcPr>
            <w:tcW w:w="2093" w:type="pct"/>
          </w:tcPr>
          <w:p w14:paraId="24C6F01C" w14:textId="77777777" w:rsidR="00337817" w:rsidRPr="009722AB" w:rsidRDefault="00337817" w:rsidP="00072CE1">
            <w:pPr>
              <w:keepNext/>
              <w:spacing w:after="0"/>
              <w:jc w:val="center"/>
              <w:rPr>
                <w:rFonts w:cs="Arial"/>
                <w:b/>
                <w:bCs/>
                <w:sz w:val="20"/>
              </w:rPr>
            </w:pPr>
            <w:r w:rsidRPr="009722AB">
              <w:rPr>
                <w:rFonts w:cs="Arial"/>
                <w:b/>
                <w:bCs/>
                <w:sz w:val="20"/>
              </w:rPr>
              <w:t>Modification of dose and schedule</w:t>
            </w:r>
          </w:p>
        </w:tc>
      </w:tr>
      <w:tr w:rsidR="00337817" w:rsidRPr="009722AB" w14:paraId="480218B1" w14:textId="77777777" w:rsidTr="001E08E5">
        <w:trPr>
          <w:jc w:val="center"/>
        </w:trPr>
        <w:tc>
          <w:tcPr>
            <w:tcW w:w="2907" w:type="pct"/>
          </w:tcPr>
          <w:p w14:paraId="437AFE07" w14:textId="77777777" w:rsidR="00337817" w:rsidRPr="009722AB" w:rsidRDefault="00337817" w:rsidP="00337817">
            <w:pPr>
              <w:keepNext/>
              <w:tabs>
                <w:tab w:val="left" w:pos="885"/>
              </w:tabs>
              <w:spacing w:after="0"/>
              <w:rPr>
                <w:rFonts w:cs="Arial"/>
                <w:sz w:val="20"/>
              </w:rPr>
            </w:pPr>
            <w:r>
              <w:rPr>
                <w:rFonts w:cs="Arial"/>
                <w:sz w:val="20"/>
              </w:rPr>
              <w:t>Grade 1</w:t>
            </w:r>
            <w:r>
              <w:rPr>
                <w:rFonts w:cs="Arial"/>
                <w:sz w:val="20"/>
              </w:rPr>
              <w:tab/>
            </w:r>
            <w:r w:rsidRPr="009722AB">
              <w:rPr>
                <w:rFonts w:cs="Arial"/>
                <w:sz w:val="20"/>
              </w:rPr>
              <w:t xml:space="preserve">(paraesthesia and/or loss of reflexes, with no loss </w:t>
            </w:r>
            <w:r>
              <w:rPr>
                <w:rFonts w:cs="Arial"/>
                <w:sz w:val="20"/>
              </w:rPr>
              <w:tab/>
            </w:r>
            <w:r w:rsidRPr="009722AB">
              <w:rPr>
                <w:rFonts w:cs="Arial"/>
                <w:sz w:val="20"/>
              </w:rPr>
              <w:t>of function)</w:t>
            </w:r>
          </w:p>
        </w:tc>
        <w:tc>
          <w:tcPr>
            <w:tcW w:w="2093" w:type="pct"/>
          </w:tcPr>
          <w:p w14:paraId="60701C7F" w14:textId="77777777" w:rsidR="00337817" w:rsidRPr="009722AB" w:rsidRDefault="00337817" w:rsidP="00072CE1">
            <w:pPr>
              <w:keepNext/>
              <w:spacing w:after="0"/>
              <w:rPr>
                <w:rFonts w:cs="Arial"/>
                <w:sz w:val="20"/>
              </w:rPr>
            </w:pPr>
            <w:r w:rsidRPr="009722AB">
              <w:rPr>
                <w:rFonts w:cs="Arial"/>
                <w:sz w:val="20"/>
              </w:rPr>
              <w:t xml:space="preserve">Continue with the same dose and schedule </w:t>
            </w:r>
          </w:p>
        </w:tc>
      </w:tr>
      <w:tr w:rsidR="00337817" w:rsidRPr="009722AB" w14:paraId="1DB99B91" w14:textId="77777777" w:rsidTr="001E08E5">
        <w:trPr>
          <w:jc w:val="center"/>
        </w:trPr>
        <w:tc>
          <w:tcPr>
            <w:tcW w:w="2907" w:type="pct"/>
          </w:tcPr>
          <w:p w14:paraId="137A0F00" w14:textId="77777777" w:rsidR="00337817" w:rsidRPr="009722AB" w:rsidRDefault="00337817" w:rsidP="001E08E5">
            <w:pPr>
              <w:keepNext/>
              <w:tabs>
                <w:tab w:val="left" w:pos="885"/>
              </w:tabs>
              <w:spacing w:after="0"/>
              <w:ind w:left="885" w:hanging="885"/>
              <w:rPr>
                <w:rFonts w:cs="Arial"/>
                <w:sz w:val="20"/>
              </w:rPr>
            </w:pPr>
            <w:r>
              <w:rPr>
                <w:rFonts w:cs="Arial"/>
                <w:sz w:val="20"/>
              </w:rPr>
              <w:t>Grade 2</w:t>
            </w:r>
            <w:r>
              <w:rPr>
                <w:rFonts w:cs="Arial"/>
                <w:sz w:val="20"/>
              </w:rPr>
              <w:tab/>
            </w:r>
            <w:r w:rsidRPr="009722AB">
              <w:rPr>
                <w:rFonts w:cs="Arial"/>
                <w:sz w:val="20"/>
              </w:rPr>
              <w:t xml:space="preserve">(interfering with function but not with activities of daily living) or </w:t>
            </w:r>
          </w:p>
          <w:p w14:paraId="4C9E3E87" w14:textId="77777777" w:rsidR="00337817" w:rsidRPr="009722AB" w:rsidRDefault="00337817" w:rsidP="00337817">
            <w:pPr>
              <w:keepNext/>
              <w:tabs>
                <w:tab w:val="left" w:pos="885"/>
              </w:tabs>
              <w:spacing w:after="0"/>
              <w:rPr>
                <w:rFonts w:cs="Arial"/>
                <w:sz w:val="20"/>
              </w:rPr>
            </w:pPr>
            <w:r>
              <w:rPr>
                <w:rFonts w:cs="Arial"/>
                <w:sz w:val="20"/>
              </w:rPr>
              <w:t>Grade 3</w:t>
            </w:r>
            <w:r>
              <w:rPr>
                <w:rFonts w:cs="Arial"/>
                <w:sz w:val="20"/>
              </w:rPr>
              <w:tab/>
            </w:r>
            <w:r w:rsidRPr="009722AB">
              <w:rPr>
                <w:rFonts w:cs="Arial"/>
                <w:sz w:val="20"/>
              </w:rPr>
              <w:t>(interfering with activities of daily living)</w:t>
            </w:r>
          </w:p>
        </w:tc>
        <w:tc>
          <w:tcPr>
            <w:tcW w:w="2093" w:type="pct"/>
          </w:tcPr>
          <w:p w14:paraId="6DD19E7A" w14:textId="77777777" w:rsidR="00337817" w:rsidRPr="009722AB" w:rsidRDefault="00337817" w:rsidP="00072CE1">
            <w:pPr>
              <w:keepNext/>
              <w:spacing w:after="0"/>
              <w:rPr>
                <w:rFonts w:cs="Arial"/>
                <w:sz w:val="20"/>
              </w:rPr>
            </w:pPr>
            <w:r w:rsidRPr="009722AB">
              <w:rPr>
                <w:rFonts w:cs="Arial"/>
                <w:bCs/>
                <w:sz w:val="20"/>
              </w:rPr>
              <w:t>Withhold dose until toxicity returns to ≤ Grade 1 or baseline, then restart treatment at a reduced dose of 1.2 mg/kg</w:t>
            </w:r>
            <w:r w:rsidR="001E08E5">
              <w:rPr>
                <w:rFonts w:cs="Arial"/>
                <w:bCs/>
                <w:sz w:val="20"/>
              </w:rPr>
              <w:t xml:space="preserve"> </w:t>
            </w:r>
            <w:r w:rsidR="001E08E5" w:rsidRPr="001E08E5">
              <w:rPr>
                <w:rFonts w:cs="Arial"/>
                <w:bCs/>
                <w:sz w:val="20"/>
              </w:rPr>
              <w:t>up to a maximum of 120 mg</w:t>
            </w:r>
            <w:r w:rsidRPr="009722AB">
              <w:rPr>
                <w:rFonts w:cs="Arial"/>
                <w:bCs/>
                <w:sz w:val="20"/>
              </w:rPr>
              <w:t xml:space="preserve"> every 3 weeks</w:t>
            </w:r>
          </w:p>
        </w:tc>
      </w:tr>
      <w:tr w:rsidR="00337817" w:rsidRPr="009722AB" w14:paraId="35B9E4D9" w14:textId="77777777" w:rsidTr="001E08E5">
        <w:trPr>
          <w:jc w:val="center"/>
        </w:trPr>
        <w:tc>
          <w:tcPr>
            <w:tcW w:w="2907" w:type="pct"/>
          </w:tcPr>
          <w:p w14:paraId="7491DD38" w14:textId="77777777" w:rsidR="00337817" w:rsidRPr="009722AB" w:rsidRDefault="00337817" w:rsidP="001E08E5">
            <w:pPr>
              <w:keepNext/>
              <w:spacing w:after="0"/>
              <w:ind w:left="885" w:hanging="885"/>
              <w:rPr>
                <w:rFonts w:cs="Arial"/>
                <w:sz w:val="20"/>
              </w:rPr>
            </w:pPr>
            <w:r>
              <w:rPr>
                <w:rFonts w:cs="Arial"/>
                <w:sz w:val="20"/>
              </w:rPr>
              <w:t>Grade 4</w:t>
            </w:r>
            <w:r>
              <w:rPr>
                <w:rFonts w:cs="Arial"/>
                <w:sz w:val="20"/>
              </w:rPr>
              <w:tab/>
            </w:r>
            <w:r w:rsidRPr="009722AB">
              <w:rPr>
                <w:rFonts w:cs="Arial"/>
                <w:sz w:val="20"/>
              </w:rPr>
              <w:t>(sensory neuropa</w:t>
            </w:r>
            <w:r>
              <w:rPr>
                <w:rFonts w:cs="Arial"/>
                <w:sz w:val="20"/>
              </w:rPr>
              <w:t xml:space="preserve">thy </w:t>
            </w:r>
            <w:r w:rsidR="001E08E5">
              <w:rPr>
                <w:rFonts w:cs="Arial"/>
                <w:sz w:val="20"/>
              </w:rPr>
              <w:t xml:space="preserve">that </w:t>
            </w:r>
            <w:r>
              <w:rPr>
                <w:rFonts w:cs="Arial"/>
                <w:sz w:val="20"/>
              </w:rPr>
              <w:t xml:space="preserve">is disabling or motor </w:t>
            </w:r>
            <w:r w:rsidRPr="009722AB">
              <w:rPr>
                <w:rFonts w:cs="Arial"/>
                <w:sz w:val="20"/>
              </w:rPr>
              <w:t>neuropathy that is life threatening or leads to paralysis)</w:t>
            </w:r>
          </w:p>
        </w:tc>
        <w:tc>
          <w:tcPr>
            <w:tcW w:w="2093" w:type="pct"/>
          </w:tcPr>
          <w:p w14:paraId="1AE09B7E" w14:textId="77777777" w:rsidR="00337817" w:rsidRPr="009722AB" w:rsidRDefault="00337817" w:rsidP="00072CE1">
            <w:pPr>
              <w:keepNext/>
              <w:spacing w:after="0"/>
              <w:rPr>
                <w:rFonts w:cs="Arial"/>
                <w:sz w:val="20"/>
              </w:rPr>
            </w:pPr>
            <w:r w:rsidRPr="009722AB">
              <w:rPr>
                <w:rFonts w:cs="Arial"/>
                <w:sz w:val="20"/>
              </w:rPr>
              <w:t>Discontinue treatment</w:t>
            </w:r>
          </w:p>
        </w:tc>
      </w:tr>
    </w:tbl>
    <w:p w14:paraId="378D3BE3" w14:textId="77777777" w:rsidR="00337817" w:rsidRPr="009722AB" w:rsidRDefault="00337817" w:rsidP="000550D7">
      <w:pPr>
        <w:pStyle w:val="Paragraph"/>
        <w:numPr>
          <w:ilvl w:val="0"/>
          <w:numId w:val="24"/>
        </w:numPr>
        <w:spacing w:after="0"/>
        <w:ind w:left="357" w:hanging="357"/>
        <w:rPr>
          <w:rFonts w:ascii="Arial" w:hAnsi="Arial" w:cs="Arial"/>
          <w:sz w:val="20"/>
          <w:szCs w:val="20"/>
        </w:rPr>
      </w:pPr>
      <w:r w:rsidRPr="009722AB">
        <w:rPr>
          <w:rFonts w:ascii="Arial" w:hAnsi="Arial" w:cs="Arial"/>
          <w:sz w:val="20"/>
          <w:szCs w:val="20"/>
          <w:lang w:val="en-GB"/>
        </w:rPr>
        <w:t xml:space="preserve">Grading based on National Cancer Institute (NCI) Common Terminology Criteria for Adverse Events (CTCAE) v3.0; see neuropathy: motor; neuropathy: sensory; and neuropathic pain. </w:t>
      </w:r>
    </w:p>
    <w:p w14:paraId="403F5240" w14:textId="00099C3F" w:rsidR="001E08E5" w:rsidRDefault="001E08E5" w:rsidP="00337817"/>
    <w:p w14:paraId="72D39C0C" w14:textId="77777777" w:rsidR="00FF4B7F" w:rsidRDefault="00FF4B7F">
      <w:pPr>
        <w:spacing w:after="0"/>
        <w:jc w:val="left"/>
        <w:rPr>
          <w:b/>
          <w:bCs/>
          <w:szCs w:val="22"/>
        </w:rPr>
      </w:pPr>
      <w:bookmarkStart w:id="10" w:name="_Ref11399413"/>
      <w:r>
        <w:rPr>
          <w:szCs w:val="22"/>
        </w:rPr>
        <w:br w:type="page"/>
      </w:r>
    </w:p>
    <w:p w14:paraId="58433279" w14:textId="5F664E38" w:rsidR="003E495E" w:rsidRPr="003E495E" w:rsidRDefault="003E495E" w:rsidP="001278CA">
      <w:pPr>
        <w:pStyle w:val="Caption"/>
        <w:spacing w:after="0"/>
        <w:ind w:left="1440" w:hanging="1440"/>
        <w:rPr>
          <w:sz w:val="22"/>
          <w:szCs w:val="22"/>
        </w:rPr>
      </w:pPr>
      <w:r w:rsidRPr="00A90ECE">
        <w:rPr>
          <w:sz w:val="22"/>
          <w:szCs w:val="22"/>
        </w:rPr>
        <w:lastRenderedPageBreak/>
        <w:t xml:space="preserve">Table </w:t>
      </w:r>
      <w:r w:rsidR="00BB3E4E">
        <w:rPr>
          <w:sz w:val="22"/>
          <w:szCs w:val="22"/>
        </w:rPr>
        <w:fldChar w:fldCharType="begin"/>
      </w:r>
      <w:r w:rsidR="00BB3E4E">
        <w:rPr>
          <w:sz w:val="22"/>
          <w:szCs w:val="22"/>
        </w:rPr>
        <w:instrText xml:space="preserve"> SEQ Table \* ARABIC </w:instrText>
      </w:r>
      <w:r w:rsidR="00BB3E4E">
        <w:rPr>
          <w:sz w:val="22"/>
          <w:szCs w:val="22"/>
        </w:rPr>
        <w:fldChar w:fldCharType="separate"/>
      </w:r>
      <w:r w:rsidR="001E2FAC">
        <w:rPr>
          <w:noProof/>
          <w:sz w:val="22"/>
          <w:szCs w:val="22"/>
        </w:rPr>
        <w:t>5</w:t>
      </w:r>
      <w:r w:rsidR="00BB3E4E">
        <w:rPr>
          <w:sz w:val="22"/>
          <w:szCs w:val="22"/>
        </w:rPr>
        <w:fldChar w:fldCharType="end"/>
      </w:r>
      <w:bookmarkEnd w:id="10"/>
      <w:r w:rsidRPr="00A90ECE">
        <w:rPr>
          <w:sz w:val="22"/>
          <w:szCs w:val="22"/>
        </w:rPr>
        <w:t xml:space="preserve"> </w:t>
      </w:r>
      <w:r w:rsidRPr="00A90ECE">
        <w:rPr>
          <w:sz w:val="22"/>
          <w:szCs w:val="22"/>
        </w:rPr>
        <w:tab/>
      </w:r>
      <w:r w:rsidRPr="003E495E">
        <w:rPr>
          <w:sz w:val="22"/>
          <w:szCs w:val="22"/>
        </w:rPr>
        <w:t xml:space="preserve">Dosing recommendations for new or worsening peripheral sensory or motor neuropathy during combination </w:t>
      </w:r>
      <w:proofErr w:type="gramStart"/>
      <w:r w:rsidRPr="003E495E">
        <w:rPr>
          <w:sz w:val="22"/>
          <w:szCs w:val="22"/>
        </w:rPr>
        <w:t>therapy</w:t>
      </w:r>
      <w:proofErr w:type="gramEnd"/>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3393"/>
        <w:gridCol w:w="3393"/>
      </w:tblGrid>
      <w:tr w:rsidR="000F4F3B" w:rsidRPr="001E08E5" w14:paraId="625453BB" w14:textId="77777777" w:rsidTr="000F4F3B">
        <w:tc>
          <w:tcPr>
            <w:tcW w:w="1436" w:type="pct"/>
          </w:tcPr>
          <w:p w14:paraId="24F421E7" w14:textId="77777777" w:rsidR="000F4F3B" w:rsidRPr="001E08E5" w:rsidRDefault="000F4F3B" w:rsidP="000F4F3B">
            <w:pPr>
              <w:spacing w:after="0"/>
              <w:jc w:val="left"/>
              <w:rPr>
                <w:b/>
                <w:bCs/>
                <w:sz w:val="20"/>
                <w:lang w:val="en-GB"/>
              </w:rPr>
            </w:pPr>
          </w:p>
        </w:tc>
        <w:tc>
          <w:tcPr>
            <w:tcW w:w="1782" w:type="pct"/>
          </w:tcPr>
          <w:p w14:paraId="573BDE91" w14:textId="394E7A36" w:rsidR="000F4F3B" w:rsidRPr="001E08E5" w:rsidRDefault="000F4F3B" w:rsidP="001E08E5">
            <w:pPr>
              <w:spacing w:after="0"/>
              <w:jc w:val="center"/>
              <w:rPr>
                <w:rFonts w:cs="Arial"/>
                <w:b/>
                <w:bCs/>
                <w:sz w:val="20"/>
              </w:rPr>
            </w:pPr>
            <w:r w:rsidRPr="000F4F3B">
              <w:rPr>
                <w:rFonts w:cs="Arial"/>
                <w:b/>
                <w:bCs/>
                <w:sz w:val="20"/>
              </w:rPr>
              <w:t>Combination therapy with AVD</w:t>
            </w:r>
          </w:p>
        </w:tc>
        <w:tc>
          <w:tcPr>
            <w:tcW w:w="1782" w:type="pct"/>
          </w:tcPr>
          <w:p w14:paraId="44C55B82" w14:textId="7F22058D" w:rsidR="000F4F3B" w:rsidRPr="001E08E5" w:rsidRDefault="000F4F3B" w:rsidP="001E08E5">
            <w:pPr>
              <w:spacing w:after="0"/>
              <w:jc w:val="center"/>
              <w:rPr>
                <w:rFonts w:cs="Arial"/>
                <w:b/>
                <w:bCs/>
                <w:sz w:val="20"/>
              </w:rPr>
            </w:pPr>
            <w:r w:rsidRPr="001E08E5">
              <w:rPr>
                <w:rFonts w:cs="Arial"/>
                <w:b/>
                <w:bCs/>
                <w:sz w:val="20"/>
              </w:rPr>
              <w:t>Combination therapy with CHP</w:t>
            </w:r>
          </w:p>
        </w:tc>
      </w:tr>
      <w:tr w:rsidR="000F4F3B" w:rsidRPr="001E08E5" w14:paraId="27072BBB" w14:textId="77777777" w:rsidTr="000F4F3B">
        <w:tc>
          <w:tcPr>
            <w:tcW w:w="1436" w:type="pct"/>
          </w:tcPr>
          <w:p w14:paraId="581D0E0A" w14:textId="77777777" w:rsidR="000F4F3B" w:rsidRPr="001E08E5" w:rsidRDefault="000F4F3B" w:rsidP="000F4F3B">
            <w:pPr>
              <w:spacing w:after="0"/>
              <w:jc w:val="left"/>
              <w:rPr>
                <w:b/>
                <w:bCs/>
                <w:sz w:val="20"/>
                <w:lang w:val="en-GB"/>
              </w:rPr>
            </w:pPr>
            <w:r w:rsidRPr="001E08E5">
              <w:rPr>
                <w:b/>
                <w:bCs/>
                <w:sz w:val="20"/>
                <w:lang w:val="en-GB"/>
              </w:rPr>
              <w:t>S</w:t>
            </w:r>
            <w:proofErr w:type="spellStart"/>
            <w:r w:rsidRPr="001E08E5">
              <w:rPr>
                <w:rFonts w:cs="Arial"/>
                <w:b/>
                <w:bCs/>
                <w:sz w:val="20"/>
              </w:rPr>
              <w:t>everity</w:t>
            </w:r>
            <w:proofErr w:type="spellEnd"/>
            <w:r w:rsidRPr="001E08E5">
              <w:rPr>
                <w:rFonts w:cs="Arial"/>
                <w:b/>
                <w:bCs/>
                <w:sz w:val="20"/>
              </w:rPr>
              <w:t xml:space="preserve"> of peripheral sensory or motor neuropathy</w:t>
            </w:r>
            <w:r w:rsidRPr="001E08E5">
              <w:rPr>
                <w:rFonts w:cs="Arial"/>
                <w:bCs/>
                <w:sz w:val="20"/>
              </w:rPr>
              <w:t xml:space="preserve"> (signs and symptoms [abbreviated description of </w:t>
            </w:r>
            <w:proofErr w:type="spellStart"/>
            <w:r w:rsidRPr="001E08E5">
              <w:rPr>
                <w:rFonts w:cs="Arial"/>
                <w:bCs/>
                <w:sz w:val="20"/>
              </w:rPr>
              <w:t>CTCAE</w:t>
            </w:r>
            <w:r w:rsidRPr="00A65F5C">
              <w:rPr>
                <w:rFonts w:cs="Arial"/>
                <w:bCs/>
                <w:sz w:val="20"/>
                <w:vertAlign w:val="superscript"/>
              </w:rPr>
              <w:t>a</w:t>
            </w:r>
            <w:proofErr w:type="spellEnd"/>
            <w:r w:rsidRPr="001E08E5">
              <w:rPr>
                <w:rFonts w:cs="Arial"/>
                <w:bCs/>
                <w:sz w:val="20"/>
              </w:rPr>
              <w:t>]</w:t>
            </w:r>
            <w:r w:rsidRPr="001E08E5">
              <w:rPr>
                <w:rFonts w:cs="Arial"/>
                <w:b/>
                <w:bCs/>
                <w:sz w:val="20"/>
              </w:rPr>
              <w:t>)</w:t>
            </w:r>
          </w:p>
        </w:tc>
        <w:tc>
          <w:tcPr>
            <w:tcW w:w="1782" w:type="pct"/>
          </w:tcPr>
          <w:p w14:paraId="6F55802B" w14:textId="5FC831E9" w:rsidR="000F4F3B" w:rsidRPr="001E08E5" w:rsidRDefault="000F4F3B" w:rsidP="001E08E5">
            <w:pPr>
              <w:spacing w:after="0"/>
              <w:jc w:val="center"/>
              <w:rPr>
                <w:rFonts w:cs="Arial"/>
                <w:b/>
                <w:bCs/>
                <w:sz w:val="20"/>
              </w:rPr>
            </w:pPr>
            <w:r w:rsidRPr="000F4F3B">
              <w:rPr>
                <w:rFonts w:cs="Arial"/>
                <w:b/>
                <w:bCs/>
                <w:sz w:val="20"/>
              </w:rPr>
              <w:t>Modification of dose and schedule</w:t>
            </w:r>
          </w:p>
        </w:tc>
        <w:tc>
          <w:tcPr>
            <w:tcW w:w="1782" w:type="pct"/>
          </w:tcPr>
          <w:p w14:paraId="6DB07F0E" w14:textId="2ED653B1" w:rsidR="000F4F3B" w:rsidRPr="001E08E5" w:rsidRDefault="000F4F3B" w:rsidP="001E08E5">
            <w:pPr>
              <w:spacing w:after="0"/>
              <w:jc w:val="center"/>
              <w:rPr>
                <w:rFonts w:cs="Arial"/>
                <w:b/>
                <w:bCs/>
                <w:sz w:val="20"/>
              </w:rPr>
            </w:pPr>
            <w:r w:rsidRPr="001E08E5">
              <w:rPr>
                <w:rFonts w:cs="Arial"/>
                <w:b/>
                <w:bCs/>
                <w:sz w:val="20"/>
              </w:rPr>
              <w:t>Modification of dose and schedule</w:t>
            </w:r>
          </w:p>
        </w:tc>
      </w:tr>
      <w:tr w:rsidR="000F4F3B" w:rsidRPr="001E08E5" w14:paraId="6D14D003" w14:textId="77777777" w:rsidTr="000F4F3B">
        <w:tc>
          <w:tcPr>
            <w:tcW w:w="1436" w:type="pct"/>
          </w:tcPr>
          <w:p w14:paraId="59257149" w14:textId="77777777" w:rsidR="000F4F3B" w:rsidRPr="001E08E5" w:rsidRDefault="000F4F3B" w:rsidP="000F4F3B">
            <w:pPr>
              <w:spacing w:after="0"/>
              <w:jc w:val="left"/>
              <w:rPr>
                <w:sz w:val="20"/>
                <w:lang w:val="en-GB"/>
              </w:rPr>
            </w:pPr>
            <w:r w:rsidRPr="001E08E5">
              <w:rPr>
                <w:sz w:val="20"/>
                <w:lang w:val="en-GB"/>
              </w:rPr>
              <w:t>Grade 1 (paraesthesia and/or loss of reflexes, with no loss of function)</w:t>
            </w:r>
          </w:p>
        </w:tc>
        <w:tc>
          <w:tcPr>
            <w:tcW w:w="1782" w:type="pct"/>
          </w:tcPr>
          <w:p w14:paraId="5D08C462" w14:textId="79B2596E" w:rsidR="000F4F3B" w:rsidRPr="001E08E5" w:rsidRDefault="000F4F3B" w:rsidP="001E08E5">
            <w:pPr>
              <w:spacing w:after="0"/>
              <w:rPr>
                <w:sz w:val="20"/>
                <w:lang w:val="en-GB"/>
              </w:rPr>
            </w:pPr>
            <w:r w:rsidRPr="001E08E5">
              <w:rPr>
                <w:sz w:val="20"/>
                <w:lang w:val="en-GB"/>
              </w:rPr>
              <w:t>Continue with the same dose and schedule.</w:t>
            </w:r>
          </w:p>
        </w:tc>
        <w:tc>
          <w:tcPr>
            <w:tcW w:w="1782" w:type="pct"/>
          </w:tcPr>
          <w:p w14:paraId="0C77DAE2" w14:textId="3E22EDC7" w:rsidR="000F4F3B" w:rsidRPr="001E08E5" w:rsidRDefault="000F4F3B" w:rsidP="00C17B3F">
            <w:pPr>
              <w:spacing w:after="0"/>
              <w:jc w:val="left"/>
              <w:rPr>
                <w:sz w:val="20"/>
                <w:lang w:val="en-GB"/>
              </w:rPr>
            </w:pPr>
            <w:r w:rsidRPr="001E08E5">
              <w:rPr>
                <w:sz w:val="20"/>
                <w:lang w:val="en-GB"/>
              </w:rPr>
              <w:t>Continue with the same dose and schedule.</w:t>
            </w:r>
          </w:p>
        </w:tc>
      </w:tr>
      <w:tr w:rsidR="000F4F3B" w:rsidRPr="001E08E5" w14:paraId="71C42DC7" w14:textId="77777777" w:rsidTr="000F4F3B">
        <w:tc>
          <w:tcPr>
            <w:tcW w:w="1436" w:type="pct"/>
          </w:tcPr>
          <w:p w14:paraId="527D00F8" w14:textId="77777777" w:rsidR="000F4F3B" w:rsidRPr="001E08E5" w:rsidRDefault="000F4F3B" w:rsidP="000F4F3B">
            <w:pPr>
              <w:spacing w:after="0"/>
              <w:jc w:val="left"/>
              <w:rPr>
                <w:sz w:val="20"/>
                <w:lang w:val="en-GB"/>
              </w:rPr>
            </w:pPr>
            <w:r w:rsidRPr="001E08E5">
              <w:rPr>
                <w:sz w:val="20"/>
                <w:lang w:val="en-GB"/>
              </w:rPr>
              <w:t>Grade 2 (interfering with function but not with activities of daily living)</w:t>
            </w:r>
          </w:p>
        </w:tc>
        <w:tc>
          <w:tcPr>
            <w:tcW w:w="1782" w:type="pct"/>
          </w:tcPr>
          <w:p w14:paraId="4ADF4BAA" w14:textId="0DE5CD98" w:rsidR="000F4F3B" w:rsidRPr="00C17B3F" w:rsidRDefault="000F4F3B" w:rsidP="001E08E5">
            <w:pPr>
              <w:spacing w:after="0"/>
              <w:rPr>
                <w:sz w:val="20"/>
                <w:lang w:val="en-GB"/>
              </w:rPr>
            </w:pPr>
            <w:r w:rsidRPr="00C17B3F">
              <w:rPr>
                <w:sz w:val="20"/>
                <w:lang w:val="en-GB"/>
              </w:rPr>
              <w:t>Reduce dose to 0.9 mg/kg up to a maximum of 90 mg every 2 weeks.</w:t>
            </w:r>
          </w:p>
        </w:tc>
        <w:tc>
          <w:tcPr>
            <w:tcW w:w="1782" w:type="pct"/>
          </w:tcPr>
          <w:p w14:paraId="209B09EE" w14:textId="3462BC51" w:rsidR="000F4F3B" w:rsidRPr="001E08E5" w:rsidRDefault="000F4F3B" w:rsidP="00C17B3F">
            <w:pPr>
              <w:spacing w:after="0"/>
              <w:jc w:val="left"/>
              <w:rPr>
                <w:sz w:val="20"/>
                <w:lang w:val="en-GB"/>
              </w:rPr>
            </w:pPr>
            <w:r w:rsidRPr="001E08E5">
              <w:rPr>
                <w:sz w:val="20"/>
                <w:u w:val="single"/>
                <w:lang w:val="en-GB"/>
              </w:rPr>
              <w:t>Sensory neuropathy</w:t>
            </w:r>
            <w:r w:rsidRPr="001E08E5">
              <w:rPr>
                <w:sz w:val="20"/>
                <w:lang w:val="en-GB"/>
              </w:rPr>
              <w:t>: Continue treatment at same dose level.</w:t>
            </w:r>
          </w:p>
          <w:p w14:paraId="76D8AF26" w14:textId="77777777" w:rsidR="000F4F3B" w:rsidRPr="001E08E5" w:rsidRDefault="000F4F3B" w:rsidP="00C17B3F">
            <w:pPr>
              <w:spacing w:after="0"/>
              <w:jc w:val="left"/>
              <w:rPr>
                <w:bCs/>
                <w:sz w:val="20"/>
                <w:lang w:val="en-GB"/>
              </w:rPr>
            </w:pPr>
            <w:r w:rsidRPr="001E08E5">
              <w:rPr>
                <w:sz w:val="20"/>
                <w:u w:val="single"/>
                <w:lang w:val="en-GB"/>
              </w:rPr>
              <w:t>Motor neuropathy</w:t>
            </w:r>
            <w:r w:rsidRPr="001E08E5">
              <w:rPr>
                <w:sz w:val="20"/>
                <w:lang w:val="en-GB"/>
              </w:rPr>
              <w:t>: Reduce dose to 1.2 mg/kg, up to a maximum of 120 mg every 3 weeks.</w:t>
            </w:r>
          </w:p>
        </w:tc>
      </w:tr>
      <w:tr w:rsidR="000F4F3B" w:rsidRPr="001E08E5" w14:paraId="35626109" w14:textId="77777777" w:rsidTr="000F4F3B">
        <w:tc>
          <w:tcPr>
            <w:tcW w:w="1436" w:type="pct"/>
          </w:tcPr>
          <w:p w14:paraId="0E1D1791" w14:textId="77777777" w:rsidR="000F4F3B" w:rsidRPr="001E08E5" w:rsidRDefault="000F4F3B" w:rsidP="000F4F3B">
            <w:pPr>
              <w:spacing w:after="0"/>
              <w:jc w:val="left"/>
              <w:rPr>
                <w:sz w:val="20"/>
                <w:lang w:val="en-GB"/>
              </w:rPr>
            </w:pPr>
            <w:r w:rsidRPr="001E08E5">
              <w:rPr>
                <w:sz w:val="20"/>
                <w:lang w:val="en-GB"/>
              </w:rPr>
              <w:t>Grade 3 (interfering with activities of daily living)</w:t>
            </w:r>
          </w:p>
        </w:tc>
        <w:tc>
          <w:tcPr>
            <w:tcW w:w="1782" w:type="pct"/>
          </w:tcPr>
          <w:p w14:paraId="3EC583C4" w14:textId="558E701A" w:rsidR="000F4F3B" w:rsidRPr="00C17B3F" w:rsidRDefault="000F4F3B" w:rsidP="001E08E5">
            <w:pPr>
              <w:spacing w:after="0"/>
              <w:rPr>
                <w:sz w:val="20"/>
                <w:lang w:val="en-GB"/>
              </w:rPr>
            </w:pPr>
            <w:r w:rsidRPr="00C17B3F">
              <w:rPr>
                <w:sz w:val="20"/>
                <w:lang w:val="en-GB"/>
              </w:rPr>
              <w:t>Withhold treatment with ADCETRIS until toxicity is ≤ Grade 2, then restart treatment at a reduced dose to 0.9 mg/kg up to a maximum of 90 mg every 2 weeks.</w:t>
            </w:r>
          </w:p>
        </w:tc>
        <w:tc>
          <w:tcPr>
            <w:tcW w:w="1782" w:type="pct"/>
          </w:tcPr>
          <w:p w14:paraId="0D1DDB4A" w14:textId="7366833C" w:rsidR="000F4F3B" w:rsidRPr="001E08E5" w:rsidRDefault="000F4F3B" w:rsidP="00C17B3F">
            <w:pPr>
              <w:spacing w:after="0"/>
              <w:jc w:val="left"/>
              <w:rPr>
                <w:sz w:val="20"/>
                <w:lang w:val="en-GB"/>
              </w:rPr>
            </w:pPr>
            <w:r w:rsidRPr="001E08E5">
              <w:rPr>
                <w:sz w:val="20"/>
                <w:u w:val="single"/>
                <w:lang w:val="en-GB"/>
              </w:rPr>
              <w:t>Sensory neuropathy</w:t>
            </w:r>
            <w:r w:rsidRPr="001E08E5">
              <w:rPr>
                <w:sz w:val="20"/>
                <w:lang w:val="en-GB"/>
              </w:rPr>
              <w:t>: Reduce dose to 1.2 mg/kg up to a maximum of 120 mg every 3 weeks.</w:t>
            </w:r>
          </w:p>
          <w:p w14:paraId="4D724F8B" w14:textId="77777777" w:rsidR="000F4F3B" w:rsidRPr="001E08E5" w:rsidRDefault="000F4F3B" w:rsidP="00C17B3F">
            <w:pPr>
              <w:spacing w:after="0"/>
              <w:jc w:val="left"/>
              <w:rPr>
                <w:sz w:val="20"/>
                <w:lang w:val="en-GB"/>
              </w:rPr>
            </w:pPr>
            <w:r w:rsidRPr="001E08E5">
              <w:rPr>
                <w:sz w:val="20"/>
                <w:u w:val="single"/>
                <w:lang w:val="en-GB"/>
              </w:rPr>
              <w:t>Motor neuropathy</w:t>
            </w:r>
            <w:r w:rsidRPr="001E08E5">
              <w:rPr>
                <w:sz w:val="20"/>
                <w:lang w:val="en-GB"/>
              </w:rPr>
              <w:t>: Discontinue treatment.</w:t>
            </w:r>
          </w:p>
        </w:tc>
      </w:tr>
      <w:tr w:rsidR="000F4F3B" w:rsidRPr="001E08E5" w14:paraId="71D51177" w14:textId="77777777" w:rsidTr="000F4F3B">
        <w:tc>
          <w:tcPr>
            <w:tcW w:w="1436" w:type="pct"/>
          </w:tcPr>
          <w:p w14:paraId="1A31726F" w14:textId="77777777" w:rsidR="000F4F3B" w:rsidRPr="001E08E5" w:rsidRDefault="000F4F3B" w:rsidP="000F4F3B">
            <w:pPr>
              <w:spacing w:after="0"/>
              <w:jc w:val="left"/>
              <w:rPr>
                <w:sz w:val="20"/>
                <w:lang w:val="en-GB"/>
              </w:rPr>
            </w:pPr>
            <w:r w:rsidRPr="001E08E5">
              <w:rPr>
                <w:sz w:val="20"/>
                <w:lang w:val="en-GB"/>
              </w:rPr>
              <w:t>Grade 4 (sensory neuropathy which is disabling or motor neuropathy that is life threatening or leads to paralysis)</w:t>
            </w:r>
          </w:p>
        </w:tc>
        <w:tc>
          <w:tcPr>
            <w:tcW w:w="1782" w:type="pct"/>
          </w:tcPr>
          <w:p w14:paraId="15B746E5" w14:textId="73BEDD94" w:rsidR="000F4F3B" w:rsidRPr="001E08E5" w:rsidRDefault="000F4F3B" w:rsidP="001E08E5">
            <w:pPr>
              <w:spacing w:after="0"/>
              <w:rPr>
                <w:sz w:val="20"/>
                <w:lang w:val="en-GB"/>
              </w:rPr>
            </w:pPr>
            <w:r w:rsidRPr="000F4F3B">
              <w:rPr>
                <w:sz w:val="20"/>
                <w:lang w:val="en-GB"/>
              </w:rPr>
              <w:t>Discontinue treatment.</w:t>
            </w:r>
          </w:p>
        </w:tc>
        <w:tc>
          <w:tcPr>
            <w:tcW w:w="1782" w:type="pct"/>
          </w:tcPr>
          <w:p w14:paraId="75FFCFD5" w14:textId="3A5CD07E" w:rsidR="000F4F3B" w:rsidRPr="001E08E5" w:rsidRDefault="000F4F3B" w:rsidP="00C17B3F">
            <w:pPr>
              <w:spacing w:after="0"/>
              <w:jc w:val="left"/>
              <w:rPr>
                <w:sz w:val="20"/>
                <w:lang w:val="en-GB"/>
              </w:rPr>
            </w:pPr>
            <w:r w:rsidRPr="001E08E5">
              <w:rPr>
                <w:sz w:val="20"/>
                <w:lang w:val="en-GB"/>
              </w:rPr>
              <w:t>Discontinue treatment.</w:t>
            </w:r>
          </w:p>
        </w:tc>
      </w:tr>
    </w:tbl>
    <w:p w14:paraId="160C0270" w14:textId="77777777" w:rsidR="003E495E" w:rsidRDefault="003E495E" w:rsidP="003E495E">
      <w:pPr>
        <w:rPr>
          <w:sz w:val="20"/>
          <w:lang w:val="en-GB"/>
        </w:rPr>
      </w:pPr>
      <w:r w:rsidRPr="00B444BF">
        <w:rPr>
          <w:sz w:val="20"/>
          <w:vertAlign w:val="superscript"/>
          <w:lang w:val="en-GB"/>
        </w:rPr>
        <w:t>a.</w:t>
      </w:r>
      <w:r w:rsidRPr="00B444BF">
        <w:rPr>
          <w:sz w:val="20"/>
          <w:lang w:val="en-GB"/>
        </w:rPr>
        <w:t xml:space="preserve"> Grading based on National Cancer Institute (NCI) Common Terminology Criteria for Adverse Events (CTCAE) v4.03; see neuropathy: motor; neuropathy: sensory; and neuropathic pain. </w:t>
      </w:r>
    </w:p>
    <w:p w14:paraId="65C62E12" w14:textId="77777777" w:rsidR="00337817" w:rsidRDefault="00337817" w:rsidP="007059A5">
      <w:pPr>
        <w:pStyle w:val="Heading2"/>
      </w:pPr>
      <w:r>
        <w:t xml:space="preserve">Method of administration </w:t>
      </w:r>
    </w:p>
    <w:p w14:paraId="7EE248E5" w14:textId="77777777" w:rsidR="00337817" w:rsidRDefault="00337817" w:rsidP="00E15ACB">
      <w:pPr>
        <w:spacing w:after="60"/>
      </w:pPr>
      <w:r>
        <w:t xml:space="preserve">The recommended dose of ADCETRIS is infused over 30 minutes. </w:t>
      </w:r>
    </w:p>
    <w:p w14:paraId="4A1369A9" w14:textId="77777777" w:rsidR="00337817" w:rsidRDefault="00337817" w:rsidP="00E15ACB">
      <w:pPr>
        <w:spacing w:after="60"/>
      </w:pPr>
      <w:r>
        <w:t xml:space="preserve">ADCETRIS must not be administered as an intravenous push or bolus. ADCETRIS should be administered through a dedicated intravenous </w:t>
      </w:r>
      <w:proofErr w:type="gramStart"/>
      <w:r>
        <w:t>line</w:t>
      </w:r>
      <w:proofErr w:type="gramEnd"/>
      <w:r>
        <w:t xml:space="preserve"> and it must not be mixed with other medicinal products.</w:t>
      </w:r>
    </w:p>
    <w:p w14:paraId="65C94498" w14:textId="77777777" w:rsidR="00337817" w:rsidRDefault="00337817" w:rsidP="00E15ACB">
      <w:pPr>
        <w:spacing w:after="60"/>
      </w:pPr>
      <w:r>
        <w:t xml:space="preserve">Procedures for proper handling and disposal of anticancer medicines should be considered. </w:t>
      </w:r>
    </w:p>
    <w:p w14:paraId="75597101" w14:textId="77777777" w:rsidR="00337817" w:rsidRDefault="00337817" w:rsidP="00FD6544">
      <w:r>
        <w:t>Proper aseptic technique throughout the handling of this medicinal product should be followed.</w:t>
      </w:r>
    </w:p>
    <w:p w14:paraId="035121E3" w14:textId="77777777" w:rsidR="00337817" w:rsidRPr="00B129F2" w:rsidRDefault="00337817" w:rsidP="00FD6544">
      <w:pPr>
        <w:spacing w:after="60"/>
        <w:rPr>
          <w:i/>
        </w:rPr>
      </w:pPr>
      <w:r w:rsidRPr="00B129F2">
        <w:rPr>
          <w:i/>
        </w:rPr>
        <w:t>Instructions for reconstitution</w:t>
      </w:r>
      <w:r w:rsidR="00F573A0" w:rsidRPr="00B129F2">
        <w:rPr>
          <w:i/>
        </w:rPr>
        <w:t>:</w:t>
      </w:r>
      <w:r w:rsidRPr="00B129F2">
        <w:rPr>
          <w:i/>
        </w:rPr>
        <w:t xml:space="preserve"> </w:t>
      </w:r>
    </w:p>
    <w:p w14:paraId="5A8DB1F1" w14:textId="77777777" w:rsidR="00337817" w:rsidRDefault="00337817" w:rsidP="00E15ACB">
      <w:pPr>
        <w:spacing w:after="60"/>
      </w:pPr>
      <w:r>
        <w:t>Each single use vial must be reconstituted with 10.5 mL of water for injections to a final concentration of 5 mg/</w:t>
      </w:r>
      <w:proofErr w:type="spellStart"/>
      <w:r>
        <w:t>mL.</w:t>
      </w:r>
      <w:proofErr w:type="spellEnd"/>
      <w:r>
        <w:t xml:space="preserve"> </w:t>
      </w:r>
    </w:p>
    <w:p w14:paraId="08F05867" w14:textId="77777777" w:rsidR="00337817" w:rsidRDefault="00337817" w:rsidP="000550D7">
      <w:pPr>
        <w:numPr>
          <w:ilvl w:val="0"/>
          <w:numId w:val="25"/>
        </w:numPr>
        <w:spacing w:after="60"/>
        <w:ind w:left="709" w:hanging="349"/>
      </w:pPr>
      <w:r>
        <w:t xml:space="preserve">Direct the stream toward the wall of the vial and not directly at the cake or powder. </w:t>
      </w:r>
    </w:p>
    <w:p w14:paraId="077C167A" w14:textId="77777777" w:rsidR="00337817" w:rsidRDefault="00337817" w:rsidP="000550D7">
      <w:pPr>
        <w:numPr>
          <w:ilvl w:val="0"/>
          <w:numId w:val="25"/>
        </w:numPr>
        <w:spacing w:after="60"/>
        <w:ind w:left="709" w:hanging="349"/>
      </w:pPr>
      <w:r>
        <w:t>Gently swirl the vial to aid dissolution. DO NOT SHAKE.</w:t>
      </w:r>
    </w:p>
    <w:p w14:paraId="3E76FC7E" w14:textId="77777777" w:rsidR="00337817" w:rsidRDefault="00337817" w:rsidP="000550D7">
      <w:pPr>
        <w:numPr>
          <w:ilvl w:val="0"/>
          <w:numId w:val="25"/>
        </w:numPr>
        <w:spacing w:after="60"/>
        <w:ind w:left="709" w:hanging="349"/>
      </w:pPr>
      <w:r>
        <w:t xml:space="preserve">The reconstituted solution in the vial is a clear to slightly opalescent, colourless solution with a final pH of 6.6. </w:t>
      </w:r>
    </w:p>
    <w:p w14:paraId="75C1541F" w14:textId="77777777" w:rsidR="00337817" w:rsidRDefault="00337817" w:rsidP="000550D7">
      <w:pPr>
        <w:numPr>
          <w:ilvl w:val="0"/>
          <w:numId w:val="25"/>
        </w:numPr>
        <w:ind w:left="709" w:hanging="352"/>
      </w:pPr>
      <w:r>
        <w:t xml:space="preserve">The reconstituted solution should be inspected visually for any foreign particulate matter and/or discoloration. In the event of either being observed, discard the medicinal product. </w:t>
      </w:r>
    </w:p>
    <w:p w14:paraId="14C52E1D" w14:textId="77777777" w:rsidR="00337817" w:rsidRPr="00F51EFF" w:rsidRDefault="00337817" w:rsidP="00E27999">
      <w:pPr>
        <w:spacing w:after="120"/>
        <w:rPr>
          <w:i/>
        </w:rPr>
      </w:pPr>
      <w:r w:rsidRPr="00F51EFF">
        <w:rPr>
          <w:i/>
        </w:rPr>
        <w:t>Preparation of infusion solution</w:t>
      </w:r>
      <w:r w:rsidR="00B129F2">
        <w:rPr>
          <w:i/>
        </w:rPr>
        <w:t>:</w:t>
      </w:r>
    </w:p>
    <w:p w14:paraId="6B86C3F5" w14:textId="77777777" w:rsidR="00337817" w:rsidRDefault="00337817" w:rsidP="00E27999">
      <w:pPr>
        <w:spacing w:after="60"/>
      </w:pPr>
      <w:r>
        <w:t xml:space="preserve">The appropriate amount of reconstituted ADCETRIS must be withdrawn from the vial(s) and added to an infusion bag containing sodium chloride 9 mg/mL (0.9%) solution for injection </w:t>
      </w:r>
      <w:proofErr w:type="gramStart"/>
      <w:r>
        <w:t>in order to</w:t>
      </w:r>
      <w:proofErr w:type="gramEnd"/>
      <w:r>
        <w:t xml:space="preserve"> achieve a final concentration of 0.4</w:t>
      </w:r>
      <w:r w:rsidR="00E265CE">
        <w:noBreakHyphen/>
      </w:r>
      <w:r>
        <w:t xml:space="preserve">1.2 mg/mL ADCETRIS. The recommended diluent volume is </w:t>
      </w:r>
      <w:r>
        <w:lastRenderedPageBreak/>
        <w:t>150</w:t>
      </w:r>
      <w:r w:rsidR="006819D9">
        <w:t> </w:t>
      </w:r>
      <w:proofErr w:type="spellStart"/>
      <w:r>
        <w:t>mL.</w:t>
      </w:r>
      <w:proofErr w:type="spellEnd"/>
      <w:r>
        <w:t xml:space="preserve"> The already reconstituted ADCETRIS can also be diluted into 5% dextrose for injection or Lactated Ringer's for injection. </w:t>
      </w:r>
    </w:p>
    <w:p w14:paraId="2C187B67" w14:textId="77777777" w:rsidR="00337817" w:rsidRDefault="00337817" w:rsidP="00E27999">
      <w:pPr>
        <w:spacing w:after="60"/>
      </w:pPr>
      <w:r>
        <w:t xml:space="preserve">Gently invert the bag to mix the solution containing ADCETRIS. DO NOT SHAKE. </w:t>
      </w:r>
    </w:p>
    <w:p w14:paraId="4242D963" w14:textId="77777777" w:rsidR="00337817" w:rsidRDefault="00337817" w:rsidP="00E27999">
      <w:pPr>
        <w:spacing w:after="60"/>
      </w:pPr>
      <w:r>
        <w:t xml:space="preserve">Any portion left in the vial, after withdrawal of the volume to be diluted, must be disposed of in accordance with local requirements. </w:t>
      </w:r>
    </w:p>
    <w:p w14:paraId="199A82EF" w14:textId="77777777" w:rsidR="00337817" w:rsidRDefault="00337817" w:rsidP="00E27999">
      <w:pPr>
        <w:spacing w:after="60"/>
      </w:pPr>
      <w:r>
        <w:t>Do not add other medicinal products to the prepared ADCETRIS infusion solution or intravenous infusion set. The infusion line should be flushed following administration with sodium chloride 9</w:t>
      </w:r>
      <w:r w:rsidR="002C2032">
        <w:t> </w:t>
      </w:r>
      <w:r>
        <w:t xml:space="preserve">mg/mL (0.9%) solution for injection, 5% dextrose for injection, or Lactated Ringer's for injection. </w:t>
      </w:r>
    </w:p>
    <w:p w14:paraId="579DC7BD" w14:textId="77777777" w:rsidR="00337817" w:rsidRDefault="00337817" w:rsidP="00E15ACB">
      <w:pPr>
        <w:spacing w:after="60"/>
      </w:pPr>
      <w:r>
        <w:t xml:space="preserve">Following dilution, infuse the ADCETRIS solution immediately at the recommended infusion rate. </w:t>
      </w:r>
    </w:p>
    <w:p w14:paraId="5B049159" w14:textId="77777777" w:rsidR="00337817" w:rsidRDefault="00337817" w:rsidP="00337817">
      <w:r>
        <w:t xml:space="preserve">Total storage time of the solution from reconstitution to infusion should not exceed 24 hours. </w:t>
      </w:r>
    </w:p>
    <w:p w14:paraId="5948EE8E" w14:textId="77777777" w:rsidR="00337817" w:rsidRPr="00B129F2" w:rsidRDefault="00337817" w:rsidP="00E15ACB">
      <w:pPr>
        <w:spacing w:after="120"/>
        <w:rPr>
          <w:i/>
        </w:rPr>
      </w:pPr>
      <w:r w:rsidRPr="00B129F2">
        <w:rPr>
          <w:i/>
        </w:rPr>
        <w:t>Determining dosage amount</w:t>
      </w:r>
    </w:p>
    <w:p w14:paraId="5DF494A7" w14:textId="77777777" w:rsidR="00337817" w:rsidRPr="00B129F2" w:rsidRDefault="00337817" w:rsidP="00337817">
      <w:pPr>
        <w:rPr>
          <w:i/>
        </w:rPr>
      </w:pPr>
      <w:r w:rsidRPr="00B129F2">
        <w:rPr>
          <w:i/>
        </w:rPr>
        <w:t>Calculation to determine the total ADCETRIS dose (mL) to be further diluted:</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1"/>
        <w:gridCol w:w="4677"/>
      </w:tblGrid>
      <w:tr w:rsidR="00F51EFF" w:rsidRPr="009722AB" w14:paraId="3310C13A" w14:textId="77777777" w:rsidTr="00072CE1">
        <w:tc>
          <w:tcPr>
            <w:tcW w:w="5070" w:type="dxa"/>
          </w:tcPr>
          <w:p w14:paraId="0AF7A70F" w14:textId="77777777" w:rsidR="00F51EFF" w:rsidRPr="009722AB" w:rsidRDefault="00F51EFF" w:rsidP="00072CE1">
            <w:pPr>
              <w:pStyle w:val="Default"/>
              <w:jc w:val="center"/>
              <w:rPr>
                <w:rFonts w:ascii="Arial" w:hAnsi="Arial" w:cs="Arial"/>
                <w:color w:val="auto"/>
                <w:sz w:val="20"/>
                <w:szCs w:val="20"/>
              </w:rPr>
            </w:pPr>
            <w:r w:rsidRPr="009722AB">
              <w:rPr>
                <w:rFonts w:ascii="Arial" w:hAnsi="Arial" w:cs="Arial"/>
                <w:color w:val="auto"/>
                <w:sz w:val="20"/>
                <w:szCs w:val="20"/>
              </w:rPr>
              <w:t>ADCETRIS dose (mg/kg) x patient’s body weight (kg)</w:t>
            </w:r>
          </w:p>
        </w:tc>
        <w:tc>
          <w:tcPr>
            <w:tcW w:w="4784" w:type="dxa"/>
            <w:vMerge w:val="restart"/>
            <w:vAlign w:val="center"/>
          </w:tcPr>
          <w:p w14:paraId="59D09C80" w14:textId="77777777" w:rsidR="00F51EFF" w:rsidRPr="009722AB" w:rsidRDefault="00F51EFF" w:rsidP="00072CE1">
            <w:pPr>
              <w:pStyle w:val="Default"/>
              <w:jc w:val="center"/>
              <w:rPr>
                <w:rFonts w:ascii="Arial" w:hAnsi="Arial" w:cs="Arial"/>
                <w:color w:val="auto"/>
                <w:sz w:val="20"/>
                <w:szCs w:val="20"/>
              </w:rPr>
            </w:pPr>
            <w:r w:rsidRPr="009722AB">
              <w:rPr>
                <w:rFonts w:ascii="Arial" w:hAnsi="Arial" w:cs="Arial"/>
                <w:color w:val="auto"/>
                <w:sz w:val="20"/>
                <w:szCs w:val="20"/>
              </w:rPr>
              <w:t>= Total ADCETRIS dose (mL) to be diluted further</w:t>
            </w:r>
          </w:p>
        </w:tc>
      </w:tr>
      <w:tr w:rsidR="00F51EFF" w:rsidRPr="009722AB" w14:paraId="515F9C2D" w14:textId="77777777" w:rsidTr="00072CE1">
        <w:tc>
          <w:tcPr>
            <w:tcW w:w="5070" w:type="dxa"/>
          </w:tcPr>
          <w:p w14:paraId="24D1A909" w14:textId="77777777" w:rsidR="00F51EFF" w:rsidRPr="009722AB" w:rsidRDefault="00F51EFF" w:rsidP="00072CE1">
            <w:pPr>
              <w:pStyle w:val="Default"/>
              <w:jc w:val="center"/>
              <w:rPr>
                <w:rFonts w:ascii="Arial" w:hAnsi="Arial" w:cs="Arial"/>
                <w:color w:val="auto"/>
                <w:sz w:val="20"/>
                <w:szCs w:val="20"/>
              </w:rPr>
            </w:pPr>
            <w:r w:rsidRPr="009722AB">
              <w:rPr>
                <w:rFonts w:ascii="Arial" w:hAnsi="Arial" w:cs="Arial"/>
                <w:color w:val="auto"/>
                <w:sz w:val="20"/>
                <w:szCs w:val="20"/>
              </w:rPr>
              <w:t>Reconstituted vial concentration (5 mg/mL)</w:t>
            </w:r>
          </w:p>
        </w:tc>
        <w:tc>
          <w:tcPr>
            <w:tcW w:w="4784" w:type="dxa"/>
            <w:vMerge/>
          </w:tcPr>
          <w:p w14:paraId="1A4E8561" w14:textId="77777777" w:rsidR="00F51EFF" w:rsidRPr="009722AB" w:rsidRDefault="00F51EFF" w:rsidP="00072CE1">
            <w:pPr>
              <w:pStyle w:val="Default"/>
              <w:rPr>
                <w:rFonts w:ascii="Arial" w:hAnsi="Arial" w:cs="Arial"/>
                <w:color w:val="auto"/>
                <w:sz w:val="20"/>
                <w:szCs w:val="20"/>
              </w:rPr>
            </w:pPr>
          </w:p>
        </w:tc>
      </w:tr>
    </w:tbl>
    <w:p w14:paraId="5BF73E31" w14:textId="77777777" w:rsidR="00F51EFF" w:rsidRDefault="00F51EFF" w:rsidP="00F51EFF">
      <w:pPr>
        <w:spacing w:after="0"/>
      </w:pPr>
    </w:p>
    <w:p w14:paraId="3719C175" w14:textId="77777777" w:rsidR="00F51EFF" w:rsidRPr="00F51EFF" w:rsidRDefault="00F51EFF" w:rsidP="00F51EFF">
      <w:r w:rsidRPr="00F51EFF">
        <w:t xml:space="preserve">Note: If patient’s weight is more than 100 kg, the dose calculation should use 100 kg. The maximal recommended dose is 180 mg. </w:t>
      </w:r>
    </w:p>
    <w:p w14:paraId="721F6F4E" w14:textId="77777777" w:rsidR="00F51EFF" w:rsidRPr="00F51EFF" w:rsidRDefault="00F51EFF" w:rsidP="00F51EFF">
      <w:pPr>
        <w:rPr>
          <w:i/>
        </w:rPr>
      </w:pPr>
      <w:r w:rsidRPr="00F51EFF">
        <w:rPr>
          <w:i/>
        </w:rPr>
        <w:t xml:space="preserve">Calculation to determine the total number of ADCETRIS vials needed: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0"/>
        <w:gridCol w:w="4678"/>
      </w:tblGrid>
      <w:tr w:rsidR="00F51EFF" w:rsidRPr="009722AB" w14:paraId="00046CEE" w14:textId="77777777" w:rsidTr="00072CE1">
        <w:tc>
          <w:tcPr>
            <w:tcW w:w="5070" w:type="dxa"/>
          </w:tcPr>
          <w:p w14:paraId="3AFE0051" w14:textId="77777777" w:rsidR="00F51EFF" w:rsidRPr="009722AB" w:rsidRDefault="00F51EFF" w:rsidP="00072CE1">
            <w:pPr>
              <w:pStyle w:val="Default"/>
              <w:jc w:val="center"/>
              <w:rPr>
                <w:rFonts w:ascii="Arial" w:hAnsi="Arial" w:cs="Arial"/>
                <w:color w:val="auto"/>
                <w:sz w:val="20"/>
                <w:szCs w:val="20"/>
              </w:rPr>
            </w:pPr>
            <w:r w:rsidRPr="009722AB">
              <w:rPr>
                <w:rFonts w:ascii="Arial" w:hAnsi="Arial" w:cs="Arial"/>
                <w:color w:val="auto"/>
                <w:sz w:val="20"/>
                <w:szCs w:val="20"/>
              </w:rPr>
              <w:t>Total ADCETRIS dose (mL) to be administered</w:t>
            </w:r>
          </w:p>
        </w:tc>
        <w:tc>
          <w:tcPr>
            <w:tcW w:w="4784" w:type="dxa"/>
            <w:vMerge w:val="restart"/>
            <w:vAlign w:val="center"/>
          </w:tcPr>
          <w:p w14:paraId="3D5EFC5E" w14:textId="77777777" w:rsidR="00F51EFF" w:rsidRPr="009722AB" w:rsidRDefault="00F51EFF" w:rsidP="00072CE1">
            <w:pPr>
              <w:pStyle w:val="Default"/>
              <w:rPr>
                <w:rFonts w:ascii="Arial" w:hAnsi="Arial" w:cs="Arial"/>
                <w:color w:val="auto"/>
                <w:sz w:val="20"/>
                <w:szCs w:val="20"/>
              </w:rPr>
            </w:pPr>
            <w:r w:rsidRPr="009722AB">
              <w:rPr>
                <w:rFonts w:ascii="Arial" w:hAnsi="Arial" w:cs="Arial"/>
                <w:color w:val="auto"/>
                <w:sz w:val="20"/>
                <w:szCs w:val="20"/>
              </w:rPr>
              <w:t>= Number of ADCETRIS vials needed</w:t>
            </w:r>
          </w:p>
        </w:tc>
      </w:tr>
      <w:tr w:rsidR="00F51EFF" w:rsidRPr="009722AB" w14:paraId="4DBD64A6" w14:textId="77777777" w:rsidTr="00072CE1">
        <w:tc>
          <w:tcPr>
            <w:tcW w:w="5070" w:type="dxa"/>
          </w:tcPr>
          <w:p w14:paraId="44D3A494" w14:textId="77777777" w:rsidR="00F51EFF" w:rsidRPr="009722AB" w:rsidRDefault="00F51EFF" w:rsidP="00072CE1">
            <w:pPr>
              <w:pStyle w:val="Default"/>
              <w:jc w:val="center"/>
              <w:rPr>
                <w:rFonts w:ascii="Arial" w:hAnsi="Arial" w:cs="Arial"/>
                <w:color w:val="auto"/>
                <w:sz w:val="20"/>
                <w:szCs w:val="20"/>
              </w:rPr>
            </w:pPr>
            <w:r w:rsidRPr="009722AB">
              <w:rPr>
                <w:rFonts w:ascii="Arial" w:hAnsi="Arial" w:cs="Arial"/>
                <w:color w:val="auto"/>
                <w:sz w:val="20"/>
                <w:szCs w:val="20"/>
              </w:rPr>
              <w:t>Total volume per vial (10 mL/vial)</w:t>
            </w:r>
          </w:p>
        </w:tc>
        <w:tc>
          <w:tcPr>
            <w:tcW w:w="4784" w:type="dxa"/>
            <w:vMerge/>
          </w:tcPr>
          <w:p w14:paraId="065D8B80" w14:textId="77777777" w:rsidR="00F51EFF" w:rsidRPr="009722AB" w:rsidRDefault="00F51EFF" w:rsidP="00072CE1">
            <w:pPr>
              <w:pStyle w:val="Default"/>
              <w:rPr>
                <w:rFonts w:ascii="Arial" w:hAnsi="Arial" w:cs="Arial"/>
                <w:color w:val="auto"/>
                <w:sz w:val="20"/>
                <w:szCs w:val="20"/>
              </w:rPr>
            </w:pPr>
          </w:p>
        </w:tc>
      </w:tr>
    </w:tbl>
    <w:p w14:paraId="75CB0227" w14:textId="77777777" w:rsidR="00F51EFF" w:rsidRDefault="00F51EFF" w:rsidP="00337817"/>
    <w:p w14:paraId="081E87CF" w14:textId="6E3CD7CE" w:rsidR="002C2032" w:rsidRDefault="002C2032" w:rsidP="001278CA">
      <w:pPr>
        <w:pStyle w:val="Caption"/>
        <w:keepNext/>
        <w:spacing w:after="0"/>
        <w:ind w:left="1559" w:hanging="1559"/>
        <w:rPr>
          <w:sz w:val="22"/>
          <w:szCs w:val="22"/>
        </w:rPr>
      </w:pPr>
      <w:bookmarkStart w:id="11" w:name="_Ref507495608"/>
      <w:r w:rsidRPr="002C2032">
        <w:rPr>
          <w:sz w:val="22"/>
          <w:szCs w:val="22"/>
        </w:rPr>
        <w:t xml:space="preserve">Table </w:t>
      </w:r>
      <w:r w:rsidR="00BB3E4E">
        <w:rPr>
          <w:sz w:val="22"/>
          <w:szCs w:val="22"/>
        </w:rPr>
        <w:fldChar w:fldCharType="begin"/>
      </w:r>
      <w:r w:rsidR="00BB3E4E">
        <w:rPr>
          <w:sz w:val="22"/>
          <w:szCs w:val="22"/>
        </w:rPr>
        <w:instrText xml:space="preserve"> SEQ Table \* ARABIC </w:instrText>
      </w:r>
      <w:r w:rsidR="00BB3E4E">
        <w:rPr>
          <w:sz w:val="22"/>
          <w:szCs w:val="22"/>
        </w:rPr>
        <w:fldChar w:fldCharType="separate"/>
      </w:r>
      <w:r w:rsidR="001E2FAC">
        <w:rPr>
          <w:noProof/>
          <w:sz w:val="22"/>
          <w:szCs w:val="22"/>
        </w:rPr>
        <w:t>6</w:t>
      </w:r>
      <w:r w:rsidR="00BB3E4E">
        <w:rPr>
          <w:sz w:val="22"/>
          <w:szCs w:val="22"/>
        </w:rPr>
        <w:fldChar w:fldCharType="end"/>
      </w:r>
      <w:bookmarkEnd w:id="11"/>
      <w:r w:rsidRPr="002C2032">
        <w:rPr>
          <w:sz w:val="22"/>
          <w:szCs w:val="22"/>
        </w:rPr>
        <w:tab/>
      </w:r>
      <w:r w:rsidR="0080169F" w:rsidRPr="0080169F">
        <w:rPr>
          <w:sz w:val="22"/>
          <w:szCs w:val="22"/>
        </w:rPr>
        <w:t xml:space="preserve">Sample calculations for patients receiving the recommended dose of 1.8 mg/kg, 1.2 mg/kg or 0.9 mg/kg of ADCETRIS for weights ranging from 60 kg to 120 </w:t>
      </w:r>
      <w:proofErr w:type="gramStart"/>
      <w:r w:rsidR="0080169F" w:rsidRPr="0080169F">
        <w:rPr>
          <w:sz w:val="22"/>
          <w:szCs w:val="22"/>
        </w:rPr>
        <w:t>kg</w:t>
      </w:r>
      <w:proofErr w:type="gramEnd"/>
    </w:p>
    <w:tbl>
      <w:tblPr>
        <w:tblW w:w="9521" w:type="dxa"/>
        <w:tblInd w:w="108" w:type="dxa"/>
        <w:tblCellMar>
          <w:left w:w="0" w:type="dxa"/>
          <w:right w:w="0" w:type="dxa"/>
        </w:tblCellMar>
        <w:tblLook w:val="04A0" w:firstRow="1" w:lastRow="0" w:firstColumn="1" w:lastColumn="0" w:noHBand="0" w:noVBand="1"/>
      </w:tblPr>
      <w:tblGrid>
        <w:gridCol w:w="1794"/>
        <w:gridCol w:w="955"/>
        <w:gridCol w:w="2057"/>
        <w:gridCol w:w="2271"/>
        <w:gridCol w:w="2444"/>
      </w:tblGrid>
      <w:tr w:rsidR="00300DF9" w:rsidRPr="00784FDB" w14:paraId="05757F62" w14:textId="77777777" w:rsidTr="00784FDB">
        <w:trPr>
          <w:trHeight w:val="1410"/>
        </w:trPr>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AB506E" w14:textId="77777777" w:rsidR="00784FDB" w:rsidRPr="00784FDB" w:rsidRDefault="00784FDB" w:rsidP="00236F8C">
            <w:pPr>
              <w:jc w:val="center"/>
              <w:rPr>
                <w:rFonts w:cs="Arial"/>
                <w:b/>
                <w:bCs/>
                <w:sz w:val="20"/>
                <w:lang w:val="en-GB"/>
              </w:rPr>
            </w:pPr>
            <w:r w:rsidRPr="00784FDB">
              <w:rPr>
                <w:rFonts w:cs="Arial"/>
                <w:b/>
                <w:bCs/>
                <w:sz w:val="20"/>
                <w:lang w:val="en-GB"/>
              </w:rPr>
              <w:t>Recommended dose</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396101" w14:textId="77777777" w:rsidR="00784FDB" w:rsidRPr="00784FDB" w:rsidRDefault="00784FDB" w:rsidP="00236F8C">
            <w:pPr>
              <w:jc w:val="center"/>
              <w:rPr>
                <w:rFonts w:cs="Arial"/>
                <w:b/>
                <w:bCs/>
                <w:sz w:val="20"/>
                <w:lang w:val="en-GB"/>
              </w:rPr>
            </w:pPr>
            <w:r w:rsidRPr="00784FDB">
              <w:rPr>
                <w:rFonts w:cs="Arial"/>
                <w:b/>
                <w:bCs/>
                <w:sz w:val="20"/>
                <w:lang w:val="en-GB"/>
              </w:rPr>
              <w:t>Patient weight (kg)</w:t>
            </w:r>
          </w:p>
        </w:tc>
        <w:tc>
          <w:tcPr>
            <w:tcW w:w="20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4B436B" w14:textId="5D5A609C" w:rsidR="00784FDB" w:rsidRPr="00784FDB" w:rsidRDefault="00784FDB" w:rsidP="00236F8C">
            <w:pPr>
              <w:spacing w:after="0"/>
              <w:jc w:val="center"/>
              <w:rPr>
                <w:rFonts w:cs="Arial"/>
                <w:b/>
                <w:bCs/>
                <w:sz w:val="20"/>
                <w:lang w:val="en-GB"/>
              </w:rPr>
            </w:pPr>
            <w:r w:rsidRPr="00784FDB">
              <w:rPr>
                <w:rFonts w:cs="Arial"/>
                <w:b/>
                <w:bCs/>
                <w:sz w:val="20"/>
                <w:lang w:val="en-GB"/>
              </w:rPr>
              <w:t>Total dose =</w:t>
            </w:r>
          </w:p>
          <w:p w14:paraId="4D665AD4" w14:textId="6F391830" w:rsidR="00784FDB" w:rsidRPr="00784FDB" w:rsidRDefault="00784FDB" w:rsidP="00236F8C">
            <w:pPr>
              <w:spacing w:after="0"/>
              <w:jc w:val="center"/>
              <w:rPr>
                <w:rFonts w:cs="Arial"/>
                <w:b/>
                <w:bCs/>
                <w:sz w:val="20"/>
                <w:lang w:val="en-GB"/>
              </w:rPr>
            </w:pPr>
            <w:r w:rsidRPr="00784FDB">
              <w:rPr>
                <w:rFonts w:cs="Arial"/>
                <w:b/>
                <w:bCs/>
                <w:sz w:val="20"/>
                <w:lang w:val="en-GB"/>
              </w:rPr>
              <w:t>patient weight multiplied by recommended dose</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B753A0" w14:textId="61B41ECD" w:rsidR="00784FDB" w:rsidRPr="00784FDB" w:rsidRDefault="00784FDB" w:rsidP="00236F8C">
            <w:pPr>
              <w:spacing w:after="0"/>
              <w:jc w:val="center"/>
              <w:rPr>
                <w:rFonts w:cs="Arial"/>
                <w:b/>
                <w:bCs/>
                <w:sz w:val="20"/>
                <w:lang w:val="en-GB"/>
              </w:rPr>
            </w:pPr>
            <w:r w:rsidRPr="00784FDB">
              <w:rPr>
                <w:rFonts w:cs="Arial"/>
                <w:b/>
                <w:bCs/>
                <w:sz w:val="20"/>
                <w:lang w:val="en-GB"/>
              </w:rPr>
              <w:t xml:space="preserve">Total volume to be </w:t>
            </w:r>
            <w:proofErr w:type="spellStart"/>
            <w:r w:rsidRPr="00784FDB">
              <w:rPr>
                <w:rFonts w:cs="Arial"/>
                <w:b/>
                <w:bCs/>
                <w:sz w:val="20"/>
                <w:lang w:val="en-GB"/>
              </w:rPr>
              <w:t>diluted</w:t>
            </w:r>
            <w:r w:rsidR="00FB66E5">
              <w:rPr>
                <w:rFonts w:cs="Arial"/>
                <w:b/>
                <w:bCs/>
                <w:sz w:val="20"/>
                <w:vertAlign w:val="superscript"/>
                <w:lang w:val="en-GB"/>
              </w:rPr>
              <w:t>a</w:t>
            </w:r>
            <w:proofErr w:type="spellEnd"/>
            <w:r w:rsidRPr="00784FDB">
              <w:rPr>
                <w:rFonts w:cs="Arial"/>
                <w:b/>
                <w:bCs/>
                <w:sz w:val="20"/>
                <w:lang w:val="en-GB"/>
              </w:rPr>
              <w:t> = total dose divided by reconstituted vial concentration [5 mg/mL]</w:t>
            </w:r>
          </w:p>
        </w:tc>
        <w:tc>
          <w:tcPr>
            <w:tcW w:w="2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100E73" w14:textId="7C61C944" w:rsidR="00784FDB" w:rsidRPr="00784FDB" w:rsidRDefault="00784FDB" w:rsidP="00236F8C">
            <w:pPr>
              <w:spacing w:after="0"/>
              <w:jc w:val="center"/>
              <w:rPr>
                <w:rFonts w:cs="Arial"/>
                <w:b/>
                <w:bCs/>
                <w:sz w:val="20"/>
                <w:lang w:val="en-GB"/>
              </w:rPr>
            </w:pPr>
            <w:r w:rsidRPr="00784FDB">
              <w:rPr>
                <w:rFonts w:cs="Arial"/>
                <w:b/>
                <w:bCs/>
                <w:sz w:val="20"/>
                <w:lang w:val="en-GB"/>
              </w:rPr>
              <w:t>Number of vials needed =</w:t>
            </w:r>
          </w:p>
          <w:p w14:paraId="010705C8" w14:textId="77777777" w:rsidR="00784FDB" w:rsidRPr="00784FDB" w:rsidRDefault="00784FDB" w:rsidP="00236F8C">
            <w:pPr>
              <w:spacing w:after="0"/>
              <w:jc w:val="center"/>
              <w:rPr>
                <w:rFonts w:cs="Arial"/>
                <w:b/>
                <w:bCs/>
                <w:sz w:val="20"/>
                <w:lang w:val="en-GB"/>
              </w:rPr>
            </w:pPr>
            <w:r w:rsidRPr="00784FDB">
              <w:rPr>
                <w:rFonts w:cs="Arial"/>
                <w:b/>
                <w:bCs/>
                <w:sz w:val="20"/>
                <w:lang w:val="en-GB"/>
              </w:rPr>
              <w:t>total volume to be diluted divided by total volume per vial [10 mL/vial]</w:t>
            </w:r>
          </w:p>
        </w:tc>
      </w:tr>
      <w:tr w:rsidR="00300DF9" w:rsidRPr="00784FDB" w14:paraId="7DDDDA5D" w14:textId="77777777" w:rsidTr="00784FDB">
        <w:tc>
          <w:tcPr>
            <w:tcW w:w="17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48F26" w14:textId="77777777" w:rsidR="00784FDB" w:rsidRPr="00784FDB" w:rsidRDefault="00784FDB" w:rsidP="00236F8C">
            <w:pPr>
              <w:spacing w:after="0"/>
              <w:jc w:val="center"/>
              <w:rPr>
                <w:rFonts w:cs="Arial"/>
                <w:sz w:val="20"/>
                <w:lang w:val="en-GB"/>
              </w:rPr>
            </w:pPr>
            <w:r w:rsidRPr="00784FDB">
              <w:rPr>
                <w:rFonts w:cs="Arial"/>
                <w:sz w:val="20"/>
                <w:lang w:val="en-GB"/>
              </w:rPr>
              <w:t>1.8 mg/kg (up to a maximum of 180 mg)</w:t>
            </w:r>
          </w:p>
        </w:tc>
        <w:tc>
          <w:tcPr>
            <w:tcW w:w="955" w:type="dxa"/>
            <w:tcBorders>
              <w:top w:val="nil"/>
              <w:left w:val="nil"/>
              <w:bottom w:val="single" w:sz="8" w:space="0" w:color="auto"/>
              <w:right w:val="single" w:sz="8" w:space="0" w:color="auto"/>
            </w:tcBorders>
            <w:tcMar>
              <w:top w:w="0" w:type="dxa"/>
              <w:left w:w="108" w:type="dxa"/>
              <w:bottom w:w="0" w:type="dxa"/>
              <w:right w:w="108" w:type="dxa"/>
            </w:tcMar>
            <w:hideMark/>
          </w:tcPr>
          <w:p w14:paraId="4F145AC9" w14:textId="77777777" w:rsidR="00784FDB" w:rsidRPr="00784FDB" w:rsidRDefault="00784FDB" w:rsidP="00236F8C">
            <w:pPr>
              <w:spacing w:after="0"/>
              <w:jc w:val="center"/>
              <w:rPr>
                <w:rFonts w:cs="Arial"/>
                <w:sz w:val="20"/>
                <w:lang w:val="en-GB"/>
              </w:rPr>
            </w:pPr>
            <w:r w:rsidRPr="00784FDB">
              <w:rPr>
                <w:rFonts w:cs="Arial"/>
                <w:sz w:val="20"/>
                <w:lang w:val="en-GB"/>
              </w:rPr>
              <w:t>60 kg</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5AEBB182" w14:textId="77777777" w:rsidR="00784FDB" w:rsidRPr="00784FDB" w:rsidRDefault="00784FDB" w:rsidP="00236F8C">
            <w:pPr>
              <w:spacing w:after="0"/>
              <w:jc w:val="center"/>
              <w:rPr>
                <w:rFonts w:cs="Arial"/>
                <w:sz w:val="20"/>
                <w:lang w:val="en-GB"/>
              </w:rPr>
            </w:pPr>
            <w:r w:rsidRPr="00784FDB">
              <w:rPr>
                <w:rFonts w:cs="Arial"/>
                <w:sz w:val="20"/>
                <w:lang w:val="en-GB"/>
              </w:rPr>
              <w:t>108 mg</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1F05A823" w14:textId="77777777" w:rsidR="00784FDB" w:rsidRPr="00784FDB" w:rsidRDefault="00784FDB" w:rsidP="00236F8C">
            <w:pPr>
              <w:spacing w:after="0"/>
              <w:jc w:val="center"/>
              <w:rPr>
                <w:rFonts w:cs="Arial"/>
                <w:sz w:val="20"/>
                <w:lang w:val="en-GB"/>
              </w:rPr>
            </w:pPr>
            <w:r w:rsidRPr="00784FDB">
              <w:rPr>
                <w:rFonts w:cs="Arial"/>
                <w:sz w:val="20"/>
                <w:lang w:val="en-GB"/>
              </w:rPr>
              <w:t>21.6 mL</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37100D60" w14:textId="77777777" w:rsidR="00784FDB" w:rsidRPr="00784FDB" w:rsidRDefault="00784FDB" w:rsidP="00236F8C">
            <w:pPr>
              <w:spacing w:after="0"/>
              <w:jc w:val="center"/>
              <w:rPr>
                <w:rFonts w:cs="Arial"/>
                <w:sz w:val="20"/>
                <w:lang w:val="en-GB"/>
              </w:rPr>
            </w:pPr>
            <w:r w:rsidRPr="00784FDB">
              <w:rPr>
                <w:rFonts w:cs="Arial"/>
                <w:sz w:val="20"/>
                <w:lang w:val="en-GB"/>
              </w:rPr>
              <w:t>2.16 vials</w:t>
            </w:r>
          </w:p>
        </w:tc>
      </w:tr>
      <w:tr w:rsidR="00300DF9" w:rsidRPr="00784FDB" w14:paraId="5442961C" w14:textId="77777777" w:rsidTr="00784FDB">
        <w:tc>
          <w:tcPr>
            <w:tcW w:w="0" w:type="auto"/>
            <w:vMerge/>
            <w:tcBorders>
              <w:top w:val="nil"/>
              <w:left w:val="single" w:sz="8" w:space="0" w:color="auto"/>
              <w:bottom w:val="single" w:sz="8" w:space="0" w:color="auto"/>
              <w:right w:val="single" w:sz="8" w:space="0" w:color="auto"/>
            </w:tcBorders>
            <w:vAlign w:val="center"/>
            <w:hideMark/>
          </w:tcPr>
          <w:p w14:paraId="430F0E5B" w14:textId="77777777" w:rsidR="00784FDB" w:rsidRPr="00784FDB" w:rsidRDefault="00784FDB" w:rsidP="00236F8C">
            <w:pPr>
              <w:spacing w:after="0"/>
              <w:jc w:val="center"/>
              <w:rPr>
                <w:rFonts w:cs="Arial"/>
                <w:sz w:val="20"/>
                <w:lang w:val="en-GB"/>
              </w:rPr>
            </w:pPr>
          </w:p>
        </w:tc>
        <w:tc>
          <w:tcPr>
            <w:tcW w:w="955" w:type="dxa"/>
            <w:tcBorders>
              <w:top w:val="nil"/>
              <w:left w:val="nil"/>
              <w:bottom w:val="single" w:sz="8" w:space="0" w:color="auto"/>
              <w:right w:val="single" w:sz="8" w:space="0" w:color="auto"/>
            </w:tcBorders>
            <w:tcMar>
              <w:top w:w="0" w:type="dxa"/>
              <w:left w:w="108" w:type="dxa"/>
              <w:bottom w:w="0" w:type="dxa"/>
              <w:right w:w="108" w:type="dxa"/>
            </w:tcMar>
            <w:hideMark/>
          </w:tcPr>
          <w:p w14:paraId="33A69A8B" w14:textId="77777777" w:rsidR="00784FDB" w:rsidRPr="00784FDB" w:rsidRDefault="00784FDB" w:rsidP="00236F8C">
            <w:pPr>
              <w:spacing w:after="0"/>
              <w:jc w:val="center"/>
              <w:rPr>
                <w:rFonts w:cs="Arial"/>
                <w:sz w:val="20"/>
                <w:lang w:val="en-GB"/>
              </w:rPr>
            </w:pPr>
            <w:r w:rsidRPr="00784FDB">
              <w:rPr>
                <w:rFonts w:cs="Arial"/>
                <w:sz w:val="20"/>
                <w:lang w:val="en-GB"/>
              </w:rPr>
              <w:t>80 kg</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1983860A" w14:textId="77777777" w:rsidR="00784FDB" w:rsidRPr="00784FDB" w:rsidRDefault="00784FDB" w:rsidP="00236F8C">
            <w:pPr>
              <w:spacing w:after="0"/>
              <w:jc w:val="center"/>
              <w:rPr>
                <w:rFonts w:cs="Arial"/>
                <w:sz w:val="20"/>
                <w:lang w:val="en-GB"/>
              </w:rPr>
            </w:pPr>
            <w:r w:rsidRPr="00784FDB">
              <w:rPr>
                <w:rFonts w:cs="Arial"/>
                <w:sz w:val="20"/>
                <w:lang w:val="en-GB"/>
              </w:rPr>
              <w:t>144 mg</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65B9E24E" w14:textId="77777777" w:rsidR="00784FDB" w:rsidRPr="00784FDB" w:rsidRDefault="00784FDB" w:rsidP="00236F8C">
            <w:pPr>
              <w:spacing w:after="0"/>
              <w:jc w:val="center"/>
              <w:rPr>
                <w:rFonts w:cs="Arial"/>
                <w:sz w:val="20"/>
                <w:lang w:val="en-GB"/>
              </w:rPr>
            </w:pPr>
            <w:r w:rsidRPr="00784FDB">
              <w:rPr>
                <w:rFonts w:cs="Arial"/>
                <w:sz w:val="20"/>
                <w:lang w:val="en-GB"/>
              </w:rPr>
              <w:t>28.8 mL</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272BBEC7" w14:textId="77777777" w:rsidR="00784FDB" w:rsidRPr="00784FDB" w:rsidRDefault="00784FDB" w:rsidP="00236F8C">
            <w:pPr>
              <w:spacing w:after="0"/>
              <w:jc w:val="center"/>
              <w:rPr>
                <w:rFonts w:cs="Arial"/>
                <w:sz w:val="20"/>
                <w:lang w:val="en-GB"/>
              </w:rPr>
            </w:pPr>
            <w:r w:rsidRPr="00784FDB">
              <w:rPr>
                <w:rFonts w:cs="Arial"/>
                <w:sz w:val="20"/>
                <w:lang w:val="en-GB"/>
              </w:rPr>
              <w:t>2.88 vials</w:t>
            </w:r>
          </w:p>
        </w:tc>
      </w:tr>
      <w:tr w:rsidR="00300DF9" w:rsidRPr="00784FDB" w14:paraId="6A6B53CC" w14:textId="77777777" w:rsidTr="00784FDB">
        <w:tc>
          <w:tcPr>
            <w:tcW w:w="0" w:type="auto"/>
            <w:vMerge/>
            <w:tcBorders>
              <w:top w:val="nil"/>
              <w:left w:val="single" w:sz="8" w:space="0" w:color="auto"/>
              <w:bottom w:val="single" w:sz="8" w:space="0" w:color="auto"/>
              <w:right w:val="single" w:sz="8" w:space="0" w:color="auto"/>
            </w:tcBorders>
            <w:vAlign w:val="center"/>
            <w:hideMark/>
          </w:tcPr>
          <w:p w14:paraId="19858465" w14:textId="77777777" w:rsidR="00784FDB" w:rsidRPr="00784FDB" w:rsidRDefault="00784FDB" w:rsidP="00236F8C">
            <w:pPr>
              <w:spacing w:after="0"/>
              <w:jc w:val="center"/>
              <w:rPr>
                <w:rFonts w:cs="Arial"/>
                <w:sz w:val="20"/>
                <w:lang w:val="en-GB"/>
              </w:rPr>
            </w:pPr>
          </w:p>
        </w:tc>
        <w:tc>
          <w:tcPr>
            <w:tcW w:w="955" w:type="dxa"/>
            <w:tcBorders>
              <w:top w:val="nil"/>
              <w:left w:val="nil"/>
              <w:bottom w:val="single" w:sz="8" w:space="0" w:color="auto"/>
              <w:right w:val="single" w:sz="8" w:space="0" w:color="auto"/>
            </w:tcBorders>
            <w:tcMar>
              <w:top w:w="0" w:type="dxa"/>
              <w:left w:w="108" w:type="dxa"/>
              <w:bottom w:w="0" w:type="dxa"/>
              <w:right w:w="108" w:type="dxa"/>
            </w:tcMar>
            <w:hideMark/>
          </w:tcPr>
          <w:p w14:paraId="3234D076" w14:textId="77777777" w:rsidR="00784FDB" w:rsidRPr="00784FDB" w:rsidRDefault="00784FDB" w:rsidP="00236F8C">
            <w:pPr>
              <w:spacing w:after="0"/>
              <w:jc w:val="center"/>
              <w:rPr>
                <w:rFonts w:cs="Arial"/>
                <w:sz w:val="20"/>
                <w:lang w:val="en-GB"/>
              </w:rPr>
            </w:pPr>
            <w:r w:rsidRPr="00784FDB">
              <w:rPr>
                <w:rFonts w:cs="Arial"/>
                <w:sz w:val="20"/>
                <w:lang w:val="en-GB"/>
              </w:rPr>
              <w:t>100 kg</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2F2E1A6E" w14:textId="77777777" w:rsidR="00784FDB" w:rsidRPr="00784FDB" w:rsidRDefault="00784FDB" w:rsidP="00236F8C">
            <w:pPr>
              <w:spacing w:after="0"/>
              <w:jc w:val="center"/>
              <w:rPr>
                <w:rFonts w:cs="Arial"/>
                <w:sz w:val="20"/>
                <w:lang w:val="en-GB"/>
              </w:rPr>
            </w:pPr>
            <w:r w:rsidRPr="00784FDB">
              <w:rPr>
                <w:rFonts w:cs="Arial"/>
                <w:sz w:val="20"/>
                <w:lang w:val="en-GB"/>
              </w:rPr>
              <w:t>180 mg</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16B8C674" w14:textId="77777777" w:rsidR="00784FDB" w:rsidRPr="00784FDB" w:rsidRDefault="00784FDB" w:rsidP="00236F8C">
            <w:pPr>
              <w:spacing w:after="0"/>
              <w:jc w:val="center"/>
              <w:rPr>
                <w:rFonts w:cs="Arial"/>
                <w:sz w:val="20"/>
                <w:lang w:val="en-GB"/>
              </w:rPr>
            </w:pPr>
            <w:r w:rsidRPr="00784FDB">
              <w:rPr>
                <w:rFonts w:cs="Arial"/>
                <w:sz w:val="20"/>
                <w:lang w:val="en-GB"/>
              </w:rPr>
              <w:t>36 mL</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49A21779" w14:textId="77777777" w:rsidR="00784FDB" w:rsidRPr="00784FDB" w:rsidRDefault="00784FDB" w:rsidP="00236F8C">
            <w:pPr>
              <w:spacing w:after="0"/>
              <w:jc w:val="center"/>
              <w:rPr>
                <w:rFonts w:cs="Arial"/>
                <w:sz w:val="20"/>
                <w:lang w:val="en-GB"/>
              </w:rPr>
            </w:pPr>
            <w:r w:rsidRPr="00784FDB">
              <w:rPr>
                <w:rFonts w:cs="Arial"/>
                <w:sz w:val="20"/>
                <w:lang w:val="en-GB"/>
              </w:rPr>
              <w:t>3.6 vials</w:t>
            </w:r>
          </w:p>
        </w:tc>
      </w:tr>
      <w:tr w:rsidR="00300DF9" w:rsidRPr="00784FDB" w14:paraId="33923BFE" w14:textId="77777777" w:rsidTr="00784FDB">
        <w:tc>
          <w:tcPr>
            <w:tcW w:w="0" w:type="auto"/>
            <w:vMerge/>
            <w:tcBorders>
              <w:top w:val="nil"/>
              <w:left w:val="single" w:sz="8" w:space="0" w:color="auto"/>
              <w:bottom w:val="single" w:sz="8" w:space="0" w:color="auto"/>
              <w:right w:val="single" w:sz="8" w:space="0" w:color="auto"/>
            </w:tcBorders>
            <w:vAlign w:val="center"/>
            <w:hideMark/>
          </w:tcPr>
          <w:p w14:paraId="327AA6F5" w14:textId="77777777" w:rsidR="00784FDB" w:rsidRPr="00784FDB" w:rsidRDefault="00784FDB" w:rsidP="00236F8C">
            <w:pPr>
              <w:spacing w:after="0"/>
              <w:jc w:val="center"/>
              <w:rPr>
                <w:rFonts w:cs="Arial"/>
                <w:sz w:val="20"/>
                <w:lang w:val="en-GB"/>
              </w:rPr>
            </w:pPr>
          </w:p>
        </w:tc>
        <w:tc>
          <w:tcPr>
            <w:tcW w:w="955" w:type="dxa"/>
            <w:tcBorders>
              <w:top w:val="nil"/>
              <w:left w:val="nil"/>
              <w:bottom w:val="single" w:sz="8" w:space="0" w:color="auto"/>
              <w:right w:val="single" w:sz="8" w:space="0" w:color="auto"/>
            </w:tcBorders>
            <w:tcMar>
              <w:top w:w="0" w:type="dxa"/>
              <w:left w:w="108" w:type="dxa"/>
              <w:bottom w:w="0" w:type="dxa"/>
              <w:right w:w="108" w:type="dxa"/>
            </w:tcMar>
            <w:hideMark/>
          </w:tcPr>
          <w:p w14:paraId="2663C36C" w14:textId="72564F90" w:rsidR="00784FDB" w:rsidRPr="00784FDB" w:rsidRDefault="00784FDB" w:rsidP="00236F8C">
            <w:pPr>
              <w:spacing w:after="0"/>
              <w:jc w:val="center"/>
              <w:rPr>
                <w:rFonts w:cs="Arial"/>
                <w:sz w:val="20"/>
                <w:lang w:val="en-GB"/>
              </w:rPr>
            </w:pPr>
            <w:r w:rsidRPr="00784FDB">
              <w:rPr>
                <w:rFonts w:cs="Arial"/>
                <w:sz w:val="20"/>
                <w:lang w:val="en-GB"/>
              </w:rPr>
              <w:t>120 </w:t>
            </w:r>
            <w:proofErr w:type="spellStart"/>
            <w:r w:rsidRPr="00784FDB">
              <w:rPr>
                <w:rFonts w:cs="Arial"/>
                <w:sz w:val="20"/>
                <w:lang w:val="en-GB"/>
              </w:rPr>
              <w:t>kg</w:t>
            </w:r>
            <w:r w:rsidR="00FB66E5">
              <w:rPr>
                <w:rFonts w:cs="Arial"/>
                <w:sz w:val="20"/>
                <w:vertAlign w:val="superscript"/>
                <w:lang w:val="en-GB"/>
              </w:rPr>
              <w:t>b</w:t>
            </w:r>
            <w:proofErr w:type="spellEnd"/>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5C4CC579" w14:textId="77777777" w:rsidR="00784FDB" w:rsidRPr="00784FDB" w:rsidRDefault="00784FDB" w:rsidP="00236F8C">
            <w:pPr>
              <w:spacing w:after="0"/>
              <w:jc w:val="center"/>
              <w:rPr>
                <w:rFonts w:cs="Arial"/>
                <w:sz w:val="20"/>
                <w:lang w:val="en-GB"/>
              </w:rPr>
            </w:pPr>
            <w:r w:rsidRPr="00784FDB">
              <w:rPr>
                <w:rFonts w:cs="Arial"/>
                <w:sz w:val="20"/>
                <w:lang w:val="en-GB"/>
              </w:rPr>
              <w:t>180 mg</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0840987D" w14:textId="77777777" w:rsidR="00784FDB" w:rsidRPr="00784FDB" w:rsidRDefault="00784FDB" w:rsidP="00236F8C">
            <w:pPr>
              <w:spacing w:after="0"/>
              <w:jc w:val="center"/>
              <w:rPr>
                <w:rFonts w:cs="Arial"/>
                <w:sz w:val="20"/>
                <w:lang w:val="en-GB"/>
              </w:rPr>
            </w:pPr>
            <w:r w:rsidRPr="00784FDB">
              <w:rPr>
                <w:rFonts w:cs="Arial"/>
                <w:sz w:val="20"/>
                <w:lang w:val="en-GB"/>
              </w:rPr>
              <w:t>36 mL</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3126AB9C" w14:textId="77777777" w:rsidR="00784FDB" w:rsidRPr="00784FDB" w:rsidRDefault="00784FDB" w:rsidP="00236F8C">
            <w:pPr>
              <w:spacing w:after="0"/>
              <w:jc w:val="center"/>
              <w:rPr>
                <w:rFonts w:cs="Arial"/>
                <w:sz w:val="20"/>
                <w:lang w:val="en-GB"/>
              </w:rPr>
            </w:pPr>
            <w:r w:rsidRPr="00784FDB">
              <w:rPr>
                <w:rFonts w:cs="Arial"/>
                <w:sz w:val="20"/>
                <w:lang w:val="en-GB"/>
              </w:rPr>
              <w:t>3.6 vials</w:t>
            </w:r>
          </w:p>
        </w:tc>
      </w:tr>
      <w:tr w:rsidR="00300DF9" w:rsidRPr="00784FDB" w14:paraId="71844CF6" w14:textId="77777777" w:rsidTr="00784FDB">
        <w:tc>
          <w:tcPr>
            <w:tcW w:w="17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3B38" w14:textId="77777777" w:rsidR="00784FDB" w:rsidRPr="00784FDB" w:rsidRDefault="00784FDB" w:rsidP="00236F8C">
            <w:pPr>
              <w:spacing w:after="0"/>
              <w:jc w:val="center"/>
              <w:rPr>
                <w:rFonts w:cs="Arial"/>
                <w:sz w:val="20"/>
                <w:lang w:val="en-GB"/>
              </w:rPr>
            </w:pPr>
            <w:r w:rsidRPr="00784FDB">
              <w:rPr>
                <w:rFonts w:cs="Arial"/>
                <w:sz w:val="20"/>
                <w:lang w:val="en-GB"/>
              </w:rPr>
              <w:t>1.2 mg/kg (up to a maximum of 120 mg)</w:t>
            </w:r>
          </w:p>
        </w:tc>
        <w:tc>
          <w:tcPr>
            <w:tcW w:w="955" w:type="dxa"/>
            <w:tcBorders>
              <w:top w:val="nil"/>
              <w:left w:val="nil"/>
              <w:bottom w:val="single" w:sz="8" w:space="0" w:color="auto"/>
              <w:right w:val="single" w:sz="8" w:space="0" w:color="auto"/>
            </w:tcBorders>
            <w:tcMar>
              <w:top w:w="0" w:type="dxa"/>
              <w:left w:w="108" w:type="dxa"/>
              <w:bottom w:w="0" w:type="dxa"/>
              <w:right w:w="108" w:type="dxa"/>
            </w:tcMar>
            <w:hideMark/>
          </w:tcPr>
          <w:p w14:paraId="7F3092CE" w14:textId="77777777" w:rsidR="00784FDB" w:rsidRPr="00784FDB" w:rsidRDefault="00784FDB" w:rsidP="00236F8C">
            <w:pPr>
              <w:spacing w:after="0"/>
              <w:jc w:val="center"/>
              <w:rPr>
                <w:rFonts w:cs="Arial"/>
                <w:sz w:val="20"/>
                <w:lang w:val="en-GB"/>
              </w:rPr>
            </w:pPr>
            <w:r w:rsidRPr="00784FDB">
              <w:rPr>
                <w:rFonts w:cs="Arial"/>
                <w:sz w:val="20"/>
                <w:lang w:val="en-GB"/>
              </w:rPr>
              <w:t>60 kg</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057CE346" w14:textId="77777777" w:rsidR="00784FDB" w:rsidRPr="00784FDB" w:rsidRDefault="00784FDB" w:rsidP="00236F8C">
            <w:pPr>
              <w:spacing w:after="0"/>
              <w:jc w:val="center"/>
              <w:rPr>
                <w:rFonts w:cs="Arial"/>
                <w:sz w:val="20"/>
                <w:lang w:val="en-GB"/>
              </w:rPr>
            </w:pPr>
            <w:r w:rsidRPr="00784FDB">
              <w:rPr>
                <w:rFonts w:cs="Arial"/>
                <w:sz w:val="20"/>
                <w:lang w:val="en-GB"/>
              </w:rPr>
              <w:t>72 mg</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2327A06A" w14:textId="77777777" w:rsidR="00784FDB" w:rsidRPr="00784FDB" w:rsidRDefault="00784FDB" w:rsidP="00236F8C">
            <w:pPr>
              <w:spacing w:after="0"/>
              <w:jc w:val="center"/>
              <w:rPr>
                <w:rFonts w:cs="Arial"/>
                <w:sz w:val="20"/>
                <w:lang w:val="en-GB"/>
              </w:rPr>
            </w:pPr>
            <w:r w:rsidRPr="00784FDB">
              <w:rPr>
                <w:rFonts w:cs="Arial"/>
                <w:sz w:val="20"/>
                <w:lang w:val="en-GB"/>
              </w:rPr>
              <w:t>14.4 mL</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4241CDE3" w14:textId="77777777" w:rsidR="00784FDB" w:rsidRPr="00784FDB" w:rsidRDefault="00784FDB" w:rsidP="00236F8C">
            <w:pPr>
              <w:spacing w:after="0"/>
              <w:jc w:val="center"/>
              <w:rPr>
                <w:rFonts w:cs="Arial"/>
                <w:sz w:val="20"/>
                <w:lang w:val="en-GB"/>
              </w:rPr>
            </w:pPr>
            <w:r w:rsidRPr="00784FDB">
              <w:rPr>
                <w:rFonts w:cs="Arial"/>
                <w:sz w:val="20"/>
                <w:lang w:val="en-GB"/>
              </w:rPr>
              <w:t>1.44 vials</w:t>
            </w:r>
          </w:p>
        </w:tc>
      </w:tr>
      <w:tr w:rsidR="00300DF9" w:rsidRPr="00784FDB" w14:paraId="7651A9BF" w14:textId="77777777" w:rsidTr="00784FDB">
        <w:tc>
          <w:tcPr>
            <w:tcW w:w="0" w:type="auto"/>
            <w:vMerge/>
            <w:tcBorders>
              <w:top w:val="nil"/>
              <w:left w:val="single" w:sz="8" w:space="0" w:color="auto"/>
              <w:bottom w:val="single" w:sz="8" w:space="0" w:color="auto"/>
              <w:right w:val="single" w:sz="8" w:space="0" w:color="auto"/>
            </w:tcBorders>
            <w:vAlign w:val="center"/>
            <w:hideMark/>
          </w:tcPr>
          <w:p w14:paraId="7B896EDA" w14:textId="77777777" w:rsidR="00784FDB" w:rsidRPr="00784FDB" w:rsidRDefault="00784FDB" w:rsidP="00236F8C">
            <w:pPr>
              <w:spacing w:after="0"/>
              <w:jc w:val="center"/>
              <w:rPr>
                <w:rFonts w:cs="Arial"/>
                <w:sz w:val="20"/>
                <w:lang w:val="en-GB"/>
              </w:rPr>
            </w:pPr>
          </w:p>
        </w:tc>
        <w:tc>
          <w:tcPr>
            <w:tcW w:w="955" w:type="dxa"/>
            <w:tcBorders>
              <w:top w:val="nil"/>
              <w:left w:val="nil"/>
              <w:bottom w:val="single" w:sz="8" w:space="0" w:color="auto"/>
              <w:right w:val="single" w:sz="8" w:space="0" w:color="auto"/>
            </w:tcBorders>
            <w:tcMar>
              <w:top w:w="0" w:type="dxa"/>
              <w:left w:w="108" w:type="dxa"/>
              <w:bottom w:w="0" w:type="dxa"/>
              <w:right w:w="108" w:type="dxa"/>
            </w:tcMar>
            <w:hideMark/>
          </w:tcPr>
          <w:p w14:paraId="626E9A34" w14:textId="77777777" w:rsidR="00784FDB" w:rsidRPr="00784FDB" w:rsidRDefault="00784FDB" w:rsidP="00236F8C">
            <w:pPr>
              <w:spacing w:after="0"/>
              <w:jc w:val="center"/>
              <w:rPr>
                <w:rFonts w:cs="Arial"/>
                <w:sz w:val="20"/>
                <w:lang w:val="en-GB"/>
              </w:rPr>
            </w:pPr>
            <w:r w:rsidRPr="00784FDB">
              <w:rPr>
                <w:rFonts w:cs="Arial"/>
                <w:sz w:val="20"/>
                <w:lang w:val="en-GB"/>
              </w:rPr>
              <w:t>80 kg</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481EA437" w14:textId="77777777" w:rsidR="00784FDB" w:rsidRPr="00784FDB" w:rsidRDefault="00784FDB" w:rsidP="00236F8C">
            <w:pPr>
              <w:spacing w:after="0"/>
              <w:jc w:val="center"/>
              <w:rPr>
                <w:rFonts w:cs="Arial"/>
                <w:sz w:val="20"/>
                <w:lang w:val="en-GB"/>
              </w:rPr>
            </w:pPr>
            <w:r w:rsidRPr="00784FDB">
              <w:rPr>
                <w:rFonts w:cs="Arial"/>
                <w:sz w:val="20"/>
                <w:lang w:val="en-GB"/>
              </w:rPr>
              <w:t>96 mg</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5A8EBE53" w14:textId="77777777" w:rsidR="00784FDB" w:rsidRPr="00784FDB" w:rsidRDefault="00784FDB" w:rsidP="00236F8C">
            <w:pPr>
              <w:spacing w:after="0"/>
              <w:jc w:val="center"/>
              <w:rPr>
                <w:rFonts w:cs="Arial"/>
                <w:sz w:val="20"/>
                <w:lang w:val="en-GB"/>
              </w:rPr>
            </w:pPr>
            <w:r w:rsidRPr="00784FDB">
              <w:rPr>
                <w:rFonts w:cs="Arial"/>
                <w:sz w:val="20"/>
                <w:lang w:val="en-GB"/>
              </w:rPr>
              <w:t>19.2 mL</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31286905" w14:textId="77777777" w:rsidR="00784FDB" w:rsidRPr="00784FDB" w:rsidRDefault="00784FDB" w:rsidP="00236F8C">
            <w:pPr>
              <w:spacing w:after="0"/>
              <w:jc w:val="center"/>
              <w:rPr>
                <w:rFonts w:cs="Arial"/>
                <w:sz w:val="20"/>
                <w:lang w:val="en-GB"/>
              </w:rPr>
            </w:pPr>
            <w:r w:rsidRPr="00784FDB">
              <w:rPr>
                <w:rFonts w:cs="Arial"/>
                <w:sz w:val="20"/>
                <w:lang w:val="en-GB"/>
              </w:rPr>
              <w:t>1.92 vials</w:t>
            </w:r>
          </w:p>
        </w:tc>
      </w:tr>
      <w:tr w:rsidR="00300DF9" w:rsidRPr="00784FDB" w14:paraId="51924694" w14:textId="77777777" w:rsidTr="00784FDB">
        <w:tc>
          <w:tcPr>
            <w:tcW w:w="0" w:type="auto"/>
            <w:vMerge/>
            <w:tcBorders>
              <w:top w:val="nil"/>
              <w:left w:val="single" w:sz="8" w:space="0" w:color="auto"/>
              <w:bottom w:val="single" w:sz="8" w:space="0" w:color="auto"/>
              <w:right w:val="single" w:sz="8" w:space="0" w:color="auto"/>
            </w:tcBorders>
            <w:vAlign w:val="center"/>
            <w:hideMark/>
          </w:tcPr>
          <w:p w14:paraId="35EA08C9" w14:textId="77777777" w:rsidR="00784FDB" w:rsidRPr="00784FDB" w:rsidRDefault="00784FDB" w:rsidP="00236F8C">
            <w:pPr>
              <w:spacing w:after="0"/>
              <w:jc w:val="center"/>
              <w:rPr>
                <w:rFonts w:cs="Arial"/>
                <w:sz w:val="20"/>
                <w:lang w:val="en-GB"/>
              </w:rPr>
            </w:pPr>
          </w:p>
        </w:tc>
        <w:tc>
          <w:tcPr>
            <w:tcW w:w="955" w:type="dxa"/>
            <w:tcBorders>
              <w:top w:val="nil"/>
              <w:left w:val="nil"/>
              <w:bottom w:val="single" w:sz="8" w:space="0" w:color="auto"/>
              <w:right w:val="single" w:sz="8" w:space="0" w:color="auto"/>
            </w:tcBorders>
            <w:tcMar>
              <w:top w:w="0" w:type="dxa"/>
              <w:left w:w="108" w:type="dxa"/>
              <w:bottom w:w="0" w:type="dxa"/>
              <w:right w:w="108" w:type="dxa"/>
            </w:tcMar>
            <w:hideMark/>
          </w:tcPr>
          <w:p w14:paraId="6E5FDF5C" w14:textId="77777777" w:rsidR="00784FDB" w:rsidRPr="00784FDB" w:rsidRDefault="00784FDB" w:rsidP="00236F8C">
            <w:pPr>
              <w:spacing w:after="0"/>
              <w:jc w:val="center"/>
              <w:rPr>
                <w:rFonts w:cs="Arial"/>
                <w:sz w:val="20"/>
                <w:lang w:val="en-GB"/>
              </w:rPr>
            </w:pPr>
            <w:r w:rsidRPr="00784FDB">
              <w:rPr>
                <w:rFonts w:cs="Arial"/>
                <w:sz w:val="20"/>
                <w:lang w:val="en-GB"/>
              </w:rPr>
              <w:t>100 kg</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6F08AC2D" w14:textId="77777777" w:rsidR="00784FDB" w:rsidRPr="00784FDB" w:rsidRDefault="00784FDB" w:rsidP="00236F8C">
            <w:pPr>
              <w:spacing w:after="0"/>
              <w:jc w:val="center"/>
              <w:rPr>
                <w:rFonts w:cs="Arial"/>
                <w:sz w:val="20"/>
                <w:lang w:val="en-GB"/>
              </w:rPr>
            </w:pPr>
            <w:r w:rsidRPr="00784FDB">
              <w:rPr>
                <w:rFonts w:cs="Arial"/>
                <w:sz w:val="20"/>
                <w:lang w:val="en-GB"/>
              </w:rPr>
              <w:t>120 mg</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3AC23FF2" w14:textId="77777777" w:rsidR="00784FDB" w:rsidRPr="00784FDB" w:rsidRDefault="00784FDB" w:rsidP="00236F8C">
            <w:pPr>
              <w:spacing w:after="0"/>
              <w:jc w:val="center"/>
              <w:rPr>
                <w:rFonts w:cs="Arial"/>
                <w:sz w:val="20"/>
                <w:lang w:val="en-GB"/>
              </w:rPr>
            </w:pPr>
            <w:r w:rsidRPr="00784FDB">
              <w:rPr>
                <w:rFonts w:cs="Arial"/>
                <w:sz w:val="20"/>
                <w:lang w:val="en-GB"/>
              </w:rPr>
              <w:t>24 mL</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491BFBA8" w14:textId="77777777" w:rsidR="00784FDB" w:rsidRPr="00784FDB" w:rsidRDefault="00784FDB" w:rsidP="00236F8C">
            <w:pPr>
              <w:spacing w:after="0"/>
              <w:jc w:val="center"/>
              <w:rPr>
                <w:rFonts w:cs="Arial"/>
                <w:sz w:val="20"/>
                <w:lang w:val="en-GB"/>
              </w:rPr>
            </w:pPr>
            <w:r w:rsidRPr="00784FDB">
              <w:rPr>
                <w:rFonts w:cs="Arial"/>
                <w:sz w:val="20"/>
                <w:lang w:val="en-GB"/>
              </w:rPr>
              <w:t>2.4 vials</w:t>
            </w:r>
          </w:p>
        </w:tc>
      </w:tr>
      <w:tr w:rsidR="00300DF9" w:rsidRPr="00784FDB" w14:paraId="4514475C" w14:textId="77777777" w:rsidTr="00784FDB">
        <w:tc>
          <w:tcPr>
            <w:tcW w:w="0" w:type="auto"/>
            <w:vMerge/>
            <w:tcBorders>
              <w:top w:val="nil"/>
              <w:left w:val="single" w:sz="8" w:space="0" w:color="auto"/>
              <w:bottom w:val="single" w:sz="8" w:space="0" w:color="auto"/>
              <w:right w:val="single" w:sz="8" w:space="0" w:color="auto"/>
            </w:tcBorders>
            <w:vAlign w:val="center"/>
            <w:hideMark/>
          </w:tcPr>
          <w:p w14:paraId="73AA80D7" w14:textId="77777777" w:rsidR="00784FDB" w:rsidRPr="00784FDB" w:rsidRDefault="00784FDB" w:rsidP="00236F8C">
            <w:pPr>
              <w:spacing w:after="0"/>
              <w:jc w:val="center"/>
              <w:rPr>
                <w:rFonts w:cs="Arial"/>
                <w:sz w:val="20"/>
                <w:lang w:val="en-GB"/>
              </w:rPr>
            </w:pPr>
          </w:p>
        </w:tc>
        <w:tc>
          <w:tcPr>
            <w:tcW w:w="955" w:type="dxa"/>
            <w:tcBorders>
              <w:top w:val="nil"/>
              <w:left w:val="nil"/>
              <w:bottom w:val="single" w:sz="8" w:space="0" w:color="auto"/>
              <w:right w:val="single" w:sz="8" w:space="0" w:color="auto"/>
            </w:tcBorders>
            <w:tcMar>
              <w:top w:w="0" w:type="dxa"/>
              <w:left w:w="108" w:type="dxa"/>
              <w:bottom w:w="0" w:type="dxa"/>
              <w:right w:w="108" w:type="dxa"/>
            </w:tcMar>
            <w:hideMark/>
          </w:tcPr>
          <w:p w14:paraId="6F1DB994" w14:textId="033618F4" w:rsidR="00784FDB" w:rsidRPr="00784FDB" w:rsidRDefault="00784FDB" w:rsidP="00236F8C">
            <w:pPr>
              <w:spacing w:after="0"/>
              <w:jc w:val="center"/>
              <w:rPr>
                <w:rFonts w:cs="Arial"/>
                <w:sz w:val="20"/>
                <w:lang w:val="en-GB"/>
              </w:rPr>
            </w:pPr>
            <w:r w:rsidRPr="00784FDB">
              <w:rPr>
                <w:rFonts w:cs="Arial"/>
                <w:sz w:val="20"/>
                <w:lang w:val="en-GB"/>
              </w:rPr>
              <w:t>120 </w:t>
            </w:r>
            <w:proofErr w:type="spellStart"/>
            <w:r w:rsidRPr="00784FDB">
              <w:rPr>
                <w:rFonts w:cs="Arial"/>
                <w:sz w:val="20"/>
                <w:lang w:val="en-GB"/>
              </w:rPr>
              <w:t>kg</w:t>
            </w:r>
            <w:r w:rsidR="00FB66E5">
              <w:rPr>
                <w:rFonts w:cs="Arial"/>
                <w:sz w:val="20"/>
                <w:vertAlign w:val="superscript"/>
                <w:lang w:val="en-GB"/>
              </w:rPr>
              <w:t>b</w:t>
            </w:r>
            <w:proofErr w:type="spellEnd"/>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62655E2C" w14:textId="77777777" w:rsidR="00784FDB" w:rsidRPr="00784FDB" w:rsidRDefault="00784FDB" w:rsidP="00236F8C">
            <w:pPr>
              <w:spacing w:after="0"/>
              <w:jc w:val="center"/>
              <w:rPr>
                <w:rFonts w:cs="Arial"/>
                <w:sz w:val="20"/>
                <w:lang w:val="en-GB"/>
              </w:rPr>
            </w:pPr>
            <w:r w:rsidRPr="00784FDB">
              <w:rPr>
                <w:rFonts w:cs="Arial"/>
                <w:sz w:val="20"/>
                <w:lang w:val="en-GB"/>
              </w:rPr>
              <w:t>120 mg</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65DA9E1E" w14:textId="77777777" w:rsidR="00784FDB" w:rsidRPr="00784FDB" w:rsidRDefault="00784FDB" w:rsidP="00236F8C">
            <w:pPr>
              <w:spacing w:after="0"/>
              <w:jc w:val="center"/>
              <w:rPr>
                <w:rFonts w:cs="Arial"/>
                <w:sz w:val="20"/>
                <w:lang w:val="en-GB"/>
              </w:rPr>
            </w:pPr>
            <w:r w:rsidRPr="00784FDB">
              <w:rPr>
                <w:rFonts w:cs="Arial"/>
                <w:sz w:val="20"/>
                <w:lang w:val="en-GB"/>
              </w:rPr>
              <w:t>24 mL</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0EF0C077" w14:textId="77777777" w:rsidR="00784FDB" w:rsidRPr="00784FDB" w:rsidRDefault="00784FDB" w:rsidP="00236F8C">
            <w:pPr>
              <w:spacing w:after="0"/>
              <w:jc w:val="center"/>
              <w:rPr>
                <w:rFonts w:cs="Arial"/>
                <w:sz w:val="20"/>
                <w:lang w:val="en-GB"/>
              </w:rPr>
            </w:pPr>
            <w:r w:rsidRPr="00784FDB">
              <w:rPr>
                <w:rFonts w:cs="Arial"/>
                <w:sz w:val="20"/>
                <w:lang w:val="en-GB"/>
              </w:rPr>
              <w:t>2.4 vials</w:t>
            </w:r>
          </w:p>
        </w:tc>
      </w:tr>
      <w:tr w:rsidR="00300DF9" w:rsidRPr="00784FDB" w14:paraId="4074AF24" w14:textId="77777777" w:rsidTr="00784FDB">
        <w:tc>
          <w:tcPr>
            <w:tcW w:w="1794" w:type="dxa"/>
            <w:vMerge w:val="restart"/>
            <w:tcBorders>
              <w:top w:val="nil"/>
              <w:left w:val="single" w:sz="8" w:space="0" w:color="auto"/>
              <w:right w:val="single" w:sz="8" w:space="0" w:color="auto"/>
            </w:tcBorders>
            <w:tcMar>
              <w:top w:w="0" w:type="dxa"/>
              <w:left w:w="108" w:type="dxa"/>
              <w:bottom w:w="0" w:type="dxa"/>
              <w:right w:w="108" w:type="dxa"/>
            </w:tcMar>
            <w:hideMark/>
          </w:tcPr>
          <w:p w14:paraId="36025BC1" w14:textId="77777777" w:rsidR="00784FDB" w:rsidRPr="00784FDB" w:rsidRDefault="00784FDB" w:rsidP="00236F8C">
            <w:pPr>
              <w:spacing w:after="0"/>
              <w:jc w:val="center"/>
              <w:rPr>
                <w:rFonts w:cs="Arial"/>
                <w:sz w:val="20"/>
                <w:lang w:val="en-GB"/>
              </w:rPr>
            </w:pPr>
            <w:r w:rsidRPr="00784FDB">
              <w:rPr>
                <w:rFonts w:cs="Arial"/>
                <w:sz w:val="20"/>
                <w:lang w:val="en-GB"/>
              </w:rPr>
              <w:t>0.9 mg/kg (up to a maximum of 90 mg)</w:t>
            </w:r>
          </w:p>
        </w:tc>
        <w:tc>
          <w:tcPr>
            <w:tcW w:w="955" w:type="dxa"/>
            <w:tcBorders>
              <w:top w:val="nil"/>
              <w:left w:val="nil"/>
              <w:bottom w:val="single" w:sz="8" w:space="0" w:color="auto"/>
              <w:right w:val="single" w:sz="8" w:space="0" w:color="auto"/>
            </w:tcBorders>
            <w:tcMar>
              <w:top w:w="0" w:type="dxa"/>
              <w:left w:w="108" w:type="dxa"/>
              <w:bottom w:w="0" w:type="dxa"/>
              <w:right w:w="108" w:type="dxa"/>
            </w:tcMar>
            <w:hideMark/>
          </w:tcPr>
          <w:p w14:paraId="1386D1F5" w14:textId="77777777" w:rsidR="00784FDB" w:rsidRPr="00784FDB" w:rsidRDefault="00784FDB" w:rsidP="00236F8C">
            <w:pPr>
              <w:spacing w:after="0"/>
              <w:jc w:val="center"/>
              <w:rPr>
                <w:rFonts w:cs="Arial"/>
                <w:sz w:val="20"/>
                <w:lang w:val="en-GB"/>
              </w:rPr>
            </w:pPr>
            <w:r w:rsidRPr="00784FDB">
              <w:rPr>
                <w:rFonts w:cs="Arial"/>
                <w:sz w:val="20"/>
                <w:lang w:val="en-GB"/>
              </w:rPr>
              <w:t>60 kg</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36316B7D" w14:textId="77777777" w:rsidR="00784FDB" w:rsidRPr="00784FDB" w:rsidRDefault="00784FDB" w:rsidP="00236F8C">
            <w:pPr>
              <w:spacing w:after="0"/>
              <w:jc w:val="center"/>
              <w:rPr>
                <w:rFonts w:cs="Arial"/>
                <w:sz w:val="20"/>
                <w:lang w:val="en-GB"/>
              </w:rPr>
            </w:pPr>
            <w:r w:rsidRPr="00784FDB">
              <w:rPr>
                <w:rFonts w:cs="Arial"/>
                <w:sz w:val="20"/>
                <w:lang w:val="en-GB"/>
              </w:rPr>
              <w:t>54 mg</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20F558D4" w14:textId="77777777" w:rsidR="00784FDB" w:rsidRPr="00784FDB" w:rsidRDefault="00784FDB" w:rsidP="00236F8C">
            <w:pPr>
              <w:spacing w:after="0"/>
              <w:jc w:val="center"/>
              <w:rPr>
                <w:rFonts w:cs="Arial"/>
                <w:sz w:val="20"/>
                <w:lang w:val="en-GB"/>
              </w:rPr>
            </w:pPr>
            <w:r w:rsidRPr="00784FDB">
              <w:rPr>
                <w:rFonts w:cs="Arial"/>
                <w:sz w:val="20"/>
                <w:lang w:val="en-GB"/>
              </w:rPr>
              <w:t>10.8 mL</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7F5D7C40" w14:textId="77777777" w:rsidR="00784FDB" w:rsidRPr="00784FDB" w:rsidRDefault="00784FDB" w:rsidP="00236F8C">
            <w:pPr>
              <w:spacing w:after="0"/>
              <w:jc w:val="center"/>
              <w:rPr>
                <w:rFonts w:cs="Arial"/>
                <w:sz w:val="20"/>
                <w:lang w:val="en-GB"/>
              </w:rPr>
            </w:pPr>
            <w:r w:rsidRPr="00784FDB">
              <w:rPr>
                <w:rFonts w:cs="Arial"/>
                <w:sz w:val="20"/>
                <w:lang w:val="en-GB"/>
              </w:rPr>
              <w:t>1.08 vials</w:t>
            </w:r>
          </w:p>
        </w:tc>
      </w:tr>
      <w:tr w:rsidR="00300DF9" w:rsidRPr="00784FDB" w14:paraId="4E9B0377" w14:textId="77777777" w:rsidTr="00784FDB">
        <w:tc>
          <w:tcPr>
            <w:tcW w:w="1794" w:type="dxa"/>
            <w:vMerge/>
            <w:tcBorders>
              <w:left w:val="single" w:sz="8" w:space="0" w:color="auto"/>
              <w:right w:val="single" w:sz="8" w:space="0" w:color="auto"/>
            </w:tcBorders>
            <w:tcMar>
              <w:top w:w="0" w:type="dxa"/>
              <w:left w:w="108" w:type="dxa"/>
              <w:bottom w:w="0" w:type="dxa"/>
              <w:right w:w="108" w:type="dxa"/>
            </w:tcMar>
          </w:tcPr>
          <w:p w14:paraId="576FD6B6" w14:textId="77777777" w:rsidR="00784FDB" w:rsidRPr="00784FDB" w:rsidRDefault="00784FDB" w:rsidP="00236F8C">
            <w:pPr>
              <w:spacing w:after="0"/>
              <w:jc w:val="center"/>
              <w:rPr>
                <w:rFonts w:cs="Arial"/>
                <w:sz w:val="20"/>
                <w:lang w:val="en-GB"/>
              </w:rPr>
            </w:pPr>
          </w:p>
        </w:tc>
        <w:tc>
          <w:tcPr>
            <w:tcW w:w="955" w:type="dxa"/>
            <w:tcBorders>
              <w:top w:val="nil"/>
              <w:left w:val="nil"/>
              <w:bottom w:val="single" w:sz="8" w:space="0" w:color="auto"/>
              <w:right w:val="single" w:sz="8" w:space="0" w:color="auto"/>
            </w:tcBorders>
            <w:tcMar>
              <w:top w:w="0" w:type="dxa"/>
              <w:left w:w="108" w:type="dxa"/>
              <w:bottom w:w="0" w:type="dxa"/>
              <w:right w:w="108" w:type="dxa"/>
            </w:tcMar>
            <w:hideMark/>
          </w:tcPr>
          <w:p w14:paraId="788CEDC3" w14:textId="77777777" w:rsidR="00784FDB" w:rsidRPr="00784FDB" w:rsidRDefault="00784FDB" w:rsidP="00236F8C">
            <w:pPr>
              <w:spacing w:after="0"/>
              <w:jc w:val="center"/>
              <w:rPr>
                <w:rFonts w:cs="Arial"/>
                <w:sz w:val="20"/>
                <w:lang w:val="en-GB"/>
              </w:rPr>
            </w:pPr>
            <w:r w:rsidRPr="00784FDB">
              <w:rPr>
                <w:rFonts w:cs="Arial"/>
                <w:sz w:val="20"/>
                <w:lang w:val="en-GB"/>
              </w:rPr>
              <w:t>80 kg</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518A5663" w14:textId="77777777" w:rsidR="00784FDB" w:rsidRPr="00784FDB" w:rsidRDefault="00784FDB" w:rsidP="00236F8C">
            <w:pPr>
              <w:spacing w:after="0"/>
              <w:jc w:val="center"/>
              <w:rPr>
                <w:rFonts w:cs="Arial"/>
                <w:sz w:val="20"/>
                <w:lang w:val="en-GB"/>
              </w:rPr>
            </w:pPr>
            <w:r w:rsidRPr="00784FDB">
              <w:rPr>
                <w:rFonts w:cs="Arial"/>
                <w:sz w:val="20"/>
                <w:lang w:val="en-GB"/>
              </w:rPr>
              <w:t>72 mg</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4320FA3E" w14:textId="77777777" w:rsidR="00784FDB" w:rsidRPr="00784FDB" w:rsidRDefault="00784FDB" w:rsidP="00236F8C">
            <w:pPr>
              <w:spacing w:after="0"/>
              <w:jc w:val="center"/>
              <w:rPr>
                <w:rFonts w:cs="Arial"/>
                <w:sz w:val="20"/>
                <w:lang w:val="en-GB"/>
              </w:rPr>
            </w:pPr>
            <w:r w:rsidRPr="00784FDB">
              <w:rPr>
                <w:rFonts w:cs="Arial"/>
                <w:sz w:val="20"/>
                <w:lang w:val="en-GB"/>
              </w:rPr>
              <w:t>14.4 mL</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632CF40A" w14:textId="77777777" w:rsidR="00784FDB" w:rsidRPr="00784FDB" w:rsidRDefault="00784FDB" w:rsidP="00236F8C">
            <w:pPr>
              <w:spacing w:after="0"/>
              <w:jc w:val="center"/>
              <w:rPr>
                <w:rFonts w:cs="Arial"/>
                <w:sz w:val="20"/>
                <w:lang w:val="en-GB"/>
              </w:rPr>
            </w:pPr>
            <w:r w:rsidRPr="00784FDB">
              <w:rPr>
                <w:rFonts w:cs="Arial"/>
                <w:sz w:val="20"/>
                <w:lang w:val="en-GB"/>
              </w:rPr>
              <w:t>1.44 vials</w:t>
            </w:r>
          </w:p>
        </w:tc>
      </w:tr>
      <w:tr w:rsidR="00300DF9" w:rsidRPr="00784FDB" w14:paraId="59412591" w14:textId="77777777" w:rsidTr="00784FDB">
        <w:tc>
          <w:tcPr>
            <w:tcW w:w="1794" w:type="dxa"/>
            <w:vMerge/>
            <w:tcBorders>
              <w:left w:val="single" w:sz="8" w:space="0" w:color="auto"/>
              <w:right w:val="single" w:sz="8" w:space="0" w:color="auto"/>
            </w:tcBorders>
            <w:tcMar>
              <w:top w:w="0" w:type="dxa"/>
              <w:left w:w="108" w:type="dxa"/>
              <w:bottom w:w="0" w:type="dxa"/>
              <w:right w:w="108" w:type="dxa"/>
            </w:tcMar>
          </w:tcPr>
          <w:p w14:paraId="2BE0D249" w14:textId="77777777" w:rsidR="00784FDB" w:rsidRPr="00784FDB" w:rsidRDefault="00784FDB" w:rsidP="00236F8C">
            <w:pPr>
              <w:spacing w:after="0"/>
              <w:jc w:val="center"/>
              <w:rPr>
                <w:rFonts w:cs="Arial"/>
                <w:sz w:val="20"/>
                <w:lang w:val="en-GB"/>
              </w:rPr>
            </w:pPr>
          </w:p>
        </w:tc>
        <w:tc>
          <w:tcPr>
            <w:tcW w:w="955" w:type="dxa"/>
            <w:tcBorders>
              <w:top w:val="nil"/>
              <w:left w:val="nil"/>
              <w:bottom w:val="single" w:sz="8" w:space="0" w:color="auto"/>
              <w:right w:val="single" w:sz="8" w:space="0" w:color="auto"/>
            </w:tcBorders>
            <w:tcMar>
              <w:top w:w="0" w:type="dxa"/>
              <w:left w:w="108" w:type="dxa"/>
              <w:bottom w:w="0" w:type="dxa"/>
              <w:right w:w="108" w:type="dxa"/>
            </w:tcMar>
            <w:hideMark/>
          </w:tcPr>
          <w:p w14:paraId="6AEFFD21" w14:textId="77777777" w:rsidR="00784FDB" w:rsidRPr="00784FDB" w:rsidRDefault="00784FDB" w:rsidP="00236F8C">
            <w:pPr>
              <w:spacing w:after="0"/>
              <w:jc w:val="center"/>
              <w:rPr>
                <w:rFonts w:cs="Arial"/>
                <w:sz w:val="20"/>
                <w:lang w:val="en-GB"/>
              </w:rPr>
            </w:pPr>
            <w:r w:rsidRPr="00784FDB">
              <w:rPr>
                <w:rFonts w:cs="Arial"/>
                <w:sz w:val="20"/>
                <w:lang w:val="en-GB"/>
              </w:rPr>
              <w:t>100 kg</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13CEC730" w14:textId="77777777" w:rsidR="00784FDB" w:rsidRPr="00784FDB" w:rsidRDefault="00784FDB" w:rsidP="00236F8C">
            <w:pPr>
              <w:spacing w:after="0"/>
              <w:jc w:val="center"/>
              <w:rPr>
                <w:rFonts w:cs="Arial"/>
                <w:sz w:val="20"/>
                <w:lang w:val="en-GB"/>
              </w:rPr>
            </w:pPr>
            <w:r w:rsidRPr="00784FDB">
              <w:rPr>
                <w:rFonts w:cs="Arial"/>
                <w:sz w:val="20"/>
                <w:lang w:val="en-GB"/>
              </w:rPr>
              <w:t>90 mg</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7EBC3B00" w14:textId="77777777" w:rsidR="00784FDB" w:rsidRPr="00784FDB" w:rsidRDefault="00784FDB" w:rsidP="00236F8C">
            <w:pPr>
              <w:spacing w:after="0"/>
              <w:jc w:val="center"/>
              <w:rPr>
                <w:rFonts w:cs="Arial"/>
                <w:sz w:val="20"/>
                <w:lang w:val="en-GB"/>
              </w:rPr>
            </w:pPr>
            <w:r w:rsidRPr="00784FDB">
              <w:rPr>
                <w:rFonts w:cs="Arial"/>
                <w:sz w:val="20"/>
                <w:lang w:val="en-GB"/>
              </w:rPr>
              <w:t>18 mL</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1630628B" w14:textId="77777777" w:rsidR="00784FDB" w:rsidRPr="00784FDB" w:rsidRDefault="00784FDB" w:rsidP="00236F8C">
            <w:pPr>
              <w:spacing w:after="0"/>
              <w:jc w:val="center"/>
              <w:rPr>
                <w:rFonts w:cs="Arial"/>
                <w:sz w:val="20"/>
                <w:lang w:val="en-GB"/>
              </w:rPr>
            </w:pPr>
            <w:r w:rsidRPr="00784FDB">
              <w:rPr>
                <w:rFonts w:cs="Arial"/>
                <w:sz w:val="20"/>
                <w:lang w:val="en-GB"/>
              </w:rPr>
              <w:t>1.8 vials</w:t>
            </w:r>
          </w:p>
        </w:tc>
      </w:tr>
      <w:tr w:rsidR="00300DF9" w:rsidRPr="00784FDB" w14:paraId="750AB0F9" w14:textId="77777777" w:rsidTr="00784FDB">
        <w:tc>
          <w:tcPr>
            <w:tcW w:w="179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34B18EC" w14:textId="77777777" w:rsidR="00784FDB" w:rsidRPr="00784FDB" w:rsidRDefault="00784FDB" w:rsidP="00236F8C">
            <w:pPr>
              <w:spacing w:after="0"/>
              <w:jc w:val="center"/>
              <w:rPr>
                <w:rFonts w:cs="Arial"/>
                <w:sz w:val="20"/>
                <w:lang w:val="en-GB"/>
              </w:rPr>
            </w:pPr>
          </w:p>
        </w:tc>
        <w:tc>
          <w:tcPr>
            <w:tcW w:w="955" w:type="dxa"/>
            <w:tcBorders>
              <w:top w:val="nil"/>
              <w:left w:val="nil"/>
              <w:bottom w:val="single" w:sz="8" w:space="0" w:color="auto"/>
              <w:right w:val="single" w:sz="8" w:space="0" w:color="auto"/>
            </w:tcBorders>
            <w:tcMar>
              <w:top w:w="0" w:type="dxa"/>
              <w:left w:w="108" w:type="dxa"/>
              <w:bottom w:w="0" w:type="dxa"/>
              <w:right w:w="108" w:type="dxa"/>
            </w:tcMar>
            <w:hideMark/>
          </w:tcPr>
          <w:p w14:paraId="6307E921" w14:textId="26C77907" w:rsidR="00784FDB" w:rsidRPr="00784FDB" w:rsidRDefault="00784FDB" w:rsidP="00236F8C">
            <w:pPr>
              <w:spacing w:after="0"/>
              <w:jc w:val="center"/>
              <w:rPr>
                <w:rFonts w:cs="Arial"/>
                <w:sz w:val="20"/>
                <w:lang w:val="en-GB"/>
              </w:rPr>
            </w:pPr>
            <w:r w:rsidRPr="00784FDB">
              <w:rPr>
                <w:rFonts w:cs="Arial"/>
                <w:sz w:val="20"/>
                <w:lang w:val="en-GB"/>
              </w:rPr>
              <w:t>120 </w:t>
            </w:r>
            <w:proofErr w:type="spellStart"/>
            <w:r w:rsidRPr="00784FDB">
              <w:rPr>
                <w:rFonts w:cs="Arial"/>
                <w:sz w:val="20"/>
                <w:lang w:val="en-GB"/>
              </w:rPr>
              <w:t>kg</w:t>
            </w:r>
            <w:r w:rsidR="00FB66E5">
              <w:rPr>
                <w:rFonts w:cs="Arial"/>
                <w:sz w:val="20"/>
                <w:vertAlign w:val="superscript"/>
                <w:lang w:val="en-GB"/>
              </w:rPr>
              <w:t>b</w:t>
            </w:r>
            <w:proofErr w:type="spellEnd"/>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41877732" w14:textId="77777777" w:rsidR="00784FDB" w:rsidRPr="00784FDB" w:rsidRDefault="00784FDB" w:rsidP="00236F8C">
            <w:pPr>
              <w:spacing w:after="0"/>
              <w:jc w:val="center"/>
              <w:rPr>
                <w:rFonts w:cs="Arial"/>
                <w:sz w:val="20"/>
                <w:lang w:val="en-GB"/>
              </w:rPr>
            </w:pPr>
            <w:r w:rsidRPr="00784FDB">
              <w:rPr>
                <w:rFonts w:cs="Arial"/>
                <w:sz w:val="20"/>
                <w:lang w:val="en-GB"/>
              </w:rPr>
              <w:t>90 mg</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04F49BB3" w14:textId="77777777" w:rsidR="00784FDB" w:rsidRPr="00784FDB" w:rsidRDefault="00784FDB" w:rsidP="00236F8C">
            <w:pPr>
              <w:spacing w:after="0"/>
              <w:jc w:val="center"/>
              <w:rPr>
                <w:rFonts w:cs="Arial"/>
                <w:sz w:val="20"/>
                <w:lang w:val="en-GB"/>
              </w:rPr>
            </w:pPr>
            <w:r w:rsidRPr="00784FDB">
              <w:rPr>
                <w:rFonts w:cs="Arial"/>
                <w:sz w:val="20"/>
                <w:lang w:val="en-GB"/>
              </w:rPr>
              <w:t>18 mL</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3705D009" w14:textId="77777777" w:rsidR="00784FDB" w:rsidRPr="00784FDB" w:rsidRDefault="00784FDB" w:rsidP="00236F8C">
            <w:pPr>
              <w:spacing w:after="0"/>
              <w:jc w:val="center"/>
              <w:rPr>
                <w:rFonts w:cs="Arial"/>
                <w:sz w:val="20"/>
                <w:lang w:val="en-GB"/>
              </w:rPr>
            </w:pPr>
            <w:r w:rsidRPr="00784FDB">
              <w:rPr>
                <w:rFonts w:cs="Arial"/>
                <w:sz w:val="20"/>
                <w:lang w:val="en-GB"/>
              </w:rPr>
              <w:t>1.8 vials</w:t>
            </w:r>
          </w:p>
        </w:tc>
      </w:tr>
    </w:tbl>
    <w:p w14:paraId="6EBCC1DB" w14:textId="59D6680E" w:rsidR="00FB66E5" w:rsidRPr="00FB66E5" w:rsidRDefault="00FB66E5" w:rsidP="00FB66E5">
      <w:pPr>
        <w:pStyle w:val="Paragraph"/>
        <w:numPr>
          <w:ilvl w:val="0"/>
          <w:numId w:val="37"/>
        </w:numPr>
        <w:spacing w:after="0"/>
        <w:ind w:left="357" w:hanging="357"/>
        <w:rPr>
          <w:rFonts w:ascii="Arial" w:hAnsi="Arial" w:cs="Arial"/>
          <w:sz w:val="20"/>
          <w:szCs w:val="20"/>
          <w:lang w:val="en-GB"/>
        </w:rPr>
      </w:pPr>
      <w:r w:rsidRPr="00FB66E5">
        <w:rPr>
          <w:rFonts w:ascii="Arial" w:hAnsi="Arial" w:cs="Arial"/>
          <w:sz w:val="20"/>
          <w:szCs w:val="20"/>
          <w:lang w:val="en-GB"/>
        </w:rPr>
        <w:t>To be diluted in 150 mL of diluent and administered by intravenous infusion over 30 minutes.</w:t>
      </w:r>
    </w:p>
    <w:p w14:paraId="31050CFA" w14:textId="22BF9201" w:rsidR="0080169F" w:rsidRDefault="00FB66E5" w:rsidP="00FB66E5">
      <w:pPr>
        <w:pStyle w:val="Paragraph"/>
        <w:numPr>
          <w:ilvl w:val="0"/>
          <w:numId w:val="37"/>
        </w:numPr>
        <w:spacing w:after="0"/>
        <w:ind w:left="357" w:hanging="357"/>
        <w:rPr>
          <w:rFonts w:ascii="Arial" w:hAnsi="Arial" w:cs="Arial"/>
          <w:sz w:val="20"/>
          <w:szCs w:val="20"/>
          <w:lang w:val="en-GB"/>
        </w:rPr>
      </w:pPr>
      <w:r w:rsidRPr="00FB66E5">
        <w:rPr>
          <w:rFonts w:ascii="Arial" w:hAnsi="Arial" w:cs="Arial"/>
          <w:sz w:val="20"/>
          <w:szCs w:val="20"/>
          <w:lang w:val="en-GB"/>
        </w:rPr>
        <w:t>If patient’s weight is more than 100 kg, the dose calculation should use 100 kg.</w:t>
      </w:r>
    </w:p>
    <w:p w14:paraId="33A27628" w14:textId="77777777" w:rsidR="00FB66E5" w:rsidRPr="00FB66E5" w:rsidRDefault="00FB66E5" w:rsidP="00FB66E5">
      <w:pPr>
        <w:pStyle w:val="Paragraph"/>
        <w:spacing w:after="0"/>
        <w:ind w:left="357"/>
        <w:rPr>
          <w:rFonts w:ascii="Arial" w:hAnsi="Arial" w:cs="Arial"/>
          <w:sz w:val="20"/>
          <w:szCs w:val="20"/>
          <w:lang w:val="en-GB"/>
        </w:rPr>
      </w:pPr>
    </w:p>
    <w:p w14:paraId="1038EE72" w14:textId="2DCBEBB1" w:rsidR="003301BE" w:rsidRDefault="003301BE" w:rsidP="000550D7">
      <w:pPr>
        <w:pStyle w:val="Heading1"/>
        <w:numPr>
          <w:ilvl w:val="1"/>
          <w:numId w:val="21"/>
        </w:numPr>
        <w:tabs>
          <w:tab w:val="left" w:pos="567"/>
        </w:tabs>
        <w:ind w:left="567" w:hanging="567"/>
      </w:pPr>
      <w:r>
        <w:lastRenderedPageBreak/>
        <w:t xml:space="preserve">CONTRAINDICATIONS </w:t>
      </w:r>
    </w:p>
    <w:p w14:paraId="73203B84" w14:textId="77777777" w:rsidR="00CD67C7" w:rsidRDefault="00CD67C7" w:rsidP="00133615">
      <w:pPr>
        <w:spacing w:after="120"/>
      </w:pPr>
      <w:r>
        <w:t xml:space="preserve">Hypersensitivity to the active substance or to any of the excipients (see </w:t>
      </w:r>
      <w:r w:rsidR="00C560EE">
        <w:t>List of Excipients</w:t>
      </w:r>
      <w:r>
        <w:t xml:space="preserve">). </w:t>
      </w:r>
    </w:p>
    <w:p w14:paraId="36982852" w14:textId="77777777" w:rsidR="00217334" w:rsidRPr="00217334" w:rsidRDefault="00CD67C7" w:rsidP="00CD67C7">
      <w:pPr>
        <w:rPr>
          <w:highlight w:val="yellow"/>
        </w:rPr>
      </w:pPr>
      <w:r>
        <w:t>Combined use of bleomycin and ADCETRIS causes pulmonary toxicity.</w:t>
      </w:r>
      <w:r w:rsidR="003301BE" w:rsidRPr="00217334">
        <w:rPr>
          <w:highlight w:val="yellow"/>
        </w:rPr>
        <w:t xml:space="preserve"> </w:t>
      </w:r>
    </w:p>
    <w:p w14:paraId="064FA4E3" w14:textId="77777777" w:rsidR="00217334" w:rsidRDefault="003301BE" w:rsidP="000550D7">
      <w:pPr>
        <w:pStyle w:val="Heading1"/>
        <w:numPr>
          <w:ilvl w:val="1"/>
          <w:numId w:val="21"/>
        </w:numPr>
        <w:tabs>
          <w:tab w:val="left" w:pos="567"/>
        </w:tabs>
        <w:ind w:left="567" w:hanging="567"/>
      </w:pPr>
      <w:r>
        <w:t xml:space="preserve">SPECIAL WARNINGS AND PRECAUTIONS FOR USE </w:t>
      </w:r>
    </w:p>
    <w:p w14:paraId="38755CCD" w14:textId="77777777" w:rsidR="00DD3C32" w:rsidRPr="00DD3C32" w:rsidRDefault="00DD3C32" w:rsidP="007059A5">
      <w:pPr>
        <w:pStyle w:val="Heading2"/>
      </w:pPr>
      <w:r w:rsidRPr="00DD3C32">
        <w:t>Progressive multifocal leukoencephalopathy</w:t>
      </w:r>
    </w:p>
    <w:p w14:paraId="0975F121" w14:textId="77777777" w:rsidR="00DD3C32" w:rsidRDefault="00DD3C32" w:rsidP="00133615">
      <w:pPr>
        <w:spacing w:after="60"/>
      </w:pPr>
      <w:r>
        <w:t xml:space="preserve">John Cunningham virus (JCV) reactivation resulting in progressive multifocal leukoencephalopathy (PML) and death can occur in ADCETRIS-treated patients. PML has been reported in patients who received this treatment after receiving multiple prior chemotherapy regimens. PML is a rare demyelinating disease of the central nervous system that results from reactivation of latent JCV and is often fatal. </w:t>
      </w:r>
    </w:p>
    <w:p w14:paraId="0CB02B80" w14:textId="77777777" w:rsidR="00DD3C32" w:rsidRDefault="00DD3C32" w:rsidP="00133615">
      <w:pPr>
        <w:spacing w:after="60"/>
      </w:pPr>
      <w:r>
        <w:t>Patients should be closely monitored for new or worsening neurological, cognitive, or behavioural signs or symptoms, which may be suggestive of PML. ADCETRIS dosing should be held for any suspected case of PML. Suggested evaluation of PML includes neurology consultation, gadolinium-enhanced magnetic resonance imaging of the brain and cerebrospinal fluid analysis for JCV DNA by polymerase chain reaction or a brain biopsy with evidence of JCV. A negative JCV PCR does not exclude PML. Additional follow up and evaluation may be warranted if no alternative diagnosis can be established. ADCETRIS dosing should be permanently discontinued if a diagnosis of PML is confirmed.</w:t>
      </w:r>
    </w:p>
    <w:p w14:paraId="5D817CEE" w14:textId="77777777" w:rsidR="00217334" w:rsidRPr="00301A11" w:rsidRDefault="00DD3C32" w:rsidP="00DD3C32">
      <w:r>
        <w:t>The physician should be particularly alert to symptoms suggestive of PML that the patient may not notice (e.g., cognitive, neurological, or psychiatric symptoms).</w:t>
      </w:r>
      <w:r w:rsidR="00217334" w:rsidRPr="00301A11">
        <w:t xml:space="preserve"> </w:t>
      </w:r>
    </w:p>
    <w:p w14:paraId="4BA28F7A" w14:textId="77777777" w:rsidR="00301A11" w:rsidRDefault="00301A11" w:rsidP="007059A5">
      <w:pPr>
        <w:pStyle w:val="Heading2"/>
      </w:pPr>
      <w:r>
        <w:t>Pulmonary Toxicity</w:t>
      </w:r>
    </w:p>
    <w:p w14:paraId="36670D11" w14:textId="77777777" w:rsidR="00301A11" w:rsidRDefault="00301A11" w:rsidP="00133615">
      <w:pPr>
        <w:spacing w:after="60"/>
      </w:pPr>
      <w:r>
        <w:t>Cases of pulmonary toxicity including pneumonitis, interstitial lung disease, and acute respiratory</w:t>
      </w:r>
      <w:r w:rsidR="00637B32">
        <w:t xml:space="preserve"> </w:t>
      </w:r>
      <w:r>
        <w:t xml:space="preserve">distress syndrome (ARDS), some with fatal outcomes, have been reported in patients receiving ADCETRIS. Although a causal association with ADCETRIS has not been established, the risk of pulmonary toxicity cannot be ruled out. </w:t>
      </w:r>
    </w:p>
    <w:p w14:paraId="2A6D2589" w14:textId="77777777" w:rsidR="00301A11" w:rsidRDefault="00301A11" w:rsidP="00133615">
      <w:pPr>
        <w:spacing w:after="60"/>
      </w:pPr>
      <w:r>
        <w:t xml:space="preserve">Cases of pulmonary toxicity </w:t>
      </w:r>
      <w:proofErr w:type="gramStart"/>
      <w:r>
        <w:t>most commonly developed</w:t>
      </w:r>
      <w:proofErr w:type="gramEnd"/>
      <w:r>
        <w:t xml:space="preserve"> during the first 5 cycles of ADCETRIS and presented with cough, dyspnoea and interstitial lung infiltrates on radiological studies. Severity has been variable, with increased severity more likely with early onset. Some cases in which pneumonitis developed after the first cycle of ADCETRIS have had a fulminant course, requiring mechanical ventilation, treatment with high dose systemic corticosteroids and discontinuation of ADCETRIS. Some of these cases have had fatal outcome despite these measures; in others, the pneumonitis has resolved and treatment with ADCETRIS was resumed without recurrence of pneumonitis. Non-serious cases were more likely to occur after 3-5 cycles. These have been variably managed with ADCETRIS continued or dose delay or discontinuation. Corticosteroids were not administered and in many of these patients the pneumonitis did not resolve.</w:t>
      </w:r>
    </w:p>
    <w:p w14:paraId="3845C2E0" w14:textId="77777777" w:rsidR="00301A11" w:rsidRDefault="00301A11" w:rsidP="00301A11">
      <w:r>
        <w:t>In the event of new or worsening symptoms that are rapidly progressive or occur in the first one to two cycles, ADCETRIS should be with-held and treatment with systemic corticosteroids commenced. If full resolution occurs, resumption of ADCETRIS treatment may be considered. If the presentation is non-serious with onset after several cycles of ADCETRIS, management may be by dose delay. Systemic corticosteroids may be considered.</w:t>
      </w:r>
    </w:p>
    <w:p w14:paraId="6751D780" w14:textId="77777777" w:rsidR="00F92D27" w:rsidRDefault="00F92D27" w:rsidP="007059A5">
      <w:pPr>
        <w:pStyle w:val="Heading2"/>
      </w:pPr>
      <w:r>
        <w:t>Pancreatitis</w:t>
      </w:r>
    </w:p>
    <w:p w14:paraId="49C53852" w14:textId="77777777" w:rsidR="00F92D27" w:rsidRDefault="00F92D27" w:rsidP="00133615">
      <w:pPr>
        <w:spacing w:after="60"/>
      </w:pPr>
      <w:r>
        <w:t xml:space="preserve">Acute pancreatitis has been observed in patients treated with ADCETRIS. Fatal outcomes have been reported. Patients should be closely monitored for new or worsening abdominal pain, which may be suggestive of acute pancreatitis. Patient evaluation may include physical examination, laboratory evaluation for serum amylase and serum lipase, and abdominal imaging, such as </w:t>
      </w:r>
      <w:r>
        <w:lastRenderedPageBreak/>
        <w:t>ultrasound and other appropriate diagnostic measures. ADCETRIS should be held for any suspected case of acute pancreatitis.</w:t>
      </w:r>
    </w:p>
    <w:p w14:paraId="2E0E6E11" w14:textId="77777777" w:rsidR="00F92D27" w:rsidRDefault="00F92D27" w:rsidP="00F92D27">
      <w:r>
        <w:t>ADCETRIS should be discontinued if a diagnosis of acute pancreatitis is confirmed.</w:t>
      </w:r>
    </w:p>
    <w:p w14:paraId="7AA15891" w14:textId="77777777" w:rsidR="00F92D27" w:rsidRDefault="00F92D27" w:rsidP="007059A5">
      <w:pPr>
        <w:pStyle w:val="Heading2"/>
      </w:pPr>
      <w:r>
        <w:t>Serious infections and opportunistic infections</w:t>
      </w:r>
    </w:p>
    <w:p w14:paraId="1ACF9D14" w14:textId="77777777" w:rsidR="00F92D27" w:rsidRDefault="00F92D27" w:rsidP="00F92D27">
      <w:r>
        <w:t xml:space="preserve">Serious infections such as pneumonia, staphylococcal bacteraemia, sepsis/septic shock (including fatal outcomes) and herpes zoster, </w:t>
      </w:r>
      <w:r w:rsidR="00FF6828">
        <w:t>cytomeg</w:t>
      </w:r>
      <w:r w:rsidR="00B22A6F">
        <w:t xml:space="preserve">alovirus (CMV) (reactivation) </w:t>
      </w:r>
      <w:r>
        <w:t xml:space="preserve">and opportunistic infections such as Pneumocystis </w:t>
      </w:r>
      <w:proofErr w:type="spellStart"/>
      <w:r>
        <w:t>jiroveci</w:t>
      </w:r>
      <w:proofErr w:type="spellEnd"/>
      <w:r>
        <w:t xml:space="preserve"> pneumonia and oral candidiasis have been reported in patients treated with ADCETRIS. Patients should be carefully monitored during treatment for the emergence of possible serious and opportunistic infections.</w:t>
      </w:r>
    </w:p>
    <w:p w14:paraId="29C9B90C" w14:textId="77777777" w:rsidR="00992A4A" w:rsidRPr="005B2D23" w:rsidRDefault="00992A4A" w:rsidP="007059A5">
      <w:pPr>
        <w:pStyle w:val="Heading2"/>
      </w:pPr>
      <w:r w:rsidRPr="005B2D23">
        <w:t>Infusion-related reactions</w:t>
      </w:r>
    </w:p>
    <w:p w14:paraId="3ACCBE5A" w14:textId="77777777" w:rsidR="00992A4A" w:rsidRPr="005B2D23" w:rsidRDefault="00992A4A" w:rsidP="00133615">
      <w:pPr>
        <w:spacing w:after="60"/>
      </w:pPr>
      <w:r w:rsidRPr="005B2D23">
        <w:t xml:space="preserve">Immediate and delayed infusion-related reactions (IRR), as well as anaphylaxis, have been reported. Patients should be carefully monitored during and after infusion. If anaphylaxis occurs, administration of ADCETRIS should be immediately and permanently discontinued and appropriate medical therapy should be administered. If an infusion-related reaction occurs, the infusion should be </w:t>
      </w:r>
      <w:proofErr w:type="gramStart"/>
      <w:r w:rsidRPr="005B2D23">
        <w:t>interrupted</w:t>
      </w:r>
      <w:proofErr w:type="gramEnd"/>
      <w:r w:rsidRPr="005B2D23">
        <w:t xml:space="preserve"> and appropriate medical management instituted. The infusion may be restarted at a slower rate after symptom resolution. Patients who have experienced a prior infusion-related reaction should be pre-medicated for subsequent infusions. Premedication may include paracetamol, an </w:t>
      </w:r>
      <w:proofErr w:type="gramStart"/>
      <w:r w:rsidRPr="005B2D23">
        <w:t>antihistamine</w:t>
      </w:r>
      <w:proofErr w:type="gramEnd"/>
      <w:r w:rsidRPr="005B2D23">
        <w:t xml:space="preserve"> and a corticosteroid. </w:t>
      </w:r>
    </w:p>
    <w:p w14:paraId="5BAF56FD" w14:textId="77777777" w:rsidR="00F92D27" w:rsidRDefault="00992A4A" w:rsidP="00992A4A">
      <w:r w:rsidRPr="005B2D23">
        <w:t xml:space="preserve">Infusion-related reactions are more frequent and more severe in patients with antibodies to ADCETRIS (see </w:t>
      </w:r>
      <w:r w:rsidR="007512E8" w:rsidRPr="005B2D23">
        <w:t xml:space="preserve">4.8 </w:t>
      </w:r>
      <w:r w:rsidRPr="005B2D23">
        <w:t>Adverse Effects).</w:t>
      </w:r>
    </w:p>
    <w:p w14:paraId="70A90F02" w14:textId="77777777" w:rsidR="00992A4A" w:rsidRDefault="00992A4A" w:rsidP="007059A5">
      <w:pPr>
        <w:pStyle w:val="Heading2"/>
      </w:pPr>
      <w:r>
        <w:t>Tumour lysis syndrome</w:t>
      </w:r>
    </w:p>
    <w:p w14:paraId="20B1BD89" w14:textId="77777777" w:rsidR="00992A4A" w:rsidRDefault="00992A4A" w:rsidP="00992A4A">
      <w:r>
        <w:t>Tumour lysis syndrome (TLS) has been reported with ADCETRIS. Patients with rapidly proliferating tumour and high tumour burden are at risk of tumour lysis syndrome. These patients should be monitored closely and managed according to best medical practice. Management of TLS may include aggressive hydration, monitoring of renal function, correction of electrolyte abnormalities, anti-</w:t>
      </w:r>
      <w:proofErr w:type="spellStart"/>
      <w:r>
        <w:t>hyperuricaemic</w:t>
      </w:r>
      <w:proofErr w:type="spellEnd"/>
      <w:r>
        <w:t xml:space="preserve"> therapy, and supportive care.</w:t>
      </w:r>
    </w:p>
    <w:p w14:paraId="5DC0E358" w14:textId="77777777" w:rsidR="00FE3AA5" w:rsidRDefault="00FE3AA5" w:rsidP="007059A5">
      <w:pPr>
        <w:pStyle w:val="Heading2"/>
      </w:pPr>
      <w:r>
        <w:t>Peripheral neuropathy</w:t>
      </w:r>
    </w:p>
    <w:p w14:paraId="4BDE981C" w14:textId="77777777" w:rsidR="00FE3AA5" w:rsidRDefault="00FE3AA5" w:rsidP="00133615">
      <w:pPr>
        <w:spacing w:after="60"/>
      </w:pPr>
      <w:r>
        <w:t xml:space="preserve">ADCETRIS treatment may cause a peripheral neuropathy, both sensory and motor. ADCETRIS-induced peripheral neuropathy is typically an effect of cumulative exposure to this medicinal product and is reversible in most cases with a 16-week median time from onset to resolution. </w:t>
      </w:r>
    </w:p>
    <w:p w14:paraId="357E4EA7" w14:textId="77777777" w:rsidR="00FE3AA5" w:rsidRDefault="00FE3AA5" w:rsidP="00FE3AA5">
      <w:r>
        <w:t xml:space="preserve">In clinical trials, </w:t>
      </w:r>
      <w:proofErr w:type="gramStart"/>
      <w:r>
        <w:t>the majority of</w:t>
      </w:r>
      <w:proofErr w:type="gramEnd"/>
      <w:r>
        <w:t xml:space="preserve"> patients had improvement or resolution of some of their symptoms </w:t>
      </w:r>
      <w:r w:rsidRPr="007512E8">
        <w:t xml:space="preserve">(see </w:t>
      </w:r>
      <w:r w:rsidR="007512E8">
        <w:t xml:space="preserve">4.8 </w:t>
      </w:r>
      <w:r w:rsidRPr="007512E8">
        <w:t>Adverse Effects). Patients should be monitored for symptoms of neuropathy, such as</w:t>
      </w:r>
      <w:r>
        <w:t xml:space="preserve"> hypoesthesia, hyperesthesia, paraesthesia, discomfort, a burning sensation, neuropathic </w:t>
      </w:r>
      <w:proofErr w:type="gramStart"/>
      <w:r>
        <w:t>pain</w:t>
      </w:r>
      <w:proofErr w:type="gramEnd"/>
      <w:r>
        <w:t xml:space="preserve"> or weakness. Patients experiencing new or worsening peripheral neuropathy may require a delay and a dose reduction of ADCETRIS or discontinuation of treatmen</w:t>
      </w:r>
      <w:r w:rsidRPr="007B0BAC">
        <w:t xml:space="preserve">t (see </w:t>
      </w:r>
      <w:r w:rsidR="007B0BAC">
        <w:t xml:space="preserve">4.2 </w:t>
      </w:r>
      <w:r w:rsidRPr="007B0BAC">
        <w:t>Dos</w:t>
      </w:r>
      <w:r w:rsidR="003940C8">
        <w:t>e</w:t>
      </w:r>
      <w:r w:rsidRPr="007B0BAC">
        <w:t xml:space="preserve"> </w:t>
      </w:r>
      <w:r w:rsidR="007B0BAC">
        <w:t xml:space="preserve">and Method </w:t>
      </w:r>
      <w:r w:rsidR="00B55902">
        <w:t xml:space="preserve">of </w:t>
      </w:r>
      <w:r w:rsidR="00B55902" w:rsidRPr="007B0BAC">
        <w:t>Administration</w:t>
      </w:r>
      <w:r w:rsidRPr="007B0BAC">
        <w:t>)</w:t>
      </w:r>
      <w:r>
        <w:t>.</w:t>
      </w:r>
    </w:p>
    <w:p w14:paraId="499C2666" w14:textId="77777777" w:rsidR="001E526E" w:rsidRDefault="001E526E" w:rsidP="007059A5">
      <w:pPr>
        <w:pStyle w:val="Heading2"/>
      </w:pPr>
      <w:r>
        <w:t>Haematological toxicities</w:t>
      </w:r>
    </w:p>
    <w:p w14:paraId="0679E6B5" w14:textId="77777777" w:rsidR="001E526E" w:rsidRDefault="001E526E" w:rsidP="001E526E">
      <w:r>
        <w:t xml:space="preserve">Grade 3 or Grade 4 anaemia, thrombocytopenia, and prolonged (≥1 week) Grade 3 or Grade 4 neutropenia can occur with ADCETRIS. Complete blood counts should be monitored prior to administration of each dose. If Grade 3 or Grade 4 neutropenia develops, refer to </w:t>
      </w:r>
      <w:r w:rsidR="003940C8">
        <w:t xml:space="preserve">4.2 </w:t>
      </w:r>
      <w:r>
        <w:t>Dos</w:t>
      </w:r>
      <w:r w:rsidR="003940C8">
        <w:t>e</w:t>
      </w:r>
      <w:r>
        <w:t xml:space="preserve"> </w:t>
      </w:r>
      <w:r w:rsidR="003940C8">
        <w:t xml:space="preserve">and Method of </w:t>
      </w:r>
      <w:r>
        <w:t>Administration.</w:t>
      </w:r>
    </w:p>
    <w:p w14:paraId="0D946474" w14:textId="77777777" w:rsidR="001E526E" w:rsidRDefault="001E526E" w:rsidP="007059A5">
      <w:pPr>
        <w:pStyle w:val="Heading2"/>
      </w:pPr>
      <w:r>
        <w:t>Febrile neutropenia</w:t>
      </w:r>
    </w:p>
    <w:p w14:paraId="10DE808C" w14:textId="77777777" w:rsidR="001E526E" w:rsidRDefault="001E526E" w:rsidP="00133615">
      <w:pPr>
        <w:spacing w:after="60"/>
      </w:pPr>
      <w:r>
        <w:t>Febrile neutropenia (fever of unknown origin without clinically or microbiologically documented infection with an absolute neutrophil count &lt;1.0 x 10</w:t>
      </w:r>
      <w:r w:rsidRPr="000805B1">
        <w:rPr>
          <w:vertAlign w:val="superscript"/>
        </w:rPr>
        <w:t>9</w:t>
      </w:r>
      <w:r>
        <w:t xml:space="preserve">/L, fever ≥ 38.5°C; ref Common Terminology Criteria for Adverse Events (CTCAE) v3) has been reported with treatment with ADCETRIS. </w:t>
      </w:r>
      <w:r>
        <w:lastRenderedPageBreak/>
        <w:t>Complete blood counts should be monitored prior to administration of each dose of this treatment. Patients should be monitored closely for fever and managed according to best medical practice if febrile neutropenia develops.</w:t>
      </w:r>
    </w:p>
    <w:p w14:paraId="42F63C7F" w14:textId="77777777" w:rsidR="003E495E" w:rsidRDefault="003E495E" w:rsidP="001E526E">
      <w:r w:rsidRPr="003E495E">
        <w:t xml:space="preserve">In combination therapy with </w:t>
      </w:r>
      <w:r w:rsidR="00EA3C3D">
        <w:t xml:space="preserve">AVD or </w:t>
      </w:r>
      <w:r w:rsidRPr="003E495E">
        <w:t xml:space="preserve">CHP, advanced age was a risk factor for febrile neutropenia. When ADCETRIS is administered in combination with </w:t>
      </w:r>
      <w:r w:rsidR="00EA3C3D">
        <w:t xml:space="preserve">AVD or </w:t>
      </w:r>
      <w:r w:rsidRPr="003E495E">
        <w:t>CHP, primary prophylaxis with G</w:t>
      </w:r>
      <w:r w:rsidR="00567BE3">
        <w:t>-</w:t>
      </w:r>
      <w:r w:rsidRPr="003E495E">
        <w:t xml:space="preserve">CSF, </w:t>
      </w:r>
      <w:r w:rsidR="009352E5">
        <w:t xml:space="preserve">beginning with the first dose, </w:t>
      </w:r>
      <w:r w:rsidR="00914406">
        <w:t>is recommended</w:t>
      </w:r>
      <w:r w:rsidR="009352E5">
        <w:t xml:space="preserve"> </w:t>
      </w:r>
      <w:r w:rsidRPr="003E495E">
        <w:t>for all patients regardless of age.</w:t>
      </w:r>
    </w:p>
    <w:p w14:paraId="5950A9EE" w14:textId="64052A46" w:rsidR="00913EA3" w:rsidRDefault="00BC5B55" w:rsidP="007059A5">
      <w:pPr>
        <w:pStyle w:val="Heading2"/>
      </w:pPr>
      <w:bookmarkStart w:id="12" w:name="_Hlk119662279"/>
      <w:r w:rsidRPr="00913EA3">
        <w:t>Severe cutaneous adverse reactions (SCARs)</w:t>
      </w:r>
      <w:bookmarkEnd w:id="12"/>
    </w:p>
    <w:p w14:paraId="537A99BB" w14:textId="1CF81F47" w:rsidR="001E526E" w:rsidRDefault="00BC5B55" w:rsidP="001E526E">
      <w:bookmarkStart w:id="13" w:name="_Hlk119662287"/>
      <w:r>
        <w:t xml:space="preserve">Cases of SCARs, including </w:t>
      </w:r>
      <w:bookmarkEnd w:id="13"/>
      <w:r w:rsidR="001E526E" w:rsidRPr="001E526E">
        <w:t>Stevens-Johnson syndrome (SJS)</w:t>
      </w:r>
      <w:r>
        <w:t>,</w:t>
      </w:r>
      <w:r w:rsidR="001E526E" w:rsidRPr="001E526E">
        <w:t xml:space="preserve"> toxic epidermal necrolysis (TEN) </w:t>
      </w:r>
      <w:bookmarkStart w:id="14" w:name="_Hlk119662319"/>
      <w:r w:rsidRPr="00BC5B55">
        <w:t xml:space="preserve">and drug reaction with eosinophilia and systemic symptoms (DRESS) </w:t>
      </w:r>
      <w:bookmarkEnd w:id="14"/>
      <w:r w:rsidR="001E526E" w:rsidRPr="001E526E">
        <w:t>have been reported with ADCETRIS. Fatal outcomes have been reported</w:t>
      </w:r>
      <w:r>
        <w:t xml:space="preserve"> </w:t>
      </w:r>
      <w:bookmarkStart w:id="15" w:name="_Hlk119662355"/>
      <w:r w:rsidRPr="00BC5B55">
        <w:t>for SJS and TEN</w:t>
      </w:r>
      <w:bookmarkEnd w:id="15"/>
      <w:r w:rsidR="001E526E" w:rsidRPr="001E526E">
        <w:t>. If SJS</w:t>
      </w:r>
      <w:r>
        <w:t>,</w:t>
      </w:r>
      <w:r w:rsidR="001E526E" w:rsidRPr="001E526E">
        <w:t xml:space="preserve"> TEN </w:t>
      </w:r>
      <w:r>
        <w:t xml:space="preserve">or DRESS </w:t>
      </w:r>
      <w:r w:rsidR="001E526E" w:rsidRPr="001E526E">
        <w:t>occur, treatment with ADCETRIS should be discontinued and appropriate medical therapy should be administered.</w:t>
      </w:r>
    </w:p>
    <w:p w14:paraId="216889C1" w14:textId="77777777" w:rsidR="001259CE" w:rsidRDefault="001259CE" w:rsidP="007059A5">
      <w:pPr>
        <w:pStyle w:val="Heading2"/>
      </w:pPr>
      <w:r>
        <w:t>Gastrointestinal complications</w:t>
      </w:r>
    </w:p>
    <w:p w14:paraId="42797D64" w14:textId="77777777" w:rsidR="001E526E" w:rsidRDefault="001259CE" w:rsidP="001259CE">
      <w:r>
        <w:t xml:space="preserve">Serious gastrointestinal (GI) complications including intestinal obstruction, ileus, enterocolitis, </w:t>
      </w:r>
      <w:proofErr w:type="spellStart"/>
      <w:r>
        <w:t>neutropeniccolitis</w:t>
      </w:r>
      <w:proofErr w:type="spellEnd"/>
      <w:r>
        <w:t xml:space="preserve">, erosion, ulcer, </w:t>
      </w:r>
      <w:proofErr w:type="gramStart"/>
      <w:r>
        <w:t>perforation</w:t>
      </w:r>
      <w:proofErr w:type="gramEnd"/>
      <w:r>
        <w:t xml:space="preserve"> and haemorrhage, some with fatal outcomes, have been reported in patients treated with ADCETRIS. Some cases of GI perforations were reported in lymphoma patients with pre-existing GI involvement. In the event of new or worsening GI symptoms, consider withholding ADCETRIS, perform a prompt diagnostic evaluation and treat appropriately.</w:t>
      </w:r>
    </w:p>
    <w:p w14:paraId="49CC3BB8" w14:textId="77777777" w:rsidR="00FE5F07" w:rsidRDefault="00FE5F07" w:rsidP="007059A5">
      <w:pPr>
        <w:pStyle w:val="Heading2"/>
      </w:pPr>
      <w:r>
        <w:t>Hepatotoxicity</w:t>
      </w:r>
    </w:p>
    <w:p w14:paraId="3B1BEC3E" w14:textId="77777777" w:rsidR="001259CE" w:rsidRDefault="00FE5F07" w:rsidP="00133615">
      <w:pPr>
        <w:spacing w:after="60"/>
      </w:pPr>
      <w:r>
        <w:t>Cases of hepatoxicity, ranging from asymptomatic elevations in serum transaminase levels to hepatic failure and fulminant hepatitis have been reported in patients receiving ADCETRIS. These have included fatal outcomes. Pre-existing liver disease, comorbidities, and concomitant medications may increase the risk of serious or fatal hepatotoxicity.</w:t>
      </w:r>
    </w:p>
    <w:p w14:paraId="3942DDAA" w14:textId="77777777" w:rsidR="00FE5F07" w:rsidRDefault="00FE5F07" w:rsidP="00133615">
      <w:pPr>
        <w:spacing w:after="60"/>
      </w:pPr>
      <w:r>
        <w:t xml:space="preserve">Hepatotoxicity most commonly presents as asymptomatic minor elevations in transaminases, although cholestasis has also been reported. In most patients with minor elevations, ADCETRIS was </w:t>
      </w:r>
      <w:proofErr w:type="gramStart"/>
      <w:r>
        <w:t>continued</w:t>
      </w:r>
      <w:proofErr w:type="gramEnd"/>
      <w:r>
        <w:t xml:space="preserve"> and the elevated transaminase levels resolved. Dose delay or reduction or discontinuation has also been described. The use of immunosuppressive drugs, including corticosteroids in the treatment of hepatitis associated with ADCETRIS has not been described.</w:t>
      </w:r>
    </w:p>
    <w:p w14:paraId="553EA61D" w14:textId="77777777" w:rsidR="00FE5F07" w:rsidRDefault="00FE5F07" w:rsidP="00FE5F07">
      <w:r>
        <w:t xml:space="preserve">Liver function should be tested before initiating the treatment and with every cycle during treatment with ADCETRIS. Depending on the severity of the hepatotoxicity event, consider delaying, reducing the </w:t>
      </w:r>
      <w:proofErr w:type="gramStart"/>
      <w:r>
        <w:t>dose</w:t>
      </w:r>
      <w:proofErr w:type="gramEnd"/>
      <w:r>
        <w:t xml:space="preserve"> or discontinuing ADCETRIS (</w:t>
      </w:r>
      <w:r w:rsidRPr="007B0BAC">
        <w:t xml:space="preserve">see </w:t>
      </w:r>
      <w:r w:rsidR="007B0BAC">
        <w:t xml:space="preserve">4.2 </w:t>
      </w:r>
      <w:r w:rsidRPr="007B0BAC">
        <w:t>Dos</w:t>
      </w:r>
      <w:r w:rsidR="003940C8">
        <w:t>e</w:t>
      </w:r>
      <w:r w:rsidRPr="007B0BAC">
        <w:t xml:space="preserve"> and </w:t>
      </w:r>
      <w:r w:rsidR="007B0BAC">
        <w:t xml:space="preserve">Method of </w:t>
      </w:r>
      <w:r w:rsidRPr="007B0BAC">
        <w:t>Administration)</w:t>
      </w:r>
      <w:r>
        <w:t>.</w:t>
      </w:r>
    </w:p>
    <w:p w14:paraId="5F777AD4" w14:textId="77777777" w:rsidR="00FE5F07" w:rsidRDefault="00FE5F07" w:rsidP="007059A5">
      <w:pPr>
        <w:pStyle w:val="Heading2"/>
      </w:pPr>
      <w:r>
        <w:t>Hyperglycaemia</w:t>
      </w:r>
    </w:p>
    <w:p w14:paraId="05AFFE1F" w14:textId="77777777" w:rsidR="00FE5F07" w:rsidRPr="00146162" w:rsidRDefault="00FE5F07" w:rsidP="00FE5F07">
      <w:r>
        <w:t xml:space="preserve">Hyperglycaemia has been reported during clinical trials in patients with an elevated Body Mass Index (BMI) with or without a history of diabetes mellitus. However, any patient who experiences an event of hyperglycaemia should have their serum glucose closely monitored. Anti-diabetic treatment </w:t>
      </w:r>
      <w:r w:rsidRPr="00146162">
        <w:t>should be administered as appropriate.</w:t>
      </w:r>
    </w:p>
    <w:p w14:paraId="4BB49C57" w14:textId="77777777" w:rsidR="00F826F8" w:rsidRDefault="00F826F8" w:rsidP="007059A5">
      <w:pPr>
        <w:pStyle w:val="Heading2"/>
      </w:pPr>
      <w:r w:rsidRPr="00146162">
        <w:t>Long-term safety</w:t>
      </w:r>
    </w:p>
    <w:p w14:paraId="6ADE8E78" w14:textId="77777777" w:rsidR="00FE5F07" w:rsidRDefault="00F826F8" w:rsidP="00F826F8">
      <w:r>
        <w:t>There is insufficient evidence to judge the safety of treatment extended past 12 months.</w:t>
      </w:r>
    </w:p>
    <w:p w14:paraId="770C7BC4" w14:textId="77777777" w:rsidR="00217334" w:rsidRPr="00154865" w:rsidRDefault="00217334" w:rsidP="007059A5">
      <w:pPr>
        <w:pStyle w:val="Heading2"/>
      </w:pPr>
      <w:r w:rsidRPr="00154865">
        <w:t xml:space="preserve">Use in hepatic </w:t>
      </w:r>
      <w:proofErr w:type="gramStart"/>
      <w:r w:rsidRPr="00154865">
        <w:t>impairment</w:t>
      </w:r>
      <w:proofErr w:type="gramEnd"/>
      <w:r w:rsidRPr="00154865">
        <w:t xml:space="preserve"> </w:t>
      </w:r>
    </w:p>
    <w:p w14:paraId="34F4F6E1" w14:textId="153C50AF" w:rsidR="00217334" w:rsidRPr="00154865" w:rsidRDefault="00E94EE7" w:rsidP="003301BE">
      <w:r w:rsidRPr="00154865">
        <w:t xml:space="preserve">An excretion study found that approximately 75% of the clearance of unchanged MMAE is by excretion in the faeces. This is thought to be due to biliary excretion. The liver is a major route of elimination of the unchanged active metabolite MMAE. Limited clinical data from patients who were administered 1.2 mg/kg of ADCETRIS suggest that exposure to MMAE increased approximately 2.3-fold in patients with any degree of hepatic impairment. ADCETRIS should be used with caution in patients with hepatic impairment. Patients should be closely monitored for adverse events. </w:t>
      </w:r>
      <w:r w:rsidRPr="00154865">
        <w:lastRenderedPageBreak/>
        <w:t>Treatment with ADCETRIS should be discontinued in patients with hepatic impairment who are not demonstrating an adequate response to treatment.</w:t>
      </w:r>
      <w:r w:rsidR="00217334" w:rsidRPr="00154865">
        <w:t xml:space="preserve"> </w:t>
      </w:r>
    </w:p>
    <w:p w14:paraId="34AFE623" w14:textId="77777777" w:rsidR="00217334" w:rsidRPr="00217334" w:rsidRDefault="00217334" w:rsidP="007059A5">
      <w:pPr>
        <w:pStyle w:val="Heading2"/>
      </w:pPr>
      <w:r w:rsidRPr="00154865">
        <w:t xml:space="preserve">Use in renal </w:t>
      </w:r>
      <w:proofErr w:type="gramStart"/>
      <w:r w:rsidRPr="00154865">
        <w:t>impairment</w:t>
      </w:r>
      <w:proofErr w:type="gramEnd"/>
      <w:r w:rsidRPr="00217334">
        <w:t xml:space="preserve"> </w:t>
      </w:r>
    </w:p>
    <w:p w14:paraId="5B1CA2BB" w14:textId="77777777" w:rsidR="00217334" w:rsidRPr="009A4BF9" w:rsidRDefault="00E94EE7" w:rsidP="003301BE">
      <w:r w:rsidRPr="00E94EE7">
        <w:t xml:space="preserve">An excretion study found that approximately 25% of the clearance of unchanged MMAE is by excretion in the urine. A study evaluated the PK of brentuximab </w:t>
      </w:r>
      <w:proofErr w:type="spellStart"/>
      <w:r w:rsidRPr="00E94EE7">
        <w:t>vedotin</w:t>
      </w:r>
      <w:proofErr w:type="spellEnd"/>
      <w:r w:rsidRPr="00E94EE7">
        <w:t xml:space="preserve"> and MMAE after the administration of 1.2 mg/kg of ADCETRIS to patients with mild (n=4), moderate (n=3) and severe (n=3) renal impairment. Patients requiring dialysis were excluded from this study.  Compared to patients with normal renal function, MMAE exposure increased approximately 1.9-fold in patients with severe renal impairment (creatinine clearance &lt; 30 ml/min). ADCETRIS should be used with caution in patients with renal impairment. Patients should be closely monitored for adverse events </w:t>
      </w:r>
      <w:r w:rsidRPr="009A4BF9">
        <w:t xml:space="preserve">(see </w:t>
      </w:r>
      <w:r w:rsidR="009A4BF9">
        <w:t xml:space="preserve">4.2 </w:t>
      </w:r>
      <w:r w:rsidRPr="009A4BF9">
        <w:t>Dos</w:t>
      </w:r>
      <w:r w:rsidR="003940C8">
        <w:t>e</w:t>
      </w:r>
      <w:r w:rsidRPr="009A4BF9">
        <w:t xml:space="preserve"> and </w:t>
      </w:r>
      <w:r w:rsidR="009A4BF9">
        <w:t xml:space="preserve">Method of </w:t>
      </w:r>
      <w:r w:rsidRPr="009A4BF9">
        <w:t>Administration).</w:t>
      </w:r>
      <w:r w:rsidR="00217334" w:rsidRPr="009A4BF9">
        <w:t xml:space="preserve"> </w:t>
      </w:r>
    </w:p>
    <w:p w14:paraId="749BCDDA" w14:textId="77777777" w:rsidR="00217334" w:rsidRDefault="00217334" w:rsidP="007059A5">
      <w:pPr>
        <w:pStyle w:val="Heading2"/>
      </w:pPr>
      <w:r w:rsidRPr="00C10402">
        <w:t xml:space="preserve">Use in the </w:t>
      </w:r>
      <w:proofErr w:type="gramStart"/>
      <w:r w:rsidRPr="00C10402">
        <w:t>elderly</w:t>
      </w:r>
      <w:proofErr w:type="gramEnd"/>
      <w:r>
        <w:t xml:space="preserve"> </w:t>
      </w:r>
    </w:p>
    <w:p w14:paraId="18350FF2" w14:textId="77777777" w:rsidR="00217334" w:rsidRDefault="00F74B7B" w:rsidP="00217334">
      <w:r w:rsidRPr="00F74B7B">
        <w:t>Based upon population PK analyses and the similar safety profile in elderly patients with CTCL, no dosage adjustments are required in patients aged 65 and old</w:t>
      </w:r>
      <w:r w:rsidRPr="009A4BF9">
        <w:t xml:space="preserve">er (see </w:t>
      </w:r>
      <w:r w:rsidR="009A4BF9">
        <w:t xml:space="preserve">5.2 </w:t>
      </w:r>
      <w:r w:rsidRPr="009A4BF9">
        <w:t xml:space="preserve">Pharmacokinetic </w:t>
      </w:r>
      <w:r w:rsidR="009A4BF9">
        <w:t>Properties, Pharmacokinetics in S</w:t>
      </w:r>
      <w:r w:rsidRPr="009A4BF9">
        <w:t xml:space="preserve">pecial </w:t>
      </w:r>
      <w:r w:rsidR="009A4BF9">
        <w:t>P</w:t>
      </w:r>
      <w:r w:rsidR="009A4BF9" w:rsidRPr="009A4BF9">
        <w:t>opulation</w:t>
      </w:r>
      <w:r w:rsidR="009A4BF9">
        <w:t>s,</w:t>
      </w:r>
      <w:r w:rsidR="009A4BF9" w:rsidRPr="009A4BF9">
        <w:t xml:space="preserve"> </w:t>
      </w:r>
      <w:r w:rsidRPr="009A4BF9">
        <w:t>Elderly Patients).</w:t>
      </w:r>
    </w:p>
    <w:p w14:paraId="46B1722F" w14:textId="77777777" w:rsidR="00217334" w:rsidRPr="009D1B3F" w:rsidRDefault="00217334" w:rsidP="007059A5">
      <w:pPr>
        <w:pStyle w:val="Heading2"/>
      </w:pPr>
      <w:r w:rsidRPr="009D1B3F">
        <w:t xml:space="preserve">Paediatric use </w:t>
      </w:r>
    </w:p>
    <w:p w14:paraId="589380B0" w14:textId="22AEBC5E" w:rsidR="00AB7625" w:rsidRDefault="00F74B7B" w:rsidP="00AB7625">
      <w:pPr>
        <w:rPr>
          <w:lang w:val="en-NZ"/>
        </w:rPr>
      </w:pPr>
      <w:r w:rsidRPr="009D1B3F">
        <w:t xml:space="preserve">The safety and efficacy of </w:t>
      </w:r>
      <w:r w:rsidR="001C4F05" w:rsidRPr="009D1B3F">
        <w:t xml:space="preserve">ADCETRIS in </w:t>
      </w:r>
      <w:r w:rsidRPr="009D1B3F">
        <w:t xml:space="preserve">children less than 18 years have not yet been established. Clinical studies of ADCETRIS did not include </w:t>
      </w:r>
      <w:proofErr w:type="gramStart"/>
      <w:r w:rsidRPr="009D1B3F">
        <w:t>sufficient numbers of</w:t>
      </w:r>
      <w:proofErr w:type="gramEnd"/>
      <w:r w:rsidRPr="009D1B3F">
        <w:t xml:space="preserve"> subjects </w:t>
      </w:r>
      <w:r w:rsidR="00FD5681" w:rsidRPr="009D1B3F">
        <w:t xml:space="preserve">less than or younger than </w:t>
      </w:r>
      <w:r w:rsidRPr="009D1B3F">
        <w:t xml:space="preserve">18 years of age to determine whether they respond differently from </w:t>
      </w:r>
      <w:r w:rsidR="00FD5681" w:rsidRPr="009D1B3F">
        <w:t xml:space="preserve">adult </w:t>
      </w:r>
      <w:r w:rsidRPr="009D1B3F">
        <w:t>subjects</w:t>
      </w:r>
      <w:r w:rsidR="00FD5681" w:rsidRPr="009D1B3F">
        <w:t xml:space="preserve"> aged 18 years or older</w:t>
      </w:r>
      <w:r w:rsidRPr="009D1B3F">
        <w:t xml:space="preserve">. </w:t>
      </w:r>
      <w:r w:rsidR="00577CA2" w:rsidRPr="009D1B3F">
        <w:t xml:space="preserve">Findings from nonclinical studies that may be relevant to the paediatric population were lymphoid depletion and reduced thymic weight. These observations in nonclinical studies were consistent with the pharmacologic disruption of microtubules caused by MMAE derived from </w:t>
      </w:r>
      <w:r w:rsidR="00F6155A" w:rsidRPr="009D1B3F">
        <w:t>ADCETRIS</w:t>
      </w:r>
      <w:r w:rsidR="00577CA2" w:rsidRPr="009D1B3F">
        <w:t>.</w:t>
      </w:r>
      <w:r w:rsidR="00577CA2" w:rsidRPr="00577CA2">
        <w:rPr>
          <w:lang w:val="en-NZ"/>
        </w:rPr>
        <w:t xml:space="preserve"> </w:t>
      </w:r>
    </w:p>
    <w:p w14:paraId="73E3EE04" w14:textId="77777777" w:rsidR="00217334" w:rsidRDefault="00217334" w:rsidP="00AB7625">
      <w:pPr>
        <w:pStyle w:val="Heading1"/>
        <w:numPr>
          <w:ilvl w:val="1"/>
          <w:numId w:val="21"/>
        </w:numPr>
        <w:tabs>
          <w:tab w:val="left" w:pos="567"/>
        </w:tabs>
        <w:ind w:left="567" w:hanging="567"/>
      </w:pPr>
      <w:r>
        <w:t xml:space="preserve">INTERACTIONS WITH OTHER MEDICINES AND OTHER FORMS OF INTERACTIONS </w:t>
      </w:r>
    </w:p>
    <w:p w14:paraId="0A2F04A5" w14:textId="77777777" w:rsidR="0077619D" w:rsidRDefault="0077619D" w:rsidP="00133615">
      <w:pPr>
        <w:spacing w:after="60"/>
      </w:pPr>
      <w:r>
        <w:t>The combined use of ADCETRIS and bleomycin is associated with pulmonary toxicity and is therefore contrai</w:t>
      </w:r>
      <w:r w:rsidRPr="009A4BF9">
        <w:t xml:space="preserve">ndicated (see </w:t>
      </w:r>
      <w:r w:rsidR="009A4BF9">
        <w:t xml:space="preserve">4.3 </w:t>
      </w:r>
      <w:r w:rsidRPr="009A4BF9">
        <w:t>Contraindications)</w:t>
      </w:r>
      <w:r>
        <w:t>.</w:t>
      </w:r>
    </w:p>
    <w:p w14:paraId="48D1E4B7" w14:textId="77777777" w:rsidR="0077619D" w:rsidRDefault="0077619D" w:rsidP="0077619D">
      <w:r>
        <w:t>There are no drug-drug interactions data available with other chemotherapy regimens.</w:t>
      </w:r>
    </w:p>
    <w:p w14:paraId="374011DA" w14:textId="77777777" w:rsidR="0077619D" w:rsidRDefault="0077619D" w:rsidP="007059A5">
      <w:pPr>
        <w:pStyle w:val="Heading2"/>
      </w:pPr>
      <w:r>
        <w:t xml:space="preserve">Interaction with medicinal products </w:t>
      </w:r>
      <w:r w:rsidR="00E75975">
        <w:t xml:space="preserve">metabolised </w:t>
      </w:r>
      <w:r>
        <w:t>through CYP3A4 route (CYP3A4 inhibitors/inducers)</w:t>
      </w:r>
    </w:p>
    <w:p w14:paraId="2FF9BC13" w14:textId="77777777" w:rsidR="0077619D" w:rsidRDefault="0077619D" w:rsidP="00133615">
      <w:pPr>
        <w:spacing w:after="60"/>
      </w:pPr>
      <w:r>
        <w:t>Co-administration of ADCETRIS with ketoconazole, a strong CYP3A4 and P-</w:t>
      </w:r>
      <w:proofErr w:type="spellStart"/>
      <w:r>
        <w:t>gp</w:t>
      </w:r>
      <w:proofErr w:type="spellEnd"/>
      <w:r>
        <w:t xml:space="preserve"> inhibitor, increased the exposure to the </w:t>
      </w:r>
      <w:proofErr w:type="spellStart"/>
      <w:r>
        <w:t>antimicrotubule</w:t>
      </w:r>
      <w:proofErr w:type="spellEnd"/>
      <w:r>
        <w:t xml:space="preserve"> agent MMAE by approximately 73%, and did not alter the plasma exposure to ADCETRIS. Therefore, co-administration of ADCETRIS with strong CYP3A4 and P-</w:t>
      </w:r>
      <w:proofErr w:type="spellStart"/>
      <w:r>
        <w:t>gp</w:t>
      </w:r>
      <w:proofErr w:type="spellEnd"/>
      <w:r>
        <w:t xml:space="preserve"> inhibitors may increase the incidence of neutropenia. If neutropenia </w:t>
      </w:r>
      <w:r w:rsidRPr="009A4BF9">
        <w:t xml:space="preserve">develops see </w:t>
      </w:r>
      <w:r w:rsidR="009A4BF9">
        <w:t xml:space="preserve">4.2 </w:t>
      </w:r>
      <w:r w:rsidRPr="009A4BF9">
        <w:t>Dos</w:t>
      </w:r>
      <w:r w:rsidR="003940C8">
        <w:t>e</w:t>
      </w:r>
      <w:r w:rsidRPr="009A4BF9">
        <w:t xml:space="preserve"> </w:t>
      </w:r>
      <w:r w:rsidR="009A4BF9">
        <w:t>and Method of</w:t>
      </w:r>
      <w:r w:rsidR="009A4BF9" w:rsidRPr="009A4BF9">
        <w:t xml:space="preserve"> </w:t>
      </w:r>
      <w:r w:rsidRPr="009A4BF9">
        <w:t>Administration.</w:t>
      </w:r>
      <w:r>
        <w:t xml:space="preserve"> </w:t>
      </w:r>
    </w:p>
    <w:p w14:paraId="1AB1039D" w14:textId="77777777" w:rsidR="0077619D" w:rsidRDefault="0077619D" w:rsidP="00133615">
      <w:pPr>
        <w:spacing w:after="60"/>
      </w:pPr>
      <w:r>
        <w:t xml:space="preserve">Co-administration of ADCETRIS with rifampicin, a strong CYP3A4 inducer, did not alter the plasma exposure to brentuximab </w:t>
      </w:r>
      <w:proofErr w:type="spellStart"/>
      <w:r>
        <w:t>vedotin</w:t>
      </w:r>
      <w:proofErr w:type="spellEnd"/>
      <w:r>
        <w:t xml:space="preserve">; </w:t>
      </w:r>
      <w:proofErr w:type="gramStart"/>
      <w:r>
        <w:t>however</w:t>
      </w:r>
      <w:proofErr w:type="gramEnd"/>
      <w:r>
        <w:t xml:space="preserve"> it reduced exposure to MMAE by approximately 31%.  </w:t>
      </w:r>
    </w:p>
    <w:p w14:paraId="13E4684B" w14:textId="77777777" w:rsidR="0077619D" w:rsidRDefault="0077619D" w:rsidP="0077619D">
      <w:r>
        <w:t xml:space="preserve">Co-administration of midazolam, a CYP3A4 substrate, with ADCETRIS did not alter the metabolism of midazolam; </w:t>
      </w:r>
      <w:proofErr w:type="gramStart"/>
      <w:r>
        <w:t>therefore</w:t>
      </w:r>
      <w:proofErr w:type="gramEnd"/>
      <w:r>
        <w:t xml:space="preserve"> ADCETRIS is not expected to alter the exposure to medicines that are </w:t>
      </w:r>
      <w:r w:rsidR="00E75975">
        <w:t xml:space="preserve">metabolised </w:t>
      </w:r>
      <w:r>
        <w:t>by CYP3A4 enzymes.</w:t>
      </w:r>
    </w:p>
    <w:p w14:paraId="3C81B8F2" w14:textId="53A2841F" w:rsidR="009D1D5B" w:rsidRDefault="009D1D5B" w:rsidP="007059A5">
      <w:pPr>
        <w:pStyle w:val="Heading2"/>
      </w:pPr>
      <w:r w:rsidRPr="009D1D5B">
        <w:t xml:space="preserve">Doxorubicin, </w:t>
      </w:r>
      <w:r w:rsidR="00846CBD">
        <w:t>v</w:t>
      </w:r>
      <w:r w:rsidRPr="009D1D5B">
        <w:t xml:space="preserve">inblastine and </w:t>
      </w:r>
      <w:r w:rsidR="00846CBD">
        <w:t>d</w:t>
      </w:r>
      <w:r w:rsidRPr="009D1D5B">
        <w:t>acarbazine</w:t>
      </w:r>
    </w:p>
    <w:p w14:paraId="57A1027D" w14:textId="1D5F23B8" w:rsidR="009D1D5B" w:rsidRDefault="009D1D5B" w:rsidP="009D1D5B">
      <w:r>
        <w:t xml:space="preserve">The serum and plasma pharmacokinetic characteristics of </w:t>
      </w:r>
      <w:r w:rsidR="0066754A" w:rsidRPr="0066754A">
        <w:t>antibody drug conjugate</w:t>
      </w:r>
      <w:r>
        <w:t xml:space="preserve"> and MMAE</w:t>
      </w:r>
      <w:r w:rsidR="0066754A">
        <w:t>,</w:t>
      </w:r>
      <w:r>
        <w:t xml:space="preserve"> respectively</w:t>
      </w:r>
      <w:r w:rsidR="0066754A">
        <w:t>,</w:t>
      </w:r>
      <w:r>
        <w:t xml:space="preserve"> following administration of </w:t>
      </w:r>
      <w:r w:rsidR="0066754A">
        <w:t xml:space="preserve">brentuximab </w:t>
      </w:r>
      <w:proofErr w:type="spellStart"/>
      <w:r w:rsidR="0066754A">
        <w:t>vedotin</w:t>
      </w:r>
      <w:proofErr w:type="spellEnd"/>
      <w:r w:rsidR="0066754A">
        <w:t xml:space="preserve"> </w:t>
      </w:r>
      <w:r>
        <w:t xml:space="preserve">in combination </w:t>
      </w:r>
      <w:r w:rsidR="0066754A">
        <w:t>with AVD</w:t>
      </w:r>
      <w:r>
        <w:t xml:space="preserve"> were </w:t>
      </w:r>
      <w:proofErr w:type="gramStart"/>
      <w:r>
        <w:t>similar</w:t>
      </w:r>
      <w:r w:rsidR="007E6627">
        <w:t xml:space="preserve"> </w:t>
      </w:r>
      <w:r>
        <w:t>to</w:t>
      </w:r>
      <w:proofErr w:type="gramEnd"/>
      <w:r>
        <w:t xml:space="preserve"> that in monotherapy. </w:t>
      </w:r>
    </w:p>
    <w:p w14:paraId="56E968CC" w14:textId="77777777" w:rsidR="009D1D5B" w:rsidRPr="009D1D5B" w:rsidRDefault="009D1D5B" w:rsidP="009D1D5B">
      <w:r>
        <w:lastRenderedPageBreak/>
        <w:t xml:space="preserve">Co-administration of ADCETRIS did not affect the plasma exposure of </w:t>
      </w:r>
      <w:r w:rsidR="0066754A">
        <w:t>AVD.</w:t>
      </w:r>
    </w:p>
    <w:p w14:paraId="53664FD2" w14:textId="77777777" w:rsidR="00DF2684" w:rsidRDefault="00DF2684" w:rsidP="007059A5">
      <w:pPr>
        <w:pStyle w:val="Heading2"/>
      </w:pPr>
      <w:r>
        <w:t xml:space="preserve">Cyclophosphamide, Doxorubicin, and Prednisone </w:t>
      </w:r>
    </w:p>
    <w:p w14:paraId="171112D8" w14:textId="77777777" w:rsidR="00DF2684" w:rsidRDefault="00DF2684" w:rsidP="00DF2684">
      <w:r>
        <w:t xml:space="preserve">The serum and plasma pharmacokinetic characteristics of </w:t>
      </w:r>
      <w:r w:rsidRPr="00DF2684">
        <w:t xml:space="preserve">antibody drug conjugate </w:t>
      </w:r>
      <w:r>
        <w:t xml:space="preserve">and MMAE, respectively, following administration of brentuximab </w:t>
      </w:r>
      <w:proofErr w:type="spellStart"/>
      <w:r>
        <w:t>vedotin</w:t>
      </w:r>
      <w:proofErr w:type="spellEnd"/>
      <w:r>
        <w:t xml:space="preserve"> in combination with CHP were </w:t>
      </w:r>
      <w:proofErr w:type="gramStart"/>
      <w:r>
        <w:t>similar to</w:t>
      </w:r>
      <w:proofErr w:type="gramEnd"/>
      <w:r>
        <w:t xml:space="preserve"> that in monotherapy.</w:t>
      </w:r>
    </w:p>
    <w:p w14:paraId="050C9CFF" w14:textId="77777777" w:rsidR="0077619D" w:rsidRDefault="0077619D" w:rsidP="007059A5">
      <w:pPr>
        <w:pStyle w:val="Heading2"/>
      </w:pPr>
      <w:r>
        <w:t>Co-administration with other CYP substrates</w:t>
      </w:r>
    </w:p>
    <w:p w14:paraId="4FEFA2C6" w14:textId="77777777" w:rsidR="0077619D" w:rsidRDefault="0077619D" w:rsidP="0077619D">
      <w:r w:rsidRPr="001238E1">
        <w:rPr>
          <w:i/>
        </w:rPr>
        <w:t>In vitro</w:t>
      </w:r>
      <w:r>
        <w:t xml:space="preserve"> studies indicated that clinical drug-drug interactions are unlikely to occur </w:t>
      </w:r>
      <w:proofErr w:type="gramStart"/>
      <w:r>
        <w:t>as a result of</w:t>
      </w:r>
      <w:proofErr w:type="gramEnd"/>
      <w:r>
        <w:t xml:space="preserve"> MMAE-mediated inhibition or induction of CYP1A2, CYP2B6, CYP2C8, CYP2C9, CYP2C19 or CYP2D6.</w:t>
      </w:r>
    </w:p>
    <w:p w14:paraId="3744725A" w14:textId="77777777" w:rsidR="0077619D" w:rsidRDefault="0077619D" w:rsidP="007059A5">
      <w:pPr>
        <w:pStyle w:val="Heading2"/>
      </w:pPr>
      <w:r>
        <w:t>Co-administration with Drugs that are Substrates of Transporters</w:t>
      </w:r>
    </w:p>
    <w:p w14:paraId="57E3BA2A" w14:textId="77777777" w:rsidR="0077619D" w:rsidRDefault="0077619D" w:rsidP="0077619D">
      <w:r w:rsidRPr="001238E1">
        <w:rPr>
          <w:i/>
        </w:rPr>
        <w:t>In vitro</w:t>
      </w:r>
      <w:r>
        <w:t>, MMAE was not a substrate for the BCRP, MRP2, OATP1B1, OATP1B3, OAT1 or OCT2 transporters.</w:t>
      </w:r>
    </w:p>
    <w:p w14:paraId="5669C46F" w14:textId="77777777" w:rsidR="00217334" w:rsidRDefault="00217334" w:rsidP="000550D7">
      <w:pPr>
        <w:pStyle w:val="Heading1"/>
        <w:numPr>
          <w:ilvl w:val="1"/>
          <w:numId w:val="21"/>
        </w:numPr>
        <w:tabs>
          <w:tab w:val="left" w:pos="567"/>
        </w:tabs>
        <w:ind w:left="567" w:hanging="567"/>
      </w:pPr>
      <w:r>
        <w:t xml:space="preserve">FERTILITY, PREGNANCY AND LACTATION </w:t>
      </w:r>
    </w:p>
    <w:p w14:paraId="32A1B4BC" w14:textId="77777777" w:rsidR="00217334" w:rsidRDefault="00217334" w:rsidP="007059A5">
      <w:pPr>
        <w:pStyle w:val="Heading2"/>
      </w:pPr>
      <w:r w:rsidRPr="00217334">
        <w:t xml:space="preserve">Effects on fertility </w:t>
      </w:r>
    </w:p>
    <w:p w14:paraId="009F650C" w14:textId="77777777" w:rsidR="008D0543" w:rsidRDefault="008D0543" w:rsidP="00133615">
      <w:pPr>
        <w:spacing w:after="60"/>
      </w:pPr>
      <w:r>
        <w:t xml:space="preserve">The effects of ADCETRIS on human male and female fertility have not been studied. </w:t>
      </w:r>
    </w:p>
    <w:p w14:paraId="7DF41B2D" w14:textId="77777777" w:rsidR="008D0543" w:rsidRDefault="008D0543" w:rsidP="00133615">
      <w:pPr>
        <w:spacing w:after="60"/>
      </w:pPr>
      <w:r>
        <w:t xml:space="preserve">However, results from toxicity studies in rats indicate the potential for brentuximab </w:t>
      </w:r>
      <w:proofErr w:type="spellStart"/>
      <w:r>
        <w:t>vedotin</w:t>
      </w:r>
      <w:proofErr w:type="spellEnd"/>
      <w:r>
        <w:t xml:space="preserve"> to impair male reproductive function and fertility. Seminiferous tubule degeneration, </w:t>
      </w:r>
      <w:proofErr w:type="spellStart"/>
      <w:r>
        <w:t>sertoli</w:t>
      </w:r>
      <w:proofErr w:type="spellEnd"/>
      <w:r>
        <w:t xml:space="preserve"> cell vacuolation, reduced spermatogenesis and aspermia were observed in male rats that received weekly IV injections of ≥ 5 mg/kg brentuximab </w:t>
      </w:r>
      <w:proofErr w:type="spellStart"/>
      <w:r>
        <w:t>vedotin</w:t>
      </w:r>
      <w:proofErr w:type="spellEnd"/>
      <w:r>
        <w:t xml:space="preserve">. The no effect dose (0.5 mg/kg) is below the recommended human dose of 1.8 mg/kg based on body weight. Testicular atrophy and degeneration had not fully reversed following a 16-week treatment-free period. MMAE, the main active metabolite of brentuximab </w:t>
      </w:r>
      <w:proofErr w:type="spellStart"/>
      <w:r>
        <w:t>vedotin</w:t>
      </w:r>
      <w:proofErr w:type="spellEnd"/>
      <w:r>
        <w:t xml:space="preserve">, has been shown to have </w:t>
      </w:r>
      <w:proofErr w:type="spellStart"/>
      <w:r>
        <w:t>aneugenic</w:t>
      </w:r>
      <w:proofErr w:type="spellEnd"/>
      <w:r>
        <w:t xml:space="preserve"> properties in an </w:t>
      </w:r>
      <w:r w:rsidRPr="001238E1">
        <w:rPr>
          <w:i/>
        </w:rPr>
        <w:t>in vivo</w:t>
      </w:r>
      <w:r>
        <w:t xml:space="preserve"> rat bone marrow micronucleus study. These results were consistent with the pharmacological effect of MMAE on the mitotic apparatus (disruption of the microtubule network) in cells.</w:t>
      </w:r>
    </w:p>
    <w:p w14:paraId="18C398CB" w14:textId="4BDDBD17" w:rsidR="00217334" w:rsidRDefault="008D0543" w:rsidP="008D0543">
      <w:r>
        <w:t xml:space="preserve">Therefore, men being treated with this medicine are advised to have sperm samples frozen and stored before treatment. Men being treated with this medicine are advised not to father a child during treatment and for up to 6 months following the last dose. Effects on spermatogenesis cannot be excluded after a </w:t>
      </w:r>
      <w:r w:rsidR="00CE7708">
        <w:t>6-month</w:t>
      </w:r>
      <w:r>
        <w:t xml:space="preserve"> treatment-free period.</w:t>
      </w:r>
    </w:p>
    <w:p w14:paraId="1D09CC73" w14:textId="4DCB2DD7" w:rsidR="00DB6F55" w:rsidRDefault="00DB6F55" w:rsidP="00DB6F55">
      <w:r>
        <w:t xml:space="preserve">While not observed with </w:t>
      </w:r>
      <w:r w:rsidR="006E4168">
        <w:t xml:space="preserve">brentuximab </w:t>
      </w:r>
      <w:proofErr w:type="spellStart"/>
      <w:r w:rsidR="006E4168">
        <w:t>vedotin</w:t>
      </w:r>
      <w:proofErr w:type="spellEnd"/>
      <w:r>
        <w:t>, ovarian effects were observed in repeat dose toxicity studies of other MMAE-containing ADCs. A mild to moderate decrease in, or absence of, secondary and tertiary ovarian follicles was observed in young female cynomolgus monkeys at doses ≥ 3 mg/kg weekly for 4 weeks. These effects showed evidence of recovery 6 weeks after the end of dosing and no changes were observed in primordial follicles.</w:t>
      </w:r>
    </w:p>
    <w:p w14:paraId="22C9641D" w14:textId="77777777" w:rsidR="00217334" w:rsidRDefault="00217334" w:rsidP="007059A5">
      <w:pPr>
        <w:pStyle w:val="Heading2"/>
      </w:pPr>
      <w:r w:rsidRPr="00217334">
        <w:t xml:space="preserve">Use in </w:t>
      </w:r>
      <w:r w:rsidR="008D0543" w:rsidRPr="00217334">
        <w:t>pregna</w:t>
      </w:r>
      <w:r w:rsidR="008D0543" w:rsidRPr="008D0543">
        <w:t>ncy (</w:t>
      </w:r>
      <w:r w:rsidR="00386008" w:rsidRPr="008D0543">
        <w:t xml:space="preserve">Category </w:t>
      </w:r>
      <w:r w:rsidR="008D0543" w:rsidRPr="008D0543">
        <w:t>D</w:t>
      </w:r>
      <w:r w:rsidR="00386008" w:rsidRPr="008D0543">
        <w:t>)</w:t>
      </w:r>
    </w:p>
    <w:p w14:paraId="23126123" w14:textId="77777777" w:rsidR="00CD01BB" w:rsidRDefault="00CD01BB" w:rsidP="00133615">
      <w:pPr>
        <w:spacing w:after="60"/>
      </w:pPr>
      <w:r>
        <w:t xml:space="preserve">There are no adequate and well-controlled studies with ADCETRIS in pregnant women. </w:t>
      </w:r>
      <w:proofErr w:type="gramStart"/>
      <w:r>
        <w:t>However</w:t>
      </w:r>
      <w:proofErr w:type="gramEnd"/>
      <w:r>
        <w:t xml:space="preserve"> based on its mechanism of action and findings in animals, ADCETRIS can cause </w:t>
      </w:r>
      <w:proofErr w:type="spellStart"/>
      <w:r>
        <w:t>fetal</w:t>
      </w:r>
      <w:proofErr w:type="spellEnd"/>
      <w:r>
        <w:t xml:space="preserve"> harm when administered to a pregnant woman. </w:t>
      </w:r>
    </w:p>
    <w:p w14:paraId="132542D3" w14:textId="77777777" w:rsidR="00CD01BB" w:rsidRDefault="00CD01BB" w:rsidP="00133615">
      <w:pPr>
        <w:spacing w:after="60"/>
      </w:pPr>
      <w:r>
        <w:t xml:space="preserve">Embryofetal toxicities were seen in a rat embryofetal development study in which pregnant rats received two IV doses of ≥ 3 mg/kg brentuximab </w:t>
      </w:r>
      <w:proofErr w:type="spellStart"/>
      <w:r>
        <w:t>vedotin</w:t>
      </w:r>
      <w:proofErr w:type="spellEnd"/>
      <w:r>
        <w:t xml:space="preserve"> during a period of organogenesis, and included an increased incidence of post-implantation loss, decreased number of foetuses and an increase in the incidence of external malformations (umbilical hernias and </w:t>
      </w:r>
      <w:proofErr w:type="spellStart"/>
      <w:r>
        <w:t>malrotated</w:t>
      </w:r>
      <w:proofErr w:type="spellEnd"/>
      <w:r>
        <w:t xml:space="preserve"> hindlimbs).  </w:t>
      </w:r>
    </w:p>
    <w:p w14:paraId="17815A98" w14:textId="77777777" w:rsidR="00CD01BB" w:rsidRDefault="00CD01BB" w:rsidP="00133615">
      <w:pPr>
        <w:spacing w:after="60"/>
      </w:pPr>
      <w:r>
        <w:t xml:space="preserve">ADCETRIS should not be used during pregnancy unless the benefit to the mother outweighs the potential risks to the </w:t>
      </w:r>
      <w:proofErr w:type="spellStart"/>
      <w:r>
        <w:t>fetus</w:t>
      </w:r>
      <w:proofErr w:type="spellEnd"/>
      <w:r>
        <w:t xml:space="preserve">. If a pregnant woman needs to be </w:t>
      </w:r>
      <w:proofErr w:type="gramStart"/>
      <w:r>
        <w:t>treated</w:t>
      </w:r>
      <w:proofErr w:type="gramEnd"/>
      <w:r>
        <w:t xml:space="preserve"> she should be clearly advised on the potential risk to the </w:t>
      </w:r>
      <w:proofErr w:type="spellStart"/>
      <w:r>
        <w:t>fetus</w:t>
      </w:r>
      <w:proofErr w:type="spellEnd"/>
      <w:r>
        <w:t xml:space="preserve">. Women of childbearing potential should be using two methods of effective contraception during treatment with ADCETRIS and until 6 months after treatment. </w:t>
      </w:r>
    </w:p>
    <w:p w14:paraId="587D26B3" w14:textId="77777777" w:rsidR="00217334" w:rsidRDefault="00CD01BB" w:rsidP="00CD01BB">
      <w:pPr>
        <w:rPr>
          <w:highlight w:val="yellow"/>
        </w:rPr>
      </w:pPr>
      <w:r>
        <w:lastRenderedPageBreak/>
        <w:t>See the ‘Effects on Fertility’ section above pertaining to advice for women whose male partners are being treated with ADCETRIS.</w:t>
      </w:r>
      <w:r w:rsidR="00217334" w:rsidRPr="00217334">
        <w:rPr>
          <w:highlight w:val="yellow"/>
        </w:rPr>
        <w:t xml:space="preserve"> </w:t>
      </w:r>
    </w:p>
    <w:p w14:paraId="544284AE" w14:textId="77777777" w:rsidR="003301BE" w:rsidRPr="00217334" w:rsidRDefault="00217334" w:rsidP="007059A5">
      <w:pPr>
        <w:pStyle w:val="Heading2"/>
      </w:pPr>
      <w:r w:rsidRPr="00217334">
        <w:t xml:space="preserve">Use in </w:t>
      </w:r>
      <w:proofErr w:type="gramStart"/>
      <w:r w:rsidRPr="00217334">
        <w:t>lactation</w:t>
      </w:r>
      <w:proofErr w:type="gramEnd"/>
    </w:p>
    <w:p w14:paraId="16E8F762" w14:textId="77777777" w:rsidR="00217334" w:rsidRDefault="00CD01BB" w:rsidP="00217334">
      <w:r w:rsidRPr="00CD01BB">
        <w:t xml:space="preserve">There are no data as to whether ADCETRIS or its metabolites are excreted in human milk. A risk to the newborn/infant cannot be excluded. A decision should be made whether to discontinue breast-feeding or to discontinue/abstain from this therapy, </w:t>
      </w:r>
      <w:proofErr w:type="gramStart"/>
      <w:r w:rsidRPr="00CD01BB">
        <w:t>taking into account</w:t>
      </w:r>
      <w:proofErr w:type="gramEnd"/>
      <w:r w:rsidRPr="00CD01BB">
        <w:t xml:space="preserve"> a potential risk of breast-feeding for the child and the benefit of therapy for the woman.</w:t>
      </w:r>
    </w:p>
    <w:p w14:paraId="02671ADC" w14:textId="77777777" w:rsidR="002F0774" w:rsidRDefault="00151AE1" w:rsidP="000550D7">
      <w:pPr>
        <w:pStyle w:val="Heading1"/>
        <w:numPr>
          <w:ilvl w:val="1"/>
          <w:numId w:val="21"/>
        </w:numPr>
        <w:tabs>
          <w:tab w:val="left" w:pos="567"/>
        </w:tabs>
        <w:ind w:left="567" w:hanging="567"/>
      </w:pPr>
      <w:r>
        <w:t xml:space="preserve">EFFECTS ON ABILITY TO DRIVE AND USE MACHINES </w:t>
      </w:r>
    </w:p>
    <w:p w14:paraId="487E1C80" w14:textId="77777777" w:rsidR="002F0774" w:rsidRPr="002F0774" w:rsidRDefault="009C74A1" w:rsidP="002F0774">
      <w:pPr>
        <w:rPr>
          <w:highlight w:val="yellow"/>
        </w:rPr>
      </w:pPr>
      <w:r w:rsidRPr="009C74A1">
        <w:t xml:space="preserve">Brentuximab </w:t>
      </w:r>
      <w:proofErr w:type="spellStart"/>
      <w:r w:rsidRPr="009C74A1">
        <w:t>vedotin</w:t>
      </w:r>
      <w:proofErr w:type="spellEnd"/>
      <w:r w:rsidRPr="009C74A1">
        <w:t xml:space="preserve"> may have a minor influence on the ability to drive and use machines.</w:t>
      </w:r>
      <w:r w:rsidR="00151AE1" w:rsidRPr="002F0774">
        <w:rPr>
          <w:highlight w:val="yellow"/>
        </w:rPr>
        <w:t xml:space="preserve"> </w:t>
      </w:r>
    </w:p>
    <w:p w14:paraId="29182548" w14:textId="77777777" w:rsidR="002F0774" w:rsidRDefault="00151AE1" w:rsidP="000550D7">
      <w:pPr>
        <w:pStyle w:val="Heading1"/>
        <w:numPr>
          <w:ilvl w:val="1"/>
          <w:numId w:val="21"/>
        </w:numPr>
        <w:tabs>
          <w:tab w:val="left" w:pos="567"/>
        </w:tabs>
        <w:ind w:left="567" w:hanging="567"/>
      </w:pPr>
      <w:r>
        <w:t xml:space="preserve">ADVERSE EFFECTS (UNDESIRABLE EFFECTS) </w:t>
      </w:r>
    </w:p>
    <w:p w14:paraId="1E5B1047" w14:textId="77777777" w:rsidR="00F74D8A" w:rsidRDefault="00F74D8A" w:rsidP="007059A5">
      <w:pPr>
        <w:pStyle w:val="Heading2"/>
      </w:pPr>
      <w:r>
        <w:t>Summary of the safety profile</w:t>
      </w:r>
    </w:p>
    <w:p w14:paraId="268C3475" w14:textId="3140F69A" w:rsidR="00F74D8A" w:rsidRDefault="00F74D8A" w:rsidP="00FD6544">
      <w:pPr>
        <w:spacing w:after="120"/>
      </w:pPr>
      <w:r>
        <w:t xml:space="preserve">The safety profile of ADCETRIS is based on available clinical trial data, the Named Patient Program (NPP), and post-marketing experience to date. Frequencies of adverse reactions described below and in </w:t>
      </w:r>
      <w:r w:rsidR="00454F51">
        <w:fldChar w:fldCharType="begin"/>
      </w:r>
      <w:r w:rsidR="00454F51">
        <w:instrText xml:space="preserve"> REF _Ref116637083 \h </w:instrText>
      </w:r>
      <w:r w:rsidR="00454F51">
        <w:fldChar w:fldCharType="separate"/>
      </w:r>
      <w:r w:rsidR="001E2FAC" w:rsidRPr="00454F51">
        <w:rPr>
          <w:szCs w:val="22"/>
        </w:rPr>
        <w:t xml:space="preserve">Table </w:t>
      </w:r>
      <w:r w:rsidR="001E2FAC">
        <w:rPr>
          <w:noProof/>
          <w:szCs w:val="22"/>
        </w:rPr>
        <w:t>7</w:t>
      </w:r>
      <w:r w:rsidR="00454F51">
        <w:fldChar w:fldCharType="end"/>
      </w:r>
      <w:r w:rsidR="00454F51">
        <w:t xml:space="preserve"> </w:t>
      </w:r>
      <w:r>
        <w:t>have been determined based on data generated from clinical studies.</w:t>
      </w:r>
    </w:p>
    <w:p w14:paraId="6BC53CF9" w14:textId="77777777" w:rsidR="00DF2684" w:rsidRPr="00DF2684" w:rsidRDefault="00DF2684" w:rsidP="00133615">
      <w:pPr>
        <w:spacing w:after="60"/>
        <w:rPr>
          <w:i/>
        </w:rPr>
      </w:pPr>
      <w:r w:rsidRPr="00DF2684">
        <w:rPr>
          <w:i/>
        </w:rPr>
        <w:t>Monotherapy</w:t>
      </w:r>
    </w:p>
    <w:p w14:paraId="08C11FCF" w14:textId="77777777" w:rsidR="00F74D8A" w:rsidRDefault="00F74D8A" w:rsidP="00133615">
      <w:pPr>
        <w:spacing w:after="60"/>
      </w:pPr>
      <w:r>
        <w:t xml:space="preserve">In the pooled dataset of ADCETRIS as monotherapy across HL, </w:t>
      </w:r>
      <w:proofErr w:type="spellStart"/>
      <w:r>
        <w:t>sALCL</w:t>
      </w:r>
      <w:proofErr w:type="spellEnd"/>
      <w:r>
        <w:t xml:space="preserve"> and CTCL studies (</w:t>
      </w:r>
      <w:r w:rsidR="000C39F5">
        <w:t>SG035</w:t>
      </w:r>
      <w:r w:rsidR="000C39F5">
        <w:noBreakHyphen/>
      </w:r>
      <w:r>
        <w:t>0003,</w:t>
      </w:r>
      <w:r w:rsidR="000C39F5">
        <w:t xml:space="preserve"> SG035</w:t>
      </w:r>
      <w:r w:rsidR="000C39F5">
        <w:noBreakHyphen/>
      </w:r>
      <w:r>
        <w:t xml:space="preserve">0004, </w:t>
      </w:r>
      <w:r w:rsidR="000C39F5">
        <w:t>SG035</w:t>
      </w:r>
      <w:r w:rsidR="000C39F5">
        <w:noBreakHyphen/>
      </w:r>
      <w:r>
        <w:t xml:space="preserve">005, </w:t>
      </w:r>
      <w:r w:rsidR="000C39F5">
        <w:t>SG035</w:t>
      </w:r>
      <w:r w:rsidR="000C39F5">
        <w:noBreakHyphen/>
      </w:r>
      <w:r>
        <w:t xml:space="preserve">006, C25001, C25007) the most frequent adverse reactions (≥10%) were infections, peripheral sensory neuropathy, nausea, fatigue, diarrhoea, pyrexia, neutropenia, rash, cough and upper respiratory tract infection, vomiting, arthralgia, peripheral motor neuropathy, infusion-related reactions, pruritus, constipation, dyspnoea, weight decreased, myalgia and abdominal pain. </w:t>
      </w:r>
    </w:p>
    <w:p w14:paraId="73EE0BB5" w14:textId="77777777" w:rsidR="00F74D8A" w:rsidRDefault="00F74D8A" w:rsidP="00133615">
      <w:pPr>
        <w:spacing w:after="60"/>
      </w:pPr>
      <w:r>
        <w:t>Serious adverse drug reactions occurred in 12% of patients. The frequency of unique serious adverse drug reactions was ≤1%.</w:t>
      </w:r>
      <w:r w:rsidR="00B06452">
        <w:t xml:space="preserve"> </w:t>
      </w:r>
      <w:r>
        <w:t xml:space="preserve">Adverse events led to the discontinuation of study treatment in 24% of patients receiving ADCETRIS. </w:t>
      </w:r>
    </w:p>
    <w:p w14:paraId="0E4411D9" w14:textId="77777777" w:rsidR="00F74D8A" w:rsidRDefault="00F74D8A" w:rsidP="00133615">
      <w:pPr>
        <w:spacing w:after="60"/>
      </w:pPr>
      <w:r>
        <w:t xml:space="preserve">The safety data in patients retreated with ADCETRIS (SGN35-006) were consistent with those observed in the combined pivotal phase 2 studies, </w:t>
      </w:r>
      <w:proofErr w:type="gramStart"/>
      <w:r>
        <w:t>with the exception of</w:t>
      </w:r>
      <w:proofErr w:type="gramEnd"/>
      <w:r>
        <w:t xml:space="preserve"> peripheral motor neuropathy, which had a higher incidence (28% vs. 9% in the pivotal phase 2 studies) and was primarily Grade</w:t>
      </w:r>
      <w:r w:rsidR="00F16513">
        <w:t> </w:t>
      </w:r>
      <w:r>
        <w:t xml:space="preserve">2. Patients also had a higher incidence of arthralgia, Grade 3 anaemia, and back pain compared to patients observed in the combined pivotal phase 2 studies.  </w:t>
      </w:r>
    </w:p>
    <w:p w14:paraId="646D654E" w14:textId="77777777" w:rsidR="00DF2684" w:rsidRDefault="00F74D8A" w:rsidP="00F74D8A">
      <w:r>
        <w:t xml:space="preserve">The safety data reported from the phase 1 dose escalation and clinical pharmacology studies (n=15 patients) and from the Named Patient Program (NPP; n = 26 patients), in patients with relapsed or refractory HL who had not received an ASCT (see section </w:t>
      </w:r>
      <w:r w:rsidR="009626E1">
        <w:t xml:space="preserve">5.1 </w:t>
      </w:r>
      <w:r w:rsidR="009626E1" w:rsidRPr="004B7599">
        <w:t>Pharmacodynamic Properties</w:t>
      </w:r>
      <w:r w:rsidR="009626E1">
        <w:t xml:space="preserve">, </w:t>
      </w:r>
      <w:r>
        <w:t>Clinical Trials), and were treated with the recommended dose of 1.8 mg/kg every three weeks, were consistent with the safety profile of the pivotal clinical studies.</w:t>
      </w:r>
    </w:p>
    <w:p w14:paraId="53D4595F" w14:textId="77777777" w:rsidR="00943E2B" w:rsidRPr="00B8475F" w:rsidRDefault="00DF2684" w:rsidP="00133615">
      <w:pPr>
        <w:spacing w:after="60"/>
        <w:rPr>
          <w:i/>
          <w:highlight w:val="green"/>
        </w:rPr>
      </w:pPr>
      <w:r w:rsidRPr="00B8475F">
        <w:rPr>
          <w:i/>
        </w:rPr>
        <w:t>Combination therapy</w:t>
      </w:r>
    </w:p>
    <w:p w14:paraId="14756AE7" w14:textId="77777777" w:rsidR="0024497F" w:rsidRDefault="00DF2684" w:rsidP="00356418">
      <w:r w:rsidRPr="00B8475F">
        <w:t>For safety information of chemotherapy agents given in combination with ADCETRIS (</w:t>
      </w:r>
      <w:r w:rsidR="00D564F7" w:rsidRPr="00D564F7">
        <w:t xml:space="preserve">(doxorubicin, vinblastine and dacarbazine </w:t>
      </w:r>
      <w:r w:rsidR="00D564F7">
        <w:t>[</w:t>
      </w:r>
      <w:r w:rsidR="00D564F7" w:rsidRPr="00D564F7">
        <w:t>AVD</w:t>
      </w:r>
      <w:r w:rsidR="00D564F7">
        <w:t>]</w:t>
      </w:r>
      <w:r w:rsidR="00D564F7" w:rsidRPr="00D564F7">
        <w:t xml:space="preserve"> </w:t>
      </w:r>
      <w:r w:rsidR="00D564F7">
        <w:t xml:space="preserve">or </w:t>
      </w:r>
      <w:r w:rsidRPr="00B8475F">
        <w:t xml:space="preserve">cyclophosphamide, doxorubicin, and prednisone [CHP]) refer to their product information. </w:t>
      </w:r>
    </w:p>
    <w:p w14:paraId="4F60B006" w14:textId="58A459E6" w:rsidR="00141571" w:rsidRDefault="00DF2684" w:rsidP="00D729AB">
      <w:r w:rsidRPr="00B8475F">
        <w:t>In the studies of ADCETRIS as combination therapy</w:t>
      </w:r>
      <w:r w:rsidR="00D729AB">
        <w:t xml:space="preserve"> with AVD</w:t>
      </w:r>
      <w:r w:rsidR="009B5286">
        <w:t xml:space="preserve"> </w:t>
      </w:r>
      <w:r w:rsidR="00D729AB">
        <w:t xml:space="preserve">in 662 patients with previously untreated HL (C25003) and </w:t>
      </w:r>
      <w:r w:rsidR="00DB21D7">
        <w:t xml:space="preserve">with CHP </w:t>
      </w:r>
      <w:r w:rsidRPr="00B8475F">
        <w:t xml:space="preserve">in 223 patients with </w:t>
      </w:r>
      <w:r w:rsidR="00D729AB">
        <w:t xml:space="preserve">previously untreated </w:t>
      </w:r>
      <w:r w:rsidRPr="00B8475F">
        <w:t>PTCL (SGN35</w:t>
      </w:r>
      <w:r w:rsidR="00F16513">
        <w:noBreakHyphen/>
      </w:r>
      <w:r w:rsidRPr="00B8475F">
        <w:t xml:space="preserve">014), </w:t>
      </w:r>
      <w:r w:rsidRPr="00F87803">
        <w:t>the most common adverse reactions (≥ 10%)</w:t>
      </w:r>
      <w:r w:rsidRPr="00B8475F">
        <w:t xml:space="preserve"> were: infections, neutropenia, peripheral sensory neuropathy, nausea, constipation, vomiting, diarrhoea, fatigue, pyrexia, alopecia, anaemia, weight decreased, stomatitis, febrile neutropenia, abdominal pain, decreased appetite, insomnia, </w:t>
      </w:r>
      <w:r w:rsidR="00EC416E">
        <w:t xml:space="preserve">bone pain, </w:t>
      </w:r>
      <w:r w:rsidRPr="00B8475F">
        <w:lastRenderedPageBreak/>
        <w:t xml:space="preserve">rash, cough, dyspnoea, </w:t>
      </w:r>
      <w:r w:rsidR="00EC416E">
        <w:t xml:space="preserve">arthralgia, </w:t>
      </w:r>
      <w:r w:rsidRPr="00B8475F">
        <w:t xml:space="preserve">myalgia, </w:t>
      </w:r>
      <w:r w:rsidR="00EC416E">
        <w:t xml:space="preserve">back pain, </w:t>
      </w:r>
      <w:r w:rsidRPr="00B8475F">
        <w:t xml:space="preserve">peripheral motor neuropathy, upper respiratory tract infection, and dizziness. </w:t>
      </w:r>
    </w:p>
    <w:p w14:paraId="688CBC36" w14:textId="056FFB35" w:rsidR="00642278" w:rsidRDefault="00DF2684" w:rsidP="00D729AB">
      <w:r w:rsidRPr="00B8475F">
        <w:t xml:space="preserve">In patients receiving ADCETRIS combination therapy, serious adverse reactions occurred in </w:t>
      </w:r>
      <w:r w:rsidR="00EC416E">
        <w:t>34</w:t>
      </w:r>
      <w:r w:rsidRPr="00B8475F">
        <w:t xml:space="preserve">% of patients. Serious adverse reactions occurring in ≥ </w:t>
      </w:r>
      <w:r w:rsidR="00EC416E">
        <w:t>3</w:t>
      </w:r>
      <w:r w:rsidRPr="00B8475F">
        <w:t>% of patients included febrile neutropenia (</w:t>
      </w:r>
      <w:r w:rsidR="00EC416E">
        <w:t>15</w:t>
      </w:r>
      <w:r w:rsidR="00864CB2" w:rsidRPr="00B8475F">
        <w:t>%),</w:t>
      </w:r>
      <w:r w:rsidR="00EC416E">
        <w:t xml:space="preserve"> pyrexia (5%),</w:t>
      </w:r>
      <w:r w:rsidR="00864CB2" w:rsidRPr="00B8475F">
        <w:t xml:space="preserve"> </w:t>
      </w:r>
      <w:r w:rsidR="004719A1">
        <w:t xml:space="preserve">infection </w:t>
      </w:r>
      <w:r w:rsidR="00864CB2" w:rsidRPr="00B8475F">
        <w:t>(</w:t>
      </w:r>
      <w:r w:rsidR="002743CE">
        <w:t>11</w:t>
      </w:r>
      <w:r w:rsidRPr="00B8475F">
        <w:t>%), and neutropenia (</w:t>
      </w:r>
      <w:r w:rsidR="009D1173">
        <w:t>3</w:t>
      </w:r>
      <w:r w:rsidRPr="00B8475F">
        <w:t xml:space="preserve">%). </w:t>
      </w:r>
    </w:p>
    <w:p w14:paraId="7792EE24" w14:textId="2A773ACE" w:rsidR="00356418" w:rsidRPr="00DF2684" w:rsidRDefault="009D1173" w:rsidP="00D729AB">
      <w:r w:rsidRPr="009D1173">
        <w:t xml:space="preserve">Adverse events led to treatment discontinuation in 10% of patients. </w:t>
      </w:r>
      <w:r w:rsidR="00DF2684" w:rsidRPr="00B8475F">
        <w:t>Adverse events</w:t>
      </w:r>
      <w:r>
        <w:t xml:space="preserve"> that led to treatment discontinuation in </w:t>
      </w:r>
      <w:r w:rsidRPr="00B8475F">
        <w:t>≥</w:t>
      </w:r>
      <w:r>
        <w:t>2% of patients included</w:t>
      </w:r>
      <w:r w:rsidR="004719A1">
        <w:t xml:space="preserve"> </w:t>
      </w:r>
      <w:r w:rsidR="004719A1" w:rsidRPr="00B8475F">
        <w:t>peripheral sensory neuropathy</w:t>
      </w:r>
      <w:r w:rsidR="0077069E">
        <w:t xml:space="preserve"> </w:t>
      </w:r>
      <w:r w:rsidR="00FC3382">
        <w:t xml:space="preserve">and </w:t>
      </w:r>
      <w:r w:rsidR="0077069E">
        <w:t>peripheral neuropathy</w:t>
      </w:r>
      <w:r>
        <w:t>.</w:t>
      </w:r>
      <w:r w:rsidDel="009D1173">
        <w:t xml:space="preserve"> </w:t>
      </w:r>
    </w:p>
    <w:p w14:paraId="5AC6CD31" w14:textId="77777777" w:rsidR="00F74D8A" w:rsidRDefault="00F74D8A" w:rsidP="009D1173">
      <w:r>
        <w:t>Tabulated list of adverse reactions</w:t>
      </w:r>
    </w:p>
    <w:p w14:paraId="17BAC338" w14:textId="3F06DE34" w:rsidR="00EC5800" w:rsidRDefault="00F74D8A" w:rsidP="00F74D8A">
      <w:r>
        <w:t xml:space="preserve">Adverse reactions for </w:t>
      </w:r>
      <w:r w:rsidRPr="00F87803">
        <w:t>ADCETRIS are</w:t>
      </w:r>
      <w:r>
        <w:t xml:space="preserve"> listed by MedDRA System Organ Class and Preferred Term (see</w:t>
      </w:r>
      <w:r w:rsidR="00AB7625">
        <w:t xml:space="preserve"> </w:t>
      </w:r>
      <w:r w:rsidR="00454F51">
        <w:fldChar w:fldCharType="begin"/>
      </w:r>
      <w:r w:rsidR="00454F51">
        <w:instrText xml:space="preserve"> REF _Ref116637083 \h </w:instrText>
      </w:r>
      <w:r w:rsidR="00454F51">
        <w:fldChar w:fldCharType="separate"/>
      </w:r>
      <w:r w:rsidR="001E2FAC" w:rsidRPr="00454F51">
        <w:rPr>
          <w:szCs w:val="22"/>
        </w:rPr>
        <w:t xml:space="preserve">Table </w:t>
      </w:r>
      <w:r w:rsidR="001E2FAC">
        <w:rPr>
          <w:noProof/>
          <w:szCs w:val="22"/>
        </w:rPr>
        <w:t>7</w:t>
      </w:r>
      <w:r w:rsidR="00454F51">
        <w:fldChar w:fldCharType="end"/>
      </w:r>
      <w:r w:rsidRPr="0085274E">
        <w:t>). Within each System Organ Class, adverse reactions are listed under frequency categories of: Very common</w:t>
      </w:r>
      <w:r>
        <w:t xml:space="preserve"> </w:t>
      </w:r>
      <w:proofErr w:type="gramStart"/>
      <w:r>
        <w:t>( ≥</w:t>
      </w:r>
      <w:proofErr w:type="gramEnd"/>
      <w:r>
        <w:t>1/10); Common ( ≥1/100 to &lt;1/10); Uncommon ( ≥1/1,000 to &lt;1/100); Rare ( ≥1/10,000 to &lt;1/1,000); Very rare ( &lt;1/10,000); Frequency not known (cannot be estimated from the available data).</w:t>
      </w:r>
      <w:r w:rsidR="0024497F">
        <w:t xml:space="preserve"> </w:t>
      </w:r>
    </w:p>
    <w:p w14:paraId="05874963" w14:textId="77777777" w:rsidR="00EC5800" w:rsidRDefault="00EC5800">
      <w:pPr>
        <w:spacing w:after="0"/>
        <w:jc w:val="left"/>
      </w:pPr>
      <w:r>
        <w:br w:type="page"/>
      </w:r>
    </w:p>
    <w:p w14:paraId="7F1A64D3" w14:textId="7DA188CD" w:rsidR="00454F51" w:rsidRPr="00454F51" w:rsidRDefault="00454F51" w:rsidP="007E6627">
      <w:pPr>
        <w:pStyle w:val="Caption"/>
        <w:keepNext/>
        <w:spacing w:after="0"/>
        <w:jc w:val="left"/>
        <w:rPr>
          <w:sz w:val="22"/>
          <w:szCs w:val="22"/>
        </w:rPr>
      </w:pPr>
      <w:bookmarkStart w:id="16" w:name="_Ref116637083"/>
      <w:r w:rsidRPr="00454F51">
        <w:rPr>
          <w:sz w:val="22"/>
          <w:szCs w:val="22"/>
        </w:rPr>
        <w:lastRenderedPageBreak/>
        <w:t xml:space="preserve">Table </w:t>
      </w:r>
      <w:r w:rsidR="00BB3E4E">
        <w:rPr>
          <w:sz w:val="22"/>
          <w:szCs w:val="22"/>
        </w:rPr>
        <w:fldChar w:fldCharType="begin"/>
      </w:r>
      <w:r w:rsidR="00BB3E4E">
        <w:rPr>
          <w:sz w:val="22"/>
          <w:szCs w:val="22"/>
        </w:rPr>
        <w:instrText xml:space="preserve"> SEQ Table \* ARABIC </w:instrText>
      </w:r>
      <w:r w:rsidR="00BB3E4E">
        <w:rPr>
          <w:sz w:val="22"/>
          <w:szCs w:val="22"/>
        </w:rPr>
        <w:fldChar w:fldCharType="separate"/>
      </w:r>
      <w:r w:rsidR="001E2FAC">
        <w:rPr>
          <w:noProof/>
          <w:sz w:val="22"/>
          <w:szCs w:val="22"/>
        </w:rPr>
        <w:t>7</w:t>
      </w:r>
      <w:r w:rsidR="00BB3E4E">
        <w:rPr>
          <w:sz w:val="22"/>
          <w:szCs w:val="22"/>
        </w:rPr>
        <w:fldChar w:fldCharType="end"/>
      </w:r>
      <w:bookmarkEnd w:id="16"/>
      <w:r w:rsidRPr="00454F51">
        <w:rPr>
          <w:sz w:val="22"/>
          <w:szCs w:val="22"/>
        </w:rPr>
        <w:t xml:space="preserve"> </w:t>
      </w:r>
      <w:r w:rsidRPr="00454F51">
        <w:rPr>
          <w:sz w:val="22"/>
          <w:szCs w:val="22"/>
        </w:rPr>
        <w:tab/>
        <w:t xml:space="preserve">Adverse reactions for ADCETRIS </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3544"/>
        <w:gridCol w:w="3544"/>
      </w:tblGrid>
      <w:tr w:rsidR="003A0FBF" w14:paraId="3B408209" w14:textId="77777777" w:rsidTr="003A0FBF">
        <w:trPr>
          <w:trHeight w:val="302"/>
          <w:tblHeader/>
          <w:jc w:val="center"/>
        </w:trPr>
        <w:tc>
          <w:tcPr>
            <w:tcW w:w="2983" w:type="dxa"/>
            <w:hideMark/>
          </w:tcPr>
          <w:p w14:paraId="15F347C8" w14:textId="77777777" w:rsidR="003A0FBF" w:rsidRDefault="003A0FBF" w:rsidP="003A0FBF">
            <w:pPr>
              <w:autoSpaceDE w:val="0"/>
              <w:autoSpaceDN w:val="0"/>
              <w:adjustRightInd w:val="0"/>
              <w:spacing w:after="0"/>
              <w:rPr>
                <w:rFonts w:cs="Arial"/>
                <w:b/>
                <w:bCs/>
                <w:color w:val="000000"/>
                <w:sz w:val="20"/>
              </w:rPr>
            </w:pPr>
            <w:r>
              <w:rPr>
                <w:rFonts w:cs="Arial"/>
                <w:b/>
                <w:bCs/>
                <w:color w:val="000000"/>
                <w:sz w:val="20"/>
              </w:rPr>
              <w:t>System organ class</w:t>
            </w:r>
          </w:p>
        </w:tc>
        <w:tc>
          <w:tcPr>
            <w:tcW w:w="3544" w:type="dxa"/>
            <w:hideMark/>
          </w:tcPr>
          <w:p w14:paraId="31157363" w14:textId="77777777" w:rsidR="003A0FBF" w:rsidRDefault="003A0FBF" w:rsidP="003A0FBF">
            <w:pPr>
              <w:spacing w:after="0"/>
              <w:jc w:val="left"/>
              <w:rPr>
                <w:rFonts w:cs="Arial"/>
                <w:b/>
                <w:bCs/>
                <w:color w:val="000000"/>
                <w:sz w:val="20"/>
              </w:rPr>
            </w:pPr>
            <w:r>
              <w:rPr>
                <w:rFonts w:cs="Arial"/>
                <w:b/>
                <w:bCs/>
                <w:color w:val="000000"/>
                <w:sz w:val="20"/>
              </w:rPr>
              <w:t xml:space="preserve">Adverse reactions </w:t>
            </w:r>
            <w:r w:rsidRPr="00864CB2">
              <w:rPr>
                <w:rFonts w:cs="Arial"/>
                <w:b/>
                <w:bCs/>
                <w:color w:val="000000"/>
                <w:sz w:val="20"/>
              </w:rPr>
              <w:t>(monotherapy)</w:t>
            </w:r>
          </w:p>
        </w:tc>
        <w:tc>
          <w:tcPr>
            <w:tcW w:w="3544" w:type="dxa"/>
          </w:tcPr>
          <w:p w14:paraId="1EF86B7E" w14:textId="2DDF4D54" w:rsidR="003A0FBF" w:rsidRPr="00C821D0" w:rsidRDefault="003A0FBF" w:rsidP="003A0FBF">
            <w:pPr>
              <w:spacing w:after="0"/>
              <w:jc w:val="left"/>
              <w:rPr>
                <w:rFonts w:cs="Arial"/>
                <w:b/>
                <w:bCs/>
                <w:color w:val="000000"/>
                <w:sz w:val="20"/>
                <w:vertAlign w:val="superscript"/>
              </w:rPr>
            </w:pPr>
            <w:r w:rsidRPr="00C821D0">
              <w:rPr>
                <w:rFonts w:cs="Arial"/>
                <w:b/>
                <w:bCs/>
                <w:color w:val="000000"/>
                <w:sz w:val="20"/>
              </w:rPr>
              <w:t>Adverse reactions (combination therapy)</w:t>
            </w:r>
          </w:p>
        </w:tc>
      </w:tr>
      <w:tr w:rsidR="003A0FBF" w14:paraId="08DB262A" w14:textId="77777777" w:rsidTr="00EF38F2">
        <w:trPr>
          <w:trHeight w:val="302"/>
          <w:jc w:val="center"/>
        </w:trPr>
        <w:tc>
          <w:tcPr>
            <w:tcW w:w="6527" w:type="dxa"/>
            <w:gridSpan w:val="2"/>
            <w:hideMark/>
          </w:tcPr>
          <w:p w14:paraId="34C97520" w14:textId="77777777" w:rsidR="003A0FBF" w:rsidRDefault="003A0FBF" w:rsidP="003A0FBF">
            <w:pPr>
              <w:spacing w:after="0"/>
              <w:jc w:val="left"/>
              <w:rPr>
                <w:rFonts w:cs="Arial"/>
                <w:b/>
                <w:bCs/>
                <w:color w:val="000000"/>
                <w:sz w:val="20"/>
              </w:rPr>
            </w:pPr>
            <w:r>
              <w:rPr>
                <w:rFonts w:cs="Arial"/>
                <w:b/>
                <w:bCs/>
                <w:color w:val="000000"/>
                <w:sz w:val="20"/>
              </w:rPr>
              <w:t xml:space="preserve">Infections and infestations </w:t>
            </w:r>
          </w:p>
        </w:tc>
        <w:tc>
          <w:tcPr>
            <w:tcW w:w="3544" w:type="dxa"/>
          </w:tcPr>
          <w:p w14:paraId="2F9F2F02" w14:textId="77777777" w:rsidR="003A0FBF" w:rsidRPr="00C821D0" w:rsidRDefault="003A0FBF" w:rsidP="003A0FBF">
            <w:pPr>
              <w:spacing w:after="0"/>
              <w:jc w:val="left"/>
              <w:rPr>
                <w:rFonts w:cs="Arial"/>
                <w:b/>
                <w:bCs/>
                <w:color w:val="000000"/>
                <w:sz w:val="20"/>
              </w:rPr>
            </w:pPr>
          </w:p>
        </w:tc>
      </w:tr>
      <w:tr w:rsidR="003A0FBF" w14:paraId="6D5DC081" w14:textId="77777777" w:rsidTr="00EF38F2">
        <w:trPr>
          <w:jc w:val="center"/>
        </w:trPr>
        <w:tc>
          <w:tcPr>
            <w:tcW w:w="2983" w:type="dxa"/>
            <w:hideMark/>
          </w:tcPr>
          <w:p w14:paraId="5A53C2D7" w14:textId="77777777" w:rsidR="003A0FBF" w:rsidRDefault="003A0FBF" w:rsidP="003A0FBF">
            <w:pPr>
              <w:spacing w:after="0"/>
              <w:rPr>
                <w:rFonts w:cs="Arial"/>
                <w:bCs/>
                <w:color w:val="000000"/>
                <w:sz w:val="20"/>
              </w:rPr>
            </w:pPr>
            <w:r>
              <w:rPr>
                <w:rFonts w:cs="Arial"/>
                <w:bCs/>
                <w:color w:val="000000"/>
                <w:sz w:val="20"/>
              </w:rPr>
              <w:t xml:space="preserve">Very common: </w:t>
            </w:r>
          </w:p>
        </w:tc>
        <w:tc>
          <w:tcPr>
            <w:tcW w:w="3544" w:type="dxa"/>
            <w:hideMark/>
          </w:tcPr>
          <w:p w14:paraId="5A66AB0A" w14:textId="77777777" w:rsidR="003A0FBF" w:rsidRDefault="003A0FBF" w:rsidP="003A0FBF">
            <w:pPr>
              <w:spacing w:after="0"/>
              <w:jc w:val="left"/>
              <w:rPr>
                <w:rFonts w:cs="Arial"/>
                <w:bCs/>
                <w:color w:val="000000"/>
                <w:sz w:val="20"/>
              </w:rPr>
            </w:pPr>
            <w:proofErr w:type="spellStart"/>
            <w:r>
              <w:rPr>
                <w:rFonts w:cs="Arial"/>
                <w:bCs/>
                <w:color w:val="000000"/>
                <w:sz w:val="20"/>
              </w:rPr>
              <w:t>Infection</w:t>
            </w:r>
            <w:r>
              <w:rPr>
                <w:rFonts w:cs="Arial"/>
                <w:color w:val="000000"/>
                <w:sz w:val="20"/>
                <w:vertAlign w:val="superscript"/>
              </w:rPr>
              <w:t>a</w:t>
            </w:r>
            <w:proofErr w:type="spellEnd"/>
            <w:r>
              <w:rPr>
                <w:rFonts w:cs="Arial"/>
                <w:color w:val="000000"/>
                <w:sz w:val="20"/>
              </w:rPr>
              <w:t>, upper respiratory tract infection</w:t>
            </w:r>
          </w:p>
        </w:tc>
        <w:tc>
          <w:tcPr>
            <w:tcW w:w="3544" w:type="dxa"/>
          </w:tcPr>
          <w:p w14:paraId="2FBC7EEB" w14:textId="77777777" w:rsidR="003A0FBF" w:rsidRPr="00C821D0" w:rsidRDefault="003A0FBF" w:rsidP="003A0FBF">
            <w:pPr>
              <w:spacing w:after="0"/>
              <w:jc w:val="left"/>
              <w:rPr>
                <w:rFonts w:cs="Arial"/>
                <w:bCs/>
                <w:color w:val="000000"/>
                <w:sz w:val="20"/>
              </w:rPr>
            </w:pPr>
            <w:proofErr w:type="spellStart"/>
            <w:r w:rsidRPr="00C821D0">
              <w:rPr>
                <w:rFonts w:cs="Arial"/>
                <w:bCs/>
                <w:color w:val="000000"/>
                <w:sz w:val="20"/>
                <w:lang w:val="en-GB"/>
              </w:rPr>
              <w:t>Infection</w:t>
            </w:r>
            <w:r w:rsidRPr="00C821D0">
              <w:rPr>
                <w:rFonts w:cs="Arial"/>
                <w:bCs/>
                <w:color w:val="000000"/>
                <w:sz w:val="20"/>
                <w:vertAlign w:val="superscript"/>
                <w:lang w:val="en-GB"/>
              </w:rPr>
              <w:t>a</w:t>
            </w:r>
            <w:proofErr w:type="spellEnd"/>
            <w:r w:rsidRPr="00C821D0">
              <w:rPr>
                <w:rFonts w:cs="Arial"/>
                <w:bCs/>
                <w:color w:val="000000"/>
                <w:sz w:val="20"/>
                <w:lang w:val="en-GB"/>
              </w:rPr>
              <w:t>, upper respiratory tract infection</w:t>
            </w:r>
          </w:p>
        </w:tc>
      </w:tr>
      <w:tr w:rsidR="003A0FBF" w14:paraId="532F3CDE" w14:textId="77777777" w:rsidTr="00EF38F2">
        <w:trPr>
          <w:jc w:val="center"/>
        </w:trPr>
        <w:tc>
          <w:tcPr>
            <w:tcW w:w="2983" w:type="dxa"/>
            <w:hideMark/>
          </w:tcPr>
          <w:p w14:paraId="40AF0B7A" w14:textId="77777777" w:rsidR="003A0FBF" w:rsidRDefault="003A0FBF" w:rsidP="003A0FBF">
            <w:pPr>
              <w:spacing w:after="0"/>
              <w:rPr>
                <w:rFonts w:cs="Arial"/>
                <w:bCs/>
                <w:color w:val="000000"/>
                <w:sz w:val="20"/>
              </w:rPr>
            </w:pPr>
            <w:r>
              <w:rPr>
                <w:rFonts w:cs="Arial"/>
                <w:bCs/>
                <w:color w:val="000000"/>
                <w:sz w:val="20"/>
              </w:rPr>
              <w:t>Common:</w:t>
            </w:r>
          </w:p>
        </w:tc>
        <w:tc>
          <w:tcPr>
            <w:tcW w:w="3544" w:type="dxa"/>
            <w:hideMark/>
          </w:tcPr>
          <w:p w14:paraId="16580F7B" w14:textId="77777777" w:rsidR="003A0FBF" w:rsidRPr="002464AE" w:rsidRDefault="003A0FBF" w:rsidP="003A0FBF">
            <w:pPr>
              <w:spacing w:after="0"/>
              <w:jc w:val="left"/>
              <w:rPr>
                <w:rFonts w:cs="Arial"/>
                <w:color w:val="000000"/>
                <w:sz w:val="20"/>
                <w:lang w:val="pt-BR"/>
              </w:rPr>
            </w:pPr>
            <w:r w:rsidRPr="002464AE">
              <w:rPr>
                <w:rFonts w:cs="Arial"/>
                <w:color w:val="000000"/>
                <w:sz w:val="20"/>
                <w:lang w:val="pt-BR"/>
              </w:rPr>
              <w:t xml:space="preserve">Herpes </w:t>
            </w:r>
            <w:r w:rsidRPr="0046691B">
              <w:rPr>
                <w:rFonts w:cs="Arial"/>
                <w:color w:val="000000"/>
                <w:sz w:val="20"/>
                <w:lang w:val="pt-BR"/>
              </w:rPr>
              <w:t>zoster, herpes simplex, pneumonia, oral candidiasis</w:t>
            </w:r>
            <w:r w:rsidRPr="002464AE">
              <w:rPr>
                <w:rFonts w:cs="Arial"/>
                <w:color w:val="000000"/>
                <w:sz w:val="20"/>
                <w:lang w:val="pt-BR"/>
              </w:rPr>
              <w:t xml:space="preserve"> </w:t>
            </w:r>
          </w:p>
        </w:tc>
        <w:tc>
          <w:tcPr>
            <w:tcW w:w="3544" w:type="dxa"/>
          </w:tcPr>
          <w:p w14:paraId="4B569216" w14:textId="77777777" w:rsidR="003A0FBF" w:rsidRPr="00C821D0" w:rsidRDefault="003A0FBF" w:rsidP="003A0FBF">
            <w:pPr>
              <w:spacing w:after="0"/>
              <w:jc w:val="left"/>
              <w:rPr>
                <w:rFonts w:cs="Arial"/>
                <w:color w:val="000000"/>
                <w:sz w:val="20"/>
              </w:rPr>
            </w:pPr>
            <w:r w:rsidRPr="00C821D0">
              <w:rPr>
                <w:rFonts w:cs="Arial"/>
                <w:color w:val="000000"/>
                <w:sz w:val="20"/>
              </w:rPr>
              <w:t>Pneumonia, oral candidiasis, sepsis/septic shock, herpes zoster</w:t>
            </w:r>
          </w:p>
        </w:tc>
      </w:tr>
      <w:tr w:rsidR="003A0FBF" w14:paraId="648B70CC" w14:textId="77777777" w:rsidTr="00EF38F2">
        <w:trPr>
          <w:jc w:val="center"/>
        </w:trPr>
        <w:tc>
          <w:tcPr>
            <w:tcW w:w="2983" w:type="dxa"/>
            <w:hideMark/>
          </w:tcPr>
          <w:p w14:paraId="563EF98C" w14:textId="77777777" w:rsidR="003A0FBF" w:rsidRDefault="003A0FBF" w:rsidP="003A0FBF">
            <w:pPr>
              <w:spacing w:after="0"/>
              <w:rPr>
                <w:rFonts w:cs="Arial"/>
                <w:bCs/>
                <w:color w:val="000000"/>
                <w:sz w:val="20"/>
              </w:rPr>
            </w:pPr>
            <w:r>
              <w:rPr>
                <w:rFonts w:cs="Arial"/>
                <w:bCs/>
                <w:color w:val="000000"/>
                <w:sz w:val="20"/>
              </w:rPr>
              <w:t>Uncommon:</w:t>
            </w:r>
          </w:p>
        </w:tc>
        <w:tc>
          <w:tcPr>
            <w:tcW w:w="3544" w:type="dxa"/>
            <w:hideMark/>
          </w:tcPr>
          <w:p w14:paraId="48F85516" w14:textId="77777777" w:rsidR="003A0FBF" w:rsidRDefault="003A0FBF" w:rsidP="003A0FBF">
            <w:pPr>
              <w:spacing w:after="0"/>
              <w:jc w:val="left"/>
              <w:rPr>
                <w:rFonts w:cs="Arial"/>
                <w:color w:val="000000"/>
                <w:sz w:val="20"/>
              </w:rPr>
            </w:pPr>
            <w:r>
              <w:rPr>
                <w:rFonts w:cs="Arial"/>
                <w:color w:val="000000"/>
                <w:sz w:val="20"/>
              </w:rPr>
              <w:t xml:space="preserve">Pneumocystis </w:t>
            </w:r>
            <w:proofErr w:type="spellStart"/>
            <w:r>
              <w:rPr>
                <w:rFonts w:cs="Arial"/>
                <w:color w:val="000000"/>
                <w:sz w:val="20"/>
              </w:rPr>
              <w:t>jiroveci</w:t>
            </w:r>
            <w:proofErr w:type="spellEnd"/>
            <w:r>
              <w:rPr>
                <w:rFonts w:cs="Arial"/>
                <w:color w:val="000000"/>
                <w:sz w:val="20"/>
              </w:rPr>
              <w:t xml:space="preserve"> pneumonia, staphylococcal bacteraemia, </w:t>
            </w:r>
            <w:r w:rsidR="00E37DBE" w:rsidRPr="00E37DBE">
              <w:rPr>
                <w:rFonts w:cs="Arial"/>
                <w:color w:val="000000"/>
                <w:sz w:val="20"/>
              </w:rPr>
              <w:t>cytomegalovirus infection or reactivation</w:t>
            </w:r>
            <w:r w:rsidR="00E37DBE">
              <w:rPr>
                <w:rFonts w:cs="Arial"/>
                <w:color w:val="000000"/>
                <w:sz w:val="20"/>
              </w:rPr>
              <w:t>,</w:t>
            </w:r>
            <w:r w:rsidR="00E37DBE" w:rsidRPr="00E37DBE">
              <w:rPr>
                <w:rFonts w:cs="Arial"/>
                <w:color w:val="000000"/>
                <w:sz w:val="20"/>
              </w:rPr>
              <w:t xml:space="preserve"> </w:t>
            </w:r>
            <w:r>
              <w:rPr>
                <w:rFonts w:cs="Arial"/>
                <w:color w:val="000000"/>
                <w:sz w:val="20"/>
              </w:rPr>
              <w:t>sepsis/septic shock</w:t>
            </w:r>
          </w:p>
        </w:tc>
        <w:tc>
          <w:tcPr>
            <w:tcW w:w="3544" w:type="dxa"/>
          </w:tcPr>
          <w:p w14:paraId="79E5160A" w14:textId="77777777" w:rsidR="003A0FBF" w:rsidRPr="00C821D0" w:rsidRDefault="00483B33" w:rsidP="003A0FBF">
            <w:pPr>
              <w:spacing w:after="0"/>
              <w:jc w:val="left"/>
              <w:rPr>
                <w:rFonts w:cs="Arial"/>
                <w:color w:val="000000"/>
                <w:sz w:val="20"/>
              </w:rPr>
            </w:pPr>
            <w:r>
              <w:rPr>
                <w:rFonts w:cs="Arial"/>
                <w:color w:val="000000"/>
                <w:sz w:val="20"/>
              </w:rPr>
              <w:t xml:space="preserve">Herpes simplex, </w:t>
            </w:r>
            <w:r w:rsidR="003A0FBF" w:rsidRPr="00C821D0">
              <w:rPr>
                <w:rFonts w:cs="Arial"/>
                <w:color w:val="000000"/>
                <w:sz w:val="20"/>
              </w:rPr>
              <w:t xml:space="preserve">Pneumocystis </w:t>
            </w:r>
            <w:proofErr w:type="spellStart"/>
            <w:r w:rsidR="003A0FBF" w:rsidRPr="00C821D0">
              <w:rPr>
                <w:rFonts w:cs="Arial"/>
                <w:color w:val="000000"/>
                <w:sz w:val="20"/>
              </w:rPr>
              <w:t>jiroveci</w:t>
            </w:r>
            <w:proofErr w:type="spellEnd"/>
            <w:r w:rsidR="003A0FBF" w:rsidRPr="00C821D0">
              <w:rPr>
                <w:rFonts w:cs="Arial"/>
                <w:color w:val="000000"/>
                <w:sz w:val="20"/>
              </w:rPr>
              <w:t xml:space="preserve"> pneumonia</w:t>
            </w:r>
          </w:p>
        </w:tc>
      </w:tr>
      <w:tr w:rsidR="003A0FBF" w14:paraId="0D911269" w14:textId="77777777" w:rsidTr="00EF38F2">
        <w:trPr>
          <w:jc w:val="center"/>
        </w:trPr>
        <w:tc>
          <w:tcPr>
            <w:tcW w:w="2983" w:type="dxa"/>
            <w:hideMark/>
          </w:tcPr>
          <w:p w14:paraId="547322FE" w14:textId="77777777" w:rsidR="003A0FBF" w:rsidRDefault="003A0FBF" w:rsidP="003A0FBF">
            <w:pPr>
              <w:spacing w:after="0"/>
              <w:rPr>
                <w:rFonts w:cs="Arial"/>
                <w:bCs/>
                <w:color w:val="000000"/>
                <w:sz w:val="20"/>
              </w:rPr>
            </w:pPr>
            <w:r>
              <w:rPr>
                <w:rFonts w:cs="Arial"/>
                <w:bCs/>
                <w:color w:val="000000"/>
                <w:sz w:val="20"/>
              </w:rPr>
              <w:t>Frequency not known:</w:t>
            </w:r>
          </w:p>
        </w:tc>
        <w:tc>
          <w:tcPr>
            <w:tcW w:w="3544" w:type="dxa"/>
            <w:hideMark/>
          </w:tcPr>
          <w:p w14:paraId="60123ECA" w14:textId="77777777" w:rsidR="003A0FBF" w:rsidRDefault="003A0FBF" w:rsidP="003A0FBF">
            <w:pPr>
              <w:spacing w:after="0"/>
              <w:jc w:val="left"/>
              <w:rPr>
                <w:rFonts w:cs="Arial"/>
                <w:color w:val="000000"/>
                <w:sz w:val="20"/>
              </w:rPr>
            </w:pPr>
            <w:r>
              <w:rPr>
                <w:rFonts w:cs="Arial"/>
                <w:color w:val="000000"/>
                <w:sz w:val="20"/>
              </w:rPr>
              <w:t xml:space="preserve">Progressive multifocal leukoencephalopathy </w:t>
            </w:r>
          </w:p>
        </w:tc>
        <w:tc>
          <w:tcPr>
            <w:tcW w:w="3544" w:type="dxa"/>
          </w:tcPr>
          <w:p w14:paraId="36FFC764" w14:textId="77777777" w:rsidR="003A0FBF" w:rsidRPr="00C821D0" w:rsidRDefault="003A0FBF" w:rsidP="003A0FBF">
            <w:pPr>
              <w:spacing w:after="0"/>
              <w:jc w:val="left"/>
              <w:rPr>
                <w:rFonts w:cs="Arial"/>
                <w:color w:val="000000"/>
                <w:sz w:val="20"/>
              </w:rPr>
            </w:pPr>
          </w:p>
        </w:tc>
      </w:tr>
      <w:tr w:rsidR="003A0FBF" w14:paraId="4CA3C17F" w14:textId="77777777" w:rsidTr="00EF38F2">
        <w:trPr>
          <w:trHeight w:val="302"/>
          <w:jc w:val="center"/>
        </w:trPr>
        <w:tc>
          <w:tcPr>
            <w:tcW w:w="6527" w:type="dxa"/>
            <w:gridSpan w:val="2"/>
            <w:hideMark/>
          </w:tcPr>
          <w:p w14:paraId="117BF9C6" w14:textId="77777777" w:rsidR="003A0FBF" w:rsidRDefault="003A0FBF" w:rsidP="003A0FBF">
            <w:pPr>
              <w:spacing w:after="0"/>
              <w:jc w:val="left"/>
              <w:rPr>
                <w:rFonts w:cs="Arial"/>
                <w:b/>
                <w:bCs/>
                <w:color w:val="000000"/>
                <w:sz w:val="20"/>
              </w:rPr>
            </w:pPr>
            <w:r>
              <w:rPr>
                <w:rFonts w:cs="Arial"/>
                <w:b/>
                <w:bCs/>
                <w:color w:val="000000"/>
                <w:sz w:val="20"/>
              </w:rPr>
              <w:t>Blood and lymphatic system disorders</w:t>
            </w:r>
          </w:p>
        </w:tc>
        <w:tc>
          <w:tcPr>
            <w:tcW w:w="3544" w:type="dxa"/>
          </w:tcPr>
          <w:p w14:paraId="5C29DA2C" w14:textId="77777777" w:rsidR="003A0FBF" w:rsidRPr="00C821D0" w:rsidRDefault="003A0FBF" w:rsidP="003A0FBF">
            <w:pPr>
              <w:spacing w:after="0"/>
              <w:jc w:val="left"/>
              <w:rPr>
                <w:rFonts w:cs="Arial"/>
                <w:b/>
                <w:bCs/>
                <w:color w:val="000000"/>
                <w:sz w:val="20"/>
              </w:rPr>
            </w:pPr>
          </w:p>
        </w:tc>
      </w:tr>
      <w:tr w:rsidR="003A0FBF" w14:paraId="75841914" w14:textId="77777777" w:rsidTr="00EF38F2">
        <w:trPr>
          <w:jc w:val="center"/>
        </w:trPr>
        <w:tc>
          <w:tcPr>
            <w:tcW w:w="2983" w:type="dxa"/>
            <w:hideMark/>
          </w:tcPr>
          <w:p w14:paraId="4142F41D" w14:textId="77777777" w:rsidR="003A0FBF" w:rsidRDefault="003A0FBF" w:rsidP="003A0FBF">
            <w:pPr>
              <w:spacing w:after="0"/>
              <w:rPr>
                <w:rFonts w:cs="Arial"/>
                <w:bCs/>
                <w:color w:val="000000"/>
                <w:sz w:val="20"/>
              </w:rPr>
            </w:pPr>
            <w:r>
              <w:rPr>
                <w:rFonts w:cs="Arial"/>
                <w:bCs/>
                <w:color w:val="000000"/>
                <w:sz w:val="20"/>
              </w:rPr>
              <w:t>Very common:</w:t>
            </w:r>
          </w:p>
        </w:tc>
        <w:tc>
          <w:tcPr>
            <w:tcW w:w="3544" w:type="dxa"/>
            <w:hideMark/>
          </w:tcPr>
          <w:p w14:paraId="409BC13F" w14:textId="77777777" w:rsidR="003A0FBF" w:rsidRDefault="003A0FBF" w:rsidP="003A0FBF">
            <w:pPr>
              <w:spacing w:after="0"/>
              <w:jc w:val="left"/>
              <w:rPr>
                <w:rFonts w:cs="Arial"/>
                <w:color w:val="000000"/>
                <w:sz w:val="20"/>
              </w:rPr>
            </w:pPr>
            <w:r>
              <w:rPr>
                <w:rFonts w:cs="Arial"/>
                <w:color w:val="000000"/>
                <w:sz w:val="20"/>
              </w:rPr>
              <w:t>Neutropenia</w:t>
            </w:r>
          </w:p>
        </w:tc>
        <w:tc>
          <w:tcPr>
            <w:tcW w:w="3544" w:type="dxa"/>
          </w:tcPr>
          <w:p w14:paraId="32515705" w14:textId="77777777" w:rsidR="003A0FBF" w:rsidRPr="00C821D0" w:rsidRDefault="003A0FBF" w:rsidP="003A0FBF">
            <w:pPr>
              <w:spacing w:after="0"/>
              <w:jc w:val="left"/>
              <w:rPr>
                <w:rFonts w:cs="Arial"/>
                <w:color w:val="000000"/>
                <w:sz w:val="20"/>
              </w:rPr>
            </w:pPr>
            <w:proofErr w:type="spellStart"/>
            <w:r w:rsidRPr="00C821D0">
              <w:rPr>
                <w:rFonts w:cs="Arial"/>
                <w:color w:val="000000"/>
                <w:sz w:val="20"/>
                <w:lang w:val="en-GB"/>
              </w:rPr>
              <w:t>Neutropenia</w:t>
            </w:r>
            <w:r w:rsidRPr="00C821D0">
              <w:rPr>
                <w:rFonts w:cs="Arial"/>
                <w:color w:val="000000"/>
                <w:sz w:val="20"/>
                <w:vertAlign w:val="superscript"/>
                <w:lang w:val="en-GB"/>
              </w:rPr>
              <w:t>a</w:t>
            </w:r>
            <w:proofErr w:type="spellEnd"/>
            <w:r w:rsidRPr="00C821D0">
              <w:rPr>
                <w:rFonts w:cs="Arial"/>
                <w:color w:val="000000"/>
                <w:sz w:val="20"/>
                <w:lang w:val="en-GB"/>
              </w:rPr>
              <w:t>, anaemia, febrile neutropenia</w:t>
            </w:r>
          </w:p>
        </w:tc>
      </w:tr>
      <w:tr w:rsidR="003A0FBF" w14:paraId="40CA1FD8" w14:textId="77777777" w:rsidTr="00EF38F2">
        <w:trPr>
          <w:jc w:val="center"/>
        </w:trPr>
        <w:tc>
          <w:tcPr>
            <w:tcW w:w="2983" w:type="dxa"/>
            <w:hideMark/>
          </w:tcPr>
          <w:p w14:paraId="67C3124B" w14:textId="77777777" w:rsidR="003A0FBF" w:rsidRDefault="003A0FBF" w:rsidP="003A0FBF">
            <w:pPr>
              <w:spacing w:after="0"/>
              <w:rPr>
                <w:rFonts w:cs="Arial"/>
                <w:bCs/>
                <w:color w:val="000000"/>
                <w:sz w:val="20"/>
              </w:rPr>
            </w:pPr>
            <w:r>
              <w:rPr>
                <w:rFonts w:cs="Arial"/>
                <w:bCs/>
                <w:color w:val="000000"/>
                <w:sz w:val="20"/>
              </w:rPr>
              <w:t>Common:</w:t>
            </w:r>
          </w:p>
        </w:tc>
        <w:tc>
          <w:tcPr>
            <w:tcW w:w="3544" w:type="dxa"/>
            <w:hideMark/>
          </w:tcPr>
          <w:p w14:paraId="41A1B52B" w14:textId="77777777" w:rsidR="003A0FBF" w:rsidRDefault="003A0FBF" w:rsidP="003A0FBF">
            <w:pPr>
              <w:spacing w:after="0"/>
              <w:jc w:val="left"/>
              <w:rPr>
                <w:rFonts w:cs="Arial"/>
                <w:color w:val="000000"/>
                <w:sz w:val="20"/>
              </w:rPr>
            </w:pPr>
            <w:r>
              <w:rPr>
                <w:rFonts w:cs="Arial"/>
                <w:color w:val="000000"/>
                <w:sz w:val="20"/>
              </w:rPr>
              <w:t>Anaemia, thrombocytopenia</w:t>
            </w:r>
          </w:p>
        </w:tc>
        <w:tc>
          <w:tcPr>
            <w:tcW w:w="3544" w:type="dxa"/>
          </w:tcPr>
          <w:p w14:paraId="73AFF800" w14:textId="77777777" w:rsidR="003A0FBF" w:rsidRPr="00C821D0" w:rsidRDefault="003A0FBF" w:rsidP="003A0FBF">
            <w:pPr>
              <w:spacing w:after="0"/>
              <w:jc w:val="left"/>
              <w:rPr>
                <w:rFonts w:cs="Arial"/>
                <w:color w:val="000000"/>
                <w:sz w:val="20"/>
              </w:rPr>
            </w:pPr>
            <w:r w:rsidRPr="00C821D0">
              <w:rPr>
                <w:rFonts w:cs="Arial"/>
                <w:color w:val="000000"/>
                <w:sz w:val="20"/>
                <w:lang w:val="en-GB"/>
              </w:rPr>
              <w:t>Thrombocytopenia</w:t>
            </w:r>
          </w:p>
        </w:tc>
      </w:tr>
      <w:tr w:rsidR="003A0FBF" w14:paraId="7CF11D10" w14:textId="77777777" w:rsidTr="00EF38F2">
        <w:trPr>
          <w:jc w:val="center"/>
        </w:trPr>
        <w:tc>
          <w:tcPr>
            <w:tcW w:w="2983" w:type="dxa"/>
            <w:hideMark/>
          </w:tcPr>
          <w:p w14:paraId="25348773" w14:textId="77777777" w:rsidR="003A0FBF" w:rsidRDefault="003A0FBF" w:rsidP="003A0FBF">
            <w:pPr>
              <w:spacing w:after="0"/>
              <w:rPr>
                <w:rFonts w:cs="Arial"/>
                <w:bCs/>
                <w:color w:val="000000"/>
                <w:sz w:val="20"/>
              </w:rPr>
            </w:pPr>
            <w:r>
              <w:rPr>
                <w:rFonts w:cs="Arial"/>
                <w:bCs/>
                <w:color w:val="000000"/>
                <w:sz w:val="20"/>
              </w:rPr>
              <w:t>Uncommon:</w:t>
            </w:r>
          </w:p>
        </w:tc>
        <w:tc>
          <w:tcPr>
            <w:tcW w:w="3544" w:type="dxa"/>
            <w:hideMark/>
          </w:tcPr>
          <w:p w14:paraId="6B3D026B" w14:textId="77777777" w:rsidR="003A0FBF" w:rsidRDefault="003A0FBF" w:rsidP="003A0FBF">
            <w:pPr>
              <w:spacing w:after="0"/>
              <w:jc w:val="left"/>
              <w:rPr>
                <w:rFonts w:cs="Arial"/>
                <w:color w:val="000000"/>
                <w:sz w:val="20"/>
              </w:rPr>
            </w:pPr>
            <w:r>
              <w:rPr>
                <w:rFonts w:cs="Arial"/>
                <w:color w:val="000000"/>
                <w:sz w:val="20"/>
              </w:rPr>
              <w:t>Febrile neutropenia</w:t>
            </w:r>
          </w:p>
        </w:tc>
        <w:tc>
          <w:tcPr>
            <w:tcW w:w="3544" w:type="dxa"/>
          </w:tcPr>
          <w:p w14:paraId="1E92B331" w14:textId="77777777" w:rsidR="003A0FBF" w:rsidRPr="00C821D0" w:rsidRDefault="003A0FBF" w:rsidP="003A0FBF">
            <w:pPr>
              <w:spacing w:after="0"/>
              <w:jc w:val="left"/>
              <w:rPr>
                <w:rFonts w:cs="Arial"/>
                <w:color w:val="000000"/>
                <w:sz w:val="20"/>
              </w:rPr>
            </w:pPr>
          </w:p>
        </w:tc>
      </w:tr>
      <w:tr w:rsidR="003A0FBF" w14:paraId="4AE4C4BB" w14:textId="77777777" w:rsidTr="00EF38F2">
        <w:trPr>
          <w:jc w:val="center"/>
        </w:trPr>
        <w:tc>
          <w:tcPr>
            <w:tcW w:w="2983" w:type="dxa"/>
            <w:hideMark/>
          </w:tcPr>
          <w:p w14:paraId="48F4ECD7" w14:textId="77777777" w:rsidR="003A0FBF" w:rsidRDefault="003A0FBF" w:rsidP="003A0FBF">
            <w:pPr>
              <w:spacing w:after="0"/>
              <w:rPr>
                <w:rFonts w:cs="Arial"/>
                <w:bCs/>
                <w:color w:val="000000"/>
                <w:sz w:val="20"/>
              </w:rPr>
            </w:pPr>
            <w:r>
              <w:rPr>
                <w:rFonts w:cs="Arial"/>
                <w:b/>
                <w:bCs/>
                <w:color w:val="000000"/>
                <w:sz w:val="20"/>
              </w:rPr>
              <w:t>Immune system disorders</w:t>
            </w:r>
          </w:p>
        </w:tc>
        <w:tc>
          <w:tcPr>
            <w:tcW w:w="3544" w:type="dxa"/>
          </w:tcPr>
          <w:p w14:paraId="772EE206" w14:textId="77777777" w:rsidR="003A0FBF" w:rsidRDefault="003A0FBF" w:rsidP="003A0FBF">
            <w:pPr>
              <w:spacing w:after="0"/>
              <w:jc w:val="left"/>
              <w:rPr>
                <w:rFonts w:cs="Arial"/>
                <w:color w:val="000000"/>
                <w:sz w:val="20"/>
              </w:rPr>
            </w:pPr>
          </w:p>
        </w:tc>
        <w:tc>
          <w:tcPr>
            <w:tcW w:w="3544" w:type="dxa"/>
          </w:tcPr>
          <w:p w14:paraId="5CA1EBED" w14:textId="77777777" w:rsidR="003A0FBF" w:rsidRPr="00C821D0" w:rsidRDefault="003A0FBF" w:rsidP="003A0FBF">
            <w:pPr>
              <w:spacing w:after="0"/>
              <w:jc w:val="left"/>
              <w:rPr>
                <w:rFonts w:cs="Arial"/>
                <w:color w:val="000000"/>
                <w:sz w:val="20"/>
              </w:rPr>
            </w:pPr>
          </w:p>
        </w:tc>
      </w:tr>
      <w:tr w:rsidR="003A0FBF" w14:paraId="146E9D04" w14:textId="77777777" w:rsidTr="00EF38F2">
        <w:trPr>
          <w:jc w:val="center"/>
        </w:trPr>
        <w:tc>
          <w:tcPr>
            <w:tcW w:w="2983" w:type="dxa"/>
            <w:hideMark/>
          </w:tcPr>
          <w:p w14:paraId="455C0769" w14:textId="77777777" w:rsidR="003A0FBF" w:rsidRDefault="003A0FBF" w:rsidP="003A0FBF">
            <w:pPr>
              <w:spacing w:after="0"/>
              <w:rPr>
                <w:rFonts w:cs="Arial"/>
                <w:b/>
                <w:bCs/>
                <w:color w:val="000000"/>
                <w:sz w:val="20"/>
              </w:rPr>
            </w:pPr>
            <w:r>
              <w:rPr>
                <w:rFonts w:cs="Arial"/>
                <w:bCs/>
                <w:color w:val="000000"/>
                <w:sz w:val="20"/>
              </w:rPr>
              <w:t>Uncommon:</w:t>
            </w:r>
          </w:p>
        </w:tc>
        <w:tc>
          <w:tcPr>
            <w:tcW w:w="3544" w:type="dxa"/>
            <w:hideMark/>
          </w:tcPr>
          <w:p w14:paraId="769519F0" w14:textId="77777777" w:rsidR="003A0FBF" w:rsidRDefault="003A0FBF" w:rsidP="003A0FBF">
            <w:pPr>
              <w:spacing w:after="0"/>
              <w:jc w:val="left"/>
              <w:rPr>
                <w:rFonts w:cs="Arial"/>
                <w:color w:val="000000"/>
                <w:sz w:val="20"/>
              </w:rPr>
            </w:pPr>
            <w:r>
              <w:rPr>
                <w:rFonts w:cs="Arial"/>
                <w:color w:val="000000"/>
                <w:sz w:val="20"/>
              </w:rPr>
              <w:t>Anaphylactic reaction</w:t>
            </w:r>
          </w:p>
        </w:tc>
        <w:tc>
          <w:tcPr>
            <w:tcW w:w="3544" w:type="dxa"/>
          </w:tcPr>
          <w:p w14:paraId="51110160" w14:textId="77777777" w:rsidR="003A0FBF" w:rsidRPr="00C821D0" w:rsidRDefault="006A6364" w:rsidP="003A0FBF">
            <w:pPr>
              <w:spacing w:after="0"/>
              <w:jc w:val="left"/>
              <w:rPr>
                <w:rFonts w:cs="Arial"/>
                <w:color w:val="000000"/>
                <w:sz w:val="20"/>
              </w:rPr>
            </w:pPr>
            <w:r>
              <w:rPr>
                <w:rFonts w:cs="Arial"/>
                <w:color w:val="000000"/>
                <w:sz w:val="20"/>
              </w:rPr>
              <w:t>Anaphylactic reaction</w:t>
            </w:r>
          </w:p>
        </w:tc>
      </w:tr>
      <w:tr w:rsidR="003A0FBF" w14:paraId="7B5FFD2B" w14:textId="77777777" w:rsidTr="00EF38F2">
        <w:trPr>
          <w:trHeight w:val="302"/>
          <w:jc w:val="center"/>
        </w:trPr>
        <w:tc>
          <w:tcPr>
            <w:tcW w:w="6527" w:type="dxa"/>
            <w:gridSpan w:val="2"/>
            <w:hideMark/>
          </w:tcPr>
          <w:p w14:paraId="728A4D76" w14:textId="77777777" w:rsidR="003A0FBF" w:rsidRDefault="003A0FBF" w:rsidP="003A0FBF">
            <w:pPr>
              <w:spacing w:after="0"/>
              <w:jc w:val="left"/>
              <w:rPr>
                <w:rFonts w:cs="Arial"/>
                <w:b/>
                <w:bCs/>
                <w:color w:val="000000"/>
                <w:sz w:val="20"/>
              </w:rPr>
            </w:pPr>
            <w:r>
              <w:rPr>
                <w:rFonts w:cs="Arial"/>
                <w:b/>
                <w:bCs/>
                <w:color w:val="000000"/>
                <w:sz w:val="20"/>
              </w:rPr>
              <w:t>Metabolism and nutrition disorders</w:t>
            </w:r>
          </w:p>
        </w:tc>
        <w:tc>
          <w:tcPr>
            <w:tcW w:w="3544" w:type="dxa"/>
          </w:tcPr>
          <w:p w14:paraId="3ECA8BBF" w14:textId="77777777" w:rsidR="003A0FBF" w:rsidRPr="00C821D0" w:rsidRDefault="003A0FBF" w:rsidP="003A0FBF">
            <w:pPr>
              <w:spacing w:after="0"/>
              <w:jc w:val="left"/>
              <w:rPr>
                <w:rFonts w:cs="Arial"/>
                <w:b/>
                <w:bCs/>
                <w:color w:val="000000"/>
                <w:sz w:val="20"/>
              </w:rPr>
            </w:pPr>
          </w:p>
        </w:tc>
      </w:tr>
      <w:tr w:rsidR="003A0FBF" w14:paraId="4044D267" w14:textId="77777777" w:rsidTr="00EF38F2">
        <w:trPr>
          <w:jc w:val="center"/>
        </w:trPr>
        <w:tc>
          <w:tcPr>
            <w:tcW w:w="2983" w:type="dxa"/>
          </w:tcPr>
          <w:p w14:paraId="2C805235" w14:textId="77777777" w:rsidR="003A0FBF" w:rsidRDefault="003A0FBF" w:rsidP="003A0FBF">
            <w:pPr>
              <w:spacing w:after="0"/>
              <w:rPr>
                <w:rFonts w:cs="Arial"/>
                <w:bCs/>
                <w:color w:val="000000"/>
                <w:sz w:val="20"/>
              </w:rPr>
            </w:pPr>
            <w:r>
              <w:rPr>
                <w:rFonts w:cs="Arial"/>
                <w:bCs/>
                <w:color w:val="000000"/>
                <w:sz w:val="20"/>
              </w:rPr>
              <w:t>Very common:</w:t>
            </w:r>
          </w:p>
        </w:tc>
        <w:tc>
          <w:tcPr>
            <w:tcW w:w="3544" w:type="dxa"/>
          </w:tcPr>
          <w:p w14:paraId="51DE9132" w14:textId="77777777" w:rsidR="003A0FBF" w:rsidRDefault="003A0FBF" w:rsidP="003A0FBF">
            <w:pPr>
              <w:spacing w:after="0"/>
              <w:jc w:val="left"/>
              <w:rPr>
                <w:rFonts w:cs="Arial"/>
                <w:color w:val="000000"/>
                <w:sz w:val="20"/>
              </w:rPr>
            </w:pPr>
          </w:p>
        </w:tc>
        <w:tc>
          <w:tcPr>
            <w:tcW w:w="3544" w:type="dxa"/>
          </w:tcPr>
          <w:p w14:paraId="6275121D" w14:textId="77777777" w:rsidR="003A0FBF" w:rsidRPr="00C821D0" w:rsidRDefault="003A0FBF" w:rsidP="003A0FBF">
            <w:pPr>
              <w:spacing w:after="0"/>
              <w:jc w:val="left"/>
              <w:rPr>
                <w:rFonts w:cs="Arial"/>
                <w:color w:val="000000"/>
                <w:sz w:val="20"/>
              </w:rPr>
            </w:pPr>
            <w:r w:rsidRPr="00C821D0">
              <w:rPr>
                <w:rFonts w:cs="Arial"/>
                <w:color w:val="000000"/>
                <w:sz w:val="20"/>
                <w:lang w:val="en-GB"/>
              </w:rPr>
              <w:t>Decreased appetite</w:t>
            </w:r>
          </w:p>
        </w:tc>
      </w:tr>
      <w:tr w:rsidR="003A0FBF" w14:paraId="18F40F8F" w14:textId="77777777" w:rsidTr="00EF38F2">
        <w:trPr>
          <w:jc w:val="center"/>
        </w:trPr>
        <w:tc>
          <w:tcPr>
            <w:tcW w:w="2983" w:type="dxa"/>
            <w:hideMark/>
          </w:tcPr>
          <w:p w14:paraId="2B489A87" w14:textId="77777777" w:rsidR="003A0FBF" w:rsidRDefault="003A0FBF" w:rsidP="003A0FBF">
            <w:pPr>
              <w:spacing w:after="0"/>
              <w:rPr>
                <w:rFonts w:cs="Arial"/>
                <w:bCs/>
                <w:color w:val="000000"/>
                <w:sz w:val="20"/>
              </w:rPr>
            </w:pPr>
            <w:r>
              <w:rPr>
                <w:rFonts w:cs="Arial"/>
                <w:bCs/>
                <w:color w:val="000000"/>
                <w:sz w:val="20"/>
              </w:rPr>
              <w:t>Common:</w:t>
            </w:r>
          </w:p>
        </w:tc>
        <w:tc>
          <w:tcPr>
            <w:tcW w:w="3544" w:type="dxa"/>
            <w:hideMark/>
          </w:tcPr>
          <w:p w14:paraId="1B5CF01B" w14:textId="77777777" w:rsidR="003A0FBF" w:rsidRDefault="003A0FBF" w:rsidP="003A0FBF">
            <w:pPr>
              <w:spacing w:after="0"/>
              <w:jc w:val="left"/>
              <w:rPr>
                <w:rFonts w:cs="Arial"/>
                <w:color w:val="000000"/>
                <w:sz w:val="20"/>
              </w:rPr>
            </w:pPr>
            <w:r>
              <w:rPr>
                <w:rFonts w:cs="Arial"/>
                <w:color w:val="000000"/>
                <w:sz w:val="20"/>
              </w:rPr>
              <w:t>Hyperglycaemia</w:t>
            </w:r>
          </w:p>
        </w:tc>
        <w:tc>
          <w:tcPr>
            <w:tcW w:w="3544" w:type="dxa"/>
          </w:tcPr>
          <w:p w14:paraId="57740516" w14:textId="77777777" w:rsidR="003A0FBF" w:rsidRPr="00C821D0" w:rsidRDefault="003A0FBF" w:rsidP="003A0FBF">
            <w:pPr>
              <w:spacing w:after="0"/>
              <w:jc w:val="left"/>
              <w:rPr>
                <w:rFonts w:cs="Arial"/>
                <w:color w:val="000000"/>
                <w:sz w:val="20"/>
              </w:rPr>
            </w:pPr>
            <w:r w:rsidRPr="00C821D0">
              <w:rPr>
                <w:rFonts w:cs="Arial"/>
                <w:color w:val="000000"/>
                <w:sz w:val="20"/>
                <w:lang w:val="en-GB"/>
              </w:rPr>
              <w:t>Hyperglycaemia</w:t>
            </w:r>
          </w:p>
        </w:tc>
      </w:tr>
      <w:tr w:rsidR="003A0FBF" w14:paraId="7046255C" w14:textId="77777777" w:rsidTr="00EF38F2">
        <w:trPr>
          <w:jc w:val="center"/>
        </w:trPr>
        <w:tc>
          <w:tcPr>
            <w:tcW w:w="2983" w:type="dxa"/>
            <w:hideMark/>
          </w:tcPr>
          <w:p w14:paraId="6605B05F" w14:textId="77777777" w:rsidR="003A0FBF" w:rsidRDefault="003A0FBF" w:rsidP="003A0FBF">
            <w:pPr>
              <w:spacing w:after="0"/>
              <w:rPr>
                <w:rFonts w:cs="Arial"/>
                <w:bCs/>
                <w:color w:val="000000"/>
                <w:sz w:val="20"/>
              </w:rPr>
            </w:pPr>
            <w:r>
              <w:rPr>
                <w:rFonts w:cs="Arial"/>
                <w:bCs/>
                <w:color w:val="000000"/>
                <w:sz w:val="20"/>
              </w:rPr>
              <w:t>Uncommon:</w:t>
            </w:r>
          </w:p>
        </w:tc>
        <w:tc>
          <w:tcPr>
            <w:tcW w:w="3544" w:type="dxa"/>
            <w:hideMark/>
          </w:tcPr>
          <w:p w14:paraId="034C1B09" w14:textId="77777777" w:rsidR="003A0FBF" w:rsidRDefault="003A0FBF" w:rsidP="003A0FBF">
            <w:pPr>
              <w:spacing w:after="0"/>
              <w:jc w:val="left"/>
              <w:rPr>
                <w:rFonts w:cs="Arial"/>
                <w:color w:val="000000"/>
                <w:sz w:val="20"/>
              </w:rPr>
            </w:pPr>
            <w:r>
              <w:rPr>
                <w:rFonts w:cs="Arial"/>
                <w:color w:val="000000"/>
                <w:sz w:val="20"/>
              </w:rPr>
              <w:t>Tumour lysis syndrome</w:t>
            </w:r>
          </w:p>
        </w:tc>
        <w:tc>
          <w:tcPr>
            <w:tcW w:w="3544" w:type="dxa"/>
          </w:tcPr>
          <w:p w14:paraId="19B5D8AD" w14:textId="77777777" w:rsidR="003A0FBF" w:rsidRPr="00C821D0" w:rsidRDefault="003A0FBF" w:rsidP="003A0FBF">
            <w:pPr>
              <w:spacing w:after="0"/>
              <w:jc w:val="left"/>
              <w:rPr>
                <w:rFonts w:cs="Arial"/>
                <w:color w:val="000000"/>
                <w:sz w:val="20"/>
              </w:rPr>
            </w:pPr>
            <w:r w:rsidRPr="00C821D0">
              <w:rPr>
                <w:rFonts w:cs="Arial"/>
                <w:color w:val="000000"/>
                <w:sz w:val="20"/>
                <w:lang w:val="en-GB"/>
              </w:rPr>
              <w:t>Tumour lysis syndrome</w:t>
            </w:r>
          </w:p>
        </w:tc>
      </w:tr>
      <w:tr w:rsidR="003A0FBF" w14:paraId="3747ECCF" w14:textId="77777777" w:rsidTr="00EF38F2">
        <w:trPr>
          <w:trHeight w:val="302"/>
          <w:jc w:val="center"/>
        </w:trPr>
        <w:tc>
          <w:tcPr>
            <w:tcW w:w="6527" w:type="dxa"/>
            <w:gridSpan w:val="2"/>
            <w:hideMark/>
          </w:tcPr>
          <w:p w14:paraId="4E143A53" w14:textId="77777777" w:rsidR="003A0FBF" w:rsidRDefault="003A0FBF" w:rsidP="003A0FBF">
            <w:pPr>
              <w:spacing w:after="0"/>
              <w:jc w:val="left"/>
              <w:rPr>
                <w:rFonts w:cs="Arial"/>
                <w:b/>
                <w:bCs/>
                <w:color w:val="000000"/>
                <w:sz w:val="20"/>
              </w:rPr>
            </w:pPr>
            <w:r>
              <w:rPr>
                <w:rFonts w:cs="Arial"/>
                <w:b/>
                <w:bCs/>
                <w:color w:val="000000"/>
                <w:sz w:val="20"/>
              </w:rPr>
              <w:t>Nervous system disorders</w:t>
            </w:r>
          </w:p>
        </w:tc>
        <w:tc>
          <w:tcPr>
            <w:tcW w:w="3544" w:type="dxa"/>
          </w:tcPr>
          <w:p w14:paraId="790E5E63" w14:textId="77777777" w:rsidR="003A0FBF" w:rsidRPr="00C821D0" w:rsidRDefault="003A0FBF" w:rsidP="003A0FBF">
            <w:pPr>
              <w:spacing w:after="0"/>
              <w:jc w:val="left"/>
              <w:rPr>
                <w:rFonts w:cs="Arial"/>
                <w:b/>
                <w:bCs/>
                <w:color w:val="000000"/>
                <w:sz w:val="20"/>
              </w:rPr>
            </w:pPr>
          </w:p>
        </w:tc>
      </w:tr>
      <w:tr w:rsidR="003A0FBF" w14:paraId="133AA491" w14:textId="77777777" w:rsidTr="00EF38F2">
        <w:trPr>
          <w:jc w:val="center"/>
        </w:trPr>
        <w:tc>
          <w:tcPr>
            <w:tcW w:w="2983" w:type="dxa"/>
            <w:hideMark/>
          </w:tcPr>
          <w:p w14:paraId="5D5489F4" w14:textId="77777777" w:rsidR="003A0FBF" w:rsidRDefault="003A0FBF" w:rsidP="003A0FBF">
            <w:pPr>
              <w:spacing w:after="0"/>
              <w:rPr>
                <w:rFonts w:cs="Arial"/>
                <w:bCs/>
                <w:color w:val="000000"/>
                <w:sz w:val="20"/>
              </w:rPr>
            </w:pPr>
            <w:r>
              <w:rPr>
                <w:rFonts w:cs="Arial"/>
                <w:bCs/>
                <w:color w:val="000000"/>
                <w:sz w:val="20"/>
              </w:rPr>
              <w:t>Very common:</w:t>
            </w:r>
          </w:p>
        </w:tc>
        <w:tc>
          <w:tcPr>
            <w:tcW w:w="3544" w:type="dxa"/>
            <w:hideMark/>
          </w:tcPr>
          <w:p w14:paraId="0F3D3DCB" w14:textId="77777777" w:rsidR="003A0FBF" w:rsidRDefault="003A0FBF" w:rsidP="003A0FBF">
            <w:pPr>
              <w:autoSpaceDE w:val="0"/>
              <w:autoSpaceDN w:val="0"/>
              <w:adjustRightInd w:val="0"/>
              <w:spacing w:after="0"/>
              <w:jc w:val="left"/>
              <w:rPr>
                <w:rFonts w:cs="Arial"/>
                <w:color w:val="000000"/>
                <w:sz w:val="20"/>
              </w:rPr>
            </w:pPr>
            <w:r>
              <w:rPr>
                <w:rFonts w:cs="Arial"/>
                <w:color w:val="000000"/>
                <w:sz w:val="20"/>
              </w:rPr>
              <w:t>Peripheral sensory neuropathy, peripheral motor neuropathy</w:t>
            </w:r>
          </w:p>
        </w:tc>
        <w:tc>
          <w:tcPr>
            <w:tcW w:w="3544" w:type="dxa"/>
          </w:tcPr>
          <w:p w14:paraId="3B785AA8" w14:textId="77777777" w:rsidR="003A0FBF" w:rsidRPr="00C821D0" w:rsidRDefault="003A0FBF" w:rsidP="003A0FBF">
            <w:pPr>
              <w:autoSpaceDE w:val="0"/>
              <w:autoSpaceDN w:val="0"/>
              <w:adjustRightInd w:val="0"/>
              <w:spacing w:after="0"/>
              <w:jc w:val="left"/>
              <w:rPr>
                <w:rFonts w:cs="Arial"/>
                <w:color w:val="000000"/>
                <w:sz w:val="20"/>
              </w:rPr>
            </w:pPr>
            <w:r w:rsidRPr="00C821D0">
              <w:rPr>
                <w:rFonts w:cs="Arial"/>
                <w:color w:val="000000"/>
                <w:sz w:val="20"/>
                <w:lang w:val="en-GB"/>
              </w:rPr>
              <w:t xml:space="preserve">Peripheral sensory </w:t>
            </w:r>
            <w:proofErr w:type="spellStart"/>
            <w:r w:rsidRPr="00C821D0">
              <w:rPr>
                <w:rFonts w:cs="Arial"/>
                <w:color w:val="000000"/>
                <w:sz w:val="20"/>
                <w:lang w:val="en-GB"/>
              </w:rPr>
              <w:t>neuropathy</w:t>
            </w:r>
            <w:r w:rsidRPr="00C821D0">
              <w:rPr>
                <w:rFonts w:cs="Arial"/>
                <w:color w:val="000000"/>
                <w:sz w:val="20"/>
                <w:vertAlign w:val="superscript"/>
                <w:lang w:val="en-GB"/>
              </w:rPr>
              <w:t>a</w:t>
            </w:r>
            <w:proofErr w:type="spellEnd"/>
            <w:r w:rsidRPr="00C821D0">
              <w:rPr>
                <w:rFonts w:cs="Arial"/>
                <w:color w:val="000000"/>
                <w:sz w:val="20"/>
                <w:lang w:val="en-GB"/>
              </w:rPr>
              <w:t xml:space="preserve">, peripheral motor </w:t>
            </w:r>
            <w:proofErr w:type="spellStart"/>
            <w:r w:rsidRPr="00C821D0">
              <w:rPr>
                <w:rFonts w:cs="Arial"/>
                <w:color w:val="000000"/>
                <w:sz w:val="20"/>
                <w:lang w:val="en-GB"/>
              </w:rPr>
              <w:t>neuropathy</w:t>
            </w:r>
            <w:r w:rsidRPr="00C821D0">
              <w:rPr>
                <w:rFonts w:cs="Arial"/>
                <w:color w:val="000000"/>
                <w:sz w:val="20"/>
                <w:vertAlign w:val="superscript"/>
                <w:lang w:val="en-GB"/>
              </w:rPr>
              <w:t>a</w:t>
            </w:r>
            <w:proofErr w:type="spellEnd"/>
            <w:r w:rsidRPr="00C821D0">
              <w:rPr>
                <w:rFonts w:cs="Arial"/>
                <w:color w:val="000000"/>
                <w:sz w:val="20"/>
                <w:lang w:val="en-GB"/>
              </w:rPr>
              <w:t>, dizziness</w:t>
            </w:r>
          </w:p>
        </w:tc>
      </w:tr>
      <w:tr w:rsidR="003A0FBF" w14:paraId="62C2F8C2" w14:textId="77777777" w:rsidTr="00EF38F2">
        <w:trPr>
          <w:jc w:val="center"/>
        </w:trPr>
        <w:tc>
          <w:tcPr>
            <w:tcW w:w="2983" w:type="dxa"/>
            <w:hideMark/>
          </w:tcPr>
          <w:p w14:paraId="4BC817BB" w14:textId="77777777" w:rsidR="003A0FBF" w:rsidRDefault="003A0FBF" w:rsidP="003A0FBF">
            <w:pPr>
              <w:spacing w:after="0"/>
              <w:rPr>
                <w:rFonts w:cs="Arial"/>
                <w:bCs/>
                <w:color w:val="000000"/>
                <w:sz w:val="20"/>
              </w:rPr>
            </w:pPr>
            <w:r>
              <w:rPr>
                <w:rFonts w:cs="Arial"/>
                <w:bCs/>
                <w:color w:val="000000"/>
                <w:sz w:val="20"/>
              </w:rPr>
              <w:t>Common:</w:t>
            </w:r>
          </w:p>
        </w:tc>
        <w:tc>
          <w:tcPr>
            <w:tcW w:w="3544" w:type="dxa"/>
            <w:hideMark/>
          </w:tcPr>
          <w:p w14:paraId="56433E98" w14:textId="77777777" w:rsidR="003A0FBF" w:rsidRDefault="003A0FBF" w:rsidP="003A0FBF">
            <w:pPr>
              <w:spacing w:after="0"/>
              <w:jc w:val="left"/>
              <w:rPr>
                <w:rFonts w:cs="Arial"/>
                <w:color w:val="000000"/>
                <w:sz w:val="20"/>
              </w:rPr>
            </w:pPr>
            <w:r>
              <w:rPr>
                <w:rFonts w:cs="Arial"/>
                <w:color w:val="000000"/>
                <w:sz w:val="20"/>
              </w:rPr>
              <w:t>Dizziness</w:t>
            </w:r>
          </w:p>
        </w:tc>
        <w:tc>
          <w:tcPr>
            <w:tcW w:w="3544" w:type="dxa"/>
          </w:tcPr>
          <w:p w14:paraId="6CC52901" w14:textId="77777777" w:rsidR="003A0FBF" w:rsidRPr="00C821D0" w:rsidRDefault="003A0FBF" w:rsidP="003A0FBF">
            <w:pPr>
              <w:spacing w:after="0"/>
              <w:jc w:val="left"/>
              <w:rPr>
                <w:rFonts w:cs="Arial"/>
                <w:color w:val="000000"/>
                <w:sz w:val="20"/>
              </w:rPr>
            </w:pPr>
          </w:p>
        </w:tc>
      </w:tr>
      <w:tr w:rsidR="003A0FBF" w14:paraId="0E2AAD34" w14:textId="77777777" w:rsidTr="00EF38F2">
        <w:trPr>
          <w:jc w:val="center"/>
        </w:trPr>
        <w:tc>
          <w:tcPr>
            <w:tcW w:w="2983" w:type="dxa"/>
            <w:hideMark/>
          </w:tcPr>
          <w:p w14:paraId="6CCE0BCE" w14:textId="77777777" w:rsidR="003A0FBF" w:rsidRDefault="003A0FBF" w:rsidP="003A0FBF">
            <w:pPr>
              <w:spacing w:after="0"/>
              <w:rPr>
                <w:rFonts w:cs="Arial"/>
                <w:bCs/>
                <w:color w:val="000000"/>
                <w:sz w:val="20"/>
              </w:rPr>
            </w:pPr>
            <w:r>
              <w:rPr>
                <w:rFonts w:cs="Arial"/>
                <w:bCs/>
                <w:color w:val="000000"/>
                <w:sz w:val="20"/>
              </w:rPr>
              <w:t>Uncommon:</w:t>
            </w:r>
          </w:p>
        </w:tc>
        <w:tc>
          <w:tcPr>
            <w:tcW w:w="3544" w:type="dxa"/>
            <w:hideMark/>
          </w:tcPr>
          <w:p w14:paraId="37A7DC2A" w14:textId="77777777" w:rsidR="003A0FBF" w:rsidRDefault="003A0FBF" w:rsidP="003A0FBF">
            <w:pPr>
              <w:spacing w:after="0"/>
              <w:jc w:val="left"/>
              <w:rPr>
                <w:rFonts w:cs="Arial"/>
                <w:color w:val="000000"/>
                <w:sz w:val="20"/>
              </w:rPr>
            </w:pPr>
            <w:r>
              <w:rPr>
                <w:rFonts w:cs="Arial"/>
                <w:color w:val="000000"/>
                <w:sz w:val="20"/>
              </w:rPr>
              <w:t>Demyelinating polyneuropathy</w:t>
            </w:r>
          </w:p>
        </w:tc>
        <w:tc>
          <w:tcPr>
            <w:tcW w:w="3544" w:type="dxa"/>
          </w:tcPr>
          <w:p w14:paraId="3DB61AB0" w14:textId="77777777" w:rsidR="003A0FBF" w:rsidRPr="00C821D0" w:rsidRDefault="003A0FBF" w:rsidP="003A0FBF">
            <w:pPr>
              <w:spacing w:after="0"/>
              <w:jc w:val="left"/>
              <w:rPr>
                <w:rFonts w:cs="Arial"/>
                <w:color w:val="000000"/>
                <w:sz w:val="20"/>
              </w:rPr>
            </w:pPr>
          </w:p>
        </w:tc>
      </w:tr>
      <w:tr w:rsidR="003A0FBF" w14:paraId="1AE50258" w14:textId="77777777" w:rsidTr="00EF38F2">
        <w:trPr>
          <w:trHeight w:val="302"/>
          <w:jc w:val="center"/>
        </w:trPr>
        <w:tc>
          <w:tcPr>
            <w:tcW w:w="6527" w:type="dxa"/>
            <w:gridSpan w:val="2"/>
            <w:hideMark/>
          </w:tcPr>
          <w:p w14:paraId="16436083" w14:textId="77777777" w:rsidR="003A0FBF" w:rsidRDefault="003A0FBF" w:rsidP="003A0FBF">
            <w:pPr>
              <w:spacing w:after="0"/>
              <w:ind w:left="270" w:hanging="270"/>
              <w:jc w:val="left"/>
              <w:rPr>
                <w:rFonts w:cs="Arial"/>
                <w:b/>
                <w:bCs/>
                <w:color w:val="000000"/>
                <w:sz w:val="20"/>
              </w:rPr>
            </w:pPr>
            <w:r>
              <w:rPr>
                <w:rFonts w:cs="Arial"/>
                <w:b/>
                <w:bCs/>
                <w:color w:val="000000"/>
                <w:sz w:val="20"/>
              </w:rPr>
              <w:t xml:space="preserve">Respiratory, </w:t>
            </w:r>
            <w:proofErr w:type="gramStart"/>
            <w:r>
              <w:rPr>
                <w:rFonts w:cs="Arial"/>
                <w:b/>
                <w:bCs/>
                <w:color w:val="000000"/>
                <w:sz w:val="20"/>
              </w:rPr>
              <w:t>thoracic</w:t>
            </w:r>
            <w:proofErr w:type="gramEnd"/>
            <w:r>
              <w:rPr>
                <w:rFonts w:cs="Arial"/>
                <w:b/>
                <w:bCs/>
                <w:color w:val="000000"/>
                <w:sz w:val="20"/>
              </w:rPr>
              <w:t xml:space="preserve"> and mediastinal disorders</w:t>
            </w:r>
          </w:p>
        </w:tc>
        <w:tc>
          <w:tcPr>
            <w:tcW w:w="3544" w:type="dxa"/>
          </w:tcPr>
          <w:p w14:paraId="31DA330B" w14:textId="77777777" w:rsidR="003A0FBF" w:rsidRPr="00C821D0" w:rsidRDefault="003A0FBF" w:rsidP="003A0FBF">
            <w:pPr>
              <w:spacing w:after="0"/>
              <w:ind w:left="270" w:hanging="270"/>
              <w:jc w:val="left"/>
              <w:rPr>
                <w:rFonts w:cs="Arial"/>
                <w:b/>
                <w:bCs/>
                <w:color w:val="000000"/>
                <w:sz w:val="20"/>
              </w:rPr>
            </w:pPr>
          </w:p>
        </w:tc>
      </w:tr>
      <w:tr w:rsidR="003A0FBF" w14:paraId="031C8346" w14:textId="77777777" w:rsidTr="00EF38F2">
        <w:trPr>
          <w:jc w:val="center"/>
        </w:trPr>
        <w:tc>
          <w:tcPr>
            <w:tcW w:w="2983" w:type="dxa"/>
            <w:hideMark/>
          </w:tcPr>
          <w:p w14:paraId="5E97992C" w14:textId="77777777" w:rsidR="003A0FBF" w:rsidRDefault="003A0FBF" w:rsidP="003A0FBF">
            <w:pPr>
              <w:spacing w:after="0"/>
              <w:rPr>
                <w:rFonts w:cs="Arial"/>
                <w:bCs/>
                <w:color w:val="000000"/>
                <w:sz w:val="20"/>
              </w:rPr>
            </w:pPr>
            <w:r>
              <w:rPr>
                <w:rFonts w:cs="Arial"/>
                <w:bCs/>
                <w:color w:val="000000"/>
                <w:sz w:val="20"/>
              </w:rPr>
              <w:t>Very common:</w:t>
            </w:r>
          </w:p>
        </w:tc>
        <w:tc>
          <w:tcPr>
            <w:tcW w:w="3544" w:type="dxa"/>
            <w:hideMark/>
          </w:tcPr>
          <w:p w14:paraId="78DC1774" w14:textId="77777777" w:rsidR="003A0FBF" w:rsidRDefault="003A0FBF" w:rsidP="003A0FBF">
            <w:pPr>
              <w:spacing w:after="0"/>
              <w:jc w:val="left"/>
              <w:rPr>
                <w:rFonts w:cs="Arial"/>
                <w:color w:val="000000"/>
                <w:sz w:val="20"/>
              </w:rPr>
            </w:pPr>
            <w:r>
              <w:rPr>
                <w:rFonts w:cs="Arial"/>
                <w:color w:val="000000"/>
                <w:sz w:val="20"/>
              </w:rPr>
              <w:t>Cough, dyspnoea</w:t>
            </w:r>
          </w:p>
        </w:tc>
        <w:tc>
          <w:tcPr>
            <w:tcW w:w="3544" w:type="dxa"/>
          </w:tcPr>
          <w:p w14:paraId="2E7CC19E" w14:textId="77777777" w:rsidR="003A0FBF" w:rsidRPr="00C821D0" w:rsidRDefault="003A0FBF" w:rsidP="003A0FBF">
            <w:pPr>
              <w:spacing w:after="0"/>
              <w:jc w:val="left"/>
              <w:rPr>
                <w:rFonts w:cs="Arial"/>
                <w:color w:val="000000"/>
                <w:sz w:val="20"/>
              </w:rPr>
            </w:pPr>
            <w:r w:rsidRPr="00C821D0">
              <w:rPr>
                <w:rFonts w:cs="Arial"/>
                <w:color w:val="000000"/>
                <w:sz w:val="20"/>
                <w:lang w:val="en-GB"/>
              </w:rPr>
              <w:t>Cough, dyspnoea</w:t>
            </w:r>
          </w:p>
        </w:tc>
      </w:tr>
      <w:tr w:rsidR="003A0FBF" w14:paraId="55295694" w14:textId="77777777" w:rsidTr="00EF38F2">
        <w:trPr>
          <w:jc w:val="center"/>
        </w:trPr>
        <w:tc>
          <w:tcPr>
            <w:tcW w:w="6527" w:type="dxa"/>
            <w:gridSpan w:val="2"/>
            <w:hideMark/>
          </w:tcPr>
          <w:p w14:paraId="77E4C2BB" w14:textId="77777777" w:rsidR="003A0FBF" w:rsidRDefault="003A0FBF" w:rsidP="003A0FBF">
            <w:pPr>
              <w:tabs>
                <w:tab w:val="left" w:pos="5130"/>
              </w:tabs>
              <w:spacing w:after="0"/>
              <w:jc w:val="left"/>
              <w:rPr>
                <w:rFonts w:cs="Arial"/>
                <w:b/>
                <w:bCs/>
                <w:color w:val="000000"/>
                <w:sz w:val="20"/>
              </w:rPr>
            </w:pPr>
            <w:r>
              <w:rPr>
                <w:rFonts w:cs="Arial"/>
                <w:b/>
                <w:bCs/>
                <w:color w:val="000000"/>
                <w:sz w:val="20"/>
              </w:rPr>
              <w:t>Gastro-intestinal disorders</w:t>
            </w:r>
          </w:p>
        </w:tc>
        <w:tc>
          <w:tcPr>
            <w:tcW w:w="3544" w:type="dxa"/>
          </w:tcPr>
          <w:p w14:paraId="1E0F89E2" w14:textId="77777777" w:rsidR="003A0FBF" w:rsidRPr="00C821D0" w:rsidRDefault="003A0FBF" w:rsidP="003A0FBF">
            <w:pPr>
              <w:tabs>
                <w:tab w:val="left" w:pos="5130"/>
              </w:tabs>
              <w:spacing w:after="0"/>
              <w:jc w:val="left"/>
              <w:rPr>
                <w:rFonts w:cs="Arial"/>
                <w:b/>
                <w:bCs/>
                <w:color w:val="000000"/>
                <w:sz w:val="20"/>
              </w:rPr>
            </w:pPr>
          </w:p>
        </w:tc>
      </w:tr>
      <w:tr w:rsidR="003A0FBF" w14:paraId="45698987" w14:textId="77777777" w:rsidTr="00EF38F2">
        <w:trPr>
          <w:jc w:val="center"/>
        </w:trPr>
        <w:tc>
          <w:tcPr>
            <w:tcW w:w="2983" w:type="dxa"/>
            <w:hideMark/>
          </w:tcPr>
          <w:p w14:paraId="2DEB3D70" w14:textId="77777777" w:rsidR="003A0FBF" w:rsidRDefault="003A0FBF" w:rsidP="003A0FBF">
            <w:pPr>
              <w:spacing w:after="0"/>
              <w:rPr>
                <w:rFonts w:cs="Arial"/>
                <w:bCs/>
                <w:color w:val="000000"/>
                <w:sz w:val="20"/>
              </w:rPr>
            </w:pPr>
            <w:r>
              <w:rPr>
                <w:rFonts w:cs="Arial"/>
                <w:bCs/>
                <w:color w:val="000000"/>
                <w:sz w:val="20"/>
              </w:rPr>
              <w:t>Very common:</w:t>
            </w:r>
          </w:p>
        </w:tc>
        <w:tc>
          <w:tcPr>
            <w:tcW w:w="3544" w:type="dxa"/>
            <w:hideMark/>
          </w:tcPr>
          <w:p w14:paraId="34A0CB14" w14:textId="77777777" w:rsidR="003A0FBF" w:rsidRDefault="003A0FBF" w:rsidP="003A0FBF">
            <w:pPr>
              <w:spacing w:after="0"/>
              <w:jc w:val="left"/>
              <w:rPr>
                <w:rFonts w:cs="Arial"/>
                <w:color w:val="000000"/>
                <w:sz w:val="20"/>
              </w:rPr>
            </w:pPr>
            <w:r>
              <w:rPr>
                <w:rFonts w:cs="Arial"/>
                <w:color w:val="000000"/>
                <w:sz w:val="20"/>
              </w:rPr>
              <w:t>Diarrhoea, nausea, vomiting, constipation, abdominal pain</w:t>
            </w:r>
          </w:p>
        </w:tc>
        <w:tc>
          <w:tcPr>
            <w:tcW w:w="3544" w:type="dxa"/>
          </w:tcPr>
          <w:p w14:paraId="179B8C7E" w14:textId="77777777" w:rsidR="003A0FBF" w:rsidRPr="00C821D0" w:rsidRDefault="003A0FBF" w:rsidP="003A0FBF">
            <w:pPr>
              <w:spacing w:after="0"/>
              <w:jc w:val="left"/>
              <w:rPr>
                <w:rFonts w:cs="Arial"/>
                <w:color w:val="000000"/>
                <w:sz w:val="20"/>
              </w:rPr>
            </w:pPr>
            <w:r w:rsidRPr="00C821D0">
              <w:rPr>
                <w:rFonts w:cs="Arial"/>
                <w:color w:val="000000"/>
                <w:sz w:val="20"/>
                <w:lang w:val="en-GB"/>
              </w:rPr>
              <w:t>Nausea, constipation, vomiting, diarrhoea, abdominal pain, stomatitis</w:t>
            </w:r>
          </w:p>
        </w:tc>
      </w:tr>
      <w:tr w:rsidR="003A0FBF" w14:paraId="638DF772" w14:textId="77777777" w:rsidTr="00EF38F2">
        <w:trPr>
          <w:jc w:val="center"/>
        </w:trPr>
        <w:tc>
          <w:tcPr>
            <w:tcW w:w="2983" w:type="dxa"/>
            <w:hideMark/>
          </w:tcPr>
          <w:p w14:paraId="7CCDCC04" w14:textId="77777777" w:rsidR="003A0FBF" w:rsidRDefault="003A0FBF" w:rsidP="003A0FBF">
            <w:pPr>
              <w:tabs>
                <w:tab w:val="left" w:pos="5130"/>
              </w:tabs>
              <w:spacing w:after="0"/>
              <w:rPr>
                <w:rFonts w:cs="Arial"/>
                <w:bCs/>
                <w:color w:val="000000"/>
                <w:sz w:val="20"/>
              </w:rPr>
            </w:pPr>
            <w:r>
              <w:rPr>
                <w:rFonts w:cs="Arial"/>
                <w:bCs/>
                <w:color w:val="000000"/>
                <w:sz w:val="20"/>
              </w:rPr>
              <w:t>Uncommon:</w:t>
            </w:r>
          </w:p>
        </w:tc>
        <w:tc>
          <w:tcPr>
            <w:tcW w:w="3544" w:type="dxa"/>
            <w:hideMark/>
          </w:tcPr>
          <w:p w14:paraId="7E18BCB2" w14:textId="77777777" w:rsidR="003A0FBF" w:rsidRDefault="003A0FBF" w:rsidP="003A0FBF">
            <w:pPr>
              <w:tabs>
                <w:tab w:val="left" w:pos="5130"/>
              </w:tabs>
              <w:spacing w:after="0"/>
              <w:jc w:val="left"/>
              <w:rPr>
                <w:rFonts w:cs="Arial"/>
                <w:bCs/>
                <w:color w:val="000000"/>
                <w:sz w:val="20"/>
              </w:rPr>
            </w:pPr>
            <w:r>
              <w:rPr>
                <w:rFonts w:cs="Arial"/>
                <w:bCs/>
                <w:color w:val="000000"/>
                <w:sz w:val="20"/>
              </w:rPr>
              <w:t>Pancreatitis acute</w:t>
            </w:r>
          </w:p>
        </w:tc>
        <w:tc>
          <w:tcPr>
            <w:tcW w:w="3544" w:type="dxa"/>
          </w:tcPr>
          <w:p w14:paraId="160BF3A0" w14:textId="77777777" w:rsidR="003A0FBF" w:rsidRPr="00C821D0" w:rsidRDefault="006A6364" w:rsidP="003A0FBF">
            <w:pPr>
              <w:tabs>
                <w:tab w:val="left" w:pos="5130"/>
              </w:tabs>
              <w:spacing w:after="0"/>
              <w:jc w:val="left"/>
              <w:rPr>
                <w:rFonts w:cs="Arial"/>
                <w:bCs/>
                <w:color w:val="000000"/>
                <w:sz w:val="20"/>
              </w:rPr>
            </w:pPr>
            <w:r>
              <w:rPr>
                <w:rFonts w:cs="Arial"/>
                <w:bCs/>
                <w:color w:val="000000"/>
                <w:sz w:val="20"/>
              </w:rPr>
              <w:t>Pancreatitis acute</w:t>
            </w:r>
          </w:p>
        </w:tc>
      </w:tr>
      <w:tr w:rsidR="003A0FBF" w14:paraId="7F4D3A4F" w14:textId="77777777" w:rsidTr="00EF38F2">
        <w:trPr>
          <w:trHeight w:val="302"/>
          <w:jc w:val="center"/>
        </w:trPr>
        <w:tc>
          <w:tcPr>
            <w:tcW w:w="6527" w:type="dxa"/>
            <w:gridSpan w:val="2"/>
            <w:hideMark/>
          </w:tcPr>
          <w:p w14:paraId="585AC4B4" w14:textId="77777777" w:rsidR="003A0FBF" w:rsidRDefault="003A0FBF" w:rsidP="003A0FBF">
            <w:pPr>
              <w:tabs>
                <w:tab w:val="left" w:pos="5130"/>
              </w:tabs>
              <w:spacing w:after="0"/>
              <w:jc w:val="left"/>
              <w:rPr>
                <w:rFonts w:cs="Arial"/>
                <w:b/>
                <w:bCs/>
                <w:color w:val="000000"/>
                <w:sz w:val="20"/>
              </w:rPr>
            </w:pPr>
            <w:r>
              <w:rPr>
                <w:rFonts w:cs="Arial"/>
                <w:b/>
                <w:bCs/>
                <w:color w:val="000000"/>
                <w:sz w:val="20"/>
              </w:rPr>
              <w:t>Hepatobiliary disorders</w:t>
            </w:r>
          </w:p>
        </w:tc>
        <w:tc>
          <w:tcPr>
            <w:tcW w:w="3544" w:type="dxa"/>
          </w:tcPr>
          <w:p w14:paraId="2D3903A2" w14:textId="77777777" w:rsidR="003A0FBF" w:rsidRPr="00C821D0" w:rsidRDefault="003A0FBF" w:rsidP="003A0FBF">
            <w:pPr>
              <w:tabs>
                <w:tab w:val="left" w:pos="5130"/>
              </w:tabs>
              <w:spacing w:after="0"/>
              <w:jc w:val="left"/>
              <w:rPr>
                <w:rFonts w:cs="Arial"/>
                <w:b/>
                <w:bCs/>
                <w:color w:val="000000"/>
                <w:sz w:val="20"/>
              </w:rPr>
            </w:pPr>
          </w:p>
        </w:tc>
      </w:tr>
      <w:tr w:rsidR="003A0FBF" w14:paraId="5CAAD901" w14:textId="77777777" w:rsidTr="00EF38F2">
        <w:trPr>
          <w:jc w:val="center"/>
        </w:trPr>
        <w:tc>
          <w:tcPr>
            <w:tcW w:w="2983" w:type="dxa"/>
            <w:hideMark/>
          </w:tcPr>
          <w:p w14:paraId="50C2EE72" w14:textId="77777777" w:rsidR="003A0FBF" w:rsidRDefault="003A0FBF" w:rsidP="003A0FBF">
            <w:pPr>
              <w:spacing w:after="0"/>
              <w:rPr>
                <w:rFonts w:cs="Arial"/>
                <w:bCs/>
                <w:color w:val="000000"/>
                <w:sz w:val="20"/>
              </w:rPr>
            </w:pPr>
            <w:r>
              <w:rPr>
                <w:rFonts w:cs="Arial"/>
                <w:bCs/>
                <w:color w:val="000000"/>
                <w:sz w:val="20"/>
              </w:rPr>
              <w:t>Common:</w:t>
            </w:r>
          </w:p>
        </w:tc>
        <w:tc>
          <w:tcPr>
            <w:tcW w:w="3544" w:type="dxa"/>
            <w:hideMark/>
          </w:tcPr>
          <w:p w14:paraId="61426E18" w14:textId="77777777" w:rsidR="003A0FBF" w:rsidRDefault="003A0FBF" w:rsidP="003A0FBF">
            <w:pPr>
              <w:spacing w:after="0"/>
              <w:jc w:val="left"/>
              <w:rPr>
                <w:rFonts w:cs="Arial"/>
                <w:color w:val="000000"/>
                <w:sz w:val="20"/>
              </w:rPr>
            </w:pPr>
            <w:r>
              <w:rPr>
                <w:rFonts w:cs="Arial"/>
                <w:color w:val="000000"/>
                <w:sz w:val="20"/>
              </w:rPr>
              <w:t>Alanine aminotransferase/aspartate aminotransferase (ALT/AST) increased</w:t>
            </w:r>
          </w:p>
        </w:tc>
        <w:tc>
          <w:tcPr>
            <w:tcW w:w="3544" w:type="dxa"/>
          </w:tcPr>
          <w:p w14:paraId="4C867106" w14:textId="77777777" w:rsidR="003A0FBF" w:rsidRPr="00C821D0" w:rsidRDefault="003A0FBF" w:rsidP="003A0FBF">
            <w:pPr>
              <w:spacing w:after="0"/>
              <w:jc w:val="left"/>
              <w:rPr>
                <w:rFonts w:cs="Arial"/>
                <w:color w:val="000000"/>
                <w:sz w:val="20"/>
              </w:rPr>
            </w:pPr>
            <w:r w:rsidRPr="00C821D0">
              <w:rPr>
                <w:rFonts w:cs="Arial"/>
                <w:color w:val="000000"/>
                <w:sz w:val="20"/>
              </w:rPr>
              <w:t>Alanine aminotransferase/aspartate aminotransferase (ALT/AST) increased</w:t>
            </w:r>
          </w:p>
        </w:tc>
      </w:tr>
      <w:tr w:rsidR="003A0FBF" w14:paraId="5C804524" w14:textId="77777777" w:rsidTr="00EF38F2">
        <w:trPr>
          <w:trHeight w:val="302"/>
          <w:jc w:val="center"/>
        </w:trPr>
        <w:tc>
          <w:tcPr>
            <w:tcW w:w="6527" w:type="dxa"/>
            <w:gridSpan w:val="2"/>
            <w:hideMark/>
          </w:tcPr>
          <w:p w14:paraId="2153F5CC" w14:textId="77777777" w:rsidR="003A0FBF" w:rsidRDefault="003A0FBF" w:rsidP="003A0FBF">
            <w:pPr>
              <w:tabs>
                <w:tab w:val="left" w:pos="5130"/>
              </w:tabs>
              <w:spacing w:after="0"/>
              <w:jc w:val="left"/>
              <w:rPr>
                <w:rFonts w:cs="Arial"/>
                <w:b/>
                <w:bCs/>
                <w:color w:val="000000"/>
                <w:sz w:val="20"/>
              </w:rPr>
            </w:pPr>
            <w:r>
              <w:rPr>
                <w:rFonts w:cs="Arial"/>
                <w:b/>
                <w:bCs/>
                <w:color w:val="000000"/>
                <w:sz w:val="20"/>
              </w:rPr>
              <w:t>Skin and subcutaneous tissue disorders</w:t>
            </w:r>
          </w:p>
        </w:tc>
        <w:tc>
          <w:tcPr>
            <w:tcW w:w="3544" w:type="dxa"/>
          </w:tcPr>
          <w:p w14:paraId="2D09654F" w14:textId="77777777" w:rsidR="003A0FBF" w:rsidRPr="00C821D0" w:rsidRDefault="003A0FBF" w:rsidP="003A0FBF">
            <w:pPr>
              <w:tabs>
                <w:tab w:val="left" w:pos="5130"/>
              </w:tabs>
              <w:spacing w:after="0"/>
              <w:jc w:val="left"/>
              <w:rPr>
                <w:rFonts w:cs="Arial"/>
                <w:b/>
                <w:bCs/>
                <w:color w:val="000000"/>
                <w:sz w:val="20"/>
              </w:rPr>
            </w:pPr>
          </w:p>
        </w:tc>
      </w:tr>
      <w:tr w:rsidR="003A0FBF" w14:paraId="62839D96" w14:textId="77777777" w:rsidTr="00EF38F2">
        <w:trPr>
          <w:jc w:val="center"/>
        </w:trPr>
        <w:tc>
          <w:tcPr>
            <w:tcW w:w="2983" w:type="dxa"/>
            <w:hideMark/>
          </w:tcPr>
          <w:p w14:paraId="3FE94DD2" w14:textId="77777777" w:rsidR="003A0FBF" w:rsidRDefault="003A0FBF" w:rsidP="003A0FBF">
            <w:pPr>
              <w:spacing w:after="0"/>
              <w:rPr>
                <w:rFonts w:cs="Arial"/>
                <w:bCs/>
                <w:color w:val="000000"/>
                <w:sz w:val="20"/>
              </w:rPr>
            </w:pPr>
            <w:r>
              <w:rPr>
                <w:rFonts w:cs="Arial"/>
                <w:bCs/>
                <w:color w:val="000000"/>
                <w:sz w:val="20"/>
              </w:rPr>
              <w:t>Very common:</w:t>
            </w:r>
          </w:p>
        </w:tc>
        <w:tc>
          <w:tcPr>
            <w:tcW w:w="3544" w:type="dxa"/>
            <w:hideMark/>
          </w:tcPr>
          <w:p w14:paraId="745B3FA9" w14:textId="77777777" w:rsidR="003A0FBF" w:rsidRDefault="003A0FBF" w:rsidP="003A0FBF">
            <w:pPr>
              <w:spacing w:after="0"/>
              <w:jc w:val="left"/>
              <w:rPr>
                <w:rFonts w:cs="Arial"/>
                <w:color w:val="000000"/>
                <w:sz w:val="20"/>
              </w:rPr>
            </w:pPr>
            <w:proofErr w:type="spellStart"/>
            <w:r>
              <w:rPr>
                <w:rFonts w:cs="Arial"/>
                <w:color w:val="000000"/>
                <w:sz w:val="20"/>
              </w:rPr>
              <w:t>Rash</w:t>
            </w:r>
            <w:r>
              <w:rPr>
                <w:rFonts w:cs="Arial"/>
                <w:color w:val="000000"/>
                <w:sz w:val="20"/>
                <w:vertAlign w:val="superscript"/>
              </w:rPr>
              <w:t>a</w:t>
            </w:r>
            <w:proofErr w:type="spellEnd"/>
            <w:r>
              <w:rPr>
                <w:rFonts w:cs="Arial"/>
                <w:color w:val="000000"/>
                <w:sz w:val="20"/>
              </w:rPr>
              <w:t>, pruritus</w:t>
            </w:r>
          </w:p>
        </w:tc>
        <w:tc>
          <w:tcPr>
            <w:tcW w:w="3544" w:type="dxa"/>
          </w:tcPr>
          <w:p w14:paraId="6BA63672" w14:textId="77777777" w:rsidR="003A0FBF" w:rsidRPr="00C821D0" w:rsidRDefault="003A0FBF" w:rsidP="003A0FBF">
            <w:pPr>
              <w:spacing w:after="0"/>
              <w:jc w:val="left"/>
              <w:rPr>
                <w:rFonts w:cs="Arial"/>
                <w:color w:val="000000"/>
                <w:sz w:val="20"/>
              </w:rPr>
            </w:pPr>
            <w:r w:rsidRPr="00C821D0">
              <w:rPr>
                <w:rFonts w:cs="Arial"/>
                <w:color w:val="000000"/>
                <w:sz w:val="20"/>
                <w:lang w:val="en-GB"/>
              </w:rPr>
              <w:t xml:space="preserve">Alopecia, </w:t>
            </w:r>
            <w:proofErr w:type="spellStart"/>
            <w:r w:rsidRPr="00C821D0">
              <w:rPr>
                <w:rFonts w:cs="Arial"/>
                <w:color w:val="000000"/>
                <w:sz w:val="20"/>
                <w:lang w:val="en-GB"/>
              </w:rPr>
              <w:t>rash</w:t>
            </w:r>
            <w:r w:rsidRPr="00C821D0">
              <w:rPr>
                <w:rFonts w:cs="Arial"/>
                <w:color w:val="000000"/>
                <w:sz w:val="20"/>
                <w:vertAlign w:val="superscript"/>
                <w:lang w:val="en-GB"/>
              </w:rPr>
              <w:t>a</w:t>
            </w:r>
            <w:proofErr w:type="spellEnd"/>
          </w:p>
        </w:tc>
      </w:tr>
      <w:tr w:rsidR="003A0FBF" w14:paraId="04737E69" w14:textId="77777777" w:rsidTr="00EF38F2">
        <w:trPr>
          <w:jc w:val="center"/>
        </w:trPr>
        <w:tc>
          <w:tcPr>
            <w:tcW w:w="2983" w:type="dxa"/>
            <w:hideMark/>
          </w:tcPr>
          <w:p w14:paraId="6E416C2A" w14:textId="77777777" w:rsidR="003A0FBF" w:rsidRDefault="003A0FBF" w:rsidP="003A0FBF">
            <w:pPr>
              <w:spacing w:after="0"/>
              <w:rPr>
                <w:rFonts w:cs="Arial"/>
                <w:bCs/>
                <w:color w:val="000000"/>
                <w:sz w:val="20"/>
              </w:rPr>
            </w:pPr>
            <w:r>
              <w:rPr>
                <w:rFonts w:cs="Arial"/>
                <w:bCs/>
                <w:color w:val="000000"/>
                <w:sz w:val="20"/>
              </w:rPr>
              <w:t>Common:</w:t>
            </w:r>
          </w:p>
        </w:tc>
        <w:tc>
          <w:tcPr>
            <w:tcW w:w="3544" w:type="dxa"/>
            <w:hideMark/>
          </w:tcPr>
          <w:p w14:paraId="5EDF7DF1" w14:textId="77777777" w:rsidR="003A0FBF" w:rsidRDefault="003A0FBF" w:rsidP="003A0FBF">
            <w:pPr>
              <w:spacing w:after="0"/>
              <w:jc w:val="left"/>
              <w:rPr>
                <w:rFonts w:cs="Arial"/>
                <w:color w:val="000000"/>
                <w:sz w:val="20"/>
              </w:rPr>
            </w:pPr>
            <w:r>
              <w:rPr>
                <w:rFonts w:cs="Arial"/>
                <w:color w:val="000000"/>
                <w:sz w:val="20"/>
              </w:rPr>
              <w:t>Alopecia</w:t>
            </w:r>
          </w:p>
        </w:tc>
        <w:tc>
          <w:tcPr>
            <w:tcW w:w="3544" w:type="dxa"/>
          </w:tcPr>
          <w:p w14:paraId="3EEF7BF7" w14:textId="77777777" w:rsidR="003A0FBF" w:rsidRPr="00C821D0" w:rsidRDefault="003A0FBF" w:rsidP="003A0FBF">
            <w:pPr>
              <w:spacing w:after="0"/>
              <w:jc w:val="left"/>
              <w:rPr>
                <w:rFonts w:cs="Arial"/>
                <w:color w:val="000000"/>
                <w:sz w:val="20"/>
              </w:rPr>
            </w:pPr>
            <w:r w:rsidRPr="00C821D0">
              <w:rPr>
                <w:rFonts w:cs="Arial"/>
                <w:color w:val="000000"/>
                <w:sz w:val="20"/>
                <w:lang w:val="en-GB"/>
              </w:rPr>
              <w:t>Pruritus</w:t>
            </w:r>
          </w:p>
        </w:tc>
      </w:tr>
      <w:tr w:rsidR="003A0FBF" w14:paraId="66B9CF3A" w14:textId="77777777" w:rsidTr="00EF38F2">
        <w:trPr>
          <w:jc w:val="center"/>
        </w:trPr>
        <w:tc>
          <w:tcPr>
            <w:tcW w:w="2983" w:type="dxa"/>
            <w:hideMark/>
          </w:tcPr>
          <w:p w14:paraId="5DC54727" w14:textId="77777777" w:rsidR="003A0FBF" w:rsidRDefault="003A0FBF" w:rsidP="003A0FBF">
            <w:pPr>
              <w:spacing w:after="0"/>
              <w:rPr>
                <w:rFonts w:cs="Arial"/>
                <w:bCs/>
                <w:color w:val="000000"/>
                <w:sz w:val="20"/>
              </w:rPr>
            </w:pPr>
            <w:r>
              <w:rPr>
                <w:rFonts w:cs="Arial"/>
                <w:bCs/>
                <w:color w:val="000000"/>
                <w:sz w:val="20"/>
              </w:rPr>
              <w:t>Uncommon:</w:t>
            </w:r>
          </w:p>
        </w:tc>
        <w:tc>
          <w:tcPr>
            <w:tcW w:w="3544" w:type="dxa"/>
            <w:hideMark/>
          </w:tcPr>
          <w:p w14:paraId="7447882B" w14:textId="77777777" w:rsidR="003A0FBF" w:rsidRDefault="003A0FBF" w:rsidP="003A0FBF">
            <w:pPr>
              <w:spacing w:after="0"/>
              <w:jc w:val="left"/>
              <w:rPr>
                <w:rFonts w:cs="Arial"/>
                <w:color w:val="000000"/>
                <w:sz w:val="20"/>
              </w:rPr>
            </w:pPr>
            <w:r>
              <w:rPr>
                <w:rFonts w:cs="Arial"/>
                <w:color w:val="000000"/>
                <w:sz w:val="20"/>
              </w:rPr>
              <w:t>Stevens-Johnson syndrome/toxic epidermal necrolysis</w:t>
            </w:r>
          </w:p>
        </w:tc>
        <w:tc>
          <w:tcPr>
            <w:tcW w:w="3544" w:type="dxa"/>
          </w:tcPr>
          <w:p w14:paraId="773FD420" w14:textId="77777777" w:rsidR="003A0FBF" w:rsidRPr="00C821D0" w:rsidRDefault="006A6364" w:rsidP="003A0FBF">
            <w:pPr>
              <w:spacing w:after="0"/>
              <w:jc w:val="left"/>
              <w:rPr>
                <w:rFonts w:cs="Arial"/>
                <w:color w:val="000000"/>
                <w:sz w:val="20"/>
              </w:rPr>
            </w:pPr>
            <w:r w:rsidRPr="006A6364">
              <w:rPr>
                <w:rFonts w:cs="Arial"/>
                <w:color w:val="000000"/>
                <w:sz w:val="20"/>
              </w:rPr>
              <w:t xml:space="preserve">Stevens Johnson </w:t>
            </w:r>
            <w:proofErr w:type="spellStart"/>
            <w:r w:rsidRPr="006A6364">
              <w:rPr>
                <w:rFonts w:cs="Arial"/>
                <w:color w:val="000000"/>
                <w:sz w:val="20"/>
              </w:rPr>
              <w:t>syndrome</w:t>
            </w:r>
            <w:r w:rsidRPr="006A6364">
              <w:rPr>
                <w:rFonts w:cs="Arial"/>
                <w:color w:val="000000"/>
                <w:sz w:val="20"/>
                <w:vertAlign w:val="superscript"/>
              </w:rPr>
              <w:t>b</w:t>
            </w:r>
            <w:proofErr w:type="spellEnd"/>
          </w:p>
        </w:tc>
      </w:tr>
      <w:tr w:rsidR="00913EA3" w14:paraId="7AA04A0C" w14:textId="77777777" w:rsidTr="00EF38F2">
        <w:trPr>
          <w:jc w:val="center"/>
        </w:trPr>
        <w:tc>
          <w:tcPr>
            <w:tcW w:w="2983" w:type="dxa"/>
          </w:tcPr>
          <w:p w14:paraId="24F3A313" w14:textId="4DD6FF36" w:rsidR="00913EA3" w:rsidRDefault="00913EA3" w:rsidP="003A0FBF">
            <w:pPr>
              <w:spacing w:after="0"/>
              <w:rPr>
                <w:rFonts w:cs="Arial"/>
                <w:bCs/>
                <w:color w:val="000000"/>
                <w:sz w:val="20"/>
              </w:rPr>
            </w:pPr>
            <w:r w:rsidRPr="00913EA3">
              <w:rPr>
                <w:rFonts w:cs="Arial"/>
                <w:bCs/>
                <w:color w:val="000000"/>
                <w:sz w:val="20"/>
              </w:rPr>
              <w:t>Frequency not known:</w:t>
            </w:r>
          </w:p>
        </w:tc>
        <w:tc>
          <w:tcPr>
            <w:tcW w:w="3544" w:type="dxa"/>
          </w:tcPr>
          <w:p w14:paraId="31C3C40E" w14:textId="33ABBF68" w:rsidR="00913EA3" w:rsidRDefault="00913EA3" w:rsidP="003A0FBF">
            <w:pPr>
              <w:spacing w:after="0"/>
              <w:jc w:val="left"/>
              <w:rPr>
                <w:rFonts w:cs="Arial"/>
                <w:color w:val="000000"/>
                <w:sz w:val="20"/>
              </w:rPr>
            </w:pPr>
            <w:r w:rsidRPr="00913EA3">
              <w:rPr>
                <w:rFonts w:cs="Arial"/>
                <w:color w:val="000000"/>
                <w:sz w:val="20"/>
              </w:rPr>
              <w:t>Drug reaction with eosinophilia and systemic symptoms (DRESS)</w:t>
            </w:r>
          </w:p>
        </w:tc>
        <w:tc>
          <w:tcPr>
            <w:tcW w:w="3544" w:type="dxa"/>
          </w:tcPr>
          <w:p w14:paraId="3E4510BF" w14:textId="77777777" w:rsidR="00913EA3" w:rsidRPr="006A6364" w:rsidRDefault="00913EA3" w:rsidP="003A0FBF">
            <w:pPr>
              <w:spacing w:after="0"/>
              <w:jc w:val="left"/>
              <w:rPr>
                <w:rFonts w:cs="Arial"/>
                <w:color w:val="000000"/>
                <w:sz w:val="20"/>
              </w:rPr>
            </w:pPr>
          </w:p>
        </w:tc>
      </w:tr>
      <w:tr w:rsidR="003A0FBF" w14:paraId="11CBD303" w14:textId="77777777" w:rsidTr="00EF38F2">
        <w:trPr>
          <w:trHeight w:val="302"/>
          <w:jc w:val="center"/>
        </w:trPr>
        <w:tc>
          <w:tcPr>
            <w:tcW w:w="6527" w:type="dxa"/>
            <w:gridSpan w:val="2"/>
            <w:hideMark/>
          </w:tcPr>
          <w:p w14:paraId="014FCACD" w14:textId="77777777" w:rsidR="003A0FBF" w:rsidRDefault="003A0FBF" w:rsidP="003A0FBF">
            <w:pPr>
              <w:tabs>
                <w:tab w:val="left" w:pos="5130"/>
              </w:tabs>
              <w:spacing w:after="0"/>
              <w:jc w:val="left"/>
              <w:rPr>
                <w:rFonts w:cs="Arial"/>
                <w:b/>
                <w:bCs/>
                <w:color w:val="000000"/>
                <w:sz w:val="20"/>
              </w:rPr>
            </w:pPr>
            <w:r>
              <w:rPr>
                <w:rFonts w:cs="Arial"/>
                <w:b/>
                <w:bCs/>
                <w:color w:val="000000"/>
                <w:sz w:val="20"/>
              </w:rPr>
              <w:t>Musculoskeletal and connective tissue disorders</w:t>
            </w:r>
          </w:p>
        </w:tc>
        <w:tc>
          <w:tcPr>
            <w:tcW w:w="3544" w:type="dxa"/>
          </w:tcPr>
          <w:p w14:paraId="6D23CF12" w14:textId="77777777" w:rsidR="003A0FBF" w:rsidRPr="00C821D0" w:rsidRDefault="003A0FBF" w:rsidP="003A0FBF">
            <w:pPr>
              <w:tabs>
                <w:tab w:val="left" w:pos="5130"/>
              </w:tabs>
              <w:spacing w:after="0"/>
              <w:jc w:val="left"/>
              <w:rPr>
                <w:rFonts w:cs="Arial"/>
                <w:b/>
                <w:bCs/>
                <w:color w:val="000000"/>
                <w:sz w:val="20"/>
              </w:rPr>
            </w:pPr>
          </w:p>
        </w:tc>
      </w:tr>
      <w:tr w:rsidR="003A0FBF" w14:paraId="1E1C8DFF" w14:textId="77777777" w:rsidTr="00EF38F2">
        <w:trPr>
          <w:jc w:val="center"/>
        </w:trPr>
        <w:tc>
          <w:tcPr>
            <w:tcW w:w="2983" w:type="dxa"/>
            <w:hideMark/>
          </w:tcPr>
          <w:p w14:paraId="536AE7A4" w14:textId="77777777" w:rsidR="003A0FBF" w:rsidRDefault="003A0FBF" w:rsidP="003A0FBF">
            <w:pPr>
              <w:spacing w:after="0"/>
              <w:rPr>
                <w:rFonts w:cs="Arial"/>
                <w:bCs/>
                <w:color w:val="000000"/>
                <w:sz w:val="20"/>
              </w:rPr>
            </w:pPr>
            <w:r>
              <w:rPr>
                <w:rFonts w:cs="Arial"/>
                <w:bCs/>
                <w:color w:val="000000"/>
                <w:sz w:val="20"/>
              </w:rPr>
              <w:t>Very common:</w:t>
            </w:r>
          </w:p>
        </w:tc>
        <w:tc>
          <w:tcPr>
            <w:tcW w:w="3544" w:type="dxa"/>
            <w:hideMark/>
          </w:tcPr>
          <w:p w14:paraId="47455858" w14:textId="77777777" w:rsidR="003A0FBF" w:rsidRDefault="003A0FBF" w:rsidP="003A0FBF">
            <w:pPr>
              <w:spacing w:after="0"/>
              <w:jc w:val="left"/>
              <w:rPr>
                <w:rFonts w:cs="Arial"/>
                <w:color w:val="000000"/>
                <w:sz w:val="20"/>
              </w:rPr>
            </w:pPr>
            <w:r>
              <w:rPr>
                <w:rFonts w:cs="Arial"/>
                <w:color w:val="000000"/>
                <w:sz w:val="20"/>
              </w:rPr>
              <w:t>Myalgia, arthralgia</w:t>
            </w:r>
          </w:p>
        </w:tc>
        <w:tc>
          <w:tcPr>
            <w:tcW w:w="3544" w:type="dxa"/>
          </w:tcPr>
          <w:p w14:paraId="4A5AF2AC" w14:textId="77777777" w:rsidR="003A0FBF" w:rsidRPr="00C821D0" w:rsidRDefault="009565E3" w:rsidP="003A0FBF">
            <w:pPr>
              <w:spacing w:after="0"/>
              <w:jc w:val="left"/>
              <w:rPr>
                <w:rFonts w:cs="Arial"/>
                <w:color w:val="000000"/>
                <w:sz w:val="20"/>
              </w:rPr>
            </w:pPr>
            <w:r>
              <w:rPr>
                <w:rFonts w:cs="Arial"/>
                <w:color w:val="000000"/>
                <w:sz w:val="20"/>
                <w:lang w:val="en-GB"/>
              </w:rPr>
              <w:t>M</w:t>
            </w:r>
            <w:r w:rsidR="003A0FBF" w:rsidRPr="00C821D0">
              <w:rPr>
                <w:rFonts w:cs="Arial"/>
                <w:color w:val="000000"/>
                <w:sz w:val="20"/>
                <w:lang w:val="en-GB"/>
              </w:rPr>
              <w:t>yalgia</w:t>
            </w:r>
            <w:r w:rsidR="00507EDF">
              <w:rPr>
                <w:rFonts w:cs="Arial"/>
                <w:color w:val="000000"/>
                <w:sz w:val="20"/>
                <w:lang w:val="en-GB"/>
              </w:rPr>
              <w:t>, bone pain,</w:t>
            </w:r>
            <w:r w:rsidR="00507EDF" w:rsidRPr="00C821D0">
              <w:rPr>
                <w:rFonts w:cs="Arial"/>
                <w:color w:val="000000"/>
                <w:sz w:val="20"/>
                <w:lang w:val="en-GB"/>
              </w:rPr>
              <w:t xml:space="preserve"> arthralgia</w:t>
            </w:r>
            <w:r w:rsidR="00507EDF">
              <w:rPr>
                <w:rFonts w:cs="Arial"/>
                <w:color w:val="000000"/>
                <w:sz w:val="20"/>
                <w:lang w:val="en-GB"/>
              </w:rPr>
              <w:t>, back pain</w:t>
            </w:r>
          </w:p>
        </w:tc>
      </w:tr>
      <w:tr w:rsidR="003A0FBF" w14:paraId="31F1DA9E" w14:textId="77777777" w:rsidTr="00EF38F2">
        <w:trPr>
          <w:trHeight w:val="287"/>
          <w:jc w:val="center"/>
        </w:trPr>
        <w:tc>
          <w:tcPr>
            <w:tcW w:w="2983" w:type="dxa"/>
            <w:hideMark/>
          </w:tcPr>
          <w:p w14:paraId="48803D7D" w14:textId="77777777" w:rsidR="003A0FBF" w:rsidRDefault="003A0FBF" w:rsidP="003A0FBF">
            <w:pPr>
              <w:spacing w:after="0"/>
              <w:rPr>
                <w:rFonts w:cs="Arial"/>
                <w:bCs/>
                <w:color w:val="000000"/>
                <w:sz w:val="20"/>
              </w:rPr>
            </w:pPr>
            <w:r>
              <w:rPr>
                <w:rFonts w:cs="Arial"/>
                <w:bCs/>
                <w:color w:val="000000"/>
                <w:sz w:val="20"/>
              </w:rPr>
              <w:t>Common:</w:t>
            </w:r>
          </w:p>
        </w:tc>
        <w:tc>
          <w:tcPr>
            <w:tcW w:w="3544" w:type="dxa"/>
            <w:hideMark/>
          </w:tcPr>
          <w:p w14:paraId="7AC3B3AE" w14:textId="77777777" w:rsidR="003A0FBF" w:rsidRDefault="003A0FBF" w:rsidP="003A0FBF">
            <w:pPr>
              <w:spacing w:after="0"/>
              <w:jc w:val="left"/>
              <w:rPr>
                <w:rFonts w:cs="Arial"/>
                <w:color w:val="000000"/>
                <w:sz w:val="20"/>
              </w:rPr>
            </w:pPr>
            <w:r>
              <w:rPr>
                <w:rFonts w:cs="Arial"/>
                <w:color w:val="000000"/>
                <w:sz w:val="20"/>
              </w:rPr>
              <w:t>Back pain</w:t>
            </w:r>
          </w:p>
        </w:tc>
        <w:tc>
          <w:tcPr>
            <w:tcW w:w="3544" w:type="dxa"/>
          </w:tcPr>
          <w:p w14:paraId="40D12128" w14:textId="040BE420" w:rsidR="003A0FBF" w:rsidRPr="00C821D0" w:rsidRDefault="003A0FBF" w:rsidP="003A0FBF">
            <w:pPr>
              <w:spacing w:after="0"/>
              <w:jc w:val="left"/>
              <w:rPr>
                <w:rFonts w:cs="Arial"/>
                <w:color w:val="000000"/>
                <w:sz w:val="20"/>
              </w:rPr>
            </w:pPr>
          </w:p>
        </w:tc>
      </w:tr>
      <w:tr w:rsidR="003A0FBF" w14:paraId="76C38CA5" w14:textId="77777777" w:rsidTr="00EF38F2">
        <w:trPr>
          <w:trHeight w:val="302"/>
          <w:jc w:val="center"/>
        </w:trPr>
        <w:tc>
          <w:tcPr>
            <w:tcW w:w="6527" w:type="dxa"/>
            <w:gridSpan w:val="2"/>
            <w:hideMark/>
          </w:tcPr>
          <w:p w14:paraId="265CA622" w14:textId="77777777" w:rsidR="003A0FBF" w:rsidRDefault="003A0FBF" w:rsidP="003A0FBF">
            <w:pPr>
              <w:tabs>
                <w:tab w:val="left" w:pos="5130"/>
              </w:tabs>
              <w:spacing w:after="0"/>
              <w:jc w:val="left"/>
              <w:rPr>
                <w:rFonts w:cs="Arial"/>
                <w:b/>
                <w:bCs/>
                <w:color w:val="000000"/>
                <w:sz w:val="20"/>
              </w:rPr>
            </w:pPr>
            <w:r>
              <w:rPr>
                <w:rFonts w:cs="Arial"/>
                <w:b/>
                <w:bCs/>
                <w:color w:val="000000"/>
                <w:sz w:val="20"/>
              </w:rPr>
              <w:t>General disorders and administration site conditions</w:t>
            </w:r>
          </w:p>
        </w:tc>
        <w:tc>
          <w:tcPr>
            <w:tcW w:w="3544" w:type="dxa"/>
          </w:tcPr>
          <w:p w14:paraId="4B5E2BCF" w14:textId="77777777" w:rsidR="003A0FBF" w:rsidRPr="00C821D0" w:rsidRDefault="003A0FBF" w:rsidP="003A0FBF">
            <w:pPr>
              <w:tabs>
                <w:tab w:val="left" w:pos="5130"/>
              </w:tabs>
              <w:spacing w:after="0"/>
              <w:jc w:val="left"/>
              <w:rPr>
                <w:rFonts w:cs="Arial"/>
                <w:b/>
                <w:bCs/>
                <w:color w:val="000000"/>
                <w:sz w:val="20"/>
              </w:rPr>
            </w:pPr>
          </w:p>
        </w:tc>
      </w:tr>
      <w:tr w:rsidR="003A0FBF" w14:paraId="6EAEB1B4" w14:textId="77777777" w:rsidTr="00EF38F2">
        <w:trPr>
          <w:jc w:val="center"/>
        </w:trPr>
        <w:tc>
          <w:tcPr>
            <w:tcW w:w="2983" w:type="dxa"/>
            <w:hideMark/>
          </w:tcPr>
          <w:p w14:paraId="46F79E16" w14:textId="77777777" w:rsidR="003A0FBF" w:rsidRDefault="003A0FBF" w:rsidP="003A0FBF">
            <w:pPr>
              <w:spacing w:after="0"/>
              <w:rPr>
                <w:rFonts w:cs="Arial"/>
                <w:bCs/>
                <w:color w:val="000000"/>
                <w:sz w:val="20"/>
              </w:rPr>
            </w:pPr>
            <w:r>
              <w:rPr>
                <w:rFonts w:cs="Arial"/>
                <w:bCs/>
                <w:color w:val="000000"/>
                <w:sz w:val="20"/>
              </w:rPr>
              <w:lastRenderedPageBreak/>
              <w:t>Very common:</w:t>
            </w:r>
          </w:p>
        </w:tc>
        <w:tc>
          <w:tcPr>
            <w:tcW w:w="3544" w:type="dxa"/>
            <w:hideMark/>
          </w:tcPr>
          <w:p w14:paraId="24788D7B" w14:textId="77777777" w:rsidR="003A0FBF" w:rsidRDefault="003A0FBF" w:rsidP="003A0FBF">
            <w:pPr>
              <w:spacing w:after="0"/>
              <w:jc w:val="left"/>
              <w:rPr>
                <w:rFonts w:cs="Arial"/>
                <w:color w:val="000000"/>
                <w:sz w:val="20"/>
              </w:rPr>
            </w:pPr>
            <w:r>
              <w:rPr>
                <w:rFonts w:cs="Arial"/>
                <w:color w:val="000000"/>
                <w:sz w:val="20"/>
              </w:rPr>
              <w:t xml:space="preserve">Fatigue, pyrexia, infusion-related </w:t>
            </w:r>
            <w:proofErr w:type="spellStart"/>
            <w:r>
              <w:rPr>
                <w:rFonts w:cs="Arial"/>
                <w:color w:val="000000"/>
                <w:sz w:val="20"/>
              </w:rPr>
              <w:t>reactions</w:t>
            </w:r>
            <w:r>
              <w:rPr>
                <w:rFonts w:cs="Arial"/>
                <w:color w:val="000000"/>
                <w:sz w:val="20"/>
                <w:vertAlign w:val="superscript"/>
              </w:rPr>
              <w:t>a</w:t>
            </w:r>
            <w:proofErr w:type="spellEnd"/>
          </w:p>
        </w:tc>
        <w:tc>
          <w:tcPr>
            <w:tcW w:w="3544" w:type="dxa"/>
          </w:tcPr>
          <w:p w14:paraId="3FD87935" w14:textId="77777777" w:rsidR="003A0FBF" w:rsidRPr="00C821D0" w:rsidRDefault="003A0FBF" w:rsidP="003A0FBF">
            <w:pPr>
              <w:spacing w:after="0"/>
              <w:jc w:val="left"/>
              <w:rPr>
                <w:rFonts w:cs="Arial"/>
                <w:color w:val="000000"/>
                <w:sz w:val="20"/>
              </w:rPr>
            </w:pPr>
            <w:r w:rsidRPr="00C821D0">
              <w:rPr>
                <w:rFonts w:cs="Arial"/>
                <w:color w:val="000000"/>
                <w:sz w:val="20"/>
                <w:lang w:val="en-GB"/>
              </w:rPr>
              <w:t>Fatigue, pyrexia</w:t>
            </w:r>
          </w:p>
        </w:tc>
      </w:tr>
      <w:tr w:rsidR="003A0FBF" w14:paraId="7F341739" w14:textId="77777777" w:rsidTr="00EF38F2">
        <w:trPr>
          <w:jc w:val="center"/>
        </w:trPr>
        <w:tc>
          <w:tcPr>
            <w:tcW w:w="2983" w:type="dxa"/>
            <w:hideMark/>
          </w:tcPr>
          <w:p w14:paraId="3EE44339" w14:textId="77777777" w:rsidR="003A0FBF" w:rsidRDefault="003A0FBF" w:rsidP="003A0FBF">
            <w:pPr>
              <w:spacing w:after="0"/>
              <w:rPr>
                <w:rFonts w:cs="Arial"/>
                <w:bCs/>
                <w:color w:val="000000"/>
                <w:sz w:val="20"/>
              </w:rPr>
            </w:pPr>
            <w:r>
              <w:rPr>
                <w:rFonts w:cs="Arial"/>
                <w:bCs/>
                <w:color w:val="000000"/>
                <w:sz w:val="20"/>
              </w:rPr>
              <w:t>Common:</w:t>
            </w:r>
          </w:p>
        </w:tc>
        <w:tc>
          <w:tcPr>
            <w:tcW w:w="3544" w:type="dxa"/>
            <w:hideMark/>
          </w:tcPr>
          <w:p w14:paraId="55F3ACDC" w14:textId="77777777" w:rsidR="003A0FBF" w:rsidRDefault="003A0FBF" w:rsidP="003A0FBF">
            <w:pPr>
              <w:spacing w:after="0"/>
              <w:jc w:val="left"/>
              <w:rPr>
                <w:rFonts w:cs="Arial"/>
                <w:color w:val="000000"/>
                <w:sz w:val="20"/>
              </w:rPr>
            </w:pPr>
            <w:r>
              <w:rPr>
                <w:rFonts w:cs="Arial"/>
                <w:color w:val="000000"/>
                <w:sz w:val="20"/>
              </w:rPr>
              <w:t>Chills</w:t>
            </w:r>
          </w:p>
        </w:tc>
        <w:tc>
          <w:tcPr>
            <w:tcW w:w="3544" w:type="dxa"/>
          </w:tcPr>
          <w:p w14:paraId="003B54E2" w14:textId="77777777" w:rsidR="003A0FBF" w:rsidRPr="00C821D0" w:rsidRDefault="003A0FBF" w:rsidP="003A0FBF">
            <w:pPr>
              <w:spacing w:after="0"/>
              <w:jc w:val="left"/>
              <w:rPr>
                <w:rFonts w:cs="Arial"/>
                <w:color w:val="000000"/>
                <w:sz w:val="20"/>
              </w:rPr>
            </w:pPr>
            <w:r w:rsidRPr="00C821D0">
              <w:rPr>
                <w:rFonts w:cs="Arial"/>
                <w:color w:val="000000"/>
                <w:sz w:val="20"/>
                <w:lang w:val="en-GB"/>
              </w:rPr>
              <w:t xml:space="preserve">Infusion-related </w:t>
            </w:r>
            <w:proofErr w:type="spellStart"/>
            <w:r w:rsidRPr="00C821D0">
              <w:rPr>
                <w:rFonts w:cs="Arial"/>
                <w:color w:val="000000"/>
                <w:sz w:val="20"/>
                <w:lang w:val="en-GB"/>
              </w:rPr>
              <w:t>reactions</w:t>
            </w:r>
            <w:r w:rsidRPr="00C821D0">
              <w:rPr>
                <w:rFonts w:cs="Arial"/>
                <w:color w:val="000000"/>
                <w:sz w:val="20"/>
                <w:vertAlign w:val="superscript"/>
                <w:lang w:val="en-GB"/>
              </w:rPr>
              <w:t>a</w:t>
            </w:r>
            <w:proofErr w:type="spellEnd"/>
            <w:r w:rsidRPr="00C821D0">
              <w:rPr>
                <w:rFonts w:cs="Arial"/>
                <w:color w:val="000000"/>
                <w:sz w:val="20"/>
                <w:lang w:val="en-GB"/>
              </w:rPr>
              <w:t>, chills</w:t>
            </w:r>
          </w:p>
        </w:tc>
      </w:tr>
      <w:tr w:rsidR="003A0FBF" w14:paraId="11AA65A8" w14:textId="77777777" w:rsidTr="00EF38F2">
        <w:trPr>
          <w:jc w:val="center"/>
        </w:trPr>
        <w:tc>
          <w:tcPr>
            <w:tcW w:w="2983" w:type="dxa"/>
          </w:tcPr>
          <w:p w14:paraId="0C6BDD99" w14:textId="77777777" w:rsidR="003A0FBF" w:rsidRDefault="003A0FBF" w:rsidP="003A0FBF">
            <w:pPr>
              <w:spacing w:after="0"/>
              <w:rPr>
                <w:rFonts w:cs="Arial"/>
                <w:bCs/>
                <w:color w:val="000000"/>
                <w:sz w:val="20"/>
              </w:rPr>
            </w:pPr>
            <w:r>
              <w:rPr>
                <w:rFonts w:cs="Arial"/>
                <w:bCs/>
                <w:color w:val="000000"/>
                <w:sz w:val="20"/>
              </w:rPr>
              <w:t>Rare</w:t>
            </w:r>
          </w:p>
        </w:tc>
        <w:tc>
          <w:tcPr>
            <w:tcW w:w="3544" w:type="dxa"/>
          </w:tcPr>
          <w:p w14:paraId="2120EA0F" w14:textId="573B5892" w:rsidR="003A0FBF" w:rsidRDefault="003A0FBF" w:rsidP="003A0FBF">
            <w:pPr>
              <w:spacing w:after="0"/>
              <w:jc w:val="left"/>
              <w:rPr>
                <w:rFonts w:cs="Arial"/>
                <w:color w:val="000000"/>
                <w:sz w:val="20"/>
              </w:rPr>
            </w:pPr>
            <w:r>
              <w:rPr>
                <w:rFonts w:cs="Arial"/>
                <w:color w:val="000000"/>
                <w:sz w:val="20"/>
              </w:rPr>
              <w:t xml:space="preserve">Extravasation-related </w:t>
            </w:r>
            <w:proofErr w:type="spellStart"/>
            <w:r>
              <w:rPr>
                <w:rFonts w:cs="Arial"/>
                <w:color w:val="000000"/>
                <w:sz w:val="20"/>
              </w:rPr>
              <w:t>reactions</w:t>
            </w:r>
            <w:r w:rsidR="006A6364">
              <w:rPr>
                <w:rFonts w:cs="Arial"/>
                <w:color w:val="000000"/>
                <w:sz w:val="20"/>
                <w:vertAlign w:val="superscript"/>
              </w:rPr>
              <w:t>c</w:t>
            </w:r>
            <w:proofErr w:type="spellEnd"/>
          </w:p>
        </w:tc>
        <w:tc>
          <w:tcPr>
            <w:tcW w:w="3544" w:type="dxa"/>
          </w:tcPr>
          <w:p w14:paraId="06C01320" w14:textId="77777777" w:rsidR="003A0FBF" w:rsidRPr="00C821D0" w:rsidRDefault="003A0FBF" w:rsidP="003A0FBF">
            <w:pPr>
              <w:spacing w:after="0"/>
              <w:jc w:val="left"/>
              <w:rPr>
                <w:rFonts w:cs="Arial"/>
                <w:color w:val="000000"/>
                <w:sz w:val="20"/>
                <w:lang w:val="en-GB"/>
              </w:rPr>
            </w:pPr>
          </w:p>
        </w:tc>
      </w:tr>
      <w:tr w:rsidR="003A0FBF" w14:paraId="340113B6" w14:textId="77777777" w:rsidTr="00EF38F2">
        <w:trPr>
          <w:jc w:val="center"/>
        </w:trPr>
        <w:tc>
          <w:tcPr>
            <w:tcW w:w="2983" w:type="dxa"/>
            <w:hideMark/>
          </w:tcPr>
          <w:p w14:paraId="510A85E4" w14:textId="77777777" w:rsidR="003A0FBF" w:rsidRDefault="003A0FBF" w:rsidP="003A0FBF">
            <w:pPr>
              <w:spacing w:after="0"/>
              <w:rPr>
                <w:rFonts w:cs="Arial"/>
                <w:b/>
                <w:bCs/>
                <w:color w:val="000000"/>
                <w:sz w:val="20"/>
              </w:rPr>
            </w:pPr>
            <w:r>
              <w:rPr>
                <w:rFonts w:cs="Arial"/>
                <w:b/>
                <w:bCs/>
                <w:color w:val="000000"/>
                <w:sz w:val="20"/>
              </w:rPr>
              <w:t>Investigations</w:t>
            </w:r>
          </w:p>
        </w:tc>
        <w:tc>
          <w:tcPr>
            <w:tcW w:w="3544" w:type="dxa"/>
          </w:tcPr>
          <w:p w14:paraId="1BBF6DF2" w14:textId="77777777" w:rsidR="003A0FBF" w:rsidRDefault="003A0FBF" w:rsidP="003A0FBF">
            <w:pPr>
              <w:spacing w:after="0"/>
              <w:jc w:val="left"/>
              <w:rPr>
                <w:rFonts w:cs="Arial"/>
                <w:color w:val="000000"/>
                <w:sz w:val="20"/>
              </w:rPr>
            </w:pPr>
          </w:p>
        </w:tc>
        <w:tc>
          <w:tcPr>
            <w:tcW w:w="3544" w:type="dxa"/>
          </w:tcPr>
          <w:p w14:paraId="19E9A8E5" w14:textId="77777777" w:rsidR="003A0FBF" w:rsidRPr="00C821D0" w:rsidRDefault="003A0FBF" w:rsidP="003A0FBF">
            <w:pPr>
              <w:spacing w:after="0"/>
              <w:jc w:val="left"/>
              <w:rPr>
                <w:rFonts w:cs="Arial"/>
                <w:color w:val="000000"/>
                <w:sz w:val="20"/>
              </w:rPr>
            </w:pPr>
          </w:p>
        </w:tc>
      </w:tr>
      <w:tr w:rsidR="003A0FBF" w14:paraId="633787FD" w14:textId="77777777" w:rsidTr="00EF38F2">
        <w:trPr>
          <w:jc w:val="center"/>
        </w:trPr>
        <w:tc>
          <w:tcPr>
            <w:tcW w:w="2983" w:type="dxa"/>
            <w:hideMark/>
          </w:tcPr>
          <w:p w14:paraId="285E01A3" w14:textId="77777777" w:rsidR="003A0FBF" w:rsidRDefault="003A0FBF" w:rsidP="003A0FBF">
            <w:pPr>
              <w:spacing w:after="0"/>
              <w:rPr>
                <w:rFonts w:cs="Arial"/>
                <w:bCs/>
                <w:color w:val="000000"/>
                <w:sz w:val="20"/>
              </w:rPr>
            </w:pPr>
            <w:r>
              <w:rPr>
                <w:rFonts w:cs="Arial"/>
                <w:bCs/>
                <w:color w:val="000000"/>
                <w:sz w:val="20"/>
              </w:rPr>
              <w:t>Very common:</w:t>
            </w:r>
          </w:p>
        </w:tc>
        <w:tc>
          <w:tcPr>
            <w:tcW w:w="3544" w:type="dxa"/>
            <w:hideMark/>
          </w:tcPr>
          <w:p w14:paraId="39719FDC" w14:textId="77777777" w:rsidR="003A0FBF" w:rsidRDefault="003A0FBF" w:rsidP="003A0FBF">
            <w:pPr>
              <w:spacing w:after="0"/>
              <w:jc w:val="left"/>
              <w:rPr>
                <w:rFonts w:cs="Arial"/>
                <w:color w:val="000000"/>
                <w:sz w:val="20"/>
              </w:rPr>
            </w:pPr>
            <w:r>
              <w:rPr>
                <w:rFonts w:cs="Arial"/>
                <w:color w:val="000000"/>
                <w:sz w:val="20"/>
              </w:rPr>
              <w:t>Weight decreased</w:t>
            </w:r>
          </w:p>
        </w:tc>
        <w:tc>
          <w:tcPr>
            <w:tcW w:w="3544" w:type="dxa"/>
          </w:tcPr>
          <w:p w14:paraId="570E8600" w14:textId="77777777" w:rsidR="003A0FBF" w:rsidRPr="00C821D0" w:rsidRDefault="003A0FBF" w:rsidP="003A0FBF">
            <w:pPr>
              <w:spacing w:after="0"/>
              <w:jc w:val="left"/>
              <w:rPr>
                <w:rFonts w:cs="Arial"/>
                <w:color w:val="000000"/>
                <w:sz w:val="20"/>
              </w:rPr>
            </w:pPr>
            <w:r w:rsidRPr="00C821D0">
              <w:rPr>
                <w:sz w:val="20"/>
              </w:rPr>
              <w:t>Weight decreased</w:t>
            </w:r>
          </w:p>
        </w:tc>
      </w:tr>
      <w:tr w:rsidR="003A0FBF" w14:paraId="13F364F7" w14:textId="77777777" w:rsidTr="00EF38F2">
        <w:trPr>
          <w:jc w:val="center"/>
        </w:trPr>
        <w:tc>
          <w:tcPr>
            <w:tcW w:w="2983" w:type="dxa"/>
          </w:tcPr>
          <w:p w14:paraId="6468D484" w14:textId="77777777" w:rsidR="003A0FBF" w:rsidRDefault="003A0FBF" w:rsidP="003A0FBF">
            <w:pPr>
              <w:spacing w:after="0"/>
              <w:rPr>
                <w:rFonts w:cs="Arial"/>
                <w:bCs/>
                <w:color w:val="000000"/>
                <w:sz w:val="20"/>
              </w:rPr>
            </w:pPr>
            <w:r w:rsidRPr="001F68FD">
              <w:rPr>
                <w:rFonts w:cs="Arial"/>
                <w:b/>
                <w:bCs/>
                <w:color w:val="000000"/>
                <w:sz w:val="20"/>
              </w:rPr>
              <w:t>Psychiatric Disorders</w:t>
            </w:r>
          </w:p>
        </w:tc>
        <w:tc>
          <w:tcPr>
            <w:tcW w:w="3544" w:type="dxa"/>
          </w:tcPr>
          <w:p w14:paraId="24ADC377" w14:textId="77777777" w:rsidR="003A0FBF" w:rsidRDefault="003A0FBF" w:rsidP="003A0FBF">
            <w:pPr>
              <w:spacing w:after="0"/>
              <w:jc w:val="left"/>
              <w:rPr>
                <w:rFonts w:cs="Arial"/>
                <w:color w:val="000000"/>
                <w:sz w:val="20"/>
              </w:rPr>
            </w:pPr>
          </w:p>
        </w:tc>
        <w:tc>
          <w:tcPr>
            <w:tcW w:w="3544" w:type="dxa"/>
          </w:tcPr>
          <w:p w14:paraId="39307B35" w14:textId="77777777" w:rsidR="003A0FBF" w:rsidRPr="00C821D0" w:rsidRDefault="003A0FBF" w:rsidP="003A0FBF">
            <w:pPr>
              <w:spacing w:after="0"/>
              <w:jc w:val="left"/>
              <w:rPr>
                <w:sz w:val="20"/>
              </w:rPr>
            </w:pPr>
          </w:p>
        </w:tc>
      </w:tr>
      <w:tr w:rsidR="003A0FBF" w14:paraId="2210461C" w14:textId="77777777" w:rsidTr="00EF38F2">
        <w:trPr>
          <w:jc w:val="center"/>
        </w:trPr>
        <w:tc>
          <w:tcPr>
            <w:tcW w:w="2983" w:type="dxa"/>
          </w:tcPr>
          <w:p w14:paraId="7B7520DB" w14:textId="77777777" w:rsidR="003A0FBF" w:rsidRDefault="003A0FBF" w:rsidP="003A0FBF">
            <w:pPr>
              <w:spacing w:after="0"/>
              <w:rPr>
                <w:rFonts w:cs="Arial"/>
                <w:bCs/>
                <w:color w:val="000000"/>
                <w:sz w:val="20"/>
              </w:rPr>
            </w:pPr>
            <w:r w:rsidRPr="001F68FD">
              <w:rPr>
                <w:rFonts w:cs="Arial"/>
                <w:bCs/>
                <w:color w:val="000000"/>
                <w:sz w:val="20"/>
                <w:lang w:val="en-GB"/>
              </w:rPr>
              <w:t>Very common:</w:t>
            </w:r>
          </w:p>
        </w:tc>
        <w:tc>
          <w:tcPr>
            <w:tcW w:w="3544" w:type="dxa"/>
          </w:tcPr>
          <w:p w14:paraId="577A7C8D" w14:textId="77777777" w:rsidR="003A0FBF" w:rsidRDefault="003A0FBF" w:rsidP="003A0FBF">
            <w:pPr>
              <w:spacing w:after="0"/>
              <w:jc w:val="left"/>
              <w:rPr>
                <w:rFonts w:cs="Arial"/>
                <w:color w:val="000000"/>
                <w:sz w:val="20"/>
              </w:rPr>
            </w:pPr>
          </w:p>
        </w:tc>
        <w:tc>
          <w:tcPr>
            <w:tcW w:w="3544" w:type="dxa"/>
          </w:tcPr>
          <w:p w14:paraId="110904F8" w14:textId="77777777" w:rsidR="003A0FBF" w:rsidRPr="00C821D0" w:rsidRDefault="003A0FBF" w:rsidP="003A0FBF">
            <w:pPr>
              <w:spacing w:after="0"/>
              <w:jc w:val="left"/>
              <w:rPr>
                <w:sz w:val="20"/>
              </w:rPr>
            </w:pPr>
            <w:r w:rsidRPr="00C821D0">
              <w:rPr>
                <w:sz w:val="20"/>
                <w:lang w:val="en-GB"/>
              </w:rPr>
              <w:t>Insomnia</w:t>
            </w:r>
          </w:p>
        </w:tc>
      </w:tr>
    </w:tbl>
    <w:p w14:paraId="655E537F" w14:textId="77777777" w:rsidR="003A0FBF" w:rsidRDefault="003A0FBF" w:rsidP="000550D7">
      <w:pPr>
        <w:pStyle w:val="Paragraph"/>
        <w:numPr>
          <w:ilvl w:val="0"/>
          <w:numId w:val="27"/>
        </w:numPr>
        <w:spacing w:after="0"/>
        <w:rPr>
          <w:rFonts w:ascii="Arial" w:hAnsi="Arial" w:cs="Arial"/>
          <w:sz w:val="20"/>
          <w:szCs w:val="20"/>
          <w:lang w:val="en-GB"/>
        </w:rPr>
      </w:pPr>
      <w:r>
        <w:rPr>
          <w:rFonts w:ascii="Arial" w:hAnsi="Arial" w:cs="Arial"/>
          <w:sz w:val="20"/>
          <w:szCs w:val="20"/>
          <w:lang w:val="en-GB"/>
        </w:rPr>
        <w:t>Represents pooling of preferred terms.</w:t>
      </w:r>
    </w:p>
    <w:p w14:paraId="6EB6193C" w14:textId="77777777" w:rsidR="006A6364" w:rsidRDefault="006A6364" w:rsidP="000550D7">
      <w:pPr>
        <w:pStyle w:val="Paragraph"/>
        <w:numPr>
          <w:ilvl w:val="0"/>
          <w:numId w:val="27"/>
        </w:numPr>
        <w:spacing w:after="0"/>
        <w:rPr>
          <w:rFonts w:ascii="Arial" w:hAnsi="Arial" w:cs="Arial"/>
          <w:sz w:val="20"/>
          <w:szCs w:val="20"/>
          <w:lang w:val="en-GB"/>
        </w:rPr>
      </w:pPr>
      <w:r w:rsidRPr="006A6364">
        <w:rPr>
          <w:rFonts w:ascii="Arial" w:hAnsi="Arial" w:cs="Arial"/>
          <w:sz w:val="20"/>
          <w:szCs w:val="20"/>
          <w:lang w:val="en-GB"/>
        </w:rPr>
        <w:t>Toxic epidermal necrolysis was not reported in the combination therapy setting</w:t>
      </w:r>
      <w:r>
        <w:rPr>
          <w:rFonts w:ascii="Arial" w:hAnsi="Arial" w:cs="Arial"/>
          <w:sz w:val="20"/>
          <w:szCs w:val="20"/>
          <w:lang w:val="en-GB"/>
        </w:rPr>
        <w:t>.</w:t>
      </w:r>
    </w:p>
    <w:p w14:paraId="5AF2F46D" w14:textId="2602DB38" w:rsidR="003A0FBF" w:rsidRPr="00C821D0" w:rsidRDefault="009522FB" w:rsidP="000550D7">
      <w:pPr>
        <w:pStyle w:val="Paragraph"/>
        <w:numPr>
          <w:ilvl w:val="0"/>
          <w:numId w:val="33"/>
        </w:numPr>
        <w:spacing w:after="0"/>
        <w:rPr>
          <w:rFonts w:ascii="Arial" w:hAnsi="Arial" w:cs="Arial"/>
          <w:sz w:val="20"/>
          <w:szCs w:val="20"/>
          <w:lang w:val="en-GB"/>
        </w:rPr>
      </w:pPr>
      <w:r>
        <w:rPr>
          <w:rFonts w:ascii="Arial" w:hAnsi="Arial" w:cs="Arial"/>
          <w:sz w:val="20"/>
          <w:szCs w:val="20"/>
          <w:lang w:val="en-GB"/>
        </w:rPr>
        <w:t xml:space="preserve">Extravasation may result in </w:t>
      </w:r>
      <w:r w:rsidR="003A0FBF" w:rsidRPr="00C821D0">
        <w:rPr>
          <w:rFonts w:ascii="Arial" w:hAnsi="Arial" w:cs="Arial"/>
          <w:sz w:val="20"/>
          <w:szCs w:val="20"/>
          <w:lang w:val="en-GB"/>
        </w:rPr>
        <w:t>skin redness, pain, swelling, blistering</w:t>
      </w:r>
      <w:r>
        <w:rPr>
          <w:rFonts w:ascii="Arial" w:hAnsi="Arial" w:cs="Arial"/>
          <w:sz w:val="20"/>
          <w:szCs w:val="20"/>
          <w:lang w:val="en-GB"/>
        </w:rPr>
        <w:t>, exfoliation, or cellulitis at or surrounding the infusion site.</w:t>
      </w:r>
    </w:p>
    <w:p w14:paraId="3597ED83" w14:textId="77777777" w:rsidR="0024497F" w:rsidRDefault="0024497F" w:rsidP="001A39D8">
      <w:pPr>
        <w:pStyle w:val="Paragraph"/>
        <w:spacing w:after="0"/>
        <w:rPr>
          <w:rFonts w:ascii="Arial" w:hAnsi="Arial" w:cs="Arial"/>
          <w:sz w:val="22"/>
          <w:szCs w:val="22"/>
          <w:lang w:val="en-GB"/>
        </w:rPr>
      </w:pPr>
    </w:p>
    <w:p w14:paraId="1C1A4DF2" w14:textId="77777777" w:rsidR="002F32F3" w:rsidRDefault="002F32F3">
      <w:pPr>
        <w:spacing w:after="0"/>
        <w:jc w:val="left"/>
      </w:pPr>
      <w:r>
        <w:br w:type="page"/>
      </w:r>
    </w:p>
    <w:p w14:paraId="207F945B" w14:textId="59F160C5" w:rsidR="004C03A3" w:rsidRDefault="004C03A3" w:rsidP="007D2E26">
      <w:r w:rsidRPr="008F28BE">
        <w:lastRenderedPageBreak/>
        <w:t xml:space="preserve">The most common adverse </w:t>
      </w:r>
      <w:r w:rsidR="004A0AAC">
        <w:t>events</w:t>
      </w:r>
      <w:r w:rsidRPr="008F28BE">
        <w:t xml:space="preserve"> (≥ 10%) for ADCETRIS in combination with CHP versus the comparator arm (CHOP) are listed in</w:t>
      </w:r>
      <w:r w:rsidR="00CA4F4E">
        <w:t xml:space="preserve"> </w:t>
      </w:r>
      <w:r w:rsidR="00CA4F4E">
        <w:fldChar w:fldCharType="begin"/>
      </w:r>
      <w:r w:rsidR="00CA4F4E">
        <w:instrText xml:space="preserve"> REF _Ref147908697 \h </w:instrText>
      </w:r>
      <w:r w:rsidR="00CA4F4E">
        <w:fldChar w:fldCharType="separate"/>
      </w:r>
      <w:r w:rsidR="001E2FAC" w:rsidRPr="00BB3E4E">
        <w:rPr>
          <w:szCs w:val="22"/>
        </w:rPr>
        <w:t xml:space="preserve">Table </w:t>
      </w:r>
      <w:r w:rsidR="001E2FAC">
        <w:rPr>
          <w:noProof/>
          <w:szCs w:val="22"/>
        </w:rPr>
        <w:t>8</w:t>
      </w:r>
      <w:r w:rsidR="00CA4F4E">
        <w:fldChar w:fldCharType="end"/>
      </w:r>
      <w:r w:rsidRPr="008F28BE">
        <w:t>.</w:t>
      </w:r>
      <w:r w:rsidRPr="0024497F">
        <w:t xml:space="preserve"> </w:t>
      </w:r>
    </w:p>
    <w:p w14:paraId="351CE49C" w14:textId="302B5AC7" w:rsidR="00454F51" w:rsidRDefault="00BB3E4E" w:rsidP="00CA4F4E">
      <w:pPr>
        <w:pStyle w:val="Caption"/>
        <w:spacing w:after="0"/>
        <w:ind w:left="1440" w:hanging="1440"/>
      </w:pPr>
      <w:bookmarkStart w:id="17" w:name="_Ref147908697"/>
      <w:r w:rsidRPr="00BB3E4E">
        <w:rPr>
          <w:sz w:val="22"/>
          <w:szCs w:val="22"/>
        </w:rPr>
        <w:t xml:space="preserve">Table </w:t>
      </w:r>
      <w:r w:rsidRPr="00BB3E4E">
        <w:rPr>
          <w:sz w:val="22"/>
          <w:szCs w:val="22"/>
        </w:rPr>
        <w:fldChar w:fldCharType="begin"/>
      </w:r>
      <w:r w:rsidRPr="00BB3E4E">
        <w:rPr>
          <w:sz w:val="22"/>
          <w:szCs w:val="22"/>
        </w:rPr>
        <w:instrText xml:space="preserve"> SEQ Table \* ARABIC </w:instrText>
      </w:r>
      <w:r w:rsidRPr="00BB3E4E">
        <w:rPr>
          <w:sz w:val="22"/>
          <w:szCs w:val="22"/>
        </w:rPr>
        <w:fldChar w:fldCharType="separate"/>
      </w:r>
      <w:r w:rsidR="001E2FAC">
        <w:rPr>
          <w:noProof/>
          <w:sz w:val="22"/>
          <w:szCs w:val="22"/>
        </w:rPr>
        <w:t>8</w:t>
      </w:r>
      <w:r w:rsidRPr="00BB3E4E">
        <w:rPr>
          <w:sz w:val="22"/>
          <w:szCs w:val="22"/>
        </w:rPr>
        <w:fldChar w:fldCharType="end"/>
      </w:r>
      <w:bookmarkEnd w:id="17"/>
      <w:r w:rsidR="000E4C91" w:rsidRPr="00A025F4">
        <w:rPr>
          <w:sz w:val="22"/>
          <w:szCs w:val="22"/>
        </w:rPr>
        <w:tab/>
      </w:r>
      <w:r w:rsidR="00454F51" w:rsidRPr="00A025F4">
        <w:rPr>
          <w:sz w:val="22"/>
          <w:szCs w:val="22"/>
        </w:rPr>
        <w:t xml:space="preserve">Adverse </w:t>
      </w:r>
      <w:r w:rsidR="00FF1758">
        <w:rPr>
          <w:sz w:val="22"/>
          <w:szCs w:val="22"/>
        </w:rPr>
        <w:t>Events</w:t>
      </w:r>
      <w:r w:rsidR="00FF1758" w:rsidRPr="00A025F4">
        <w:rPr>
          <w:sz w:val="22"/>
          <w:szCs w:val="22"/>
        </w:rPr>
        <w:t xml:space="preserve"> </w:t>
      </w:r>
      <w:r w:rsidR="00454F51" w:rsidRPr="00A025F4">
        <w:rPr>
          <w:sz w:val="22"/>
          <w:szCs w:val="22"/>
        </w:rPr>
        <w:t>Reported for ≥10% of Subjects in the Combination therapy of ADCETRIS with cyclophosphamide, doxorubicin, and prednisone [CHP] versus cyclophosphamide, doxorubicin, vincristine, and prednisone [CHOP] (Study SGN35-014)</w:t>
      </w:r>
    </w:p>
    <w:tbl>
      <w:tblPr>
        <w:tblStyle w:val="TableGrid"/>
        <w:tblW w:w="4681" w:type="pct"/>
        <w:tblLook w:val="04A0" w:firstRow="1" w:lastRow="0" w:firstColumn="1" w:lastColumn="0" w:noHBand="0" w:noVBand="1"/>
      </w:tblPr>
      <w:tblGrid>
        <w:gridCol w:w="3359"/>
        <w:gridCol w:w="3573"/>
        <w:gridCol w:w="2082"/>
      </w:tblGrid>
      <w:tr w:rsidR="00DD613E" w:rsidRPr="00F42C6F" w14:paraId="4D1B0E01" w14:textId="77777777" w:rsidTr="002A4D0A">
        <w:tc>
          <w:tcPr>
            <w:tcW w:w="1863" w:type="pct"/>
            <w:vAlign w:val="bottom"/>
          </w:tcPr>
          <w:p w14:paraId="1FFEC18C" w14:textId="77777777" w:rsidR="00DD613E" w:rsidRPr="00F42C6F" w:rsidRDefault="00DD613E" w:rsidP="002A4D0A">
            <w:pPr>
              <w:pStyle w:val="TableHeaderC"/>
              <w:spacing w:before="20" w:after="20"/>
              <w:jc w:val="left"/>
              <w:rPr>
                <w:rFonts w:ascii="Arial" w:hAnsi="Arial" w:cs="Arial"/>
                <w:bCs w:val="0"/>
                <w:lang w:eastAsia="it-IT"/>
              </w:rPr>
            </w:pPr>
            <w:r w:rsidRPr="00F42C6F">
              <w:rPr>
                <w:rFonts w:ascii="Arial" w:hAnsi="Arial" w:cs="Arial"/>
                <w:bCs w:val="0"/>
                <w:lang w:eastAsia="it-IT"/>
              </w:rPr>
              <w:t>Preferred Term</w:t>
            </w:r>
          </w:p>
        </w:tc>
        <w:tc>
          <w:tcPr>
            <w:tcW w:w="1982" w:type="pct"/>
            <w:vAlign w:val="bottom"/>
          </w:tcPr>
          <w:p w14:paraId="0B53E723" w14:textId="77777777" w:rsidR="00DD613E" w:rsidRPr="00F42C6F" w:rsidRDefault="00DD613E" w:rsidP="002A4D0A">
            <w:pPr>
              <w:pStyle w:val="TableHeaderC"/>
              <w:spacing w:before="20" w:after="20"/>
              <w:rPr>
                <w:rFonts w:ascii="Arial" w:hAnsi="Arial" w:cs="Arial"/>
                <w:bCs w:val="0"/>
                <w:lang w:eastAsia="it-IT"/>
              </w:rPr>
            </w:pPr>
            <w:r w:rsidRPr="00F42C6F">
              <w:rPr>
                <w:rFonts w:ascii="Arial" w:hAnsi="Arial" w:cs="Arial"/>
                <w:bCs w:val="0"/>
                <w:lang w:eastAsia="it-IT"/>
              </w:rPr>
              <w:t>ADCETRIS+CHP</w:t>
            </w:r>
            <w:r w:rsidRPr="00F42C6F">
              <w:rPr>
                <w:rFonts w:ascii="Arial" w:hAnsi="Arial" w:cs="Arial"/>
                <w:bCs w:val="0"/>
                <w:lang w:eastAsia="it-IT"/>
              </w:rPr>
              <w:br/>
              <w:t>(N=223)</w:t>
            </w:r>
            <w:r w:rsidRPr="00F42C6F">
              <w:rPr>
                <w:rFonts w:ascii="Arial" w:hAnsi="Arial" w:cs="Arial"/>
                <w:bCs w:val="0"/>
                <w:lang w:eastAsia="it-IT"/>
              </w:rPr>
              <w:br/>
              <w:t>n (%)</w:t>
            </w:r>
          </w:p>
        </w:tc>
        <w:tc>
          <w:tcPr>
            <w:tcW w:w="1155" w:type="pct"/>
            <w:vAlign w:val="bottom"/>
          </w:tcPr>
          <w:p w14:paraId="2CD6F252" w14:textId="77777777" w:rsidR="00DD613E" w:rsidRPr="00F42C6F" w:rsidRDefault="00DD613E" w:rsidP="002A4D0A">
            <w:pPr>
              <w:pStyle w:val="TableHeaderC"/>
              <w:spacing w:before="20" w:after="20"/>
              <w:rPr>
                <w:rFonts w:ascii="Arial" w:hAnsi="Arial" w:cs="Arial"/>
                <w:bCs w:val="0"/>
                <w:lang w:eastAsia="it-IT"/>
              </w:rPr>
            </w:pPr>
            <w:r w:rsidRPr="00F42C6F">
              <w:rPr>
                <w:rFonts w:ascii="Arial" w:hAnsi="Arial" w:cs="Arial"/>
                <w:bCs w:val="0"/>
                <w:lang w:eastAsia="it-IT"/>
              </w:rPr>
              <w:t>CHOP</w:t>
            </w:r>
            <w:r w:rsidRPr="00F42C6F">
              <w:rPr>
                <w:rFonts w:ascii="Arial" w:hAnsi="Arial" w:cs="Arial"/>
                <w:bCs w:val="0"/>
                <w:lang w:eastAsia="it-IT"/>
              </w:rPr>
              <w:br/>
              <w:t>(N=226)</w:t>
            </w:r>
            <w:r w:rsidRPr="00F42C6F">
              <w:rPr>
                <w:rFonts w:ascii="Arial" w:hAnsi="Arial" w:cs="Arial"/>
                <w:bCs w:val="0"/>
                <w:lang w:eastAsia="it-IT"/>
              </w:rPr>
              <w:br/>
              <w:t>n (%)</w:t>
            </w:r>
          </w:p>
        </w:tc>
      </w:tr>
      <w:tr w:rsidR="00DD613E" w:rsidRPr="002A4D0A" w14:paraId="33AA6AFC" w14:textId="77777777" w:rsidTr="002A4D0A">
        <w:tc>
          <w:tcPr>
            <w:tcW w:w="1863" w:type="pct"/>
          </w:tcPr>
          <w:p w14:paraId="21F50A84"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Nausea</w:t>
            </w:r>
          </w:p>
        </w:tc>
        <w:tc>
          <w:tcPr>
            <w:tcW w:w="1982" w:type="pct"/>
          </w:tcPr>
          <w:p w14:paraId="50A12EBD" w14:textId="77777777" w:rsidR="00DD613E" w:rsidRPr="007D2E26" w:rsidRDefault="00DD613E" w:rsidP="002A4D0A">
            <w:pPr>
              <w:pStyle w:val="TableCenter"/>
              <w:rPr>
                <w:rFonts w:ascii="Arial" w:hAnsi="Arial" w:cs="Arial"/>
              </w:rPr>
            </w:pPr>
            <w:r w:rsidRPr="007D2E26">
              <w:rPr>
                <w:rFonts w:ascii="Arial" w:hAnsi="Arial" w:cs="Arial"/>
              </w:rPr>
              <w:t>103 (46)</w:t>
            </w:r>
          </w:p>
        </w:tc>
        <w:tc>
          <w:tcPr>
            <w:tcW w:w="1155" w:type="pct"/>
          </w:tcPr>
          <w:p w14:paraId="528AD8C2" w14:textId="77777777" w:rsidR="00DD613E" w:rsidRPr="007D2E26" w:rsidRDefault="00DD613E" w:rsidP="002A4D0A">
            <w:pPr>
              <w:pStyle w:val="TableCenter"/>
              <w:rPr>
                <w:rFonts w:ascii="Arial" w:hAnsi="Arial" w:cs="Arial"/>
              </w:rPr>
            </w:pPr>
            <w:r w:rsidRPr="007D2E26">
              <w:rPr>
                <w:rFonts w:ascii="Arial" w:hAnsi="Arial" w:cs="Arial"/>
              </w:rPr>
              <w:t>87 (38)</w:t>
            </w:r>
          </w:p>
        </w:tc>
      </w:tr>
      <w:tr w:rsidR="00DD613E" w:rsidRPr="002A4D0A" w14:paraId="7557ABBD" w14:textId="77777777" w:rsidTr="002A4D0A">
        <w:tc>
          <w:tcPr>
            <w:tcW w:w="1863" w:type="pct"/>
          </w:tcPr>
          <w:p w14:paraId="2BD71D97"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Peripheral sensory neuropathy</w:t>
            </w:r>
          </w:p>
        </w:tc>
        <w:tc>
          <w:tcPr>
            <w:tcW w:w="1982" w:type="pct"/>
          </w:tcPr>
          <w:p w14:paraId="7696EDBD" w14:textId="77777777" w:rsidR="00DD613E" w:rsidRPr="007D2E26" w:rsidRDefault="00DD613E" w:rsidP="002A4D0A">
            <w:pPr>
              <w:pStyle w:val="TableCenter"/>
              <w:rPr>
                <w:rFonts w:ascii="Arial" w:hAnsi="Arial" w:cs="Arial"/>
              </w:rPr>
            </w:pPr>
            <w:r w:rsidRPr="007D2E26">
              <w:rPr>
                <w:rFonts w:ascii="Arial" w:hAnsi="Arial" w:cs="Arial"/>
              </w:rPr>
              <w:t>100 (45)</w:t>
            </w:r>
          </w:p>
        </w:tc>
        <w:tc>
          <w:tcPr>
            <w:tcW w:w="1155" w:type="pct"/>
          </w:tcPr>
          <w:p w14:paraId="172B5B3B" w14:textId="77777777" w:rsidR="00DD613E" w:rsidRPr="007D2E26" w:rsidRDefault="00DD613E" w:rsidP="002A4D0A">
            <w:pPr>
              <w:pStyle w:val="TableCenter"/>
              <w:rPr>
                <w:rFonts w:ascii="Arial" w:hAnsi="Arial" w:cs="Arial"/>
              </w:rPr>
            </w:pPr>
            <w:r w:rsidRPr="007D2E26">
              <w:rPr>
                <w:rFonts w:ascii="Arial" w:hAnsi="Arial" w:cs="Arial"/>
              </w:rPr>
              <w:t>92 (41)</w:t>
            </w:r>
          </w:p>
        </w:tc>
      </w:tr>
      <w:tr w:rsidR="00DD613E" w:rsidRPr="002A4D0A" w14:paraId="5EEDEEBD" w14:textId="77777777" w:rsidTr="002A4D0A">
        <w:tc>
          <w:tcPr>
            <w:tcW w:w="1863" w:type="pct"/>
          </w:tcPr>
          <w:p w14:paraId="3F64728A" w14:textId="77777777" w:rsidR="00DD613E" w:rsidRPr="007D2E26" w:rsidRDefault="00DD613E" w:rsidP="002A4D0A">
            <w:pPr>
              <w:pStyle w:val="TableLeft"/>
              <w:keepNext/>
              <w:keepLines/>
              <w:rPr>
                <w:rFonts w:ascii="Arial" w:hAnsi="Arial" w:cs="Arial"/>
                <w:lang w:eastAsia="it-IT"/>
              </w:rPr>
            </w:pPr>
            <w:proofErr w:type="spellStart"/>
            <w:r w:rsidRPr="007D2E26">
              <w:rPr>
                <w:rFonts w:ascii="Arial" w:hAnsi="Arial" w:cs="Arial"/>
                <w:lang w:eastAsia="it-IT"/>
              </w:rPr>
              <w:t>Diarrhoea</w:t>
            </w:r>
            <w:proofErr w:type="spellEnd"/>
          </w:p>
        </w:tc>
        <w:tc>
          <w:tcPr>
            <w:tcW w:w="1982" w:type="pct"/>
          </w:tcPr>
          <w:p w14:paraId="0B8ADBCC" w14:textId="77777777" w:rsidR="00DD613E" w:rsidRPr="007D2E26" w:rsidRDefault="00DD613E" w:rsidP="002A4D0A">
            <w:pPr>
              <w:pStyle w:val="TableCenter"/>
              <w:rPr>
                <w:rFonts w:ascii="Arial" w:hAnsi="Arial" w:cs="Arial"/>
              </w:rPr>
            </w:pPr>
            <w:r w:rsidRPr="007D2E26">
              <w:rPr>
                <w:rFonts w:ascii="Arial" w:hAnsi="Arial" w:cs="Arial"/>
              </w:rPr>
              <w:t>85 (38)</w:t>
            </w:r>
          </w:p>
        </w:tc>
        <w:tc>
          <w:tcPr>
            <w:tcW w:w="1155" w:type="pct"/>
          </w:tcPr>
          <w:p w14:paraId="691ED568" w14:textId="77777777" w:rsidR="00DD613E" w:rsidRPr="007D2E26" w:rsidRDefault="00DD613E" w:rsidP="002A4D0A">
            <w:pPr>
              <w:pStyle w:val="TableCenter"/>
              <w:rPr>
                <w:rFonts w:ascii="Arial" w:hAnsi="Arial" w:cs="Arial"/>
              </w:rPr>
            </w:pPr>
            <w:r w:rsidRPr="007D2E26">
              <w:rPr>
                <w:rFonts w:ascii="Arial" w:hAnsi="Arial" w:cs="Arial"/>
              </w:rPr>
              <w:t>46 (20)</w:t>
            </w:r>
          </w:p>
        </w:tc>
      </w:tr>
      <w:tr w:rsidR="00DD613E" w:rsidRPr="002A4D0A" w14:paraId="035DCBD9" w14:textId="77777777" w:rsidTr="002A4D0A">
        <w:tc>
          <w:tcPr>
            <w:tcW w:w="1863" w:type="pct"/>
          </w:tcPr>
          <w:p w14:paraId="68ECC171"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Neutropenia</w:t>
            </w:r>
          </w:p>
        </w:tc>
        <w:tc>
          <w:tcPr>
            <w:tcW w:w="1982" w:type="pct"/>
          </w:tcPr>
          <w:p w14:paraId="5DC604C2" w14:textId="77777777" w:rsidR="00DD613E" w:rsidRPr="007D2E26" w:rsidRDefault="00DD613E" w:rsidP="002A4D0A">
            <w:pPr>
              <w:pStyle w:val="TableCenter"/>
              <w:rPr>
                <w:rFonts w:ascii="Arial" w:hAnsi="Arial" w:cs="Arial"/>
              </w:rPr>
            </w:pPr>
            <w:r w:rsidRPr="007D2E26">
              <w:rPr>
                <w:rFonts w:ascii="Arial" w:hAnsi="Arial" w:cs="Arial"/>
              </w:rPr>
              <w:t>85 (38)</w:t>
            </w:r>
          </w:p>
        </w:tc>
        <w:tc>
          <w:tcPr>
            <w:tcW w:w="1155" w:type="pct"/>
          </w:tcPr>
          <w:p w14:paraId="10B17839" w14:textId="77777777" w:rsidR="00DD613E" w:rsidRPr="007D2E26" w:rsidRDefault="00DD613E" w:rsidP="002A4D0A">
            <w:pPr>
              <w:pStyle w:val="TableCenter"/>
              <w:rPr>
                <w:rFonts w:ascii="Arial" w:hAnsi="Arial" w:cs="Arial"/>
              </w:rPr>
            </w:pPr>
            <w:r w:rsidRPr="007D2E26">
              <w:rPr>
                <w:rFonts w:ascii="Arial" w:hAnsi="Arial" w:cs="Arial"/>
              </w:rPr>
              <w:t>85 (38)</w:t>
            </w:r>
          </w:p>
        </w:tc>
      </w:tr>
      <w:tr w:rsidR="00DD613E" w:rsidRPr="002A4D0A" w14:paraId="53C8FB26" w14:textId="77777777" w:rsidTr="002A4D0A">
        <w:tc>
          <w:tcPr>
            <w:tcW w:w="1863" w:type="pct"/>
          </w:tcPr>
          <w:p w14:paraId="4061EC98"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Constipation</w:t>
            </w:r>
          </w:p>
        </w:tc>
        <w:tc>
          <w:tcPr>
            <w:tcW w:w="1982" w:type="pct"/>
          </w:tcPr>
          <w:p w14:paraId="07BE55DE" w14:textId="77777777" w:rsidR="00DD613E" w:rsidRPr="007D2E26" w:rsidRDefault="00DD613E" w:rsidP="002A4D0A">
            <w:pPr>
              <w:pStyle w:val="TableCenter"/>
              <w:rPr>
                <w:rFonts w:ascii="Arial" w:hAnsi="Arial" w:cs="Arial"/>
              </w:rPr>
            </w:pPr>
            <w:r w:rsidRPr="007D2E26">
              <w:rPr>
                <w:rFonts w:ascii="Arial" w:hAnsi="Arial" w:cs="Arial"/>
              </w:rPr>
              <w:t>64 (29)</w:t>
            </w:r>
          </w:p>
        </w:tc>
        <w:tc>
          <w:tcPr>
            <w:tcW w:w="1155" w:type="pct"/>
          </w:tcPr>
          <w:p w14:paraId="2BF0E68A" w14:textId="77777777" w:rsidR="00DD613E" w:rsidRPr="007D2E26" w:rsidRDefault="00DD613E" w:rsidP="002A4D0A">
            <w:pPr>
              <w:pStyle w:val="TableCenter"/>
              <w:rPr>
                <w:rFonts w:ascii="Arial" w:hAnsi="Arial" w:cs="Arial"/>
              </w:rPr>
            </w:pPr>
            <w:r w:rsidRPr="007D2E26">
              <w:rPr>
                <w:rFonts w:ascii="Arial" w:hAnsi="Arial" w:cs="Arial"/>
              </w:rPr>
              <w:t>67 (30)</w:t>
            </w:r>
          </w:p>
        </w:tc>
      </w:tr>
      <w:tr w:rsidR="00DD613E" w:rsidRPr="002A4D0A" w14:paraId="3E093FE2" w14:textId="77777777" w:rsidTr="002A4D0A">
        <w:tc>
          <w:tcPr>
            <w:tcW w:w="1863" w:type="pct"/>
          </w:tcPr>
          <w:p w14:paraId="6057B16D"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Alopecia</w:t>
            </w:r>
          </w:p>
        </w:tc>
        <w:tc>
          <w:tcPr>
            <w:tcW w:w="1982" w:type="pct"/>
          </w:tcPr>
          <w:p w14:paraId="1F3E8D86" w14:textId="77777777" w:rsidR="00DD613E" w:rsidRPr="007D2E26" w:rsidRDefault="00DD613E" w:rsidP="002A4D0A">
            <w:pPr>
              <w:pStyle w:val="TableCenter"/>
              <w:rPr>
                <w:rFonts w:ascii="Arial" w:hAnsi="Arial" w:cs="Arial"/>
              </w:rPr>
            </w:pPr>
            <w:r w:rsidRPr="007D2E26">
              <w:rPr>
                <w:rFonts w:ascii="Arial" w:hAnsi="Arial" w:cs="Arial"/>
              </w:rPr>
              <w:t>58 (26)</w:t>
            </w:r>
          </w:p>
        </w:tc>
        <w:tc>
          <w:tcPr>
            <w:tcW w:w="1155" w:type="pct"/>
          </w:tcPr>
          <w:p w14:paraId="3DC808E0" w14:textId="77777777" w:rsidR="00DD613E" w:rsidRPr="007D2E26" w:rsidRDefault="00DD613E" w:rsidP="002A4D0A">
            <w:pPr>
              <w:pStyle w:val="TableCenter"/>
              <w:rPr>
                <w:rFonts w:ascii="Arial" w:hAnsi="Arial" w:cs="Arial"/>
              </w:rPr>
            </w:pPr>
            <w:r w:rsidRPr="007D2E26">
              <w:rPr>
                <w:rFonts w:ascii="Arial" w:hAnsi="Arial" w:cs="Arial"/>
              </w:rPr>
              <w:t>56 (25)</w:t>
            </w:r>
          </w:p>
        </w:tc>
      </w:tr>
      <w:tr w:rsidR="00DD613E" w:rsidRPr="002A4D0A" w14:paraId="02B3528E" w14:textId="77777777" w:rsidTr="002A4D0A">
        <w:tc>
          <w:tcPr>
            <w:tcW w:w="1863" w:type="pct"/>
          </w:tcPr>
          <w:p w14:paraId="03E49806"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Pyrexia</w:t>
            </w:r>
          </w:p>
        </w:tc>
        <w:tc>
          <w:tcPr>
            <w:tcW w:w="1982" w:type="pct"/>
          </w:tcPr>
          <w:p w14:paraId="73A8C643" w14:textId="77777777" w:rsidR="00DD613E" w:rsidRPr="007D2E26" w:rsidRDefault="00DD613E" w:rsidP="002A4D0A">
            <w:pPr>
              <w:pStyle w:val="TableCenter"/>
              <w:rPr>
                <w:rFonts w:ascii="Arial" w:hAnsi="Arial" w:cs="Arial"/>
              </w:rPr>
            </w:pPr>
            <w:r w:rsidRPr="007D2E26">
              <w:rPr>
                <w:rFonts w:ascii="Arial" w:hAnsi="Arial" w:cs="Arial"/>
              </w:rPr>
              <w:t>58 (26)</w:t>
            </w:r>
          </w:p>
        </w:tc>
        <w:tc>
          <w:tcPr>
            <w:tcW w:w="1155" w:type="pct"/>
          </w:tcPr>
          <w:p w14:paraId="2CCAFF5D" w14:textId="77777777" w:rsidR="00DD613E" w:rsidRPr="007D2E26" w:rsidRDefault="00DD613E" w:rsidP="002A4D0A">
            <w:pPr>
              <w:pStyle w:val="TableCenter"/>
              <w:rPr>
                <w:rFonts w:ascii="Arial" w:hAnsi="Arial" w:cs="Arial"/>
              </w:rPr>
            </w:pPr>
            <w:r w:rsidRPr="007D2E26">
              <w:rPr>
                <w:rFonts w:ascii="Arial" w:hAnsi="Arial" w:cs="Arial"/>
              </w:rPr>
              <w:t>42 (19)</w:t>
            </w:r>
          </w:p>
        </w:tc>
      </w:tr>
      <w:tr w:rsidR="00DD613E" w:rsidRPr="002A4D0A" w14:paraId="6A521135" w14:textId="77777777" w:rsidTr="002A4D0A">
        <w:tc>
          <w:tcPr>
            <w:tcW w:w="1863" w:type="pct"/>
          </w:tcPr>
          <w:p w14:paraId="3472B4CE"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Vomiting</w:t>
            </w:r>
          </w:p>
        </w:tc>
        <w:tc>
          <w:tcPr>
            <w:tcW w:w="1982" w:type="pct"/>
          </w:tcPr>
          <w:p w14:paraId="2F8F048D" w14:textId="77777777" w:rsidR="00DD613E" w:rsidRPr="007D2E26" w:rsidRDefault="00DD613E" w:rsidP="002A4D0A">
            <w:pPr>
              <w:pStyle w:val="TableCenter"/>
              <w:rPr>
                <w:rFonts w:ascii="Arial" w:hAnsi="Arial" w:cs="Arial"/>
              </w:rPr>
            </w:pPr>
            <w:r w:rsidRPr="007D2E26">
              <w:rPr>
                <w:rFonts w:ascii="Arial" w:hAnsi="Arial" w:cs="Arial"/>
              </w:rPr>
              <w:t>57 (26)</w:t>
            </w:r>
          </w:p>
        </w:tc>
        <w:tc>
          <w:tcPr>
            <w:tcW w:w="1155" w:type="pct"/>
          </w:tcPr>
          <w:p w14:paraId="1CAE6B2B" w14:textId="77777777" w:rsidR="00DD613E" w:rsidRPr="007D2E26" w:rsidRDefault="00DD613E" w:rsidP="002A4D0A">
            <w:pPr>
              <w:pStyle w:val="TableCenter"/>
              <w:rPr>
                <w:rFonts w:ascii="Arial" w:hAnsi="Arial" w:cs="Arial"/>
              </w:rPr>
            </w:pPr>
            <w:r w:rsidRPr="007D2E26">
              <w:rPr>
                <w:rFonts w:ascii="Arial" w:hAnsi="Arial" w:cs="Arial"/>
              </w:rPr>
              <w:t>39 (17)</w:t>
            </w:r>
          </w:p>
        </w:tc>
      </w:tr>
      <w:tr w:rsidR="00DD613E" w:rsidRPr="002A4D0A" w14:paraId="5C82EFAE" w14:textId="77777777" w:rsidTr="002A4D0A">
        <w:tc>
          <w:tcPr>
            <w:tcW w:w="1863" w:type="pct"/>
          </w:tcPr>
          <w:p w14:paraId="696B0E1F"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Fatigue</w:t>
            </w:r>
          </w:p>
        </w:tc>
        <w:tc>
          <w:tcPr>
            <w:tcW w:w="1982" w:type="pct"/>
          </w:tcPr>
          <w:p w14:paraId="4B099C5E" w14:textId="77777777" w:rsidR="00DD613E" w:rsidRPr="007D2E26" w:rsidRDefault="00DD613E" w:rsidP="002A4D0A">
            <w:pPr>
              <w:pStyle w:val="TableCenter"/>
              <w:rPr>
                <w:rFonts w:ascii="Arial" w:hAnsi="Arial" w:cs="Arial"/>
              </w:rPr>
            </w:pPr>
            <w:r w:rsidRPr="007D2E26">
              <w:rPr>
                <w:rFonts w:ascii="Arial" w:hAnsi="Arial" w:cs="Arial"/>
              </w:rPr>
              <w:t>54 (24)</w:t>
            </w:r>
          </w:p>
        </w:tc>
        <w:tc>
          <w:tcPr>
            <w:tcW w:w="1155" w:type="pct"/>
          </w:tcPr>
          <w:p w14:paraId="4AC0AB92" w14:textId="77777777" w:rsidR="00DD613E" w:rsidRPr="007D2E26" w:rsidRDefault="00DD613E" w:rsidP="002A4D0A">
            <w:pPr>
              <w:pStyle w:val="TableCenter"/>
              <w:rPr>
                <w:rFonts w:ascii="Arial" w:hAnsi="Arial" w:cs="Arial"/>
              </w:rPr>
            </w:pPr>
            <w:r w:rsidRPr="007D2E26">
              <w:rPr>
                <w:rFonts w:ascii="Arial" w:hAnsi="Arial" w:cs="Arial"/>
              </w:rPr>
              <w:t>46 (20)</w:t>
            </w:r>
          </w:p>
        </w:tc>
      </w:tr>
      <w:tr w:rsidR="00DD613E" w:rsidRPr="002A4D0A" w14:paraId="1A4686C5" w14:textId="77777777" w:rsidTr="002A4D0A">
        <w:tc>
          <w:tcPr>
            <w:tcW w:w="1863" w:type="pct"/>
          </w:tcPr>
          <w:p w14:paraId="2631D8C7" w14:textId="77777777" w:rsidR="00DD613E" w:rsidRPr="007D2E26" w:rsidRDefault="00DD613E" w:rsidP="002A4D0A">
            <w:pPr>
              <w:pStyle w:val="TableLeft"/>
              <w:keepNext/>
              <w:keepLines/>
              <w:rPr>
                <w:rFonts w:ascii="Arial" w:hAnsi="Arial" w:cs="Arial"/>
                <w:lang w:eastAsia="it-IT"/>
              </w:rPr>
            </w:pPr>
            <w:proofErr w:type="spellStart"/>
            <w:r w:rsidRPr="007D2E26">
              <w:rPr>
                <w:rFonts w:ascii="Arial" w:hAnsi="Arial" w:cs="Arial"/>
                <w:lang w:eastAsia="it-IT"/>
              </w:rPr>
              <w:t>Anaemia</w:t>
            </w:r>
            <w:proofErr w:type="spellEnd"/>
          </w:p>
        </w:tc>
        <w:tc>
          <w:tcPr>
            <w:tcW w:w="1982" w:type="pct"/>
          </w:tcPr>
          <w:p w14:paraId="615619B7" w14:textId="77777777" w:rsidR="00DD613E" w:rsidRPr="007D2E26" w:rsidRDefault="00DD613E" w:rsidP="002A4D0A">
            <w:pPr>
              <w:pStyle w:val="TableCenter"/>
              <w:rPr>
                <w:rFonts w:ascii="Arial" w:hAnsi="Arial" w:cs="Arial"/>
              </w:rPr>
            </w:pPr>
            <w:r w:rsidRPr="007D2E26">
              <w:rPr>
                <w:rFonts w:ascii="Arial" w:hAnsi="Arial" w:cs="Arial"/>
              </w:rPr>
              <w:t>46 (21)</w:t>
            </w:r>
          </w:p>
        </w:tc>
        <w:tc>
          <w:tcPr>
            <w:tcW w:w="1155" w:type="pct"/>
          </w:tcPr>
          <w:p w14:paraId="3F257000" w14:textId="77777777" w:rsidR="00DD613E" w:rsidRPr="007D2E26" w:rsidRDefault="00DD613E" w:rsidP="002A4D0A">
            <w:pPr>
              <w:pStyle w:val="TableCenter"/>
              <w:rPr>
                <w:rFonts w:ascii="Arial" w:hAnsi="Arial" w:cs="Arial"/>
              </w:rPr>
            </w:pPr>
            <w:r w:rsidRPr="007D2E26">
              <w:rPr>
                <w:rFonts w:ascii="Arial" w:hAnsi="Arial" w:cs="Arial"/>
              </w:rPr>
              <w:t>36 (16)</w:t>
            </w:r>
          </w:p>
        </w:tc>
      </w:tr>
      <w:tr w:rsidR="00DD613E" w:rsidRPr="002A4D0A" w14:paraId="33FDDA2C" w14:textId="77777777" w:rsidTr="002A4D0A">
        <w:tc>
          <w:tcPr>
            <w:tcW w:w="1863" w:type="pct"/>
          </w:tcPr>
          <w:p w14:paraId="1EACF415"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Febrile neutropenia</w:t>
            </w:r>
          </w:p>
        </w:tc>
        <w:tc>
          <w:tcPr>
            <w:tcW w:w="1982" w:type="pct"/>
          </w:tcPr>
          <w:p w14:paraId="6C1C8C2A" w14:textId="77777777" w:rsidR="00DD613E" w:rsidRPr="007D2E26" w:rsidRDefault="00DD613E" w:rsidP="002A4D0A">
            <w:pPr>
              <w:pStyle w:val="TableCenter"/>
              <w:rPr>
                <w:rFonts w:ascii="Arial" w:hAnsi="Arial" w:cs="Arial"/>
              </w:rPr>
            </w:pPr>
            <w:r w:rsidRPr="007D2E26">
              <w:rPr>
                <w:rFonts w:ascii="Arial" w:hAnsi="Arial" w:cs="Arial"/>
              </w:rPr>
              <w:t>41 (18)</w:t>
            </w:r>
          </w:p>
        </w:tc>
        <w:tc>
          <w:tcPr>
            <w:tcW w:w="1155" w:type="pct"/>
          </w:tcPr>
          <w:p w14:paraId="1E3A0C7D" w14:textId="77777777" w:rsidR="00DD613E" w:rsidRPr="007D2E26" w:rsidRDefault="00DD613E" w:rsidP="002A4D0A">
            <w:pPr>
              <w:pStyle w:val="TableCenter"/>
              <w:rPr>
                <w:rFonts w:ascii="Arial" w:hAnsi="Arial" w:cs="Arial"/>
              </w:rPr>
            </w:pPr>
            <w:r w:rsidRPr="007D2E26">
              <w:rPr>
                <w:rFonts w:ascii="Arial" w:hAnsi="Arial" w:cs="Arial"/>
              </w:rPr>
              <w:t>33 (15)</w:t>
            </w:r>
          </w:p>
        </w:tc>
      </w:tr>
      <w:tr w:rsidR="00DD613E" w:rsidRPr="002A4D0A" w14:paraId="0D33E64D" w14:textId="77777777" w:rsidTr="002A4D0A">
        <w:tc>
          <w:tcPr>
            <w:tcW w:w="1863" w:type="pct"/>
          </w:tcPr>
          <w:p w14:paraId="2CA79DC1"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Decreased appetite</w:t>
            </w:r>
          </w:p>
        </w:tc>
        <w:tc>
          <w:tcPr>
            <w:tcW w:w="1982" w:type="pct"/>
          </w:tcPr>
          <w:p w14:paraId="355BD1CD" w14:textId="77777777" w:rsidR="00DD613E" w:rsidRPr="007D2E26" w:rsidRDefault="00DD613E" w:rsidP="002A4D0A">
            <w:pPr>
              <w:pStyle w:val="TableCenter"/>
              <w:rPr>
                <w:rFonts w:ascii="Arial" w:hAnsi="Arial" w:cs="Arial"/>
              </w:rPr>
            </w:pPr>
            <w:r w:rsidRPr="007D2E26">
              <w:rPr>
                <w:rFonts w:ascii="Arial" w:hAnsi="Arial" w:cs="Arial"/>
              </w:rPr>
              <w:t>39 (17)</w:t>
            </w:r>
          </w:p>
        </w:tc>
        <w:tc>
          <w:tcPr>
            <w:tcW w:w="1155" w:type="pct"/>
          </w:tcPr>
          <w:p w14:paraId="1E8C7367" w14:textId="77777777" w:rsidR="00DD613E" w:rsidRPr="007D2E26" w:rsidRDefault="00DD613E" w:rsidP="002A4D0A">
            <w:pPr>
              <w:pStyle w:val="TableCenter"/>
              <w:rPr>
                <w:rFonts w:ascii="Arial" w:hAnsi="Arial" w:cs="Arial"/>
              </w:rPr>
            </w:pPr>
            <w:r w:rsidRPr="007D2E26">
              <w:rPr>
                <w:rFonts w:ascii="Arial" w:hAnsi="Arial" w:cs="Arial"/>
              </w:rPr>
              <w:t>27 (12)</w:t>
            </w:r>
          </w:p>
        </w:tc>
      </w:tr>
      <w:tr w:rsidR="00DD613E" w:rsidRPr="002A4D0A" w14:paraId="33C903F2" w14:textId="77777777" w:rsidTr="002A4D0A">
        <w:tc>
          <w:tcPr>
            <w:tcW w:w="1863" w:type="pct"/>
          </w:tcPr>
          <w:p w14:paraId="1B16CE13" w14:textId="77777777" w:rsidR="00DD613E" w:rsidRPr="007D2E26" w:rsidRDefault="00DD613E" w:rsidP="002A4D0A">
            <w:pPr>
              <w:pStyle w:val="TableLeft"/>
              <w:keepNext/>
              <w:keepLines/>
              <w:rPr>
                <w:rFonts w:ascii="Arial" w:hAnsi="Arial" w:cs="Arial"/>
                <w:lang w:eastAsia="it-IT"/>
              </w:rPr>
            </w:pPr>
            <w:proofErr w:type="spellStart"/>
            <w:r w:rsidRPr="007D2E26">
              <w:rPr>
                <w:rFonts w:ascii="Arial" w:hAnsi="Arial" w:cs="Arial"/>
                <w:lang w:eastAsia="it-IT"/>
              </w:rPr>
              <w:t>Dyspnoea</w:t>
            </w:r>
            <w:proofErr w:type="spellEnd"/>
          </w:p>
        </w:tc>
        <w:tc>
          <w:tcPr>
            <w:tcW w:w="1982" w:type="pct"/>
          </w:tcPr>
          <w:p w14:paraId="54EC67EC" w14:textId="77777777" w:rsidR="00DD613E" w:rsidRPr="007D2E26" w:rsidRDefault="00DD613E" w:rsidP="002A4D0A">
            <w:pPr>
              <w:pStyle w:val="TableCenter"/>
              <w:rPr>
                <w:rFonts w:ascii="Arial" w:hAnsi="Arial" w:cs="Arial"/>
              </w:rPr>
            </w:pPr>
            <w:r w:rsidRPr="007D2E26">
              <w:rPr>
                <w:rFonts w:ascii="Arial" w:hAnsi="Arial" w:cs="Arial"/>
              </w:rPr>
              <w:t>32 (14)</w:t>
            </w:r>
          </w:p>
        </w:tc>
        <w:tc>
          <w:tcPr>
            <w:tcW w:w="1155" w:type="pct"/>
          </w:tcPr>
          <w:p w14:paraId="0C5BAB58" w14:textId="77777777" w:rsidR="00DD613E" w:rsidRPr="007D2E26" w:rsidRDefault="00DD613E" w:rsidP="002A4D0A">
            <w:pPr>
              <w:pStyle w:val="TableCenter"/>
              <w:rPr>
                <w:rFonts w:ascii="Arial" w:hAnsi="Arial" w:cs="Arial"/>
              </w:rPr>
            </w:pPr>
            <w:r w:rsidRPr="007D2E26">
              <w:rPr>
                <w:rFonts w:ascii="Arial" w:hAnsi="Arial" w:cs="Arial"/>
              </w:rPr>
              <w:t>24 (11)</w:t>
            </w:r>
          </w:p>
        </w:tc>
      </w:tr>
      <w:tr w:rsidR="00DD613E" w:rsidRPr="002A4D0A" w14:paraId="033BFF27" w14:textId="77777777" w:rsidTr="002A4D0A">
        <w:tc>
          <w:tcPr>
            <w:tcW w:w="1863" w:type="pct"/>
          </w:tcPr>
          <w:p w14:paraId="41A91E80"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Headache</w:t>
            </w:r>
          </w:p>
        </w:tc>
        <w:tc>
          <w:tcPr>
            <w:tcW w:w="1982" w:type="pct"/>
          </w:tcPr>
          <w:p w14:paraId="1003E833" w14:textId="77777777" w:rsidR="00DD613E" w:rsidRPr="007D2E26" w:rsidRDefault="00DD613E" w:rsidP="002A4D0A">
            <w:pPr>
              <w:pStyle w:val="TableCenter"/>
              <w:rPr>
                <w:rFonts w:ascii="Arial" w:hAnsi="Arial" w:cs="Arial"/>
              </w:rPr>
            </w:pPr>
            <w:r w:rsidRPr="007D2E26">
              <w:rPr>
                <w:rFonts w:ascii="Arial" w:hAnsi="Arial" w:cs="Arial"/>
              </w:rPr>
              <w:t>31 (14)</w:t>
            </w:r>
          </w:p>
        </w:tc>
        <w:tc>
          <w:tcPr>
            <w:tcW w:w="1155" w:type="pct"/>
          </w:tcPr>
          <w:p w14:paraId="00EF9BE3" w14:textId="77777777" w:rsidR="00DD613E" w:rsidRPr="007D2E26" w:rsidRDefault="00DD613E" w:rsidP="002A4D0A">
            <w:pPr>
              <w:pStyle w:val="TableCenter"/>
              <w:rPr>
                <w:rFonts w:ascii="Arial" w:hAnsi="Arial" w:cs="Arial"/>
              </w:rPr>
            </w:pPr>
            <w:r w:rsidRPr="007D2E26">
              <w:rPr>
                <w:rFonts w:ascii="Arial" w:hAnsi="Arial" w:cs="Arial"/>
              </w:rPr>
              <w:t>31 (14)</w:t>
            </w:r>
          </w:p>
        </w:tc>
      </w:tr>
      <w:tr w:rsidR="00DD613E" w:rsidRPr="002A4D0A" w14:paraId="442F7809" w14:textId="77777777" w:rsidTr="002A4D0A">
        <w:tc>
          <w:tcPr>
            <w:tcW w:w="1863" w:type="pct"/>
          </w:tcPr>
          <w:p w14:paraId="2FB82AAD"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Dizziness</w:t>
            </w:r>
          </w:p>
        </w:tc>
        <w:tc>
          <w:tcPr>
            <w:tcW w:w="1982" w:type="pct"/>
          </w:tcPr>
          <w:p w14:paraId="4749F3F7" w14:textId="77777777" w:rsidR="00DD613E" w:rsidRPr="007D2E26" w:rsidRDefault="00DD613E" w:rsidP="002A4D0A">
            <w:pPr>
              <w:pStyle w:val="TableCenter"/>
              <w:rPr>
                <w:rFonts w:ascii="Arial" w:hAnsi="Arial" w:cs="Arial"/>
              </w:rPr>
            </w:pPr>
            <w:r w:rsidRPr="007D2E26">
              <w:rPr>
                <w:rFonts w:ascii="Arial" w:hAnsi="Arial" w:cs="Arial"/>
              </w:rPr>
              <w:t>28 (13)</w:t>
            </w:r>
          </w:p>
        </w:tc>
        <w:tc>
          <w:tcPr>
            <w:tcW w:w="1155" w:type="pct"/>
          </w:tcPr>
          <w:p w14:paraId="7B21365D" w14:textId="77777777" w:rsidR="00DD613E" w:rsidRPr="007D2E26" w:rsidRDefault="00DD613E" w:rsidP="002A4D0A">
            <w:pPr>
              <w:pStyle w:val="TableCenter"/>
              <w:rPr>
                <w:rFonts w:ascii="Arial" w:hAnsi="Arial" w:cs="Arial"/>
              </w:rPr>
            </w:pPr>
            <w:r w:rsidRPr="007D2E26">
              <w:rPr>
                <w:rFonts w:ascii="Arial" w:hAnsi="Arial" w:cs="Arial"/>
              </w:rPr>
              <w:t>20 (9)</w:t>
            </w:r>
          </w:p>
        </w:tc>
      </w:tr>
      <w:tr w:rsidR="00DD613E" w:rsidRPr="002A4D0A" w14:paraId="53EFE647" w14:textId="77777777" w:rsidTr="002A4D0A">
        <w:tc>
          <w:tcPr>
            <w:tcW w:w="1863" w:type="pct"/>
          </w:tcPr>
          <w:p w14:paraId="6C1CBA9F"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Cough</w:t>
            </w:r>
          </w:p>
        </w:tc>
        <w:tc>
          <w:tcPr>
            <w:tcW w:w="1982" w:type="pct"/>
          </w:tcPr>
          <w:p w14:paraId="25305F4C" w14:textId="77777777" w:rsidR="00DD613E" w:rsidRPr="007D2E26" w:rsidRDefault="00DD613E" w:rsidP="002A4D0A">
            <w:pPr>
              <w:pStyle w:val="TableCenter"/>
              <w:rPr>
                <w:rFonts w:ascii="Arial" w:hAnsi="Arial" w:cs="Arial"/>
              </w:rPr>
            </w:pPr>
            <w:r w:rsidRPr="007D2E26">
              <w:rPr>
                <w:rFonts w:ascii="Arial" w:hAnsi="Arial" w:cs="Arial"/>
              </w:rPr>
              <w:t>27 (12)</w:t>
            </w:r>
          </w:p>
        </w:tc>
        <w:tc>
          <w:tcPr>
            <w:tcW w:w="1155" w:type="pct"/>
          </w:tcPr>
          <w:p w14:paraId="4BC4B210" w14:textId="77777777" w:rsidR="00DD613E" w:rsidRPr="007D2E26" w:rsidRDefault="00DD613E" w:rsidP="002A4D0A">
            <w:pPr>
              <w:pStyle w:val="TableCenter"/>
              <w:rPr>
                <w:rFonts w:ascii="Arial" w:hAnsi="Arial" w:cs="Arial"/>
              </w:rPr>
            </w:pPr>
            <w:r w:rsidRPr="007D2E26">
              <w:rPr>
                <w:rFonts w:ascii="Arial" w:hAnsi="Arial" w:cs="Arial"/>
              </w:rPr>
              <w:t>22 (10)</w:t>
            </w:r>
          </w:p>
        </w:tc>
      </w:tr>
      <w:tr w:rsidR="00DD613E" w:rsidRPr="002A4D0A" w14:paraId="344E656F" w14:textId="77777777" w:rsidTr="002A4D0A">
        <w:tc>
          <w:tcPr>
            <w:tcW w:w="1863" w:type="pct"/>
          </w:tcPr>
          <w:p w14:paraId="35622329" w14:textId="77777777" w:rsidR="00DD613E" w:rsidRPr="007D2E26" w:rsidRDefault="00DD613E" w:rsidP="002A4D0A">
            <w:pPr>
              <w:pStyle w:val="TableLeft"/>
              <w:keepNext/>
              <w:keepLines/>
              <w:rPr>
                <w:rFonts w:ascii="Arial" w:hAnsi="Arial" w:cs="Arial"/>
                <w:lang w:eastAsia="it-IT"/>
              </w:rPr>
            </w:pPr>
            <w:proofErr w:type="spellStart"/>
            <w:r w:rsidRPr="007D2E26">
              <w:rPr>
                <w:rFonts w:ascii="Arial" w:hAnsi="Arial" w:cs="Arial"/>
                <w:lang w:eastAsia="it-IT"/>
              </w:rPr>
              <w:t>Hypokalaemia</w:t>
            </w:r>
            <w:proofErr w:type="spellEnd"/>
          </w:p>
        </w:tc>
        <w:tc>
          <w:tcPr>
            <w:tcW w:w="1982" w:type="pct"/>
          </w:tcPr>
          <w:p w14:paraId="10EBAEEB" w14:textId="77777777" w:rsidR="00DD613E" w:rsidRPr="007D2E26" w:rsidRDefault="00DD613E" w:rsidP="002A4D0A">
            <w:pPr>
              <w:pStyle w:val="TableCenter"/>
              <w:rPr>
                <w:rFonts w:ascii="Arial" w:hAnsi="Arial" w:cs="Arial"/>
              </w:rPr>
            </w:pPr>
            <w:r w:rsidRPr="007D2E26">
              <w:rPr>
                <w:rFonts w:ascii="Arial" w:hAnsi="Arial" w:cs="Arial"/>
              </w:rPr>
              <w:t>27 (12)</w:t>
            </w:r>
          </w:p>
        </w:tc>
        <w:tc>
          <w:tcPr>
            <w:tcW w:w="1155" w:type="pct"/>
          </w:tcPr>
          <w:p w14:paraId="3CA22ABD" w14:textId="77777777" w:rsidR="00DD613E" w:rsidRPr="007D2E26" w:rsidRDefault="00DD613E" w:rsidP="002A4D0A">
            <w:pPr>
              <w:pStyle w:val="TableCenter"/>
              <w:rPr>
                <w:rFonts w:ascii="Arial" w:hAnsi="Arial" w:cs="Arial"/>
              </w:rPr>
            </w:pPr>
            <w:r w:rsidRPr="007D2E26">
              <w:rPr>
                <w:rFonts w:ascii="Arial" w:hAnsi="Arial" w:cs="Arial"/>
              </w:rPr>
              <w:t>18 (8)</w:t>
            </w:r>
          </w:p>
        </w:tc>
      </w:tr>
      <w:tr w:rsidR="00DD613E" w:rsidRPr="002A4D0A" w14:paraId="50CC398C" w14:textId="77777777" w:rsidTr="002A4D0A">
        <w:tc>
          <w:tcPr>
            <w:tcW w:w="1863" w:type="pct"/>
          </w:tcPr>
          <w:p w14:paraId="3E9625D2"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Stomatitis</w:t>
            </w:r>
          </w:p>
        </w:tc>
        <w:tc>
          <w:tcPr>
            <w:tcW w:w="1982" w:type="pct"/>
          </w:tcPr>
          <w:p w14:paraId="2135C29B" w14:textId="77777777" w:rsidR="00DD613E" w:rsidRPr="007D2E26" w:rsidRDefault="00DD613E" w:rsidP="002A4D0A">
            <w:pPr>
              <w:pStyle w:val="TableCenter"/>
              <w:rPr>
                <w:rFonts w:ascii="Arial" w:hAnsi="Arial" w:cs="Arial"/>
              </w:rPr>
            </w:pPr>
            <w:r w:rsidRPr="007D2E26">
              <w:rPr>
                <w:rFonts w:ascii="Arial" w:hAnsi="Arial" w:cs="Arial"/>
              </w:rPr>
              <w:t>27 (12)</w:t>
            </w:r>
          </w:p>
        </w:tc>
        <w:tc>
          <w:tcPr>
            <w:tcW w:w="1155" w:type="pct"/>
          </w:tcPr>
          <w:p w14:paraId="26777B91" w14:textId="77777777" w:rsidR="00DD613E" w:rsidRPr="007D2E26" w:rsidRDefault="00DD613E" w:rsidP="002A4D0A">
            <w:pPr>
              <w:pStyle w:val="TableCenter"/>
              <w:rPr>
                <w:rFonts w:ascii="Arial" w:hAnsi="Arial" w:cs="Arial"/>
              </w:rPr>
            </w:pPr>
            <w:r w:rsidRPr="007D2E26">
              <w:rPr>
                <w:rFonts w:ascii="Arial" w:hAnsi="Arial" w:cs="Arial"/>
              </w:rPr>
              <w:t>27 (12)</w:t>
            </w:r>
          </w:p>
        </w:tc>
      </w:tr>
      <w:tr w:rsidR="00DD613E" w:rsidRPr="002A4D0A" w14:paraId="6731A563" w14:textId="77777777" w:rsidTr="002A4D0A">
        <w:tc>
          <w:tcPr>
            <w:tcW w:w="1863" w:type="pct"/>
          </w:tcPr>
          <w:p w14:paraId="45C8A1D3"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Asthenia</w:t>
            </w:r>
          </w:p>
        </w:tc>
        <w:tc>
          <w:tcPr>
            <w:tcW w:w="1982" w:type="pct"/>
          </w:tcPr>
          <w:p w14:paraId="3CF5000F" w14:textId="77777777" w:rsidR="00DD613E" w:rsidRPr="007D2E26" w:rsidRDefault="00DD613E" w:rsidP="002A4D0A">
            <w:pPr>
              <w:pStyle w:val="TableCenter"/>
              <w:rPr>
                <w:rFonts w:ascii="Arial" w:hAnsi="Arial" w:cs="Arial"/>
              </w:rPr>
            </w:pPr>
            <w:r w:rsidRPr="007D2E26">
              <w:rPr>
                <w:rFonts w:ascii="Arial" w:hAnsi="Arial" w:cs="Arial"/>
              </w:rPr>
              <w:t>26 (12)</w:t>
            </w:r>
          </w:p>
        </w:tc>
        <w:tc>
          <w:tcPr>
            <w:tcW w:w="1155" w:type="pct"/>
          </w:tcPr>
          <w:p w14:paraId="1E100236" w14:textId="77777777" w:rsidR="00DD613E" w:rsidRPr="007D2E26" w:rsidRDefault="00DD613E" w:rsidP="002A4D0A">
            <w:pPr>
              <w:pStyle w:val="TableCenter"/>
              <w:rPr>
                <w:rFonts w:ascii="Arial" w:hAnsi="Arial" w:cs="Arial"/>
              </w:rPr>
            </w:pPr>
            <w:r w:rsidRPr="007D2E26">
              <w:rPr>
                <w:rFonts w:ascii="Arial" w:hAnsi="Arial" w:cs="Arial"/>
              </w:rPr>
              <w:t>16 (7)</w:t>
            </w:r>
          </w:p>
        </w:tc>
      </w:tr>
      <w:tr w:rsidR="00DD613E" w:rsidRPr="002A4D0A" w14:paraId="64193754" w14:textId="77777777" w:rsidTr="002A4D0A">
        <w:tc>
          <w:tcPr>
            <w:tcW w:w="1863" w:type="pct"/>
          </w:tcPr>
          <w:p w14:paraId="76A2A3A6"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Weight decreased</w:t>
            </w:r>
          </w:p>
        </w:tc>
        <w:tc>
          <w:tcPr>
            <w:tcW w:w="1982" w:type="pct"/>
          </w:tcPr>
          <w:p w14:paraId="586D0B98" w14:textId="77777777" w:rsidR="00DD613E" w:rsidRPr="007D2E26" w:rsidRDefault="00DD613E" w:rsidP="002A4D0A">
            <w:pPr>
              <w:pStyle w:val="TableCenter"/>
              <w:rPr>
                <w:rFonts w:ascii="Arial" w:hAnsi="Arial" w:cs="Arial"/>
              </w:rPr>
            </w:pPr>
            <w:r w:rsidRPr="007D2E26">
              <w:rPr>
                <w:rFonts w:ascii="Arial" w:hAnsi="Arial" w:cs="Arial"/>
              </w:rPr>
              <w:t>26 (12)</w:t>
            </w:r>
          </w:p>
        </w:tc>
        <w:tc>
          <w:tcPr>
            <w:tcW w:w="1155" w:type="pct"/>
          </w:tcPr>
          <w:p w14:paraId="6A629C75" w14:textId="77777777" w:rsidR="00DD613E" w:rsidRPr="007D2E26" w:rsidRDefault="00DD613E" w:rsidP="002A4D0A">
            <w:pPr>
              <w:pStyle w:val="TableCenter"/>
              <w:rPr>
                <w:rFonts w:ascii="Arial" w:hAnsi="Arial" w:cs="Arial"/>
              </w:rPr>
            </w:pPr>
            <w:r w:rsidRPr="007D2E26">
              <w:rPr>
                <w:rFonts w:ascii="Arial" w:hAnsi="Arial" w:cs="Arial"/>
              </w:rPr>
              <w:t>17 (8)</w:t>
            </w:r>
          </w:p>
        </w:tc>
      </w:tr>
      <w:tr w:rsidR="00DD613E" w:rsidRPr="002A4D0A" w14:paraId="4E3A9B75" w14:textId="77777777" w:rsidTr="002A4D0A">
        <w:tc>
          <w:tcPr>
            <w:tcW w:w="1863" w:type="pct"/>
          </w:tcPr>
          <w:p w14:paraId="366C70E6"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Insomnia</w:t>
            </w:r>
          </w:p>
        </w:tc>
        <w:tc>
          <w:tcPr>
            <w:tcW w:w="1982" w:type="pct"/>
          </w:tcPr>
          <w:p w14:paraId="79340A28" w14:textId="77777777" w:rsidR="00DD613E" w:rsidRPr="007D2E26" w:rsidRDefault="00DD613E" w:rsidP="002A4D0A">
            <w:pPr>
              <w:pStyle w:val="TableCenter"/>
              <w:rPr>
                <w:rFonts w:ascii="Arial" w:hAnsi="Arial" w:cs="Arial"/>
              </w:rPr>
            </w:pPr>
            <w:r w:rsidRPr="007D2E26">
              <w:rPr>
                <w:rFonts w:ascii="Arial" w:hAnsi="Arial" w:cs="Arial"/>
              </w:rPr>
              <w:t>25 (11)</w:t>
            </w:r>
          </w:p>
        </w:tc>
        <w:tc>
          <w:tcPr>
            <w:tcW w:w="1155" w:type="pct"/>
          </w:tcPr>
          <w:p w14:paraId="5C76A23B" w14:textId="77777777" w:rsidR="00DD613E" w:rsidRPr="007D2E26" w:rsidRDefault="00DD613E" w:rsidP="002A4D0A">
            <w:pPr>
              <w:pStyle w:val="TableCenter"/>
              <w:rPr>
                <w:rFonts w:ascii="Arial" w:hAnsi="Arial" w:cs="Arial"/>
              </w:rPr>
            </w:pPr>
            <w:r w:rsidRPr="007D2E26">
              <w:rPr>
                <w:rFonts w:ascii="Arial" w:hAnsi="Arial" w:cs="Arial"/>
              </w:rPr>
              <w:t>31 (14)</w:t>
            </w:r>
          </w:p>
        </w:tc>
      </w:tr>
      <w:tr w:rsidR="00DD613E" w:rsidRPr="002A4D0A" w14:paraId="3F9EE48D" w14:textId="77777777" w:rsidTr="002A4D0A">
        <w:tc>
          <w:tcPr>
            <w:tcW w:w="1863" w:type="pct"/>
          </w:tcPr>
          <w:p w14:paraId="396AB22B"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Myalgia</w:t>
            </w:r>
          </w:p>
        </w:tc>
        <w:tc>
          <w:tcPr>
            <w:tcW w:w="1982" w:type="pct"/>
          </w:tcPr>
          <w:p w14:paraId="4D41ED38" w14:textId="77777777" w:rsidR="00DD613E" w:rsidRPr="007D2E26" w:rsidRDefault="00DD613E" w:rsidP="002A4D0A">
            <w:pPr>
              <w:pStyle w:val="TableCenter"/>
              <w:rPr>
                <w:rFonts w:ascii="Arial" w:hAnsi="Arial" w:cs="Arial"/>
              </w:rPr>
            </w:pPr>
            <w:r w:rsidRPr="007D2E26">
              <w:rPr>
                <w:rFonts w:ascii="Arial" w:hAnsi="Arial" w:cs="Arial"/>
              </w:rPr>
              <w:t>24 (11)</w:t>
            </w:r>
          </w:p>
        </w:tc>
        <w:tc>
          <w:tcPr>
            <w:tcW w:w="1155" w:type="pct"/>
          </w:tcPr>
          <w:p w14:paraId="75364FC3" w14:textId="77777777" w:rsidR="00DD613E" w:rsidRPr="007D2E26" w:rsidRDefault="00DD613E" w:rsidP="002A4D0A">
            <w:pPr>
              <w:pStyle w:val="TableCenter"/>
              <w:rPr>
                <w:rFonts w:ascii="Arial" w:hAnsi="Arial" w:cs="Arial"/>
              </w:rPr>
            </w:pPr>
            <w:r w:rsidRPr="007D2E26">
              <w:rPr>
                <w:rFonts w:ascii="Arial" w:hAnsi="Arial" w:cs="Arial"/>
              </w:rPr>
              <w:t>19 (8)</w:t>
            </w:r>
          </w:p>
        </w:tc>
      </w:tr>
      <w:tr w:rsidR="00DD613E" w:rsidRPr="002A4D0A" w14:paraId="7D639FFA" w14:textId="77777777" w:rsidTr="002A4D0A">
        <w:tc>
          <w:tcPr>
            <w:tcW w:w="1863" w:type="pct"/>
          </w:tcPr>
          <w:p w14:paraId="4DB2C0AD"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Oedema peripheral</w:t>
            </w:r>
          </w:p>
        </w:tc>
        <w:tc>
          <w:tcPr>
            <w:tcW w:w="1982" w:type="pct"/>
          </w:tcPr>
          <w:p w14:paraId="5D968350" w14:textId="77777777" w:rsidR="00DD613E" w:rsidRPr="007D2E26" w:rsidRDefault="00DD613E" w:rsidP="002A4D0A">
            <w:pPr>
              <w:pStyle w:val="TableCenter"/>
              <w:rPr>
                <w:rFonts w:ascii="Arial" w:hAnsi="Arial" w:cs="Arial"/>
              </w:rPr>
            </w:pPr>
            <w:r w:rsidRPr="007D2E26">
              <w:rPr>
                <w:rFonts w:ascii="Arial" w:hAnsi="Arial" w:cs="Arial"/>
              </w:rPr>
              <w:t>24 (11)</w:t>
            </w:r>
          </w:p>
        </w:tc>
        <w:tc>
          <w:tcPr>
            <w:tcW w:w="1155" w:type="pct"/>
          </w:tcPr>
          <w:p w14:paraId="7238856D" w14:textId="77777777" w:rsidR="00DD613E" w:rsidRPr="007D2E26" w:rsidRDefault="00DD613E" w:rsidP="002A4D0A">
            <w:pPr>
              <w:pStyle w:val="TableCenter"/>
              <w:rPr>
                <w:rFonts w:ascii="Arial" w:hAnsi="Arial" w:cs="Arial"/>
              </w:rPr>
            </w:pPr>
            <w:r w:rsidRPr="007D2E26">
              <w:rPr>
                <w:rFonts w:ascii="Arial" w:hAnsi="Arial" w:cs="Arial"/>
              </w:rPr>
              <w:t>18 (8)</w:t>
            </w:r>
          </w:p>
        </w:tc>
      </w:tr>
      <w:tr w:rsidR="00DD613E" w:rsidRPr="002A4D0A" w14:paraId="2208B23F" w14:textId="77777777" w:rsidTr="002A4D0A">
        <w:tc>
          <w:tcPr>
            <w:tcW w:w="1863" w:type="pct"/>
          </w:tcPr>
          <w:p w14:paraId="71FD43E9" w14:textId="77777777" w:rsidR="00DD613E" w:rsidRPr="007D2E26" w:rsidRDefault="00DD613E" w:rsidP="002A4D0A">
            <w:pPr>
              <w:pStyle w:val="TableLeft"/>
              <w:keepNext/>
              <w:keepLines/>
              <w:rPr>
                <w:rFonts w:ascii="Arial" w:hAnsi="Arial" w:cs="Arial"/>
                <w:lang w:eastAsia="it-IT"/>
              </w:rPr>
            </w:pPr>
            <w:r w:rsidRPr="007D2E26">
              <w:rPr>
                <w:rFonts w:ascii="Arial" w:hAnsi="Arial" w:cs="Arial"/>
                <w:lang w:eastAsia="it-IT"/>
              </w:rPr>
              <w:t>Rash</w:t>
            </w:r>
          </w:p>
        </w:tc>
        <w:tc>
          <w:tcPr>
            <w:tcW w:w="1982" w:type="pct"/>
          </w:tcPr>
          <w:p w14:paraId="1C2338DC" w14:textId="77777777" w:rsidR="00DD613E" w:rsidRPr="007D2E26" w:rsidRDefault="00DD613E" w:rsidP="002A4D0A">
            <w:pPr>
              <w:pStyle w:val="TableCenter"/>
              <w:rPr>
                <w:rFonts w:ascii="Arial" w:hAnsi="Arial" w:cs="Arial"/>
              </w:rPr>
            </w:pPr>
            <w:r w:rsidRPr="007D2E26">
              <w:rPr>
                <w:rFonts w:ascii="Arial" w:hAnsi="Arial" w:cs="Arial"/>
              </w:rPr>
              <w:t>22 (10)</w:t>
            </w:r>
          </w:p>
        </w:tc>
        <w:tc>
          <w:tcPr>
            <w:tcW w:w="1155" w:type="pct"/>
          </w:tcPr>
          <w:p w14:paraId="0E49031A" w14:textId="77777777" w:rsidR="00DD613E" w:rsidRPr="007D2E26" w:rsidRDefault="00DD613E" w:rsidP="002A4D0A">
            <w:pPr>
              <w:pStyle w:val="TableCenter"/>
              <w:rPr>
                <w:rFonts w:ascii="Arial" w:hAnsi="Arial" w:cs="Arial"/>
              </w:rPr>
            </w:pPr>
            <w:r w:rsidRPr="007D2E26">
              <w:rPr>
                <w:rFonts w:ascii="Arial" w:hAnsi="Arial" w:cs="Arial"/>
              </w:rPr>
              <w:t>15 (7)</w:t>
            </w:r>
          </w:p>
        </w:tc>
      </w:tr>
    </w:tbl>
    <w:p w14:paraId="42AADE66" w14:textId="77777777" w:rsidR="0070237D" w:rsidRPr="00DD613E" w:rsidRDefault="0070237D" w:rsidP="001A39D8">
      <w:pPr>
        <w:pStyle w:val="Paragraph"/>
        <w:spacing w:after="0"/>
        <w:rPr>
          <w:rFonts w:ascii="Arial" w:hAnsi="Arial" w:cs="Arial"/>
          <w:sz w:val="20"/>
          <w:szCs w:val="20"/>
        </w:rPr>
      </w:pPr>
    </w:p>
    <w:p w14:paraId="1B8FB94B" w14:textId="77777777" w:rsidR="00F9648D" w:rsidRDefault="00F9648D" w:rsidP="007059A5">
      <w:pPr>
        <w:pStyle w:val="Heading2"/>
      </w:pPr>
      <w:bookmarkStart w:id="18" w:name="_Hlk147903183"/>
    </w:p>
    <w:p w14:paraId="181A744B" w14:textId="77777777" w:rsidR="00F42C6F" w:rsidRDefault="00F42C6F" w:rsidP="00F42C6F"/>
    <w:p w14:paraId="386E5039" w14:textId="77777777" w:rsidR="00F42C6F" w:rsidRDefault="00F42C6F" w:rsidP="00F42C6F"/>
    <w:p w14:paraId="28AC5D82" w14:textId="77777777" w:rsidR="00F42C6F" w:rsidRDefault="00F42C6F" w:rsidP="00F42C6F"/>
    <w:p w14:paraId="10A28DAB" w14:textId="77777777" w:rsidR="00F42C6F" w:rsidRDefault="00F42C6F" w:rsidP="00F42C6F"/>
    <w:p w14:paraId="7E0BA2D1" w14:textId="7CC2A87E" w:rsidR="00006E8B" w:rsidRDefault="00006E8B">
      <w:pPr>
        <w:spacing w:after="0"/>
        <w:jc w:val="left"/>
      </w:pPr>
      <w:r>
        <w:br w:type="page"/>
      </w:r>
    </w:p>
    <w:p w14:paraId="4F152B44" w14:textId="42EC4189" w:rsidR="00F9648D" w:rsidRDefault="00023572" w:rsidP="00023572">
      <w:pPr>
        <w:pStyle w:val="Caption"/>
        <w:ind w:left="1440" w:hanging="1440"/>
        <w:rPr>
          <w:sz w:val="22"/>
          <w:szCs w:val="22"/>
        </w:rPr>
      </w:pPr>
      <w:bookmarkStart w:id="19" w:name="_Hlk149740594"/>
      <w:r w:rsidRPr="00023572">
        <w:rPr>
          <w:sz w:val="22"/>
          <w:szCs w:val="22"/>
        </w:rPr>
        <w:lastRenderedPageBreak/>
        <w:t xml:space="preserve">Table </w:t>
      </w:r>
      <w:r w:rsidRPr="00023572">
        <w:rPr>
          <w:sz w:val="22"/>
          <w:szCs w:val="22"/>
        </w:rPr>
        <w:fldChar w:fldCharType="begin"/>
      </w:r>
      <w:r w:rsidRPr="00023572">
        <w:rPr>
          <w:sz w:val="22"/>
          <w:szCs w:val="22"/>
        </w:rPr>
        <w:instrText xml:space="preserve"> SEQ Table \* ARABIC </w:instrText>
      </w:r>
      <w:r w:rsidRPr="00023572">
        <w:rPr>
          <w:sz w:val="22"/>
          <w:szCs w:val="22"/>
        </w:rPr>
        <w:fldChar w:fldCharType="separate"/>
      </w:r>
      <w:r w:rsidR="001E2FAC">
        <w:rPr>
          <w:noProof/>
          <w:sz w:val="22"/>
          <w:szCs w:val="22"/>
        </w:rPr>
        <w:t>9</w:t>
      </w:r>
      <w:r w:rsidRPr="00023572">
        <w:rPr>
          <w:sz w:val="22"/>
          <w:szCs w:val="22"/>
        </w:rPr>
        <w:fldChar w:fldCharType="end"/>
      </w:r>
      <w:r w:rsidRPr="00023572">
        <w:rPr>
          <w:sz w:val="22"/>
          <w:szCs w:val="22"/>
        </w:rPr>
        <w:tab/>
      </w:r>
      <w:r w:rsidR="00F9648D" w:rsidRPr="00A025F4">
        <w:rPr>
          <w:sz w:val="22"/>
          <w:szCs w:val="22"/>
        </w:rPr>
        <w:t xml:space="preserve">Adverse </w:t>
      </w:r>
      <w:r w:rsidR="00FF1758">
        <w:rPr>
          <w:sz w:val="22"/>
          <w:szCs w:val="22"/>
        </w:rPr>
        <w:t>Events</w:t>
      </w:r>
      <w:r w:rsidR="00F9648D" w:rsidRPr="00A025F4">
        <w:rPr>
          <w:sz w:val="22"/>
          <w:szCs w:val="22"/>
        </w:rPr>
        <w:t xml:space="preserve"> Reported for ≥10% of Subjects in the Combination therapy of ADCETRIS with doxorubicin, </w:t>
      </w:r>
      <w:r w:rsidR="00F9648D">
        <w:rPr>
          <w:sz w:val="22"/>
          <w:szCs w:val="22"/>
        </w:rPr>
        <w:t>vinblastine, and dacarbazine (AVD) versus doxorubicin, bleomycin, vinblastine, and dacarbazine (ABVD) (</w:t>
      </w:r>
      <w:r w:rsidR="00F9648D" w:rsidRPr="00A025F4">
        <w:rPr>
          <w:sz w:val="22"/>
          <w:szCs w:val="22"/>
        </w:rPr>
        <w:t xml:space="preserve">Study </w:t>
      </w:r>
      <w:r w:rsidR="00F9648D">
        <w:rPr>
          <w:sz w:val="22"/>
          <w:szCs w:val="22"/>
        </w:rPr>
        <w:t>C25003</w:t>
      </w:r>
      <w:r w:rsidR="00F9648D" w:rsidRPr="00A025F4">
        <w:rPr>
          <w:sz w:val="22"/>
          <w:szCs w:val="22"/>
        </w:rPr>
        <w:t>)</w:t>
      </w:r>
    </w:p>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977"/>
        <w:gridCol w:w="3969"/>
        <w:gridCol w:w="2268"/>
      </w:tblGrid>
      <w:tr w:rsidR="00F42C6F" w:rsidRPr="00F42C6F" w14:paraId="17CADFFE" w14:textId="77777777" w:rsidTr="00F42C6F">
        <w:tc>
          <w:tcPr>
            <w:tcW w:w="2977" w:type="dxa"/>
            <w:shd w:val="clear" w:color="auto" w:fill="auto"/>
          </w:tcPr>
          <w:p w14:paraId="110F08D6" w14:textId="4A5FE3A3" w:rsidR="00F42C6F" w:rsidRPr="00F42C6F" w:rsidRDefault="00F42C6F" w:rsidP="00CA707D">
            <w:pPr>
              <w:pStyle w:val="TableHeaderC"/>
              <w:spacing w:before="20" w:after="20"/>
              <w:jc w:val="left"/>
              <w:rPr>
                <w:rFonts w:ascii="Arial" w:hAnsi="Arial" w:cs="Arial"/>
                <w:bCs w:val="0"/>
                <w:lang w:eastAsia="it-IT"/>
              </w:rPr>
            </w:pPr>
            <w:r w:rsidRPr="00F42C6F">
              <w:rPr>
                <w:rFonts w:ascii="Arial" w:hAnsi="Arial" w:cs="Arial"/>
                <w:bCs w:val="0"/>
                <w:lang w:eastAsia="it-IT"/>
              </w:rPr>
              <w:t>Preferred Term</w:t>
            </w:r>
          </w:p>
        </w:tc>
        <w:tc>
          <w:tcPr>
            <w:tcW w:w="3969" w:type="dxa"/>
            <w:shd w:val="clear" w:color="auto" w:fill="auto"/>
          </w:tcPr>
          <w:p w14:paraId="08D2B816" w14:textId="75EF684F" w:rsidR="00F42C6F" w:rsidRPr="00F42C6F" w:rsidRDefault="00F42C6F" w:rsidP="00F42C6F">
            <w:pPr>
              <w:pStyle w:val="TableHeaderC"/>
              <w:spacing w:before="20" w:after="20"/>
              <w:rPr>
                <w:rFonts w:ascii="Arial" w:hAnsi="Arial" w:cs="Arial"/>
                <w:bCs w:val="0"/>
                <w:lang w:eastAsia="it-IT"/>
              </w:rPr>
            </w:pPr>
            <w:r w:rsidRPr="00F42C6F">
              <w:rPr>
                <w:rFonts w:ascii="Arial" w:hAnsi="Arial" w:cs="Arial"/>
                <w:bCs w:val="0"/>
                <w:lang w:eastAsia="it-IT"/>
              </w:rPr>
              <w:t>ADCETRIS+AVD</w:t>
            </w:r>
            <w:r w:rsidRPr="00F42C6F">
              <w:rPr>
                <w:rFonts w:ascii="Arial" w:hAnsi="Arial" w:cs="Arial"/>
                <w:bCs w:val="0"/>
                <w:lang w:eastAsia="it-IT"/>
              </w:rPr>
              <w:br/>
              <w:t>(N=664)</w:t>
            </w:r>
            <w:r w:rsidRPr="00F42C6F">
              <w:rPr>
                <w:rFonts w:ascii="Arial" w:hAnsi="Arial" w:cs="Arial"/>
                <w:bCs w:val="0"/>
                <w:lang w:eastAsia="it-IT"/>
              </w:rPr>
              <w:br/>
              <w:t>n (%)</w:t>
            </w:r>
          </w:p>
        </w:tc>
        <w:tc>
          <w:tcPr>
            <w:tcW w:w="2268" w:type="dxa"/>
            <w:shd w:val="clear" w:color="auto" w:fill="auto"/>
          </w:tcPr>
          <w:p w14:paraId="16ECDC44" w14:textId="1434D9EF" w:rsidR="00F42C6F" w:rsidRPr="00F42C6F" w:rsidRDefault="00F42C6F" w:rsidP="00F42C6F">
            <w:pPr>
              <w:pStyle w:val="TableHeaderC"/>
              <w:spacing w:before="20" w:after="20"/>
              <w:rPr>
                <w:rFonts w:ascii="Arial" w:hAnsi="Arial" w:cs="Arial"/>
                <w:bCs w:val="0"/>
                <w:lang w:eastAsia="it-IT"/>
              </w:rPr>
            </w:pPr>
            <w:r w:rsidRPr="00F42C6F">
              <w:rPr>
                <w:rFonts w:ascii="Arial" w:hAnsi="Arial" w:cs="Arial"/>
                <w:bCs w:val="0"/>
                <w:lang w:eastAsia="it-IT"/>
              </w:rPr>
              <w:t>ABVD</w:t>
            </w:r>
            <w:r w:rsidRPr="00F42C6F">
              <w:rPr>
                <w:rFonts w:ascii="Arial" w:hAnsi="Arial" w:cs="Arial"/>
                <w:bCs w:val="0"/>
                <w:lang w:eastAsia="it-IT"/>
              </w:rPr>
              <w:br/>
              <w:t>(N=670)</w:t>
            </w:r>
            <w:r w:rsidRPr="00F42C6F">
              <w:rPr>
                <w:rFonts w:ascii="Arial" w:hAnsi="Arial" w:cs="Arial"/>
                <w:bCs w:val="0"/>
                <w:lang w:eastAsia="it-IT"/>
              </w:rPr>
              <w:br/>
              <w:t>n (%)</w:t>
            </w:r>
          </w:p>
        </w:tc>
      </w:tr>
      <w:tr w:rsidR="00F42C6F" w:rsidRPr="00452E9D" w14:paraId="65E2231C" w14:textId="77777777" w:rsidTr="00F42C6F">
        <w:tc>
          <w:tcPr>
            <w:tcW w:w="2977" w:type="dxa"/>
            <w:shd w:val="clear" w:color="auto" w:fill="auto"/>
          </w:tcPr>
          <w:p w14:paraId="1394655D"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Neutropenia</w:t>
            </w:r>
          </w:p>
        </w:tc>
        <w:tc>
          <w:tcPr>
            <w:tcW w:w="3969" w:type="dxa"/>
            <w:shd w:val="clear" w:color="auto" w:fill="auto"/>
          </w:tcPr>
          <w:p w14:paraId="3F0165A5"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382 (58)</w:t>
            </w:r>
          </w:p>
        </w:tc>
        <w:tc>
          <w:tcPr>
            <w:tcW w:w="2268" w:type="dxa"/>
            <w:shd w:val="clear" w:color="auto" w:fill="auto"/>
          </w:tcPr>
          <w:p w14:paraId="33A54202"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295 (45)</w:t>
            </w:r>
          </w:p>
        </w:tc>
      </w:tr>
      <w:tr w:rsidR="00F42C6F" w:rsidRPr="00452E9D" w14:paraId="1D07D6A0" w14:textId="77777777" w:rsidTr="00F42C6F">
        <w:tc>
          <w:tcPr>
            <w:tcW w:w="2977" w:type="dxa"/>
            <w:shd w:val="clear" w:color="auto" w:fill="auto"/>
          </w:tcPr>
          <w:p w14:paraId="2F69E7F4"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Nausea</w:t>
            </w:r>
          </w:p>
        </w:tc>
        <w:tc>
          <w:tcPr>
            <w:tcW w:w="3969" w:type="dxa"/>
            <w:shd w:val="clear" w:color="auto" w:fill="auto"/>
          </w:tcPr>
          <w:p w14:paraId="0CF43C02"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348 (53)</w:t>
            </w:r>
          </w:p>
        </w:tc>
        <w:tc>
          <w:tcPr>
            <w:tcW w:w="2268" w:type="dxa"/>
            <w:shd w:val="clear" w:color="auto" w:fill="auto"/>
          </w:tcPr>
          <w:p w14:paraId="10AECD54"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371 (56)</w:t>
            </w:r>
          </w:p>
        </w:tc>
      </w:tr>
      <w:tr w:rsidR="00F42C6F" w:rsidRPr="00452E9D" w14:paraId="6A7B1CBD" w14:textId="77777777" w:rsidTr="00F42C6F">
        <w:tc>
          <w:tcPr>
            <w:tcW w:w="2977" w:type="dxa"/>
            <w:shd w:val="clear" w:color="auto" w:fill="auto"/>
          </w:tcPr>
          <w:p w14:paraId="50C17A10"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Constipation</w:t>
            </w:r>
          </w:p>
        </w:tc>
        <w:tc>
          <w:tcPr>
            <w:tcW w:w="3969" w:type="dxa"/>
            <w:shd w:val="clear" w:color="auto" w:fill="auto"/>
          </w:tcPr>
          <w:p w14:paraId="29748BA9"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279 (42)</w:t>
            </w:r>
          </w:p>
        </w:tc>
        <w:tc>
          <w:tcPr>
            <w:tcW w:w="2268" w:type="dxa"/>
            <w:shd w:val="clear" w:color="auto" w:fill="auto"/>
          </w:tcPr>
          <w:p w14:paraId="771E8FAF"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241 (37)</w:t>
            </w:r>
          </w:p>
        </w:tc>
      </w:tr>
      <w:tr w:rsidR="00F42C6F" w:rsidRPr="00452E9D" w14:paraId="3B20357A" w14:textId="77777777" w:rsidTr="00F42C6F">
        <w:tc>
          <w:tcPr>
            <w:tcW w:w="2977" w:type="dxa"/>
            <w:shd w:val="clear" w:color="auto" w:fill="auto"/>
          </w:tcPr>
          <w:p w14:paraId="100A7BB8"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Vomiting</w:t>
            </w:r>
          </w:p>
        </w:tc>
        <w:tc>
          <w:tcPr>
            <w:tcW w:w="3969" w:type="dxa"/>
            <w:shd w:val="clear" w:color="auto" w:fill="auto"/>
          </w:tcPr>
          <w:p w14:paraId="7D38FB63"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216 (33)</w:t>
            </w:r>
          </w:p>
        </w:tc>
        <w:tc>
          <w:tcPr>
            <w:tcW w:w="2268" w:type="dxa"/>
            <w:shd w:val="clear" w:color="auto" w:fill="auto"/>
          </w:tcPr>
          <w:p w14:paraId="0E10F1FD"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183 (28)</w:t>
            </w:r>
          </w:p>
        </w:tc>
      </w:tr>
      <w:tr w:rsidR="00F42C6F" w:rsidRPr="00452E9D" w14:paraId="71814121" w14:textId="77777777" w:rsidTr="00F42C6F">
        <w:tc>
          <w:tcPr>
            <w:tcW w:w="2977" w:type="dxa"/>
            <w:shd w:val="clear" w:color="auto" w:fill="auto"/>
          </w:tcPr>
          <w:p w14:paraId="5DB0567F"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Fatigue</w:t>
            </w:r>
          </w:p>
        </w:tc>
        <w:tc>
          <w:tcPr>
            <w:tcW w:w="3969" w:type="dxa"/>
            <w:shd w:val="clear" w:color="auto" w:fill="auto"/>
          </w:tcPr>
          <w:p w14:paraId="50F3236C"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211 (32)</w:t>
            </w:r>
          </w:p>
        </w:tc>
        <w:tc>
          <w:tcPr>
            <w:tcW w:w="2268" w:type="dxa"/>
            <w:shd w:val="clear" w:color="auto" w:fill="auto"/>
          </w:tcPr>
          <w:p w14:paraId="1AA2C58C"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211 (32)</w:t>
            </w:r>
          </w:p>
        </w:tc>
      </w:tr>
      <w:tr w:rsidR="00F42C6F" w:rsidRPr="00452E9D" w14:paraId="6CB5A28B" w14:textId="77777777" w:rsidTr="00F42C6F">
        <w:tc>
          <w:tcPr>
            <w:tcW w:w="2977" w:type="dxa"/>
            <w:shd w:val="clear" w:color="auto" w:fill="auto"/>
          </w:tcPr>
          <w:p w14:paraId="06AC94D0"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Peripheral sensory neuropathy</w:t>
            </w:r>
          </w:p>
        </w:tc>
        <w:tc>
          <w:tcPr>
            <w:tcW w:w="3969" w:type="dxa"/>
            <w:shd w:val="clear" w:color="auto" w:fill="auto"/>
          </w:tcPr>
          <w:p w14:paraId="25D5B2ED"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189 (29)</w:t>
            </w:r>
          </w:p>
        </w:tc>
        <w:tc>
          <w:tcPr>
            <w:tcW w:w="2268" w:type="dxa"/>
            <w:shd w:val="clear" w:color="auto" w:fill="auto"/>
          </w:tcPr>
          <w:p w14:paraId="123DECE4"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111 (17)</w:t>
            </w:r>
          </w:p>
        </w:tc>
      </w:tr>
      <w:tr w:rsidR="00F42C6F" w:rsidRPr="00452E9D" w14:paraId="0B8934F8" w14:textId="77777777" w:rsidTr="00F42C6F">
        <w:tc>
          <w:tcPr>
            <w:tcW w:w="2977" w:type="dxa"/>
            <w:shd w:val="clear" w:color="auto" w:fill="auto"/>
          </w:tcPr>
          <w:p w14:paraId="0F29A5C9" w14:textId="77777777" w:rsidR="00F42C6F" w:rsidRPr="00452E9D" w:rsidRDefault="00F42C6F" w:rsidP="00CA707D">
            <w:pPr>
              <w:pStyle w:val="TableHeaderC"/>
              <w:spacing w:before="20" w:after="20"/>
              <w:jc w:val="left"/>
              <w:rPr>
                <w:rFonts w:ascii="Arial" w:hAnsi="Arial" w:cs="Arial"/>
                <w:b w:val="0"/>
                <w:lang w:eastAsia="it-IT"/>
              </w:rPr>
            </w:pPr>
            <w:proofErr w:type="spellStart"/>
            <w:r w:rsidRPr="00452E9D">
              <w:rPr>
                <w:rFonts w:ascii="Arial" w:hAnsi="Arial" w:cs="Arial"/>
                <w:b w:val="0"/>
                <w:lang w:eastAsia="it-IT"/>
              </w:rPr>
              <w:t>Diarrhoea</w:t>
            </w:r>
            <w:proofErr w:type="spellEnd"/>
          </w:p>
        </w:tc>
        <w:tc>
          <w:tcPr>
            <w:tcW w:w="3969" w:type="dxa"/>
            <w:shd w:val="clear" w:color="auto" w:fill="auto"/>
          </w:tcPr>
          <w:p w14:paraId="4BC9CA17"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181 (27)</w:t>
            </w:r>
          </w:p>
        </w:tc>
        <w:tc>
          <w:tcPr>
            <w:tcW w:w="2268" w:type="dxa"/>
            <w:shd w:val="clear" w:color="auto" w:fill="auto"/>
          </w:tcPr>
          <w:p w14:paraId="175AA56E"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121 (18)</w:t>
            </w:r>
          </w:p>
        </w:tc>
      </w:tr>
      <w:tr w:rsidR="00F42C6F" w:rsidRPr="00452E9D" w14:paraId="157B5D3E" w14:textId="77777777" w:rsidTr="00F42C6F">
        <w:tc>
          <w:tcPr>
            <w:tcW w:w="2977" w:type="dxa"/>
            <w:shd w:val="clear" w:color="auto" w:fill="auto"/>
          </w:tcPr>
          <w:p w14:paraId="29C1D6ED"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Pyrexia</w:t>
            </w:r>
          </w:p>
        </w:tc>
        <w:tc>
          <w:tcPr>
            <w:tcW w:w="3969" w:type="dxa"/>
            <w:shd w:val="clear" w:color="auto" w:fill="auto"/>
          </w:tcPr>
          <w:p w14:paraId="0C5F0ADB"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179 (27)</w:t>
            </w:r>
          </w:p>
        </w:tc>
        <w:tc>
          <w:tcPr>
            <w:tcW w:w="2268" w:type="dxa"/>
            <w:shd w:val="clear" w:color="auto" w:fill="auto"/>
          </w:tcPr>
          <w:p w14:paraId="35303559"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147 (22)</w:t>
            </w:r>
          </w:p>
        </w:tc>
      </w:tr>
      <w:tr w:rsidR="00F42C6F" w:rsidRPr="00452E9D" w14:paraId="4D049F77" w14:textId="77777777" w:rsidTr="00F42C6F">
        <w:tc>
          <w:tcPr>
            <w:tcW w:w="2977" w:type="dxa"/>
            <w:shd w:val="clear" w:color="auto" w:fill="auto"/>
          </w:tcPr>
          <w:p w14:paraId="38B4D90F"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Neuropathy peripheral</w:t>
            </w:r>
          </w:p>
        </w:tc>
        <w:tc>
          <w:tcPr>
            <w:tcW w:w="3969" w:type="dxa"/>
            <w:shd w:val="clear" w:color="auto" w:fill="auto"/>
          </w:tcPr>
          <w:p w14:paraId="0CF7DD82"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174 (26)</w:t>
            </w:r>
          </w:p>
        </w:tc>
        <w:tc>
          <w:tcPr>
            <w:tcW w:w="2268" w:type="dxa"/>
            <w:shd w:val="clear" w:color="auto" w:fill="auto"/>
          </w:tcPr>
          <w:p w14:paraId="1BF97B87"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85 (13)</w:t>
            </w:r>
          </w:p>
        </w:tc>
      </w:tr>
      <w:tr w:rsidR="00F42C6F" w:rsidRPr="00452E9D" w14:paraId="73EF4ADF" w14:textId="77777777" w:rsidTr="00F42C6F">
        <w:tc>
          <w:tcPr>
            <w:tcW w:w="2977" w:type="dxa"/>
            <w:shd w:val="clear" w:color="auto" w:fill="auto"/>
          </w:tcPr>
          <w:p w14:paraId="456685A0"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Alopecia</w:t>
            </w:r>
          </w:p>
        </w:tc>
        <w:tc>
          <w:tcPr>
            <w:tcW w:w="3969" w:type="dxa"/>
            <w:shd w:val="clear" w:color="auto" w:fill="auto"/>
          </w:tcPr>
          <w:p w14:paraId="09212C76"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173 (26)</w:t>
            </w:r>
          </w:p>
        </w:tc>
        <w:tc>
          <w:tcPr>
            <w:tcW w:w="2268" w:type="dxa"/>
            <w:shd w:val="clear" w:color="auto" w:fill="auto"/>
          </w:tcPr>
          <w:p w14:paraId="58B35C78"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146 (22)</w:t>
            </w:r>
          </w:p>
        </w:tc>
      </w:tr>
      <w:tr w:rsidR="00F42C6F" w:rsidRPr="00452E9D" w14:paraId="1A8663D1" w14:textId="77777777" w:rsidTr="00F42C6F">
        <w:tc>
          <w:tcPr>
            <w:tcW w:w="2977" w:type="dxa"/>
            <w:shd w:val="clear" w:color="auto" w:fill="auto"/>
          </w:tcPr>
          <w:p w14:paraId="3E1840B4"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Weight decreased</w:t>
            </w:r>
          </w:p>
        </w:tc>
        <w:tc>
          <w:tcPr>
            <w:tcW w:w="3969" w:type="dxa"/>
            <w:shd w:val="clear" w:color="auto" w:fill="auto"/>
          </w:tcPr>
          <w:p w14:paraId="4376FE40"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148 (22)</w:t>
            </w:r>
          </w:p>
        </w:tc>
        <w:tc>
          <w:tcPr>
            <w:tcW w:w="2268" w:type="dxa"/>
            <w:shd w:val="clear" w:color="auto" w:fill="auto"/>
          </w:tcPr>
          <w:p w14:paraId="4704B451"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40 (6)</w:t>
            </w:r>
          </w:p>
        </w:tc>
      </w:tr>
      <w:tr w:rsidR="00F42C6F" w:rsidRPr="00452E9D" w14:paraId="6508ADC2" w14:textId="77777777" w:rsidTr="00F42C6F">
        <w:tc>
          <w:tcPr>
            <w:tcW w:w="2977" w:type="dxa"/>
            <w:shd w:val="clear" w:color="auto" w:fill="auto"/>
          </w:tcPr>
          <w:p w14:paraId="30AFFAFB"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Abdominal pain</w:t>
            </w:r>
          </w:p>
        </w:tc>
        <w:tc>
          <w:tcPr>
            <w:tcW w:w="3969" w:type="dxa"/>
            <w:shd w:val="clear" w:color="auto" w:fill="auto"/>
          </w:tcPr>
          <w:p w14:paraId="6A3C2F8B"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142 (21)</w:t>
            </w:r>
          </w:p>
        </w:tc>
        <w:tc>
          <w:tcPr>
            <w:tcW w:w="2268" w:type="dxa"/>
            <w:shd w:val="clear" w:color="auto" w:fill="auto"/>
          </w:tcPr>
          <w:p w14:paraId="21F8E8D3"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65 (10)</w:t>
            </w:r>
          </w:p>
        </w:tc>
      </w:tr>
      <w:tr w:rsidR="00F42C6F" w:rsidRPr="00452E9D" w14:paraId="4799D551" w14:textId="77777777" w:rsidTr="00F42C6F">
        <w:tc>
          <w:tcPr>
            <w:tcW w:w="2977" w:type="dxa"/>
            <w:shd w:val="clear" w:color="auto" w:fill="auto"/>
          </w:tcPr>
          <w:p w14:paraId="18FED3C8" w14:textId="77777777" w:rsidR="00F42C6F" w:rsidRPr="00452E9D" w:rsidRDefault="00F42C6F" w:rsidP="00CA707D">
            <w:pPr>
              <w:pStyle w:val="TableHeaderC"/>
              <w:spacing w:before="20" w:after="20"/>
              <w:jc w:val="left"/>
              <w:rPr>
                <w:rFonts w:ascii="Arial" w:hAnsi="Arial" w:cs="Arial"/>
                <w:b w:val="0"/>
                <w:lang w:eastAsia="it-IT"/>
              </w:rPr>
            </w:pPr>
            <w:proofErr w:type="spellStart"/>
            <w:r w:rsidRPr="00452E9D">
              <w:rPr>
                <w:rFonts w:ascii="Arial" w:hAnsi="Arial" w:cs="Arial"/>
                <w:b w:val="0"/>
                <w:lang w:eastAsia="it-IT"/>
              </w:rPr>
              <w:t>Anaemia</w:t>
            </w:r>
            <w:proofErr w:type="spellEnd"/>
          </w:p>
        </w:tc>
        <w:tc>
          <w:tcPr>
            <w:tcW w:w="3969" w:type="dxa"/>
            <w:shd w:val="clear" w:color="auto" w:fill="auto"/>
          </w:tcPr>
          <w:p w14:paraId="030F4D24"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140 (21)</w:t>
            </w:r>
          </w:p>
        </w:tc>
        <w:tc>
          <w:tcPr>
            <w:tcW w:w="2268" w:type="dxa"/>
            <w:shd w:val="clear" w:color="auto" w:fill="auto"/>
          </w:tcPr>
          <w:p w14:paraId="7D0F1B5E"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67 (10)</w:t>
            </w:r>
          </w:p>
        </w:tc>
      </w:tr>
      <w:tr w:rsidR="00F42C6F" w:rsidRPr="00452E9D" w14:paraId="3295A833" w14:textId="77777777" w:rsidTr="00F42C6F">
        <w:tc>
          <w:tcPr>
            <w:tcW w:w="2977" w:type="dxa"/>
            <w:shd w:val="clear" w:color="auto" w:fill="auto"/>
          </w:tcPr>
          <w:p w14:paraId="7399720B"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Stomatitis</w:t>
            </w:r>
          </w:p>
        </w:tc>
        <w:tc>
          <w:tcPr>
            <w:tcW w:w="3969" w:type="dxa"/>
            <w:shd w:val="clear" w:color="auto" w:fill="auto"/>
          </w:tcPr>
          <w:p w14:paraId="60B9063B"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138 (21)</w:t>
            </w:r>
          </w:p>
        </w:tc>
        <w:tc>
          <w:tcPr>
            <w:tcW w:w="2268" w:type="dxa"/>
            <w:shd w:val="clear" w:color="auto" w:fill="auto"/>
          </w:tcPr>
          <w:p w14:paraId="3530F78D"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104 (16)</w:t>
            </w:r>
          </w:p>
        </w:tc>
      </w:tr>
      <w:tr w:rsidR="00F42C6F" w:rsidRPr="00452E9D" w14:paraId="2892BE7F" w14:textId="77777777" w:rsidTr="00F42C6F">
        <w:tc>
          <w:tcPr>
            <w:tcW w:w="2977" w:type="dxa"/>
            <w:shd w:val="clear" w:color="auto" w:fill="auto"/>
          </w:tcPr>
          <w:p w14:paraId="32628D69"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Febrile neutropenia</w:t>
            </w:r>
          </w:p>
        </w:tc>
        <w:tc>
          <w:tcPr>
            <w:tcW w:w="3969" w:type="dxa"/>
            <w:shd w:val="clear" w:color="auto" w:fill="auto"/>
          </w:tcPr>
          <w:p w14:paraId="09D7C9AB"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128 (19)</w:t>
            </w:r>
          </w:p>
        </w:tc>
        <w:tc>
          <w:tcPr>
            <w:tcW w:w="2268" w:type="dxa"/>
            <w:shd w:val="clear" w:color="auto" w:fill="auto"/>
          </w:tcPr>
          <w:p w14:paraId="36605467"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52 (8)</w:t>
            </w:r>
          </w:p>
        </w:tc>
      </w:tr>
      <w:tr w:rsidR="00F42C6F" w:rsidRPr="00452E9D" w14:paraId="303DB3E4" w14:textId="77777777" w:rsidTr="00F42C6F">
        <w:tc>
          <w:tcPr>
            <w:tcW w:w="2977" w:type="dxa"/>
            <w:shd w:val="clear" w:color="auto" w:fill="auto"/>
          </w:tcPr>
          <w:p w14:paraId="20A2E821"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Bone pain</w:t>
            </w:r>
          </w:p>
        </w:tc>
        <w:tc>
          <w:tcPr>
            <w:tcW w:w="3969" w:type="dxa"/>
            <w:shd w:val="clear" w:color="auto" w:fill="auto"/>
          </w:tcPr>
          <w:p w14:paraId="24AFF33C"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126 (19)</w:t>
            </w:r>
          </w:p>
        </w:tc>
        <w:tc>
          <w:tcPr>
            <w:tcW w:w="2268" w:type="dxa"/>
            <w:shd w:val="clear" w:color="auto" w:fill="auto"/>
          </w:tcPr>
          <w:p w14:paraId="0D1315F3"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66 (10)</w:t>
            </w:r>
          </w:p>
        </w:tc>
      </w:tr>
      <w:tr w:rsidR="00F42C6F" w:rsidRPr="00452E9D" w14:paraId="6A02B4D5" w14:textId="77777777" w:rsidTr="00F42C6F">
        <w:tc>
          <w:tcPr>
            <w:tcW w:w="2977" w:type="dxa"/>
            <w:shd w:val="clear" w:color="auto" w:fill="auto"/>
          </w:tcPr>
          <w:p w14:paraId="4A2AF689"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Insomnia</w:t>
            </w:r>
          </w:p>
        </w:tc>
        <w:tc>
          <w:tcPr>
            <w:tcW w:w="3969" w:type="dxa"/>
            <w:shd w:val="clear" w:color="auto" w:fill="auto"/>
          </w:tcPr>
          <w:p w14:paraId="6D40D543"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126 (19)</w:t>
            </w:r>
          </w:p>
        </w:tc>
        <w:tc>
          <w:tcPr>
            <w:tcW w:w="2268" w:type="dxa"/>
            <w:shd w:val="clear" w:color="auto" w:fill="auto"/>
          </w:tcPr>
          <w:p w14:paraId="6B424FF7"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82 (12)</w:t>
            </w:r>
          </w:p>
        </w:tc>
      </w:tr>
      <w:tr w:rsidR="00F42C6F" w:rsidRPr="00452E9D" w14:paraId="4B3A92B0" w14:textId="77777777" w:rsidTr="00F42C6F">
        <w:tc>
          <w:tcPr>
            <w:tcW w:w="2977" w:type="dxa"/>
            <w:shd w:val="clear" w:color="auto" w:fill="auto"/>
          </w:tcPr>
          <w:p w14:paraId="04E04432"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Decreased appetite</w:t>
            </w:r>
          </w:p>
        </w:tc>
        <w:tc>
          <w:tcPr>
            <w:tcW w:w="3969" w:type="dxa"/>
            <w:shd w:val="clear" w:color="auto" w:fill="auto"/>
          </w:tcPr>
          <w:p w14:paraId="2AA4EC76"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118 (18)</w:t>
            </w:r>
          </w:p>
        </w:tc>
        <w:tc>
          <w:tcPr>
            <w:tcW w:w="2268" w:type="dxa"/>
            <w:shd w:val="clear" w:color="auto" w:fill="auto"/>
          </w:tcPr>
          <w:p w14:paraId="14102A7C"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76 (12)</w:t>
            </w:r>
          </w:p>
        </w:tc>
      </w:tr>
      <w:tr w:rsidR="00F42C6F" w:rsidRPr="00452E9D" w14:paraId="0F170352" w14:textId="77777777" w:rsidTr="00F42C6F">
        <w:tc>
          <w:tcPr>
            <w:tcW w:w="2977" w:type="dxa"/>
            <w:shd w:val="clear" w:color="auto" w:fill="auto"/>
          </w:tcPr>
          <w:p w14:paraId="211A5A42"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Cough</w:t>
            </w:r>
          </w:p>
        </w:tc>
        <w:tc>
          <w:tcPr>
            <w:tcW w:w="3969" w:type="dxa"/>
            <w:shd w:val="clear" w:color="auto" w:fill="auto"/>
          </w:tcPr>
          <w:p w14:paraId="0B05542C"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97 (15)</w:t>
            </w:r>
          </w:p>
        </w:tc>
        <w:tc>
          <w:tcPr>
            <w:tcW w:w="2268" w:type="dxa"/>
            <w:shd w:val="clear" w:color="auto" w:fill="auto"/>
          </w:tcPr>
          <w:p w14:paraId="667AC651"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123 (19)</w:t>
            </w:r>
          </w:p>
        </w:tc>
      </w:tr>
      <w:tr w:rsidR="00F42C6F" w:rsidRPr="00452E9D" w14:paraId="64E0D620" w14:textId="77777777" w:rsidTr="00F42C6F">
        <w:tc>
          <w:tcPr>
            <w:tcW w:w="2977" w:type="dxa"/>
            <w:shd w:val="clear" w:color="auto" w:fill="auto"/>
          </w:tcPr>
          <w:p w14:paraId="00E717DE"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Headache</w:t>
            </w:r>
          </w:p>
        </w:tc>
        <w:tc>
          <w:tcPr>
            <w:tcW w:w="3969" w:type="dxa"/>
            <w:shd w:val="clear" w:color="auto" w:fill="auto"/>
          </w:tcPr>
          <w:p w14:paraId="3C8B402B"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95 (14)</w:t>
            </w:r>
          </w:p>
        </w:tc>
        <w:tc>
          <w:tcPr>
            <w:tcW w:w="2268" w:type="dxa"/>
            <w:shd w:val="clear" w:color="auto" w:fill="auto"/>
          </w:tcPr>
          <w:p w14:paraId="45298504"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94 (14)</w:t>
            </w:r>
          </w:p>
        </w:tc>
      </w:tr>
      <w:tr w:rsidR="00F42C6F" w:rsidRPr="00452E9D" w14:paraId="4B36F6E6" w14:textId="77777777" w:rsidTr="00F42C6F">
        <w:tc>
          <w:tcPr>
            <w:tcW w:w="2977" w:type="dxa"/>
            <w:shd w:val="clear" w:color="auto" w:fill="auto"/>
          </w:tcPr>
          <w:p w14:paraId="20836424"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Arthralgia</w:t>
            </w:r>
          </w:p>
        </w:tc>
        <w:tc>
          <w:tcPr>
            <w:tcW w:w="3969" w:type="dxa"/>
            <w:shd w:val="clear" w:color="auto" w:fill="auto"/>
          </w:tcPr>
          <w:p w14:paraId="6BA57CBC"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89 (13)</w:t>
            </w:r>
          </w:p>
        </w:tc>
        <w:tc>
          <w:tcPr>
            <w:tcW w:w="2268" w:type="dxa"/>
            <w:shd w:val="clear" w:color="auto" w:fill="auto"/>
          </w:tcPr>
          <w:p w14:paraId="46AF3953"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78 (12)</w:t>
            </w:r>
          </w:p>
        </w:tc>
      </w:tr>
      <w:tr w:rsidR="00F42C6F" w:rsidRPr="00452E9D" w14:paraId="0BB7D238" w14:textId="77777777" w:rsidTr="00F42C6F">
        <w:tc>
          <w:tcPr>
            <w:tcW w:w="2977" w:type="dxa"/>
            <w:shd w:val="clear" w:color="auto" w:fill="auto"/>
          </w:tcPr>
          <w:p w14:paraId="16AAB5EA"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Neutrophil count decreased</w:t>
            </w:r>
          </w:p>
        </w:tc>
        <w:tc>
          <w:tcPr>
            <w:tcW w:w="3969" w:type="dxa"/>
            <w:shd w:val="clear" w:color="auto" w:fill="auto"/>
          </w:tcPr>
          <w:p w14:paraId="2E119C1D"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86 (13)</w:t>
            </w:r>
          </w:p>
        </w:tc>
        <w:tc>
          <w:tcPr>
            <w:tcW w:w="2268" w:type="dxa"/>
            <w:shd w:val="clear" w:color="auto" w:fill="auto"/>
          </w:tcPr>
          <w:p w14:paraId="749ED0A9"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79 (12)</w:t>
            </w:r>
          </w:p>
        </w:tc>
      </w:tr>
      <w:tr w:rsidR="00F42C6F" w:rsidRPr="00452E9D" w14:paraId="4730D034" w14:textId="77777777" w:rsidTr="00F42C6F">
        <w:tc>
          <w:tcPr>
            <w:tcW w:w="2977" w:type="dxa"/>
            <w:shd w:val="clear" w:color="auto" w:fill="auto"/>
          </w:tcPr>
          <w:p w14:paraId="26085456"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Dyspepsia</w:t>
            </w:r>
          </w:p>
        </w:tc>
        <w:tc>
          <w:tcPr>
            <w:tcW w:w="3969" w:type="dxa"/>
            <w:shd w:val="clear" w:color="auto" w:fill="auto"/>
          </w:tcPr>
          <w:p w14:paraId="28981E3E"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84 (13)</w:t>
            </w:r>
          </w:p>
        </w:tc>
        <w:tc>
          <w:tcPr>
            <w:tcW w:w="2268" w:type="dxa"/>
            <w:shd w:val="clear" w:color="auto" w:fill="auto"/>
          </w:tcPr>
          <w:p w14:paraId="6ECCF06F"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75 (11)</w:t>
            </w:r>
          </w:p>
        </w:tc>
      </w:tr>
      <w:tr w:rsidR="00F42C6F" w:rsidRPr="00452E9D" w14:paraId="52CA6B79" w14:textId="77777777" w:rsidTr="00F42C6F">
        <w:tc>
          <w:tcPr>
            <w:tcW w:w="2977" w:type="dxa"/>
            <w:shd w:val="clear" w:color="auto" w:fill="auto"/>
          </w:tcPr>
          <w:p w14:paraId="36B03ABA" w14:textId="77777777" w:rsidR="00F42C6F" w:rsidRPr="00452E9D" w:rsidRDefault="00F42C6F" w:rsidP="00CA707D">
            <w:pPr>
              <w:pStyle w:val="TableHeaderC"/>
              <w:spacing w:before="20" w:after="20"/>
              <w:jc w:val="left"/>
              <w:rPr>
                <w:rFonts w:ascii="Arial" w:hAnsi="Arial" w:cs="Arial"/>
                <w:b w:val="0"/>
                <w:lang w:eastAsia="it-IT"/>
              </w:rPr>
            </w:pPr>
            <w:proofErr w:type="spellStart"/>
            <w:r w:rsidRPr="00452E9D">
              <w:rPr>
                <w:rFonts w:ascii="Arial" w:hAnsi="Arial" w:cs="Arial"/>
                <w:b w:val="0"/>
                <w:lang w:eastAsia="it-IT"/>
              </w:rPr>
              <w:t>Paraesthesia</w:t>
            </w:r>
            <w:proofErr w:type="spellEnd"/>
          </w:p>
        </w:tc>
        <w:tc>
          <w:tcPr>
            <w:tcW w:w="3969" w:type="dxa"/>
            <w:shd w:val="clear" w:color="auto" w:fill="auto"/>
          </w:tcPr>
          <w:p w14:paraId="21C9B143"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84 (13)</w:t>
            </w:r>
          </w:p>
        </w:tc>
        <w:tc>
          <w:tcPr>
            <w:tcW w:w="2268" w:type="dxa"/>
            <w:shd w:val="clear" w:color="auto" w:fill="auto"/>
          </w:tcPr>
          <w:p w14:paraId="51A219F3"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73 (11)</w:t>
            </w:r>
          </w:p>
        </w:tc>
      </w:tr>
      <w:tr w:rsidR="00F42C6F" w:rsidRPr="00452E9D" w14:paraId="7C103F97" w14:textId="77777777" w:rsidTr="00F42C6F">
        <w:tc>
          <w:tcPr>
            <w:tcW w:w="2977" w:type="dxa"/>
            <w:shd w:val="clear" w:color="auto" w:fill="auto"/>
          </w:tcPr>
          <w:p w14:paraId="3A89E5E3"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Back pain</w:t>
            </w:r>
          </w:p>
        </w:tc>
        <w:tc>
          <w:tcPr>
            <w:tcW w:w="3969" w:type="dxa"/>
            <w:shd w:val="clear" w:color="auto" w:fill="auto"/>
          </w:tcPr>
          <w:p w14:paraId="574502A4"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83 (13)</w:t>
            </w:r>
          </w:p>
        </w:tc>
        <w:tc>
          <w:tcPr>
            <w:tcW w:w="2268" w:type="dxa"/>
            <w:shd w:val="clear" w:color="auto" w:fill="auto"/>
          </w:tcPr>
          <w:p w14:paraId="0D832ADE"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49 (7)</w:t>
            </w:r>
          </w:p>
        </w:tc>
      </w:tr>
      <w:tr w:rsidR="00F42C6F" w:rsidRPr="00452E9D" w14:paraId="171A76A7" w14:textId="77777777" w:rsidTr="00F42C6F">
        <w:tc>
          <w:tcPr>
            <w:tcW w:w="2977" w:type="dxa"/>
            <w:shd w:val="clear" w:color="auto" w:fill="auto"/>
          </w:tcPr>
          <w:p w14:paraId="166485DC" w14:textId="77777777" w:rsidR="00F42C6F" w:rsidRPr="00452E9D" w:rsidRDefault="00F42C6F" w:rsidP="00CA707D">
            <w:pPr>
              <w:pStyle w:val="TableHeaderC"/>
              <w:spacing w:before="20" w:after="20"/>
              <w:jc w:val="left"/>
              <w:rPr>
                <w:rFonts w:ascii="Arial" w:hAnsi="Arial" w:cs="Arial"/>
                <w:b w:val="0"/>
                <w:lang w:eastAsia="it-IT"/>
              </w:rPr>
            </w:pPr>
            <w:proofErr w:type="spellStart"/>
            <w:r w:rsidRPr="00452E9D">
              <w:rPr>
                <w:rFonts w:ascii="Arial" w:hAnsi="Arial" w:cs="Arial"/>
                <w:b w:val="0"/>
                <w:lang w:eastAsia="it-IT"/>
              </w:rPr>
              <w:t>Dyspnoea</w:t>
            </w:r>
            <w:proofErr w:type="spellEnd"/>
          </w:p>
        </w:tc>
        <w:tc>
          <w:tcPr>
            <w:tcW w:w="3969" w:type="dxa"/>
            <w:shd w:val="clear" w:color="auto" w:fill="auto"/>
          </w:tcPr>
          <w:p w14:paraId="29700218"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82 (12)</w:t>
            </w:r>
          </w:p>
        </w:tc>
        <w:tc>
          <w:tcPr>
            <w:tcW w:w="2268" w:type="dxa"/>
            <w:shd w:val="clear" w:color="auto" w:fill="auto"/>
          </w:tcPr>
          <w:p w14:paraId="490D1CE6"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124 (19)</w:t>
            </w:r>
          </w:p>
        </w:tc>
      </w:tr>
      <w:tr w:rsidR="00F42C6F" w:rsidRPr="00452E9D" w14:paraId="27FF79D1" w14:textId="77777777" w:rsidTr="00F42C6F">
        <w:tc>
          <w:tcPr>
            <w:tcW w:w="2977" w:type="dxa"/>
            <w:shd w:val="clear" w:color="auto" w:fill="auto"/>
          </w:tcPr>
          <w:p w14:paraId="6D46A900"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Myalgia</w:t>
            </w:r>
          </w:p>
        </w:tc>
        <w:tc>
          <w:tcPr>
            <w:tcW w:w="3969" w:type="dxa"/>
            <w:shd w:val="clear" w:color="auto" w:fill="auto"/>
          </w:tcPr>
          <w:p w14:paraId="4ACE5804"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81 (12)</w:t>
            </w:r>
          </w:p>
        </w:tc>
        <w:tc>
          <w:tcPr>
            <w:tcW w:w="2268" w:type="dxa"/>
            <w:shd w:val="clear" w:color="auto" w:fill="auto"/>
          </w:tcPr>
          <w:p w14:paraId="69136466"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71 (11)</w:t>
            </w:r>
          </w:p>
        </w:tc>
      </w:tr>
      <w:tr w:rsidR="00F42C6F" w:rsidRPr="00452E9D" w14:paraId="5A5B520B" w14:textId="77777777" w:rsidTr="00F42C6F">
        <w:tc>
          <w:tcPr>
            <w:tcW w:w="2977" w:type="dxa"/>
            <w:shd w:val="clear" w:color="auto" w:fill="auto"/>
          </w:tcPr>
          <w:p w14:paraId="0EF11BD3"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Pain in extremity</w:t>
            </w:r>
          </w:p>
        </w:tc>
        <w:tc>
          <w:tcPr>
            <w:tcW w:w="3969" w:type="dxa"/>
            <w:shd w:val="clear" w:color="auto" w:fill="auto"/>
          </w:tcPr>
          <w:p w14:paraId="52C51969"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81 (12)</w:t>
            </w:r>
          </w:p>
        </w:tc>
        <w:tc>
          <w:tcPr>
            <w:tcW w:w="2268" w:type="dxa"/>
            <w:shd w:val="clear" w:color="auto" w:fill="auto"/>
          </w:tcPr>
          <w:p w14:paraId="6E6CADFA"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67 (10)</w:t>
            </w:r>
          </w:p>
        </w:tc>
      </w:tr>
      <w:tr w:rsidR="00F42C6F" w:rsidRPr="00452E9D" w14:paraId="6F6824B4" w14:textId="77777777" w:rsidTr="00F42C6F">
        <w:tc>
          <w:tcPr>
            <w:tcW w:w="2977" w:type="dxa"/>
            <w:shd w:val="clear" w:color="auto" w:fill="auto"/>
          </w:tcPr>
          <w:p w14:paraId="7C676482"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Oropharyngeal pain</w:t>
            </w:r>
          </w:p>
        </w:tc>
        <w:tc>
          <w:tcPr>
            <w:tcW w:w="3969" w:type="dxa"/>
            <w:shd w:val="clear" w:color="auto" w:fill="auto"/>
          </w:tcPr>
          <w:p w14:paraId="2587BA60"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72 (11)</w:t>
            </w:r>
          </w:p>
        </w:tc>
        <w:tc>
          <w:tcPr>
            <w:tcW w:w="2268" w:type="dxa"/>
            <w:shd w:val="clear" w:color="auto" w:fill="auto"/>
          </w:tcPr>
          <w:p w14:paraId="6305C51F"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55 (8)</w:t>
            </w:r>
          </w:p>
        </w:tc>
      </w:tr>
      <w:tr w:rsidR="00F42C6F" w:rsidRPr="00452E9D" w14:paraId="0011AE4B" w14:textId="77777777" w:rsidTr="00F42C6F">
        <w:tc>
          <w:tcPr>
            <w:tcW w:w="2977" w:type="dxa"/>
            <w:shd w:val="clear" w:color="auto" w:fill="auto"/>
          </w:tcPr>
          <w:p w14:paraId="0955038E"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Upper respiratory tract infection</w:t>
            </w:r>
          </w:p>
        </w:tc>
        <w:tc>
          <w:tcPr>
            <w:tcW w:w="3969" w:type="dxa"/>
            <w:shd w:val="clear" w:color="auto" w:fill="auto"/>
          </w:tcPr>
          <w:p w14:paraId="1D76234C"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70 (11)</w:t>
            </w:r>
          </w:p>
        </w:tc>
        <w:tc>
          <w:tcPr>
            <w:tcW w:w="2268" w:type="dxa"/>
            <w:shd w:val="clear" w:color="auto" w:fill="auto"/>
          </w:tcPr>
          <w:p w14:paraId="5834E3BD"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70 (11)</w:t>
            </w:r>
          </w:p>
        </w:tc>
      </w:tr>
      <w:tr w:rsidR="00F42C6F" w:rsidRPr="00452E9D" w14:paraId="340797F2" w14:textId="77777777" w:rsidTr="00F42C6F">
        <w:tc>
          <w:tcPr>
            <w:tcW w:w="2977" w:type="dxa"/>
            <w:shd w:val="clear" w:color="auto" w:fill="auto"/>
          </w:tcPr>
          <w:p w14:paraId="4158248D" w14:textId="77777777" w:rsidR="00F42C6F" w:rsidRPr="00452E9D" w:rsidRDefault="00F42C6F" w:rsidP="00CA707D">
            <w:pPr>
              <w:pStyle w:val="TableHeaderC"/>
              <w:spacing w:before="20" w:after="20"/>
              <w:jc w:val="left"/>
              <w:rPr>
                <w:rFonts w:ascii="Arial" w:hAnsi="Arial" w:cs="Arial"/>
                <w:b w:val="0"/>
                <w:lang w:eastAsia="it-IT"/>
              </w:rPr>
            </w:pPr>
            <w:r w:rsidRPr="00452E9D">
              <w:rPr>
                <w:rFonts w:ascii="Arial" w:hAnsi="Arial" w:cs="Arial"/>
                <w:b w:val="0"/>
                <w:lang w:eastAsia="it-IT"/>
              </w:rPr>
              <w:t>Alanine aminotransferase increased</w:t>
            </w:r>
          </w:p>
        </w:tc>
        <w:tc>
          <w:tcPr>
            <w:tcW w:w="3969" w:type="dxa"/>
            <w:shd w:val="clear" w:color="auto" w:fill="auto"/>
          </w:tcPr>
          <w:p w14:paraId="6D7EFCA1"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68 (10)</w:t>
            </w:r>
          </w:p>
        </w:tc>
        <w:tc>
          <w:tcPr>
            <w:tcW w:w="2268" w:type="dxa"/>
            <w:shd w:val="clear" w:color="auto" w:fill="auto"/>
          </w:tcPr>
          <w:p w14:paraId="3BAE97F0" w14:textId="77777777" w:rsidR="00F42C6F" w:rsidRPr="00452E9D" w:rsidRDefault="00F42C6F" w:rsidP="00F42C6F">
            <w:pPr>
              <w:pStyle w:val="TableHeaderC"/>
              <w:spacing w:before="20" w:after="20"/>
              <w:rPr>
                <w:rFonts w:ascii="Arial" w:hAnsi="Arial" w:cs="Arial"/>
                <w:b w:val="0"/>
                <w:lang w:eastAsia="it-IT"/>
              </w:rPr>
            </w:pPr>
            <w:r w:rsidRPr="00452E9D">
              <w:rPr>
                <w:rFonts w:ascii="Arial" w:hAnsi="Arial" w:cs="Arial"/>
                <w:b w:val="0"/>
                <w:lang w:eastAsia="it-IT"/>
              </w:rPr>
              <w:t>26 (4)</w:t>
            </w:r>
          </w:p>
        </w:tc>
      </w:tr>
    </w:tbl>
    <w:p w14:paraId="47F66199" w14:textId="77777777" w:rsidR="00F42C6F" w:rsidRDefault="00F42C6F" w:rsidP="00F9648D">
      <w:pPr>
        <w:pStyle w:val="Paragraph"/>
        <w:spacing w:after="0"/>
        <w:rPr>
          <w:rFonts w:ascii="Arial" w:hAnsi="Arial" w:cs="Arial"/>
          <w:sz w:val="20"/>
          <w:szCs w:val="20"/>
        </w:rPr>
      </w:pPr>
    </w:p>
    <w:bookmarkEnd w:id="19"/>
    <w:p w14:paraId="02B6189B" w14:textId="77777777" w:rsidR="00F42C6F" w:rsidRDefault="00F42C6F" w:rsidP="00F9648D">
      <w:pPr>
        <w:pStyle w:val="Paragraph"/>
        <w:spacing w:after="0"/>
        <w:rPr>
          <w:rFonts w:ascii="Arial" w:hAnsi="Arial" w:cs="Arial"/>
          <w:sz w:val="20"/>
          <w:szCs w:val="20"/>
        </w:rPr>
      </w:pPr>
    </w:p>
    <w:p w14:paraId="663F2573" w14:textId="3EBA20AC" w:rsidR="00F9648D" w:rsidRPr="00F9648D" w:rsidRDefault="00F9648D" w:rsidP="00F9648D">
      <w:pPr>
        <w:pStyle w:val="Paragraph"/>
        <w:spacing w:after="0"/>
        <w:rPr>
          <w:rFonts w:ascii="Arial" w:hAnsi="Arial"/>
          <w:sz w:val="22"/>
          <w:szCs w:val="20"/>
          <w:lang w:val="en-AU"/>
        </w:rPr>
      </w:pPr>
      <w:bookmarkStart w:id="20" w:name="_Hlk149740418"/>
      <w:r w:rsidRPr="00F9648D">
        <w:rPr>
          <w:rFonts w:ascii="Arial" w:hAnsi="Arial"/>
          <w:sz w:val="22"/>
          <w:szCs w:val="20"/>
          <w:lang w:val="en-AU"/>
        </w:rPr>
        <w:t>In the clinical trial of ADCETRIS as combination therapy with AVD, 23 patients (3%) in the A+AVD arm experienced a second malignancy compared to 32 patients (5%) in the ABVD arm.</w:t>
      </w:r>
    </w:p>
    <w:bookmarkEnd w:id="20"/>
    <w:p w14:paraId="3E2124CF" w14:textId="77777777" w:rsidR="00B06794" w:rsidRDefault="00B06794" w:rsidP="007059A5">
      <w:pPr>
        <w:pStyle w:val="Heading2"/>
      </w:pPr>
      <w:r>
        <w:br/>
      </w:r>
    </w:p>
    <w:p w14:paraId="16029737" w14:textId="77777777" w:rsidR="00B06794" w:rsidRDefault="00B06794">
      <w:pPr>
        <w:spacing w:after="0"/>
        <w:jc w:val="left"/>
        <w:rPr>
          <w:b/>
        </w:rPr>
      </w:pPr>
      <w:r>
        <w:br w:type="page"/>
      </w:r>
    </w:p>
    <w:p w14:paraId="3022BBC8" w14:textId="188DE122" w:rsidR="00B145C4" w:rsidRPr="00F330FC" w:rsidRDefault="00B145C4" w:rsidP="007059A5">
      <w:pPr>
        <w:pStyle w:val="Heading2"/>
      </w:pPr>
      <w:r w:rsidRPr="0070237D">
        <w:lastRenderedPageBreak/>
        <w:t>Description of selected adverse reactions</w:t>
      </w:r>
    </w:p>
    <w:bookmarkEnd w:id="18"/>
    <w:p w14:paraId="3F8AC17F" w14:textId="77777777" w:rsidR="00B145C4" w:rsidRDefault="00B145C4" w:rsidP="00133615">
      <w:pPr>
        <w:spacing w:after="60"/>
        <w:rPr>
          <w:i/>
        </w:rPr>
      </w:pPr>
      <w:r w:rsidRPr="00841FE7">
        <w:rPr>
          <w:i/>
        </w:rPr>
        <w:t>Neutropenia</w:t>
      </w:r>
    </w:p>
    <w:p w14:paraId="492DF6CF" w14:textId="77777777" w:rsidR="001F68FD" w:rsidRPr="00FD6544" w:rsidRDefault="001F68FD" w:rsidP="00133615">
      <w:pPr>
        <w:spacing w:after="60"/>
        <w:rPr>
          <w:u w:val="single"/>
        </w:rPr>
      </w:pPr>
      <w:r w:rsidRPr="00FD6544">
        <w:rPr>
          <w:u w:val="single"/>
        </w:rPr>
        <w:t>Monotherapy</w:t>
      </w:r>
    </w:p>
    <w:p w14:paraId="03623C98" w14:textId="77777777" w:rsidR="00B145C4" w:rsidRPr="00F330FC" w:rsidRDefault="00B145C4" w:rsidP="00133615">
      <w:pPr>
        <w:spacing w:after="60"/>
      </w:pPr>
      <w:r w:rsidRPr="00F330FC">
        <w:t xml:space="preserve">In clinical trials, neutropenia led to dose delays in 14% of patients.  Grade 3 neutropenia was reported in 13% and Grade 4 neutropenia was reported in 5% of patients. No patients required dose reduction or discontinued treatment for neutropenia. </w:t>
      </w:r>
    </w:p>
    <w:p w14:paraId="6ABB3B14" w14:textId="77777777" w:rsidR="00B145C4" w:rsidRPr="00F330FC" w:rsidRDefault="00B145C4" w:rsidP="00133615">
      <w:pPr>
        <w:spacing w:after="60"/>
      </w:pPr>
      <w:r w:rsidRPr="00F330FC">
        <w:t>Severe and prolonged (≥1 week) neutropenia can occur with this treatment which may increase the risk of patients developing serious infections. Febrile neutropenia was reported in &lt;1% of the patients.</w:t>
      </w:r>
    </w:p>
    <w:p w14:paraId="2BD66062" w14:textId="77777777" w:rsidR="00B145C4" w:rsidRDefault="00B145C4" w:rsidP="00133615">
      <w:pPr>
        <w:spacing w:after="60"/>
      </w:pPr>
      <w:r w:rsidRPr="00F330FC">
        <w:t>In the pivotal phase 2 population (SG035-0003 and SG035-0004), the median duration of Grade 3 or Grade 4 neutropenia was limited (1 week); 2% of patients had Grade 4 neutropenia that lasted ≥</w:t>
      </w:r>
      <w:r w:rsidR="00F16513">
        <w:t> </w:t>
      </w:r>
      <w:r w:rsidRPr="00F330FC">
        <w:t xml:space="preserve">7 days. Less than half of the patients in the phase 2 population with Grade 3 or Grade 4 neutropenia had temporally associated infections, and </w:t>
      </w:r>
      <w:proofErr w:type="gramStart"/>
      <w:r w:rsidRPr="00F330FC">
        <w:t>the majority of</w:t>
      </w:r>
      <w:proofErr w:type="gramEnd"/>
      <w:r w:rsidRPr="00F330FC">
        <w:t xml:space="preserve"> temporally associated infections were Grade 1 or Grade 2.</w:t>
      </w:r>
    </w:p>
    <w:p w14:paraId="5A3C5B94" w14:textId="77777777" w:rsidR="001F68FD" w:rsidRPr="00FD6544" w:rsidRDefault="001F68FD" w:rsidP="00133615">
      <w:pPr>
        <w:spacing w:after="60"/>
        <w:rPr>
          <w:u w:val="single"/>
        </w:rPr>
      </w:pPr>
      <w:r w:rsidRPr="00FD6544">
        <w:rPr>
          <w:u w:val="single"/>
        </w:rPr>
        <w:t>Combination therapy</w:t>
      </w:r>
    </w:p>
    <w:p w14:paraId="58921DA6" w14:textId="32C631E1" w:rsidR="001F68FD" w:rsidRPr="001F68FD" w:rsidRDefault="001F68FD" w:rsidP="00133615">
      <w:pPr>
        <w:spacing w:after="60"/>
        <w:rPr>
          <w:bCs/>
          <w:lang w:val="en-GB"/>
        </w:rPr>
      </w:pPr>
      <w:r w:rsidRPr="001F68FD">
        <w:rPr>
          <w:bCs/>
          <w:lang w:val="en-GB"/>
        </w:rPr>
        <w:t xml:space="preserve">In the clinical trials of </w:t>
      </w:r>
      <w:r w:rsidRPr="001F68FD">
        <w:rPr>
          <w:lang w:val="en-GB"/>
        </w:rPr>
        <w:t>ADCETRIS</w:t>
      </w:r>
      <w:r w:rsidRPr="001F68FD">
        <w:rPr>
          <w:bCs/>
          <w:lang w:val="en-GB"/>
        </w:rPr>
        <w:t xml:space="preserve"> as combination therapy, neutropenia led to dose delays in </w:t>
      </w:r>
      <w:r w:rsidR="00EF54FF">
        <w:rPr>
          <w:bCs/>
          <w:lang w:val="en-GB"/>
        </w:rPr>
        <w:t>19</w:t>
      </w:r>
      <w:r w:rsidRPr="001F68FD">
        <w:rPr>
          <w:bCs/>
          <w:lang w:val="en-GB"/>
        </w:rPr>
        <w:t xml:space="preserve">% of patients. Grade 3 neutropenia was reported in </w:t>
      </w:r>
      <w:r w:rsidR="00EF54FF">
        <w:rPr>
          <w:bCs/>
          <w:lang w:val="en-GB"/>
        </w:rPr>
        <w:t>17</w:t>
      </w:r>
      <w:r w:rsidRPr="001F68FD">
        <w:rPr>
          <w:bCs/>
          <w:lang w:val="en-GB"/>
        </w:rPr>
        <w:t xml:space="preserve">% and Grade 4 neutropenia was reported in </w:t>
      </w:r>
      <w:r w:rsidR="00EF54FF">
        <w:rPr>
          <w:bCs/>
          <w:lang w:val="en-GB"/>
        </w:rPr>
        <w:t>41</w:t>
      </w:r>
      <w:r w:rsidRPr="001F68FD">
        <w:rPr>
          <w:bCs/>
          <w:lang w:val="en-GB"/>
        </w:rPr>
        <w:t xml:space="preserve">% of patients.  </w:t>
      </w:r>
      <w:r w:rsidR="00EF54FF">
        <w:rPr>
          <w:bCs/>
          <w:lang w:val="en-GB"/>
        </w:rPr>
        <w:t xml:space="preserve">Two </w:t>
      </w:r>
      <w:r w:rsidRPr="001F68FD">
        <w:rPr>
          <w:bCs/>
          <w:lang w:val="en-GB"/>
        </w:rPr>
        <w:t xml:space="preserve">percent of patients required dose reduction and </w:t>
      </w:r>
      <w:r w:rsidR="00EF54FF">
        <w:rPr>
          <w:bCs/>
          <w:lang w:val="en-GB"/>
        </w:rPr>
        <w:t xml:space="preserve">&lt;1% of </w:t>
      </w:r>
      <w:r w:rsidR="008F28BE">
        <w:rPr>
          <w:bCs/>
          <w:lang w:val="en-GB"/>
        </w:rPr>
        <w:t xml:space="preserve">patients </w:t>
      </w:r>
      <w:r w:rsidRPr="001F68FD">
        <w:rPr>
          <w:bCs/>
          <w:lang w:val="en-GB"/>
        </w:rPr>
        <w:t xml:space="preserve">discontinued one </w:t>
      </w:r>
      <w:r w:rsidR="008F28BE">
        <w:rPr>
          <w:bCs/>
          <w:lang w:val="en-GB"/>
        </w:rPr>
        <w:t xml:space="preserve">or </w:t>
      </w:r>
      <w:r w:rsidRPr="001F68FD">
        <w:rPr>
          <w:bCs/>
          <w:lang w:val="en-GB"/>
        </w:rPr>
        <w:t xml:space="preserve">more of the study drugs due to neutropenia. </w:t>
      </w:r>
    </w:p>
    <w:p w14:paraId="78883DD2" w14:textId="2351209F" w:rsidR="001F68FD" w:rsidRPr="00A90ECE" w:rsidRDefault="001F68FD" w:rsidP="00B145C4">
      <w:pPr>
        <w:rPr>
          <w:bCs/>
          <w:lang w:val="en-GB"/>
        </w:rPr>
      </w:pPr>
      <w:r w:rsidRPr="001F68FD">
        <w:rPr>
          <w:bCs/>
          <w:lang w:val="en-GB"/>
        </w:rPr>
        <w:t xml:space="preserve">Febrile neutropenia was reported in 20% of the patients who did not receive primary prophylaxis with G-CSF (see section 4.2). The frequency of febrile neutropenia was </w:t>
      </w:r>
      <w:r w:rsidR="00EF54FF">
        <w:rPr>
          <w:bCs/>
          <w:lang w:val="en-GB"/>
        </w:rPr>
        <w:t>13</w:t>
      </w:r>
      <w:r w:rsidRPr="001F68FD">
        <w:rPr>
          <w:bCs/>
          <w:lang w:val="en-GB"/>
        </w:rPr>
        <w:t xml:space="preserve">% in patients who received primary prophylaxis with G-CSF. </w:t>
      </w:r>
    </w:p>
    <w:p w14:paraId="1DB89D4C" w14:textId="77777777" w:rsidR="00B145C4" w:rsidRDefault="00B145C4" w:rsidP="00133615">
      <w:pPr>
        <w:spacing w:after="60"/>
        <w:rPr>
          <w:i/>
        </w:rPr>
      </w:pPr>
      <w:r w:rsidRPr="00F330FC">
        <w:rPr>
          <w:i/>
        </w:rPr>
        <w:t>Serious infections and opportunistic infections</w:t>
      </w:r>
    </w:p>
    <w:p w14:paraId="4E7737C3" w14:textId="77777777" w:rsidR="000169EC" w:rsidRPr="00FD6544" w:rsidRDefault="001F68FD" w:rsidP="00133615">
      <w:pPr>
        <w:spacing w:after="60"/>
        <w:rPr>
          <w:u w:val="single"/>
        </w:rPr>
      </w:pPr>
      <w:r w:rsidRPr="00FD6544">
        <w:rPr>
          <w:u w:val="single"/>
        </w:rPr>
        <w:t>Monotherapy</w:t>
      </w:r>
    </w:p>
    <w:p w14:paraId="4EA314CC" w14:textId="77777777" w:rsidR="00B145C4" w:rsidRPr="00F330FC" w:rsidRDefault="00B145C4" w:rsidP="00133615">
      <w:pPr>
        <w:spacing w:after="60"/>
      </w:pPr>
      <w:r w:rsidRPr="00F330FC">
        <w:t xml:space="preserve">In clinical trials, serious infections and opportunistic infections occurred in 10% of patients, sepsis or septic shock occurred in &lt;1% of the patients. The </w:t>
      </w:r>
      <w:proofErr w:type="gramStart"/>
      <w:r w:rsidRPr="00F330FC">
        <w:t>most commonly reported</w:t>
      </w:r>
      <w:proofErr w:type="gramEnd"/>
      <w:r w:rsidRPr="00F330FC">
        <w:t xml:space="preserve"> opportunistic infections were herpes zoster and herpes simplex. </w:t>
      </w:r>
    </w:p>
    <w:p w14:paraId="6161B198" w14:textId="77777777" w:rsidR="00B145C4" w:rsidRDefault="00B145C4" w:rsidP="00133615">
      <w:pPr>
        <w:spacing w:after="60"/>
      </w:pPr>
      <w:r w:rsidRPr="00F330FC">
        <w:t xml:space="preserve">PML has been reported outside of the pivotal clinical trials described in this section </w:t>
      </w:r>
      <w:r w:rsidRPr="00CF7106">
        <w:t xml:space="preserve">(see </w:t>
      </w:r>
      <w:r w:rsidR="009626E1" w:rsidRPr="00CF7106">
        <w:t>4.4 Special Warnings and Precautions</w:t>
      </w:r>
      <w:r w:rsidR="00802A0D" w:rsidRPr="00CF7106">
        <w:t xml:space="preserve"> </w:t>
      </w:r>
      <w:r w:rsidR="009626E1" w:rsidRPr="00CF7106">
        <w:t>for Use</w:t>
      </w:r>
      <w:r w:rsidRPr="00CF7106">
        <w:t>).</w:t>
      </w:r>
      <w:r w:rsidRPr="00F330FC">
        <w:t xml:space="preserve"> </w:t>
      </w:r>
    </w:p>
    <w:p w14:paraId="7BE70C1A" w14:textId="77777777" w:rsidR="001F68FD" w:rsidRPr="00FD6544" w:rsidRDefault="001F68FD" w:rsidP="00133615">
      <w:pPr>
        <w:spacing w:after="60"/>
        <w:rPr>
          <w:u w:val="single"/>
        </w:rPr>
      </w:pPr>
      <w:r w:rsidRPr="00FD6544">
        <w:rPr>
          <w:u w:val="single"/>
        </w:rPr>
        <w:t>Combination therapy</w:t>
      </w:r>
    </w:p>
    <w:p w14:paraId="69C83342" w14:textId="71C3302D" w:rsidR="001F68FD" w:rsidRPr="00F330FC" w:rsidRDefault="001F68FD" w:rsidP="00C254FD">
      <w:r w:rsidRPr="001F68FD">
        <w:t>In the clinical trials of ADCETRIS as combination therapy, serious infections</w:t>
      </w:r>
      <w:r w:rsidR="008B3BF9">
        <w:t xml:space="preserve">, including </w:t>
      </w:r>
      <w:r w:rsidR="00EF54FF">
        <w:t xml:space="preserve">opportunistic infections occurred in 15% of patients; </w:t>
      </w:r>
      <w:r w:rsidR="008B3BF9">
        <w:t>sepsis</w:t>
      </w:r>
      <w:r w:rsidR="00B87667">
        <w:t>,</w:t>
      </w:r>
      <w:r w:rsidRPr="001F68FD">
        <w:t xml:space="preserve"> </w:t>
      </w:r>
      <w:r w:rsidR="00C254FD">
        <w:t xml:space="preserve">septic shock or bacteraemia occurred in 4% of the patients. The </w:t>
      </w:r>
      <w:proofErr w:type="gramStart"/>
      <w:r w:rsidR="00C254FD">
        <w:t>most commonly reported</w:t>
      </w:r>
      <w:proofErr w:type="gramEnd"/>
      <w:r w:rsidR="00C254FD">
        <w:t xml:space="preserve"> opportunistic infections were herpes viral infections.</w:t>
      </w:r>
      <w:r w:rsidR="00C254FD" w:rsidRPr="001F68FD">
        <w:t xml:space="preserve"> </w:t>
      </w:r>
    </w:p>
    <w:p w14:paraId="406367E2" w14:textId="77777777" w:rsidR="00B145C4" w:rsidRDefault="00B145C4" w:rsidP="00FD6544">
      <w:pPr>
        <w:spacing w:after="60"/>
        <w:rPr>
          <w:i/>
        </w:rPr>
      </w:pPr>
      <w:r w:rsidRPr="00F330FC">
        <w:rPr>
          <w:i/>
        </w:rPr>
        <w:t>Peripheral Neuropathy</w:t>
      </w:r>
    </w:p>
    <w:p w14:paraId="40951B13" w14:textId="77777777" w:rsidR="001F68FD" w:rsidRPr="00FD6544" w:rsidRDefault="001F68FD" w:rsidP="00FD6544">
      <w:pPr>
        <w:spacing w:after="60"/>
        <w:rPr>
          <w:u w:val="single"/>
        </w:rPr>
      </w:pPr>
      <w:r w:rsidRPr="00FD6544">
        <w:rPr>
          <w:u w:val="single"/>
        </w:rPr>
        <w:t>Monotherapy</w:t>
      </w:r>
    </w:p>
    <w:p w14:paraId="333C76CE" w14:textId="77777777" w:rsidR="00B145C4" w:rsidRPr="00F330FC" w:rsidRDefault="00B145C4" w:rsidP="00FD6544">
      <w:pPr>
        <w:spacing w:after="60"/>
      </w:pPr>
      <w:r w:rsidRPr="00F330FC">
        <w:t xml:space="preserve">In clinical trials treatment emergent neuropathy occurred in 59% of the population, peripheral motor neuropathy occurred in 14% of patients.   Peripheral neuropathy led to treatment discontinuation in 15%, dose reductions in 15%, and dose delays in 17% of patients. For patients who experienced peripheral neuropathy the median time of onset of peripheral neuropathy was 12 weeks. The median duration of treatment for patients who discontinued due to peripheral neuropathy was 12 cycles. </w:t>
      </w:r>
    </w:p>
    <w:p w14:paraId="31A67A94" w14:textId="77777777" w:rsidR="00B145C4" w:rsidRPr="00F330FC" w:rsidRDefault="00B145C4" w:rsidP="00FD6544">
      <w:pPr>
        <w:spacing w:after="60"/>
      </w:pPr>
      <w:r w:rsidRPr="00F330FC">
        <w:t xml:space="preserve">Among patients who experienced peripheral neuropathy in the pivotal phase 2 studies (SG035-0003 and SG035-0004) and randomised phase 3 studies (SGN35-005 and C25001), the median </w:t>
      </w:r>
      <w:proofErr w:type="gramStart"/>
      <w:r w:rsidRPr="00F330FC">
        <w:t>follow</w:t>
      </w:r>
      <w:proofErr w:type="gramEnd"/>
      <w:r w:rsidRPr="00F330FC">
        <w:t xml:space="preserve"> up time from end of treatment until last evaluation ranged from 48.9 to 98 weeks. At the time of last evaluation, 82-85% of patients who experienced peripheral neuropathy had resolution or improvement of their peripheral neuropathy symptoms. The median time from onset to resolution or improvement for all events ranged from 16 to 23.4 weeks. </w:t>
      </w:r>
    </w:p>
    <w:p w14:paraId="5AB94D04" w14:textId="77777777" w:rsidR="00B145C4" w:rsidRDefault="00B145C4" w:rsidP="00FD6544">
      <w:pPr>
        <w:spacing w:after="120"/>
      </w:pPr>
      <w:r w:rsidRPr="00F330FC">
        <w:lastRenderedPageBreak/>
        <w:t xml:space="preserve">In patients with relapsed or refractory HL or relapsed or </w:t>
      </w:r>
      <w:proofErr w:type="spellStart"/>
      <w:r w:rsidRPr="00F330FC">
        <w:t>sALCL</w:t>
      </w:r>
      <w:proofErr w:type="spellEnd"/>
      <w:r w:rsidRPr="00F330FC">
        <w:t xml:space="preserve"> who were retreated with ADCETRIS (SGN35-006), </w:t>
      </w:r>
      <w:proofErr w:type="gramStart"/>
      <w:r w:rsidRPr="00F330FC">
        <w:t>the majority of</w:t>
      </w:r>
      <w:proofErr w:type="gramEnd"/>
      <w:r w:rsidRPr="00F330FC">
        <w:t xml:space="preserve"> patients (80%) also had improvement or resolution of their peripheral neuropathy symptoms at the time of last evaluation.</w:t>
      </w:r>
    </w:p>
    <w:p w14:paraId="11CC76B6" w14:textId="77777777" w:rsidR="001F68FD" w:rsidRPr="00FD6544" w:rsidRDefault="001F68FD" w:rsidP="00FD6544">
      <w:pPr>
        <w:spacing w:after="60"/>
        <w:rPr>
          <w:u w:val="single"/>
        </w:rPr>
      </w:pPr>
      <w:r w:rsidRPr="00FD6544">
        <w:rPr>
          <w:u w:val="single"/>
        </w:rPr>
        <w:t>Combination therapy</w:t>
      </w:r>
    </w:p>
    <w:p w14:paraId="6BF2D8F0" w14:textId="77777777" w:rsidR="009A74B3" w:rsidRPr="009A74B3" w:rsidRDefault="009A74B3" w:rsidP="009A74B3">
      <w:pPr>
        <w:spacing w:after="60"/>
        <w:rPr>
          <w:bCs/>
          <w:lang w:val="en-GB"/>
        </w:rPr>
      </w:pPr>
      <w:r w:rsidRPr="009A74B3">
        <w:rPr>
          <w:bCs/>
          <w:lang w:val="en-GB"/>
        </w:rPr>
        <w:t xml:space="preserve">In the clinical trial of ADCETRIS as combination therapy with AVD, treatment emergent neuropathy </w:t>
      </w:r>
    </w:p>
    <w:p w14:paraId="5E797190" w14:textId="77777777" w:rsidR="009A74B3" w:rsidRPr="009A74B3" w:rsidRDefault="009A74B3" w:rsidP="009A74B3">
      <w:pPr>
        <w:spacing w:after="60"/>
        <w:rPr>
          <w:bCs/>
          <w:lang w:val="en-GB"/>
        </w:rPr>
      </w:pPr>
      <w:r w:rsidRPr="009A74B3">
        <w:rPr>
          <w:bCs/>
          <w:lang w:val="en-GB"/>
        </w:rPr>
        <w:t xml:space="preserve">occurred in 67% of the population; peripheral motor neuropathy occurred in 11% of patients. </w:t>
      </w:r>
    </w:p>
    <w:p w14:paraId="74067D3F" w14:textId="6ACE2A11" w:rsidR="009A74B3" w:rsidRDefault="009A74B3" w:rsidP="009A74B3">
      <w:pPr>
        <w:spacing w:after="60"/>
        <w:rPr>
          <w:bCs/>
          <w:lang w:val="en-GB"/>
        </w:rPr>
      </w:pPr>
      <w:r w:rsidRPr="009A74B3">
        <w:rPr>
          <w:bCs/>
          <w:lang w:val="en-GB"/>
        </w:rPr>
        <w:t xml:space="preserve">Peripheral neuropathy led to treatment discontinuation in 7%, dose reductions in 21%, and dose delays in 1% of patients. For patients who experienced peripheral neuropathy the median time of onset of peripheral neuropathy was 8 weeks. </w:t>
      </w:r>
      <w:r w:rsidR="00911A6D" w:rsidRPr="00911A6D">
        <w:rPr>
          <w:bCs/>
          <w:lang w:val="en-GB"/>
        </w:rPr>
        <w:t>Patients who discontinued due to peripheral neuropathy received a median of 8 doses of ADCETRIS+AVD (A+AVD) before discontinuation of one or more agents.</w:t>
      </w:r>
    </w:p>
    <w:p w14:paraId="37FFD538" w14:textId="77777777" w:rsidR="009A74B3" w:rsidRPr="009A74B3" w:rsidRDefault="009A74B3" w:rsidP="009A74B3">
      <w:pPr>
        <w:spacing w:after="60"/>
        <w:rPr>
          <w:bCs/>
          <w:lang w:val="en-GB"/>
        </w:rPr>
      </w:pPr>
    </w:p>
    <w:p w14:paraId="6CA39E95" w14:textId="77777777" w:rsidR="009A74B3" w:rsidRPr="009A74B3" w:rsidRDefault="009A74B3" w:rsidP="009A74B3">
      <w:pPr>
        <w:spacing w:after="60"/>
        <w:rPr>
          <w:bCs/>
          <w:lang w:val="en-GB"/>
        </w:rPr>
      </w:pPr>
      <w:r w:rsidRPr="009A74B3">
        <w:rPr>
          <w:bCs/>
          <w:lang w:val="en-GB"/>
        </w:rPr>
        <w:t xml:space="preserve">Among patients who experienced peripheral neuropathy, the median </w:t>
      </w:r>
      <w:proofErr w:type="gramStart"/>
      <w:r w:rsidRPr="009A74B3">
        <w:rPr>
          <w:bCs/>
          <w:lang w:val="en-GB"/>
        </w:rPr>
        <w:t>follow</w:t>
      </w:r>
      <w:proofErr w:type="gramEnd"/>
      <w:r w:rsidRPr="009A74B3">
        <w:rPr>
          <w:bCs/>
          <w:lang w:val="en-GB"/>
        </w:rPr>
        <w:t xml:space="preserve"> up time from end of </w:t>
      </w:r>
    </w:p>
    <w:p w14:paraId="5C07A0C7" w14:textId="1DDAB809" w:rsidR="009A74B3" w:rsidRPr="009A74B3" w:rsidRDefault="009A74B3" w:rsidP="009A74B3">
      <w:pPr>
        <w:spacing w:after="60"/>
        <w:rPr>
          <w:bCs/>
          <w:lang w:val="en-GB"/>
        </w:rPr>
      </w:pPr>
      <w:r w:rsidRPr="009A74B3">
        <w:rPr>
          <w:bCs/>
          <w:lang w:val="en-GB"/>
        </w:rPr>
        <w:t xml:space="preserve">treatment until last evaluation was approximately </w:t>
      </w:r>
      <w:r w:rsidR="006E0CF0">
        <w:rPr>
          <w:bCs/>
          <w:lang w:val="en-GB"/>
        </w:rPr>
        <w:t>286</w:t>
      </w:r>
      <w:r w:rsidRPr="009A74B3">
        <w:rPr>
          <w:bCs/>
          <w:lang w:val="en-GB"/>
        </w:rPr>
        <w:t xml:space="preserve"> weeks. At the time of last evaluation, most of the patients (</w:t>
      </w:r>
      <w:r w:rsidR="00F25229">
        <w:rPr>
          <w:bCs/>
          <w:lang w:val="en-GB"/>
        </w:rPr>
        <w:t>8</w:t>
      </w:r>
      <w:r w:rsidRPr="009A74B3">
        <w:rPr>
          <w:bCs/>
          <w:lang w:val="en-GB"/>
        </w:rPr>
        <w:t xml:space="preserve">6%) who experienced peripheral neuropathy had resolution or improvement of </w:t>
      </w:r>
      <w:proofErr w:type="gramStart"/>
      <w:r w:rsidRPr="009A74B3">
        <w:rPr>
          <w:bCs/>
          <w:lang w:val="en-GB"/>
        </w:rPr>
        <w:t>their</w:t>
      </w:r>
      <w:proofErr w:type="gramEnd"/>
      <w:r w:rsidRPr="009A74B3">
        <w:rPr>
          <w:bCs/>
          <w:lang w:val="en-GB"/>
        </w:rPr>
        <w:t xml:space="preserve"> </w:t>
      </w:r>
    </w:p>
    <w:p w14:paraId="2BAFECCD" w14:textId="77777777" w:rsidR="009A74B3" w:rsidRPr="009A74B3" w:rsidRDefault="009A74B3" w:rsidP="009A74B3">
      <w:pPr>
        <w:spacing w:after="60"/>
        <w:rPr>
          <w:bCs/>
          <w:lang w:val="en-GB"/>
        </w:rPr>
      </w:pPr>
      <w:r w:rsidRPr="009A74B3">
        <w:rPr>
          <w:bCs/>
          <w:lang w:val="en-GB"/>
        </w:rPr>
        <w:t xml:space="preserve">peripheral neuropathy symptoms. The median time from onset to resolution or improvement of </w:t>
      </w:r>
    </w:p>
    <w:p w14:paraId="171C4DA4" w14:textId="77777777" w:rsidR="009A74B3" w:rsidRDefault="009A74B3" w:rsidP="009A74B3">
      <w:pPr>
        <w:spacing w:after="60"/>
        <w:rPr>
          <w:bCs/>
          <w:lang w:val="en-GB"/>
        </w:rPr>
      </w:pPr>
      <w:r w:rsidRPr="009A74B3">
        <w:rPr>
          <w:bCs/>
          <w:lang w:val="en-GB"/>
        </w:rPr>
        <w:t xml:space="preserve">peripheral neuropathy events </w:t>
      </w:r>
      <w:proofErr w:type="gramStart"/>
      <w:r w:rsidRPr="009A74B3">
        <w:rPr>
          <w:bCs/>
          <w:lang w:val="en-GB"/>
        </w:rPr>
        <w:t>was</w:t>
      </w:r>
      <w:proofErr w:type="gramEnd"/>
      <w:r w:rsidRPr="009A74B3">
        <w:rPr>
          <w:bCs/>
          <w:lang w:val="en-GB"/>
        </w:rPr>
        <w:t xml:space="preserve"> </w:t>
      </w:r>
      <w:r w:rsidR="006E0CF0">
        <w:rPr>
          <w:bCs/>
          <w:lang w:val="en-GB"/>
        </w:rPr>
        <w:t xml:space="preserve">17 </w:t>
      </w:r>
      <w:r w:rsidRPr="009A74B3">
        <w:rPr>
          <w:bCs/>
          <w:lang w:val="en-GB"/>
        </w:rPr>
        <w:t xml:space="preserve">weeks (ranged from 0 weeks to </w:t>
      </w:r>
      <w:r w:rsidR="006E0CF0">
        <w:rPr>
          <w:bCs/>
          <w:lang w:val="en-GB"/>
        </w:rPr>
        <w:t xml:space="preserve">283 </w:t>
      </w:r>
      <w:r w:rsidRPr="009A74B3">
        <w:rPr>
          <w:bCs/>
          <w:lang w:val="en-GB"/>
        </w:rPr>
        <w:t>weeks).</w:t>
      </w:r>
    </w:p>
    <w:p w14:paraId="33DB45E6" w14:textId="77777777" w:rsidR="009A74B3" w:rsidRDefault="009A74B3" w:rsidP="009A74B3">
      <w:pPr>
        <w:spacing w:after="60"/>
        <w:rPr>
          <w:bCs/>
          <w:lang w:val="en-GB"/>
        </w:rPr>
      </w:pPr>
    </w:p>
    <w:p w14:paraId="7E1560AB" w14:textId="06840FC6" w:rsidR="001F68FD" w:rsidRDefault="001F68FD" w:rsidP="009A74B3">
      <w:pPr>
        <w:spacing w:after="60"/>
        <w:rPr>
          <w:lang w:val="en-GB"/>
        </w:rPr>
      </w:pPr>
      <w:r w:rsidRPr="001F68FD">
        <w:rPr>
          <w:bCs/>
          <w:lang w:val="en-GB"/>
        </w:rPr>
        <w:t xml:space="preserve">In the clinical trial of ADCETRIS as combination therapy with CHP, </w:t>
      </w:r>
      <w:r w:rsidRPr="001F68FD">
        <w:rPr>
          <w:lang w:val="en-GB"/>
        </w:rPr>
        <w:t xml:space="preserve">treatment emergent neuropathy occurred in 52% of the population; peripheral motor neuropathy occurred in 9% of patients. Peripheral neuropathy led to treatment discontinuation in 1%, dose reductions in 7% and dose delays in &lt;1% of patients. For patients who experienced peripheral neuropathy the median time of onset was 9.1 weeks. </w:t>
      </w:r>
      <w:r w:rsidR="008D2B9C" w:rsidRPr="008D2B9C">
        <w:rPr>
          <w:lang w:val="en-GB"/>
        </w:rPr>
        <w:t>Patients who discontinued due to peripheral neuropathy received a median of 5 doses of ADCETRIS + CHP (A+CHP) before discontinuation of one or more agents</w:t>
      </w:r>
      <w:r w:rsidR="008D2B9C">
        <w:rPr>
          <w:lang w:val="en-GB"/>
        </w:rPr>
        <w:t>.</w:t>
      </w:r>
    </w:p>
    <w:p w14:paraId="135DD99A" w14:textId="77777777" w:rsidR="008D2B9C" w:rsidRPr="001F68FD" w:rsidRDefault="008D2B9C" w:rsidP="009A74B3">
      <w:pPr>
        <w:spacing w:after="60"/>
        <w:rPr>
          <w:lang w:val="en-GB"/>
        </w:rPr>
      </w:pPr>
    </w:p>
    <w:p w14:paraId="152A7157" w14:textId="69A2A139" w:rsidR="001F68FD" w:rsidRPr="001F68FD" w:rsidRDefault="001F68FD" w:rsidP="001F68FD">
      <w:pPr>
        <w:rPr>
          <w:lang w:val="en-GB"/>
        </w:rPr>
      </w:pPr>
      <w:r w:rsidRPr="001F68FD">
        <w:rPr>
          <w:lang w:val="en-GB"/>
        </w:rPr>
        <w:t xml:space="preserve">Among patients who experienced peripheral neuropathy, the median </w:t>
      </w:r>
      <w:proofErr w:type="gramStart"/>
      <w:r w:rsidRPr="001F68FD">
        <w:rPr>
          <w:lang w:val="en-GB"/>
        </w:rPr>
        <w:t>follow</w:t>
      </w:r>
      <w:proofErr w:type="gramEnd"/>
      <w:r w:rsidRPr="001F68FD">
        <w:rPr>
          <w:lang w:val="en-GB"/>
        </w:rPr>
        <w:t xml:space="preserve"> up time from end of treatment until last evaluation was approximately </w:t>
      </w:r>
      <w:r w:rsidR="008D2B9C" w:rsidRPr="001F68FD">
        <w:rPr>
          <w:lang w:val="en-GB"/>
        </w:rPr>
        <w:t>1</w:t>
      </w:r>
      <w:r w:rsidR="008D2B9C">
        <w:rPr>
          <w:lang w:val="en-GB"/>
        </w:rPr>
        <w:t>77</w:t>
      </w:r>
      <w:r w:rsidR="008D2B9C" w:rsidRPr="001F68FD">
        <w:rPr>
          <w:lang w:val="en-GB"/>
        </w:rPr>
        <w:t> </w:t>
      </w:r>
      <w:r w:rsidRPr="001F68FD">
        <w:rPr>
          <w:lang w:val="en-GB"/>
        </w:rPr>
        <w:t xml:space="preserve">weeks. At the time of last evaluation, </w:t>
      </w:r>
      <w:r w:rsidR="00646702" w:rsidRPr="001F68FD">
        <w:rPr>
          <w:lang w:val="en-GB"/>
        </w:rPr>
        <w:t>6</w:t>
      </w:r>
      <w:r w:rsidR="00646702">
        <w:rPr>
          <w:lang w:val="en-GB"/>
        </w:rPr>
        <w:t>4</w:t>
      </w:r>
      <w:r w:rsidRPr="001F68FD">
        <w:rPr>
          <w:lang w:val="en-GB"/>
        </w:rPr>
        <w:t xml:space="preserve">% who experienced peripheral neuropathy had resolution or improvement of their peripheral neuropathy symptoms. The median time from onset to resolution or improvement of peripheral neuropathy events was </w:t>
      </w:r>
      <w:r w:rsidR="00646702" w:rsidRPr="001F68FD">
        <w:rPr>
          <w:lang w:val="en-GB"/>
        </w:rPr>
        <w:t>1</w:t>
      </w:r>
      <w:r w:rsidR="00646702">
        <w:rPr>
          <w:lang w:val="en-GB"/>
        </w:rPr>
        <w:t>9</w:t>
      </w:r>
      <w:r w:rsidR="00646702" w:rsidRPr="001F68FD">
        <w:rPr>
          <w:lang w:val="en-GB"/>
        </w:rPr>
        <w:t> </w:t>
      </w:r>
      <w:r w:rsidRPr="001F68FD">
        <w:rPr>
          <w:lang w:val="en-GB"/>
        </w:rPr>
        <w:t>weeks (ranged from 0 weeks to 195 weeks).</w:t>
      </w:r>
    </w:p>
    <w:p w14:paraId="184ADBC4" w14:textId="77777777" w:rsidR="00B145C4" w:rsidRPr="00F330FC" w:rsidRDefault="00B145C4" w:rsidP="00FD6544">
      <w:pPr>
        <w:spacing w:after="60"/>
        <w:rPr>
          <w:i/>
        </w:rPr>
      </w:pPr>
      <w:r w:rsidRPr="00F330FC">
        <w:rPr>
          <w:i/>
        </w:rPr>
        <w:t>Acute Pancreatitis</w:t>
      </w:r>
    </w:p>
    <w:p w14:paraId="0ADDBAC9" w14:textId="77777777" w:rsidR="00B145C4" w:rsidRPr="00F330FC" w:rsidRDefault="00B145C4" w:rsidP="00B145C4">
      <w:r w:rsidRPr="00F330FC">
        <w:t xml:space="preserve">Acute pancreatitis (including fatal outcomes) has been reported outside of the pivotal clinical trials. Consider the diagnosis of acute pancreatitis for patients </w:t>
      </w:r>
      <w:r w:rsidRPr="00CF7106">
        <w:t xml:space="preserve">presenting with new or worsening abdominal pain (see </w:t>
      </w:r>
      <w:r w:rsidR="00802A0D" w:rsidRPr="00CF7106">
        <w:t xml:space="preserve">4.4 Special Warnings and </w:t>
      </w:r>
      <w:r w:rsidRPr="00CF7106">
        <w:t>Precautions</w:t>
      </w:r>
      <w:r w:rsidR="00802A0D">
        <w:t xml:space="preserve"> for Use</w:t>
      </w:r>
      <w:r w:rsidRPr="00F330FC">
        <w:t>).</w:t>
      </w:r>
    </w:p>
    <w:p w14:paraId="7753568E" w14:textId="77777777" w:rsidR="00B145C4" w:rsidRDefault="00B145C4" w:rsidP="00FD6544">
      <w:pPr>
        <w:spacing w:after="60"/>
        <w:rPr>
          <w:i/>
        </w:rPr>
      </w:pPr>
      <w:r w:rsidRPr="00F330FC">
        <w:rPr>
          <w:i/>
        </w:rPr>
        <w:t>Infusion-related reactions</w:t>
      </w:r>
    </w:p>
    <w:p w14:paraId="532C85DD" w14:textId="77777777" w:rsidR="00291692" w:rsidRPr="00FD6544" w:rsidRDefault="00291692" w:rsidP="00FD6544">
      <w:pPr>
        <w:spacing w:after="60"/>
        <w:rPr>
          <w:u w:val="single"/>
        </w:rPr>
      </w:pPr>
      <w:r w:rsidRPr="00FD6544">
        <w:rPr>
          <w:u w:val="single"/>
        </w:rPr>
        <w:t>Monotherapy</w:t>
      </w:r>
    </w:p>
    <w:p w14:paraId="6E1847EC" w14:textId="77777777" w:rsidR="00B145C4" w:rsidRPr="00F330FC" w:rsidRDefault="00B145C4" w:rsidP="00FD6544">
      <w:pPr>
        <w:spacing w:after="60"/>
      </w:pPr>
      <w:r w:rsidRPr="00F330FC">
        <w:t xml:space="preserve">Infusion-related reactions such as headache, rash, back pain, vomiting, chills, nausea, dyspnoea, pruritus, and cough were reported in 13% of patients. </w:t>
      </w:r>
    </w:p>
    <w:p w14:paraId="348C245E" w14:textId="77777777" w:rsidR="00B145C4" w:rsidRDefault="00B145C4" w:rsidP="00FD6544">
      <w:pPr>
        <w:spacing w:after="60"/>
      </w:pPr>
      <w:r w:rsidRPr="00F330FC">
        <w:t xml:space="preserve">Anaphylaxis has been reported. Symptoms of anaphylaxis may include, but are not limited to, urticaria, angioedema, </w:t>
      </w:r>
      <w:proofErr w:type="gramStart"/>
      <w:r w:rsidRPr="00F330FC">
        <w:t>hypotension</w:t>
      </w:r>
      <w:proofErr w:type="gramEnd"/>
      <w:r w:rsidRPr="00F330FC">
        <w:t xml:space="preserve"> and bronchospasm. </w:t>
      </w:r>
    </w:p>
    <w:p w14:paraId="7F5BF8E5" w14:textId="77777777" w:rsidR="00291692" w:rsidRPr="00FD6544" w:rsidRDefault="00291692" w:rsidP="00FD6544">
      <w:pPr>
        <w:spacing w:after="60"/>
        <w:rPr>
          <w:u w:val="single"/>
        </w:rPr>
      </w:pPr>
      <w:r w:rsidRPr="00FD6544">
        <w:rPr>
          <w:u w:val="single"/>
        </w:rPr>
        <w:t>Combination therapy</w:t>
      </w:r>
      <w:r w:rsidR="002403FD">
        <w:rPr>
          <w:u w:val="single"/>
        </w:rPr>
        <w:t xml:space="preserve"> </w:t>
      </w:r>
    </w:p>
    <w:p w14:paraId="066865BA" w14:textId="52933DA2" w:rsidR="00291692" w:rsidRPr="00A90ECE" w:rsidRDefault="00291692" w:rsidP="00B145C4">
      <w:pPr>
        <w:rPr>
          <w:lang w:val="en-GB"/>
        </w:rPr>
      </w:pPr>
      <w:r w:rsidRPr="00F330FC">
        <w:t>Infusion-related reactions</w:t>
      </w:r>
      <w:r w:rsidRPr="00291692">
        <w:rPr>
          <w:lang w:val="en-GB"/>
        </w:rPr>
        <w:t xml:space="preserve">, such as </w:t>
      </w:r>
      <w:r w:rsidR="009B0590" w:rsidRPr="009B0590">
        <w:rPr>
          <w:lang w:val="en-GB"/>
        </w:rPr>
        <w:t>headache, rash, back pain</w:t>
      </w:r>
      <w:r w:rsidR="009B0590">
        <w:rPr>
          <w:lang w:val="en-GB"/>
        </w:rPr>
        <w:t xml:space="preserve">, </w:t>
      </w:r>
      <w:r w:rsidRPr="00291692">
        <w:rPr>
          <w:lang w:val="en-GB"/>
        </w:rPr>
        <w:t xml:space="preserve">vomiting, </w:t>
      </w:r>
      <w:r w:rsidR="009B0590">
        <w:rPr>
          <w:lang w:val="en-GB"/>
        </w:rPr>
        <w:t xml:space="preserve">chills, </w:t>
      </w:r>
      <w:r w:rsidRPr="00291692">
        <w:rPr>
          <w:lang w:val="en-GB"/>
        </w:rPr>
        <w:t xml:space="preserve">nausea, </w:t>
      </w:r>
      <w:r w:rsidR="009B0590">
        <w:rPr>
          <w:lang w:val="en-GB"/>
        </w:rPr>
        <w:t xml:space="preserve">dyspnoea, pruritus, cough, infusion site pain and </w:t>
      </w:r>
      <w:r w:rsidRPr="00291692">
        <w:rPr>
          <w:lang w:val="en-GB"/>
        </w:rPr>
        <w:t>pyrexia</w:t>
      </w:r>
      <w:r w:rsidR="009B0590">
        <w:rPr>
          <w:lang w:val="en-GB"/>
        </w:rPr>
        <w:t xml:space="preserve"> were reported in 8% of patients</w:t>
      </w:r>
      <w:r w:rsidR="009D1D5B">
        <w:rPr>
          <w:lang w:val="en-GB"/>
        </w:rPr>
        <w:t>.</w:t>
      </w:r>
      <w:r w:rsidR="00510D30">
        <w:rPr>
          <w:lang w:val="en-GB"/>
        </w:rPr>
        <w:t xml:space="preserve"> </w:t>
      </w:r>
      <w:r w:rsidR="009D1D5B">
        <w:rPr>
          <w:lang w:val="en-GB"/>
        </w:rPr>
        <w:t>Dizziness</w:t>
      </w:r>
      <w:r w:rsidR="00510D30">
        <w:rPr>
          <w:lang w:val="en-GB"/>
        </w:rPr>
        <w:t xml:space="preserve">, extravasation, </w:t>
      </w:r>
      <w:proofErr w:type="spellStart"/>
      <w:r w:rsidR="00510D30">
        <w:rPr>
          <w:lang w:val="en-GB"/>
        </w:rPr>
        <w:t>hypoaesthesia</w:t>
      </w:r>
      <w:proofErr w:type="spellEnd"/>
      <w:r w:rsidR="00510D30">
        <w:rPr>
          <w:lang w:val="en-GB"/>
        </w:rPr>
        <w:t>, and hypoxia</w:t>
      </w:r>
      <w:r w:rsidRPr="00291692">
        <w:rPr>
          <w:lang w:val="en-GB"/>
        </w:rPr>
        <w:t xml:space="preserve"> were reported in </w:t>
      </w:r>
      <w:r w:rsidR="00510D30">
        <w:rPr>
          <w:lang w:val="en-GB"/>
        </w:rPr>
        <w:t>4</w:t>
      </w:r>
      <w:r w:rsidRPr="00291692">
        <w:rPr>
          <w:lang w:val="en-GB"/>
        </w:rPr>
        <w:t xml:space="preserve">% of patients. </w:t>
      </w:r>
      <w:r w:rsidR="006E0CF0" w:rsidRPr="006E0CF0">
        <w:t xml:space="preserve"> </w:t>
      </w:r>
      <w:r w:rsidR="006E0CF0" w:rsidRPr="006E0CF0">
        <w:rPr>
          <w:lang w:val="en-GB"/>
        </w:rPr>
        <w:t xml:space="preserve">Symptoms of an anaphylactic reaction may include, but are not limited to, urticaria, angioedema, </w:t>
      </w:r>
      <w:proofErr w:type="gramStart"/>
      <w:r w:rsidR="006E0CF0" w:rsidRPr="006E0CF0">
        <w:rPr>
          <w:lang w:val="en-GB"/>
        </w:rPr>
        <w:t>hypotension</w:t>
      </w:r>
      <w:proofErr w:type="gramEnd"/>
      <w:r w:rsidR="006E0CF0" w:rsidRPr="006E0CF0">
        <w:rPr>
          <w:lang w:val="en-GB"/>
        </w:rPr>
        <w:t xml:space="preserve"> and bronchospasm. </w:t>
      </w:r>
      <w:r w:rsidR="00A025F4" w:rsidRPr="00291692" w:rsidDel="00A025F4">
        <w:rPr>
          <w:lang w:val="en-GB"/>
        </w:rPr>
        <w:t xml:space="preserve"> </w:t>
      </w:r>
    </w:p>
    <w:p w14:paraId="6E133FD9" w14:textId="77777777" w:rsidR="00B145C4" w:rsidRPr="00F330FC" w:rsidRDefault="00B145C4" w:rsidP="001278CA">
      <w:pPr>
        <w:spacing w:after="60"/>
        <w:rPr>
          <w:i/>
        </w:rPr>
      </w:pPr>
      <w:r w:rsidRPr="00F330FC">
        <w:rPr>
          <w:i/>
        </w:rPr>
        <w:lastRenderedPageBreak/>
        <w:t>Immunogenicity</w:t>
      </w:r>
    </w:p>
    <w:p w14:paraId="73855945" w14:textId="77777777" w:rsidR="00B145C4" w:rsidRDefault="00B145C4" w:rsidP="00B145C4">
      <w:r w:rsidRPr="00F330FC">
        <w:t xml:space="preserve">In clinical trials, patients were periodically tested for antibodies to brentuximab </w:t>
      </w:r>
      <w:proofErr w:type="spellStart"/>
      <w:r w:rsidRPr="00F330FC">
        <w:t>vedotin</w:t>
      </w:r>
      <w:proofErr w:type="spellEnd"/>
      <w:r w:rsidRPr="00F330FC">
        <w:t xml:space="preserve"> using a sensitive </w:t>
      </w:r>
      <w:proofErr w:type="spellStart"/>
      <w:r w:rsidRPr="00F330FC">
        <w:t>electrochemiluminescent</w:t>
      </w:r>
      <w:proofErr w:type="spellEnd"/>
      <w:r w:rsidRPr="00F330FC">
        <w:t xml:space="preserve"> immunoassay. There was a higher incidence of infusion-related reactions observed in patients with persistently positive antibodies to brentuximab </w:t>
      </w:r>
      <w:proofErr w:type="spellStart"/>
      <w:r w:rsidRPr="00F330FC">
        <w:t>vedotin</w:t>
      </w:r>
      <w:proofErr w:type="spellEnd"/>
      <w:r w:rsidRPr="00F330FC">
        <w:t xml:space="preserve"> relative to patients who tested transiently positive or negative.</w:t>
      </w:r>
      <w:r>
        <w:t xml:space="preserve"> </w:t>
      </w:r>
    </w:p>
    <w:p w14:paraId="5DBEAC91" w14:textId="77777777" w:rsidR="00B145C4" w:rsidRDefault="00B145C4" w:rsidP="00FD6544">
      <w:pPr>
        <w:spacing w:after="60"/>
      </w:pPr>
      <w:r>
        <w:t xml:space="preserve">The presence of antibodies to brentuximab </w:t>
      </w:r>
      <w:proofErr w:type="spellStart"/>
      <w:r>
        <w:t>vedotin</w:t>
      </w:r>
      <w:proofErr w:type="spellEnd"/>
      <w:r>
        <w:t xml:space="preserve"> did not correlate with a clinically meaningful reduction in serum brentuximab </w:t>
      </w:r>
      <w:proofErr w:type="spellStart"/>
      <w:r>
        <w:t>vedotin</w:t>
      </w:r>
      <w:proofErr w:type="spellEnd"/>
      <w:r>
        <w:t xml:space="preserve"> levels and did not result in a decrease in the efficacy of ADCETRIS. </w:t>
      </w:r>
    </w:p>
    <w:p w14:paraId="76EF244B" w14:textId="77777777" w:rsidR="00B145C4" w:rsidRDefault="00B145C4" w:rsidP="00B145C4">
      <w:r>
        <w:t xml:space="preserve">Immunogenicity assay results are highly dependent on several factors including assay sensitivity and specificity, assay methodology, sample handling, timing of sample collection, concomitant medications, and underlying disease. For these reasons, comparison of incidence of antibodies to brentuximab </w:t>
      </w:r>
      <w:proofErr w:type="spellStart"/>
      <w:r>
        <w:t>vedotin</w:t>
      </w:r>
      <w:proofErr w:type="spellEnd"/>
      <w:r>
        <w:t xml:space="preserve"> with the incidence of antibodies to other products may be misleading.</w:t>
      </w:r>
    </w:p>
    <w:p w14:paraId="6381781D" w14:textId="27D28F00" w:rsidR="00135C56" w:rsidRPr="00135C56" w:rsidRDefault="00135C56" w:rsidP="00135C56">
      <w:pPr>
        <w:spacing w:after="0"/>
        <w:rPr>
          <w:i/>
        </w:rPr>
      </w:pPr>
      <w:bookmarkStart w:id="21" w:name="_Hlk147927453"/>
      <w:r w:rsidRPr="00135C56">
        <w:rPr>
          <w:i/>
        </w:rPr>
        <w:t>Elderly</w:t>
      </w:r>
    </w:p>
    <w:p w14:paraId="30680F65" w14:textId="547DB922" w:rsidR="00135C56" w:rsidRDefault="00135C56" w:rsidP="00135C56">
      <w:pPr>
        <w:spacing w:after="0"/>
      </w:pPr>
      <w:r>
        <w:t xml:space="preserve">Combination therapy </w:t>
      </w:r>
    </w:p>
    <w:p w14:paraId="16716093" w14:textId="14EE3A53" w:rsidR="00135C56" w:rsidRDefault="00135C56" w:rsidP="00135C56">
      <w:r>
        <w:t>In older patients (≥ 60 years of age), the incidence of adverse events was similar across treatment arms. More serious adverse events and dose modifications (including dose delays, reductions, and discontinuations) were reported in the older patients compared with the overall study population. Advanced age was a risk factor for febrile neutropenia in patients in both arms. Older patients who received G</w:t>
      </w:r>
      <w:r w:rsidR="00052E6E">
        <w:t>-</w:t>
      </w:r>
      <w:r>
        <w:t>CSF primary prophylaxis had lower incidence of neutropenia and febrile neutropenia than those who did not receive G</w:t>
      </w:r>
      <w:r w:rsidR="00052E6E">
        <w:t>-</w:t>
      </w:r>
      <w:r>
        <w:t>CSF primary prophylaxis.</w:t>
      </w:r>
    </w:p>
    <w:bookmarkEnd w:id="21"/>
    <w:p w14:paraId="4F50477B" w14:textId="77777777" w:rsidR="00C61C48" w:rsidRDefault="00C61C48" w:rsidP="007059A5">
      <w:pPr>
        <w:pStyle w:val="Heading2"/>
      </w:pPr>
      <w:r>
        <w:t>Reporting suspected adverse effects</w:t>
      </w:r>
    </w:p>
    <w:p w14:paraId="55D32BCC" w14:textId="77777777" w:rsidR="002F0774" w:rsidRPr="00F74D8A" w:rsidRDefault="00F74D8A" w:rsidP="001278CA">
      <w:r w:rsidRPr="00F74D8A">
        <w:t>Reporting suspected adverse reactions after registration of the medicinal product is important. It allows continued monitoring of the benefit-risk balance of the medicinal product. Healthcare professionals are asked to report any suspected adverse reactions at http://www.tga.gov.au/reporting-prob</w:t>
      </w:r>
      <w:r>
        <w:t>l</w:t>
      </w:r>
      <w:r w:rsidRPr="00F74D8A">
        <w:t>ems.</w:t>
      </w:r>
    </w:p>
    <w:p w14:paraId="21442374" w14:textId="77777777" w:rsidR="002F0774" w:rsidRDefault="00151AE1" w:rsidP="000550D7">
      <w:pPr>
        <w:pStyle w:val="Heading1"/>
        <w:numPr>
          <w:ilvl w:val="1"/>
          <w:numId w:val="21"/>
        </w:numPr>
        <w:tabs>
          <w:tab w:val="left" w:pos="567"/>
        </w:tabs>
        <w:ind w:left="567" w:hanging="567"/>
      </w:pPr>
      <w:r>
        <w:t xml:space="preserve">OVERDOSE </w:t>
      </w:r>
    </w:p>
    <w:p w14:paraId="4E10D3A9" w14:textId="77777777" w:rsidR="00782FB2" w:rsidRDefault="00782FB2" w:rsidP="00FD6544">
      <w:pPr>
        <w:spacing w:after="60"/>
      </w:pPr>
      <w:r>
        <w:t>There is no known antidote for overdose of ADCETRIS. In case of overdose, the patient should be closely monitor</w:t>
      </w:r>
      <w:r w:rsidRPr="00CF7106">
        <w:t xml:space="preserve">ed for adverse reactions, particularly neutropenia, and supportive treatment should be administered (see </w:t>
      </w:r>
      <w:r w:rsidR="003A20A8" w:rsidRPr="00CF7106">
        <w:t>4.4 Special Warnings and</w:t>
      </w:r>
      <w:r w:rsidR="003A20A8" w:rsidRPr="00CF7106" w:rsidDel="003A20A8">
        <w:t xml:space="preserve"> </w:t>
      </w:r>
      <w:r w:rsidRPr="00CF7106">
        <w:t>Precautions</w:t>
      </w:r>
      <w:r w:rsidR="003A20A8" w:rsidRPr="00CF7106">
        <w:t xml:space="preserve"> f</w:t>
      </w:r>
      <w:r w:rsidR="003A20A8">
        <w:t>or Use</w:t>
      </w:r>
      <w:r>
        <w:t xml:space="preserve">). </w:t>
      </w:r>
    </w:p>
    <w:p w14:paraId="7694CEE9" w14:textId="77777777" w:rsidR="00217334" w:rsidRDefault="00782FB2" w:rsidP="00782FB2">
      <w:pPr>
        <w:rPr>
          <w:highlight w:val="yellow"/>
        </w:rPr>
      </w:pPr>
      <w:r>
        <w:t>For information on the management of overdose, contact the Poison Information Centre on 131126 (Australia).</w:t>
      </w:r>
    </w:p>
    <w:p w14:paraId="45D2BCA7" w14:textId="77777777" w:rsidR="007E4EF4" w:rsidRDefault="007E4EF4" w:rsidP="000550D7">
      <w:pPr>
        <w:pStyle w:val="Heading1"/>
        <w:numPr>
          <w:ilvl w:val="0"/>
          <w:numId w:val="21"/>
        </w:numPr>
        <w:tabs>
          <w:tab w:val="left" w:pos="567"/>
        </w:tabs>
        <w:ind w:left="567" w:hanging="567"/>
      </w:pPr>
      <w:r>
        <w:t xml:space="preserve">PHARMACOLOGICAL PROPERTIES </w:t>
      </w:r>
    </w:p>
    <w:p w14:paraId="409C1DD2" w14:textId="77777777" w:rsidR="007E4EF4" w:rsidRDefault="007E4EF4" w:rsidP="000550D7">
      <w:pPr>
        <w:pStyle w:val="Heading1"/>
        <w:numPr>
          <w:ilvl w:val="1"/>
          <w:numId w:val="21"/>
        </w:numPr>
        <w:tabs>
          <w:tab w:val="left" w:pos="567"/>
        </w:tabs>
        <w:ind w:left="567" w:hanging="567"/>
      </w:pPr>
      <w:r>
        <w:t xml:space="preserve">PHARMACODYNAMIC PROPERTIES </w:t>
      </w:r>
    </w:p>
    <w:p w14:paraId="4030E23F" w14:textId="77777777" w:rsidR="007E4EF4" w:rsidRDefault="007E4EF4" w:rsidP="007059A5">
      <w:pPr>
        <w:pStyle w:val="Heading2"/>
      </w:pPr>
      <w:r>
        <w:t xml:space="preserve">Mechanism of action </w:t>
      </w:r>
    </w:p>
    <w:p w14:paraId="2E646660" w14:textId="77777777" w:rsidR="00782FB2" w:rsidRDefault="00782FB2" w:rsidP="00FD6544">
      <w:pPr>
        <w:spacing w:after="60"/>
      </w:pPr>
      <w:r>
        <w:t xml:space="preserve">Brentuximab </w:t>
      </w:r>
      <w:proofErr w:type="spellStart"/>
      <w:r>
        <w:t>vedotin</w:t>
      </w:r>
      <w:proofErr w:type="spellEnd"/>
      <w:r>
        <w:t xml:space="preserve"> is an ADC that delivers an antineoplastic agent that results in apoptotic cell death in CD30-expressing tumour cells (such as classical Hodgkin’s lymphoma and systemic anaplastic large cell lymphoma). Nonclinical data suggest that the biological activity of brentuximab </w:t>
      </w:r>
      <w:proofErr w:type="spellStart"/>
      <w:r>
        <w:t>vedotin</w:t>
      </w:r>
      <w:proofErr w:type="spellEnd"/>
      <w:r>
        <w:t xml:space="preserve"> results from a multi-step process. Binding of the ADC to CD30 on the cell surface initiates internalisation of the ADC-CD30 complex, which then traffics to the lysosomal compartment. Within the cell, a single defined active species, MMAE, is released via proteolytic cleavage. Binding of MMAE to tubulin disrupts the microtubule network within the cell, induces cell cycle arrest and results in apoptotic death of the CD30-expressing tumour cell.</w:t>
      </w:r>
    </w:p>
    <w:p w14:paraId="5CB84265" w14:textId="77777777" w:rsidR="007E4EF4" w:rsidRDefault="00782FB2" w:rsidP="00782FB2">
      <w:pPr>
        <w:rPr>
          <w:highlight w:val="yellow"/>
        </w:rPr>
      </w:pPr>
      <w:r>
        <w:t>Contributions to the mechanism of action by other antibody associated functions have not been excluded.</w:t>
      </w:r>
      <w:r w:rsidR="007E4EF4" w:rsidRPr="007E4EF4">
        <w:rPr>
          <w:highlight w:val="yellow"/>
        </w:rPr>
        <w:t xml:space="preserve"> </w:t>
      </w:r>
    </w:p>
    <w:p w14:paraId="23D80E82" w14:textId="77777777" w:rsidR="00782FB2" w:rsidRDefault="00782FB2" w:rsidP="007059A5">
      <w:pPr>
        <w:pStyle w:val="Heading2"/>
      </w:pPr>
      <w:r>
        <w:lastRenderedPageBreak/>
        <w:t>Cardiac electrophysiology</w:t>
      </w:r>
    </w:p>
    <w:p w14:paraId="32B167B2" w14:textId="77777777" w:rsidR="00782FB2" w:rsidRDefault="00782FB2" w:rsidP="00FD6544">
      <w:pPr>
        <w:spacing w:after="60"/>
      </w:pPr>
      <w:r>
        <w:t xml:space="preserve">Forty-six (46) patients with CD30 expressing hematologic malignancies were evaluable of the 52 patients who received 1.8 mg/kg of brentuximab </w:t>
      </w:r>
      <w:proofErr w:type="spellStart"/>
      <w:r>
        <w:t>vedotin</w:t>
      </w:r>
      <w:proofErr w:type="spellEnd"/>
      <w:r>
        <w:t xml:space="preserve"> every 3 weeks as part of a phase 1, single</w:t>
      </w:r>
      <w:r w:rsidR="00F16513">
        <w:noBreakHyphen/>
      </w:r>
      <w:r>
        <w:t xml:space="preserve">arm, open-label, </w:t>
      </w:r>
      <w:r w:rsidR="001D1A56">
        <w:t xml:space="preserve">multicentre </w:t>
      </w:r>
      <w:r>
        <w:t xml:space="preserve">cardiac safety study. The primary objective was to evaluate the effect of brentuximab </w:t>
      </w:r>
      <w:proofErr w:type="spellStart"/>
      <w:r>
        <w:t>vedotin</w:t>
      </w:r>
      <w:proofErr w:type="spellEnd"/>
      <w:r>
        <w:t xml:space="preserve"> on cardiac ventricular re-polarization and the predefined primary analysis was the change in QTc from baseline to multiple time points in Cycle 1.</w:t>
      </w:r>
    </w:p>
    <w:p w14:paraId="5AE3E2AA" w14:textId="77777777" w:rsidR="00782FB2" w:rsidRDefault="00782FB2" w:rsidP="00782FB2">
      <w:pPr>
        <w:rPr>
          <w:highlight w:val="yellow"/>
        </w:rPr>
      </w:pPr>
      <w:r>
        <w:t xml:space="preserve">The upper 90% confidence interval (CI) around the mean effect on QTc was &lt;10 msec at each of the Cycle 1 and Cycle 3 post-baseline time points. These data indicate the absence of clinically relevant QT prolongation due to brentuximab </w:t>
      </w:r>
      <w:proofErr w:type="spellStart"/>
      <w:r>
        <w:t>vedotin</w:t>
      </w:r>
      <w:proofErr w:type="spellEnd"/>
      <w:r>
        <w:t xml:space="preserve"> administered at a dose of 1.8 mg/kg every 3</w:t>
      </w:r>
      <w:r w:rsidR="00F16513">
        <w:t> </w:t>
      </w:r>
      <w:r>
        <w:t>weeks in patients with CD30 expressing malignancies.</w:t>
      </w:r>
    </w:p>
    <w:p w14:paraId="737B8D24" w14:textId="77777777" w:rsidR="007E4EF4" w:rsidRPr="007E4EF4" w:rsidRDefault="007E4EF4" w:rsidP="007059A5">
      <w:pPr>
        <w:pStyle w:val="Heading2"/>
      </w:pPr>
      <w:r w:rsidRPr="007E4EF4">
        <w:t xml:space="preserve">Clinical trials </w:t>
      </w:r>
    </w:p>
    <w:p w14:paraId="65E281CE" w14:textId="77777777" w:rsidR="0061083E" w:rsidRPr="007A1934" w:rsidRDefault="0061083E" w:rsidP="003301BE">
      <w:pPr>
        <w:rPr>
          <w:b/>
          <w:u w:val="single"/>
        </w:rPr>
      </w:pPr>
      <w:r w:rsidRPr="007A1934">
        <w:rPr>
          <w:b/>
          <w:u w:val="single"/>
        </w:rPr>
        <w:t>Hodgkin lymphoma (HL)</w:t>
      </w:r>
    </w:p>
    <w:p w14:paraId="3D9AB30C" w14:textId="319EA403" w:rsidR="003D4D6D" w:rsidRDefault="003D4D6D" w:rsidP="003D4D6D">
      <w:pPr>
        <w:spacing w:after="0"/>
        <w:rPr>
          <w:i/>
        </w:rPr>
      </w:pPr>
      <w:r w:rsidRPr="0061083E">
        <w:rPr>
          <w:i/>
        </w:rPr>
        <w:t xml:space="preserve">Patients with </w:t>
      </w:r>
      <w:r w:rsidRPr="003D4D6D">
        <w:rPr>
          <w:i/>
        </w:rPr>
        <w:t xml:space="preserve">previously untreated CD30+ </w:t>
      </w:r>
      <w:r w:rsidR="00032584">
        <w:rPr>
          <w:i/>
        </w:rPr>
        <w:t xml:space="preserve">Stage III or Stage IV </w:t>
      </w:r>
      <w:r w:rsidRPr="003D4D6D">
        <w:rPr>
          <w:i/>
        </w:rPr>
        <w:t>Hodgkin lymphoma (HL) in combination with doxorubicin</w:t>
      </w:r>
      <w:r>
        <w:rPr>
          <w:i/>
        </w:rPr>
        <w:t xml:space="preserve"> [A]</w:t>
      </w:r>
      <w:r w:rsidRPr="003D4D6D">
        <w:rPr>
          <w:i/>
        </w:rPr>
        <w:t>, vinblastine</w:t>
      </w:r>
      <w:r>
        <w:rPr>
          <w:i/>
        </w:rPr>
        <w:t xml:space="preserve"> [V]</w:t>
      </w:r>
      <w:r w:rsidRPr="003D4D6D">
        <w:rPr>
          <w:i/>
        </w:rPr>
        <w:t>, and dacarbazine</w:t>
      </w:r>
      <w:r>
        <w:rPr>
          <w:i/>
        </w:rPr>
        <w:t xml:space="preserve"> [D]</w:t>
      </w:r>
      <w:r w:rsidRPr="003D4D6D">
        <w:rPr>
          <w:i/>
        </w:rPr>
        <w:t xml:space="preserve"> (AVD)</w:t>
      </w:r>
      <w:r w:rsidRPr="0061083E">
        <w:rPr>
          <w:i/>
        </w:rPr>
        <w:t xml:space="preserve"> (Study </w:t>
      </w:r>
      <w:r>
        <w:rPr>
          <w:i/>
        </w:rPr>
        <w:t>C25003</w:t>
      </w:r>
      <w:r w:rsidRPr="0061083E">
        <w:rPr>
          <w:i/>
        </w:rPr>
        <w:t>)</w:t>
      </w:r>
    </w:p>
    <w:p w14:paraId="1CA781F1" w14:textId="6D07177D" w:rsidR="00FB3D7A" w:rsidRDefault="00FB3D7A" w:rsidP="003D4D6D">
      <w:pPr>
        <w:spacing w:after="0"/>
        <w:rPr>
          <w:i/>
        </w:rPr>
      </w:pPr>
    </w:p>
    <w:p w14:paraId="510B5E0A" w14:textId="3F09286F" w:rsidR="002A5164" w:rsidRDefault="003D4D6D" w:rsidP="003D4D6D">
      <w:pPr>
        <w:spacing w:after="0"/>
        <w:rPr>
          <w:iCs/>
        </w:rPr>
      </w:pPr>
      <w:r w:rsidRPr="003D4D6D">
        <w:rPr>
          <w:iCs/>
        </w:rPr>
        <w:t>The efficacy and safety of ADCETRIS were evaluated in a randomi</w:t>
      </w:r>
      <w:r w:rsidR="00A025F4">
        <w:rPr>
          <w:iCs/>
        </w:rPr>
        <w:t>s</w:t>
      </w:r>
      <w:r w:rsidRPr="003D4D6D">
        <w:rPr>
          <w:iCs/>
        </w:rPr>
        <w:t>ed, open-label, 2-arm, multicentr</w:t>
      </w:r>
      <w:r>
        <w:rPr>
          <w:iCs/>
        </w:rPr>
        <w:t xml:space="preserve">e </w:t>
      </w:r>
      <w:r w:rsidRPr="003D4D6D">
        <w:rPr>
          <w:iCs/>
        </w:rPr>
        <w:t xml:space="preserve">trial in 1334 patients with previously untreated </w:t>
      </w:r>
      <w:r w:rsidR="00032584" w:rsidRPr="00DE7CF5">
        <w:rPr>
          <w:iCs/>
        </w:rPr>
        <w:t>Stage III or Stage IV</w:t>
      </w:r>
      <w:r w:rsidR="00032584">
        <w:rPr>
          <w:i/>
        </w:rPr>
        <w:t xml:space="preserve"> </w:t>
      </w:r>
      <w:r w:rsidRPr="003D4D6D">
        <w:rPr>
          <w:iCs/>
        </w:rPr>
        <w:t>HL in combination with chemotherapy</w:t>
      </w:r>
      <w:r>
        <w:rPr>
          <w:iCs/>
        </w:rPr>
        <w:t xml:space="preserve"> AVD</w:t>
      </w:r>
      <w:r w:rsidRPr="003D4D6D">
        <w:rPr>
          <w:iCs/>
        </w:rPr>
        <w:t>. All patients had CD30-expressing HL.</w:t>
      </w:r>
      <w:r w:rsidRPr="003D4D6D">
        <w:t xml:space="preserve"> </w:t>
      </w:r>
      <w:r w:rsidRPr="003D4D6D">
        <w:rPr>
          <w:iCs/>
        </w:rPr>
        <w:t xml:space="preserve">Sixty-two percent of patients had </w:t>
      </w:r>
      <w:proofErr w:type="spellStart"/>
      <w:r w:rsidRPr="003D4D6D">
        <w:rPr>
          <w:iCs/>
        </w:rPr>
        <w:t>extranodal</w:t>
      </w:r>
      <w:proofErr w:type="spellEnd"/>
      <w:r w:rsidRPr="003D4D6D">
        <w:rPr>
          <w:iCs/>
        </w:rPr>
        <w:t xml:space="preserve"> site involvement. Of the 1334 patients, 664 patients were</w:t>
      </w:r>
      <w:r>
        <w:rPr>
          <w:iCs/>
        </w:rPr>
        <w:t xml:space="preserve"> </w:t>
      </w:r>
      <w:r w:rsidRPr="003D4D6D">
        <w:rPr>
          <w:iCs/>
        </w:rPr>
        <w:t>randomi</w:t>
      </w:r>
      <w:r w:rsidR="00C8385E">
        <w:rPr>
          <w:iCs/>
        </w:rPr>
        <w:t>s</w:t>
      </w:r>
      <w:r w:rsidRPr="003D4D6D">
        <w:rPr>
          <w:iCs/>
        </w:rPr>
        <w:t>ed to the ADCETRIS + AVD arm and 670 patients were randomi</w:t>
      </w:r>
      <w:r w:rsidR="00C8385E">
        <w:rPr>
          <w:iCs/>
        </w:rPr>
        <w:t>s</w:t>
      </w:r>
      <w:r w:rsidRPr="003D4D6D">
        <w:rPr>
          <w:iCs/>
        </w:rPr>
        <w:t>ed to the ABVD (doxorubicin</w:t>
      </w:r>
      <w:r>
        <w:rPr>
          <w:iCs/>
        </w:rPr>
        <w:t xml:space="preserve"> </w:t>
      </w:r>
      <w:r w:rsidRPr="003D4D6D">
        <w:rPr>
          <w:iCs/>
        </w:rPr>
        <w:t>[A], bleomycin [B], vinblastine [V] and dacarbazine [D]) arm and stratified by the number of</w:t>
      </w:r>
      <w:r>
        <w:rPr>
          <w:iCs/>
        </w:rPr>
        <w:t xml:space="preserve"> </w:t>
      </w:r>
      <w:r w:rsidRPr="003D4D6D">
        <w:rPr>
          <w:iCs/>
        </w:rPr>
        <w:t>International Prognostic Factor Project (IPFP) risk factors and region. Patients were treated with 1.2</w:t>
      </w:r>
      <w:r>
        <w:rPr>
          <w:iCs/>
        </w:rPr>
        <w:t xml:space="preserve"> </w:t>
      </w:r>
      <w:r w:rsidRPr="003D4D6D">
        <w:rPr>
          <w:iCs/>
        </w:rPr>
        <w:t>mg/kg of A</w:t>
      </w:r>
      <w:r>
        <w:rPr>
          <w:iCs/>
        </w:rPr>
        <w:t>D</w:t>
      </w:r>
      <w:r w:rsidRPr="003D4D6D">
        <w:rPr>
          <w:iCs/>
        </w:rPr>
        <w:t>CETRIS administered as an intravenous infusion over 30 minutes on days 1 and 15 of each</w:t>
      </w:r>
      <w:r>
        <w:rPr>
          <w:iCs/>
        </w:rPr>
        <w:t xml:space="preserve"> </w:t>
      </w:r>
      <w:r w:rsidRPr="003D4D6D">
        <w:rPr>
          <w:iCs/>
        </w:rPr>
        <w:t xml:space="preserve">28-day cycle + AVD. The median number of cycles received was 6 (range, 1 to 6 cycles). </w:t>
      </w:r>
      <w:r w:rsidR="00D62088">
        <w:rPr>
          <w:iCs/>
        </w:rPr>
        <w:fldChar w:fldCharType="begin"/>
      </w:r>
      <w:r w:rsidR="00D62088">
        <w:rPr>
          <w:iCs/>
        </w:rPr>
        <w:instrText xml:space="preserve"> REF _Ref149117937 \h </w:instrText>
      </w:r>
      <w:r w:rsidR="00D62088">
        <w:rPr>
          <w:iCs/>
        </w:rPr>
      </w:r>
      <w:r w:rsidR="00D62088">
        <w:rPr>
          <w:iCs/>
        </w:rPr>
        <w:fldChar w:fldCharType="separate"/>
      </w:r>
      <w:r w:rsidR="001E2FAC" w:rsidRPr="00D10817">
        <w:rPr>
          <w:szCs w:val="22"/>
        </w:rPr>
        <w:t xml:space="preserve">Table </w:t>
      </w:r>
      <w:r w:rsidR="001E2FAC">
        <w:rPr>
          <w:noProof/>
          <w:szCs w:val="22"/>
        </w:rPr>
        <w:t>10</w:t>
      </w:r>
      <w:r w:rsidR="00D62088">
        <w:rPr>
          <w:iCs/>
        </w:rPr>
        <w:fldChar w:fldCharType="end"/>
      </w:r>
      <w:r w:rsidR="00D62088">
        <w:rPr>
          <w:iCs/>
        </w:rPr>
        <w:t xml:space="preserve"> </w:t>
      </w:r>
      <w:r w:rsidRPr="003D4D6D">
        <w:rPr>
          <w:iCs/>
        </w:rPr>
        <w:t>provides a summary of the baseline patient and disease characteristics.</w:t>
      </w:r>
    </w:p>
    <w:p w14:paraId="3D99EFD9" w14:textId="3C23864A" w:rsidR="000D28C0" w:rsidRDefault="003D4D6D" w:rsidP="003D4D6D">
      <w:pPr>
        <w:spacing w:after="0"/>
        <w:rPr>
          <w:iCs/>
        </w:rPr>
      </w:pPr>
      <w:r w:rsidRPr="003D4D6D">
        <w:rPr>
          <w:iCs/>
        </w:rPr>
        <w:t xml:space="preserve"> </w:t>
      </w:r>
    </w:p>
    <w:p w14:paraId="08282031" w14:textId="77777777" w:rsidR="002F32F3" w:rsidRDefault="002F32F3">
      <w:pPr>
        <w:spacing w:after="0"/>
        <w:jc w:val="left"/>
        <w:rPr>
          <w:b/>
          <w:bCs/>
          <w:szCs w:val="22"/>
        </w:rPr>
      </w:pPr>
      <w:bookmarkStart w:id="22" w:name="_Ref149117937"/>
      <w:r>
        <w:rPr>
          <w:szCs w:val="22"/>
        </w:rPr>
        <w:br w:type="page"/>
      </w:r>
    </w:p>
    <w:p w14:paraId="2F659543" w14:textId="06C67FF9" w:rsidR="00D10817" w:rsidRPr="00D10817" w:rsidRDefault="00D10817" w:rsidP="00D62088">
      <w:pPr>
        <w:pStyle w:val="Caption"/>
        <w:ind w:left="1440" w:hanging="1440"/>
        <w:rPr>
          <w:sz w:val="22"/>
          <w:szCs w:val="22"/>
        </w:rPr>
      </w:pPr>
      <w:r w:rsidRPr="00D10817">
        <w:rPr>
          <w:sz w:val="22"/>
          <w:szCs w:val="22"/>
        </w:rPr>
        <w:lastRenderedPageBreak/>
        <w:t xml:space="preserve">Table </w:t>
      </w:r>
      <w:r w:rsidRPr="00D10817">
        <w:rPr>
          <w:sz w:val="22"/>
          <w:szCs w:val="22"/>
        </w:rPr>
        <w:fldChar w:fldCharType="begin"/>
      </w:r>
      <w:r w:rsidRPr="00D10817">
        <w:rPr>
          <w:sz w:val="22"/>
          <w:szCs w:val="22"/>
        </w:rPr>
        <w:instrText xml:space="preserve"> SEQ Table \* ARABIC </w:instrText>
      </w:r>
      <w:r w:rsidRPr="00D10817">
        <w:rPr>
          <w:sz w:val="22"/>
          <w:szCs w:val="22"/>
        </w:rPr>
        <w:fldChar w:fldCharType="separate"/>
      </w:r>
      <w:r w:rsidR="001E2FAC">
        <w:rPr>
          <w:noProof/>
          <w:sz w:val="22"/>
          <w:szCs w:val="22"/>
        </w:rPr>
        <w:t>10</w:t>
      </w:r>
      <w:r w:rsidRPr="00D10817">
        <w:rPr>
          <w:sz w:val="22"/>
          <w:szCs w:val="22"/>
        </w:rPr>
        <w:fldChar w:fldCharType="end"/>
      </w:r>
      <w:bookmarkEnd w:id="22"/>
      <w:r w:rsidRPr="00D10817">
        <w:rPr>
          <w:sz w:val="22"/>
          <w:szCs w:val="22"/>
        </w:rPr>
        <w:t xml:space="preserve"> </w:t>
      </w:r>
      <w:r>
        <w:rPr>
          <w:sz w:val="22"/>
          <w:szCs w:val="22"/>
        </w:rPr>
        <w:tab/>
      </w:r>
      <w:r w:rsidRPr="00D10817">
        <w:rPr>
          <w:sz w:val="22"/>
          <w:szCs w:val="22"/>
        </w:rPr>
        <w:t>Summary of baseline patient and disease characteristics in the phase 3 previously untreated HL study</w:t>
      </w:r>
    </w:p>
    <w:tbl>
      <w:tblPr>
        <w:tblW w:w="9288" w:type="dxa"/>
        <w:tblCellMar>
          <w:left w:w="0" w:type="dxa"/>
          <w:right w:w="0" w:type="dxa"/>
        </w:tblCellMar>
        <w:tblLook w:val="04A0" w:firstRow="1" w:lastRow="0" w:firstColumn="1" w:lastColumn="0" w:noHBand="0" w:noVBand="1"/>
      </w:tblPr>
      <w:tblGrid>
        <w:gridCol w:w="5058"/>
        <w:gridCol w:w="2340"/>
        <w:gridCol w:w="1890"/>
      </w:tblGrid>
      <w:tr w:rsidR="006C3C83" w14:paraId="0280E687" w14:textId="77777777" w:rsidTr="00465B12">
        <w:trPr>
          <w:trHeight w:val="528"/>
        </w:trPr>
        <w:tc>
          <w:tcPr>
            <w:tcW w:w="5058" w:type="dxa"/>
            <w:tcBorders>
              <w:top w:val="single" w:sz="4" w:space="0" w:color="auto"/>
              <w:left w:val="single" w:sz="4" w:space="0" w:color="auto"/>
              <w:bottom w:val="single" w:sz="8" w:space="0" w:color="000000"/>
              <w:right w:val="single" w:sz="8" w:space="0" w:color="FFFFFF"/>
            </w:tcBorders>
            <w:tcMar>
              <w:top w:w="14" w:type="dxa"/>
              <w:left w:w="108" w:type="dxa"/>
              <w:bottom w:w="0" w:type="dxa"/>
              <w:right w:w="108" w:type="dxa"/>
            </w:tcMar>
            <w:hideMark/>
          </w:tcPr>
          <w:p w14:paraId="637BC2E3" w14:textId="77777777" w:rsidR="006C3C83" w:rsidRPr="006C3C83" w:rsidRDefault="006C3C83" w:rsidP="006C3C83">
            <w:pPr>
              <w:keepNext/>
              <w:spacing w:after="0"/>
              <w:rPr>
                <w:rFonts w:cs="Arial"/>
                <w:b/>
                <w:sz w:val="20"/>
                <w:lang w:eastAsia="ja-JP"/>
              </w:rPr>
            </w:pPr>
            <w:r w:rsidRPr="006C3C83">
              <w:rPr>
                <w:rFonts w:cs="Arial"/>
                <w:b/>
                <w:sz w:val="20"/>
                <w:lang w:eastAsia="ja-JP"/>
              </w:rPr>
              <w:t xml:space="preserve">Patient Characteristics </w:t>
            </w:r>
          </w:p>
        </w:tc>
        <w:tc>
          <w:tcPr>
            <w:tcW w:w="2340" w:type="dxa"/>
            <w:tcBorders>
              <w:top w:val="single" w:sz="4" w:space="0" w:color="auto"/>
              <w:left w:val="single" w:sz="8" w:space="0" w:color="FFFFFF"/>
              <w:bottom w:val="single" w:sz="8" w:space="0" w:color="000000"/>
              <w:right w:val="single" w:sz="8" w:space="0" w:color="FFFFFF"/>
            </w:tcBorders>
            <w:tcMar>
              <w:top w:w="14" w:type="dxa"/>
              <w:left w:w="108" w:type="dxa"/>
              <w:bottom w:w="0" w:type="dxa"/>
              <w:right w:w="108" w:type="dxa"/>
            </w:tcMar>
            <w:hideMark/>
          </w:tcPr>
          <w:p w14:paraId="1DF078D3" w14:textId="77777777" w:rsidR="006C3C83" w:rsidRPr="006C3C83" w:rsidRDefault="006C3C83" w:rsidP="006C3C83">
            <w:pPr>
              <w:keepNext/>
              <w:spacing w:after="0"/>
              <w:jc w:val="center"/>
              <w:rPr>
                <w:rFonts w:cs="Arial"/>
                <w:b/>
                <w:sz w:val="20"/>
                <w:lang w:eastAsia="ja-JP"/>
              </w:rPr>
            </w:pPr>
            <w:r w:rsidRPr="006C3C83">
              <w:rPr>
                <w:rFonts w:cs="Arial"/>
                <w:b/>
                <w:sz w:val="20"/>
                <w:lang w:eastAsia="ja-JP"/>
              </w:rPr>
              <w:t>ADCETRIS + AVD</w:t>
            </w:r>
          </w:p>
          <w:p w14:paraId="2D5801E2" w14:textId="77777777" w:rsidR="006C3C83" w:rsidRPr="006C3C83" w:rsidRDefault="006C3C83" w:rsidP="006C3C83">
            <w:pPr>
              <w:keepNext/>
              <w:spacing w:after="0"/>
              <w:jc w:val="center"/>
              <w:rPr>
                <w:rFonts w:cs="Arial"/>
                <w:b/>
                <w:sz w:val="20"/>
                <w:lang w:eastAsia="ja-JP"/>
              </w:rPr>
            </w:pPr>
            <w:r w:rsidRPr="006C3C83">
              <w:rPr>
                <w:rFonts w:cs="Arial"/>
                <w:b/>
                <w:sz w:val="20"/>
                <w:lang w:eastAsia="ja-JP"/>
              </w:rPr>
              <w:t>n = 664</w:t>
            </w:r>
          </w:p>
        </w:tc>
        <w:tc>
          <w:tcPr>
            <w:tcW w:w="1890" w:type="dxa"/>
            <w:tcBorders>
              <w:top w:val="single" w:sz="4" w:space="0" w:color="auto"/>
              <w:left w:val="single" w:sz="8" w:space="0" w:color="FFFFFF"/>
              <w:bottom w:val="single" w:sz="8" w:space="0" w:color="000000"/>
              <w:right w:val="single" w:sz="4" w:space="0" w:color="auto"/>
            </w:tcBorders>
            <w:tcMar>
              <w:top w:w="14" w:type="dxa"/>
              <w:left w:w="108" w:type="dxa"/>
              <w:bottom w:w="0" w:type="dxa"/>
              <w:right w:w="108" w:type="dxa"/>
            </w:tcMar>
            <w:hideMark/>
          </w:tcPr>
          <w:p w14:paraId="244CFCAA" w14:textId="77777777" w:rsidR="006C3C83" w:rsidRPr="006C3C83" w:rsidRDefault="006C3C83" w:rsidP="006C3C83">
            <w:pPr>
              <w:keepNext/>
              <w:spacing w:after="0"/>
              <w:jc w:val="center"/>
              <w:rPr>
                <w:rFonts w:cs="Arial"/>
                <w:b/>
                <w:sz w:val="20"/>
                <w:lang w:eastAsia="ja-JP"/>
              </w:rPr>
            </w:pPr>
            <w:r w:rsidRPr="006C3C83">
              <w:rPr>
                <w:rFonts w:cs="Arial"/>
                <w:b/>
                <w:sz w:val="20"/>
                <w:lang w:eastAsia="ja-JP"/>
              </w:rPr>
              <w:t>ABVD</w:t>
            </w:r>
          </w:p>
          <w:p w14:paraId="3885DD20" w14:textId="77777777" w:rsidR="006C3C83" w:rsidRPr="006C3C83" w:rsidRDefault="006C3C83" w:rsidP="006C3C83">
            <w:pPr>
              <w:keepNext/>
              <w:spacing w:after="0"/>
              <w:jc w:val="center"/>
              <w:rPr>
                <w:rFonts w:cs="Arial"/>
                <w:b/>
                <w:sz w:val="20"/>
                <w:lang w:eastAsia="ja-JP"/>
              </w:rPr>
            </w:pPr>
            <w:r w:rsidRPr="006C3C83">
              <w:rPr>
                <w:rFonts w:cs="Arial"/>
                <w:b/>
                <w:sz w:val="20"/>
                <w:lang w:eastAsia="ja-JP"/>
              </w:rPr>
              <w:t>n = 670</w:t>
            </w:r>
          </w:p>
        </w:tc>
      </w:tr>
      <w:tr w:rsidR="006C3C83" w14:paraId="02C22A0A" w14:textId="77777777" w:rsidTr="00465B12">
        <w:trPr>
          <w:trHeight w:val="270"/>
        </w:trPr>
        <w:tc>
          <w:tcPr>
            <w:tcW w:w="5058" w:type="dxa"/>
            <w:tcBorders>
              <w:top w:val="single" w:sz="8" w:space="0" w:color="000000"/>
              <w:left w:val="single" w:sz="4" w:space="0" w:color="auto"/>
              <w:bottom w:val="single" w:sz="8" w:space="0" w:color="FFFFFF"/>
              <w:right w:val="single" w:sz="8" w:space="0" w:color="FFFFFF"/>
            </w:tcBorders>
            <w:tcMar>
              <w:top w:w="14" w:type="dxa"/>
              <w:left w:w="108" w:type="dxa"/>
              <w:bottom w:w="0" w:type="dxa"/>
              <w:right w:w="108" w:type="dxa"/>
            </w:tcMar>
            <w:hideMark/>
          </w:tcPr>
          <w:p w14:paraId="26186A9D" w14:textId="77777777" w:rsidR="006C3C83" w:rsidRPr="006C3C83" w:rsidRDefault="006C3C83" w:rsidP="006C3C83">
            <w:pPr>
              <w:keepNext/>
              <w:spacing w:after="0"/>
              <w:rPr>
                <w:rFonts w:cs="Arial"/>
                <w:sz w:val="20"/>
                <w:lang w:eastAsia="ja-JP"/>
              </w:rPr>
            </w:pPr>
            <w:r w:rsidRPr="006C3C83">
              <w:rPr>
                <w:rFonts w:cs="Arial"/>
                <w:sz w:val="20"/>
                <w:lang w:eastAsia="ja-JP"/>
              </w:rPr>
              <w:t xml:space="preserve">Median age (range) </w:t>
            </w:r>
          </w:p>
        </w:tc>
        <w:tc>
          <w:tcPr>
            <w:tcW w:w="2340" w:type="dxa"/>
            <w:tcBorders>
              <w:top w:val="single" w:sz="8" w:space="0" w:color="000000"/>
              <w:left w:val="single" w:sz="8" w:space="0" w:color="FFFFFF"/>
              <w:bottom w:val="single" w:sz="8" w:space="0" w:color="FFFFFF"/>
              <w:right w:val="single" w:sz="8" w:space="0" w:color="FFFFFF"/>
            </w:tcBorders>
            <w:tcMar>
              <w:top w:w="14" w:type="dxa"/>
              <w:left w:w="108" w:type="dxa"/>
              <w:bottom w:w="0" w:type="dxa"/>
              <w:right w:w="108" w:type="dxa"/>
            </w:tcMar>
            <w:hideMark/>
          </w:tcPr>
          <w:p w14:paraId="11BECAE7" w14:textId="77777777" w:rsidR="006C3C83" w:rsidRPr="006C3C83" w:rsidRDefault="006C3C83" w:rsidP="006C3C83">
            <w:pPr>
              <w:keepNext/>
              <w:spacing w:after="0"/>
              <w:rPr>
                <w:rFonts w:cs="Arial"/>
                <w:sz w:val="20"/>
                <w:lang w:eastAsia="ja-JP"/>
              </w:rPr>
            </w:pPr>
            <w:r w:rsidRPr="006C3C83">
              <w:rPr>
                <w:rFonts w:cs="Arial"/>
                <w:sz w:val="20"/>
                <w:lang w:eastAsia="ja-JP"/>
              </w:rPr>
              <w:t>35 years (18</w:t>
            </w:r>
            <w:r w:rsidRPr="006C3C83">
              <w:rPr>
                <w:rFonts w:cs="Arial"/>
                <w:sz w:val="20"/>
                <w:lang w:eastAsia="ja-JP"/>
              </w:rPr>
              <w:noBreakHyphen/>
              <w:t>82)</w:t>
            </w:r>
          </w:p>
        </w:tc>
        <w:tc>
          <w:tcPr>
            <w:tcW w:w="1890" w:type="dxa"/>
            <w:tcBorders>
              <w:top w:val="single" w:sz="8" w:space="0" w:color="000000"/>
              <w:left w:val="single" w:sz="8" w:space="0" w:color="FFFFFF"/>
              <w:bottom w:val="single" w:sz="8" w:space="0" w:color="FFFFFF"/>
              <w:right w:val="single" w:sz="4" w:space="0" w:color="auto"/>
            </w:tcBorders>
            <w:tcMar>
              <w:top w:w="14" w:type="dxa"/>
              <w:left w:w="108" w:type="dxa"/>
              <w:bottom w:w="0" w:type="dxa"/>
              <w:right w:w="108" w:type="dxa"/>
            </w:tcMar>
            <w:hideMark/>
          </w:tcPr>
          <w:p w14:paraId="5F7ABD6F" w14:textId="77777777" w:rsidR="006C3C83" w:rsidRPr="006C3C83" w:rsidRDefault="006C3C83" w:rsidP="006C3C83">
            <w:pPr>
              <w:keepNext/>
              <w:spacing w:after="0"/>
              <w:rPr>
                <w:rFonts w:cs="Arial"/>
                <w:sz w:val="20"/>
                <w:lang w:eastAsia="ja-JP"/>
              </w:rPr>
            </w:pPr>
            <w:r w:rsidRPr="006C3C83">
              <w:rPr>
                <w:rFonts w:cs="Arial"/>
                <w:sz w:val="20"/>
                <w:lang w:eastAsia="ja-JP"/>
              </w:rPr>
              <w:t>37 years (18</w:t>
            </w:r>
            <w:r w:rsidRPr="006C3C83">
              <w:rPr>
                <w:rFonts w:cs="Arial"/>
                <w:sz w:val="20"/>
                <w:lang w:eastAsia="ja-JP"/>
              </w:rPr>
              <w:noBreakHyphen/>
              <w:t>83)</w:t>
            </w:r>
          </w:p>
        </w:tc>
      </w:tr>
      <w:tr w:rsidR="006C3C83" w14:paraId="5A549323" w14:textId="77777777" w:rsidTr="00465B12">
        <w:trPr>
          <w:trHeight w:val="270"/>
        </w:trPr>
        <w:tc>
          <w:tcPr>
            <w:tcW w:w="5058" w:type="dxa"/>
            <w:tcBorders>
              <w:top w:val="single" w:sz="8" w:space="0" w:color="000000"/>
              <w:left w:val="single" w:sz="4" w:space="0" w:color="auto"/>
              <w:bottom w:val="single" w:sz="8" w:space="0" w:color="FFFFFF"/>
              <w:right w:val="single" w:sz="8" w:space="0" w:color="FFFFFF"/>
            </w:tcBorders>
            <w:tcMar>
              <w:top w:w="14" w:type="dxa"/>
              <w:left w:w="108" w:type="dxa"/>
              <w:bottom w:w="0" w:type="dxa"/>
              <w:right w:w="108" w:type="dxa"/>
            </w:tcMar>
            <w:hideMark/>
          </w:tcPr>
          <w:p w14:paraId="6DD36585" w14:textId="77777777" w:rsidR="006C3C83" w:rsidRPr="006C3C83" w:rsidRDefault="006C3C83" w:rsidP="006C3C83">
            <w:pPr>
              <w:keepNext/>
              <w:spacing w:after="0"/>
              <w:rPr>
                <w:rFonts w:cs="Arial"/>
                <w:sz w:val="20"/>
                <w:lang w:eastAsia="ja-JP"/>
              </w:rPr>
            </w:pPr>
            <w:r w:rsidRPr="006C3C83">
              <w:rPr>
                <w:rFonts w:cs="Arial"/>
                <w:sz w:val="20"/>
                <w:lang w:eastAsia="ja-JP"/>
              </w:rPr>
              <w:t>Patients ≥ 65 years old n (%)</w:t>
            </w:r>
          </w:p>
        </w:tc>
        <w:tc>
          <w:tcPr>
            <w:tcW w:w="2340" w:type="dxa"/>
            <w:tcBorders>
              <w:top w:val="single" w:sz="8" w:space="0" w:color="000000"/>
              <w:left w:val="single" w:sz="8" w:space="0" w:color="FFFFFF"/>
              <w:bottom w:val="single" w:sz="8" w:space="0" w:color="FFFFFF"/>
              <w:right w:val="single" w:sz="8" w:space="0" w:color="FFFFFF"/>
            </w:tcBorders>
            <w:tcMar>
              <w:top w:w="14" w:type="dxa"/>
              <w:left w:w="108" w:type="dxa"/>
              <w:bottom w:w="0" w:type="dxa"/>
              <w:right w:w="108" w:type="dxa"/>
            </w:tcMar>
            <w:hideMark/>
          </w:tcPr>
          <w:p w14:paraId="61EA9FBE" w14:textId="77777777" w:rsidR="006C3C83" w:rsidRPr="006C3C83" w:rsidRDefault="006C3C83" w:rsidP="006C3C83">
            <w:pPr>
              <w:keepNext/>
              <w:spacing w:after="0"/>
              <w:rPr>
                <w:rFonts w:cs="Arial"/>
                <w:sz w:val="20"/>
                <w:lang w:eastAsia="ja-JP"/>
              </w:rPr>
            </w:pPr>
            <w:r w:rsidRPr="006C3C83">
              <w:rPr>
                <w:rFonts w:cs="Arial"/>
                <w:sz w:val="20"/>
                <w:lang w:eastAsia="ja-JP"/>
              </w:rPr>
              <w:t>60 (9)</w:t>
            </w:r>
          </w:p>
        </w:tc>
        <w:tc>
          <w:tcPr>
            <w:tcW w:w="1890" w:type="dxa"/>
            <w:tcBorders>
              <w:top w:val="single" w:sz="8" w:space="0" w:color="000000"/>
              <w:left w:val="single" w:sz="8" w:space="0" w:color="FFFFFF"/>
              <w:bottom w:val="single" w:sz="8" w:space="0" w:color="FFFFFF"/>
              <w:right w:val="single" w:sz="4" w:space="0" w:color="auto"/>
            </w:tcBorders>
            <w:tcMar>
              <w:top w:w="14" w:type="dxa"/>
              <w:left w:w="108" w:type="dxa"/>
              <w:bottom w:w="0" w:type="dxa"/>
              <w:right w:w="108" w:type="dxa"/>
            </w:tcMar>
            <w:hideMark/>
          </w:tcPr>
          <w:p w14:paraId="00FF39AF" w14:textId="77777777" w:rsidR="006C3C83" w:rsidRPr="006C3C83" w:rsidRDefault="006C3C83" w:rsidP="006C3C83">
            <w:pPr>
              <w:keepNext/>
              <w:spacing w:after="0"/>
              <w:rPr>
                <w:rFonts w:cs="Arial"/>
                <w:sz w:val="20"/>
                <w:lang w:eastAsia="ja-JP"/>
              </w:rPr>
            </w:pPr>
            <w:r w:rsidRPr="006C3C83">
              <w:rPr>
                <w:rFonts w:cs="Arial"/>
                <w:sz w:val="20"/>
                <w:lang w:eastAsia="ja-JP"/>
              </w:rPr>
              <w:t>62 (9)</w:t>
            </w:r>
          </w:p>
        </w:tc>
      </w:tr>
      <w:tr w:rsidR="006C3C83" w14:paraId="1ACE1471" w14:textId="77777777" w:rsidTr="00465B12">
        <w:trPr>
          <w:trHeight w:val="270"/>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799D9821" w14:textId="77777777" w:rsidR="006C3C83" w:rsidRPr="006C3C83" w:rsidRDefault="006C3C83" w:rsidP="006C3C83">
            <w:pPr>
              <w:keepNext/>
              <w:spacing w:after="0"/>
              <w:rPr>
                <w:rFonts w:cs="Arial"/>
                <w:sz w:val="20"/>
                <w:lang w:eastAsia="ja-JP"/>
              </w:rPr>
            </w:pPr>
            <w:r w:rsidRPr="006C3C83">
              <w:rPr>
                <w:rFonts w:cs="Arial"/>
                <w:sz w:val="20"/>
                <w:lang w:eastAsia="ja-JP"/>
              </w:rPr>
              <w:t>Gender, n (%)</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DE21D4E" w14:textId="77777777" w:rsidR="006C3C83" w:rsidRPr="006C3C83" w:rsidRDefault="006C3C83" w:rsidP="006C3C83">
            <w:pPr>
              <w:keepNext/>
              <w:spacing w:after="0"/>
              <w:rPr>
                <w:rFonts w:cs="Arial"/>
                <w:sz w:val="20"/>
                <w:lang w:eastAsia="ja-JP"/>
              </w:rPr>
            </w:pPr>
            <w:r w:rsidRPr="006C3C83">
              <w:rPr>
                <w:rFonts w:cs="Arial"/>
                <w:sz w:val="20"/>
                <w:lang w:eastAsia="ja-JP"/>
              </w:rPr>
              <w:t>378M (57)</w:t>
            </w:r>
          </w:p>
          <w:p w14:paraId="568B01CA" w14:textId="77777777" w:rsidR="006C3C83" w:rsidRPr="006C3C83" w:rsidRDefault="006C3C83" w:rsidP="006C3C83">
            <w:pPr>
              <w:keepNext/>
              <w:spacing w:after="0"/>
              <w:rPr>
                <w:rFonts w:cs="Arial"/>
                <w:sz w:val="20"/>
                <w:lang w:eastAsia="ja-JP"/>
              </w:rPr>
            </w:pPr>
            <w:r w:rsidRPr="006C3C83">
              <w:rPr>
                <w:rFonts w:cs="Arial"/>
                <w:sz w:val="20"/>
                <w:lang w:eastAsia="ja-JP"/>
              </w:rPr>
              <w:t>286F (43)</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2DD09506" w14:textId="77777777" w:rsidR="006C3C83" w:rsidRPr="006C3C83" w:rsidRDefault="006C3C83" w:rsidP="006C3C83">
            <w:pPr>
              <w:keepNext/>
              <w:spacing w:after="0"/>
              <w:rPr>
                <w:rFonts w:cs="Arial"/>
                <w:sz w:val="20"/>
                <w:lang w:eastAsia="ja-JP"/>
              </w:rPr>
            </w:pPr>
            <w:r w:rsidRPr="006C3C83">
              <w:rPr>
                <w:rFonts w:cs="Arial"/>
                <w:sz w:val="20"/>
                <w:lang w:eastAsia="ja-JP"/>
              </w:rPr>
              <w:t>398M (59)</w:t>
            </w:r>
          </w:p>
          <w:p w14:paraId="35F1DD93" w14:textId="77777777" w:rsidR="006C3C83" w:rsidRPr="006C3C83" w:rsidRDefault="006C3C83" w:rsidP="006C3C83">
            <w:pPr>
              <w:keepNext/>
              <w:spacing w:after="0"/>
              <w:rPr>
                <w:rFonts w:cs="Arial"/>
                <w:sz w:val="20"/>
                <w:lang w:eastAsia="ja-JP"/>
              </w:rPr>
            </w:pPr>
            <w:r w:rsidRPr="006C3C83">
              <w:rPr>
                <w:rFonts w:cs="Arial"/>
                <w:sz w:val="20"/>
                <w:lang w:eastAsia="ja-JP"/>
              </w:rPr>
              <w:t>272F (41)</w:t>
            </w:r>
          </w:p>
        </w:tc>
      </w:tr>
      <w:tr w:rsidR="006C3C83" w14:paraId="2394ACC1" w14:textId="77777777" w:rsidTr="00465B12">
        <w:trPr>
          <w:trHeight w:val="264"/>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6EF2E3D4" w14:textId="77777777" w:rsidR="006C3C83" w:rsidRPr="006C3C83" w:rsidRDefault="006C3C83" w:rsidP="006C3C83">
            <w:pPr>
              <w:keepNext/>
              <w:spacing w:after="0"/>
              <w:rPr>
                <w:rFonts w:cs="Arial"/>
                <w:sz w:val="20"/>
                <w:lang w:eastAsia="ja-JP"/>
              </w:rPr>
            </w:pPr>
            <w:r w:rsidRPr="006C3C83">
              <w:rPr>
                <w:rFonts w:cs="Arial"/>
                <w:sz w:val="20"/>
                <w:lang w:eastAsia="ja-JP"/>
              </w:rPr>
              <w:t>ECOG status, n (%)</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771B1F5E" w14:textId="77777777" w:rsidR="006C3C83" w:rsidRPr="006C3C83" w:rsidRDefault="006C3C83" w:rsidP="006C3C83">
            <w:pPr>
              <w:spacing w:after="0"/>
              <w:rPr>
                <w:rFonts w:cs="Arial"/>
                <w:sz w:val="20"/>
                <w:lang w:eastAsia="ja-JP"/>
              </w:rPr>
            </w:pP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668F53F4" w14:textId="77777777" w:rsidR="006C3C83" w:rsidRPr="006C3C83" w:rsidRDefault="006C3C83" w:rsidP="006C3C83">
            <w:pPr>
              <w:spacing w:after="0"/>
              <w:rPr>
                <w:rFonts w:cs="Arial"/>
                <w:sz w:val="20"/>
                <w:lang w:eastAsia="ja-JP"/>
              </w:rPr>
            </w:pPr>
          </w:p>
        </w:tc>
      </w:tr>
      <w:tr w:rsidR="006C3C83" w14:paraId="54B9CB6E" w14:textId="77777777" w:rsidTr="00465B12">
        <w:trPr>
          <w:trHeight w:val="264"/>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19B43E49" w14:textId="77777777" w:rsidR="006C3C83" w:rsidRPr="006C3C83" w:rsidRDefault="006C3C83" w:rsidP="006C3C83">
            <w:pPr>
              <w:keepNext/>
              <w:spacing w:after="0"/>
              <w:ind w:left="144"/>
              <w:rPr>
                <w:rFonts w:cs="Arial"/>
                <w:sz w:val="20"/>
                <w:lang w:eastAsia="ja-JP"/>
              </w:rPr>
            </w:pPr>
            <w:r w:rsidRPr="006C3C83">
              <w:rPr>
                <w:rFonts w:cs="Arial"/>
                <w:sz w:val="20"/>
                <w:lang w:eastAsia="ja-JP"/>
              </w:rPr>
              <w:t xml:space="preserve">0 </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32C625A7" w14:textId="77777777" w:rsidR="006C3C83" w:rsidRPr="006C3C83" w:rsidRDefault="006C3C83" w:rsidP="006C3C83">
            <w:pPr>
              <w:keepNext/>
              <w:spacing w:after="0"/>
              <w:rPr>
                <w:rFonts w:cs="Arial"/>
                <w:sz w:val="20"/>
                <w:lang w:eastAsia="ja-JP"/>
              </w:rPr>
            </w:pPr>
            <w:r w:rsidRPr="006C3C83">
              <w:rPr>
                <w:rFonts w:cs="Arial"/>
                <w:sz w:val="20"/>
                <w:lang w:eastAsia="ja-JP"/>
              </w:rPr>
              <w:t>376 (57)</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769F34CE" w14:textId="77777777" w:rsidR="006C3C83" w:rsidRPr="006C3C83" w:rsidRDefault="006C3C83" w:rsidP="006C3C83">
            <w:pPr>
              <w:keepNext/>
              <w:spacing w:after="0"/>
              <w:rPr>
                <w:rFonts w:cs="Arial"/>
                <w:sz w:val="20"/>
                <w:lang w:eastAsia="ja-JP"/>
              </w:rPr>
            </w:pPr>
            <w:r w:rsidRPr="006C3C83">
              <w:rPr>
                <w:rFonts w:cs="Arial"/>
                <w:sz w:val="20"/>
                <w:lang w:eastAsia="ja-JP"/>
              </w:rPr>
              <w:t>378 (57)</w:t>
            </w:r>
          </w:p>
        </w:tc>
      </w:tr>
      <w:tr w:rsidR="006C3C83" w14:paraId="4965D935" w14:textId="77777777" w:rsidTr="00465B12">
        <w:trPr>
          <w:trHeight w:val="264"/>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76BE19E4" w14:textId="77777777" w:rsidR="006C3C83" w:rsidRPr="006C3C83" w:rsidRDefault="006C3C83" w:rsidP="006C3C83">
            <w:pPr>
              <w:keepNext/>
              <w:spacing w:after="0"/>
              <w:ind w:left="144"/>
              <w:rPr>
                <w:rFonts w:cs="Arial"/>
                <w:sz w:val="20"/>
                <w:lang w:eastAsia="ja-JP"/>
              </w:rPr>
            </w:pPr>
            <w:r w:rsidRPr="006C3C83">
              <w:rPr>
                <w:rFonts w:cs="Arial"/>
                <w:sz w:val="20"/>
                <w:lang w:eastAsia="ja-JP"/>
              </w:rPr>
              <w:t xml:space="preserve">1 </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75F44559" w14:textId="77777777" w:rsidR="006C3C83" w:rsidRPr="006C3C83" w:rsidRDefault="006C3C83" w:rsidP="006C3C83">
            <w:pPr>
              <w:keepNext/>
              <w:spacing w:after="0"/>
              <w:rPr>
                <w:rFonts w:cs="Arial"/>
                <w:sz w:val="20"/>
                <w:lang w:eastAsia="ja-JP"/>
              </w:rPr>
            </w:pPr>
            <w:r w:rsidRPr="006C3C83">
              <w:rPr>
                <w:rFonts w:cs="Arial"/>
                <w:sz w:val="20"/>
                <w:lang w:eastAsia="ja-JP"/>
              </w:rPr>
              <w:t>260 (39)</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37155B8C" w14:textId="77777777" w:rsidR="006C3C83" w:rsidRPr="006C3C83" w:rsidRDefault="006C3C83" w:rsidP="006C3C83">
            <w:pPr>
              <w:keepNext/>
              <w:spacing w:after="0"/>
              <w:rPr>
                <w:rFonts w:cs="Arial"/>
                <w:sz w:val="20"/>
                <w:lang w:eastAsia="ja-JP"/>
              </w:rPr>
            </w:pPr>
            <w:r w:rsidRPr="006C3C83">
              <w:rPr>
                <w:rFonts w:cs="Arial"/>
                <w:sz w:val="20"/>
                <w:lang w:eastAsia="ja-JP"/>
              </w:rPr>
              <w:t>263 (39)</w:t>
            </w:r>
          </w:p>
        </w:tc>
      </w:tr>
      <w:tr w:rsidR="006C3C83" w14:paraId="030A712E" w14:textId="77777777" w:rsidTr="00465B12">
        <w:trPr>
          <w:trHeight w:val="264"/>
        </w:trPr>
        <w:tc>
          <w:tcPr>
            <w:tcW w:w="5058" w:type="dxa"/>
            <w:tcBorders>
              <w:top w:val="single" w:sz="8" w:space="0" w:color="FFFFFF"/>
              <w:left w:val="single" w:sz="4" w:space="0" w:color="auto"/>
              <w:bottom w:val="single" w:sz="4" w:space="0" w:color="auto"/>
              <w:right w:val="single" w:sz="8" w:space="0" w:color="FFFFFF"/>
            </w:tcBorders>
            <w:tcMar>
              <w:top w:w="14" w:type="dxa"/>
              <w:left w:w="108" w:type="dxa"/>
              <w:bottom w:w="0" w:type="dxa"/>
              <w:right w:w="108" w:type="dxa"/>
            </w:tcMar>
            <w:hideMark/>
          </w:tcPr>
          <w:p w14:paraId="634AADCE" w14:textId="77777777" w:rsidR="006C3C83" w:rsidRPr="006C3C83" w:rsidRDefault="006C3C83" w:rsidP="006C3C83">
            <w:pPr>
              <w:keepNext/>
              <w:spacing w:after="0"/>
              <w:ind w:left="144"/>
              <w:rPr>
                <w:rFonts w:cs="Arial"/>
                <w:sz w:val="20"/>
                <w:lang w:eastAsia="ja-JP"/>
              </w:rPr>
            </w:pPr>
            <w:r w:rsidRPr="006C3C83">
              <w:rPr>
                <w:rFonts w:cs="Arial"/>
                <w:sz w:val="20"/>
                <w:lang w:eastAsia="ja-JP"/>
              </w:rPr>
              <w:t>2</w:t>
            </w:r>
          </w:p>
        </w:tc>
        <w:tc>
          <w:tcPr>
            <w:tcW w:w="2340" w:type="dxa"/>
            <w:tcBorders>
              <w:top w:val="single" w:sz="8" w:space="0" w:color="FFFFFF"/>
              <w:left w:val="single" w:sz="8" w:space="0" w:color="FFFFFF"/>
              <w:bottom w:val="single" w:sz="4" w:space="0" w:color="auto"/>
              <w:right w:val="single" w:sz="8" w:space="0" w:color="FFFFFF"/>
            </w:tcBorders>
            <w:tcMar>
              <w:top w:w="14" w:type="dxa"/>
              <w:left w:w="108" w:type="dxa"/>
              <w:bottom w:w="0" w:type="dxa"/>
              <w:right w:w="108" w:type="dxa"/>
            </w:tcMar>
            <w:hideMark/>
          </w:tcPr>
          <w:p w14:paraId="42FA92B9" w14:textId="77777777" w:rsidR="006C3C83" w:rsidRPr="006C3C83" w:rsidRDefault="006C3C83" w:rsidP="006C3C83">
            <w:pPr>
              <w:keepNext/>
              <w:spacing w:after="0"/>
              <w:rPr>
                <w:rFonts w:cs="Arial"/>
                <w:sz w:val="20"/>
                <w:lang w:eastAsia="ja-JP"/>
              </w:rPr>
            </w:pPr>
            <w:r w:rsidRPr="006C3C83">
              <w:rPr>
                <w:rFonts w:cs="Arial"/>
                <w:sz w:val="20"/>
                <w:lang w:eastAsia="ja-JP"/>
              </w:rPr>
              <w:t>28 (4)</w:t>
            </w:r>
          </w:p>
        </w:tc>
        <w:tc>
          <w:tcPr>
            <w:tcW w:w="1890" w:type="dxa"/>
            <w:tcBorders>
              <w:top w:val="single" w:sz="8" w:space="0" w:color="FFFFFF"/>
              <w:left w:val="single" w:sz="8" w:space="0" w:color="FFFFFF"/>
              <w:bottom w:val="single" w:sz="4" w:space="0" w:color="auto"/>
              <w:right w:val="single" w:sz="4" w:space="0" w:color="auto"/>
            </w:tcBorders>
            <w:tcMar>
              <w:top w:w="14" w:type="dxa"/>
              <w:left w:w="108" w:type="dxa"/>
              <w:bottom w:w="0" w:type="dxa"/>
              <w:right w:w="108" w:type="dxa"/>
            </w:tcMar>
            <w:hideMark/>
          </w:tcPr>
          <w:p w14:paraId="21DBA9B6" w14:textId="77777777" w:rsidR="006C3C83" w:rsidRPr="006C3C83" w:rsidRDefault="006C3C83" w:rsidP="006C3C83">
            <w:pPr>
              <w:keepNext/>
              <w:spacing w:after="0"/>
              <w:rPr>
                <w:rFonts w:cs="Arial"/>
                <w:sz w:val="20"/>
                <w:lang w:eastAsia="ja-JP"/>
              </w:rPr>
            </w:pPr>
            <w:r w:rsidRPr="006C3C83">
              <w:rPr>
                <w:rFonts w:cs="Arial"/>
                <w:sz w:val="20"/>
                <w:lang w:eastAsia="ja-JP"/>
              </w:rPr>
              <w:t>27 (4)</w:t>
            </w:r>
          </w:p>
        </w:tc>
      </w:tr>
      <w:tr w:rsidR="006C3C83" w14:paraId="161DCC9A" w14:textId="77777777" w:rsidTr="00465B12">
        <w:trPr>
          <w:trHeight w:val="264"/>
        </w:trPr>
        <w:tc>
          <w:tcPr>
            <w:tcW w:w="5058" w:type="dxa"/>
            <w:tcBorders>
              <w:top w:val="single" w:sz="8" w:space="0" w:color="FFFFFF"/>
              <w:left w:val="single" w:sz="4" w:space="0" w:color="auto"/>
              <w:bottom w:val="single" w:sz="4" w:space="0" w:color="auto"/>
              <w:right w:val="single" w:sz="8" w:space="0" w:color="FFFFFF"/>
            </w:tcBorders>
            <w:tcMar>
              <w:top w:w="14" w:type="dxa"/>
              <w:left w:w="108" w:type="dxa"/>
              <w:bottom w:w="0" w:type="dxa"/>
              <w:right w:w="108" w:type="dxa"/>
            </w:tcMar>
            <w:hideMark/>
          </w:tcPr>
          <w:p w14:paraId="42A49ED1" w14:textId="77777777" w:rsidR="006C3C83" w:rsidRPr="006C3C83" w:rsidRDefault="006C3C83" w:rsidP="006C3C83">
            <w:pPr>
              <w:keepNext/>
              <w:spacing w:after="0"/>
              <w:ind w:left="144"/>
              <w:rPr>
                <w:rFonts w:cs="Arial"/>
                <w:sz w:val="20"/>
                <w:lang w:eastAsia="ja-JP"/>
              </w:rPr>
            </w:pPr>
            <w:r w:rsidRPr="006C3C83">
              <w:rPr>
                <w:rFonts w:cs="Arial"/>
                <w:sz w:val="20"/>
                <w:lang w:eastAsia="ja-JP"/>
              </w:rPr>
              <w:t>Missing</w:t>
            </w:r>
          </w:p>
        </w:tc>
        <w:tc>
          <w:tcPr>
            <w:tcW w:w="2340" w:type="dxa"/>
            <w:tcBorders>
              <w:top w:val="single" w:sz="8" w:space="0" w:color="FFFFFF"/>
              <w:left w:val="single" w:sz="8" w:space="0" w:color="FFFFFF"/>
              <w:bottom w:val="single" w:sz="4" w:space="0" w:color="auto"/>
              <w:right w:val="single" w:sz="8" w:space="0" w:color="FFFFFF"/>
            </w:tcBorders>
            <w:tcMar>
              <w:top w:w="14" w:type="dxa"/>
              <w:left w:w="108" w:type="dxa"/>
              <w:bottom w:w="0" w:type="dxa"/>
              <w:right w:w="108" w:type="dxa"/>
            </w:tcMar>
            <w:hideMark/>
          </w:tcPr>
          <w:p w14:paraId="406D9F1B" w14:textId="77777777" w:rsidR="006C3C83" w:rsidRPr="006C3C83" w:rsidRDefault="006C3C83" w:rsidP="006C3C83">
            <w:pPr>
              <w:keepNext/>
              <w:spacing w:after="0"/>
              <w:rPr>
                <w:rFonts w:cs="Arial"/>
                <w:sz w:val="20"/>
                <w:lang w:eastAsia="ja-JP"/>
              </w:rPr>
            </w:pPr>
            <w:r w:rsidRPr="006C3C83">
              <w:rPr>
                <w:rFonts w:cs="Arial"/>
                <w:sz w:val="20"/>
                <w:lang w:eastAsia="ja-JP"/>
              </w:rPr>
              <w:t>0</w:t>
            </w:r>
          </w:p>
        </w:tc>
        <w:tc>
          <w:tcPr>
            <w:tcW w:w="1890" w:type="dxa"/>
            <w:tcBorders>
              <w:top w:val="single" w:sz="8" w:space="0" w:color="FFFFFF"/>
              <w:left w:val="single" w:sz="8" w:space="0" w:color="FFFFFF"/>
              <w:bottom w:val="single" w:sz="4" w:space="0" w:color="auto"/>
              <w:right w:val="single" w:sz="4" w:space="0" w:color="auto"/>
            </w:tcBorders>
            <w:tcMar>
              <w:top w:w="14" w:type="dxa"/>
              <w:left w:w="108" w:type="dxa"/>
              <w:bottom w:w="0" w:type="dxa"/>
              <w:right w:w="108" w:type="dxa"/>
            </w:tcMar>
            <w:hideMark/>
          </w:tcPr>
          <w:p w14:paraId="487D9DDC" w14:textId="77777777" w:rsidR="006C3C83" w:rsidRPr="006C3C83" w:rsidRDefault="006C3C83" w:rsidP="006C3C83">
            <w:pPr>
              <w:keepNext/>
              <w:spacing w:after="0"/>
              <w:rPr>
                <w:rFonts w:cs="Arial"/>
                <w:sz w:val="20"/>
                <w:lang w:eastAsia="ja-JP"/>
              </w:rPr>
            </w:pPr>
            <w:r w:rsidRPr="006C3C83">
              <w:rPr>
                <w:rFonts w:cs="Arial"/>
                <w:sz w:val="20"/>
                <w:lang w:eastAsia="ja-JP"/>
              </w:rPr>
              <w:t>2</w:t>
            </w:r>
          </w:p>
        </w:tc>
      </w:tr>
      <w:tr w:rsidR="006C3C83" w14:paraId="4ED95C28" w14:textId="77777777" w:rsidTr="00465B12">
        <w:trPr>
          <w:trHeight w:val="308"/>
        </w:trPr>
        <w:tc>
          <w:tcPr>
            <w:tcW w:w="5058" w:type="dxa"/>
            <w:tcBorders>
              <w:top w:val="single" w:sz="4" w:space="0" w:color="auto"/>
              <w:left w:val="single" w:sz="4" w:space="0" w:color="auto"/>
              <w:bottom w:val="single" w:sz="4" w:space="0" w:color="auto"/>
              <w:right w:val="single" w:sz="8" w:space="0" w:color="FFFFFF"/>
            </w:tcBorders>
            <w:tcMar>
              <w:top w:w="14" w:type="dxa"/>
              <w:left w:w="108" w:type="dxa"/>
              <w:bottom w:w="0" w:type="dxa"/>
              <w:right w:w="108" w:type="dxa"/>
            </w:tcMar>
            <w:hideMark/>
          </w:tcPr>
          <w:p w14:paraId="103EF4F5" w14:textId="77777777" w:rsidR="006C3C83" w:rsidRPr="006C3C83" w:rsidRDefault="006C3C83" w:rsidP="006C3C83">
            <w:pPr>
              <w:keepNext/>
              <w:spacing w:after="0"/>
              <w:rPr>
                <w:rFonts w:cs="Arial"/>
                <w:b/>
                <w:sz w:val="20"/>
                <w:lang w:eastAsia="ja-JP"/>
              </w:rPr>
            </w:pPr>
            <w:r w:rsidRPr="006C3C83">
              <w:rPr>
                <w:rFonts w:cs="Arial"/>
                <w:b/>
                <w:sz w:val="20"/>
                <w:lang w:eastAsia="ja-JP"/>
              </w:rPr>
              <w:t xml:space="preserve">Disease Characteristics </w:t>
            </w:r>
          </w:p>
        </w:tc>
        <w:tc>
          <w:tcPr>
            <w:tcW w:w="2340" w:type="dxa"/>
            <w:tcBorders>
              <w:top w:val="single" w:sz="4" w:space="0" w:color="auto"/>
              <w:left w:val="single" w:sz="8" w:space="0" w:color="FFFFFF"/>
              <w:bottom w:val="single" w:sz="4" w:space="0" w:color="auto"/>
              <w:right w:val="single" w:sz="8" w:space="0" w:color="FFFFFF"/>
            </w:tcBorders>
            <w:tcMar>
              <w:top w:w="14" w:type="dxa"/>
              <w:left w:w="108" w:type="dxa"/>
              <w:bottom w:w="0" w:type="dxa"/>
              <w:right w:w="108" w:type="dxa"/>
            </w:tcMar>
            <w:hideMark/>
          </w:tcPr>
          <w:p w14:paraId="5A4819A5" w14:textId="77777777" w:rsidR="006C3C83" w:rsidRPr="006C3C83" w:rsidRDefault="006C3C83" w:rsidP="006C3C83">
            <w:pPr>
              <w:spacing w:after="0"/>
              <w:rPr>
                <w:rFonts w:cs="Arial"/>
                <w:sz w:val="20"/>
                <w:lang w:eastAsia="ja-JP"/>
              </w:rPr>
            </w:pPr>
          </w:p>
        </w:tc>
        <w:tc>
          <w:tcPr>
            <w:tcW w:w="1890" w:type="dxa"/>
            <w:tcBorders>
              <w:top w:val="single" w:sz="4" w:space="0" w:color="auto"/>
              <w:left w:val="single" w:sz="8" w:space="0" w:color="FFFFFF"/>
              <w:bottom w:val="single" w:sz="4" w:space="0" w:color="auto"/>
              <w:right w:val="single" w:sz="4" w:space="0" w:color="auto"/>
            </w:tcBorders>
            <w:tcMar>
              <w:top w:w="14" w:type="dxa"/>
              <w:left w:w="108" w:type="dxa"/>
              <w:bottom w:w="0" w:type="dxa"/>
              <w:right w:w="108" w:type="dxa"/>
            </w:tcMar>
            <w:hideMark/>
          </w:tcPr>
          <w:p w14:paraId="1B0CA317" w14:textId="77777777" w:rsidR="006C3C83" w:rsidRPr="006C3C83" w:rsidRDefault="006C3C83" w:rsidP="006C3C83">
            <w:pPr>
              <w:spacing w:after="0"/>
              <w:rPr>
                <w:rFonts w:cs="Arial"/>
                <w:sz w:val="20"/>
                <w:lang w:eastAsia="ja-JP"/>
              </w:rPr>
            </w:pPr>
          </w:p>
        </w:tc>
      </w:tr>
      <w:tr w:rsidR="006C3C83" w14:paraId="359B3946" w14:textId="77777777" w:rsidTr="00465B12">
        <w:trPr>
          <w:trHeight w:val="308"/>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03B14A38" w14:textId="77777777" w:rsidR="006C3C83" w:rsidRPr="006C3C83" w:rsidRDefault="006C3C83" w:rsidP="006C3C83">
            <w:pPr>
              <w:keepNext/>
              <w:spacing w:after="0"/>
              <w:rPr>
                <w:rFonts w:cs="Arial"/>
                <w:sz w:val="20"/>
                <w:lang w:eastAsia="ja-JP"/>
              </w:rPr>
            </w:pPr>
            <w:r w:rsidRPr="006C3C83">
              <w:rPr>
                <w:rFonts w:cs="Arial"/>
                <w:sz w:val="20"/>
                <w:lang w:eastAsia="ja-JP"/>
              </w:rPr>
              <w:t>Median time from HL diagnosis to first dose (range)</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4378F819" w14:textId="77777777" w:rsidR="006C3C83" w:rsidRPr="006C3C83" w:rsidRDefault="006C3C83" w:rsidP="006C3C83">
            <w:pPr>
              <w:keepNext/>
              <w:spacing w:after="0"/>
              <w:rPr>
                <w:rFonts w:cs="Arial"/>
                <w:sz w:val="20"/>
                <w:lang w:eastAsia="ja-JP"/>
              </w:rPr>
            </w:pPr>
            <w:r w:rsidRPr="006C3C83">
              <w:rPr>
                <w:rFonts w:cs="Arial"/>
                <w:sz w:val="20"/>
                <w:lang w:eastAsia="ja-JP"/>
              </w:rPr>
              <w:t xml:space="preserve">0.92 </w:t>
            </w:r>
            <w:proofErr w:type="spellStart"/>
            <w:r w:rsidRPr="006C3C83">
              <w:rPr>
                <w:rFonts w:cs="Arial"/>
                <w:sz w:val="20"/>
                <w:lang w:eastAsia="ja-JP"/>
              </w:rPr>
              <w:t>mo</w:t>
            </w:r>
            <w:proofErr w:type="spellEnd"/>
            <w:r w:rsidRPr="006C3C83">
              <w:rPr>
                <w:rFonts w:cs="Arial"/>
                <w:sz w:val="20"/>
                <w:lang w:eastAsia="ja-JP"/>
              </w:rPr>
              <w:t xml:space="preserve"> (0.1</w:t>
            </w:r>
            <w:r w:rsidRPr="006C3C83">
              <w:rPr>
                <w:rFonts w:cs="Arial"/>
                <w:sz w:val="20"/>
                <w:lang w:eastAsia="ja-JP"/>
              </w:rPr>
              <w:noBreakHyphen/>
              <w:t>21.4)</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12D2A1F0" w14:textId="77777777" w:rsidR="006C3C83" w:rsidRPr="006C3C83" w:rsidRDefault="006C3C83" w:rsidP="006C3C83">
            <w:pPr>
              <w:keepNext/>
              <w:spacing w:after="0"/>
              <w:rPr>
                <w:rFonts w:cs="Arial"/>
                <w:sz w:val="20"/>
                <w:lang w:eastAsia="ja-JP"/>
              </w:rPr>
            </w:pPr>
            <w:r w:rsidRPr="006C3C83">
              <w:rPr>
                <w:rFonts w:cs="Arial"/>
                <w:sz w:val="20"/>
                <w:lang w:eastAsia="ja-JP"/>
              </w:rPr>
              <w:t xml:space="preserve">0.89 </w:t>
            </w:r>
            <w:proofErr w:type="spellStart"/>
            <w:r w:rsidRPr="006C3C83">
              <w:rPr>
                <w:rFonts w:cs="Arial"/>
                <w:sz w:val="20"/>
                <w:lang w:eastAsia="ja-JP"/>
              </w:rPr>
              <w:t>mo</w:t>
            </w:r>
            <w:proofErr w:type="spellEnd"/>
            <w:r w:rsidRPr="006C3C83">
              <w:rPr>
                <w:rFonts w:cs="Arial"/>
                <w:sz w:val="20"/>
                <w:lang w:eastAsia="ja-JP"/>
              </w:rPr>
              <w:t xml:space="preserve"> (0.0</w:t>
            </w:r>
            <w:r w:rsidRPr="006C3C83">
              <w:rPr>
                <w:rFonts w:cs="Arial"/>
                <w:sz w:val="20"/>
                <w:lang w:eastAsia="ja-JP"/>
              </w:rPr>
              <w:noBreakHyphen/>
              <w:t>81.4)</w:t>
            </w:r>
          </w:p>
        </w:tc>
      </w:tr>
      <w:tr w:rsidR="006C3C83" w14:paraId="20DACA34" w14:textId="77777777" w:rsidTr="00465B12">
        <w:trPr>
          <w:trHeight w:val="308"/>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1EF0F80A" w14:textId="77777777" w:rsidR="006C3C83" w:rsidRPr="006C3C83" w:rsidRDefault="006C3C83" w:rsidP="006C3C83">
            <w:pPr>
              <w:keepNext/>
              <w:spacing w:after="0"/>
              <w:rPr>
                <w:rFonts w:cs="Arial"/>
                <w:sz w:val="20"/>
                <w:lang w:eastAsia="ja-JP"/>
              </w:rPr>
            </w:pPr>
            <w:r w:rsidRPr="006C3C83">
              <w:rPr>
                <w:rFonts w:cs="Arial"/>
                <w:sz w:val="20"/>
                <w:lang w:eastAsia="ja-JP"/>
              </w:rPr>
              <w:t xml:space="preserve">Disease </w:t>
            </w:r>
            <w:proofErr w:type="spellStart"/>
            <w:r w:rsidRPr="006C3C83">
              <w:rPr>
                <w:rFonts w:cs="Arial"/>
                <w:sz w:val="20"/>
                <w:lang w:eastAsia="ja-JP"/>
              </w:rPr>
              <w:t>stage</w:t>
            </w:r>
            <w:r w:rsidRPr="006C3C83">
              <w:rPr>
                <w:rFonts w:cs="Arial"/>
                <w:sz w:val="20"/>
                <w:vertAlign w:val="superscript"/>
                <w:lang w:eastAsia="ja-JP"/>
              </w:rPr>
              <w:t>a</w:t>
            </w:r>
            <w:proofErr w:type="spellEnd"/>
            <w:r w:rsidRPr="006C3C83">
              <w:rPr>
                <w:rFonts w:cs="Arial"/>
                <w:sz w:val="20"/>
                <w:lang w:eastAsia="ja-JP"/>
              </w:rPr>
              <w:t xml:space="preserve"> at initial diagnosis of HL, n (%)</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1D6867A9" w14:textId="77777777" w:rsidR="006C3C83" w:rsidRPr="006C3C83" w:rsidRDefault="006C3C83" w:rsidP="006C3C83">
            <w:pPr>
              <w:spacing w:after="0"/>
              <w:rPr>
                <w:rFonts w:cs="Arial"/>
                <w:sz w:val="20"/>
                <w:lang w:eastAsia="ja-JP"/>
              </w:rPr>
            </w:pP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495D7192" w14:textId="77777777" w:rsidR="006C3C83" w:rsidRPr="006C3C83" w:rsidRDefault="006C3C83" w:rsidP="006C3C83">
            <w:pPr>
              <w:spacing w:after="0"/>
              <w:rPr>
                <w:rFonts w:cs="Arial"/>
                <w:sz w:val="20"/>
                <w:lang w:eastAsia="ja-JP"/>
              </w:rPr>
            </w:pPr>
          </w:p>
        </w:tc>
      </w:tr>
      <w:tr w:rsidR="006C3C83" w14:paraId="4B7718D4" w14:textId="77777777" w:rsidTr="00465B12">
        <w:trPr>
          <w:trHeight w:val="308"/>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048BF068" w14:textId="77777777" w:rsidR="006C3C83" w:rsidRPr="006C3C83" w:rsidRDefault="006C3C83" w:rsidP="006C3C83">
            <w:pPr>
              <w:keepNext/>
              <w:spacing w:after="0"/>
              <w:ind w:left="144"/>
              <w:rPr>
                <w:rFonts w:cs="Arial"/>
                <w:sz w:val="20"/>
                <w:lang w:eastAsia="ja-JP"/>
              </w:rPr>
            </w:pPr>
            <w:r w:rsidRPr="006C3C83">
              <w:rPr>
                <w:rFonts w:cs="Arial"/>
                <w:sz w:val="20"/>
                <w:lang w:eastAsia="ja-JP"/>
              </w:rPr>
              <w:t>III</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07926C26" w14:textId="77777777" w:rsidR="006C3C83" w:rsidRPr="006C3C83" w:rsidRDefault="006C3C83" w:rsidP="006C3C83">
            <w:pPr>
              <w:keepNext/>
              <w:spacing w:after="0"/>
              <w:rPr>
                <w:rFonts w:cs="Arial"/>
                <w:sz w:val="20"/>
                <w:lang w:eastAsia="ja-JP"/>
              </w:rPr>
            </w:pPr>
            <w:r w:rsidRPr="006C3C83">
              <w:rPr>
                <w:rFonts w:cs="Arial"/>
                <w:sz w:val="20"/>
                <w:lang w:eastAsia="ja-JP"/>
              </w:rPr>
              <w:t>237 (36)</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174BA149" w14:textId="77777777" w:rsidR="006C3C83" w:rsidRPr="006C3C83" w:rsidRDefault="006C3C83" w:rsidP="006C3C83">
            <w:pPr>
              <w:keepNext/>
              <w:spacing w:after="0"/>
              <w:rPr>
                <w:rFonts w:cs="Arial"/>
                <w:sz w:val="20"/>
                <w:lang w:eastAsia="ja-JP"/>
              </w:rPr>
            </w:pPr>
            <w:r w:rsidRPr="006C3C83">
              <w:rPr>
                <w:rFonts w:cs="Arial"/>
                <w:sz w:val="20"/>
                <w:lang w:eastAsia="ja-JP"/>
              </w:rPr>
              <w:t>246 (37)</w:t>
            </w:r>
          </w:p>
        </w:tc>
      </w:tr>
      <w:tr w:rsidR="006C3C83" w14:paraId="5FC124A9" w14:textId="77777777" w:rsidTr="00465B12">
        <w:trPr>
          <w:trHeight w:val="308"/>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33005668" w14:textId="77777777" w:rsidR="006C3C83" w:rsidRPr="006C3C83" w:rsidRDefault="006C3C83" w:rsidP="006C3C83">
            <w:pPr>
              <w:keepNext/>
              <w:spacing w:after="0"/>
              <w:ind w:left="144"/>
              <w:rPr>
                <w:rFonts w:cs="Arial"/>
                <w:sz w:val="20"/>
                <w:lang w:eastAsia="ja-JP"/>
              </w:rPr>
            </w:pPr>
            <w:r w:rsidRPr="006C3C83">
              <w:rPr>
                <w:rFonts w:cs="Arial"/>
                <w:sz w:val="20"/>
                <w:lang w:eastAsia="ja-JP"/>
              </w:rPr>
              <w:t>IV</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EFFA202" w14:textId="77777777" w:rsidR="006C3C83" w:rsidRPr="006C3C83" w:rsidRDefault="006C3C83" w:rsidP="006C3C83">
            <w:pPr>
              <w:keepNext/>
              <w:spacing w:after="0"/>
              <w:rPr>
                <w:rFonts w:cs="Arial"/>
                <w:sz w:val="20"/>
                <w:lang w:eastAsia="ja-JP"/>
              </w:rPr>
            </w:pPr>
            <w:r w:rsidRPr="006C3C83">
              <w:rPr>
                <w:rFonts w:cs="Arial"/>
                <w:sz w:val="20"/>
                <w:lang w:eastAsia="ja-JP"/>
              </w:rPr>
              <w:t>425 (64)</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1FF6F27B" w14:textId="77777777" w:rsidR="006C3C83" w:rsidRPr="006C3C83" w:rsidRDefault="006C3C83" w:rsidP="006C3C83">
            <w:pPr>
              <w:keepNext/>
              <w:spacing w:after="0"/>
              <w:rPr>
                <w:rFonts w:cs="Arial"/>
                <w:sz w:val="20"/>
                <w:lang w:eastAsia="ja-JP"/>
              </w:rPr>
            </w:pPr>
            <w:r w:rsidRPr="006C3C83">
              <w:rPr>
                <w:rFonts w:cs="Arial"/>
                <w:sz w:val="20"/>
                <w:lang w:eastAsia="ja-JP"/>
              </w:rPr>
              <w:t>421 (63)</w:t>
            </w:r>
          </w:p>
        </w:tc>
      </w:tr>
      <w:tr w:rsidR="006C3C83" w14:paraId="61E6D4D5" w14:textId="77777777" w:rsidTr="00465B12">
        <w:trPr>
          <w:trHeight w:val="308"/>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0FA84848" w14:textId="77777777" w:rsidR="006C3C83" w:rsidRPr="006C3C83" w:rsidRDefault="006C3C83" w:rsidP="006C3C83">
            <w:pPr>
              <w:keepNext/>
              <w:spacing w:after="0"/>
              <w:ind w:left="144"/>
              <w:rPr>
                <w:rFonts w:cs="Arial"/>
                <w:sz w:val="20"/>
                <w:vertAlign w:val="superscript"/>
                <w:lang w:eastAsia="ja-JP"/>
              </w:rPr>
            </w:pPr>
            <w:r w:rsidRPr="006C3C83">
              <w:rPr>
                <w:rFonts w:cs="Arial"/>
                <w:sz w:val="20"/>
                <w:lang w:eastAsia="ja-JP"/>
              </w:rPr>
              <w:t>Not applicable</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45E9A050" w14:textId="77777777" w:rsidR="006C3C83" w:rsidRPr="006C3C83" w:rsidRDefault="006C3C83" w:rsidP="006C3C83">
            <w:pPr>
              <w:keepNext/>
              <w:spacing w:after="0"/>
              <w:rPr>
                <w:rFonts w:cs="Arial"/>
                <w:sz w:val="20"/>
                <w:lang w:eastAsia="ja-JP"/>
              </w:rPr>
            </w:pPr>
            <w:r w:rsidRPr="006C3C83">
              <w:rPr>
                <w:rFonts w:cs="Arial"/>
                <w:sz w:val="20"/>
                <w:lang w:eastAsia="ja-JP"/>
              </w:rPr>
              <w:t>1 (&lt; 1)</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2EB7F2B5" w14:textId="77777777" w:rsidR="006C3C83" w:rsidRPr="006C3C83" w:rsidRDefault="006C3C83" w:rsidP="006C3C83">
            <w:pPr>
              <w:keepNext/>
              <w:spacing w:after="0"/>
              <w:rPr>
                <w:rFonts w:cs="Arial"/>
                <w:sz w:val="20"/>
                <w:lang w:eastAsia="ja-JP"/>
              </w:rPr>
            </w:pPr>
            <w:r w:rsidRPr="006C3C83">
              <w:rPr>
                <w:rFonts w:cs="Arial"/>
                <w:sz w:val="20"/>
                <w:lang w:eastAsia="ja-JP"/>
              </w:rPr>
              <w:t>1 (&lt; 1)</w:t>
            </w:r>
          </w:p>
        </w:tc>
      </w:tr>
      <w:tr w:rsidR="006C3C83" w14:paraId="58A08A19" w14:textId="77777777" w:rsidTr="00465B12">
        <w:trPr>
          <w:trHeight w:val="308"/>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6F7FC95D" w14:textId="77777777" w:rsidR="006C3C83" w:rsidRPr="006C3C83" w:rsidRDefault="006C3C83" w:rsidP="006C3C83">
            <w:pPr>
              <w:keepNext/>
              <w:spacing w:after="0"/>
              <w:ind w:left="144"/>
              <w:rPr>
                <w:rFonts w:cs="Arial"/>
                <w:sz w:val="20"/>
                <w:lang w:eastAsia="ja-JP"/>
              </w:rPr>
            </w:pPr>
            <w:r w:rsidRPr="006C3C83">
              <w:rPr>
                <w:rFonts w:cs="Arial"/>
                <w:sz w:val="20"/>
                <w:lang w:eastAsia="ja-JP"/>
              </w:rPr>
              <w:t>Missing</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145CFAC3" w14:textId="77777777" w:rsidR="006C3C83" w:rsidRPr="006C3C83" w:rsidRDefault="006C3C83" w:rsidP="006C3C83">
            <w:pPr>
              <w:keepNext/>
              <w:spacing w:after="0"/>
              <w:rPr>
                <w:rFonts w:cs="Arial"/>
                <w:sz w:val="20"/>
                <w:lang w:eastAsia="ja-JP"/>
              </w:rPr>
            </w:pPr>
            <w:r w:rsidRPr="006C3C83">
              <w:rPr>
                <w:rFonts w:cs="Arial"/>
                <w:sz w:val="20"/>
                <w:lang w:eastAsia="ja-JP"/>
              </w:rPr>
              <w:t>0</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4E0CB5A0" w14:textId="3CE0EC69" w:rsidR="006C3C83" w:rsidRPr="006C3C83" w:rsidRDefault="006C3C83" w:rsidP="006C3C83">
            <w:pPr>
              <w:keepNext/>
              <w:spacing w:after="0"/>
              <w:rPr>
                <w:rFonts w:cs="Arial"/>
                <w:sz w:val="20"/>
                <w:lang w:eastAsia="ja-JP"/>
              </w:rPr>
            </w:pPr>
            <w:r w:rsidRPr="006C3C83">
              <w:rPr>
                <w:rFonts w:cs="Arial"/>
                <w:sz w:val="20"/>
                <w:lang w:eastAsia="ja-JP"/>
              </w:rPr>
              <w:t>2 (&lt; 1)</w:t>
            </w:r>
          </w:p>
        </w:tc>
      </w:tr>
      <w:tr w:rsidR="006C3C83" w14:paraId="18A350EC" w14:textId="77777777" w:rsidTr="00465B12">
        <w:trPr>
          <w:trHeight w:val="317"/>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21DECC28" w14:textId="77777777" w:rsidR="006C3C83" w:rsidRPr="006C3C83" w:rsidRDefault="006C3C83" w:rsidP="006C3C83">
            <w:pPr>
              <w:keepNext/>
              <w:spacing w:after="0"/>
              <w:rPr>
                <w:rFonts w:cs="Arial"/>
                <w:sz w:val="20"/>
                <w:lang w:eastAsia="ja-JP"/>
              </w:rPr>
            </w:pPr>
            <w:proofErr w:type="spellStart"/>
            <w:r w:rsidRPr="006C3C83">
              <w:rPr>
                <w:rFonts w:cs="Arial"/>
                <w:sz w:val="20"/>
                <w:lang w:eastAsia="ja-JP"/>
              </w:rPr>
              <w:t>Extranodal</w:t>
            </w:r>
            <w:proofErr w:type="spellEnd"/>
            <w:r w:rsidRPr="006C3C83">
              <w:rPr>
                <w:rFonts w:cs="Arial"/>
                <w:sz w:val="20"/>
                <w:lang w:eastAsia="ja-JP"/>
              </w:rPr>
              <w:t xml:space="preserve"> involvement at time of diagnosis, n (%)</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7B4AE3A8" w14:textId="77777777" w:rsidR="006C3C83" w:rsidRPr="006C3C83" w:rsidRDefault="006C3C83" w:rsidP="006C3C83">
            <w:pPr>
              <w:keepNext/>
              <w:spacing w:after="0"/>
              <w:rPr>
                <w:rFonts w:cs="Arial"/>
                <w:sz w:val="20"/>
                <w:lang w:eastAsia="ja-JP"/>
              </w:rPr>
            </w:pPr>
            <w:r w:rsidRPr="006C3C83">
              <w:rPr>
                <w:rFonts w:cs="Arial"/>
                <w:sz w:val="20"/>
                <w:lang w:eastAsia="ja-JP"/>
              </w:rPr>
              <w:t>411 (62)</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030CAF07" w14:textId="77777777" w:rsidR="006C3C83" w:rsidRPr="006C3C83" w:rsidRDefault="006C3C83" w:rsidP="006C3C83">
            <w:pPr>
              <w:keepNext/>
              <w:spacing w:after="0"/>
              <w:rPr>
                <w:rFonts w:cs="Arial"/>
                <w:sz w:val="20"/>
                <w:lang w:eastAsia="ja-JP"/>
              </w:rPr>
            </w:pPr>
            <w:r w:rsidRPr="006C3C83">
              <w:rPr>
                <w:rFonts w:cs="Arial"/>
                <w:sz w:val="20"/>
                <w:lang w:eastAsia="ja-JP"/>
              </w:rPr>
              <w:t>416 (62)</w:t>
            </w:r>
          </w:p>
        </w:tc>
      </w:tr>
      <w:tr w:rsidR="006C3C83" w14:paraId="540B86E1" w14:textId="77777777" w:rsidTr="00465B12">
        <w:trPr>
          <w:trHeight w:val="317"/>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4C643C1C" w14:textId="77777777" w:rsidR="006C3C83" w:rsidRPr="006C3C83" w:rsidRDefault="006C3C83" w:rsidP="006C3C83">
            <w:pPr>
              <w:keepNext/>
              <w:spacing w:after="0"/>
              <w:rPr>
                <w:rFonts w:cs="Arial"/>
                <w:sz w:val="20"/>
                <w:lang w:eastAsia="ja-JP"/>
              </w:rPr>
            </w:pPr>
            <w:proofErr w:type="spellStart"/>
            <w:r w:rsidRPr="006C3C83">
              <w:rPr>
                <w:rFonts w:cs="Arial"/>
                <w:sz w:val="20"/>
                <w:lang w:eastAsia="ja-JP"/>
              </w:rPr>
              <w:t>IPFP</w:t>
            </w:r>
            <w:r w:rsidRPr="006C3C83">
              <w:rPr>
                <w:rFonts w:cs="Arial"/>
                <w:sz w:val="20"/>
                <w:vertAlign w:val="superscript"/>
                <w:lang w:eastAsia="ja-JP"/>
              </w:rPr>
              <w:t>b</w:t>
            </w:r>
            <w:proofErr w:type="spellEnd"/>
            <w:r w:rsidRPr="006C3C83">
              <w:rPr>
                <w:rFonts w:cs="Arial"/>
                <w:sz w:val="20"/>
                <w:lang w:eastAsia="ja-JP"/>
              </w:rPr>
              <w:t xml:space="preserve"> risk factors, n (%)</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tcPr>
          <w:p w14:paraId="3C62EEDD" w14:textId="77777777" w:rsidR="006C3C83" w:rsidRPr="006C3C83" w:rsidRDefault="006C3C83" w:rsidP="006C3C83">
            <w:pPr>
              <w:keepNext/>
              <w:spacing w:after="0"/>
              <w:rPr>
                <w:rFonts w:cs="Arial"/>
                <w:sz w:val="20"/>
                <w:lang w:eastAsia="ja-JP"/>
              </w:rPr>
            </w:pP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tcPr>
          <w:p w14:paraId="3A727551" w14:textId="77777777" w:rsidR="006C3C83" w:rsidRPr="006C3C83" w:rsidRDefault="006C3C83" w:rsidP="006C3C83">
            <w:pPr>
              <w:keepNext/>
              <w:spacing w:after="0"/>
              <w:rPr>
                <w:rFonts w:cs="Arial"/>
                <w:sz w:val="20"/>
                <w:lang w:eastAsia="ja-JP"/>
              </w:rPr>
            </w:pPr>
          </w:p>
        </w:tc>
      </w:tr>
      <w:tr w:rsidR="006C3C83" w14:paraId="22447FA6" w14:textId="77777777" w:rsidTr="00465B12">
        <w:trPr>
          <w:trHeight w:val="317"/>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59425980" w14:textId="77777777" w:rsidR="006C3C83" w:rsidRPr="006C3C83" w:rsidRDefault="006C3C83" w:rsidP="006C3C83">
            <w:pPr>
              <w:keepNext/>
              <w:spacing w:after="0"/>
              <w:ind w:left="180"/>
              <w:rPr>
                <w:rFonts w:cs="Arial"/>
                <w:sz w:val="20"/>
                <w:lang w:eastAsia="ja-JP"/>
              </w:rPr>
            </w:pPr>
            <w:r w:rsidRPr="006C3C83">
              <w:rPr>
                <w:rFonts w:cs="Arial"/>
                <w:sz w:val="20"/>
                <w:lang w:eastAsia="ja-JP"/>
              </w:rPr>
              <w:t>0</w:t>
            </w:r>
            <w:r w:rsidRPr="006C3C83">
              <w:rPr>
                <w:rFonts w:cs="Arial"/>
                <w:sz w:val="20"/>
                <w:lang w:eastAsia="ja-JP"/>
              </w:rPr>
              <w:noBreakHyphen/>
              <w:t>1</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617075B0" w14:textId="77777777" w:rsidR="006C3C83" w:rsidRPr="006C3C83" w:rsidRDefault="006C3C83" w:rsidP="006C3C83">
            <w:pPr>
              <w:keepNext/>
              <w:spacing w:after="0"/>
              <w:rPr>
                <w:rFonts w:cs="Arial"/>
                <w:sz w:val="20"/>
                <w:lang w:eastAsia="ja-JP"/>
              </w:rPr>
            </w:pPr>
            <w:r w:rsidRPr="006C3C83">
              <w:rPr>
                <w:rFonts w:cs="Arial"/>
                <w:sz w:val="20"/>
                <w:lang w:eastAsia="ja-JP"/>
              </w:rPr>
              <w:t>141 (21)</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325FDA3F" w14:textId="77777777" w:rsidR="006C3C83" w:rsidRPr="006C3C83" w:rsidRDefault="006C3C83" w:rsidP="006C3C83">
            <w:pPr>
              <w:keepNext/>
              <w:spacing w:after="0"/>
              <w:rPr>
                <w:rFonts w:cs="Arial"/>
                <w:sz w:val="20"/>
                <w:lang w:eastAsia="ja-JP"/>
              </w:rPr>
            </w:pPr>
            <w:r w:rsidRPr="006C3C83">
              <w:rPr>
                <w:rFonts w:cs="Arial"/>
                <w:sz w:val="20"/>
                <w:lang w:eastAsia="ja-JP"/>
              </w:rPr>
              <w:t>141 (21)</w:t>
            </w:r>
          </w:p>
        </w:tc>
      </w:tr>
      <w:tr w:rsidR="006C3C83" w14:paraId="0F2DC7F2" w14:textId="77777777" w:rsidTr="00465B12">
        <w:trPr>
          <w:trHeight w:val="317"/>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38E1D833" w14:textId="77777777" w:rsidR="006C3C83" w:rsidRPr="006C3C83" w:rsidRDefault="006C3C83" w:rsidP="006C3C83">
            <w:pPr>
              <w:keepNext/>
              <w:spacing w:after="0"/>
              <w:ind w:left="180"/>
              <w:rPr>
                <w:rFonts w:cs="Arial"/>
                <w:sz w:val="20"/>
                <w:lang w:eastAsia="ja-JP"/>
              </w:rPr>
            </w:pPr>
            <w:r w:rsidRPr="006C3C83">
              <w:rPr>
                <w:rFonts w:cs="Arial"/>
                <w:sz w:val="20"/>
                <w:lang w:eastAsia="ja-JP"/>
              </w:rPr>
              <w:t>2</w:t>
            </w:r>
            <w:r w:rsidRPr="006C3C83">
              <w:rPr>
                <w:rFonts w:cs="Arial"/>
                <w:sz w:val="20"/>
                <w:lang w:eastAsia="ja-JP"/>
              </w:rPr>
              <w:noBreakHyphen/>
              <w:t>3</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4B2FEEA6" w14:textId="77777777" w:rsidR="006C3C83" w:rsidRPr="006C3C83" w:rsidRDefault="006C3C83" w:rsidP="006C3C83">
            <w:pPr>
              <w:keepNext/>
              <w:spacing w:after="0"/>
              <w:rPr>
                <w:rFonts w:cs="Arial"/>
                <w:sz w:val="20"/>
                <w:lang w:eastAsia="ja-JP"/>
              </w:rPr>
            </w:pPr>
            <w:r w:rsidRPr="006C3C83">
              <w:rPr>
                <w:rFonts w:cs="Arial"/>
                <w:sz w:val="20"/>
                <w:lang w:eastAsia="ja-JP"/>
              </w:rPr>
              <w:t>354 (53)</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08E33325" w14:textId="77777777" w:rsidR="006C3C83" w:rsidRPr="006C3C83" w:rsidRDefault="006C3C83" w:rsidP="006C3C83">
            <w:pPr>
              <w:keepNext/>
              <w:spacing w:after="0"/>
              <w:rPr>
                <w:rFonts w:cs="Arial"/>
                <w:sz w:val="20"/>
                <w:lang w:eastAsia="ja-JP"/>
              </w:rPr>
            </w:pPr>
            <w:r w:rsidRPr="006C3C83">
              <w:rPr>
                <w:rFonts w:cs="Arial"/>
                <w:sz w:val="20"/>
                <w:lang w:eastAsia="ja-JP"/>
              </w:rPr>
              <w:t>351 (52)</w:t>
            </w:r>
          </w:p>
        </w:tc>
      </w:tr>
      <w:tr w:rsidR="006C3C83" w14:paraId="5D2B2797" w14:textId="77777777" w:rsidTr="00465B12">
        <w:trPr>
          <w:trHeight w:val="317"/>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6A5C368D" w14:textId="77777777" w:rsidR="006C3C83" w:rsidRPr="006C3C83" w:rsidRDefault="006C3C83" w:rsidP="006C3C83">
            <w:pPr>
              <w:keepNext/>
              <w:spacing w:after="0"/>
              <w:ind w:left="180"/>
              <w:rPr>
                <w:rFonts w:cs="Arial"/>
                <w:sz w:val="20"/>
                <w:lang w:eastAsia="ja-JP"/>
              </w:rPr>
            </w:pPr>
            <w:r w:rsidRPr="006C3C83">
              <w:rPr>
                <w:rFonts w:cs="Arial"/>
                <w:sz w:val="20"/>
                <w:lang w:eastAsia="ja-JP"/>
              </w:rPr>
              <w:t>4</w:t>
            </w:r>
            <w:r w:rsidRPr="006C3C83">
              <w:rPr>
                <w:rFonts w:cs="Arial"/>
                <w:sz w:val="20"/>
                <w:lang w:eastAsia="ja-JP"/>
              </w:rPr>
              <w:noBreakHyphen/>
              <w:t>7</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6EA59C6E" w14:textId="77777777" w:rsidR="006C3C83" w:rsidRPr="006C3C83" w:rsidRDefault="006C3C83" w:rsidP="006C3C83">
            <w:pPr>
              <w:keepNext/>
              <w:spacing w:after="0"/>
              <w:rPr>
                <w:rFonts w:cs="Arial"/>
                <w:sz w:val="20"/>
                <w:lang w:eastAsia="ja-JP"/>
              </w:rPr>
            </w:pPr>
            <w:r w:rsidRPr="006C3C83">
              <w:rPr>
                <w:rFonts w:cs="Arial"/>
                <w:sz w:val="20"/>
                <w:lang w:eastAsia="ja-JP"/>
              </w:rPr>
              <w:t>169 (25)</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626F26AA" w14:textId="77777777" w:rsidR="006C3C83" w:rsidRPr="006C3C83" w:rsidRDefault="006C3C83" w:rsidP="006C3C83">
            <w:pPr>
              <w:keepNext/>
              <w:spacing w:after="0"/>
              <w:rPr>
                <w:rFonts w:cs="Arial"/>
                <w:sz w:val="20"/>
                <w:lang w:eastAsia="ja-JP"/>
              </w:rPr>
            </w:pPr>
            <w:r w:rsidRPr="006C3C83">
              <w:rPr>
                <w:rFonts w:cs="Arial"/>
                <w:sz w:val="20"/>
                <w:lang w:eastAsia="ja-JP"/>
              </w:rPr>
              <w:t>178 (27)</w:t>
            </w:r>
          </w:p>
        </w:tc>
      </w:tr>
      <w:tr w:rsidR="006C3C83" w14:paraId="74F29920" w14:textId="77777777" w:rsidTr="00465B12">
        <w:trPr>
          <w:trHeight w:val="317"/>
        </w:trPr>
        <w:tc>
          <w:tcPr>
            <w:tcW w:w="5058" w:type="dxa"/>
            <w:tcBorders>
              <w:top w:val="single" w:sz="8" w:space="0" w:color="FFFFFF"/>
              <w:left w:val="single" w:sz="4" w:space="0" w:color="auto"/>
              <w:bottom w:val="single" w:sz="8" w:space="0" w:color="FFFFFF"/>
              <w:right w:val="single" w:sz="8" w:space="0" w:color="FFFFFF"/>
            </w:tcBorders>
            <w:tcMar>
              <w:top w:w="14" w:type="dxa"/>
              <w:left w:w="108" w:type="dxa"/>
              <w:bottom w:w="0" w:type="dxa"/>
              <w:right w:w="108" w:type="dxa"/>
            </w:tcMar>
            <w:hideMark/>
          </w:tcPr>
          <w:p w14:paraId="5B9AB1E8" w14:textId="77777777" w:rsidR="006C3C83" w:rsidRPr="006C3C83" w:rsidRDefault="006C3C83" w:rsidP="006C3C83">
            <w:pPr>
              <w:keepNext/>
              <w:spacing w:after="0"/>
              <w:rPr>
                <w:rFonts w:cs="Arial"/>
                <w:sz w:val="20"/>
                <w:lang w:eastAsia="ja-JP"/>
              </w:rPr>
            </w:pPr>
            <w:r w:rsidRPr="006C3C83">
              <w:rPr>
                <w:rFonts w:cs="Arial"/>
                <w:sz w:val="20"/>
                <w:lang w:eastAsia="ja-JP"/>
              </w:rPr>
              <w:t>Bone marrow involvement at time of diagnosis or study entry, n (%)</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58A7FA41" w14:textId="77777777" w:rsidR="006C3C83" w:rsidRPr="006C3C83" w:rsidRDefault="006C3C83" w:rsidP="006C3C83">
            <w:pPr>
              <w:keepNext/>
              <w:spacing w:after="0"/>
              <w:rPr>
                <w:rFonts w:cs="Arial"/>
                <w:sz w:val="20"/>
                <w:lang w:eastAsia="ja-JP"/>
              </w:rPr>
            </w:pPr>
            <w:r w:rsidRPr="006C3C83">
              <w:rPr>
                <w:rFonts w:cs="Arial"/>
                <w:sz w:val="20"/>
                <w:lang w:eastAsia="ja-JP"/>
              </w:rPr>
              <w:t>147(22)</w:t>
            </w:r>
          </w:p>
        </w:tc>
        <w:tc>
          <w:tcPr>
            <w:tcW w:w="1890" w:type="dxa"/>
            <w:tcBorders>
              <w:top w:val="single" w:sz="8" w:space="0" w:color="FFFFFF"/>
              <w:left w:val="single" w:sz="8" w:space="0" w:color="FFFFFF"/>
              <w:bottom w:val="single" w:sz="8" w:space="0" w:color="FFFFFF"/>
              <w:right w:val="single" w:sz="4" w:space="0" w:color="auto"/>
            </w:tcBorders>
            <w:tcMar>
              <w:top w:w="14" w:type="dxa"/>
              <w:left w:w="108" w:type="dxa"/>
              <w:bottom w:w="0" w:type="dxa"/>
              <w:right w:w="108" w:type="dxa"/>
            </w:tcMar>
            <w:hideMark/>
          </w:tcPr>
          <w:p w14:paraId="3F387BCF" w14:textId="77777777" w:rsidR="006C3C83" w:rsidRPr="006C3C83" w:rsidRDefault="006C3C83" w:rsidP="006C3C83">
            <w:pPr>
              <w:keepNext/>
              <w:spacing w:after="0"/>
              <w:rPr>
                <w:rFonts w:cs="Arial"/>
                <w:sz w:val="20"/>
                <w:lang w:eastAsia="ja-JP"/>
              </w:rPr>
            </w:pPr>
            <w:r w:rsidRPr="006C3C83">
              <w:rPr>
                <w:rFonts w:cs="Arial"/>
                <w:sz w:val="20"/>
                <w:lang w:eastAsia="ja-JP"/>
              </w:rPr>
              <w:t>151 (23)</w:t>
            </w:r>
          </w:p>
        </w:tc>
      </w:tr>
      <w:tr w:rsidR="006C3C83" w14:paraId="1949A142" w14:textId="77777777" w:rsidTr="00465B12">
        <w:trPr>
          <w:trHeight w:val="335"/>
        </w:trPr>
        <w:tc>
          <w:tcPr>
            <w:tcW w:w="5058" w:type="dxa"/>
            <w:tcBorders>
              <w:top w:val="single" w:sz="8" w:space="0" w:color="FFFFFF"/>
              <w:left w:val="single" w:sz="4" w:space="0" w:color="auto"/>
              <w:bottom w:val="single" w:sz="4" w:space="0" w:color="auto"/>
              <w:right w:val="single" w:sz="8" w:space="0" w:color="FFFFFF"/>
            </w:tcBorders>
            <w:tcMar>
              <w:top w:w="14" w:type="dxa"/>
              <w:left w:w="108" w:type="dxa"/>
              <w:bottom w:w="0" w:type="dxa"/>
              <w:right w:w="108" w:type="dxa"/>
            </w:tcMar>
            <w:hideMark/>
          </w:tcPr>
          <w:p w14:paraId="19E9542B" w14:textId="1063F9D8" w:rsidR="006C3C83" w:rsidRPr="006C3C83" w:rsidRDefault="006C3C83" w:rsidP="006C3C83">
            <w:pPr>
              <w:keepNext/>
              <w:spacing w:after="0"/>
              <w:rPr>
                <w:rFonts w:cs="Arial"/>
                <w:sz w:val="20"/>
                <w:lang w:eastAsia="ja-JP"/>
              </w:rPr>
            </w:pPr>
            <w:r w:rsidRPr="006C3C83">
              <w:rPr>
                <w:rFonts w:cs="Arial"/>
                <w:sz w:val="20"/>
                <w:lang w:eastAsia="ja-JP"/>
              </w:rPr>
              <w:t xml:space="preserve">B </w:t>
            </w:r>
            <w:proofErr w:type="spellStart"/>
            <w:proofErr w:type="gramStart"/>
            <w:r w:rsidRPr="006C3C83">
              <w:rPr>
                <w:rFonts w:cs="Arial"/>
                <w:sz w:val="20"/>
                <w:lang w:eastAsia="ja-JP"/>
              </w:rPr>
              <w:t>symptoms</w:t>
            </w:r>
            <w:r w:rsidRPr="006C3C83">
              <w:rPr>
                <w:rFonts w:cs="Arial"/>
                <w:sz w:val="20"/>
                <w:vertAlign w:val="superscript"/>
                <w:lang w:eastAsia="ja-JP"/>
              </w:rPr>
              <w:t>a</w:t>
            </w:r>
            <w:r w:rsidR="003E45D0">
              <w:rPr>
                <w:rFonts w:cs="Arial"/>
                <w:sz w:val="20"/>
                <w:lang w:eastAsia="ja-JP"/>
              </w:rPr>
              <w:t>,n</w:t>
            </w:r>
            <w:proofErr w:type="spellEnd"/>
            <w:proofErr w:type="gramEnd"/>
            <w:r w:rsidR="003E45D0">
              <w:rPr>
                <w:rFonts w:cs="Arial"/>
                <w:sz w:val="20"/>
                <w:lang w:eastAsia="ja-JP"/>
              </w:rPr>
              <w:t xml:space="preserve"> </w:t>
            </w:r>
            <w:r w:rsidRPr="006C3C83">
              <w:rPr>
                <w:rFonts w:cs="Arial"/>
                <w:sz w:val="20"/>
                <w:lang w:eastAsia="ja-JP"/>
              </w:rPr>
              <w:t>(%)</w:t>
            </w:r>
          </w:p>
        </w:tc>
        <w:tc>
          <w:tcPr>
            <w:tcW w:w="2340" w:type="dxa"/>
            <w:tcBorders>
              <w:top w:val="single" w:sz="8" w:space="0" w:color="FFFFFF"/>
              <w:left w:val="single" w:sz="8" w:space="0" w:color="FFFFFF"/>
              <w:bottom w:val="single" w:sz="4" w:space="0" w:color="auto"/>
              <w:right w:val="single" w:sz="8" w:space="0" w:color="FFFFFF"/>
            </w:tcBorders>
            <w:tcMar>
              <w:top w:w="14" w:type="dxa"/>
              <w:left w:w="108" w:type="dxa"/>
              <w:bottom w:w="0" w:type="dxa"/>
              <w:right w:w="108" w:type="dxa"/>
            </w:tcMar>
            <w:hideMark/>
          </w:tcPr>
          <w:p w14:paraId="274EACB2" w14:textId="77777777" w:rsidR="006C3C83" w:rsidRPr="006C3C83" w:rsidRDefault="006C3C83" w:rsidP="006C3C83">
            <w:pPr>
              <w:keepNext/>
              <w:spacing w:after="0"/>
              <w:rPr>
                <w:rFonts w:cs="Arial"/>
                <w:sz w:val="20"/>
                <w:lang w:eastAsia="ja-JP"/>
              </w:rPr>
            </w:pPr>
            <w:r w:rsidRPr="006C3C83">
              <w:rPr>
                <w:rFonts w:cs="Arial"/>
                <w:sz w:val="20"/>
                <w:lang w:eastAsia="ja-JP"/>
              </w:rPr>
              <w:t>400 (60)</w:t>
            </w:r>
          </w:p>
        </w:tc>
        <w:tc>
          <w:tcPr>
            <w:tcW w:w="1890" w:type="dxa"/>
            <w:tcBorders>
              <w:top w:val="single" w:sz="8" w:space="0" w:color="FFFFFF"/>
              <w:left w:val="single" w:sz="8" w:space="0" w:color="FFFFFF"/>
              <w:bottom w:val="single" w:sz="4" w:space="0" w:color="auto"/>
              <w:right w:val="single" w:sz="4" w:space="0" w:color="auto"/>
            </w:tcBorders>
            <w:tcMar>
              <w:top w:w="14" w:type="dxa"/>
              <w:left w:w="108" w:type="dxa"/>
              <w:bottom w:w="0" w:type="dxa"/>
              <w:right w:w="108" w:type="dxa"/>
            </w:tcMar>
            <w:hideMark/>
          </w:tcPr>
          <w:p w14:paraId="1043EF8D" w14:textId="77777777" w:rsidR="006C3C83" w:rsidRPr="006C3C83" w:rsidRDefault="006C3C83" w:rsidP="006C3C83">
            <w:pPr>
              <w:keepNext/>
              <w:spacing w:after="0"/>
              <w:rPr>
                <w:rFonts w:cs="Arial"/>
                <w:sz w:val="20"/>
                <w:lang w:eastAsia="ja-JP"/>
              </w:rPr>
            </w:pPr>
            <w:r w:rsidRPr="006C3C83">
              <w:rPr>
                <w:rFonts w:cs="Arial"/>
                <w:sz w:val="20"/>
                <w:lang w:eastAsia="ja-JP"/>
              </w:rPr>
              <w:t>381 (57)</w:t>
            </w:r>
          </w:p>
        </w:tc>
      </w:tr>
    </w:tbl>
    <w:p w14:paraId="38BC1AD2" w14:textId="77777777" w:rsidR="006C3C83" w:rsidRPr="00C6430E" w:rsidRDefault="006C3C83" w:rsidP="006C3C83">
      <w:pPr>
        <w:keepNext/>
        <w:spacing w:after="0"/>
        <w:rPr>
          <w:sz w:val="18"/>
          <w:szCs w:val="18"/>
        </w:rPr>
      </w:pPr>
      <w:r w:rsidRPr="00C6430E">
        <w:rPr>
          <w:sz w:val="18"/>
          <w:szCs w:val="18"/>
          <w:vertAlign w:val="superscript"/>
        </w:rPr>
        <w:t>a</w:t>
      </w:r>
      <w:r w:rsidRPr="00C6430E">
        <w:rPr>
          <w:sz w:val="18"/>
          <w:szCs w:val="18"/>
        </w:rPr>
        <w:t xml:space="preserve"> Per Ann Arbor Staging.</w:t>
      </w:r>
    </w:p>
    <w:p w14:paraId="235DCCD2" w14:textId="77777777" w:rsidR="006C3C83" w:rsidRPr="00C6430E" w:rsidRDefault="006C3C83" w:rsidP="006C3C83">
      <w:pPr>
        <w:keepNext/>
        <w:spacing w:after="0"/>
        <w:rPr>
          <w:sz w:val="18"/>
          <w:szCs w:val="18"/>
        </w:rPr>
      </w:pPr>
      <w:proofErr w:type="spellStart"/>
      <w:r w:rsidRPr="00C6430E">
        <w:rPr>
          <w:sz w:val="18"/>
          <w:szCs w:val="18"/>
          <w:vertAlign w:val="superscript"/>
          <w:lang w:eastAsia="ja-JP"/>
        </w:rPr>
        <w:t>b</w:t>
      </w:r>
      <w:r w:rsidRPr="00C6430E">
        <w:rPr>
          <w:sz w:val="18"/>
          <w:szCs w:val="18"/>
        </w:rPr>
        <w:t>IPFP</w:t>
      </w:r>
      <w:proofErr w:type="spellEnd"/>
      <w:r w:rsidRPr="00C6430E">
        <w:rPr>
          <w:sz w:val="18"/>
          <w:szCs w:val="18"/>
        </w:rPr>
        <w:t> = International Prognostic Factor Project.</w:t>
      </w:r>
    </w:p>
    <w:p w14:paraId="608768A8" w14:textId="77777777" w:rsidR="003D4D6D" w:rsidRDefault="003D4D6D" w:rsidP="00E27999">
      <w:pPr>
        <w:spacing w:after="0"/>
        <w:rPr>
          <w:i/>
        </w:rPr>
      </w:pPr>
    </w:p>
    <w:p w14:paraId="45C6E31A" w14:textId="564097CB" w:rsidR="00E23353" w:rsidRDefault="009A3597" w:rsidP="000D28C0">
      <w:pPr>
        <w:spacing w:after="0"/>
        <w:rPr>
          <w:iCs/>
        </w:rPr>
      </w:pPr>
      <w:r w:rsidRPr="000D28C0">
        <w:rPr>
          <w:iCs/>
        </w:rPr>
        <w:t>The primary endpoint in Study C25003 was modified PFS per IRF, defined as time from randomi</w:t>
      </w:r>
      <w:r w:rsidR="00C8385E" w:rsidRPr="000D28C0">
        <w:rPr>
          <w:iCs/>
        </w:rPr>
        <w:t>s</w:t>
      </w:r>
      <w:r w:rsidRPr="000D28C0">
        <w:rPr>
          <w:iCs/>
        </w:rPr>
        <w:t>ation to progression, death, or evidence of non-</w:t>
      </w:r>
      <w:r w:rsidR="00300DF9" w:rsidRPr="000D28C0">
        <w:rPr>
          <w:iCs/>
        </w:rPr>
        <w:t>complete response (non-</w:t>
      </w:r>
      <w:r w:rsidRPr="000D28C0">
        <w:rPr>
          <w:iCs/>
        </w:rPr>
        <w:t>CR</w:t>
      </w:r>
      <w:r w:rsidR="00300DF9" w:rsidRPr="000D28C0">
        <w:rPr>
          <w:iCs/>
        </w:rPr>
        <w:t>)</w:t>
      </w:r>
      <w:r w:rsidRPr="000D28C0">
        <w:rPr>
          <w:iCs/>
        </w:rPr>
        <w:t xml:space="preserve"> after completion of frontline therapy per independent review facility (IRF) followed by subsequent anticancer therapy. Timing of the modified event was the date of the first PET scan post completion of frontline therapy demonstrating the absence of CR, defined as Deauville score of ≥3. The median </w:t>
      </w:r>
      <w:proofErr w:type="spellStart"/>
      <w:r w:rsidRPr="000D28C0">
        <w:rPr>
          <w:iCs/>
        </w:rPr>
        <w:t>mPFS</w:t>
      </w:r>
      <w:proofErr w:type="spellEnd"/>
      <w:r w:rsidRPr="000D28C0">
        <w:rPr>
          <w:iCs/>
        </w:rPr>
        <w:t xml:space="preserve"> by IRF assessment was not estimable for either treatment arm. The results showed a statistically significant improvement in modified PFS for ADCETRIS+AVD, with a 2-sided p-value of 0.035 based on a stratified log-rank test. The stratified hazard ratio was 0.770 (95% CI,</w:t>
      </w:r>
      <w:r w:rsidR="00C8385E" w:rsidRPr="000D28C0">
        <w:rPr>
          <w:iCs/>
        </w:rPr>
        <w:t xml:space="preserve"> </w:t>
      </w:r>
      <w:r w:rsidRPr="000D28C0">
        <w:rPr>
          <w:iCs/>
        </w:rPr>
        <w:t>0.603; 0.983), indicating a 23% reduction in the risk of modified PFS events for ADCETRIS+AVD versus ABVD.</w:t>
      </w:r>
      <w:r w:rsidR="00E23353">
        <w:rPr>
          <w:iCs/>
        </w:rPr>
        <w:t xml:space="preserve"> </w:t>
      </w:r>
      <w:bookmarkStart w:id="23" w:name="_Hlk150256440"/>
      <w:r w:rsidR="00D52AB7" w:rsidRPr="00D52AB7">
        <w:rPr>
          <w:iCs/>
        </w:rPr>
        <w:t xml:space="preserve">The </w:t>
      </w:r>
      <w:r w:rsidR="00D52AB7">
        <w:rPr>
          <w:iCs/>
        </w:rPr>
        <w:t>results</w:t>
      </w:r>
      <w:r w:rsidR="00D52AB7" w:rsidRPr="00D52AB7">
        <w:rPr>
          <w:iCs/>
        </w:rPr>
        <w:t xml:space="preserve"> also showed a statistically significant improvement in OS in the ITT population for ADCETRIS + AVD at the second interim analysis for OS. </w:t>
      </w:r>
      <w:r w:rsidR="00A37AAF" w:rsidRPr="00A37AAF">
        <w:rPr>
          <w:iCs/>
        </w:rPr>
        <w:t xml:space="preserve"> </w:t>
      </w:r>
      <w:bookmarkStart w:id="24" w:name="_Hlk150256724"/>
      <w:bookmarkEnd w:id="23"/>
      <w:r w:rsidR="00A37AAF" w:rsidRPr="00BB2561">
        <w:rPr>
          <w:iCs/>
        </w:rPr>
        <w:t>Median OS was not reached for patients in either treatment arm.</w:t>
      </w:r>
      <w:r w:rsidR="00A37AAF">
        <w:rPr>
          <w:iCs/>
        </w:rPr>
        <w:t xml:space="preserve"> </w:t>
      </w:r>
      <w:bookmarkEnd w:id="24"/>
      <w:r w:rsidR="00D62088">
        <w:rPr>
          <w:iCs/>
        </w:rPr>
        <w:fldChar w:fldCharType="begin"/>
      </w:r>
      <w:r w:rsidR="00D62088">
        <w:rPr>
          <w:iCs/>
        </w:rPr>
        <w:instrText xml:space="preserve"> REF _Ref149118599 \h </w:instrText>
      </w:r>
      <w:r w:rsidR="00D62088">
        <w:rPr>
          <w:iCs/>
        </w:rPr>
      </w:r>
      <w:r w:rsidR="00D62088">
        <w:rPr>
          <w:iCs/>
        </w:rPr>
        <w:fldChar w:fldCharType="separate"/>
      </w:r>
      <w:r w:rsidR="001E2FAC" w:rsidRPr="00E23353">
        <w:rPr>
          <w:szCs w:val="22"/>
        </w:rPr>
        <w:t xml:space="preserve">Table </w:t>
      </w:r>
      <w:r w:rsidR="001E2FAC">
        <w:rPr>
          <w:noProof/>
          <w:szCs w:val="22"/>
        </w:rPr>
        <w:t>11</w:t>
      </w:r>
      <w:r w:rsidR="00D62088">
        <w:rPr>
          <w:iCs/>
        </w:rPr>
        <w:fldChar w:fldCharType="end"/>
      </w:r>
      <w:r w:rsidR="00D62088">
        <w:rPr>
          <w:iCs/>
        </w:rPr>
        <w:t xml:space="preserve"> </w:t>
      </w:r>
      <w:r w:rsidRPr="000D28C0">
        <w:rPr>
          <w:iCs/>
        </w:rPr>
        <w:t>provides the efficacy results for modified PFS and overall survival (OS).</w:t>
      </w:r>
    </w:p>
    <w:p w14:paraId="70C31417" w14:textId="77777777" w:rsidR="00F21391" w:rsidRDefault="00F21391" w:rsidP="000D28C0">
      <w:pPr>
        <w:spacing w:after="0"/>
        <w:rPr>
          <w:iCs/>
        </w:rPr>
      </w:pPr>
    </w:p>
    <w:p w14:paraId="54936D41" w14:textId="70EA17C4" w:rsidR="00E23353" w:rsidRPr="00E23353" w:rsidRDefault="00E23353" w:rsidP="00D62088">
      <w:pPr>
        <w:pStyle w:val="Caption"/>
        <w:ind w:left="1440" w:hanging="1440"/>
        <w:rPr>
          <w:sz w:val="22"/>
          <w:szCs w:val="22"/>
        </w:rPr>
      </w:pPr>
      <w:bookmarkStart w:id="25" w:name="_Ref149118599"/>
      <w:bookmarkStart w:id="26" w:name="_Hlk150255429"/>
      <w:bookmarkStart w:id="27" w:name="_Hlk150255616"/>
      <w:r w:rsidRPr="00E23353">
        <w:rPr>
          <w:sz w:val="22"/>
          <w:szCs w:val="22"/>
        </w:rPr>
        <w:lastRenderedPageBreak/>
        <w:t xml:space="preserve">Table </w:t>
      </w:r>
      <w:r w:rsidRPr="00E23353">
        <w:rPr>
          <w:sz w:val="22"/>
          <w:szCs w:val="22"/>
        </w:rPr>
        <w:fldChar w:fldCharType="begin"/>
      </w:r>
      <w:r w:rsidRPr="00E23353">
        <w:rPr>
          <w:sz w:val="22"/>
          <w:szCs w:val="22"/>
        </w:rPr>
        <w:instrText xml:space="preserve"> SEQ Table \* ARABIC </w:instrText>
      </w:r>
      <w:r w:rsidRPr="00E23353">
        <w:rPr>
          <w:sz w:val="22"/>
          <w:szCs w:val="22"/>
        </w:rPr>
        <w:fldChar w:fldCharType="separate"/>
      </w:r>
      <w:r w:rsidR="001E2FAC">
        <w:rPr>
          <w:noProof/>
          <w:sz w:val="22"/>
          <w:szCs w:val="22"/>
        </w:rPr>
        <w:t>11</w:t>
      </w:r>
      <w:r w:rsidRPr="00E23353">
        <w:rPr>
          <w:sz w:val="22"/>
          <w:szCs w:val="22"/>
        </w:rPr>
        <w:fldChar w:fldCharType="end"/>
      </w:r>
      <w:bookmarkEnd w:id="25"/>
      <w:r w:rsidRPr="00E23353">
        <w:rPr>
          <w:sz w:val="22"/>
          <w:szCs w:val="22"/>
        </w:rPr>
        <w:t xml:space="preserve"> </w:t>
      </w:r>
      <w:r>
        <w:rPr>
          <w:sz w:val="22"/>
          <w:szCs w:val="22"/>
        </w:rPr>
        <w:tab/>
      </w:r>
      <w:r w:rsidRPr="00E23353">
        <w:rPr>
          <w:sz w:val="22"/>
          <w:szCs w:val="22"/>
        </w:rPr>
        <w:t xml:space="preserve">Efficacy Results in Patients with Previously Untreated </w:t>
      </w:r>
      <w:r w:rsidR="00032584" w:rsidRPr="00032584">
        <w:rPr>
          <w:sz w:val="22"/>
          <w:szCs w:val="22"/>
        </w:rPr>
        <w:t xml:space="preserve">Stage III or Stage IV </w:t>
      </w:r>
      <w:r w:rsidRPr="00E23353">
        <w:rPr>
          <w:sz w:val="22"/>
          <w:szCs w:val="22"/>
        </w:rPr>
        <w:t>HL Treated with 1.2 mg/kg of ADCETRIS + AVD on Days 1 and 15 of a 28-Day Cycle</w:t>
      </w:r>
    </w:p>
    <w:tbl>
      <w:tblPr>
        <w:tblW w:w="93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5"/>
        <w:gridCol w:w="2028"/>
        <w:gridCol w:w="1890"/>
        <w:gridCol w:w="2602"/>
      </w:tblGrid>
      <w:tr w:rsidR="00300DF9" w:rsidRPr="00EB6C9E" w14:paraId="338FAA99" w14:textId="77777777" w:rsidTr="00C8385E">
        <w:trPr>
          <w:cantSplit/>
          <w:trHeight w:val="549"/>
        </w:trPr>
        <w:tc>
          <w:tcPr>
            <w:tcW w:w="2795" w:type="dxa"/>
            <w:vMerge w:val="restart"/>
            <w:tcMar>
              <w:top w:w="14" w:type="dxa"/>
              <w:left w:w="98" w:type="dxa"/>
              <w:bottom w:w="0" w:type="dxa"/>
              <w:right w:w="98" w:type="dxa"/>
            </w:tcMar>
            <w:vAlign w:val="center"/>
          </w:tcPr>
          <w:p w14:paraId="74F714C6" w14:textId="77777777" w:rsidR="00EB6C9E" w:rsidRPr="00EB6C9E" w:rsidRDefault="00EB6C9E" w:rsidP="00006E8B">
            <w:pPr>
              <w:keepNext/>
              <w:spacing w:after="0" w:line="240" w:lineRule="exact"/>
              <w:ind w:left="105" w:right="133"/>
              <w:jc w:val="left"/>
              <w:rPr>
                <w:rFonts w:cs="Arial"/>
                <w:b/>
                <w:bCs/>
                <w:sz w:val="20"/>
                <w:lang w:eastAsia="ja-JP"/>
              </w:rPr>
            </w:pPr>
          </w:p>
        </w:tc>
        <w:tc>
          <w:tcPr>
            <w:tcW w:w="2028" w:type="dxa"/>
            <w:tcMar>
              <w:top w:w="14" w:type="dxa"/>
              <w:left w:w="98" w:type="dxa"/>
              <w:bottom w:w="0" w:type="dxa"/>
              <w:right w:w="98" w:type="dxa"/>
            </w:tcMar>
          </w:tcPr>
          <w:p w14:paraId="45E4F142" w14:textId="77777777" w:rsidR="00EB6C9E" w:rsidRPr="00EB6C9E" w:rsidRDefault="00EB6C9E" w:rsidP="00C8385E">
            <w:pPr>
              <w:keepNext/>
              <w:spacing w:after="0" w:line="240" w:lineRule="exact"/>
              <w:jc w:val="center"/>
              <w:rPr>
                <w:rFonts w:cs="Arial"/>
                <w:b/>
                <w:bCs/>
                <w:sz w:val="20"/>
                <w:lang w:eastAsia="ja-JP"/>
              </w:rPr>
            </w:pPr>
            <w:r w:rsidRPr="00EB6C9E">
              <w:rPr>
                <w:rFonts w:cs="Arial"/>
                <w:b/>
                <w:bCs/>
                <w:sz w:val="20"/>
                <w:lang w:eastAsia="ja-JP"/>
              </w:rPr>
              <w:t>ADCETRIS + AVD</w:t>
            </w:r>
          </w:p>
          <w:p w14:paraId="7B08383B" w14:textId="77777777" w:rsidR="00EB6C9E" w:rsidRPr="00EB6C9E" w:rsidRDefault="00EB6C9E" w:rsidP="00C8385E">
            <w:pPr>
              <w:keepNext/>
              <w:spacing w:after="0" w:line="240" w:lineRule="exact"/>
              <w:jc w:val="center"/>
              <w:rPr>
                <w:rFonts w:cs="Arial"/>
                <w:b/>
                <w:bCs/>
                <w:sz w:val="20"/>
                <w:lang w:eastAsia="ja-JP"/>
              </w:rPr>
            </w:pPr>
            <w:r w:rsidRPr="00EB6C9E">
              <w:rPr>
                <w:rFonts w:cs="Arial"/>
                <w:b/>
                <w:bCs/>
                <w:sz w:val="20"/>
                <w:lang w:eastAsia="ja-JP"/>
              </w:rPr>
              <w:t>n = 664</w:t>
            </w:r>
          </w:p>
        </w:tc>
        <w:tc>
          <w:tcPr>
            <w:tcW w:w="1890" w:type="dxa"/>
            <w:tcMar>
              <w:top w:w="14" w:type="dxa"/>
              <w:left w:w="98" w:type="dxa"/>
              <w:bottom w:w="0" w:type="dxa"/>
              <w:right w:w="98" w:type="dxa"/>
            </w:tcMar>
          </w:tcPr>
          <w:p w14:paraId="056225AD" w14:textId="77777777" w:rsidR="00EB6C9E" w:rsidRPr="00EB6C9E" w:rsidRDefault="00EB6C9E" w:rsidP="00C8385E">
            <w:pPr>
              <w:keepNext/>
              <w:spacing w:after="0" w:line="240" w:lineRule="exact"/>
              <w:jc w:val="center"/>
              <w:rPr>
                <w:rFonts w:cs="Arial"/>
                <w:b/>
                <w:bCs/>
                <w:sz w:val="20"/>
                <w:lang w:eastAsia="ja-JP"/>
              </w:rPr>
            </w:pPr>
            <w:r w:rsidRPr="00EB6C9E">
              <w:rPr>
                <w:rFonts w:cs="Arial"/>
                <w:b/>
                <w:bCs/>
                <w:sz w:val="20"/>
                <w:lang w:eastAsia="ja-JP"/>
              </w:rPr>
              <w:t>ABVD</w:t>
            </w:r>
          </w:p>
          <w:p w14:paraId="214C033D" w14:textId="77777777" w:rsidR="00EB6C9E" w:rsidRPr="00EB6C9E" w:rsidRDefault="00EB6C9E" w:rsidP="00C8385E">
            <w:pPr>
              <w:keepNext/>
              <w:spacing w:after="0" w:line="240" w:lineRule="exact"/>
              <w:jc w:val="center"/>
              <w:rPr>
                <w:rFonts w:cs="Arial"/>
                <w:b/>
                <w:bCs/>
                <w:sz w:val="20"/>
                <w:lang w:eastAsia="ja-JP"/>
              </w:rPr>
            </w:pPr>
            <w:r w:rsidRPr="00EB6C9E">
              <w:rPr>
                <w:rFonts w:cs="Arial"/>
                <w:b/>
                <w:bCs/>
                <w:sz w:val="20"/>
                <w:lang w:eastAsia="ja-JP"/>
              </w:rPr>
              <w:t>n = 670</w:t>
            </w:r>
          </w:p>
        </w:tc>
        <w:tc>
          <w:tcPr>
            <w:tcW w:w="2602" w:type="dxa"/>
          </w:tcPr>
          <w:p w14:paraId="7C250722" w14:textId="77777777" w:rsidR="00EB6C9E" w:rsidRPr="00EB6C9E" w:rsidRDefault="00EB6C9E" w:rsidP="00C8385E">
            <w:pPr>
              <w:keepNext/>
              <w:spacing w:after="0" w:line="240" w:lineRule="exact"/>
              <w:jc w:val="center"/>
              <w:rPr>
                <w:rFonts w:cs="Arial"/>
                <w:b/>
                <w:bCs/>
                <w:sz w:val="20"/>
                <w:lang w:eastAsia="ja-JP"/>
              </w:rPr>
            </w:pPr>
            <w:r w:rsidRPr="00EB6C9E">
              <w:rPr>
                <w:rFonts w:cs="Arial"/>
                <w:b/>
                <w:bCs/>
                <w:sz w:val="20"/>
                <w:lang w:eastAsia="ja-JP"/>
              </w:rPr>
              <w:t>Stratified Hazard Ratio and p-value</w:t>
            </w:r>
          </w:p>
        </w:tc>
      </w:tr>
      <w:tr w:rsidR="00300DF9" w:rsidRPr="00C6430E" w14:paraId="7E825C83" w14:textId="77777777" w:rsidTr="00C8385E">
        <w:trPr>
          <w:cantSplit/>
          <w:trHeight w:val="543"/>
        </w:trPr>
        <w:tc>
          <w:tcPr>
            <w:tcW w:w="2795" w:type="dxa"/>
            <w:vMerge/>
            <w:vAlign w:val="center"/>
          </w:tcPr>
          <w:p w14:paraId="2990842E" w14:textId="77777777" w:rsidR="00EB6C9E" w:rsidRPr="00EB6C9E" w:rsidRDefault="00EB6C9E" w:rsidP="00006E8B">
            <w:pPr>
              <w:keepNext/>
              <w:spacing w:after="0" w:line="240" w:lineRule="exact"/>
              <w:ind w:left="105" w:right="133"/>
              <w:jc w:val="left"/>
              <w:rPr>
                <w:rFonts w:cs="Arial"/>
                <w:b/>
                <w:bCs/>
                <w:sz w:val="20"/>
                <w:lang w:eastAsia="ja-JP"/>
              </w:rPr>
            </w:pPr>
          </w:p>
        </w:tc>
        <w:tc>
          <w:tcPr>
            <w:tcW w:w="6520" w:type="dxa"/>
            <w:gridSpan w:val="3"/>
            <w:tcMar>
              <w:top w:w="14" w:type="dxa"/>
              <w:left w:w="98" w:type="dxa"/>
              <w:bottom w:w="0" w:type="dxa"/>
              <w:right w:w="98" w:type="dxa"/>
            </w:tcMar>
            <w:vAlign w:val="center"/>
          </w:tcPr>
          <w:p w14:paraId="282B8EF6" w14:textId="77777777" w:rsidR="00EB6C9E" w:rsidRPr="00EB6C9E" w:rsidRDefault="00EB6C9E" w:rsidP="00C8385E">
            <w:pPr>
              <w:autoSpaceDE w:val="0"/>
              <w:autoSpaceDN w:val="0"/>
              <w:adjustRightInd w:val="0"/>
              <w:spacing w:after="0" w:line="240" w:lineRule="exact"/>
              <w:jc w:val="center"/>
              <w:rPr>
                <w:rFonts w:cs="Arial"/>
                <w:b/>
                <w:bCs/>
                <w:sz w:val="20"/>
                <w:lang w:eastAsia="ja-JP"/>
              </w:rPr>
            </w:pPr>
            <w:r w:rsidRPr="00EB6C9E">
              <w:rPr>
                <w:rFonts w:cs="Arial"/>
                <w:b/>
                <w:bCs/>
                <w:sz w:val="20"/>
                <w:lang w:eastAsia="ja-JP"/>
              </w:rPr>
              <w:t>Modified Progression Free Survival (</w:t>
            </w:r>
            <w:proofErr w:type="spellStart"/>
            <w:r w:rsidRPr="00EB6C9E">
              <w:rPr>
                <w:rFonts w:cs="Arial"/>
                <w:b/>
                <w:bCs/>
                <w:sz w:val="20"/>
                <w:lang w:eastAsia="ja-JP"/>
              </w:rPr>
              <w:t>mPFS</w:t>
            </w:r>
            <w:proofErr w:type="spellEnd"/>
            <w:r w:rsidRPr="00EB6C9E">
              <w:rPr>
                <w:rFonts w:cs="Arial"/>
                <w:b/>
                <w:bCs/>
                <w:sz w:val="20"/>
                <w:lang w:eastAsia="ja-JP"/>
              </w:rPr>
              <w:t>)</w:t>
            </w:r>
          </w:p>
          <w:p w14:paraId="2A183A53" w14:textId="77777777" w:rsidR="00EB6C9E" w:rsidRPr="009A3597" w:rsidRDefault="00EB6C9E" w:rsidP="00C8385E">
            <w:pPr>
              <w:keepNext/>
              <w:spacing w:after="0" w:line="240" w:lineRule="exact"/>
              <w:jc w:val="center"/>
              <w:rPr>
                <w:rFonts w:cs="Arial"/>
                <w:sz w:val="20"/>
                <w:lang w:eastAsia="ja-JP"/>
              </w:rPr>
            </w:pPr>
            <w:r w:rsidRPr="00EB6C9E">
              <w:rPr>
                <w:rFonts w:cs="Arial"/>
                <w:b/>
                <w:bCs/>
                <w:sz w:val="20"/>
                <w:lang w:eastAsia="ja-JP"/>
              </w:rPr>
              <w:t xml:space="preserve">Per </w:t>
            </w:r>
            <w:proofErr w:type="spellStart"/>
            <w:r w:rsidRPr="00EB6C9E">
              <w:rPr>
                <w:rFonts w:cs="Arial"/>
                <w:b/>
                <w:bCs/>
                <w:sz w:val="20"/>
                <w:lang w:eastAsia="ja-JP"/>
              </w:rPr>
              <w:t>IRF</w:t>
            </w:r>
            <w:r w:rsidRPr="00EB6C9E">
              <w:rPr>
                <w:rFonts w:cs="Arial"/>
                <w:b/>
                <w:bCs/>
                <w:sz w:val="20"/>
                <w:vertAlign w:val="superscript"/>
                <w:lang w:eastAsia="ja-JP"/>
              </w:rPr>
              <w:t>a</w:t>
            </w:r>
            <w:proofErr w:type="spellEnd"/>
          </w:p>
        </w:tc>
      </w:tr>
      <w:tr w:rsidR="00300DF9" w:rsidRPr="00C6430E" w14:paraId="661F8280" w14:textId="77777777" w:rsidTr="00C8385E">
        <w:trPr>
          <w:cantSplit/>
          <w:trHeight w:val="693"/>
        </w:trPr>
        <w:tc>
          <w:tcPr>
            <w:tcW w:w="2795" w:type="dxa"/>
            <w:vAlign w:val="center"/>
          </w:tcPr>
          <w:p w14:paraId="6A24100A" w14:textId="77777777" w:rsidR="008D0210" w:rsidRPr="00EB6C9E" w:rsidRDefault="008D0210" w:rsidP="00006E8B">
            <w:pPr>
              <w:keepNext/>
              <w:spacing w:after="0" w:line="240" w:lineRule="exact"/>
              <w:ind w:left="105" w:right="133"/>
              <w:jc w:val="left"/>
              <w:rPr>
                <w:rFonts w:cs="Arial"/>
                <w:b/>
                <w:bCs/>
                <w:sz w:val="20"/>
                <w:lang w:eastAsia="ja-JP"/>
              </w:rPr>
            </w:pPr>
            <w:r w:rsidRPr="00EB6C9E">
              <w:rPr>
                <w:rFonts w:cs="Arial"/>
                <w:b/>
                <w:bCs/>
                <w:sz w:val="20"/>
                <w:lang w:eastAsia="ja-JP"/>
              </w:rPr>
              <w:t>Number of events (%)</w:t>
            </w:r>
          </w:p>
        </w:tc>
        <w:tc>
          <w:tcPr>
            <w:tcW w:w="2028" w:type="dxa"/>
            <w:tcMar>
              <w:top w:w="14" w:type="dxa"/>
              <w:left w:w="98" w:type="dxa"/>
              <w:bottom w:w="0" w:type="dxa"/>
              <w:right w:w="98" w:type="dxa"/>
            </w:tcMar>
            <w:vAlign w:val="center"/>
          </w:tcPr>
          <w:p w14:paraId="0488329E" w14:textId="77777777" w:rsidR="008D0210" w:rsidRPr="009A3597" w:rsidRDefault="008D0210" w:rsidP="00C8385E">
            <w:pPr>
              <w:keepNext/>
              <w:spacing w:after="0" w:line="240" w:lineRule="exact"/>
              <w:jc w:val="center"/>
              <w:rPr>
                <w:rFonts w:cs="Arial"/>
                <w:sz w:val="20"/>
                <w:lang w:eastAsia="ja-JP"/>
              </w:rPr>
            </w:pPr>
            <w:r w:rsidRPr="009A3597">
              <w:rPr>
                <w:rFonts w:cs="Arial"/>
                <w:sz w:val="20"/>
                <w:lang w:eastAsia="ja-JP"/>
              </w:rPr>
              <w:t>117 (18)</w:t>
            </w:r>
          </w:p>
        </w:tc>
        <w:tc>
          <w:tcPr>
            <w:tcW w:w="1890" w:type="dxa"/>
            <w:tcMar>
              <w:top w:w="14" w:type="dxa"/>
              <w:left w:w="98" w:type="dxa"/>
              <w:bottom w:w="0" w:type="dxa"/>
              <w:right w:w="98" w:type="dxa"/>
            </w:tcMar>
            <w:vAlign w:val="center"/>
          </w:tcPr>
          <w:p w14:paraId="780A88D9" w14:textId="77777777" w:rsidR="008D0210" w:rsidRPr="009A3597" w:rsidRDefault="008D0210" w:rsidP="00C8385E">
            <w:pPr>
              <w:keepNext/>
              <w:spacing w:after="0" w:line="240" w:lineRule="exact"/>
              <w:jc w:val="center"/>
              <w:rPr>
                <w:rFonts w:cs="Arial"/>
                <w:sz w:val="20"/>
                <w:lang w:eastAsia="ja-JP"/>
              </w:rPr>
            </w:pPr>
            <w:r w:rsidRPr="009A3597">
              <w:rPr>
                <w:rFonts w:cs="Arial"/>
                <w:sz w:val="20"/>
                <w:lang w:eastAsia="ja-JP"/>
              </w:rPr>
              <w:t>146 (22)</w:t>
            </w:r>
          </w:p>
        </w:tc>
        <w:tc>
          <w:tcPr>
            <w:tcW w:w="2602" w:type="dxa"/>
            <w:vAlign w:val="center"/>
          </w:tcPr>
          <w:p w14:paraId="4730E88A" w14:textId="77777777" w:rsidR="008D0210" w:rsidRPr="009A3597" w:rsidRDefault="008D0210" w:rsidP="00C8385E">
            <w:pPr>
              <w:keepNext/>
              <w:spacing w:after="0" w:line="240" w:lineRule="exact"/>
              <w:jc w:val="center"/>
              <w:rPr>
                <w:rFonts w:cs="Arial"/>
                <w:sz w:val="20"/>
                <w:lang w:eastAsia="ja-JP"/>
              </w:rPr>
            </w:pPr>
            <w:r w:rsidRPr="009A3597">
              <w:rPr>
                <w:rFonts w:cs="Arial"/>
                <w:sz w:val="20"/>
                <w:lang w:eastAsia="ja-JP"/>
              </w:rPr>
              <w:t>0.77</w:t>
            </w:r>
          </w:p>
          <w:p w14:paraId="3A55CBC7" w14:textId="77777777" w:rsidR="008D0210" w:rsidRPr="009A3597" w:rsidRDefault="008D0210" w:rsidP="00C8385E">
            <w:pPr>
              <w:keepNext/>
              <w:spacing w:after="0" w:line="240" w:lineRule="exact"/>
              <w:jc w:val="center"/>
              <w:rPr>
                <w:rFonts w:cs="Arial"/>
                <w:sz w:val="20"/>
                <w:lang w:eastAsia="ja-JP"/>
              </w:rPr>
            </w:pPr>
            <w:r w:rsidRPr="009A3597">
              <w:rPr>
                <w:rFonts w:cs="Arial"/>
                <w:sz w:val="20"/>
                <w:lang w:eastAsia="ja-JP"/>
              </w:rPr>
              <w:t>(95% CI [0.60, 0.98])</w:t>
            </w:r>
          </w:p>
          <w:p w14:paraId="08775C60" w14:textId="77777777" w:rsidR="008D0210" w:rsidRPr="009A3597" w:rsidRDefault="008D0210" w:rsidP="00C8385E">
            <w:pPr>
              <w:keepNext/>
              <w:spacing w:after="0" w:line="240" w:lineRule="exact"/>
              <w:jc w:val="center"/>
              <w:rPr>
                <w:rFonts w:cs="Arial"/>
                <w:sz w:val="20"/>
                <w:lang w:eastAsia="ja-JP"/>
              </w:rPr>
            </w:pPr>
            <w:r w:rsidRPr="009A3597">
              <w:rPr>
                <w:rFonts w:cs="Arial"/>
                <w:sz w:val="20"/>
                <w:lang w:eastAsia="ja-JP"/>
              </w:rPr>
              <w:t>p-value = 0.035</w:t>
            </w:r>
          </w:p>
        </w:tc>
      </w:tr>
      <w:tr w:rsidR="00300DF9" w:rsidRPr="00C6430E" w14:paraId="20DEFEA3" w14:textId="77777777" w:rsidTr="00C8385E">
        <w:trPr>
          <w:cantSplit/>
          <w:trHeight w:val="661"/>
        </w:trPr>
        <w:tc>
          <w:tcPr>
            <w:tcW w:w="2795" w:type="dxa"/>
            <w:vAlign w:val="center"/>
          </w:tcPr>
          <w:p w14:paraId="61DE481B" w14:textId="77777777" w:rsidR="009A3597" w:rsidRPr="00EB6C9E" w:rsidRDefault="008D0210" w:rsidP="00006E8B">
            <w:pPr>
              <w:keepNext/>
              <w:spacing w:after="0" w:line="240" w:lineRule="exact"/>
              <w:ind w:left="105" w:right="133"/>
              <w:jc w:val="left"/>
              <w:rPr>
                <w:rFonts w:cs="Arial"/>
                <w:b/>
                <w:bCs/>
                <w:sz w:val="20"/>
                <w:lang w:eastAsia="ja-JP"/>
              </w:rPr>
            </w:pPr>
            <w:r w:rsidRPr="00EB6C9E">
              <w:rPr>
                <w:rFonts w:cs="Arial"/>
                <w:b/>
                <w:bCs/>
                <w:sz w:val="20"/>
                <w:lang w:eastAsia="ja-JP"/>
              </w:rPr>
              <w:t xml:space="preserve">Estimated </w:t>
            </w:r>
            <w:proofErr w:type="spellStart"/>
            <w:r w:rsidRPr="00EB6C9E">
              <w:rPr>
                <w:rFonts w:cs="Arial"/>
                <w:b/>
                <w:bCs/>
                <w:sz w:val="20"/>
                <w:lang w:eastAsia="ja-JP"/>
              </w:rPr>
              <w:t>mPFS</w:t>
            </w:r>
            <w:r w:rsidRPr="008D0210">
              <w:rPr>
                <w:rFonts w:cs="Arial"/>
                <w:b/>
                <w:bCs/>
                <w:sz w:val="20"/>
                <w:vertAlign w:val="superscript"/>
                <w:lang w:eastAsia="ja-JP"/>
              </w:rPr>
              <w:t>a</w:t>
            </w:r>
            <w:proofErr w:type="spellEnd"/>
            <w:r w:rsidRPr="00EB6C9E">
              <w:rPr>
                <w:rFonts w:cs="Arial"/>
                <w:b/>
                <w:bCs/>
                <w:sz w:val="20"/>
                <w:lang w:eastAsia="ja-JP"/>
              </w:rPr>
              <w:t xml:space="preserve"> per IRF at 2 Year (%)</w:t>
            </w:r>
          </w:p>
        </w:tc>
        <w:tc>
          <w:tcPr>
            <w:tcW w:w="2028" w:type="dxa"/>
            <w:tcMar>
              <w:top w:w="14" w:type="dxa"/>
              <w:left w:w="98" w:type="dxa"/>
              <w:bottom w:w="0" w:type="dxa"/>
              <w:right w:w="98" w:type="dxa"/>
            </w:tcMar>
            <w:vAlign w:val="center"/>
          </w:tcPr>
          <w:p w14:paraId="27812B52" w14:textId="77777777" w:rsidR="008D0210" w:rsidRPr="009A3597" w:rsidRDefault="008D0210" w:rsidP="00C8385E">
            <w:pPr>
              <w:keepNext/>
              <w:spacing w:after="0" w:line="240" w:lineRule="exact"/>
              <w:jc w:val="center"/>
              <w:rPr>
                <w:rFonts w:cs="Arial"/>
                <w:sz w:val="20"/>
                <w:lang w:eastAsia="ja-JP"/>
              </w:rPr>
            </w:pPr>
            <w:r w:rsidRPr="009A3597">
              <w:rPr>
                <w:rFonts w:cs="Arial"/>
                <w:sz w:val="20"/>
                <w:lang w:eastAsia="ja-JP"/>
              </w:rPr>
              <w:t>82.1</w:t>
            </w:r>
          </w:p>
          <w:p w14:paraId="2167B7C4" w14:textId="77777777" w:rsidR="009A3597" w:rsidRPr="009A3597" w:rsidRDefault="008D0210" w:rsidP="00C8385E">
            <w:pPr>
              <w:keepNext/>
              <w:spacing w:after="0" w:line="240" w:lineRule="exact"/>
              <w:jc w:val="center"/>
              <w:rPr>
                <w:rFonts w:cs="Arial"/>
                <w:sz w:val="20"/>
                <w:lang w:eastAsia="ja-JP"/>
              </w:rPr>
            </w:pPr>
            <w:r w:rsidRPr="009A3597">
              <w:rPr>
                <w:rFonts w:cs="Arial"/>
                <w:sz w:val="20"/>
                <w:lang w:eastAsia="ja-JP"/>
              </w:rPr>
              <w:t>(95% CI [78.8, 85.0])</w:t>
            </w:r>
          </w:p>
        </w:tc>
        <w:tc>
          <w:tcPr>
            <w:tcW w:w="1890" w:type="dxa"/>
            <w:tcMar>
              <w:top w:w="14" w:type="dxa"/>
              <w:left w:w="98" w:type="dxa"/>
              <w:bottom w:w="0" w:type="dxa"/>
              <w:right w:w="98" w:type="dxa"/>
            </w:tcMar>
            <w:vAlign w:val="center"/>
          </w:tcPr>
          <w:p w14:paraId="23019EEA" w14:textId="77777777" w:rsidR="008D0210" w:rsidRPr="009A3597" w:rsidRDefault="008D0210" w:rsidP="00C8385E">
            <w:pPr>
              <w:keepNext/>
              <w:spacing w:after="0" w:line="240" w:lineRule="exact"/>
              <w:jc w:val="center"/>
              <w:rPr>
                <w:rFonts w:cs="Arial"/>
                <w:sz w:val="20"/>
                <w:lang w:eastAsia="ja-JP"/>
              </w:rPr>
            </w:pPr>
            <w:r w:rsidRPr="009A3597">
              <w:rPr>
                <w:rFonts w:cs="Arial"/>
                <w:sz w:val="20"/>
                <w:lang w:eastAsia="ja-JP"/>
              </w:rPr>
              <w:t>77.2</w:t>
            </w:r>
          </w:p>
          <w:p w14:paraId="103A4024" w14:textId="77777777" w:rsidR="009A3597" w:rsidRPr="009A3597" w:rsidRDefault="008D0210" w:rsidP="00C8385E">
            <w:pPr>
              <w:keepNext/>
              <w:spacing w:after="0" w:line="240" w:lineRule="exact"/>
              <w:jc w:val="center"/>
              <w:rPr>
                <w:rFonts w:cs="Arial"/>
                <w:sz w:val="20"/>
                <w:lang w:eastAsia="ja-JP"/>
              </w:rPr>
            </w:pPr>
            <w:r w:rsidRPr="009A3597">
              <w:rPr>
                <w:rFonts w:cs="Arial"/>
                <w:sz w:val="20"/>
                <w:lang w:eastAsia="ja-JP"/>
              </w:rPr>
              <w:t>(95% CI [73.7, 80.4])</w:t>
            </w:r>
          </w:p>
        </w:tc>
        <w:tc>
          <w:tcPr>
            <w:tcW w:w="2602" w:type="dxa"/>
            <w:vAlign w:val="center"/>
          </w:tcPr>
          <w:p w14:paraId="25BB6358" w14:textId="77777777" w:rsidR="009A3597" w:rsidRPr="009A3597" w:rsidRDefault="009A3597" w:rsidP="00C8385E">
            <w:pPr>
              <w:keepNext/>
              <w:spacing w:after="0" w:line="240" w:lineRule="exact"/>
              <w:jc w:val="center"/>
              <w:rPr>
                <w:rFonts w:cs="Arial"/>
                <w:sz w:val="20"/>
                <w:lang w:eastAsia="ja-JP"/>
              </w:rPr>
            </w:pPr>
          </w:p>
        </w:tc>
      </w:tr>
      <w:tr w:rsidR="00300DF9" w:rsidRPr="00C6430E" w14:paraId="58DEDB11" w14:textId="77777777" w:rsidTr="00C8385E">
        <w:trPr>
          <w:cantSplit/>
          <w:trHeight w:val="474"/>
        </w:trPr>
        <w:tc>
          <w:tcPr>
            <w:tcW w:w="2795" w:type="dxa"/>
            <w:vAlign w:val="center"/>
          </w:tcPr>
          <w:p w14:paraId="25DB7AA0" w14:textId="77777777" w:rsidR="008D0210" w:rsidRPr="00EB6C9E" w:rsidRDefault="008D0210" w:rsidP="00006E8B">
            <w:pPr>
              <w:keepNext/>
              <w:spacing w:after="0" w:line="240" w:lineRule="exact"/>
              <w:ind w:left="105" w:right="133"/>
              <w:jc w:val="left"/>
              <w:rPr>
                <w:rFonts w:cs="Arial"/>
                <w:b/>
                <w:bCs/>
                <w:sz w:val="20"/>
                <w:lang w:eastAsia="ja-JP"/>
              </w:rPr>
            </w:pPr>
          </w:p>
        </w:tc>
        <w:tc>
          <w:tcPr>
            <w:tcW w:w="6520" w:type="dxa"/>
            <w:gridSpan w:val="3"/>
            <w:tcMar>
              <w:top w:w="14" w:type="dxa"/>
              <w:left w:w="98" w:type="dxa"/>
              <w:bottom w:w="0" w:type="dxa"/>
              <w:right w:w="98" w:type="dxa"/>
            </w:tcMar>
            <w:vAlign w:val="center"/>
          </w:tcPr>
          <w:p w14:paraId="6FFC0392" w14:textId="77777777" w:rsidR="008D0210" w:rsidRPr="008D0210" w:rsidRDefault="008D0210" w:rsidP="00C8385E">
            <w:pPr>
              <w:keepNext/>
              <w:spacing w:after="0" w:line="240" w:lineRule="exact"/>
              <w:jc w:val="center"/>
              <w:rPr>
                <w:rFonts w:cs="Arial"/>
                <w:b/>
                <w:bCs/>
                <w:sz w:val="20"/>
                <w:lang w:eastAsia="ja-JP"/>
              </w:rPr>
            </w:pPr>
            <w:r w:rsidRPr="008D0210">
              <w:rPr>
                <w:rFonts w:cs="Arial"/>
                <w:b/>
                <w:bCs/>
                <w:sz w:val="20"/>
                <w:lang w:eastAsia="ja-JP"/>
              </w:rPr>
              <w:t>Modified Progression Free Survival (</w:t>
            </w:r>
            <w:proofErr w:type="spellStart"/>
            <w:r w:rsidRPr="008D0210">
              <w:rPr>
                <w:rFonts w:cs="Arial"/>
                <w:b/>
                <w:bCs/>
                <w:sz w:val="20"/>
                <w:lang w:eastAsia="ja-JP"/>
              </w:rPr>
              <w:t>mPFS</w:t>
            </w:r>
            <w:proofErr w:type="spellEnd"/>
            <w:r w:rsidRPr="008D0210">
              <w:rPr>
                <w:rFonts w:cs="Arial"/>
                <w:b/>
                <w:bCs/>
                <w:sz w:val="20"/>
                <w:lang w:eastAsia="ja-JP"/>
              </w:rPr>
              <w:t>)</w:t>
            </w:r>
          </w:p>
          <w:p w14:paraId="3221E1C4" w14:textId="77777777" w:rsidR="008D0210" w:rsidRPr="009A3597" w:rsidRDefault="008D0210" w:rsidP="00C8385E">
            <w:pPr>
              <w:keepNext/>
              <w:spacing w:after="0" w:line="240" w:lineRule="exact"/>
              <w:jc w:val="center"/>
              <w:rPr>
                <w:rFonts w:cs="Arial"/>
                <w:sz w:val="20"/>
                <w:lang w:eastAsia="ja-JP"/>
              </w:rPr>
            </w:pPr>
            <w:r w:rsidRPr="008D0210">
              <w:rPr>
                <w:rFonts w:cs="Arial"/>
                <w:b/>
                <w:bCs/>
                <w:sz w:val="20"/>
                <w:lang w:eastAsia="ja-JP"/>
              </w:rPr>
              <w:t>Per Investigator</w:t>
            </w:r>
          </w:p>
        </w:tc>
      </w:tr>
      <w:tr w:rsidR="00300DF9" w:rsidRPr="00C6430E" w14:paraId="75A061AD" w14:textId="77777777" w:rsidTr="00C8385E">
        <w:trPr>
          <w:cantSplit/>
          <w:trHeight w:val="396"/>
        </w:trPr>
        <w:tc>
          <w:tcPr>
            <w:tcW w:w="2795" w:type="dxa"/>
            <w:vAlign w:val="center"/>
          </w:tcPr>
          <w:p w14:paraId="78870439" w14:textId="77777777" w:rsidR="008D0210" w:rsidRPr="00EB6C9E" w:rsidRDefault="008D0210" w:rsidP="00006E8B">
            <w:pPr>
              <w:keepNext/>
              <w:spacing w:after="0" w:line="240" w:lineRule="exact"/>
              <w:ind w:left="105" w:right="133"/>
              <w:jc w:val="left"/>
              <w:rPr>
                <w:rFonts w:cs="Arial"/>
                <w:b/>
                <w:bCs/>
                <w:sz w:val="20"/>
                <w:lang w:eastAsia="ja-JP"/>
              </w:rPr>
            </w:pPr>
            <w:r w:rsidRPr="00EB6C9E">
              <w:rPr>
                <w:rFonts w:cs="Arial"/>
                <w:b/>
                <w:bCs/>
                <w:sz w:val="20"/>
                <w:lang w:eastAsia="ja-JP"/>
              </w:rPr>
              <w:t>Number of events (%)</w:t>
            </w:r>
          </w:p>
        </w:tc>
        <w:tc>
          <w:tcPr>
            <w:tcW w:w="2028" w:type="dxa"/>
            <w:tcMar>
              <w:top w:w="14" w:type="dxa"/>
              <w:left w:w="98" w:type="dxa"/>
              <w:bottom w:w="0" w:type="dxa"/>
              <w:right w:w="98" w:type="dxa"/>
            </w:tcMar>
            <w:vAlign w:val="center"/>
          </w:tcPr>
          <w:p w14:paraId="6EB9F1DF" w14:textId="77777777" w:rsidR="008D0210" w:rsidRPr="009A3597" w:rsidRDefault="008D0210" w:rsidP="00C8385E">
            <w:pPr>
              <w:keepNext/>
              <w:spacing w:after="0" w:line="240" w:lineRule="exact"/>
              <w:jc w:val="center"/>
              <w:rPr>
                <w:rFonts w:cs="Arial"/>
                <w:sz w:val="20"/>
                <w:lang w:eastAsia="ja-JP"/>
              </w:rPr>
            </w:pPr>
            <w:r w:rsidRPr="008D0210">
              <w:rPr>
                <w:rFonts w:cs="Arial"/>
                <w:sz w:val="20"/>
                <w:lang w:eastAsia="ja-JP"/>
              </w:rPr>
              <w:t>123 (19)</w:t>
            </w:r>
          </w:p>
        </w:tc>
        <w:tc>
          <w:tcPr>
            <w:tcW w:w="1890" w:type="dxa"/>
            <w:tcMar>
              <w:top w:w="14" w:type="dxa"/>
              <w:left w:w="98" w:type="dxa"/>
              <w:bottom w:w="0" w:type="dxa"/>
              <w:right w:w="98" w:type="dxa"/>
            </w:tcMar>
            <w:vAlign w:val="center"/>
          </w:tcPr>
          <w:p w14:paraId="6E80D8E4" w14:textId="77777777" w:rsidR="008D0210" w:rsidRPr="009A3597" w:rsidRDefault="008D0210" w:rsidP="00C8385E">
            <w:pPr>
              <w:keepNext/>
              <w:spacing w:after="0" w:line="240" w:lineRule="exact"/>
              <w:jc w:val="center"/>
              <w:rPr>
                <w:rFonts w:cs="Arial"/>
                <w:sz w:val="20"/>
                <w:lang w:eastAsia="ja-JP"/>
              </w:rPr>
            </w:pPr>
            <w:r w:rsidRPr="008D0210">
              <w:rPr>
                <w:rFonts w:cs="Arial"/>
                <w:sz w:val="20"/>
                <w:lang w:eastAsia="ja-JP"/>
              </w:rPr>
              <w:t>164 (24)</w:t>
            </w:r>
          </w:p>
        </w:tc>
        <w:tc>
          <w:tcPr>
            <w:tcW w:w="2602" w:type="dxa"/>
            <w:vAlign w:val="center"/>
          </w:tcPr>
          <w:p w14:paraId="600D9DC9" w14:textId="77777777" w:rsidR="008D0210" w:rsidRPr="008D0210" w:rsidRDefault="008D0210" w:rsidP="00C8385E">
            <w:pPr>
              <w:autoSpaceDE w:val="0"/>
              <w:autoSpaceDN w:val="0"/>
              <w:adjustRightInd w:val="0"/>
              <w:spacing w:after="0"/>
              <w:jc w:val="center"/>
              <w:rPr>
                <w:rFonts w:cs="Arial"/>
                <w:sz w:val="20"/>
                <w:lang w:eastAsia="ja-JP"/>
              </w:rPr>
            </w:pPr>
            <w:r w:rsidRPr="008D0210">
              <w:rPr>
                <w:rFonts w:cs="Arial"/>
                <w:sz w:val="20"/>
                <w:lang w:eastAsia="ja-JP"/>
              </w:rPr>
              <w:t>0.72</w:t>
            </w:r>
          </w:p>
          <w:p w14:paraId="056B04B6" w14:textId="77777777" w:rsidR="008D0210" w:rsidRPr="009A3597" w:rsidRDefault="008D0210" w:rsidP="00C8385E">
            <w:pPr>
              <w:keepNext/>
              <w:spacing w:after="0" w:line="240" w:lineRule="exact"/>
              <w:jc w:val="center"/>
              <w:rPr>
                <w:rFonts w:cs="Arial"/>
                <w:sz w:val="20"/>
                <w:lang w:eastAsia="ja-JP"/>
              </w:rPr>
            </w:pPr>
            <w:r w:rsidRPr="008D0210">
              <w:rPr>
                <w:rFonts w:cs="Arial"/>
                <w:sz w:val="20"/>
                <w:lang w:eastAsia="ja-JP"/>
              </w:rPr>
              <w:t>(95% CI [0.57, 0.91])</w:t>
            </w:r>
          </w:p>
        </w:tc>
      </w:tr>
      <w:tr w:rsidR="00300DF9" w:rsidRPr="00C6430E" w14:paraId="6AC12801" w14:textId="77777777" w:rsidTr="00C8385E">
        <w:trPr>
          <w:cantSplit/>
          <w:trHeight w:val="300"/>
        </w:trPr>
        <w:tc>
          <w:tcPr>
            <w:tcW w:w="2795" w:type="dxa"/>
            <w:vMerge w:val="restart"/>
            <w:vAlign w:val="center"/>
          </w:tcPr>
          <w:p w14:paraId="5D302400" w14:textId="088DA7DC" w:rsidR="008D0210" w:rsidRPr="00EB6C9E" w:rsidRDefault="008D0210" w:rsidP="00006E8B">
            <w:pPr>
              <w:keepNext/>
              <w:spacing w:after="0" w:line="240" w:lineRule="exact"/>
              <w:ind w:left="105" w:right="133"/>
              <w:jc w:val="left"/>
              <w:rPr>
                <w:rFonts w:cs="Arial"/>
                <w:b/>
                <w:bCs/>
                <w:sz w:val="20"/>
                <w:lang w:eastAsia="ja-JP"/>
              </w:rPr>
            </w:pPr>
            <w:r w:rsidRPr="008D0210">
              <w:rPr>
                <w:rFonts w:cs="Arial"/>
                <w:b/>
                <w:bCs/>
                <w:sz w:val="20"/>
                <w:lang w:eastAsia="ja-JP"/>
              </w:rPr>
              <w:t xml:space="preserve">Number of Deaths </w:t>
            </w:r>
            <w:r w:rsidR="009D1B3F">
              <w:rPr>
                <w:rFonts w:cs="Arial"/>
                <w:b/>
                <w:bCs/>
                <w:sz w:val="20"/>
                <w:lang w:eastAsia="ja-JP"/>
              </w:rPr>
              <w:t xml:space="preserve">at first pre-specified interim </w:t>
            </w:r>
            <w:proofErr w:type="gramStart"/>
            <w:r w:rsidR="009D1B3F">
              <w:rPr>
                <w:rFonts w:cs="Arial"/>
                <w:b/>
                <w:bCs/>
                <w:sz w:val="20"/>
                <w:lang w:eastAsia="ja-JP"/>
              </w:rPr>
              <w:t>analysis</w:t>
            </w:r>
            <w:r w:rsidRPr="008D0210">
              <w:rPr>
                <w:rFonts w:cs="Arial"/>
                <w:b/>
                <w:bCs/>
                <w:sz w:val="20"/>
                <w:lang w:eastAsia="ja-JP"/>
              </w:rPr>
              <w:t>(</w:t>
            </w:r>
            <w:proofErr w:type="gramEnd"/>
            <w:r w:rsidRPr="008D0210">
              <w:rPr>
                <w:rFonts w:cs="Arial"/>
                <w:b/>
                <w:bCs/>
                <w:sz w:val="20"/>
                <w:lang w:eastAsia="ja-JP"/>
              </w:rPr>
              <w:t>%)</w:t>
            </w:r>
            <w:r w:rsidR="0000471B" w:rsidRPr="0000471B">
              <w:rPr>
                <w:rFonts w:cs="Arial"/>
                <w:b/>
                <w:bCs/>
                <w:sz w:val="20"/>
                <w:vertAlign w:val="superscript"/>
                <w:lang w:eastAsia="ja-JP"/>
              </w:rPr>
              <w:t>b</w:t>
            </w:r>
          </w:p>
        </w:tc>
        <w:tc>
          <w:tcPr>
            <w:tcW w:w="6520" w:type="dxa"/>
            <w:gridSpan w:val="3"/>
            <w:tcMar>
              <w:top w:w="14" w:type="dxa"/>
              <w:left w:w="98" w:type="dxa"/>
              <w:bottom w:w="0" w:type="dxa"/>
              <w:right w:w="98" w:type="dxa"/>
            </w:tcMar>
            <w:vAlign w:val="center"/>
          </w:tcPr>
          <w:p w14:paraId="1AE1FD5A" w14:textId="29D6DF59" w:rsidR="008D0210" w:rsidRPr="008D0210" w:rsidRDefault="008D0210" w:rsidP="00C8385E">
            <w:pPr>
              <w:keepNext/>
              <w:spacing w:after="0" w:line="240" w:lineRule="exact"/>
              <w:jc w:val="center"/>
              <w:rPr>
                <w:rFonts w:cs="Arial"/>
                <w:sz w:val="20"/>
                <w:lang w:eastAsia="ja-JP"/>
              </w:rPr>
            </w:pPr>
            <w:r w:rsidRPr="008D0210">
              <w:rPr>
                <w:rFonts w:cs="Arial"/>
                <w:sz w:val="20"/>
                <w:lang w:eastAsia="ja-JP"/>
              </w:rPr>
              <w:t>Overall Survival</w:t>
            </w:r>
          </w:p>
        </w:tc>
      </w:tr>
      <w:tr w:rsidR="00300DF9" w:rsidRPr="00C6430E" w14:paraId="62AB90CA" w14:textId="77777777" w:rsidTr="009D1B3F">
        <w:trPr>
          <w:cantSplit/>
          <w:trHeight w:val="732"/>
        </w:trPr>
        <w:tc>
          <w:tcPr>
            <w:tcW w:w="2795" w:type="dxa"/>
            <w:vMerge/>
            <w:vAlign w:val="center"/>
          </w:tcPr>
          <w:p w14:paraId="0F28A50E" w14:textId="77777777" w:rsidR="008D0210" w:rsidRPr="00EB6C9E" w:rsidRDefault="008D0210" w:rsidP="00006E8B">
            <w:pPr>
              <w:keepNext/>
              <w:spacing w:after="0" w:line="240" w:lineRule="exact"/>
              <w:ind w:left="105" w:right="133"/>
              <w:jc w:val="left"/>
              <w:rPr>
                <w:rFonts w:cs="Arial"/>
                <w:b/>
                <w:bCs/>
                <w:sz w:val="20"/>
                <w:lang w:eastAsia="ja-JP"/>
              </w:rPr>
            </w:pPr>
          </w:p>
        </w:tc>
        <w:tc>
          <w:tcPr>
            <w:tcW w:w="2028" w:type="dxa"/>
            <w:tcMar>
              <w:top w:w="14" w:type="dxa"/>
              <w:left w:w="98" w:type="dxa"/>
              <w:bottom w:w="0" w:type="dxa"/>
              <w:right w:w="98" w:type="dxa"/>
            </w:tcMar>
            <w:vAlign w:val="center"/>
          </w:tcPr>
          <w:p w14:paraId="2550B2C6" w14:textId="77777777" w:rsidR="008D0210" w:rsidRPr="009A3597" w:rsidRDefault="008D0210" w:rsidP="00C8385E">
            <w:pPr>
              <w:keepNext/>
              <w:spacing w:after="0" w:line="240" w:lineRule="exact"/>
              <w:jc w:val="center"/>
              <w:rPr>
                <w:rFonts w:cs="Arial"/>
                <w:sz w:val="20"/>
                <w:lang w:eastAsia="ja-JP"/>
              </w:rPr>
            </w:pPr>
            <w:r w:rsidRPr="009A3597">
              <w:rPr>
                <w:rFonts w:cs="Arial"/>
                <w:sz w:val="20"/>
                <w:lang w:eastAsia="ja-JP"/>
              </w:rPr>
              <w:t>28 (4)</w:t>
            </w:r>
          </w:p>
        </w:tc>
        <w:tc>
          <w:tcPr>
            <w:tcW w:w="1890" w:type="dxa"/>
            <w:tcMar>
              <w:top w:w="14" w:type="dxa"/>
              <w:left w:w="98" w:type="dxa"/>
              <w:bottom w:w="0" w:type="dxa"/>
              <w:right w:w="98" w:type="dxa"/>
            </w:tcMar>
            <w:vAlign w:val="center"/>
          </w:tcPr>
          <w:p w14:paraId="23E7219C" w14:textId="77777777" w:rsidR="008D0210" w:rsidRPr="009A3597" w:rsidRDefault="008D0210" w:rsidP="00C8385E">
            <w:pPr>
              <w:keepNext/>
              <w:spacing w:after="0" w:line="240" w:lineRule="exact"/>
              <w:jc w:val="center"/>
              <w:rPr>
                <w:rFonts w:cs="Arial"/>
                <w:sz w:val="20"/>
                <w:lang w:eastAsia="ja-JP"/>
              </w:rPr>
            </w:pPr>
            <w:r w:rsidRPr="009A3597">
              <w:rPr>
                <w:rFonts w:cs="Arial"/>
                <w:sz w:val="20"/>
                <w:lang w:eastAsia="ja-JP"/>
              </w:rPr>
              <w:t>39 (6)</w:t>
            </w:r>
          </w:p>
        </w:tc>
        <w:tc>
          <w:tcPr>
            <w:tcW w:w="2602" w:type="dxa"/>
            <w:vAlign w:val="center"/>
          </w:tcPr>
          <w:p w14:paraId="750122AE" w14:textId="77777777" w:rsidR="008D0210" w:rsidRPr="009A3597" w:rsidRDefault="008D0210" w:rsidP="00C8385E">
            <w:pPr>
              <w:keepNext/>
              <w:spacing w:after="0" w:line="240" w:lineRule="exact"/>
              <w:jc w:val="center"/>
              <w:rPr>
                <w:rFonts w:cs="Arial"/>
                <w:sz w:val="20"/>
                <w:lang w:eastAsia="ja-JP"/>
              </w:rPr>
            </w:pPr>
            <w:r w:rsidRPr="009A3597">
              <w:rPr>
                <w:rFonts w:cs="Arial"/>
                <w:sz w:val="20"/>
                <w:lang w:eastAsia="ja-JP"/>
              </w:rPr>
              <w:t>0.73</w:t>
            </w:r>
          </w:p>
          <w:p w14:paraId="479C5237" w14:textId="77777777" w:rsidR="008D0210" w:rsidRPr="009A3597" w:rsidRDefault="008D0210" w:rsidP="00C8385E">
            <w:pPr>
              <w:keepNext/>
              <w:spacing w:after="0" w:line="240" w:lineRule="exact"/>
              <w:jc w:val="center"/>
              <w:rPr>
                <w:rFonts w:cs="Arial"/>
                <w:sz w:val="20"/>
                <w:lang w:eastAsia="ja-JP"/>
              </w:rPr>
            </w:pPr>
            <w:r w:rsidRPr="009A3597">
              <w:rPr>
                <w:rFonts w:cs="Arial"/>
                <w:sz w:val="20"/>
                <w:lang w:eastAsia="ja-JP"/>
              </w:rPr>
              <w:t>(95% CI [0.45, 1.18])</w:t>
            </w:r>
          </w:p>
          <w:p w14:paraId="530ADC20" w14:textId="4A1EA505" w:rsidR="008D0210" w:rsidRPr="009A3597" w:rsidRDefault="008D0210" w:rsidP="00C8385E">
            <w:pPr>
              <w:keepNext/>
              <w:spacing w:after="0" w:line="240" w:lineRule="exact"/>
              <w:jc w:val="center"/>
              <w:rPr>
                <w:rFonts w:cs="Arial"/>
                <w:sz w:val="20"/>
                <w:lang w:eastAsia="ja-JP"/>
              </w:rPr>
            </w:pPr>
            <w:r w:rsidRPr="009A3597">
              <w:rPr>
                <w:rFonts w:cs="Arial"/>
                <w:sz w:val="20"/>
                <w:lang w:eastAsia="ja-JP"/>
              </w:rPr>
              <w:t>p-value = 0.199</w:t>
            </w:r>
          </w:p>
        </w:tc>
      </w:tr>
      <w:tr w:rsidR="0000471B" w:rsidRPr="00C6430E" w14:paraId="6435FB69" w14:textId="77777777" w:rsidTr="008D0210">
        <w:trPr>
          <w:cantSplit/>
          <w:trHeight w:val="670"/>
        </w:trPr>
        <w:tc>
          <w:tcPr>
            <w:tcW w:w="2795" w:type="dxa"/>
            <w:vAlign w:val="center"/>
          </w:tcPr>
          <w:p w14:paraId="4FBE4BFB" w14:textId="1FC69F91" w:rsidR="0000471B" w:rsidRPr="00EB6C9E" w:rsidRDefault="0000471B" w:rsidP="00006E8B">
            <w:pPr>
              <w:keepNext/>
              <w:spacing w:after="0" w:line="240" w:lineRule="exact"/>
              <w:ind w:left="105" w:right="133"/>
              <w:jc w:val="left"/>
              <w:rPr>
                <w:rFonts w:cs="Arial"/>
                <w:b/>
                <w:bCs/>
                <w:sz w:val="20"/>
                <w:lang w:eastAsia="ja-JP"/>
              </w:rPr>
            </w:pPr>
            <w:r>
              <w:rPr>
                <w:rFonts w:cs="Arial"/>
                <w:b/>
                <w:bCs/>
                <w:sz w:val="20"/>
                <w:lang w:eastAsia="ja-JP"/>
              </w:rPr>
              <w:t xml:space="preserve">Number of Deaths </w:t>
            </w:r>
            <w:r w:rsidR="009D1B3F">
              <w:rPr>
                <w:rFonts w:cs="Arial"/>
                <w:b/>
                <w:bCs/>
                <w:sz w:val="20"/>
                <w:lang w:eastAsia="ja-JP"/>
              </w:rPr>
              <w:t xml:space="preserve">at second interim </w:t>
            </w:r>
            <w:proofErr w:type="gramStart"/>
            <w:r w:rsidR="009D1B3F">
              <w:rPr>
                <w:rFonts w:cs="Arial"/>
                <w:b/>
                <w:bCs/>
                <w:sz w:val="20"/>
                <w:lang w:eastAsia="ja-JP"/>
              </w:rPr>
              <w:t>analysis</w:t>
            </w:r>
            <w:r>
              <w:rPr>
                <w:rFonts w:cs="Arial"/>
                <w:b/>
                <w:bCs/>
                <w:sz w:val="20"/>
                <w:lang w:eastAsia="ja-JP"/>
              </w:rPr>
              <w:t>(</w:t>
            </w:r>
            <w:proofErr w:type="gramEnd"/>
            <w:r>
              <w:rPr>
                <w:rFonts w:cs="Arial"/>
                <w:b/>
                <w:bCs/>
                <w:sz w:val="20"/>
                <w:lang w:eastAsia="ja-JP"/>
              </w:rPr>
              <w:t>%)</w:t>
            </w:r>
            <w:r w:rsidRPr="0000471B">
              <w:rPr>
                <w:rFonts w:cs="Arial"/>
                <w:b/>
                <w:bCs/>
                <w:sz w:val="20"/>
                <w:vertAlign w:val="superscript"/>
                <w:lang w:eastAsia="ja-JP"/>
              </w:rPr>
              <w:t>c</w:t>
            </w:r>
          </w:p>
        </w:tc>
        <w:tc>
          <w:tcPr>
            <w:tcW w:w="2028" w:type="dxa"/>
            <w:tcMar>
              <w:top w:w="14" w:type="dxa"/>
              <w:left w:w="98" w:type="dxa"/>
              <w:bottom w:w="0" w:type="dxa"/>
              <w:right w:w="98" w:type="dxa"/>
            </w:tcMar>
            <w:vAlign w:val="center"/>
          </w:tcPr>
          <w:p w14:paraId="5275CE4C" w14:textId="4EE617EB" w:rsidR="0000471B" w:rsidRPr="009A3597" w:rsidRDefault="0000471B" w:rsidP="00C8385E">
            <w:pPr>
              <w:keepNext/>
              <w:spacing w:after="0" w:line="240" w:lineRule="exact"/>
              <w:jc w:val="center"/>
              <w:rPr>
                <w:rFonts w:cs="Arial"/>
                <w:sz w:val="20"/>
                <w:lang w:eastAsia="ja-JP"/>
              </w:rPr>
            </w:pPr>
            <w:r>
              <w:rPr>
                <w:rFonts w:cs="Arial"/>
                <w:sz w:val="20"/>
                <w:lang w:eastAsia="ja-JP"/>
              </w:rPr>
              <w:t>39 (6)</w:t>
            </w:r>
          </w:p>
        </w:tc>
        <w:tc>
          <w:tcPr>
            <w:tcW w:w="1890" w:type="dxa"/>
            <w:tcMar>
              <w:top w:w="14" w:type="dxa"/>
              <w:left w:w="98" w:type="dxa"/>
              <w:bottom w:w="0" w:type="dxa"/>
              <w:right w:w="98" w:type="dxa"/>
            </w:tcMar>
            <w:vAlign w:val="center"/>
          </w:tcPr>
          <w:p w14:paraId="0C782BF4" w14:textId="669E2BF6" w:rsidR="0000471B" w:rsidRPr="009A3597" w:rsidRDefault="0000471B" w:rsidP="00C8385E">
            <w:pPr>
              <w:keepNext/>
              <w:spacing w:after="0" w:line="240" w:lineRule="exact"/>
              <w:jc w:val="center"/>
              <w:rPr>
                <w:rFonts w:cs="Arial"/>
                <w:sz w:val="20"/>
                <w:lang w:eastAsia="ja-JP"/>
              </w:rPr>
            </w:pPr>
            <w:r>
              <w:rPr>
                <w:rFonts w:cs="Arial"/>
                <w:sz w:val="20"/>
                <w:lang w:eastAsia="ja-JP"/>
              </w:rPr>
              <w:t>64 (10)</w:t>
            </w:r>
          </w:p>
        </w:tc>
        <w:tc>
          <w:tcPr>
            <w:tcW w:w="2602" w:type="dxa"/>
            <w:vAlign w:val="center"/>
          </w:tcPr>
          <w:p w14:paraId="37AA7203" w14:textId="77777777" w:rsidR="0000471B" w:rsidRDefault="0000471B" w:rsidP="00C8385E">
            <w:pPr>
              <w:keepNext/>
              <w:spacing w:after="0" w:line="240" w:lineRule="exact"/>
              <w:jc w:val="center"/>
              <w:rPr>
                <w:rFonts w:cs="Arial"/>
                <w:sz w:val="20"/>
                <w:lang w:eastAsia="ja-JP"/>
              </w:rPr>
            </w:pPr>
            <w:r>
              <w:rPr>
                <w:rFonts w:cs="Arial"/>
                <w:sz w:val="20"/>
                <w:lang w:eastAsia="ja-JP"/>
              </w:rPr>
              <w:t>0.59</w:t>
            </w:r>
          </w:p>
          <w:p w14:paraId="541AC7BC" w14:textId="77777777" w:rsidR="0000471B" w:rsidRDefault="0000471B" w:rsidP="00C8385E">
            <w:pPr>
              <w:keepNext/>
              <w:spacing w:after="0" w:line="240" w:lineRule="exact"/>
              <w:jc w:val="center"/>
              <w:rPr>
                <w:rFonts w:cs="Arial"/>
                <w:sz w:val="20"/>
                <w:lang w:eastAsia="ja-JP"/>
              </w:rPr>
            </w:pPr>
            <w:r>
              <w:rPr>
                <w:rFonts w:cs="Arial"/>
                <w:sz w:val="20"/>
                <w:lang w:eastAsia="ja-JP"/>
              </w:rPr>
              <w:t>(95% CI [0.396, 0.879]</w:t>
            </w:r>
          </w:p>
          <w:p w14:paraId="793AEA28" w14:textId="227F8C44" w:rsidR="0000471B" w:rsidRPr="009A3597" w:rsidRDefault="0000471B" w:rsidP="00C8385E">
            <w:pPr>
              <w:keepNext/>
              <w:spacing w:after="0" w:line="240" w:lineRule="exact"/>
              <w:jc w:val="center"/>
              <w:rPr>
                <w:rFonts w:cs="Arial"/>
                <w:sz w:val="20"/>
                <w:lang w:eastAsia="ja-JP"/>
              </w:rPr>
            </w:pPr>
            <w:r>
              <w:rPr>
                <w:rFonts w:cs="Arial"/>
                <w:sz w:val="20"/>
                <w:lang w:eastAsia="ja-JP"/>
              </w:rPr>
              <w:t>p-value = 0.009</w:t>
            </w:r>
          </w:p>
        </w:tc>
      </w:tr>
    </w:tbl>
    <w:p w14:paraId="6ADE7510" w14:textId="77777777" w:rsidR="009A3597" w:rsidRDefault="00BB2561" w:rsidP="009A3597">
      <w:pPr>
        <w:autoSpaceDE w:val="0"/>
        <w:autoSpaceDN w:val="0"/>
        <w:adjustRightInd w:val="0"/>
        <w:spacing w:after="0"/>
        <w:jc w:val="left"/>
        <w:rPr>
          <w:rFonts w:ascii="TimesNewRomanPSMT" w:hAnsi="TimesNewRomanPSMT" w:cs="TimesNewRomanPSMT"/>
          <w:color w:val="000000"/>
          <w:sz w:val="16"/>
          <w:szCs w:val="16"/>
          <w:lang w:eastAsia="en-GB"/>
        </w:rPr>
      </w:pPr>
      <w:proofErr w:type="spellStart"/>
      <w:r>
        <w:rPr>
          <w:rFonts w:ascii="TimesNewRomanPSMT" w:hAnsi="TimesNewRomanPSMT" w:cs="TimesNewRomanPSMT"/>
          <w:color w:val="000000"/>
          <w:sz w:val="14"/>
          <w:szCs w:val="14"/>
          <w:lang w:eastAsia="en-GB"/>
        </w:rPr>
        <w:t>a</w:t>
      </w:r>
      <w:proofErr w:type="spellEnd"/>
      <w:r w:rsidR="009A3597">
        <w:rPr>
          <w:rFonts w:ascii="TimesNewRomanPSMT" w:hAnsi="TimesNewRomanPSMT" w:cs="TimesNewRomanPSMT"/>
          <w:color w:val="000000"/>
          <w:sz w:val="14"/>
          <w:szCs w:val="14"/>
          <w:lang w:eastAsia="en-GB"/>
        </w:rPr>
        <w:t xml:space="preserve"> </w:t>
      </w:r>
      <w:proofErr w:type="gramStart"/>
      <w:r w:rsidR="009A3597">
        <w:rPr>
          <w:rFonts w:ascii="TimesNewRomanPSMT" w:hAnsi="TimesNewRomanPSMT" w:cs="TimesNewRomanPSMT"/>
          <w:color w:val="000000"/>
          <w:sz w:val="16"/>
          <w:szCs w:val="16"/>
          <w:lang w:eastAsia="en-GB"/>
        </w:rPr>
        <w:t>At</w:t>
      </w:r>
      <w:proofErr w:type="gramEnd"/>
      <w:r w:rsidR="009A3597">
        <w:rPr>
          <w:rFonts w:ascii="TimesNewRomanPSMT" w:hAnsi="TimesNewRomanPSMT" w:cs="TimesNewRomanPSMT"/>
          <w:color w:val="000000"/>
          <w:sz w:val="16"/>
          <w:szCs w:val="16"/>
          <w:lang w:eastAsia="en-GB"/>
        </w:rPr>
        <w:t xml:space="preserve"> the time of analysis, the median follow-up time for both arms was 24.6 months</w:t>
      </w:r>
    </w:p>
    <w:p w14:paraId="733DE54A" w14:textId="5CCBBD46" w:rsidR="009A3597" w:rsidRDefault="009A3597" w:rsidP="009A3597">
      <w:pPr>
        <w:spacing w:after="0"/>
        <w:rPr>
          <w:rFonts w:ascii="TimesNewRomanPSMT" w:hAnsi="TimesNewRomanPSMT" w:cs="TimesNewRomanPSMT"/>
          <w:color w:val="000000"/>
          <w:sz w:val="16"/>
          <w:szCs w:val="16"/>
          <w:lang w:eastAsia="en-GB"/>
        </w:rPr>
      </w:pPr>
      <w:r>
        <w:rPr>
          <w:rFonts w:ascii="TimesNewRomanPSMT" w:hAnsi="TimesNewRomanPSMT" w:cs="TimesNewRomanPSMT"/>
          <w:color w:val="000000"/>
          <w:sz w:val="14"/>
          <w:szCs w:val="14"/>
          <w:lang w:eastAsia="en-GB"/>
        </w:rPr>
        <w:t xml:space="preserve">b </w:t>
      </w:r>
      <w:r>
        <w:rPr>
          <w:rFonts w:ascii="TimesNewRomanPSMT" w:hAnsi="TimesNewRomanPSMT" w:cs="TimesNewRomanPSMT"/>
          <w:color w:val="000000"/>
          <w:sz w:val="16"/>
          <w:szCs w:val="16"/>
          <w:lang w:eastAsia="en-GB"/>
        </w:rPr>
        <w:t xml:space="preserve">Data from </w:t>
      </w:r>
      <w:r w:rsidR="008D0210" w:rsidRPr="008D0210">
        <w:rPr>
          <w:rFonts w:ascii="TimesNewRomanPSMT" w:hAnsi="TimesNewRomanPSMT" w:cs="TimesNewRomanPSMT"/>
          <w:color w:val="000000"/>
          <w:sz w:val="16"/>
          <w:szCs w:val="16"/>
          <w:lang w:eastAsia="en-GB"/>
        </w:rPr>
        <w:t>first pre-specified</w:t>
      </w:r>
      <w:r w:rsidR="008D0210">
        <w:rPr>
          <w:rFonts w:ascii="TimesNewRomanPSMT" w:hAnsi="TimesNewRomanPSMT" w:cs="TimesNewRomanPSMT"/>
          <w:color w:val="000000"/>
          <w:sz w:val="16"/>
          <w:szCs w:val="16"/>
          <w:lang w:eastAsia="en-GB"/>
        </w:rPr>
        <w:t xml:space="preserve"> interim </w:t>
      </w:r>
      <w:r>
        <w:rPr>
          <w:rFonts w:ascii="TimesNewRomanPSMT" w:hAnsi="TimesNewRomanPSMT" w:cs="TimesNewRomanPSMT"/>
          <w:color w:val="000000"/>
          <w:sz w:val="16"/>
          <w:szCs w:val="16"/>
          <w:lang w:eastAsia="en-GB"/>
        </w:rPr>
        <w:t>OS analysis</w:t>
      </w:r>
      <w:r w:rsidR="00E803BB">
        <w:rPr>
          <w:rFonts w:ascii="TimesNewRomanPSMT" w:hAnsi="TimesNewRomanPSMT" w:cs="TimesNewRomanPSMT"/>
          <w:color w:val="000000"/>
          <w:sz w:val="16"/>
          <w:szCs w:val="16"/>
          <w:lang w:eastAsia="en-GB"/>
        </w:rPr>
        <w:t xml:space="preserve"> (median follow-up: 27.8 months for A + AVD; 27.4 months for ABVD)</w:t>
      </w:r>
    </w:p>
    <w:p w14:paraId="6F32A76A" w14:textId="193CE1E9" w:rsidR="009C4A6B" w:rsidRDefault="0000471B" w:rsidP="009A3597">
      <w:pPr>
        <w:spacing w:after="0"/>
        <w:rPr>
          <w:rFonts w:ascii="TimesNewRomanPSMT" w:hAnsi="TimesNewRomanPSMT" w:cs="TimesNewRomanPSMT"/>
          <w:color w:val="000000"/>
          <w:sz w:val="16"/>
          <w:szCs w:val="16"/>
          <w:lang w:eastAsia="en-GB"/>
        </w:rPr>
      </w:pPr>
      <w:r>
        <w:rPr>
          <w:rFonts w:ascii="TimesNewRomanPSMT" w:hAnsi="TimesNewRomanPSMT" w:cs="TimesNewRomanPSMT"/>
          <w:color w:val="000000"/>
          <w:sz w:val="16"/>
          <w:szCs w:val="16"/>
          <w:lang w:eastAsia="en-GB"/>
        </w:rPr>
        <w:t>c Data from the second interim OS analysis</w:t>
      </w:r>
      <w:r w:rsidR="00E803BB">
        <w:rPr>
          <w:rFonts w:ascii="TimesNewRomanPSMT" w:hAnsi="TimesNewRomanPSMT" w:cs="TimesNewRomanPSMT"/>
          <w:color w:val="000000"/>
          <w:sz w:val="16"/>
          <w:szCs w:val="16"/>
          <w:lang w:eastAsia="en-GB"/>
        </w:rPr>
        <w:t xml:space="preserve"> </w:t>
      </w:r>
      <w:r w:rsidR="00E803BB" w:rsidRPr="00E803BB">
        <w:rPr>
          <w:rFonts w:ascii="TimesNewRomanPSMT" w:hAnsi="TimesNewRomanPSMT" w:cs="TimesNewRomanPSMT"/>
          <w:color w:val="000000"/>
          <w:sz w:val="16"/>
          <w:szCs w:val="16"/>
          <w:lang w:eastAsia="en-GB"/>
        </w:rPr>
        <w:t>(median follow-up: 73.3 months for A+AVD; 72.4 months for ABVD)</w:t>
      </w:r>
      <w:bookmarkEnd w:id="26"/>
    </w:p>
    <w:p w14:paraId="4FB35C52" w14:textId="77777777" w:rsidR="009C4A6B" w:rsidRDefault="009C4A6B">
      <w:pPr>
        <w:spacing w:after="0"/>
        <w:jc w:val="left"/>
        <w:rPr>
          <w:rFonts w:ascii="TimesNewRomanPSMT" w:hAnsi="TimesNewRomanPSMT" w:cs="TimesNewRomanPSMT"/>
          <w:color w:val="000000"/>
          <w:sz w:val="16"/>
          <w:szCs w:val="16"/>
          <w:lang w:eastAsia="en-GB"/>
        </w:rPr>
      </w:pPr>
      <w:r>
        <w:rPr>
          <w:rFonts w:ascii="TimesNewRomanPSMT" w:hAnsi="TimesNewRomanPSMT" w:cs="TimesNewRomanPSMT"/>
          <w:color w:val="000000"/>
          <w:sz w:val="16"/>
          <w:szCs w:val="16"/>
          <w:lang w:eastAsia="en-GB"/>
        </w:rPr>
        <w:br w:type="page"/>
      </w:r>
    </w:p>
    <w:bookmarkStart w:id="28" w:name="_Hlk150256035"/>
    <w:bookmarkEnd w:id="27"/>
    <w:p w14:paraId="69A73717" w14:textId="0D4F6AE8" w:rsidR="00993275" w:rsidRDefault="00023572" w:rsidP="00683AC0">
      <w:pPr>
        <w:spacing w:after="0"/>
        <w:rPr>
          <w:iCs/>
        </w:rPr>
      </w:pPr>
      <w:r>
        <w:rPr>
          <w:iCs/>
        </w:rPr>
        <w:lastRenderedPageBreak/>
        <w:fldChar w:fldCharType="begin"/>
      </w:r>
      <w:r>
        <w:rPr>
          <w:iCs/>
        </w:rPr>
        <w:instrText xml:space="preserve"> REF _Ref150249488 \h </w:instrText>
      </w:r>
      <w:r>
        <w:rPr>
          <w:iCs/>
        </w:rPr>
      </w:r>
      <w:r>
        <w:rPr>
          <w:iCs/>
        </w:rPr>
        <w:fldChar w:fldCharType="separate"/>
      </w:r>
      <w:r w:rsidR="001E2FAC" w:rsidRPr="00023572">
        <w:rPr>
          <w:szCs w:val="22"/>
        </w:rPr>
        <w:t xml:space="preserve">Figure </w:t>
      </w:r>
      <w:r w:rsidR="001E2FAC">
        <w:rPr>
          <w:noProof/>
          <w:szCs w:val="22"/>
        </w:rPr>
        <w:t>1</w:t>
      </w:r>
      <w:r>
        <w:rPr>
          <w:iCs/>
        </w:rPr>
        <w:fldChar w:fldCharType="end"/>
      </w:r>
      <w:r>
        <w:rPr>
          <w:iCs/>
        </w:rPr>
        <w:t xml:space="preserve"> </w:t>
      </w:r>
      <w:r w:rsidR="00993275">
        <w:rPr>
          <w:iCs/>
        </w:rPr>
        <w:t xml:space="preserve">below provides the Kaplan-Meier </w:t>
      </w:r>
      <w:r w:rsidR="00311EFA">
        <w:rPr>
          <w:iCs/>
        </w:rPr>
        <w:t>plot</w:t>
      </w:r>
      <w:r w:rsidR="00993275">
        <w:rPr>
          <w:iCs/>
        </w:rPr>
        <w:t xml:space="preserve"> for the primary endpoint of </w:t>
      </w:r>
      <w:proofErr w:type="spellStart"/>
      <w:r w:rsidR="00993275">
        <w:rPr>
          <w:iCs/>
        </w:rPr>
        <w:t>mPFS</w:t>
      </w:r>
      <w:proofErr w:type="spellEnd"/>
      <w:r w:rsidR="00993275">
        <w:rPr>
          <w:iCs/>
        </w:rPr>
        <w:t xml:space="preserve"> per IRF.</w:t>
      </w:r>
    </w:p>
    <w:p w14:paraId="6563BEE0" w14:textId="77777777" w:rsidR="00993275" w:rsidRDefault="00993275" w:rsidP="00683AC0">
      <w:pPr>
        <w:spacing w:after="0"/>
        <w:rPr>
          <w:iCs/>
        </w:rPr>
      </w:pPr>
    </w:p>
    <w:p w14:paraId="24CD23EA" w14:textId="1B4A829E" w:rsidR="00311EFA" w:rsidRPr="00023572" w:rsidRDefault="00023572" w:rsidP="00023572">
      <w:pPr>
        <w:pStyle w:val="Caption"/>
        <w:ind w:left="1440" w:hanging="1440"/>
        <w:rPr>
          <w:sz w:val="22"/>
          <w:szCs w:val="22"/>
        </w:rPr>
      </w:pPr>
      <w:bookmarkStart w:id="29" w:name="_Ref150249488"/>
      <w:r w:rsidRPr="00023572">
        <w:rPr>
          <w:sz w:val="22"/>
          <w:szCs w:val="22"/>
        </w:rPr>
        <w:t xml:space="preserve">Figure </w:t>
      </w:r>
      <w:r w:rsidRPr="00023572">
        <w:rPr>
          <w:sz w:val="22"/>
          <w:szCs w:val="22"/>
        </w:rPr>
        <w:fldChar w:fldCharType="begin"/>
      </w:r>
      <w:r w:rsidRPr="00023572">
        <w:rPr>
          <w:sz w:val="22"/>
          <w:szCs w:val="22"/>
        </w:rPr>
        <w:instrText xml:space="preserve"> SEQ Figure \* ARABIC </w:instrText>
      </w:r>
      <w:r w:rsidRPr="00023572">
        <w:rPr>
          <w:sz w:val="22"/>
          <w:szCs w:val="22"/>
        </w:rPr>
        <w:fldChar w:fldCharType="separate"/>
      </w:r>
      <w:r w:rsidR="001E2FAC">
        <w:rPr>
          <w:noProof/>
          <w:sz w:val="22"/>
          <w:szCs w:val="22"/>
        </w:rPr>
        <w:t>1</w:t>
      </w:r>
      <w:r w:rsidRPr="00023572">
        <w:rPr>
          <w:sz w:val="22"/>
          <w:szCs w:val="22"/>
        </w:rPr>
        <w:fldChar w:fldCharType="end"/>
      </w:r>
      <w:bookmarkEnd w:id="29"/>
      <w:r w:rsidRPr="00023572">
        <w:rPr>
          <w:sz w:val="22"/>
          <w:szCs w:val="22"/>
        </w:rPr>
        <w:tab/>
      </w:r>
      <w:r w:rsidR="00311EFA" w:rsidRPr="00023572">
        <w:rPr>
          <w:sz w:val="22"/>
          <w:szCs w:val="22"/>
        </w:rPr>
        <w:t>Kaplan-Meier Plot modified Progression-Free Survival (</w:t>
      </w:r>
      <w:proofErr w:type="spellStart"/>
      <w:r w:rsidR="00311EFA" w:rsidRPr="00023572">
        <w:rPr>
          <w:sz w:val="22"/>
          <w:szCs w:val="22"/>
        </w:rPr>
        <w:t>mPFS</w:t>
      </w:r>
      <w:proofErr w:type="spellEnd"/>
      <w:r w:rsidR="00311EFA" w:rsidRPr="00023572">
        <w:rPr>
          <w:sz w:val="22"/>
          <w:szCs w:val="22"/>
        </w:rPr>
        <w:t>) per IRF – ITT population</w:t>
      </w:r>
    </w:p>
    <w:p w14:paraId="72ED5BEA" w14:textId="7A1B6C59" w:rsidR="00993275" w:rsidRDefault="00993275" w:rsidP="00683AC0">
      <w:pPr>
        <w:spacing w:after="0"/>
        <w:rPr>
          <w:iCs/>
        </w:rPr>
      </w:pPr>
      <w:bookmarkStart w:id="30" w:name="IDX"/>
      <w:bookmarkEnd w:id="30"/>
      <w:r w:rsidRPr="00993275">
        <w:rPr>
          <w:rFonts w:ascii="Times New Roman" w:hAnsi="Times New Roman"/>
          <w:noProof/>
          <w:sz w:val="24"/>
          <w:szCs w:val="24"/>
          <w:lang w:val="en-US" w:eastAsia="en-AU"/>
          <w14:ligatures w14:val="standardContextual"/>
        </w:rPr>
        <w:drawing>
          <wp:inline distT="0" distB="0" distL="0" distR="0" wp14:anchorId="73A1D9FF" wp14:editId="51202DF9">
            <wp:extent cx="6120130" cy="3060065"/>
            <wp:effectExtent l="0" t="0" r="0" b="6985"/>
            <wp:docPr id="1752300487" name="Picture 1752300487" descr="screenshot of Figure 1: Kaplan-Meier Plot modified Progression-Free Survival (mPFS) per IRF –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00487" name="Picture 1752300487" descr="screenshot of Figure 1: Kaplan-Meier Plot modified Progression-Free Survival (mPFS) per IRF – ITT popul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060065"/>
                    </a:xfrm>
                    <a:prstGeom prst="rect">
                      <a:avLst/>
                    </a:prstGeom>
                    <a:noFill/>
                    <a:ln>
                      <a:noFill/>
                    </a:ln>
                  </pic:spPr>
                </pic:pic>
              </a:graphicData>
            </a:graphic>
          </wp:inline>
        </w:drawing>
      </w:r>
    </w:p>
    <w:p w14:paraId="407BAF71" w14:textId="7EB9C82B" w:rsidR="00993275" w:rsidRPr="00311EFA" w:rsidRDefault="00311EFA" w:rsidP="00683AC0">
      <w:pPr>
        <w:spacing w:after="0"/>
        <w:rPr>
          <w:rFonts w:ascii="TimesNewRomanPSMT" w:hAnsi="TimesNewRomanPSMT" w:cs="TimesNewRomanPSMT"/>
          <w:color w:val="000000"/>
          <w:sz w:val="16"/>
          <w:szCs w:val="16"/>
          <w:lang w:eastAsia="en-GB"/>
        </w:rPr>
      </w:pPr>
      <w:r w:rsidRPr="00311EFA">
        <w:rPr>
          <w:rFonts w:ascii="TimesNewRomanPSMT" w:hAnsi="TimesNewRomanPSMT" w:cs="TimesNewRomanPSMT"/>
          <w:color w:val="000000"/>
          <w:sz w:val="16"/>
          <w:szCs w:val="16"/>
          <w:lang w:eastAsia="en-GB"/>
        </w:rPr>
        <w:t xml:space="preserve">A+AVD: Brentuximab </w:t>
      </w:r>
      <w:proofErr w:type="spellStart"/>
      <w:r w:rsidRPr="00311EFA">
        <w:rPr>
          <w:rFonts w:ascii="TimesNewRomanPSMT" w:hAnsi="TimesNewRomanPSMT" w:cs="TimesNewRomanPSMT"/>
          <w:color w:val="000000"/>
          <w:sz w:val="16"/>
          <w:szCs w:val="16"/>
          <w:lang w:eastAsia="en-GB"/>
        </w:rPr>
        <w:t>Vedotin</w:t>
      </w:r>
      <w:proofErr w:type="spellEnd"/>
      <w:r w:rsidRPr="00311EFA">
        <w:rPr>
          <w:rFonts w:ascii="TimesNewRomanPSMT" w:hAnsi="TimesNewRomanPSMT" w:cs="TimesNewRomanPSMT"/>
          <w:color w:val="000000"/>
          <w:sz w:val="16"/>
          <w:szCs w:val="16"/>
          <w:lang w:eastAsia="en-GB"/>
        </w:rPr>
        <w:t xml:space="preserve"> (ADCETRIS) plus AVD (Doxorubicin [Adriamycin], Vinblastine, and Dacarbazine)</w:t>
      </w:r>
      <w:r w:rsidRPr="00311EFA">
        <w:rPr>
          <w:rFonts w:ascii="TimesNewRomanPSMT" w:hAnsi="TimesNewRomanPSMT" w:cs="TimesNewRomanPSMT"/>
          <w:color w:val="000000"/>
          <w:sz w:val="16"/>
          <w:szCs w:val="16"/>
          <w:lang w:eastAsia="en-GB"/>
        </w:rPr>
        <w:br/>
        <w:t>ABVD: ABVD (Doxorubicin (Adriamycin), Bleomycin, Vinblastine, and Dacarbazine)</w:t>
      </w:r>
    </w:p>
    <w:p w14:paraId="3690B6C1" w14:textId="556E09F0" w:rsidR="00311EFA" w:rsidRPr="00311EFA" w:rsidRDefault="00311EFA" w:rsidP="00683AC0">
      <w:pPr>
        <w:spacing w:after="0"/>
        <w:rPr>
          <w:rFonts w:ascii="TimesNewRomanPSMT" w:hAnsi="TimesNewRomanPSMT" w:cs="TimesNewRomanPSMT"/>
          <w:color w:val="000000"/>
          <w:sz w:val="16"/>
          <w:szCs w:val="16"/>
          <w:lang w:eastAsia="en-GB"/>
        </w:rPr>
      </w:pPr>
      <w:r w:rsidRPr="00311EFA">
        <w:rPr>
          <w:rFonts w:ascii="TimesNewRomanPSMT" w:hAnsi="TimesNewRomanPSMT" w:cs="TimesNewRomanPSMT"/>
          <w:color w:val="000000"/>
          <w:sz w:val="16"/>
          <w:szCs w:val="16"/>
          <w:lang w:eastAsia="en-GB"/>
        </w:rPr>
        <w:t xml:space="preserve">Hazard ratio (A+AVD/ABVD) and 95% CI is based on a stratified Cox’s proportional hazard regression model with stratification factors region and number of IPFP risk factors at baseline with treatment as the explanatory variable in the model. Hazard ratio &lt;1 </w:t>
      </w:r>
      <w:proofErr w:type="spellStart"/>
      <w:r w:rsidRPr="00311EFA">
        <w:rPr>
          <w:rFonts w:ascii="TimesNewRomanPSMT" w:hAnsi="TimesNewRomanPSMT" w:cs="TimesNewRomanPSMT"/>
          <w:color w:val="000000"/>
          <w:sz w:val="16"/>
          <w:szCs w:val="16"/>
          <w:lang w:eastAsia="en-GB"/>
        </w:rPr>
        <w:t>favors</w:t>
      </w:r>
      <w:proofErr w:type="spellEnd"/>
      <w:r w:rsidRPr="00311EFA">
        <w:rPr>
          <w:rFonts w:ascii="TimesNewRomanPSMT" w:hAnsi="TimesNewRomanPSMT" w:cs="TimesNewRomanPSMT"/>
          <w:color w:val="000000"/>
          <w:sz w:val="16"/>
          <w:szCs w:val="16"/>
          <w:lang w:eastAsia="en-GB"/>
        </w:rPr>
        <w:t xml:space="preserve"> A+AVD arm.</w:t>
      </w:r>
    </w:p>
    <w:bookmarkEnd w:id="28"/>
    <w:p w14:paraId="0CA55F9C" w14:textId="7F1D3BF2" w:rsidR="00683AC0" w:rsidRDefault="0083111B" w:rsidP="00683AC0">
      <w:pPr>
        <w:spacing w:after="0"/>
        <w:rPr>
          <w:iCs/>
        </w:rPr>
      </w:pPr>
      <w:r>
        <w:rPr>
          <w:iCs/>
        </w:rPr>
        <w:br/>
      </w:r>
      <w:r w:rsidR="00683AC0" w:rsidRPr="00683AC0">
        <w:rPr>
          <w:iCs/>
        </w:rPr>
        <w:t>Other secondary efficacy endpoints including CR rate and ORR at the end of randomi</w:t>
      </w:r>
      <w:r w:rsidR="00C8385E">
        <w:rPr>
          <w:iCs/>
        </w:rPr>
        <w:t>s</w:t>
      </w:r>
      <w:r w:rsidR="00683AC0" w:rsidRPr="00683AC0">
        <w:rPr>
          <w:iCs/>
        </w:rPr>
        <w:t>ation regimen, CR</w:t>
      </w:r>
      <w:r w:rsidR="00683AC0">
        <w:rPr>
          <w:iCs/>
        </w:rPr>
        <w:t xml:space="preserve"> </w:t>
      </w:r>
      <w:r w:rsidR="00683AC0" w:rsidRPr="00683AC0">
        <w:rPr>
          <w:iCs/>
        </w:rPr>
        <w:t>rate at the end of frontline therapy, and the rate of PET negativity at the end of Cycle 2, duration of</w:t>
      </w:r>
      <w:r w:rsidR="00683AC0">
        <w:rPr>
          <w:iCs/>
        </w:rPr>
        <w:t xml:space="preserve"> </w:t>
      </w:r>
      <w:r w:rsidR="00683AC0" w:rsidRPr="00683AC0">
        <w:rPr>
          <w:iCs/>
        </w:rPr>
        <w:t>response (DOR), duration of complete remission (DOCR), disease-free survival (DFS,) and event-free</w:t>
      </w:r>
      <w:r w:rsidR="00683AC0">
        <w:rPr>
          <w:iCs/>
        </w:rPr>
        <w:t xml:space="preserve"> </w:t>
      </w:r>
      <w:r w:rsidR="00683AC0" w:rsidRPr="00683AC0">
        <w:rPr>
          <w:iCs/>
        </w:rPr>
        <w:t>survival (EFS) all trended in favo</w:t>
      </w:r>
      <w:r w:rsidR="008D0210">
        <w:rPr>
          <w:iCs/>
        </w:rPr>
        <w:t>u</w:t>
      </w:r>
      <w:r w:rsidR="00683AC0" w:rsidRPr="00683AC0">
        <w:rPr>
          <w:iCs/>
        </w:rPr>
        <w:t>r of ADCETRIS+AVD.</w:t>
      </w:r>
    </w:p>
    <w:p w14:paraId="3F5189E3" w14:textId="77777777" w:rsidR="00683AC0" w:rsidRDefault="00683AC0" w:rsidP="00683AC0">
      <w:pPr>
        <w:spacing w:after="0"/>
        <w:rPr>
          <w:iCs/>
        </w:rPr>
      </w:pPr>
    </w:p>
    <w:p w14:paraId="65696B73" w14:textId="77777777" w:rsidR="008D0210" w:rsidRDefault="008D0210" w:rsidP="008D0210">
      <w:pPr>
        <w:spacing w:after="0"/>
        <w:rPr>
          <w:iCs/>
        </w:rPr>
      </w:pPr>
      <w:r w:rsidRPr="008D0210">
        <w:rPr>
          <w:iCs/>
        </w:rPr>
        <w:t>Approximately one-third fewer patients treated with ADCETRIS + AVD received subsequent salvage</w:t>
      </w:r>
      <w:r>
        <w:rPr>
          <w:iCs/>
        </w:rPr>
        <w:t xml:space="preserve"> </w:t>
      </w:r>
      <w:r w:rsidRPr="008D0210">
        <w:rPr>
          <w:iCs/>
        </w:rPr>
        <w:t>chemotherapy (n=66) and high-dose chemotherapy and transplant (n=36) compared with those treated with</w:t>
      </w:r>
      <w:r>
        <w:rPr>
          <w:iCs/>
        </w:rPr>
        <w:t xml:space="preserve"> </w:t>
      </w:r>
      <w:r w:rsidRPr="008D0210">
        <w:rPr>
          <w:iCs/>
        </w:rPr>
        <w:t xml:space="preserve">ABVD (n=99 and n=54, respectively). </w:t>
      </w:r>
    </w:p>
    <w:p w14:paraId="5AFECF9E" w14:textId="35315FC0" w:rsidR="002B09DC" w:rsidRDefault="002B09DC" w:rsidP="008D0210">
      <w:pPr>
        <w:spacing w:after="0"/>
        <w:rPr>
          <w:iCs/>
        </w:rPr>
      </w:pPr>
    </w:p>
    <w:p w14:paraId="7C6FBE21" w14:textId="77777777" w:rsidR="002B09DC" w:rsidRDefault="002B09DC" w:rsidP="002B09DC">
      <w:pPr>
        <w:spacing w:after="0"/>
        <w:rPr>
          <w:iCs/>
          <w:u w:val="single"/>
        </w:rPr>
      </w:pPr>
      <w:r w:rsidRPr="002B09DC">
        <w:rPr>
          <w:iCs/>
          <w:u w:val="single"/>
        </w:rPr>
        <w:t>Subgroup Analyses</w:t>
      </w:r>
    </w:p>
    <w:p w14:paraId="26005895" w14:textId="77777777" w:rsidR="005843AE" w:rsidRPr="00683AC0" w:rsidRDefault="005843AE" w:rsidP="005843AE">
      <w:pPr>
        <w:spacing w:after="0"/>
        <w:rPr>
          <w:iCs/>
        </w:rPr>
      </w:pPr>
      <w:r w:rsidRPr="00683AC0">
        <w:rPr>
          <w:iCs/>
        </w:rPr>
        <w:t>Pre</w:t>
      </w:r>
      <w:r>
        <w:rPr>
          <w:iCs/>
        </w:rPr>
        <w:t>-</w:t>
      </w:r>
      <w:r w:rsidRPr="00683AC0">
        <w:rPr>
          <w:iCs/>
        </w:rPr>
        <w:t xml:space="preserve">specified subgroup analyses of modified PFS per IRF were performed for the ITT population including age, region, cancer stage at baseline, baseline </w:t>
      </w:r>
      <w:proofErr w:type="spellStart"/>
      <w:r w:rsidRPr="00683AC0">
        <w:rPr>
          <w:iCs/>
        </w:rPr>
        <w:t>extranodal</w:t>
      </w:r>
      <w:proofErr w:type="spellEnd"/>
      <w:r w:rsidRPr="00683AC0">
        <w:rPr>
          <w:iCs/>
        </w:rPr>
        <w:t xml:space="preserve"> sites, number of IPFP risk factors, baseline B symptoms, Cycle 2 PET assessment, Cycle 2 PET Deauville score, and receipt of alternative first line medication (AFM). The analyses showed a consistent trend towards benefit for patients who received ADCETRIS + AVD compared with patients who received ABVD in most subgroups. The efficacy in elderly patient population (patients ≥ 60 years of age [n = 186] [HR = 1.00, 95% CI (0.58, 1.72)] and ≥ 65 years of age [n = 122] [HR = 1.01, 95% CI (0.53, 1.94)]) and patients with no </w:t>
      </w:r>
      <w:proofErr w:type="spellStart"/>
      <w:r w:rsidRPr="00683AC0">
        <w:rPr>
          <w:iCs/>
        </w:rPr>
        <w:t>extranodal</w:t>
      </w:r>
      <w:proofErr w:type="spellEnd"/>
      <w:r w:rsidRPr="00683AC0">
        <w:rPr>
          <w:iCs/>
        </w:rPr>
        <w:t xml:space="preserve"> sites (n = 445) (HR = 1.04, 95% CI [0.67, 1.62]) showed no clinically meaningful difference between the two arms.</w:t>
      </w:r>
    </w:p>
    <w:p w14:paraId="65DE011B" w14:textId="77777777" w:rsidR="002B09DC" w:rsidRDefault="002B09DC" w:rsidP="002B09DC">
      <w:pPr>
        <w:spacing w:after="0"/>
        <w:rPr>
          <w:iCs/>
          <w:u w:val="single"/>
        </w:rPr>
      </w:pPr>
    </w:p>
    <w:p w14:paraId="71EAD77A" w14:textId="637FFC4C" w:rsidR="00BB2561" w:rsidRDefault="00BB2561" w:rsidP="00BB2561">
      <w:pPr>
        <w:spacing w:after="0"/>
        <w:rPr>
          <w:iCs/>
        </w:rPr>
      </w:pPr>
      <w:r w:rsidRPr="00BB2561">
        <w:rPr>
          <w:iCs/>
        </w:rPr>
        <w:t>Overall survival</w:t>
      </w:r>
      <w:r>
        <w:rPr>
          <w:iCs/>
        </w:rPr>
        <w:t xml:space="preserve"> </w:t>
      </w:r>
      <w:r w:rsidRPr="00BB2561">
        <w:rPr>
          <w:iCs/>
        </w:rPr>
        <w:t>results in the stage III population for patients treated with</w:t>
      </w:r>
      <w:r>
        <w:rPr>
          <w:iCs/>
        </w:rPr>
        <w:t xml:space="preserve"> </w:t>
      </w:r>
      <w:r w:rsidRPr="00BB2561">
        <w:rPr>
          <w:iCs/>
        </w:rPr>
        <w:t xml:space="preserve">ADCETRIS + AVD compared with patients treated with ABVD </w:t>
      </w:r>
      <w:r w:rsidR="00054CF7">
        <w:rPr>
          <w:iCs/>
        </w:rPr>
        <w:t xml:space="preserve">showed a </w:t>
      </w:r>
      <w:r w:rsidRPr="00BB2561">
        <w:rPr>
          <w:iCs/>
        </w:rPr>
        <w:t>HR = 0.86, 95% CI, (0.452; 1.648).</w:t>
      </w:r>
      <w:r>
        <w:rPr>
          <w:iCs/>
        </w:rPr>
        <w:t xml:space="preserve"> </w:t>
      </w:r>
      <w:r w:rsidRPr="00BB2561">
        <w:rPr>
          <w:iCs/>
        </w:rPr>
        <w:t>Overall survival results in the stage IV population indicated a 52% reduction in the risk of death for</w:t>
      </w:r>
      <w:r>
        <w:rPr>
          <w:iCs/>
        </w:rPr>
        <w:t xml:space="preserve"> </w:t>
      </w:r>
      <w:r w:rsidRPr="00BB2561">
        <w:rPr>
          <w:iCs/>
        </w:rPr>
        <w:t xml:space="preserve">patients </w:t>
      </w:r>
      <w:r w:rsidRPr="00BB2561">
        <w:rPr>
          <w:iCs/>
        </w:rPr>
        <w:lastRenderedPageBreak/>
        <w:t>treated with ADCETRIS + AVD compared with patients treated with ABVD [HR = 0.48, 95% CI</w:t>
      </w:r>
      <w:r>
        <w:rPr>
          <w:iCs/>
        </w:rPr>
        <w:t xml:space="preserve"> </w:t>
      </w:r>
      <w:r w:rsidRPr="00BB2561">
        <w:rPr>
          <w:iCs/>
        </w:rPr>
        <w:t>(0.286, 0.799)]</w:t>
      </w:r>
      <w:r>
        <w:rPr>
          <w:iCs/>
        </w:rPr>
        <w:t>.</w:t>
      </w:r>
    </w:p>
    <w:p w14:paraId="2D24A73A" w14:textId="651F3A5D" w:rsidR="00BB2561" w:rsidRDefault="00BB2561" w:rsidP="00E27999">
      <w:pPr>
        <w:spacing w:after="0"/>
        <w:rPr>
          <w:i/>
        </w:rPr>
      </w:pPr>
    </w:p>
    <w:p w14:paraId="723030A9" w14:textId="77777777" w:rsidR="0061083E" w:rsidRDefault="0061083E" w:rsidP="00E27999">
      <w:pPr>
        <w:spacing w:after="0"/>
        <w:rPr>
          <w:i/>
        </w:rPr>
      </w:pPr>
      <w:r w:rsidRPr="0061083E">
        <w:rPr>
          <w:i/>
        </w:rPr>
        <w:t>Patients with relapsed or refractory CD30+ HL following autologous stem cell transplant (ASCT) (Study SG035-0003)</w:t>
      </w:r>
    </w:p>
    <w:p w14:paraId="3DC7C65F" w14:textId="239C5CD9" w:rsidR="00ED2739" w:rsidRDefault="0061083E" w:rsidP="003301BE">
      <w:r w:rsidRPr="0061083E">
        <w:t>The efficacy and safety of ADCETRIS as a single agent was evaluated in a pivotal open-label, single</w:t>
      </w:r>
      <w:r w:rsidR="00F16513">
        <w:noBreakHyphen/>
      </w:r>
      <w:r w:rsidRPr="0061083E">
        <w:t xml:space="preserve">arm, </w:t>
      </w:r>
      <w:r w:rsidR="001D1A56" w:rsidRPr="0061083E">
        <w:t>multicent</w:t>
      </w:r>
      <w:r w:rsidR="001D1A56">
        <w:t>re</w:t>
      </w:r>
      <w:r w:rsidR="001D1A56" w:rsidRPr="0061083E">
        <w:t xml:space="preserve"> </w:t>
      </w:r>
      <w:r w:rsidRPr="0061083E">
        <w:t xml:space="preserve">study (study SG035-0003) in 102 patients with relapsed or refractory HL. </w:t>
      </w:r>
      <w:r w:rsidR="005439BA" w:rsidRPr="005439BA">
        <w:t>ADCETRIS was administered at a starting dose of 1.8 mg/kg</w:t>
      </w:r>
      <w:r w:rsidR="00A2097B">
        <w:t xml:space="preserve"> </w:t>
      </w:r>
      <w:r w:rsidR="005439BA" w:rsidRPr="005439BA">
        <w:t xml:space="preserve">(IV) infusion on </w:t>
      </w:r>
      <w:r w:rsidR="00F73481">
        <w:t>d</w:t>
      </w:r>
      <w:r w:rsidR="005439BA" w:rsidRPr="005439BA">
        <w:t xml:space="preserve">ay 1 of each 21-day </w:t>
      </w:r>
      <w:r w:rsidR="005439BA" w:rsidRPr="0085274E">
        <w:t xml:space="preserve">cycle. </w:t>
      </w:r>
      <w:r w:rsidRPr="0085274E">
        <w:t xml:space="preserve">See </w:t>
      </w:r>
      <w:r w:rsidR="00BB3E4E">
        <w:fldChar w:fldCharType="begin"/>
      </w:r>
      <w:r w:rsidR="00BB3E4E">
        <w:instrText xml:space="preserve"> REF _Ref147566506 \h </w:instrText>
      </w:r>
      <w:r w:rsidR="00BB3E4E">
        <w:fldChar w:fldCharType="separate"/>
      </w:r>
      <w:r w:rsidR="001E2FAC" w:rsidRPr="00BB3E4E">
        <w:rPr>
          <w:szCs w:val="22"/>
        </w:rPr>
        <w:t xml:space="preserve">Table </w:t>
      </w:r>
      <w:r w:rsidR="001E2FAC">
        <w:rPr>
          <w:noProof/>
          <w:szCs w:val="22"/>
        </w:rPr>
        <w:t>12</w:t>
      </w:r>
      <w:r w:rsidR="00BB3E4E">
        <w:fldChar w:fldCharType="end"/>
      </w:r>
      <w:r w:rsidR="00BB3E4E">
        <w:t xml:space="preserve"> </w:t>
      </w:r>
      <w:r w:rsidRPr="0085274E">
        <w:t>below for a summary of baseline patient and disease characteristics.</w:t>
      </w:r>
    </w:p>
    <w:p w14:paraId="6BD1EA55" w14:textId="77777777" w:rsidR="00B06794" w:rsidRDefault="00B06794">
      <w:pPr>
        <w:spacing w:after="0"/>
        <w:jc w:val="left"/>
        <w:rPr>
          <w:b/>
          <w:bCs/>
          <w:szCs w:val="22"/>
        </w:rPr>
      </w:pPr>
      <w:bookmarkStart w:id="31" w:name="_Ref147566506"/>
      <w:bookmarkStart w:id="32" w:name="_Ref116657179"/>
      <w:r>
        <w:rPr>
          <w:szCs w:val="22"/>
        </w:rPr>
        <w:br w:type="page"/>
      </w:r>
    </w:p>
    <w:p w14:paraId="79062D16" w14:textId="7C6FE5DB" w:rsidR="003128CA" w:rsidRPr="00BB3E4E" w:rsidRDefault="00BB3E4E" w:rsidP="001B309F">
      <w:pPr>
        <w:pStyle w:val="Caption"/>
        <w:spacing w:after="0"/>
        <w:rPr>
          <w:sz w:val="22"/>
          <w:szCs w:val="22"/>
        </w:rPr>
      </w:pPr>
      <w:r w:rsidRPr="00BB3E4E">
        <w:rPr>
          <w:sz w:val="22"/>
          <w:szCs w:val="22"/>
        </w:rPr>
        <w:lastRenderedPageBreak/>
        <w:t xml:space="preserve">Table </w:t>
      </w:r>
      <w:r w:rsidRPr="00BB3E4E">
        <w:rPr>
          <w:sz w:val="22"/>
          <w:szCs w:val="22"/>
        </w:rPr>
        <w:fldChar w:fldCharType="begin"/>
      </w:r>
      <w:r w:rsidRPr="00BB3E4E">
        <w:rPr>
          <w:sz w:val="22"/>
          <w:szCs w:val="22"/>
        </w:rPr>
        <w:instrText xml:space="preserve"> SEQ Table \* ARABIC </w:instrText>
      </w:r>
      <w:r w:rsidRPr="00BB3E4E">
        <w:rPr>
          <w:sz w:val="22"/>
          <w:szCs w:val="22"/>
        </w:rPr>
        <w:fldChar w:fldCharType="separate"/>
      </w:r>
      <w:r w:rsidR="001E2FAC">
        <w:rPr>
          <w:noProof/>
          <w:sz w:val="22"/>
          <w:szCs w:val="22"/>
        </w:rPr>
        <w:t>12</w:t>
      </w:r>
      <w:r w:rsidRPr="00BB3E4E">
        <w:rPr>
          <w:sz w:val="22"/>
          <w:szCs w:val="22"/>
        </w:rPr>
        <w:fldChar w:fldCharType="end"/>
      </w:r>
      <w:bookmarkEnd w:id="31"/>
      <w:r w:rsidRPr="00BB3E4E">
        <w:rPr>
          <w:sz w:val="22"/>
          <w:szCs w:val="22"/>
        </w:rPr>
        <w:tab/>
      </w:r>
      <w:bookmarkEnd w:id="32"/>
      <w:r w:rsidR="003128CA" w:rsidRPr="00BB3E4E">
        <w:rPr>
          <w:sz w:val="22"/>
          <w:szCs w:val="22"/>
        </w:rPr>
        <w:t xml:space="preserve">Summary of baseline patient and disease characteristics in the phase 2 </w:t>
      </w:r>
      <w:r w:rsidR="003128CA" w:rsidRPr="00BB3E4E">
        <w:rPr>
          <w:sz w:val="22"/>
          <w:szCs w:val="22"/>
        </w:rPr>
        <w:tab/>
      </w:r>
      <w:r w:rsidR="003128CA" w:rsidRPr="00BB3E4E">
        <w:rPr>
          <w:sz w:val="22"/>
          <w:szCs w:val="22"/>
        </w:rPr>
        <w:tab/>
      </w:r>
      <w:r w:rsidR="003128CA" w:rsidRPr="00BB3E4E">
        <w:rPr>
          <w:sz w:val="22"/>
          <w:szCs w:val="22"/>
        </w:rPr>
        <w:tab/>
        <w:t>relapsed or refractory CD30+ HL study (Study SG035-0003)</w:t>
      </w:r>
    </w:p>
    <w:tbl>
      <w:tblPr>
        <w:tblW w:w="9320"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6624"/>
        <w:gridCol w:w="2696"/>
      </w:tblGrid>
      <w:tr w:rsidR="003128CA" w:rsidRPr="009722AB" w14:paraId="57BE37FA" w14:textId="77777777" w:rsidTr="00752F5B">
        <w:trPr>
          <w:trHeight w:val="302"/>
          <w:jc w:val="center"/>
        </w:trPr>
        <w:tc>
          <w:tcPr>
            <w:tcW w:w="6624" w:type="dxa"/>
            <w:tcBorders>
              <w:top w:val="single" w:sz="4" w:space="0" w:color="auto"/>
              <w:left w:val="single" w:sz="4" w:space="0" w:color="auto"/>
              <w:bottom w:val="single" w:sz="4" w:space="0" w:color="auto"/>
            </w:tcBorders>
          </w:tcPr>
          <w:p w14:paraId="7CFCAE42" w14:textId="77777777" w:rsidR="003128CA" w:rsidRPr="009722AB" w:rsidRDefault="003128CA" w:rsidP="00072CE1">
            <w:pPr>
              <w:keepNext/>
              <w:spacing w:after="0"/>
              <w:rPr>
                <w:rFonts w:cs="Arial"/>
                <w:b/>
                <w:bCs/>
                <w:sz w:val="20"/>
              </w:rPr>
            </w:pPr>
            <w:bookmarkStart w:id="33" w:name="OLE_LINK4"/>
            <w:bookmarkStart w:id="34" w:name="OLE_LINK3" w:colFirst="1" w:colLast="1"/>
            <w:r w:rsidRPr="009722AB">
              <w:rPr>
                <w:rFonts w:cs="Arial"/>
                <w:b/>
                <w:bCs/>
                <w:sz w:val="20"/>
              </w:rPr>
              <w:t>Patient characteristics</w:t>
            </w:r>
          </w:p>
        </w:tc>
        <w:tc>
          <w:tcPr>
            <w:tcW w:w="2696" w:type="dxa"/>
            <w:tcBorders>
              <w:top w:val="single" w:sz="4" w:space="0" w:color="auto"/>
              <w:bottom w:val="single" w:sz="4" w:space="0" w:color="auto"/>
              <w:right w:val="single" w:sz="4" w:space="0" w:color="auto"/>
            </w:tcBorders>
          </w:tcPr>
          <w:p w14:paraId="04B61131" w14:textId="77777777" w:rsidR="003128CA" w:rsidRPr="009722AB" w:rsidRDefault="003128CA" w:rsidP="00072CE1">
            <w:pPr>
              <w:keepNext/>
              <w:spacing w:after="0"/>
              <w:jc w:val="center"/>
              <w:rPr>
                <w:rFonts w:cs="Arial"/>
                <w:b/>
                <w:bCs/>
                <w:sz w:val="20"/>
              </w:rPr>
            </w:pPr>
            <w:r w:rsidRPr="009722AB">
              <w:rPr>
                <w:rFonts w:cs="Arial"/>
                <w:b/>
                <w:bCs/>
                <w:sz w:val="20"/>
              </w:rPr>
              <w:t>N =102</w:t>
            </w:r>
          </w:p>
        </w:tc>
      </w:tr>
      <w:tr w:rsidR="003128CA" w:rsidRPr="009722AB" w14:paraId="522F8C2D" w14:textId="77777777" w:rsidTr="00752F5B">
        <w:trPr>
          <w:trHeight w:val="270"/>
          <w:jc w:val="center"/>
        </w:trPr>
        <w:tc>
          <w:tcPr>
            <w:tcW w:w="6624" w:type="dxa"/>
            <w:tcBorders>
              <w:top w:val="single" w:sz="4" w:space="0" w:color="auto"/>
              <w:left w:val="single" w:sz="4" w:space="0" w:color="auto"/>
              <w:bottom w:val="single" w:sz="2" w:space="0" w:color="FFFFFF"/>
            </w:tcBorders>
          </w:tcPr>
          <w:p w14:paraId="37764DFC" w14:textId="77777777" w:rsidR="003128CA" w:rsidRPr="009722AB" w:rsidRDefault="003128CA" w:rsidP="00072CE1">
            <w:pPr>
              <w:keepNext/>
              <w:spacing w:after="0"/>
              <w:ind w:left="62" w:firstLine="110"/>
              <w:rPr>
                <w:rFonts w:cs="Arial"/>
                <w:sz w:val="20"/>
              </w:rPr>
            </w:pPr>
            <w:r w:rsidRPr="009722AB">
              <w:rPr>
                <w:rFonts w:cs="Arial"/>
                <w:sz w:val="20"/>
              </w:rPr>
              <w:t xml:space="preserve">Median age, </w:t>
            </w:r>
            <w:proofErr w:type="spellStart"/>
            <w:r w:rsidRPr="009722AB">
              <w:rPr>
                <w:rFonts w:cs="Arial"/>
                <w:sz w:val="20"/>
              </w:rPr>
              <w:t>yrs</w:t>
            </w:r>
            <w:proofErr w:type="spellEnd"/>
            <w:r w:rsidRPr="009722AB">
              <w:rPr>
                <w:rFonts w:cs="Arial"/>
                <w:sz w:val="20"/>
              </w:rPr>
              <w:t xml:space="preserve"> (range)</w:t>
            </w:r>
          </w:p>
        </w:tc>
        <w:tc>
          <w:tcPr>
            <w:tcW w:w="2696" w:type="dxa"/>
            <w:tcBorders>
              <w:top w:val="single" w:sz="4" w:space="0" w:color="auto"/>
              <w:bottom w:val="single" w:sz="2" w:space="0" w:color="FFFFFF"/>
              <w:right w:val="single" w:sz="4" w:space="0" w:color="auto"/>
            </w:tcBorders>
          </w:tcPr>
          <w:p w14:paraId="509A800E" w14:textId="77777777" w:rsidR="003128CA" w:rsidRPr="009722AB" w:rsidRDefault="003128CA" w:rsidP="00072CE1">
            <w:pPr>
              <w:keepNext/>
              <w:spacing w:after="0"/>
              <w:jc w:val="center"/>
              <w:rPr>
                <w:rFonts w:cs="Arial"/>
                <w:sz w:val="20"/>
              </w:rPr>
            </w:pPr>
            <w:r w:rsidRPr="009722AB">
              <w:rPr>
                <w:rFonts w:cs="Arial"/>
                <w:sz w:val="20"/>
              </w:rPr>
              <w:t>31 years (15</w:t>
            </w:r>
            <w:r w:rsidRPr="009722AB">
              <w:rPr>
                <w:rFonts w:cs="Arial"/>
                <w:sz w:val="20"/>
              </w:rPr>
              <w:noBreakHyphen/>
              <w:t>77)</w:t>
            </w:r>
          </w:p>
        </w:tc>
      </w:tr>
      <w:tr w:rsidR="003128CA" w:rsidRPr="009722AB" w14:paraId="2FB03690" w14:textId="77777777" w:rsidTr="00752F5B">
        <w:trPr>
          <w:trHeight w:val="270"/>
          <w:jc w:val="center"/>
        </w:trPr>
        <w:tc>
          <w:tcPr>
            <w:tcW w:w="6624" w:type="dxa"/>
            <w:tcBorders>
              <w:top w:val="single" w:sz="2" w:space="0" w:color="FFFFFF"/>
              <w:left w:val="single" w:sz="4" w:space="0" w:color="auto"/>
              <w:bottom w:val="single" w:sz="2" w:space="0" w:color="FFFFFF"/>
            </w:tcBorders>
          </w:tcPr>
          <w:p w14:paraId="05217431" w14:textId="77777777" w:rsidR="003128CA" w:rsidRPr="009722AB" w:rsidRDefault="003128CA" w:rsidP="00072CE1">
            <w:pPr>
              <w:keepNext/>
              <w:spacing w:after="0"/>
              <w:ind w:firstLine="172"/>
              <w:rPr>
                <w:rFonts w:cs="Arial"/>
                <w:sz w:val="20"/>
              </w:rPr>
            </w:pPr>
            <w:r w:rsidRPr="009722AB">
              <w:rPr>
                <w:rFonts w:cs="Arial"/>
                <w:sz w:val="20"/>
              </w:rPr>
              <w:t>Gender</w:t>
            </w:r>
          </w:p>
        </w:tc>
        <w:tc>
          <w:tcPr>
            <w:tcW w:w="2696" w:type="dxa"/>
            <w:tcBorders>
              <w:top w:val="single" w:sz="2" w:space="0" w:color="FFFFFF"/>
              <w:bottom w:val="single" w:sz="2" w:space="0" w:color="FFFFFF"/>
              <w:right w:val="single" w:sz="4" w:space="0" w:color="auto"/>
            </w:tcBorders>
          </w:tcPr>
          <w:p w14:paraId="6F73271B" w14:textId="77777777" w:rsidR="003128CA" w:rsidRPr="009722AB" w:rsidRDefault="003128CA" w:rsidP="00072CE1">
            <w:pPr>
              <w:keepNext/>
              <w:spacing w:after="0"/>
              <w:jc w:val="center"/>
              <w:rPr>
                <w:rFonts w:cs="Arial"/>
                <w:sz w:val="20"/>
              </w:rPr>
            </w:pPr>
            <w:r w:rsidRPr="009722AB">
              <w:rPr>
                <w:rFonts w:cs="Arial"/>
                <w:sz w:val="20"/>
              </w:rPr>
              <w:t>48M (47%)/54F (53%)</w:t>
            </w:r>
          </w:p>
        </w:tc>
      </w:tr>
      <w:tr w:rsidR="003128CA" w:rsidRPr="009722AB" w14:paraId="458E2F55" w14:textId="77777777" w:rsidTr="00752F5B">
        <w:trPr>
          <w:trHeight w:val="255"/>
          <w:jc w:val="center"/>
        </w:trPr>
        <w:tc>
          <w:tcPr>
            <w:tcW w:w="6624" w:type="dxa"/>
            <w:tcBorders>
              <w:top w:val="single" w:sz="2" w:space="0" w:color="FFFFFF"/>
              <w:left w:val="single" w:sz="4" w:space="0" w:color="auto"/>
            </w:tcBorders>
          </w:tcPr>
          <w:p w14:paraId="162A009E" w14:textId="77777777" w:rsidR="003128CA" w:rsidRPr="009722AB" w:rsidRDefault="003128CA" w:rsidP="00072CE1">
            <w:pPr>
              <w:keepNext/>
              <w:spacing w:after="0"/>
              <w:ind w:firstLine="172"/>
              <w:rPr>
                <w:rFonts w:cs="Arial"/>
                <w:sz w:val="20"/>
              </w:rPr>
            </w:pPr>
            <w:r w:rsidRPr="009722AB">
              <w:rPr>
                <w:rFonts w:cs="Arial"/>
                <w:sz w:val="20"/>
              </w:rPr>
              <w:t>ECOG status</w:t>
            </w:r>
          </w:p>
        </w:tc>
        <w:tc>
          <w:tcPr>
            <w:tcW w:w="2696" w:type="dxa"/>
            <w:tcBorders>
              <w:top w:val="single" w:sz="2" w:space="0" w:color="FFFFFF"/>
              <w:right w:val="single" w:sz="4" w:space="0" w:color="auto"/>
            </w:tcBorders>
          </w:tcPr>
          <w:p w14:paraId="646659C1" w14:textId="77777777" w:rsidR="003128CA" w:rsidRPr="009722AB" w:rsidRDefault="003128CA" w:rsidP="00072CE1">
            <w:pPr>
              <w:keepNext/>
              <w:spacing w:after="0"/>
              <w:jc w:val="center"/>
              <w:rPr>
                <w:rFonts w:cs="Arial"/>
                <w:sz w:val="20"/>
              </w:rPr>
            </w:pPr>
          </w:p>
        </w:tc>
      </w:tr>
      <w:tr w:rsidR="003128CA" w:rsidRPr="009722AB" w14:paraId="5F339997" w14:textId="77777777" w:rsidTr="00752F5B">
        <w:trPr>
          <w:trHeight w:val="255"/>
          <w:jc w:val="center"/>
        </w:trPr>
        <w:tc>
          <w:tcPr>
            <w:tcW w:w="6624" w:type="dxa"/>
            <w:tcBorders>
              <w:left w:val="single" w:sz="4" w:space="0" w:color="auto"/>
            </w:tcBorders>
          </w:tcPr>
          <w:p w14:paraId="7ABAB122" w14:textId="77777777" w:rsidR="003128CA" w:rsidRPr="009722AB" w:rsidRDefault="003128CA" w:rsidP="00072CE1">
            <w:pPr>
              <w:keepNext/>
              <w:spacing w:after="0"/>
              <w:ind w:left="392"/>
              <w:rPr>
                <w:rFonts w:cs="Arial"/>
                <w:sz w:val="20"/>
              </w:rPr>
            </w:pPr>
            <w:r w:rsidRPr="009722AB">
              <w:rPr>
                <w:rFonts w:cs="Arial"/>
                <w:sz w:val="20"/>
              </w:rPr>
              <w:t>0</w:t>
            </w:r>
          </w:p>
        </w:tc>
        <w:tc>
          <w:tcPr>
            <w:tcW w:w="2696" w:type="dxa"/>
            <w:tcBorders>
              <w:right w:val="single" w:sz="4" w:space="0" w:color="auto"/>
            </w:tcBorders>
          </w:tcPr>
          <w:p w14:paraId="672A5CB6" w14:textId="77777777" w:rsidR="003128CA" w:rsidRPr="009722AB" w:rsidRDefault="003128CA" w:rsidP="00072CE1">
            <w:pPr>
              <w:keepNext/>
              <w:spacing w:after="0"/>
              <w:jc w:val="center"/>
              <w:rPr>
                <w:rFonts w:cs="Arial"/>
                <w:sz w:val="20"/>
              </w:rPr>
            </w:pPr>
            <w:r w:rsidRPr="009722AB">
              <w:rPr>
                <w:rFonts w:cs="Arial"/>
                <w:sz w:val="20"/>
              </w:rPr>
              <w:t>42 (41%)</w:t>
            </w:r>
          </w:p>
        </w:tc>
      </w:tr>
      <w:tr w:rsidR="003128CA" w:rsidRPr="009722AB" w14:paraId="26B6644A" w14:textId="77777777" w:rsidTr="00752F5B">
        <w:trPr>
          <w:trHeight w:val="113"/>
          <w:jc w:val="center"/>
        </w:trPr>
        <w:tc>
          <w:tcPr>
            <w:tcW w:w="6624" w:type="dxa"/>
            <w:tcBorders>
              <w:left w:val="single" w:sz="4" w:space="0" w:color="auto"/>
              <w:bottom w:val="single" w:sz="8" w:space="0" w:color="FFFFFF"/>
            </w:tcBorders>
          </w:tcPr>
          <w:p w14:paraId="59983023" w14:textId="77777777" w:rsidR="003128CA" w:rsidRPr="009722AB" w:rsidRDefault="003128CA" w:rsidP="00072CE1">
            <w:pPr>
              <w:keepNext/>
              <w:spacing w:after="0"/>
              <w:ind w:left="392"/>
              <w:rPr>
                <w:rFonts w:cs="Arial"/>
                <w:sz w:val="20"/>
              </w:rPr>
            </w:pPr>
            <w:r w:rsidRPr="009722AB">
              <w:rPr>
                <w:rFonts w:cs="Arial"/>
                <w:sz w:val="20"/>
              </w:rPr>
              <w:t>1</w:t>
            </w:r>
          </w:p>
        </w:tc>
        <w:tc>
          <w:tcPr>
            <w:tcW w:w="2696" w:type="dxa"/>
            <w:tcBorders>
              <w:right w:val="single" w:sz="4" w:space="0" w:color="auto"/>
            </w:tcBorders>
          </w:tcPr>
          <w:p w14:paraId="3E7B9957" w14:textId="77777777" w:rsidR="003128CA" w:rsidRPr="009722AB" w:rsidRDefault="003128CA" w:rsidP="00072CE1">
            <w:pPr>
              <w:keepNext/>
              <w:spacing w:after="0"/>
              <w:jc w:val="center"/>
              <w:rPr>
                <w:rFonts w:cs="Arial"/>
                <w:sz w:val="20"/>
              </w:rPr>
            </w:pPr>
            <w:r w:rsidRPr="009722AB">
              <w:rPr>
                <w:rFonts w:cs="Arial"/>
                <w:sz w:val="20"/>
              </w:rPr>
              <w:t>60 (59%)</w:t>
            </w:r>
          </w:p>
        </w:tc>
      </w:tr>
      <w:bookmarkEnd w:id="33"/>
      <w:tr w:rsidR="003128CA" w:rsidRPr="009722AB" w14:paraId="4C9C5F48" w14:textId="77777777" w:rsidTr="00752F5B">
        <w:trPr>
          <w:trHeight w:val="113"/>
          <w:jc w:val="center"/>
        </w:trPr>
        <w:tc>
          <w:tcPr>
            <w:tcW w:w="6624" w:type="dxa"/>
            <w:tcBorders>
              <w:top w:val="single" w:sz="8" w:space="0" w:color="FFFFFF"/>
              <w:left w:val="single" w:sz="4" w:space="0" w:color="auto"/>
              <w:bottom w:val="single" w:sz="8" w:space="0" w:color="FFFFFF"/>
            </w:tcBorders>
          </w:tcPr>
          <w:p w14:paraId="3E3241E0" w14:textId="77777777" w:rsidR="003128CA" w:rsidRPr="009722AB" w:rsidRDefault="003128CA" w:rsidP="00072CE1">
            <w:pPr>
              <w:keepNext/>
              <w:spacing w:after="0"/>
              <w:ind w:left="392" w:hanging="216"/>
              <w:rPr>
                <w:rFonts w:cs="Arial"/>
                <w:sz w:val="20"/>
              </w:rPr>
            </w:pPr>
            <w:r w:rsidRPr="009722AB">
              <w:rPr>
                <w:rFonts w:cs="Arial"/>
                <w:bCs/>
                <w:sz w:val="20"/>
              </w:rPr>
              <w:t>Prior Autologous Stem Cell Transplant (ASCT)</w:t>
            </w:r>
          </w:p>
        </w:tc>
        <w:tc>
          <w:tcPr>
            <w:tcW w:w="2696" w:type="dxa"/>
            <w:tcBorders>
              <w:bottom w:val="single" w:sz="8" w:space="0" w:color="FFFFFF"/>
              <w:right w:val="single" w:sz="4" w:space="0" w:color="auto"/>
            </w:tcBorders>
          </w:tcPr>
          <w:p w14:paraId="291603CC" w14:textId="77777777" w:rsidR="003128CA" w:rsidRPr="009722AB" w:rsidRDefault="003128CA" w:rsidP="00072CE1">
            <w:pPr>
              <w:keepNext/>
              <w:spacing w:after="0"/>
              <w:jc w:val="center"/>
              <w:rPr>
                <w:rFonts w:cs="Arial"/>
                <w:sz w:val="20"/>
              </w:rPr>
            </w:pPr>
            <w:r w:rsidRPr="009722AB">
              <w:rPr>
                <w:rFonts w:cs="Arial"/>
                <w:sz w:val="20"/>
              </w:rPr>
              <w:t>102 (100%)</w:t>
            </w:r>
          </w:p>
        </w:tc>
      </w:tr>
      <w:tr w:rsidR="003128CA" w:rsidRPr="009722AB" w14:paraId="4BED81D4" w14:textId="77777777" w:rsidTr="00752F5B">
        <w:trPr>
          <w:trHeight w:val="113"/>
          <w:jc w:val="center"/>
        </w:trPr>
        <w:tc>
          <w:tcPr>
            <w:tcW w:w="6624" w:type="dxa"/>
            <w:tcBorders>
              <w:top w:val="single" w:sz="8" w:space="0" w:color="FFFFFF"/>
              <w:left w:val="single" w:sz="4" w:space="0" w:color="auto"/>
              <w:bottom w:val="single" w:sz="8" w:space="0" w:color="FFFFFF"/>
            </w:tcBorders>
          </w:tcPr>
          <w:p w14:paraId="26003383" w14:textId="77777777" w:rsidR="003128CA" w:rsidRPr="009722AB" w:rsidRDefault="003128CA" w:rsidP="00072CE1">
            <w:pPr>
              <w:keepNext/>
              <w:spacing w:after="0"/>
              <w:ind w:left="392" w:hanging="216"/>
              <w:rPr>
                <w:rFonts w:cs="Arial"/>
                <w:sz w:val="20"/>
              </w:rPr>
            </w:pPr>
            <w:r w:rsidRPr="009722AB">
              <w:rPr>
                <w:rFonts w:cs="Arial"/>
                <w:sz w:val="20"/>
              </w:rPr>
              <w:t>Prior chemotherapy Regimens</w:t>
            </w:r>
          </w:p>
        </w:tc>
        <w:tc>
          <w:tcPr>
            <w:tcW w:w="2696" w:type="dxa"/>
            <w:tcBorders>
              <w:top w:val="single" w:sz="8" w:space="0" w:color="FFFFFF"/>
              <w:bottom w:val="single" w:sz="8" w:space="0" w:color="FFFFFF"/>
              <w:right w:val="single" w:sz="4" w:space="0" w:color="auto"/>
            </w:tcBorders>
          </w:tcPr>
          <w:p w14:paraId="70C4E0B5" w14:textId="77777777" w:rsidR="003128CA" w:rsidRPr="009722AB" w:rsidRDefault="003128CA" w:rsidP="00072CE1">
            <w:pPr>
              <w:keepNext/>
              <w:spacing w:after="0"/>
              <w:jc w:val="center"/>
              <w:rPr>
                <w:rFonts w:cs="Arial"/>
                <w:sz w:val="20"/>
              </w:rPr>
            </w:pPr>
            <w:r w:rsidRPr="009722AB">
              <w:rPr>
                <w:rFonts w:cs="Arial"/>
                <w:sz w:val="20"/>
              </w:rPr>
              <w:t>3.5 (1-13)</w:t>
            </w:r>
          </w:p>
        </w:tc>
      </w:tr>
      <w:tr w:rsidR="003128CA" w:rsidRPr="009722AB" w14:paraId="232AF89B" w14:textId="77777777" w:rsidTr="00752F5B">
        <w:trPr>
          <w:trHeight w:val="128"/>
          <w:jc w:val="center"/>
        </w:trPr>
        <w:tc>
          <w:tcPr>
            <w:tcW w:w="6624" w:type="dxa"/>
            <w:tcBorders>
              <w:top w:val="single" w:sz="8" w:space="0" w:color="FFFFFF"/>
              <w:left w:val="single" w:sz="4" w:space="0" w:color="auto"/>
              <w:bottom w:val="single" w:sz="4" w:space="0" w:color="FFFFFF"/>
            </w:tcBorders>
          </w:tcPr>
          <w:p w14:paraId="719A8871" w14:textId="77777777" w:rsidR="003128CA" w:rsidRPr="009722AB" w:rsidRDefault="003128CA" w:rsidP="00072CE1">
            <w:pPr>
              <w:keepNext/>
              <w:spacing w:after="0"/>
              <w:ind w:left="392" w:hanging="216"/>
              <w:rPr>
                <w:rFonts w:cs="Arial"/>
                <w:sz w:val="20"/>
              </w:rPr>
            </w:pPr>
            <w:r w:rsidRPr="009722AB">
              <w:rPr>
                <w:rFonts w:cs="Arial"/>
                <w:sz w:val="20"/>
              </w:rPr>
              <w:t>Time from ASCT to first post-transplant relapse</w:t>
            </w:r>
          </w:p>
        </w:tc>
        <w:tc>
          <w:tcPr>
            <w:tcW w:w="2696" w:type="dxa"/>
            <w:tcBorders>
              <w:top w:val="single" w:sz="8" w:space="0" w:color="FFFFFF"/>
              <w:right w:val="single" w:sz="4" w:space="0" w:color="auto"/>
            </w:tcBorders>
          </w:tcPr>
          <w:p w14:paraId="50713C81" w14:textId="77777777" w:rsidR="003128CA" w:rsidRPr="009722AB" w:rsidRDefault="003128CA" w:rsidP="00072CE1">
            <w:pPr>
              <w:keepNext/>
              <w:spacing w:after="0"/>
              <w:jc w:val="center"/>
              <w:rPr>
                <w:rFonts w:cs="Arial"/>
                <w:sz w:val="20"/>
              </w:rPr>
            </w:pPr>
            <w:r w:rsidRPr="009722AB">
              <w:rPr>
                <w:rFonts w:cs="Arial"/>
                <w:sz w:val="20"/>
              </w:rPr>
              <w:t xml:space="preserve">6.7 </w:t>
            </w:r>
            <w:proofErr w:type="spellStart"/>
            <w:r w:rsidRPr="009722AB">
              <w:rPr>
                <w:rFonts w:cs="Arial"/>
                <w:sz w:val="20"/>
              </w:rPr>
              <w:t>mo</w:t>
            </w:r>
            <w:proofErr w:type="spellEnd"/>
            <w:r w:rsidRPr="009722AB">
              <w:rPr>
                <w:rFonts w:cs="Arial"/>
                <w:sz w:val="20"/>
              </w:rPr>
              <w:t xml:space="preserve"> (0-131)</w:t>
            </w:r>
          </w:p>
        </w:tc>
      </w:tr>
      <w:tr w:rsidR="003128CA" w:rsidRPr="009722AB" w14:paraId="4FE3FB70" w14:textId="77777777" w:rsidTr="00752F5B">
        <w:trPr>
          <w:trHeight w:val="127"/>
          <w:jc w:val="center"/>
        </w:trPr>
        <w:tc>
          <w:tcPr>
            <w:tcW w:w="6624" w:type="dxa"/>
            <w:tcBorders>
              <w:top w:val="single" w:sz="4" w:space="0" w:color="FFFFFF"/>
              <w:left w:val="single" w:sz="4" w:space="0" w:color="auto"/>
              <w:bottom w:val="single" w:sz="4" w:space="0" w:color="auto"/>
            </w:tcBorders>
          </w:tcPr>
          <w:p w14:paraId="429020AF" w14:textId="77777777" w:rsidR="003128CA" w:rsidRPr="009722AB" w:rsidRDefault="003128CA" w:rsidP="00072CE1">
            <w:pPr>
              <w:keepNext/>
              <w:spacing w:after="0"/>
              <w:ind w:left="392" w:hanging="216"/>
              <w:rPr>
                <w:rFonts w:cs="Arial"/>
                <w:sz w:val="20"/>
              </w:rPr>
            </w:pPr>
            <w:r w:rsidRPr="009722AB">
              <w:rPr>
                <w:rFonts w:cs="Arial"/>
                <w:sz w:val="20"/>
              </w:rPr>
              <w:t>Histologically confirmed CD30-expressing disease</w:t>
            </w:r>
          </w:p>
        </w:tc>
        <w:tc>
          <w:tcPr>
            <w:tcW w:w="2696" w:type="dxa"/>
            <w:tcBorders>
              <w:bottom w:val="single" w:sz="4" w:space="0" w:color="auto"/>
              <w:right w:val="single" w:sz="4" w:space="0" w:color="auto"/>
            </w:tcBorders>
          </w:tcPr>
          <w:p w14:paraId="2E42B344" w14:textId="77777777" w:rsidR="003128CA" w:rsidRPr="009722AB" w:rsidRDefault="003128CA" w:rsidP="00072CE1">
            <w:pPr>
              <w:keepNext/>
              <w:spacing w:after="0"/>
              <w:jc w:val="center"/>
              <w:rPr>
                <w:rFonts w:cs="Arial"/>
                <w:sz w:val="20"/>
              </w:rPr>
            </w:pPr>
            <w:r w:rsidRPr="009722AB">
              <w:rPr>
                <w:rFonts w:cs="Arial"/>
                <w:sz w:val="20"/>
              </w:rPr>
              <w:t>102 (100%)</w:t>
            </w:r>
          </w:p>
        </w:tc>
      </w:tr>
      <w:tr w:rsidR="003128CA" w:rsidRPr="009722AB" w14:paraId="3FF6BFA6" w14:textId="77777777" w:rsidTr="00752F5B">
        <w:trPr>
          <w:trHeight w:val="302"/>
          <w:jc w:val="center"/>
        </w:trPr>
        <w:tc>
          <w:tcPr>
            <w:tcW w:w="6624" w:type="dxa"/>
            <w:tcBorders>
              <w:top w:val="single" w:sz="4" w:space="0" w:color="auto"/>
              <w:left w:val="single" w:sz="4" w:space="0" w:color="auto"/>
              <w:bottom w:val="single" w:sz="4" w:space="0" w:color="auto"/>
            </w:tcBorders>
          </w:tcPr>
          <w:p w14:paraId="7831D951" w14:textId="77777777" w:rsidR="003128CA" w:rsidRPr="009722AB" w:rsidRDefault="003128CA" w:rsidP="00072CE1">
            <w:pPr>
              <w:keepNext/>
              <w:spacing w:after="0"/>
              <w:ind w:left="389" w:hanging="389"/>
              <w:rPr>
                <w:rFonts w:cs="Arial"/>
                <w:b/>
                <w:sz w:val="20"/>
              </w:rPr>
            </w:pPr>
            <w:r w:rsidRPr="009722AB">
              <w:rPr>
                <w:rFonts w:cs="Arial"/>
                <w:b/>
                <w:sz w:val="20"/>
              </w:rPr>
              <w:t>Disease characteristics</w:t>
            </w:r>
          </w:p>
        </w:tc>
        <w:tc>
          <w:tcPr>
            <w:tcW w:w="2696" w:type="dxa"/>
            <w:tcBorders>
              <w:top w:val="single" w:sz="4" w:space="0" w:color="auto"/>
              <w:bottom w:val="single" w:sz="4" w:space="0" w:color="auto"/>
              <w:right w:val="single" w:sz="4" w:space="0" w:color="auto"/>
            </w:tcBorders>
          </w:tcPr>
          <w:p w14:paraId="2B6AEC44" w14:textId="77777777" w:rsidR="003128CA" w:rsidRPr="009722AB" w:rsidRDefault="003128CA" w:rsidP="00072CE1">
            <w:pPr>
              <w:keepNext/>
              <w:spacing w:after="0"/>
              <w:jc w:val="center"/>
              <w:rPr>
                <w:rFonts w:cs="Arial"/>
                <w:b/>
                <w:sz w:val="20"/>
              </w:rPr>
            </w:pPr>
          </w:p>
        </w:tc>
      </w:tr>
      <w:tr w:rsidR="003128CA" w:rsidRPr="009722AB" w14:paraId="5A3FE1BC" w14:textId="77777777" w:rsidTr="00752F5B">
        <w:trPr>
          <w:trHeight w:val="160"/>
          <w:jc w:val="center"/>
        </w:trPr>
        <w:tc>
          <w:tcPr>
            <w:tcW w:w="6624" w:type="dxa"/>
            <w:tcBorders>
              <w:top w:val="single" w:sz="4" w:space="0" w:color="auto"/>
              <w:left w:val="single" w:sz="4" w:space="0" w:color="auto"/>
            </w:tcBorders>
          </w:tcPr>
          <w:p w14:paraId="78232010" w14:textId="77777777" w:rsidR="003128CA" w:rsidRPr="009722AB" w:rsidRDefault="003128CA" w:rsidP="00072CE1">
            <w:pPr>
              <w:keepNext/>
              <w:spacing w:after="0"/>
              <w:ind w:left="172"/>
              <w:rPr>
                <w:rFonts w:cs="Arial"/>
                <w:sz w:val="20"/>
              </w:rPr>
            </w:pPr>
            <w:r w:rsidRPr="009722AB">
              <w:rPr>
                <w:rFonts w:cs="Arial"/>
                <w:sz w:val="20"/>
              </w:rPr>
              <w:t xml:space="preserve">Primary Refractory to frontline </w:t>
            </w:r>
            <w:proofErr w:type="spellStart"/>
            <w:r w:rsidRPr="009722AB">
              <w:rPr>
                <w:rFonts w:cs="Arial"/>
                <w:sz w:val="20"/>
              </w:rPr>
              <w:t>therapy</w:t>
            </w:r>
            <w:r w:rsidRPr="009722AB">
              <w:rPr>
                <w:rFonts w:cs="Arial"/>
                <w:sz w:val="20"/>
                <w:vertAlign w:val="superscript"/>
              </w:rPr>
              <w:t>a</w:t>
            </w:r>
            <w:proofErr w:type="spellEnd"/>
          </w:p>
        </w:tc>
        <w:tc>
          <w:tcPr>
            <w:tcW w:w="2696" w:type="dxa"/>
            <w:tcBorders>
              <w:top w:val="single" w:sz="4" w:space="0" w:color="auto"/>
              <w:right w:val="single" w:sz="4" w:space="0" w:color="auto"/>
            </w:tcBorders>
          </w:tcPr>
          <w:p w14:paraId="76920111" w14:textId="77777777" w:rsidR="003128CA" w:rsidRPr="009722AB" w:rsidRDefault="003128CA" w:rsidP="00072CE1">
            <w:pPr>
              <w:keepNext/>
              <w:spacing w:after="0"/>
              <w:jc w:val="center"/>
              <w:rPr>
                <w:rFonts w:cs="Arial"/>
                <w:sz w:val="20"/>
              </w:rPr>
            </w:pPr>
            <w:r w:rsidRPr="009722AB">
              <w:rPr>
                <w:rFonts w:cs="Arial"/>
                <w:sz w:val="20"/>
              </w:rPr>
              <w:t>72 (71%)</w:t>
            </w:r>
          </w:p>
        </w:tc>
      </w:tr>
      <w:tr w:rsidR="003128CA" w:rsidRPr="009722AB" w14:paraId="0C9207B5" w14:textId="77777777" w:rsidTr="00752F5B">
        <w:trPr>
          <w:trHeight w:val="143"/>
          <w:jc w:val="center"/>
        </w:trPr>
        <w:tc>
          <w:tcPr>
            <w:tcW w:w="6624" w:type="dxa"/>
            <w:tcBorders>
              <w:top w:val="single" w:sz="2" w:space="0" w:color="FFFFFF"/>
              <w:left w:val="single" w:sz="4" w:space="0" w:color="auto"/>
              <w:bottom w:val="single" w:sz="2" w:space="0" w:color="FFFFFF"/>
            </w:tcBorders>
          </w:tcPr>
          <w:p w14:paraId="5FC3CD2D" w14:textId="77777777" w:rsidR="003128CA" w:rsidRPr="009722AB" w:rsidRDefault="003128CA" w:rsidP="00072CE1">
            <w:pPr>
              <w:keepNext/>
              <w:spacing w:after="0"/>
              <w:ind w:left="172"/>
              <w:rPr>
                <w:rFonts w:cs="Arial"/>
                <w:sz w:val="20"/>
              </w:rPr>
            </w:pPr>
            <w:r w:rsidRPr="009722AB">
              <w:rPr>
                <w:rFonts w:cs="Arial"/>
                <w:sz w:val="20"/>
              </w:rPr>
              <w:t>Refractory to most recent therapy</w:t>
            </w:r>
          </w:p>
        </w:tc>
        <w:tc>
          <w:tcPr>
            <w:tcW w:w="2696" w:type="dxa"/>
            <w:tcBorders>
              <w:top w:val="single" w:sz="2" w:space="0" w:color="FFFFFF"/>
              <w:right w:val="single" w:sz="4" w:space="0" w:color="auto"/>
            </w:tcBorders>
          </w:tcPr>
          <w:p w14:paraId="75A3160E" w14:textId="77777777" w:rsidR="003128CA" w:rsidRPr="009722AB" w:rsidRDefault="003128CA" w:rsidP="00072CE1">
            <w:pPr>
              <w:keepNext/>
              <w:spacing w:after="0"/>
              <w:jc w:val="center"/>
              <w:rPr>
                <w:rFonts w:cs="Arial"/>
                <w:sz w:val="20"/>
              </w:rPr>
            </w:pPr>
            <w:r w:rsidRPr="009722AB">
              <w:rPr>
                <w:rFonts w:cs="Arial"/>
                <w:sz w:val="20"/>
              </w:rPr>
              <w:t>43 (42%)</w:t>
            </w:r>
          </w:p>
        </w:tc>
      </w:tr>
      <w:tr w:rsidR="003128CA" w:rsidRPr="009722AB" w14:paraId="217CBFC3" w14:textId="77777777" w:rsidTr="00752F5B">
        <w:trPr>
          <w:trHeight w:val="128"/>
          <w:jc w:val="center"/>
        </w:trPr>
        <w:tc>
          <w:tcPr>
            <w:tcW w:w="6624" w:type="dxa"/>
            <w:tcBorders>
              <w:top w:val="single" w:sz="2" w:space="0" w:color="FFFFFF"/>
              <w:left w:val="single" w:sz="4" w:space="0" w:color="auto"/>
              <w:bottom w:val="single" w:sz="2" w:space="0" w:color="FFFFFF"/>
            </w:tcBorders>
          </w:tcPr>
          <w:p w14:paraId="593E5E87" w14:textId="77777777" w:rsidR="003128CA" w:rsidRPr="009722AB" w:rsidRDefault="003128CA" w:rsidP="00072CE1">
            <w:pPr>
              <w:keepNext/>
              <w:spacing w:after="0"/>
              <w:ind w:left="172"/>
              <w:rPr>
                <w:rFonts w:cs="Arial"/>
                <w:sz w:val="20"/>
              </w:rPr>
            </w:pPr>
            <w:r w:rsidRPr="009722AB">
              <w:rPr>
                <w:rFonts w:cs="Arial"/>
                <w:sz w:val="20"/>
              </w:rPr>
              <w:t>Baseline B symptoms</w:t>
            </w:r>
          </w:p>
        </w:tc>
        <w:tc>
          <w:tcPr>
            <w:tcW w:w="2696" w:type="dxa"/>
            <w:tcBorders>
              <w:right w:val="single" w:sz="4" w:space="0" w:color="auto"/>
            </w:tcBorders>
          </w:tcPr>
          <w:p w14:paraId="48BD4E97" w14:textId="77777777" w:rsidR="003128CA" w:rsidRPr="009722AB" w:rsidRDefault="003128CA" w:rsidP="00072CE1">
            <w:pPr>
              <w:keepNext/>
              <w:spacing w:after="0"/>
              <w:jc w:val="center"/>
              <w:rPr>
                <w:rFonts w:cs="Arial"/>
                <w:sz w:val="20"/>
              </w:rPr>
            </w:pPr>
            <w:r w:rsidRPr="009722AB">
              <w:rPr>
                <w:rFonts w:cs="Arial"/>
                <w:sz w:val="20"/>
              </w:rPr>
              <w:t>35 (33%)</w:t>
            </w:r>
          </w:p>
        </w:tc>
      </w:tr>
      <w:tr w:rsidR="003128CA" w:rsidRPr="009722AB" w14:paraId="71FF9140" w14:textId="77777777" w:rsidTr="00752F5B">
        <w:trPr>
          <w:trHeight w:val="127"/>
          <w:jc w:val="center"/>
        </w:trPr>
        <w:tc>
          <w:tcPr>
            <w:tcW w:w="6624" w:type="dxa"/>
            <w:tcBorders>
              <w:top w:val="single" w:sz="2" w:space="0" w:color="FFFFFF"/>
              <w:left w:val="single" w:sz="4" w:space="0" w:color="auto"/>
              <w:bottom w:val="single" w:sz="2" w:space="0" w:color="FFFFFF"/>
            </w:tcBorders>
          </w:tcPr>
          <w:p w14:paraId="49D56B90" w14:textId="77777777" w:rsidR="003128CA" w:rsidRPr="009722AB" w:rsidRDefault="003128CA" w:rsidP="00072CE1">
            <w:pPr>
              <w:keepNext/>
              <w:spacing w:after="0"/>
              <w:ind w:left="172"/>
              <w:rPr>
                <w:rFonts w:cs="Arial"/>
                <w:sz w:val="20"/>
              </w:rPr>
            </w:pPr>
            <w:r w:rsidRPr="009722AB">
              <w:rPr>
                <w:rFonts w:cs="Arial"/>
                <w:sz w:val="20"/>
              </w:rPr>
              <w:t>Stage III at initial diagnosis</w:t>
            </w:r>
          </w:p>
        </w:tc>
        <w:tc>
          <w:tcPr>
            <w:tcW w:w="2696" w:type="dxa"/>
            <w:tcBorders>
              <w:right w:val="single" w:sz="4" w:space="0" w:color="auto"/>
            </w:tcBorders>
          </w:tcPr>
          <w:p w14:paraId="1B8C5758" w14:textId="77777777" w:rsidR="003128CA" w:rsidRPr="009722AB" w:rsidRDefault="003128CA" w:rsidP="00072CE1">
            <w:pPr>
              <w:keepNext/>
              <w:spacing w:after="0"/>
              <w:jc w:val="center"/>
              <w:rPr>
                <w:rFonts w:cs="Arial"/>
                <w:sz w:val="20"/>
              </w:rPr>
            </w:pPr>
            <w:r w:rsidRPr="009722AB">
              <w:rPr>
                <w:rFonts w:cs="Arial"/>
                <w:sz w:val="20"/>
              </w:rPr>
              <w:t>27 (26%)</w:t>
            </w:r>
          </w:p>
        </w:tc>
      </w:tr>
      <w:tr w:rsidR="003128CA" w:rsidRPr="009722AB" w14:paraId="76BF46AA" w14:textId="77777777" w:rsidTr="00752F5B">
        <w:trPr>
          <w:trHeight w:val="127"/>
          <w:jc w:val="center"/>
        </w:trPr>
        <w:tc>
          <w:tcPr>
            <w:tcW w:w="6624" w:type="dxa"/>
            <w:tcBorders>
              <w:top w:val="single" w:sz="2" w:space="0" w:color="FFFFFF"/>
              <w:left w:val="single" w:sz="4" w:space="0" w:color="auto"/>
              <w:bottom w:val="single" w:sz="4" w:space="0" w:color="auto"/>
            </w:tcBorders>
          </w:tcPr>
          <w:p w14:paraId="74742C9F" w14:textId="77777777" w:rsidR="003128CA" w:rsidRPr="009722AB" w:rsidRDefault="003128CA" w:rsidP="00072CE1">
            <w:pPr>
              <w:keepNext/>
              <w:spacing w:after="0"/>
              <w:ind w:left="172"/>
              <w:rPr>
                <w:rFonts w:cs="Arial"/>
                <w:sz w:val="20"/>
              </w:rPr>
            </w:pPr>
            <w:r w:rsidRPr="009722AB">
              <w:rPr>
                <w:rFonts w:cs="Arial"/>
                <w:sz w:val="20"/>
              </w:rPr>
              <w:t>Stage IV at initial diagnosis</w:t>
            </w:r>
          </w:p>
        </w:tc>
        <w:tc>
          <w:tcPr>
            <w:tcW w:w="2696" w:type="dxa"/>
            <w:tcBorders>
              <w:bottom w:val="single" w:sz="4" w:space="0" w:color="auto"/>
              <w:right w:val="single" w:sz="4" w:space="0" w:color="auto"/>
            </w:tcBorders>
          </w:tcPr>
          <w:p w14:paraId="27E0D104" w14:textId="77777777" w:rsidR="003128CA" w:rsidRPr="009722AB" w:rsidRDefault="003128CA" w:rsidP="00072CE1">
            <w:pPr>
              <w:keepNext/>
              <w:spacing w:after="0"/>
              <w:jc w:val="center"/>
              <w:rPr>
                <w:rFonts w:cs="Arial"/>
                <w:sz w:val="20"/>
              </w:rPr>
            </w:pPr>
            <w:r w:rsidRPr="009722AB">
              <w:rPr>
                <w:rFonts w:cs="Arial"/>
                <w:sz w:val="20"/>
              </w:rPr>
              <w:t>20 (20%)</w:t>
            </w:r>
          </w:p>
        </w:tc>
      </w:tr>
    </w:tbl>
    <w:bookmarkEnd w:id="34"/>
    <w:p w14:paraId="2306DB26" w14:textId="77777777" w:rsidR="004759A8" w:rsidRPr="009722AB" w:rsidRDefault="004759A8" w:rsidP="000550D7">
      <w:pPr>
        <w:pStyle w:val="Paragraph"/>
        <w:numPr>
          <w:ilvl w:val="0"/>
          <w:numId w:val="28"/>
        </w:numPr>
        <w:tabs>
          <w:tab w:val="clear" w:pos="2340"/>
          <w:tab w:val="left" w:pos="0"/>
        </w:tabs>
        <w:spacing w:after="0"/>
        <w:ind w:left="709" w:hanging="357"/>
        <w:rPr>
          <w:rFonts w:ascii="Arial" w:hAnsi="Arial" w:cs="Arial"/>
          <w:sz w:val="20"/>
          <w:szCs w:val="20"/>
          <w:lang w:val="en-GB"/>
        </w:rPr>
      </w:pPr>
      <w:r w:rsidRPr="009722AB">
        <w:rPr>
          <w:rFonts w:ascii="Arial" w:hAnsi="Arial" w:cs="Arial"/>
          <w:sz w:val="20"/>
          <w:szCs w:val="20"/>
          <w:lang w:val="en-GB"/>
        </w:rPr>
        <w:t>Primary refractory HL is defined as a failure to achieve a complete remission to, or progressed within 3 months of completing, frontline therapy.</w:t>
      </w:r>
    </w:p>
    <w:p w14:paraId="59121027" w14:textId="77777777" w:rsidR="0061083E" w:rsidRDefault="0061083E" w:rsidP="004759A8">
      <w:pPr>
        <w:spacing w:after="0"/>
      </w:pPr>
    </w:p>
    <w:p w14:paraId="25028FB9" w14:textId="77777777" w:rsidR="004759A8" w:rsidRPr="004759A8" w:rsidRDefault="004759A8" w:rsidP="00FD6544">
      <w:pPr>
        <w:spacing w:after="60"/>
      </w:pPr>
      <w:r w:rsidRPr="004759A8">
        <w:t>Eighteen (18) patients (18%) received 16 cycles of ADCETRIS; and the median number of cycles received was 9 (ranging from 1 to 16). Response to treatment with ADCETRIS was assessed by Independent Review Facility (IRF) using the Revised Response Criteria for Malignant Lymphoma (</w:t>
      </w:r>
      <w:proofErr w:type="spellStart"/>
      <w:r w:rsidRPr="004759A8">
        <w:t>Cheson</w:t>
      </w:r>
      <w:proofErr w:type="spellEnd"/>
      <w:r w:rsidRPr="004759A8">
        <w:t xml:space="preserve">, 2007). Treatment response was assessed by spiral CT of chest, neck, abdomen and </w:t>
      </w:r>
      <w:proofErr w:type="gramStart"/>
      <w:r w:rsidRPr="004759A8">
        <w:t>pelvis;</w:t>
      </w:r>
      <w:proofErr w:type="gramEnd"/>
      <w:r w:rsidRPr="004759A8">
        <w:t xml:space="preserve"> PET scans and clinical data. Response assessments were performed at cycles 2, 4, 7, 10, 13, and 16 with PET at cycles 4 and 7.</w:t>
      </w:r>
    </w:p>
    <w:p w14:paraId="6E5060BB" w14:textId="1B420975" w:rsidR="004759A8" w:rsidRPr="0085274E" w:rsidRDefault="004759A8" w:rsidP="004759A8">
      <w:r w:rsidRPr="004759A8">
        <w:t>The objective response rate (ORR) per IRF assessment was 75% (76 of 102 patients in the intent</w:t>
      </w:r>
      <w:r w:rsidR="00F16513">
        <w:noBreakHyphen/>
      </w:r>
      <w:r w:rsidRPr="004759A8">
        <w:t>to</w:t>
      </w:r>
      <w:r w:rsidR="00F16513">
        <w:noBreakHyphen/>
      </w:r>
      <w:r w:rsidRPr="004759A8">
        <w:t xml:space="preserve">treat [ITT] set). Complete remission (CR) was 33% (34 of 102 patients in the ITT set). The median overall survival (OS) is 40.5 months (the median observation time (time to death or last contact) from first dose was </w:t>
      </w:r>
      <w:r w:rsidR="00470CA6">
        <w:t>35.1</w:t>
      </w:r>
      <w:r w:rsidRPr="004759A8">
        <w:t> months).</w:t>
      </w:r>
      <w:bookmarkStart w:id="35" w:name="OLE_LINK8"/>
      <w:bookmarkStart w:id="36" w:name="OLE_LINK9"/>
      <w:r w:rsidRPr="004759A8">
        <w:t xml:space="preserve"> </w:t>
      </w:r>
      <w:r w:rsidR="00470CA6" w:rsidRPr="00470CA6">
        <w:t xml:space="preserve">The estimated overall survival rate at 5 years was 41% (95% CI [31%, 51%]). </w:t>
      </w:r>
      <w:r w:rsidRPr="004759A8">
        <w:t>The investigator assessments were generally consistent with the independent review of the scans.</w:t>
      </w:r>
      <w:bookmarkEnd w:id="35"/>
      <w:bookmarkEnd w:id="36"/>
      <w:r w:rsidRPr="004759A8">
        <w:t xml:space="preserve"> Of the patients </w:t>
      </w:r>
      <w:r w:rsidRPr="0085274E">
        <w:t xml:space="preserve">treated, </w:t>
      </w:r>
      <w:r w:rsidR="00470CA6" w:rsidRPr="0085274E">
        <w:t xml:space="preserve">8 </w:t>
      </w:r>
      <w:r w:rsidRPr="0085274E">
        <w:t>responding patients went on to receive an allogeneic SCT. For further efficacy results see</w:t>
      </w:r>
      <w:r w:rsidR="00BB3E4E">
        <w:t xml:space="preserve"> </w:t>
      </w:r>
      <w:r w:rsidR="00BB3E4E">
        <w:fldChar w:fldCharType="begin"/>
      </w:r>
      <w:r w:rsidR="00BB3E4E">
        <w:instrText xml:space="preserve"> REF _Ref147566604 \h </w:instrText>
      </w:r>
      <w:r w:rsidR="00BB3E4E">
        <w:fldChar w:fldCharType="separate"/>
      </w:r>
      <w:r w:rsidR="001E2FAC" w:rsidRPr="00BB3E4E">
        <w:rPr>
          <w:szCs w:val="22"/>
        </w:rPr>
        <w:t xml:space="preserve">Table </w:t>
      </w:r>
      <w:r w:rsidR="001E2FAC">
        <w:rPr>
          <w:noProof/>
          <w:szCs w:val="22"/>
        </w:rPr>
        <w:t>13</w:t>
      </w:r>
      <w:r w:rsidR="00BB3E4E">
        <w:fldChar w:fldCharType="end"/>
      </w:r>
      <w:r w:rsidRPr="0085274E">
        <w:t>.</w:t>
      </w:r>
    </w:p>
    <w:p w14:paraId="1C9BCC70" w14:textId="035F3403" w:rsidR="004759A8" w:rsidRPr="00BB3E4E" w:rsidRDefault="00BB3E4E" w:rsidP="001B309F">
      <w:pPr>
        <w:pStyle w:val="Caption"/>
        <w:spacing w:after="0"/>
        <w:rPr>
          <w:sz w:val="22"/>
          <w:szCs w:val="22"/>
        </w:rPr>
      </w:pPr>
      <w:bookmarkStart w:id="37" w:name="_Ref147566604"/>
      <w:bookmarkStart w:id="38" w:name="_Ref116657240"/>
      <w:r w:rsidRPr="00BB3E4E">
        <w:rPr>
          <w:sz w:val="22"/>
          <w:szCs w:val="22"/>
        </w:rPr>
        <w:t xml:space="preserve">Table </w:t>
      </w:r>
      <w:r w:rsidRPr="00BB3E4E">
        <w:rPr>
          <w:sz w:val="22"/>
          <w:szCs w:val="22"/>
        </w:rPr>
        <w:fldChar w:fldCharType="begin"/>
      </w:r>
      <w:r w:rsidRPr="00BB3E4E">
        <w:rPr>
          <w:sz w:val="22"/>
          <w:szCs w:val="22"/>
        </w:rPr>
        <w:instrText xml:space="preserve"> SEQ Table \* ARABIC </w:instrText>
      </w:r>
      <w:r w:rsidRPr="00BB3E4E">
        <w:rPr>
          <w:sz w:val="22"/>
          <w:szCs w:val="22"/>
        </w:rPr>
        <w:fldChar w:fldCharType="separate"/>
      </w:r>
      <w:r w:rsidR="001E2FAC">
        <w:rPr>
          <w:noProof/>
          <w:sz w:val="22"/>
          <w:szCs w:val="22"/>
        </w:rPr>
        <w:t>13</w:t>
      </w:r>
      <w:r w:rsidRPr="00BB3E4E">
        <w:rPr>
          <w:sz w:val="22"/>
          <w:szCs w:val="22"/>
        </w:rPr>
        <w:fldChar w:fldCharType="end"/>
      </w:r>
      <w:bookmarkEnd w:id="37"/>
      <w:bookmarkEnd w:id="38"/>
      <w:r w:rsidR="006446FC" w:rsidRPr="00BB3E4E">
        <w:rPr>
          <w:sz w:val="22"/>
          <w:szCs w:val="22"/>
        </w:rPr>
        <w:tab/>
      </w:r>
      <w:r w:rsidR="004759A8" w:rsidRPr="00BB3E4E">
        <w:rPr>
          <w:sz w:val="22"/>
          <w:szCs w:val="22"/>
        </w:rPr>
        <w:t xml:space="preserve">Efficacy results in relapsed or refractory CD30+ HL patients treated with </w:t>
      </w:r>
      <w:r w:rsidR="004759A8" w:rsidRPr="00BB3E4E">
        <w:rPr>
          <w:sz w:val="22"/>
          <w:szCs w:val="22"/>
        </w:rPr>
        <w:tab/>
      </w:r>
      <w:r w:rsidR="004759A8" w:rsidRPr="00BB3E4E">
        <w:rPr>
          <w:sz w:val="22"/>
          <w:szCs w:val="22"/>
        </w:rPr>
        <w:tab/>
      </w:r>
      <w:r w:rsidR="004759A8" w:rsidRPr="00BB3E4E">
        <w:rPr>
          <w:sz w:val="22"/>
          <w:szCs w:val="22"/>
        </w:rPr>
        <w:tab/>
        <w:t>1.8 mg/kg of ADCETRIS every 3 weeks (Study SG035-0003)</w:t>
      </w:r>
    </w:p>
    <w:tbl>
      <w:tblPr>
        <w:tblW w:w="9583" w:type="dxa"/>
        <w:jc w:val="cente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4111"/>
        <w:gridCol w:w="3042"/>
        <w:gridCol w:w="2430"/>
      </w:tblGrid>
      <w:tr w:rsidR="004759A8" w:rsidRPr="009722AB" w14:paraId="7192B6B4" w14:textId="77777777" w:rsidTr="008D440A">
        <w:trPr>
          <w:trHeight w:val="302"/>
          <w:jc w:val="center"/>
        </w:trPr>
        <w:tc>
          <w:tcPr>
            <w:tcW w:w="4111" w:type="dxa"/>
            <w:tcBorders>
              <w:top w:val="single" w:sz="4" w:space="0" w:color="auto"/>
              <w:left w:val="single" w:sz="4" w:space="0" w:color="auto"/>
              <w:bottom w:val="single" w:sz="4" w:space="0" w:color="auto"/>
            </w:tcBorders>
            <w:noWrap/>
          </w:tcPr>
          <w:p w14:paraId="1FFEAABF" w14:textId="77777777" w:rsidR="004759A8" w:rsidRPr="009722AB" w:rsidRDefault="004759A8" w:rsidP="00072CE1">
            <w:pPr>
              <w:keepNext/>
              <w:spacing w:after="0"/>
              <w:rPr>
                <w:rFonts w:cs="Arial"/>
                <w:b/>
                <w:bCs/>
                <w:sz w:val="20"/>
              </w:rPr>
            </w:pPr>
            <w:r w:rsidRPr="009722AB">
              <w:rPr>
                <w:rFonts w:cs="Arial"/>
                <w:b/>
                <w:bCs/>
                <w:sz w:val="20"/>
              </w:rPr>
              <w:t>Best clinical response</w:t>
            </w:r>
            <w:r w:rsidRPr="009722AB">
              <w:rPr>
                <w:rFonts w:cs="Arial"/>
                <w:b/>
                <w:sz w:val="20"/>
                <w:vertAlign w:val="superscript"/>
              </w:rPr>
              <w:t xml:space="preserve"> </w:t>
            </w:r>
            <w:r w:rsidRPr="009722AB">
              <w:rPr>
                <w:rFonts w:cs="Arial"/>
                <w:b/>
                <w:bCs/>
                <w:sz w:val="20"/>
              </w:rPr>
              <w:t xml:space="preserve">(N = </w:t>
            </w:r>
            <w:proofErr w:type="gramStart"/>
            <w:r w:rsidRPr="009722AB">
              <w:rPr>
                <w:rFonts w:cs="Arial"/>
                <w:b/>
                <w:bCs/>
                <w:sz w:val="20"/>
              </w:rPr>
              <w:t>102</w:t>
            </w:r>
            <w:r w:rsidRPr="009722AB">
              <w:rPr>
                <w:rFonts w:cs="Arial"/>
                <w:sz w:val="20"/>
                <w:vertAlign w:val="superscript"/>
              </w:rPr>
              <w:t xml:space="preserve"> </w:t>
            </w:r>
            <w:r w:rsidRPr="009722AB">
              <w:rPr>
                <w:rFonts w:cs="Arial"/>
                <w:b/>
                <w:bCs/>
                <w:sz w:val="20"/>
              </w:rPr>
              <w:t>)</w:t>
            </w:r>
            <w:proofErr w:type="gramEnd"/>
          </w:p>
        </w:tc>
        <w:tc>
          <w:tcPr>
            <w:tcW w:w="3042" w:type="dxa"/>
            <w:tcBorders>
              <w:top w:val="single" w:sz="4" w:space="0" w:color="auto"/>
              <w:bottom w:val="single" w:sz="4" w:space="0" w:color="auto"/>
            </w:tcBorders>
            <w:noWrap/>
          </w:tcPr>
          <w:p w14:paraId="07E934DC" w14:textId="77777777" w:rsidR="004759A8" w:rsidRPr="009722AB" w:rsidRDefault="004759A8" w:rsidP="00072CE1">
            <w:pPr>
              <w:keepNext/>
              <w:spacing w:after="0"/>
              <w:jc w:val="center"/>
              <w:rPr>
                <w:rFonts w:cs="Arial"/>
                <w:b/>
                <w:bCs/>
                <w:sz w:val="20"/>
              </w:rPr>
            </w:pPr>
            <w:r w:rsidRPr="009722AB">
              <w:rPr>
                <w:rFonts w:cs="Arial"/>
                <w:b/>
                <w:bCs/>
                <w:sz w:val="20"/>
              </w:rPr>
              <w:t>IRF N (%)</w:t>
            </w:r>
          </w:p>
        </w:tc>
        <w:tc>
          <w:tcPr>
            <w:tcW w:w="2430" w:type="dxa"/>
            <w:tcBorders>
              <w:top w:val="single" w:sz="4" w:space="0" w:color="auto"/>
              <w:bottom w:val="single" w:sz="4" w:space="0" w:color="auto"/>
              <w:right w:val="single" w:sz="4" w:space="0" w:color="C0C0C0"/>
            </w:tcBorders>
            <w:noWrap/>
          </w:tcPr>
          <w:p w14:paraId="189D9CBD" w14:textId="77777777" w:rsidR="004759A8" w:rsidRPr="009722AB" w:rsidRDefault="004759A8" w:rsidP="00072CE1">
            <w:pPr>
              <w:keepNext/>
              <w:spacing w:after="0"/>
              <w:jc w:val="center"/>
              <w:rPr>
                <w:rFonts w:cs="Arial"/>
                <w:b/>
                <w:bCs/>
                <w:sz w:val="20"/>
              </w:rPr>
            </w:pPr>
            <w:r w:rsidRPr="009722AB">
              <w:rPr>
                <w:rFonts w:cs="Arial"/>
                <w:b/>
                <w:bCs/>
                <w:sz w:val="20"/>
              </w:rPr>
              <w:t>95% CI</w:t>
            </w:r>
          </w:p>
        </w:tc>
      </w:tr>
      <w:tr w:rsidR="004759A8" w:rsidRPr="009722AB" w14:paraId="7F3D8DAB" w14:textId="77777777" w:rsidTr="008D440A">
        <w:trPr>
          <w:trHeight w:val="255"/>
          <w:jc w:val="center"/>
        </w:trPr>
        <w:tc>
          <w:tcPr>
            <w:tcW w:w="4111" w:type="dxa"/>
            <w:tcBorders>
              <w:top w:val="single" w:sz="4" w:space="0" w:color="auto"/>
              <w:left w:val="single" w:sz="4" w:space="0" w:color="auto"/>
            </w:tcBorders>
            <w:noWrap/>
          </w:tcPr>
          <w:p w14:paraId="24781280" w14:textId="77777777" w:rsidR="004759A8" w:rsidRPr="009722AB" w:rsidRDefault="004759A8" w:rsidP="00072CE1">
            <w:pPr>
              <w:keepNext/>
              <w:spacing w:after="0"/>
              <w:rPr>
                <w:rFonts w:cs="Arial"/>
                <w:sz w:val="20"/>
              </w:rPr>
            </w:pPr>
            <w:r w:rsidRPr="009722AB">
              <w:rPr>
                <w:rFonts w:cs="Arial"/>
                <w:sz w:val="20"/>
              </w:rPr>
              <w:t>Objective response rate (CR + PR)</w:t>
            </w:r>
          </w:p>
        </w:tc>
        <w:tc>
          <w:tcPr>
            <w:tcW w:w="3042" w:type="dxa"/>
            <w:tcBorders>
              <w:top w:val="single" w:sz="4" w:space="0" w:color="auto"/>
            </w:tcBorders>
            <w:noWrap/>
          </w:tcPr>
          <w:p w14:paraId="2D6A7CC3" w14:textId="77777777" w:rsidR="004759A8" w:rsidRPr="009722AB" w:rsidRDefault="004759A8" w:rsidP="00072CE1">
            <w:pPr>
              <w:keepNext/>
              <w:spacing w:after="0"/>
              <w:jc w:val="center"/>
              <w:rPr>
                <w:rFonts w:cs="Arial"/>
                <w:sz w:val="20"/>
              </w:rPr>
            </w:pPr>
            <w:r w:rsidRPr="009722AB">
              <w:rPr>
                <w:rFonts w:cs="Arial"/>
                <w:sz w:val="20"/>
              </w:rPr>
              <w:t>76 (75)</w:t>
            </w:r>
          </w:p>
        </w:tc>
        <w:tc>
          <w:tcPr>
            <w:tcW w:w="2430" w:type="dxa"/>
            <w:tcBorders>
              <w:top w:val="single" w:sz="4" w:space="0" w:color="auto"/>
              <w:right w:val="single" w:sz="4" w:space="0" w:color="C0C0C0"/>
            </w:tcBorders>
            <w:noWrap/>
          </w:tcPr>
          <w:p w14:paraId="69410A85" w14:textId="77777777" w:rsidR="004759A8" w:rsidRPr="009722AB" w:rsidRDefault="004759A8" w:rsidP="00072CE1">
            <w:pPr>
              <w:keepNext/>
              <w:spacing w:after="0"/>
              <w:jc w:val="center"/>
              <w:rPr>
                <w:rFonts w:cs="Arial"/>
                <w:sz w:val="20"/>
              </w:rPr>
            </w:pPr>
            <w:r w:rsidRPr="009722AB">
              <w:rPr>
                <w:rFonts w:cs="Arial"/>
                <w:sz w:val="20"/>
              </w:rPr>
              <w:t>64.9, 82.6</w:t>
            </w:r>
          </w:p>
        </w:tc>
      </w:tr>
      <w:tr w:rsidR="004759A8" w:rsidRPr="009722AB" w14:paraId="15FFB622" w14:textId="77777777" w:rsidTr="008D440A">
        <w:trPr>
          <w:trHeight w:val="255"/>
          <w:jc w:val="center"/>
        </w:trPr>
        <w:tc>
          <w:tcPr>
            <w:tcW w:w="4111" w:type="dxa"/>
            <w:tcBorders>
              <w:left w:val="single" w:sz="4" w:space="0" w:color="auto"/>
            </w:tcBorders>
            <w:noWrap/>
          </w:tcPr>
          <w:p w14:paraId="7770D4E6" w14:textId="77777777" w:rsidR="004759A8" w:rsidRPr="009722AB" w:rsidRDefault="004759A8" w:rsidP="00072CE1">
            <w:pPr>
              <w:keepNext/>
              <w:spacing w:after="0"/>
              <w:rPr>
                <w:rFonts w:cs="Arial"/>
                <w:sz w:val="20"/>
              </w:rPr>
            </w:pPr>
            <w:r w:rsidRPr="009722AB">
              <w:rPr>
                <w:rFonts w:cs="Arial"/>
                <w:sz w:val="20"/>
              </w:rPr>
              <w:t xml:space="preserve">      Complete remission (CR)</w:t>
            </w:r>
          </w:p>
        </w:tc>
        <w:tc>
          <w:tcPr>
            <w:tcW w:w="3042" w:type="dxa"/>
            <w:noWrap/>
          </w:tcPr>
          <w:p w14:paraId="3EA47E74" w14:textId="77777777" w:rsidR="004759A8" w:rsidRPr="009722AB" w:rsidRDefault="004759A8" w:rsidP="00072CE1">
            <w:pPr>
              <w:keepNext/>
              <w:spacing w:after="0"/>
              <w:jc w:val="center"/>
              <w:rPr>
                <w:rFonts w:cs="Arial"/>
                <w:sz w:val="20"/>
              </w:rPr>
            </w:pPr>
            <w:r w:rsidRPr="009722AB">
              <w:rPr>
                <w:rFonts w:cs="Arial"/>
                <w:sz w:val="20"/>
              </w:rPr>
              <w:t>34 (33)</w:t>
            </w:r>
          </w:p>
        </w:tc>
        <w:tc>
          <w:tcPr>
            <w:tcW w:w="2430" w:type="dxa"/>
            <w:tcBorders>
              <w:right w:val="single" w:sz="4" w:space="0" w:color="C0C0C0"/>
            </w:tcBorders>
            <w:noWrap/>
          </w:tcPr>
          <w:p w14:paraId="47940E91" w14:textId="77777777" w:rsidR="004759A8" w:rsidRPr="009722AB" w:rsidRDefault="004759A8" w:rsidP="00072CE1">
            <w:pPr>
              <w:keepNext/>
              <w:spacing w:after="0"/>
              <w:jc w:val="center"/>
              <w:rPr>
                <w:rFonts w:cs="Arial"/>
                <w:sz w:val="20"/>
              </w:rPr>
            </w:pPr>
            <w:r w:rsidRPr="009722AB">
              <w:rPr>
                <w:rFonts w:cs="Arial"/>
                <w:sz w:val="20"/>
              </w:rPr>
              <w:t>24.3, 43.4</w:t>
            </w:r>
          </w:p>
        </w:tc>
      </w:tr>
      <w:tr w:rsidR="004759A8" w:rsidRPr="009722AB" w14:paraId="698C06BB" w14:textId="77777777" w:rsidTr="008D440A">
        <w:trPr>
          <w:trHeight w:val="255"/>
          <w:jc w:val="center"/>
        </w:trPr>
        <w:tc>
          <w:tcPr>
            <w:tcW w:w="4111" w:type="dxa"/>
            <w:tcBorders>
              <w:left w:val="single" w:sz="4" w:space="0" w:color="auto"/>
            </w:tcBorders>
            <w:noWrap/>
          </w:tcPr>
          <w:p w14:paraId="0DFAE795" w14:textId="77777777" w:rsidR="004759A8" w:rsidRPr="009722AB" w:rsidRDefault="004759A8" w:rsidP="00072CE1">
            <w:pPr>
              <w:keepNext/>
              <w:spacing w:after="0"/>
              <w:rPr>
                <w:rFonts w:cs="Arial"/>
                <w:sz w:val="20"/>
              </w:rPr>
            </w:pPr>
            <w:r w:rsidRPr="009722AB">
              <w:rPr>
                <w:rFonts w:cs="Arial"/>
                <w:sz w:val="20"/>
              </w:rPr>
              <w:t xml:space="preserve">      Partial remission (PR)</w:t>
            </w:r>
          </w:p>
        </w:tc>
        <w:tc>
          <w:tcPr>
            <w:tcW w:w="3042" w:type="dxa"/>
            <w:noWrap/>
          </w:tcPr>
          <w:p w14:paraId="6D92FF91" w14:textId="77777777" w:rsidR="004759A8" w:rsidRPr="009722AB" w:rsidRDefault="004759A8" w:rsidP="00072CE1">
            <w:pPr>
              <w:keepNext/>
              <w:spacing w:after="0"/>
              <w:jc w:val="center"/>
              <w:rPr>
                <w:rFonts w:cs="Arial"/>
                <w:sz w:val="20"/>
              </w:rPr>
            </w:pPr>
            <w:r w:rsidRPr="009722AB">
              <w:rPr>
                <w:rFonts w:cs="Arial"/>
                <w:sz w:val="20"/>
              </w:rPr>
              <w:t>42 (41)</w:t>
            </w:r>
          </w:p>
        </w:tc>
        <w:tc>
          <w:tcPr>
            <w:tcW w:w="2430" w:type="dxa"/>
            <w:tcBorders>
              <w:right w:val="single" w:sz="4" w:space="0" w:color="C0C0C0"/>
            </w:tcBorders>
            <w:noWrap/>
          </w:tcPr>
          <w:p w14:paraId="3B633F9C" w14:textId="77777777" w:rsidR="004759A8" w:rsidRPr="009722AB" w:rsidRDefault="004759A8" w:rsidP="00072CE1">
            <w:pPr>
              <w:keepNext/>
              <w:spacing w:after="0"/>
              <w:jc w:val="center"/>
              <w:rPr>
                <w:rFonts w:cs="Arial"/>
                <w:sz w:val="20"/>
              </w:rPr>
            </w:pPr>
            <w:r w:rsidRPr="009722AB">
              <w:rPr>
                <w:rFonts w:cs="Arial"/>
                <w:sz w:val="20"/>
              </w:rPr>
              <w:t>NA</w:t>
            </w:r>
          </w:p>
        </w:tc>
      </w:tr>
      <w:tr w:rsidR="004759A8" w:rsidRPr="009722AB" w14:paraId="06785B7A" w14:textId="77777777" w:rsidTr="008D440A">
        <w:trPr>
          <w:trHeight w:val="255"/>
          <w:jc w:val="center"/>
        </w:trPr>
        <w:tc>
          <w:tcPr>
            <w:tcW w:w="4111" w:type="dxa"/>
            <w:tcBorders>
              <w:left w:val="single" w:sz="4" w:space="0" w:color="auto"/>
              <w:bottom w:val="single" w:sz="4" w:space="0" w:color="auto"/>
            </w:tcBorders>
            <w:noWrap/>
          </w:tcPr>
          <w:p w14:paraId="3BEB2394" w14:textId="77777777" w:rsidR="004759A8" w:rsidRPr="009722AB" w:rsidRDefault="004759A8" w:rsidP="00072CE1">
            <w:pPr>
              <w:keepNext/>
              <w:spacing w:after="0"/>
              <w:rPr>
                <w:rFonts w:cs="Arial"/>
                <w:sz w:val="20"/>
              </w:rPr>
            </w:pPr>
            <w:r w:rsidRPr="009722AB">
              <w:rPr>
                <w:rFonts w:cs="Arial"/>
                <w:sz w:val="20"/>
              </w:rPr>
              <w:t>Disease control rate (CR + PR + SD)</w:t>
            </w:r>
          </w:p>
        </w:tc>
        <w:tc>
          <w:tcPr>
            <w:tcW w:w="3042" w:type="dxa"/>
            <w:tcBorders>
              <w:bottom w:val="single" w:sz="4" w:space="0" w:color="auto"/>
            </w:tcBorders>
            <w:noWrap/>
          </w:tcPr>
          <w:p w14:paraId="46C0B0F8" w14:textId="77777777" w:rsidR="004759A8" w:rsidRPr="009722AB" w:rsidRDefault="004759A8" w:rsidP="00072CE1">
            <w:pPr>
              <w:keepNext/>
              <w:spacing w:after="0"/>
              <w:jc w:val="center"/>
              <w:rPr>
                <w:rFonts w:cs="Arial"/>
                <w:sz w:val="20"/>
              </w:rPr>
            </w:pPr>
            <w:r w:rsidRPr="009722AB">
              <w:rPr>
                <w:rFonts w:cs="Arial"/>
                <w:sz w:val="20"/>
              </w:rPr>
              <w:t>98 (96)</w:t>
            </w:r>
          </w:p>
        </w:tc>
        <w:tc>
          <w:tcPr>
            <w:tcW w:w="2430" w:type="dxa"/>
            <w:tcBorders>
              <w:bottom w:val="single" w:sz="4" w:space="0" w:color="auto"/>
              <w:right w:val="single" w:sz="4" w:space="0" w:color="C0C0C0"/>
            </w:tcBorders>
            <w:noWrap/>
          </w:tcPr>
          <w:p w14:paraId="6951E984" w14:textId="77777777" w:rsidR="004759A8" w:rsidRPr="009722AB" w:rsidRDefault="004759A8" w:rsidP="00072CE1">
            <w:pPr>
              <w:keepNext/>
              <w:spacing w:after="0"/>
              <w:jc w:val="center"/>
              <w:rPr>
                <w:rFonts w:cs="Arial"/>
                <w:sz w:val="20"/>
              </w:rPr>
            </w:pPr>
            <w:r w:rsidRPr="009722AB">
              <w:rPr>
                <w:rFonts w:cs="Arial"/>
                <w:sz w:val="20"/>
              </w:rPr>
              <w:t>90.3, 98.9</w:t>
            </w:r>
          </w:p>
        </w:tc>
      </w:tr>
      <w:tr w:rsidR="004759A8" w:rsidRPr="009722AB" w14:paraId="3949F946" w14:textId="77777777" w:rsidTr="008D440A">
        <w:trPr>
          <w:trHeight w:val="296"/>
          <w:jc w:val="center"/>
        </w:trPr>
        <w:tc>
          <w:tcPr>
            <w:tcW w:w="4111" w:type="dxa"/>
            <w:tcBorders>
              <w:top w:val="single" w:sz="4" w:space="0" w:color="auto"/>
              <w:left w:val="single" w:sz="4" w:space="0" w:color="auto"/>
              <w:bottom w:val="single" w:sz="4" w:space="0" w:color="auto"/>
            </w:tcBorders>
            <w:noWrap/>
          </w:tcPr>
          <w:p w14:paraId="525A07B9" w14:textId="77777777" w:rsidR="004759A8" w:rsidRPr="009722AB" w:rsidRDefault="004759A8" w:rsidP="00072CE1">
            <w:pPr>
              <w:keepNext/>
              <w:spacing w:after="0"/>
              <w:rPr>
                <w:rFonts w:cs="Arial"/>
                <w:b/>
                <w:bCs/>
                <w:sz w:val="20"/>
              </w:rPr>
            </w:pPr>
            <w:r w:rsidRPr="009722AB">
              <w:rPr>
                <w:rFonts w:cs="Arial"/>
                <w:b/>
                <w:bCs/>
                <w:sz w:val="20"/>
              </w:rPr>
              <w:t>Duration of response</w:t>
            </w:r>
            <w:r w:rsidRPr="009722AB">
              <w:rPr>
                <w:rFonts w:cs="Arial"/>
                <w:sz w:val="20"/>
                <w:vertAlign w:val="superscript"/>
              </w:rPr>
              <w:t xml:space="preserve"> </w:t>
            </w:r>
            <w:r w:rsidRPr="009722AB">
              <w:rPr>
                <w:rFonts w:cs="Arial"/>
                <w:b/>
                <w:bCs/>
                <w:sz w:val="20"/>
              </w:rPr>
              <w:t xml:space="preserve"> </w:t>
            </w:r>
          </w:p>
        </w:tc>
        <w:tc>
          <w:tcPr>
            <w:tcW w:w="3042" w:type="dxa"/>
            <w:tcBorders>
              <w:top w:val="single" w:sz="4" w:space="0" w:color="auto"/>
              <w:bottom w:val="single" w:sz="4" w:space="0" w:color="auto"/>
            </w:tcBorders>
          </w:tcPr>
          <w:p w14:paraId="62E72B15" w14:textId="77777777" w:rsidR="004759A8" w:rsidRPr="009722AB" w:rsidRDefault="004759A8" w:rsidP="00072CE1">
            <w:pPr>
              <w:keepNext/>
              <w:spacing w:after="0"/>
              <w:jc w:val="center"/>
              <w:rPr>
                <w:rFonts w:cs="Arial"/>
                <w:b/>
                <w:bCs/>
                <w:sz w:val="20"/>
              </w:rPr>
            </w:pPr>
            <w:r w:rsidRPr="009722AB">
              <w:rPr>
                <w:rFonts w:cs="Arial"/>
                <w:b/>
                <w:bCs/>
                <w:sz w:val="20"/>
              </w:rPr>
              <w:t xml:space="preserve">Median per IRF </w:t>
            </w:r>
          </w:p>
        </w:tc>
        <w:tc>
          <w:tcPr>
            <w:tcW w:w="2430" w:type="dxa"/>
            <w:tcBorders>
              <w:top w:val="single" w:sz="4" w:space="0" w:color="auto"/>
              <w:bottom w:val="single" w:sz="4" w:space="0" w:color="auto"/>
              <w:right w:val="single" w:sz="4" w:space="0" w:color="C0C0C0"/>
            </w:tcBorders>
            <w:noWrap/>
          </w:tcPr>
          <w:p w14:paraId="596CAD87" w14:textId="77777777" w:rsidR="004759A8" w:rsidRPr="009722AB" w:rsidRDefault="004759A8" w:rsidP="00072CE1">
            <w:pPr>
              <w:keepNext/>
              <w:spacing w:after="0"/>
              <w:jc w:val="center"/>
              <w:rPr>
                <w:rFonts w:cs="Arial"/>
                <w:b/>
                <w:bCs/>
                <w:sz w:val="20"/>
              </w:rPr>
            </w:pPr>
            <w:r w:rsidRPr="009722AB">
              <w:rPr>
                <w:rFonts w:cs="Arial"/>
                <w:b/>
                <w:bCs/>
                <w:sz w:val="20"/>
              </w:rPr>
              <w:t>95% CI</w:t>
            </w:r>
          </w:p>
        </w:tc>
      </w:tr>
      <w:tr w:rsidR="004759A8" w:rsidRPr="009722AB" w14:paraId="7125524A" w14:textId="77777777" w:rsidTr="008D440A">
        <w:trPr>
          <w:trHeight w:val="255"/>
          <w:jc w:val="center"/>
        </w:trPr>
        <w:tc>
          <w:tcPr>
            <w:tcW w:w="4111" w:type="dxa"/>
            <w:tcBorders>
              <w:top w:val="single" w:sz="4" w:space="0" w:color="auto"/>
              <w:left w:val="single" w:sz="4" w:space="0" w:color="auto"/>
            </w:tcBorders>
            <w:noWrap/>
          </w:tcPr>
          <w:p w14:paraId="65ECB51D" w14:textId="77777777" w:rsidR="004759A8" w:rsidRPr="009722AB" w:rsidRDefault="004759A8" w:rsidP="00072CE1">
            <w:pPr>
              <w:keepNext/>
              <w:spacing w:after="0"/>
              <w:rPr>
                <w:rFonts w:cs="Arial"/>
                <w:sz w:val="20"/>
              </w:rPr>
            </w:pPr>
            <w:r w:rsidRPr="009722AB">
              <w:rPr>
                <w:rFonts w:cs="Arial"/>
                <w:sz w:val="20"/>
              </w:rPr>
              <w:t xml:space="preserve">    Objective response rate (CR + PR)</w:t>
            </w:r>
            <w:r w:rsidRPr="009722AB">
              <w:rPr>
                <w:rFonts w:cs="Arial"/>
                <w:b/>
                <w:bCs/>
                <w:sz w:val="20"/>
              </w:rPr>
              <w:t xml:space="preserve"> </w:t>
            </w:r>
            <w:r w:rsidRPr="009722AB">
              <w:rPr>
                <w:rFonts w:cs="Arial"/>
                <w:bCs/>
                <w:sz w:val="20"/>
                <w:vertAlign w:val="superscript"/>
              </w:rPr>
              <w:t>a</w:t>
            </w:r>
          </w:p>
        </w:tc>
        <w:tc>
          <w:tcPr>
            <w:tcW w:w="3042" w:type="dxa"/>
            <w:tcBorders>
              <w:top w:val="single" w:sz="4" w:space="0" w:color="auto"/>
            </w:tcBorders>
            <w:noWrap/>
          </w:tcPr>
          <w:p w14:paraId="44ED0CB3" w14:textId="77777777" w:rsidR="004759A8" w:rsidRPr="009722AB" w:rsidRDefault="004759A8" w:rsidP="00072CE1">
            <w:pPr>
              <w:keepNext/>
              <w:spacing w:after="0"/>
              <w:jc w:val="center"/>
              <w:rPr>
                <w:rFonts w:cs="Arial"/>
                <w:sz w:val="20"/>
              </w:rPr>
            </w:pPr>
            <w:r w:rsidRPr="009722AB">
              <w:rPr>
                <w:rFonts w:cs="Arial"/>
                <w:sz w:val="20"/>
              </w:rPr>
              <w:t xml:space="preserve">6.7 months </w:t>
            </w:r>
          </w:p>
        </w:tc>
        <w:tc>
          <w:tcPr>
            <w:tcW w:w="2430" w:type="dxa"/>
            <w:tcBorders>
              <w:top w:val="single" w:sz="4" w:space="0" w:color="auto"/>
              <w:right w:val="single" w:sz="4" w:space="0" w:color="C0C0C0"/>
            </w:tcBorders>
            <w:noWrap/>
          </w:tcPr>
          <w:p w14:paraId="550D0FD5" w14:textId="77777777" w:rsidR="004759A8" w:rsidRPr="009722AB" w:rsidRDefault="004759A8" w:rsidP="00072CE1">
            <w:pPr>
              <w:keepNext/>
              <w:spacing w:after="0"/>
              <w:jc w:val="center"/>
              <w:rPr>
                <w:rFonts w:cs="Arial"/>
                <w:sz w:val="20"/>
              </w:rPr>
            </w:pPr>
            <w:r w:rsidRPr="009722AB">
              <w:rPr>
                <w:rFonts w:cs="Arial"/>
                <w:sz w:val="20"/>
              </w:rPr>
              <w:t>3.6, 14.8</w:t>
            </w:r>
          </w:p>
        </w:tc>
      </w:tr>
      <w:tr w:rsidR="004759A8" w:rsidRPr="009722AB" w14:paraId="3B87549C" w14:textId="77777777" w:rsidTr="008D440A">
        <w:trPr>
          <w:trHeight w:val="255"/>
          <w:jc w:val="center"/>
        </w:trPr>
        <w:tc>
          <w:tcPr>
            <w:tcW w:w="4111" w:type="dxa"/>
            <w:tcBorders>
              <w:left w:val="single" w:sz="4" w:space="0" w:color="auto"/>
              <w:bottom w:val="single" w:sz="4" w:space="0" w:color="auto"/>
            </w:tcBorders>
            <w:noWrap/>
          </w:tcPr>
          <w:p w14:paraId="3FD2E103" w14:textId="77777777" w:rsidR="004759A8" w:rsidRPr="009722AB" w:rsidRDefault="004759A8" w:rsidP="00072CE1">
            <w:pPr>
              <w:keepNext/>
              <w:spacing w:after="0"/>
              <w:rPr>
                <w:rFonts w:cs="Arial"/>
                <w:sz w:val="20"/>
              </w:rPr>
            </w:pPr>
            <w:r w:rsidRPr="009722AB">
              <w:rPr>
                <w:rFonts w:cs="Arial"/>
                <w:sz w:val="20"/>
              </w:rPr>
              <w:t xml:space="preserve">    Complete remission (CR)</w:t>
            </w:r>
          </w:p>
        </w:tc>
        <w:tc>
          <w:tcPr>
            <w:tcW w:w="3042" w:type="dxa"/>
            <w:tcBorders>
              <w:bottom w:val="single" w:sz="4" w:space="0" w:color="auto"/>
            </w:tcBorders>
            <w:noWrap/>
          </w:tcPr>
          <w:p w14:paraId="180EFAF2" w14:textId="77777777" w:rsidR="004759A8" w:rsidRPr="009722AB" w:rsidRDefault="00470CA6" w:rsidP="00072CE1">
            <w:pPr>
              <w:keepNext/>
              <w:spacing w:after="0"/>
              <w:jc w:val="center"/>
              <w:rPr>
                <w:rFonts w:cs="Arial"/>
                <w:strike/>
                <w:sz w:val="20"/>
              </w:rPr>
            </w:pPr>
            <w:r w:rsidRPr="00470CA6">
              <w:rPr>
                <w:rFonts w:cs="Arial"/>
                <w:sz w:val="20"/>
              </w:rPr>
              <w:t>27.9 months</w:t>
            </w:r>
          </w:p>
        </w:tc>
        <w:tc>
          <w:tcPr>
            <w:tcW w:w="2430" w:type="dxa"/>
            <w:tcBorders>
              <w:bottom w:val="single" w:sz="4" w:space="0" w:color="auto"/>
              <w:right w:val="single" w:sz="4" w:space="0" w:color="C0C0C0"/>
            </w:tcBorders>
            <w:noWrap/>
          </w:tcPr>
          <w:p w14:paraId="11BDDB00" w14:textId="77777777" w:rsidR="004759A8" w:rsidRPr="009722AB" w:rsidRDefault="004759A8" w:rsidP="00072CE1">
            <w:pPr>
              <w:keepNext/>
              <w:spacing w:after="0"/>
              <w:jc w:val="center"/>
              <w:rPr>
                <w:rFonts w:cs="Arial"/>
                <w:sz w:val="20"/>
              </w:rPr>
            </w:pPr>
            <w:r w:rsidRPr="009722AB">
              <w:rPr>
                <w:rFonts w:cs="Arial"/>
                <w:sz w:val="20"/>
              </w:rPr>
              <w:t xml:space="preserve">10.8, </w:t>
            </w:r>
            <w:proofErr w:type="spellStart"/>
            <w:r w:rsidRPr="009722AB">
              <w:rPr>
                <w:rFonts w:cs="Arial"/>
                <w:sz w:val="20"/>
              </w:rPr>
              <w:t>NE</w:t>
            </w:r>
            <w:r w:rsidRPr="009722AB">
              <w:rPr>
                <w:rFonts w:cs="Arial"/>
                <w:sz w:val="20"/>
                <w:vertAlign w:val="superscript"/>
              </w:rPr>
              <w:t>b</w:t>
            </w:r>
            <w:proofErr w:type="spellEnd"/>
            <w:r w:rsidRPr="009722AB">
              <w:rPr>
                <w:rFonts w:cs="Arial"/>
                <w:sz w:val="20"/>
              </w:rPr>
              <w:t xml:space="preserve"> </w:t>
            </w:r>
          </w:p>
        </w:tc>
      </w:tr>
      <w:tr w:rsidR="004759A8" w:rsidRPr="009722AB" w14:paraId="65CC4198" w14:textId="77777777" w:rsidTr="008D440A">
        <w:trPr>
          <w:trHeight w:val="302"/>
          <w:jc w:val="center"/>
        </w:trPr>
        <w:tc>
          <w:tcPr>
            <w:tcW w:w="4111" w:type="dxa"/>
            <w:tcBorders>
              <w:top w:val="single" w:sz="4" w:space="0" w:color="auto"/>
              <w:left w:val="single" w:sz="4" w:space="0" w:color="auto"/>
              <w:bottom w:val="single" w:sz="4" w:space="0" w:color="auto"/>
            </w:tcBorders>
          </w:tcPr>
          <w:p w14:paraId="51C5B4B2" w14:textId="77777777" w:rsidR="004759A8" w:rsidRPr="009722AB" w:rsidRDefault="004759A8" w:rsidP="00072CE1">
            <w:pPr>
              <w:keepNext/>
              <w:spacing w:after="0"/>
              <w:rPr>
                <w:rFonts w:eastAsia="MS Mincho" w:cs="Arial"/>
                <w:b/>
                <w:color w:val="000000"/>
                <w:sz w:val="20"/>
                <w:lang w:eastAsia="ja-JP"/>
              </w:rPr>
            </w:pPr>
            <w:r w:rsidRPr="009722AB">
              <w:rPr>
                <w:rFonts w:eastAsia="MS Mincho" w:cs="Arial"/>
                <w:b/>
                <w:color w:val="000000"/>
                <w:sz w:val="20"/>
                <w:lang w:eastAsia="ja-JP"/>
              </w:rPr>
              <w:t xml:space="preserve">Overall survival </w:t>
            </w:r>
          </w:p>
        </w:tc>
        <w:tc>
          <w:tcPr>
            <w:tcW w:w="3042" w:type="dxa"/>
            <w:tcBorders>
              <w:top w:val="single" w:sz="4" w:space="0" w:color="auto"/>
              <w:bottom w:val="single" w:sz="4" w:space="0" w:color="auto"/>
            </w:tcBorders>
          </w:tcPr>
          <w:p w14:paraId="28B1EA35" w14:textId="77777777" w:rsidR="004759A8" w:rsidRPr="009722AB" w:rsidRDefault="004759A8" w:rsidP="00072CE1">
            <w:pPr>
              <w:keepNext/>
              <w:spacing w:after="0"/>
              <w:jc w:val="center"/>
              <w:rPr>
                <w:rFonts w:cs="Arial"/>
                <w:b/>
                <w:sz w:val="20"/>
              </w:rPr>
            </w:pPr>
            <w:r w:rsidRPr="009722AB">
              <w:rPr>
                <w:rFonts w:cs="Arial"/>
                <w:b/>
                <w:sz w:val="20"/>
              </w:rPr>
              <w:t>Median</w:t>
            </w:r>
          </w:p>
        </w:tc>
        <w:tc>
          <w:tcPr>
            <w:tcW w:w="2430" w:type="dxa"/>
            <w:tcBorders>
              <w:top w:val="single" w:sz="4" w:space="0" w:color="auto"/>
              <w:bottom w:val="single" w:sz="4" w:space="0" w:color="auto"/>
              <w:right w:val="single" w:sz="4" w:space="0" w:color="C0C0C0"/>
            </w:tcBorders>
          </w:tcPr>
          <w:p w14:paraId="4C72A90D" w14:textId="77777777" w:rsidR="004759A8" w:rsidRPr="009722AB" w:rsidRDefault="004759A8" w:rsidP="00072CE1">
            <w:pPr>
              <w:keepNext/>
              <w:spacing w:after="0"/>
              <w:jc w:val="center"/>
              <w:rPr>
                <w:rFonts w:cs="Arial"/>
                <w:b/>
                <w:color w:val="000000"/>
                <w:sz w:val="20"/>
              </w:rPr>
            </w:pPr>
            <w:r w:rsidRPr="009722AB">
              <w:rPr>
                <w:rFonts w:cs="Arial"/>
                <w:b/>
                <w:color w:val="000000"/>
                <w:sz w:val="20"/>
              </w:rPr>
              <w:t>95% CI</w:t>
            </w:r>
          </w:p>
        </w:tc>
      </w:tr>
      <w:tr w:rsidR="004759A8" w:rsidRPr="009722AB" w14:paraId="686DBE60" w14:textId="77777777" w:rsidTr="008D440A">
        <w:trPr>
          <w:trHeight w:val="150"/>
          <w:jc w:val="center"/>
        </w:trPr>
        <w:tc>
          <w:tcPr>
            <w:tcW w:w="4111" w:type="dxa"/>
            <w:tcBorders>
              <w:top w:val="single" w:sz="4" w:space="0" w:color="auto"/>
              <w:left w:val="single" w:sz="4" w:space="0" w:color="auto"/>
              <w:bottom w:val="single" w:sz="4" w:space="0" w:color="auto"/>
            </w:tcBorders>
          </w:tcPr>
          <w:p w14:paraId="67FD574E" w14:textId="77777777" w:rsidR="004759A8" w:rsidRPr="009722AB" w:rsidRDefault="004759A8" w:rsidP="00072CE1">
            <w:pPr>
              <w:keepNext/>
              <w:spacing w:after="0"/>
              <w:ind w:left="180"/>
              <w:rPr>
                <w:rFonts w:cs="Arial"/>
                <w:sz w:val="20"/>
              </w:rPr>
            </w:pPr>
            <w:r w:rsidRPr="009722AB">
              <w:rPr>
                <w:rFonts w:cs="Arial"/>
                <w:sz w:val="20"/>
              </w:rPr>
              <w:t>Median</w:t>
            </w:r>
          </w:p>
        </w:tc>
        <w:tc>
          <w:tcPr>
            <w:tcW w:w="3042" w:type="dxa"/>
            <w:tcBorders>
              <w:top w:val="single" w:sz="4" w:space="0" w:color="auto"/>
              <w:bottom w:val="single" w:sz="4" w:space="0" w:color="auto"/>
            </w:tcBorders>
          </w:tcPr>
          <w:p w14:paraId="7D0B4B89" w14:textId="77777777" w:rsidR="004759A8" w:rsidRPr="009722AB" w:rsidRDefault="004759A8" w:rsidP="00072CE1">
            <w:pPr>
              <w:keepNext/>
              <w:spacing w:after="0"/>
              <w:jc w:val="center"/>
              <w:rPr>
                <w:rFonts w:cs="Arial"/>
                <w:sz w:val="20"/>
              </w:rPr>
            </w:pPr>
            <w:r w:rsidRPr="009722AB">
              <w:rPr>
                <w:rFonts w:cs="Arial"/>
                <w:sz w:val="20"/>
              </w:rPr>
              <w:t>40.5 months</w:t>
            </w:r>
            <w:r w:rsidRPr="009722AB">
              <w:rPr>
                <w:rFonts w:eastAsia="MS Mincho" w:cs="Arial"/>
                <w:b/>
                <w:color w:val="000000"/>
                <w:sz w:val="20"/>
                <w:vertAlign w:val="superscript"/>
                <w:lang w:eastAsia="ja-JP"/>
              </w:rPr>
              <w:t xml:space="preserve"> </w:t>
            </w:r>
          </w:p>
        </w:tc>
        <w:tc>
          <w:tcPr>
            <w:tcW w:w="2430" w:type="dxa"/>
            <w:tcBorders>
              <w:top w:val="single" w:sz="4" w:space="0" w:color="auto"/>
              <w:bottom w:val="single" w:sz="4" w:space="0" w:color="auto"/>
              <w:right w:val="single" w:sz="4" w:space="0" w:color="C0C0C0"/>
            </w:tcBorders>
          </w:tcPr>
          <w:p w14:paraId="355DBECE" w14:textId="77777777" w:rsidR="004759A8" w:rsidRPr="009722AB" w:rsidRDefault="004759A8" w:rsidP="00470CA6">
            <w:pPr>
              <w:keepNext/>
              <w:spacing w:after="0"/>
              <w:jc w:val="center"/>
              <w:rPr>
                <w:rFonts w:cs="Arial"/>
                <w:color w:val="000000"/>
                <w:sz w:val="20"/>
              </w:rPr>
            </w:pPr>
            <w:r w:rsidRPr="009722AB">
              <w:rPr>
                <w:rFonts w:cs="Arial"/>
                <w:color w:val="000000"/>
                <w:sz w:val="20"/>
              </w:rPr>
              <w:t xml:space="preserve">28.7, </w:t>
            </w:r>
            <w:r w:rsidR="00470CA6" w:rsidRPr="00470CA6">
              <w:rPr>
                <w:rFonts w:cs="Arial"/>
                <w:color w:val="000000"/>
                <w:sz w:val="20"/>
              </w:rPr>
              <w:t>61.9</w:t>
            </w:r>
          </w:p>
        </w:tc>
      </w:tr>
      <w:tr w:rsidR="00470CA6" w:rsidRPr="009722AB" w14:paraId="53413776" w14:textId="77777777" w:rsidTr="008D440A">
        <w:trPr>
          <w:trHeight w:val="150"/>
          <w:jc w:val="center"/>
        </w:trPr>
        <w:tc>
          <w:tcPr>
            <w:tcW w:w="4111" w:type="dxa"/>
            <w:tcBorders>
              <w:top w:val="single" w:sz="4" w:space="0" w:color="auto"/>
              <w:left w:val="single" w:sz="4" w:space="0" w:color="auto"/>
              <w:bottom w:val="single" w:sz="4" w:space="0" w:color="auto"/>
            </w:tcBorders>
          </w:tcPr>
          <w:p w14:paraId="552D4509" w14:textId="77777777" w:rsidR="00470CA6" w:rsidRPr="009722AB" w:rsidRDefault="00470CA6" w:rsidP="00072CE1">
            <w:pPr>
              <w:keepNext/>
              <w:spacing w:after="0"/>
              <w:ind w:left="180"/>
              <w:rPr>
                <w:rFonts w:cs="Arial"/>
                <w:sz w:val="20"/>
              </w:rPr>
            </w:pPr>
            <w:r w:rsidRPr="00470CA6">
              <w:rPr>
                <w:rFonts w:cs="Arial"/>
                <w:sz w:val="20"/>
              </w:rPr>
              <w:t>Estimated 5-year OS Rate</w:t>
            </w:r>
          </w:p>
        </w:tc>
        <w:tc>
          <w:tcPr>
            <w:tcW w:w="3042" w:type="dxa"/>
            <w:tcBorders>
              <w:top w:val="single" w:sz="4" w:space="0" w:color="auto"/>
              <w:bottom w:val="single" w:sz="4" w:space="0" w:color="auto"/>
            </w:tcBorders>
          </w:tcPr>
          <w:p w14:paraId="44BE5425" w14:textId="77777777" w:rsidR="00470CA6" w:rsidRPr="009722AB" w:rsidRDefault="00470CA6" w:rsidP="00072CE1">
            <w:pPr>
              <w:keepNext/>
              <w:spacing w:after="0"/>
              <w:jc w:val="center"/>
              <w:rPr>
                <w:rFonts w:cs="Arial"/>
                <w:sz w:val="20"/>
              </w:rPr>
            </w:pPr>
            <w:r w:rsidRPr="00470CA6">
              <w:rPr>
                <w:rFonts w:cs="Arial"/>
                <w:sz w:val="20"/>
              </w:rPr>
              <w:t>41%</w:t>
            </w:r>
          </w:p>
        </w:tc>
        <w:tc>
          <w:tcPr>
            <w:tcW w:w="2430" w:type="dxa"/>
            <w:tcBorders>
              <w:top w:val="single" w:sz="4" w:space="0" w:color="auto"/>
              <w:bottom w:val="single" w:sz="4" w:space="0" w:color="auto"/>
              <w:right w:val="single" w:sz="4" w:space="0" w:color="C0C0C0"/>
            </w:tcBorders>
          </w:tcPr>
          <w:p w14:paraId="54AEDC2B" w14:textId="77777777" w:rsidR="00470CA6" w:rsidRPr="009722AB" w:rsidRDefault="00470CA6" w:rsidP="00470CA6">
            <w:pPr>
              <w:keepNext/>
              <w:spacing w:after="0"/>
              <w:jc w:val="center"/>
              <w:rPr>
                <w:rFonts w:cs="Arial"/>
                <w:color w:val="000000"/>
                <w:sz w:val="20"/>
              </w:rPr>
            </w:pPr>
            <w:r w:rsidRPr="00470CA6">
              <w:rPr>
                <w:rFonts w:cs="Arial"/>
                <w:color w:val="000000"/>
                <w:sz w:val="20"/>
              </w:rPr>
              <w:t>31%, 51%</w:t>
            </w:r>
          </w:p>
        </w:tc>
      </w:tr>
    </w:tbl>
    <w:p w14:paraId="07F97B8B" w14:textId="77777777" w:rsidR="008D440A" w:rsidRPr="009722AB" w:rsidRDefault="008D440A" w:rsidP="000550D7">
      <w:pPr>
        <w:pStyle w:val="Paragraph"/>
        <w:keepNext/>
        <w:numPr>
          <w:ilvl w:val="0"/>
          <w:numId w:val="29"/>
        </w:numPr>
        <w:tabs>
          <w:tab w:val="clear" w:pos="720"/>
          <w:tab w:val="num" w:pos="360"/>
        </w:tabs>
        <w:spacing w:after="0"/>
        <w:ind w:left="357" w:hanging="357"/>
        <w:rPr>
          <w:rFonts w:ascii="Arial" w:hAnsi="Arial" w:cs="Arial"/>
          <w:sz w:val="20"/>
          <w:szCs w:val="20"/>
          <w:lang w:val="en-GB"/>
        </w:rPr>
      </w:pPr>
      <w:r w:rsidRPr="009722AB">
        <w:rPr>
          <w:rFonts w:ascii="Arial" w:hAnsi="Arial" w:cs="Arial"/>
          <w:sz w:val="20"/>
          <w:szCs w:val="20"/>
          <w:lang w:val="en-GB"/>
        </w:rPr>
        <w:t xml:space="preserve">The range of DOR was1.2+ months to </w:t>
      </w:r>
      <w:r w:rsidR="009E1E76">
        <w:rPr>
          <w:rFonts w:ascii="Arial" w:hAnsi="Arial" w:cs="Arial"/>
          <w:sz w:val="20"/>
          <w:szCs w:val="20"/>
          <w:lang w:val="en-GB"/>
        </w:rPr>
        <w:t>43</w:t>
      </w:r>
      <w:r w:rsidRPr="009722AB">
        <w:rPr>
          <w:rFonts w:ascii="Arial" w:hAnsi="Arial" w:cs="Arial"/>
          <w:sz w:val="20"/>
          <w:szCs w:val="20"/>
          <w:lang w:val="en-GB"/>
        </w:rPr>
        <w:t>+ months and the median follow-up time from first dose for patients who achieved objective response (OR) per IRF was 9.0 months.</w:t>
      </w:r>
    </w:p>
    <w:p w14:paraId="09053687" w14:textId="77777777" w:rsidR="008D440A" w:rsidRPr="009722AB" w:rsidRDefault="008D440A" w:rsidP="000550D7">
      <w:pPr>
        <w:pStyle w:val="Paragraph"/>
        <w:numPr>
          <w:ilvl w:val="0"/>
          <w:numId w:val="29"/>
        </w:numPr>
        <w:tabs>
          <w:tab w:val="clear" w:pos="720"/>
          <w:tab w:val="num" w:pos="360"/>
        </w:tabs>
        <w:spacing w:after="0"/>
        <w:ind w:left="357" w:hanging="357"/>
        <w:rPr>
          <w:rFonts w:ascii="Arial" w:hAnsi="Arial" w:cs="Arial"/>
          <w:sz w:val="20"/>
          <w:szCs w:val="20"/>
          <w:lang w:val="en-GB"/>
        </w:rPr>
      </w:pPr>
      <w:r w:rsidRPr="009722AB">
        <w:rPr>
          <w:rFonts w:ascii="Arial" w:hAnsi="Arial" w:cs="Arial"/>
          <w:sz w:val="20"/>
          <w:szCs w:val="20"/>
          <w:lang w:val="en-GB"/>
        </w:rPr>
        <w:t>Not estimable.</w:t>
      </w:r>
    </w:p>
    <w:p w14:paraId="0FA31009" w14:textId="77777777" w:rsidR="00072CE1" w:rsidRDefault="00072CE1" w:rsidP="00FD6544">
      <w:pPr>
        <w:spacing w:after="60"/>
      </w:pPr>
      <w:r>
        <w:lastRenderedPageBreak/>
        <w:t>No clinically meaningful differences in the objective response rate were observed among the following subgroups analysed: gender, baseline weight (≤100 kg versus &gt;100 kg), baseline B symptoms, number of treatments prior to ASCT (≤2 versus &gt;2), number of treatments post-ASCT (0 versus ≥ 1), relapsed versus refractory to last therapy, primary refractory disease, and time from ASCT to relapse post-ASCT (≤1 year versus &gt;1 year).</w:t>
      </w:r>
    </w:p>
    <w:p w14:paraId="7DAAF53E" w14:textId="77777777" w:rsidR="0061083E" w:rsidRDefault="00072CE1" w:rsidP="00FD6544">
      <w:pPr>
        <w:spacing w:after="60"/>
      </w:pPr>
      <w:r>
        <w:t xml:space="preserve">Tumour reduction was achieved in 94% of patients. </w:t>
      </w:r>
    </w:p>
    <w:p w14:paraId="228F52C5" w14:textId="77777777" w:rsidR="008F2461" w:rsidRDefault="008F2461" w:rsidP="008F2461">
      <w:r>
        <w:t>Of the 35 patients (33%) who had B symptoms at baseline, 27 patients (77%) experienced resolution of all B symptoms at a median time of 0.7 months from initiation of ADCETRIS.</w:t>
      </w:r>
    </w:p>
    <w:p w14:paraId="6F672428" w14:textId="77777777" w:rsidR="00E35E22" w:rsidRPr="00E35E22" w:rsidRDefault="00E35E22" w:rsidP="00FD6544">
      <w:pPr>
        <w:spacing w:after="120"/>
        <w:rPr>
          <w:i/>
        </w:rPr>
      </w:pPr>
      <w:r>
        <w:rPr>
          <w:i/>
        </w:rPr>
        <w:t>P</w:t>
      </w:r>
      <w:r w:rsidRPr="00E35E22">
        <w:rPr>
          <w:i/>
        </w:rPr>
        <w:t>atients with relapsed or refractory CD30+ HL following at least two prior therapies when ASCT or multi-agent chemoth</w:t>
      </w:r>
      <w:r>
        <w:rPr>
          <w:i/>
        </w:rPr>
        <w:t xml:space="preserve">erapy is not a treatment </w:t>
      </w:r>
      <w:proofErr w:type="gramStart"/>
      <w:r>
        <w:rPr>
          <w:i/>
        </w:rPr>
        <w:t>option</w:t>
      </w:r>
      <w:proofErr w:type="gramEnd"/>
    </w:p>
    <w:p w14:paraId="62E31581" w14:textId="77777777" w:rsidR="00DE02B2" w:rsidRDefault="00DE02B2" w:rsidP="00FD6544">
      <w:pPr>
        <w:spacing w:after="60"/>
      </w:pPr>
      <w:r>
        <w:t xml:space="preserve">Data were collected from patients (n=15) in phase 1 dose escalation and clinical pharmacology studies, and from patients (n=26) in a Named Patient Program (NPP), with relapsed or refractory HL who had not received an ASCT, and who were treated with 1.8 mg/kg of ADCETRIS every 3 weeks.  Baseline patient characteristics showed failure from multiple prior chemotherapy regimens (median of 3 with a range of 1 to 7) before first administration with brentuximab </w:t>
      </w:r>
      <w:proofErr w:type="spellStart"/>
      <w:r>
        <w:t>vedotin</w:t>
      </w:r>
      <w:proofErr w:type="spellEnd"/>
      <w:r>
        <w:t xml:space="preserve">. Fifty nine percent (59%) of patients had advanced stage disease (stage III or IV) at initial diagnosis. </w:t>
      </w:r>
    </w:p>
    <w:p w14:paraId="3CBCE32F" w14:textId="77777777" w:rsidR="008F2461" w:rsidRDefault="00DE02B2" w:rsidP="00DE02B2">
      <w:r>
        <w:t>Results from these phase 1 studies and from the NPP experience showed, that in patients with relapsed or refractory HL without prior ASCT, clinically meaningful responses can be achieved as evidenced by an investigator-assessed, objective response rate of 54% and a complete remission rate of 22% after a median of 5 cycles of ADCETRIS.</w:t>
      </w:r>
    </w:p>
    <w:p w14:paraId="35645C70" w14:textId="77777777" w:rsidR="00085364" w:rsidRDefault="00085364" w:rsidP="00FD6544">
      <w:pPr>
        <w:spacing w:after="120"/>
      </w:pPr>
      <w:r>
        <w:t xml:space="preserve">Study SGN35-006 (Retreatment Study) </w:t>
      </w:r>
    </w:p>
    <w:p w14:paraId="663B10C6" w14:textId="77777777" w:rsidR="00085364" w:rsidRDefault="00085364" w:rsidP="00085364">
      <w:r>
        <w:t xml:space="preserve">The efficacy of retreatment in patients who had previously responded (CR or PR) to treatment with ADCETRIS was evaluated in a phase 2, open-label, </w:t>
      </w:r>
      <w:r w:rsidR="001D1A56">
        <w:t xml:space="preserve">multicentre </w:t>
      </w:r>
      <w:r>
        <w:t xml:space="preserve">trial. Twenty patients with relapsed or refractory HL received a starting dose of 1.8 mg/kg and one patient received a starting dose of 1.2 mg/kg of ADCETRIS administered intravenously over 30 minutes every 3 weeks. The median number of cycles was 7 (range, 2 to 37 cycles). Of the 20 evaluable patients with HL, 6 patients (30%) achieved a </w:t>
      </w:r>
      <w:proofErr w:type="gramStart"/>
      <w:r>
        <w:t>CR</w:t>
      </w:r>
      <w:proofErr w:type="gramEnd"/>
      <w:r>
        <w:t xml:space="preserve"> and 6 patients (30%) achieved a PR with ADCETRIS retreatment, for an ORR of 60%. The median duration of response was 9.2 and 9.4 months in patients who achieved OR (CR+PR) and CR, respectively.</w:t>
      </w:r>
    </w:p>
    <w:p w14:paraId="02FF5ED7" w14:textId="77777777" w:rsidR="00DE02B2" w:rsidRPr="00DE02B2" w:rsidRDefault="00DE02B2" w:rsidP="00FD6544">
      <w:pPr>
        <w:spacing w:after="120"/>
        <w:rPr>
          <w:i/>
        </w:rPr>
      </w:pPr>
      <w:r w:rsidRPr="00DE02B2">
        <w:rPr>
          <w:i/>
        </w:rPr>
        <w:t>Patients with CD30+ HL at risk of relapse or progression following ASCT (Study SGN35-005)</w:t>
      </w:r>
    </w:p>
    <w:p w14:paraId="19E60898" w14:textId="77777777" w:rsidR="00DE02B2" w:rsidRDefault="00DE02B2" w:rsidP="00FD6544">
      <w:pPr>
        <w:spacing w:after="60"/>
      </w:pPr>
      <w:r>
        <w:t xml:space="preserve">The efficacy and safety of ADCETRIS were evaluated in a </w:t>
      </w:r>
      <w:r w:rsidR="00B05C5F">
        <w:t>randomised</w:t>
      </w:r>
      <w:r>
        <w:t xml:space="preserve">, double-blinded, placebo controlled, 2-arm </w:t>
      </w:r>
      <w:r w:rsidR="00097361">
        <w:t xml:space="preserve">multicentre </w:t>
      </w:r>
      <w:r>
        <w:t xml:space="preserve">trial in 329 patients with HL at risk of relapse or progression following ASCT. The regulatory approval of this indication was based on an improvement in progression-free survival only; no improvement in overall survival has been demonstrated. </w:t>
      </w:r>
    </w:p>
    <w:p w14:paraId="28E46253" w14:textId="6E72A86D" w:rsidR="00DE02B2" w:rsidRDefault="00DE02B2" w:rsidP="00397256">
      <w:pPr>
        <w:spacing w:after="0"/>
        <w:jc w:val="left"/>
      </w:pPr>
      <w:r w:rsidRPr="0085274E">
        <w:t xml:space="preserve">See </w:t>
      </w:r>
      <w:r w:rsidR="00397256">
        <w:fldChar w:fldCharType="begin"/>
      </w:r>
      <w:r w:rsidR="00397256">
        <w:instrText xml:space="preserve"> REF _Ref155792589 \h </w:instrText>
      </w:r>
      <w:r w:rsidR="00397256">
        <w:fldChar w:fldCharType="separate"/>
      </w:r>
      <w:r w:rsidR="001E2FAC" w:rsidRPr="00BB3E4E">
        <w:rPr>
          <w:szCs w:val="22"/>
        </w:rPr>
        <w:t xml:space="preserve">Table </w:t>
      </w:r>
      <w:r w:rsidR="001E2FAC">
        <w:rPr>
          <w:noProof/>
          <w:szCs w:val="22"/>
        </w:rPr>
        <w:t>14</w:t>
      </w:r>
      <w:r w:rsidR="00397256">
        <w:fldChar w:fldCharType="end"/>
      </w:r>
      <w:r w:rsidR="00BB3E4E">
        <w:t xml:space="preserve"> </w:t>
      </w:r>
      <w:r w:rsidRPr="0085274E">
        <w:t>below</w:t>
      </w:r>
      <w:r w:rsidR="00BB3E4E">
        <w:t xml:space="preserve"> </w:t>
      </w:r>
      <w:r w:rsidRPr="0085274E">
        <w:t xml:space="preserve">for a summary of baseline patient characteristics. Of the 329 patients, 165 patients were </w:t>
      </w:r>
      <w:r w:rsidR="000E0D0D" w:rsidRPr="0085274E">
        <w:t>randomised</w:t>
      </w:r>
      <w:r>
        <w:t xml:space="preserve"> to the treatment arm and 164 patients were </w:t>
      </w:r>
      <w:r w:rsidR="000E0D0D">
        <w:t>randomised</w:t>
      </w:r>
      <w:r>
        <w:t xml:space="preserve"> to the placebo arm. The safety population in the ADCETRIS arm (N=167) included two additional patients who received at least one dose of ADCETRIS but were not </w:t>
      </w:r>
      <w:r w:rsidR="000E0D0D">
        <w:t>randomised</w:t>
      </w:r>
      <w:r>
        <w:t xml:space="preserve"> to the treatment arm. In the study, patients were to receive their first dose after recovery from ASCT (between days 30-45 following ASCT). Patients were treated with 1.8 mg/kg of ADCETRIS or matching placebo intravenously over 30 minutes every 3 weeks for up to 16 cycles. The median number of cycles received in both arms was 15 cycles.</w:t>
      </w:r>
    </w:p>
    <w:p w14:paraId="46818CE0" w14:textId="77777777" w:rsidR="001C150B" w:rsidRDefault="001C150B" w:rsidP="00397256">
      <w:pPr>
        <w:spacing w:after="0"/>
        <w:jc w:val="left"/>
      </w:pPr>
    </w:p>
    <w:p w14:paraId="45D676AE" w14:textId="77777777" w:rsidR="00734679" w:rsidRDefault="00734679">
      <w:pPr>
        <w:spacing w:after="0"/>
        <w:jc w:val="left"/>
      </w:pPr>
      <w:r>
        <w:br w:type="page"/>
      </w:r>
    </w:p>
    <w:p w14:paraId="5C9CCFFC" w14:textId="46FBD2E5" w:rsidR="00816F02" w:rsidRDefault="00816F02" w:rsidP="00FD6544">
      <w:pPr>
        <w:spacing w:after="60"/>
      </w:pPr>
      <w:r>
        <w:lastRenderedPageBreak/>
        <w:t>In addition to other inclusion criteria, patients were also required to present with at least one of the following:</w:t>
      </w:r>
    </w:p>
    <w:p w14:paraId="06E3DB7B" w14:textId="77777777" w:rsidR="00816F02" w:rsidRDefault="00816F02" w:rsidP="000550D7">
      <w:pPr>
        <w:numPr>
          <w:ilvl w:val="0"/>
          <w:numId w:val="30"/>
        </w:numPr>
        <w:spacing w:after="60"/>
      </w:pPr>
      <w:r>
        <w:t xml:space="preserve">HL that was refractory to frontline treatment </w:t>
      </w:r>
    </w:p>
    <w:p w14:paraId="6E67A47E" w14:textId="77777777" w:rsidR="00816F02" w:rsidRDefault="00816F02" w:rsidP="000550D7">
      <w:pPr>
        <w:numPr>
          <w:ilvl w:val="0"/>
          <w:numId w:val="30"/>
        </w:numPr>
        <w:spacing w:after="60"/>
      </w:pPr>
      <w:r>
        <w:t xml:space="preserve">Relapsed or progressive HL that occurred &lt;12 months from the end of frontline </w:t>
      </w:r>
      <w:proofErr w:type="gramStart"/>
      <w:r>
        <w:t>treatment</w:t>
      </w:r>
      <w:proofErr w:type="gramEnd"/>
    </w:p>
    <w:p w14:paraId="191E796D" w14:textId="77777777" w:rsidR="00816F02" w:rsidRDefault="00816F02" w:rsidP="000550D7">
      <w:pPr>
        <w:numPr>
          <w:ilvl w:val="0"/>
          <w:numId w:val="30"/>
        </w:numPr>
      </w:pPr>
      <w:proofErr w:type="spellStart"/>
      <w:r>
        <w:t>Extranodal</w:t>
      </w:r>
      <w:proofErr w:type="spellEnd"/>
      <w:r>
        <w:t xml:space="preserve"> involvement at time of pre-ASCT relapse, including </w:t>
      </w:r>
      <w:proofErr w:type="spellStart"/>
      <w:r>
        <w:t>extranodal</w:t>
      </w:r>
      <w:proofErr w:type="spellEnd"/>
      <w:r>
        <w:t xml:space="preserve"> extension of nodal masses into adjacent vital </w:t>
      </w:r>
      <w:proofErr w:type="gramStart"/>
      <w:r>
        <w:t>organs</w:t>
      </w:r>
      <w:proofErr w:type="gramEnd"/>
    </w:p>
    <w:p w14:paraId="79D9561F" w14:textId="77777777" w:rsidR="0079133E" w:rsidRDefault="0079133E">
      <w:pPr>
        <w:spacing w:after="0"/>
        <w:jc w:val="left"/>
        <w:rPr>
          <w:b/>
          <w:bCs/>
          <w:szCs w:val="22"/>
        </w:rPr>
      </w:pPr>
      <w:bookmarkStart w:id="39" w:name="_Ref147566754"/>
      <w:bookmarkStart w:id="40" w:name="_Ref116657307"/>
      <w:r>
        <w:rPr>
          <w:szCs w:val="22"/>
        </w:rPr>
        <w:br w:type="page"/>
      </w:r>
    </w:p>
    <w:p w14:paraId="4125039E" w14:textId="5BCC3662" w:rsidR="00816F02" w:rsidRPr="00BB3E4E" w:rsidRDefault="00BB3E4E" w:rsidP="00397256">
      <w:pPr>
        <w:pStyle w:val="Caption"/>
        <w:ind w:left="1440" w:hanging="1440"/>
        <w:rPr>
          <w:sz w:val="22"/>
          <w:szCs w:val="22"/>
        </w:rPr>
      </w:pPr>
      <w:bookmarkStart w:id="41" w:name="_Ref155792589"/>
      <w:r w:rsidRPr="00BB3E4E">
        <w:rPr>
          <w:sz w:val="22"/>
          <w:szCs w:val="22"/>
        </w:rPr>
        <w:lastRenderedPageBreak/>
        <w:t xml:space="preserve">Table </w:t>
      </w:r>
      <w:r w:rsidRPr="00BB3E4E">
        <w:rPr>
          <w:sz w:val="22"/>
          <w:szCs w:val="22"/>
        </w:rPr>
        <w:fldChar w:fldCharType="begin"/>
      </w:r>
      <w:r w:rsidRPr="00BB3E4E">
        <w:rPr>
          <w:sz w:val="22"/>
          <w:szCs w:val="22"/>
        </w:rPr>
        <w:instrText xml:space="preserve"> SEQ Table \* ARABIC </w:instrText>
      </w:r>
      <w:r w:rsidRPr="00BB3E4E">
        <w:rPr>
          <w:sz w:val="22"/>
          <w:szCs w:val="22"/>
        </w:rPr>
        <w:fldChar w:fldCharType="separate"/>
      </w:r>
      <w:r w:rsidR="001E2FAC">
        <w:rPr>
          <w:noProof/>
          <w:sz w:val="22"/>
          <w:szCs w:val="22"/>
        </w:rPr>
        <w:t>14</w:t>
      </w:r>
      <w:r w:rsidRPr="00BB3E4E">
        <w:rPr>
          <w:sz w:val="22"/>
          <w:szCs w:val="22"/>
        </w:rPr>
        <w:fldChar w:fldCharType="end"/>
      </w:r>
      <w:bookmarkEnd w:id="39"/>
      <w:bookmarkEnd w:id="41"/>
      <w:r w:rsidRPr="00BB3E4E">
        <w:rPr>
          <w:sz w:val="22"/>
          <w:szCs w:val="22"/>
        </w:rPr>
        <w:t xml:space="preserve"> </w:t>
      </w:r>
      <w:r w:rsidRPr="00BB3E4E">
        <w:rPr>
          <w:sz w:val="22"/>
          <w:szCs w:val="22"/>
        </w:rPr>
        <w:tab/>
      </w:r>
      <w:bookmarkEnd w:id="40"/>
      <w:r w:rsidR="00816F02" w:rsidRPr="00BB3E4E">
        <w:rPr>
          <w:sz w:val="22"/>
          <w:szCs w:val="22"/>
        </w:rPr>
        <w:t>Summary of baseline patient and disease characteristics in the phase 3 CD30+ HL post-ASCT study (Study SGN35-005)</w:t>
      </w:r>
    </w:p>
    <w:tbl>
      <w:tblPr>
        <w:tblW w:w="7854" w:type="dxa"/>
        <w:jc w:val="center"/>
        <w:tblCellMar>
          <w:left w:w="0" w:type="dxa"/>
          <w:right w:w="0" w:type="dxa"/>
        </w:tblCellMar>
        <w:tblLook w:val="04A0" w:firstRow="1" w:lastRow="0" w:firstColumn="1" w:lastColumn="0" w:noHBand="0" w:noVBand="1"/>
      </w:tblPr>
      <w:tblGrid>
        <w:gridCol w:w="294"/>
        <w:gridCol w:w="2898"/>
        <w:gridCol w:w="2340"/>
        <w:gridCol w:w="2322"/>
      </w:tblGrid>
      <w:tr w:rsidR="00816F02" w:rsidRPr="009415F5" w14:paraId="4EBDD388" w14:textId="77777777" w:rsidTr="00752F5B">
        <w:trPr>
          <w:trHeight w:val="528"/>
          <w:tblHeader/>
          <w:jc w:val="center"/>
        </w:trPr>
        <w:tc>
          <w:tcPr>
            <w:tcW w:w="3192" w:type="dxa"/>
            <w:gridSpan w:val="2"/>
            <w:tcBorders>
              <w:top w:val="single" w:sz="4" w:space="0" w:color="000000"/>
              <w:left w:val="single" w:sz="8" w:space="0" w:color="FFFFFF"/>
              <w:bottom w:val="single" w:sz="8" w:space="0" w:color="000000"/>
              <w:right w:val="single" w:sz="8" w:space="0" w:color="FFFFFF"/>
            </w:tcBorders>
            <w:tcMar>
              <w:top w:w="14" w:type="dxa"/>
              <w:left w:w="108" w:type="dxa"/>
              <w:bottom w:w="0" w:type="dxa"/>
              <w:right w:w="108" w:type="dxa"/>
            </w:tcMar>
            <w:hideMark/>
          </w:tcPr>
          <w:p w14:paraId="4408A701" w14:textId="77777777" w:rsidR="00816F02" w:rsidRPr="009415F5" w:rsidRDefault="00816F02" w:rsidP="00306FA8">
            <w:pPr>
              <w:keepNext/>
              <w:spacing w:after="0"/>
              <w:jc w:val="left"/>
              <w:rPr>
                <w:rFonts w:cs="Arial"/>
                <w:sz w:val="19"/>
                <w:szCs w:val="19"/>
              </w:rPr>
            </w:pPr>
            <w:r w:rsidRPr="009415F5">
              <w:rPr>
                <w:rFonts w:cs="Arial"/>
                <w:sz w:val="19"/>
                <w:szCs w:val="19"/>
              </w:rPr>
              <w:t xml:space="preserve">Patient Characteristics </w:t>
            </w:r>
          </w:p>
        </w:tc>
        <w:tc>
          <w:tcPr>
            <w:tcW w:w="2340" w:type="dxa"/>
            <w:tcBorders>
              <w:top w:val="single" w:sz="4" w:space="0" w:color="000000"/>
              <w:left w:val="single" w:sz="8" w:space="0" w:color="FFFFFF"/>
              <w:bottom w:val="single" w:sz="8" w:space="0" w:color="000000"/>
              <w:right w:val="single" w:sz="8" w:space="0" w:color="FFFFFF"/>
            </w:tcBorders>
            <w:tcMar>
              <w:top w:w="14" w:type="dxa"/>
              <w:left w:w="108" w:type="dxa"/>
              <w:bottom w:w="0" w:type="dxa"/>
              <w:right w:w="108" w:type="dxa"/>
            </w:tcMar>
            <w:hideMark/>
          </w:tcPr>
          <w:p w14:paraId="1AFBACB4" w14:textId="77777777" w:rsidR="00816F02" w:rsidRPr="009415F5" w:rsidRDefault="00816F02" w:rsidP="00306FA8">
            <w:pPr>
              <w:keepNext/>
              <w:spacing w:after="0"/>
              <w:rPr>
                <w:rFonts w:cs="Arial"/>
                <w:sz w:val="19"/>
                <w:szCs w:val="19"/>
              </w:rPr>
            </w:pPr>
            <w:r w:rsidRPr="009415F5">
              <w:rPr>
                <w:rFonts w:cs="Arial"/>
                <w:sz w:val="19"/>
                <w:szCs w:val="19"/>
              </w:rPr>
              <w:t>ADCETRIS</w:t>
            </w:r>
          </w:p>
          <w:p w14:paraId="441D38FA" w14:textId="77777777" w:rsidR="00816F02" w:rsidRPr="009415F5" w:rsidRDefault="00816F02" w:rsidP="00306FA8">
            <w:pPr>
              <w:keepNext/>
              <w:spacing w:after="0"/>
              <w:rPr>
                <w:rFonts w:cs="Arial"/>
                <w:sz w:val="19"/>
                <w:szCs w:val="19"/>
              </w:rPr>
            </w:pPr>
            <w:r w:rsidRPr="009415F5">
              <w:rPr>
                <w:rFonts w:cs="Arial"/>
                <w:sz w:val="19"/>
                <w:szCs w:val="19"/>
              </w:rPr>
              <w:t xml:space="preserve">N =165 </w:t>
            </w:r>
          </w:p>
        </w:tc>
        <w:tc>
          <w:tcPr>
            <w:tcW w:w="2322" w:type="dxa"/>
            <w:tcBorders>
              <w:top w:val="single" w:sz="4" w:space="0" w:color="000000"/>
              <w:left w:val="single" w:sz="8" w:space="0" w:color="FFFFFF"/>
              <w:bottom w:val="single" w:sz="8" w:space="0" w:color="000000"/>
              <w:right w:val="single" w:sz="8" w:space="0" w:color="FFFFFF"/>
            </w:tcBorders>
            <w:tcMar>
              <w:top w:w="14" w:type="dxa"/>
              <w:left w:w="108" w:type="dxa"/>
              <w:bottom w:w="0" w:type="dxa"/>
              <w:right w:w="108" w:type="dxa"/>
            </w:tcMar>
            <w:hideMark/>
          </w:tcPr>
          <w:p w14:paraId="301FA284" w14:textId="77777777" w:rsidR="00816F02" w:rsidRPr="009415F5" w:rsidRDefault="00816F02" w:rsidP="00306FA8">
            <w:pPr>
              <w:keepNext/>
              <w:spacing w:after="0"/>
              <w:rPr>
                <w:rFonts w:cs="Arial"/>
                <w:sz w:val="19"/>
                <w:szCs w:val="19"/>
              </w:rPr>
            </w:pPr>
            <w:r w:rsidRPr="009415F5">
              <w:rPr>
                <w:rFonts w:cs="Arial"/>
                <w:sz w:val="19"/>
                <w:szCs w:val="19"/>
              </w:rPr>
              <w:t xml:space="preserve">Placebo </w:t>
            </w:r>
          </w:p>
          <w:p w14:paraId="48AA77AC" w14:textId="77777777" w:rsidR="00816F02" w:rsidRPr="009415F5" w:rsidRDefault="00816F02" w:rsidP="00306FA8">
            <w:pPr>
              <w:keepNext/>
              <w:spacing w:after="0"/>
              <w:rPr>
                <w:rFonts w:cs="Arial"/>
                <w:sz w:val="19"/>
                <w:szCs w:val="19"/>
              </w:rPr>
            </w:pPr>
            <w:r w:rsidRPr="009415F5">
              <w:rPr>
                <w:rFonts w:cs="Arial"/>
                <w:sz w:val="19"/>
                <w:szCs w:val="19"/>
              </w:rPr>
              <w:t xml:space="preserve">N=164 </w:t>
            </w:r>
          </w:p>
        </w:tc>
      </w:tr>
      <w:tr w:rsidR="00816F02" w:rsidRPr="009415F5" w14:paraId="771B4415" w14:textId="77777777" w:rsidTr="00752F5B">
        <w:trPr>
          <w:gridBefore w:val="1"/>
          <w:wBefore w:w="294" w:type="dxa"/>
          <w:trHeight w:val="270"/>
          <w:tblHeader/>
          <w:jc w:val="center"/>
        </w:trPr>
        <w:tc>
          <w:tcPr>
            <w:tcW w:w="2898" w:type="dxa"/>
            <w:tcBorders>
              <w:top w:val="single" w:sz="8" w:space="0" w:color="000000"/>
              <w:left w:val="single" w:sz="8" w:space="0" w:color="FFFFFF"/>
              <w:bottom w:val="single" w:sz="8" w:space="0" w:color="FFFFFF"/>
              <w:right w:val="single" w:sz="8" w:space="0" w:color="FFFFFF"/>
            </w:tcBorders>
            <w:tcMar>
              <w:top w:w="14" w:type="dxa"/>
              <w:left w:w="108" w:type="dxa"/>
              <w:bottom w:w="0" w:type="dxa"/>
              <w:right w:w="108" w:type="dxa"/>
            </w:tcMar>
            <w:hideMark/>
          </w:tcPr>
          <w:p w14:paraId="6368DE46" w14:textId="77777777" w:rsidR="00816F02" w:rsidRPr="009415F5" w:rsidRDefault="00816F02" w:rsidP="00306FA8">
            <w:pPr>
              <w:keepNext/>
              <w:spacing w:after="0"/>
              <w:jc w:val="left"/>
              <w:rPr>
                <w:rFonts w:cs="Arial"/>
                <w:sz w:val="19"/>
                <w:szCs w:val="19"/>
              </w:rPr>
            </w:pPr>
            <w:r w:rsidRPr="009415F5">
              <w:rPr>
                <w:rFonts w:cs="Arial"/>
                <w:sz w:val="19"/>
                <w:szCs w:val="19"/>
              </w:rPr>
              <w:t xml:space="preserve">Age (median) </w:t>
            </w:r>
          </w:p>
        </w:tc>
        <w:tc>
          <w:tcPr>
            <w:tcW w:w="2340" w:type="dxa"/>
            <w:tcBorders>
              <w:top w:val="single" w:sz="8" w:space="0" w:color="000000"/>
              <w:left w:val="single" w:sz="8" w:space="0" w:color="FFFFFF"/>
              <w:bottom w:val="single" w:sz="8" w:space="0" w:color="FFFFFF"/>
              <w:right w:val="single" w:sz="8" w:space="0" w:color="FFFFFF"/>
            </w:tcBorders>
            <w:tcMar>
              <w:top w:w="14" w:type="dxa"/>
              <w:left w:w="108" w:type="dxa"/>
              <w:bottom w:w="0" w:type="dxa"/>
              <w:right w:w="108" w:type="dxa"/>
            </w:tcMar>
            <w:hideMark/>
          </w:tcPr>
          <w:p w14:paraId="4924036A" w14:textId="77777777" w:rsidR="00816F02" w:rsidRPr="009415F5" w:rsidRDefault="00816F02" w:rsidP="00306FA8">
            <w:pPr>
              <w:keepNext/>
              <w:spacing w:after="0"/>
              <w:rPr>
                <w:rFonts w:cs="Arial"/>
                <w:sz w:val="19"/>
                <w:szCs w:val="19"/>
              </w:rPr>
            </w:pPr>
            <w:r w:rsidRPr="009415F5">
              <w:rPr>
                <w:rFonts w:cs="Arial"/>
                <w:sz w:val="19"/>
                <w:szCs w:val="19"/>
              </w:rPr>
              <w:t>33 years (18-71)</w:t>
            </w:r>
          </w:p>
        </w:tc>
        <w:tc>
          <w:tcPr>
            <w:tcW w:w="2322" w:type="dxa"/>
            <w:tcBorders>
              <w:top w:val="single" w:sz="8" w:space="0" w:color="000000"/>
              <w:left w:val="single" w:sz="8" w:space="0" w:color="FFFFFF"/>
              <w:bottom w:val="single" w:sz="8" w:space="0" w:color="FFFFFF"/>
              <w:right w:val="single" w:sz="8" w:space="0" w:color="FFFFFF"/>
            </w:tcBorders>
            <w:tcMar>
              <w:top w:w="14" w:type="dxa"/>
              <w:left w:w="108" w:type="dxa"/>
              <w:bottom w:w="0" w:type="dxa"/>
              <w:right w:w="108" w:type="dxa"/>
            </w:tcMar>
            <w:hideMark/>
          </w:tcPr>
          <w:p w14:paraId="05A3C723" w14:textId="77777777" w:rsidR="00816F02" w:rsidRPr="009415F5" w:rsidRDefault="00816F02" w:rsidP="00306FA8">
            <w:pPr>
              <w:keepNext/>
              <w:spacing w:after="0"/>
              <w:rPr>
                <w:rFonts w:cs="Arial"/>
                <w:sz w:val="19"/>
                <w:szCs w:val="19"/>
              </w:rPr>
            </w:pPr>
            <w:r w:rsidRPr="009415F5">
              <w:rPr>
                <w:rFonts w:cs="Arial"/>
                <w:sz w:val="19"/>
                <w:szCs w:val="19"/>
              </w:rPr>
              <w:t>32 years (18-76)</w:t>
            </w:r>
          </w:p>
        </w:tc>
      </w:tr>
      <w:tr w:rsidR="00816F02" w:rsidRPr="009415F5" w14:paraId="682D144D" w14:textId="77777777" w:rsidTr="00752F5B">
        <w:trPr>
          <w:gridBefore w:val="1"/>
          <w:wBefore w:w="294" w:type="dxa"/>
          <w:trHeight w:val="270"/>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6C0FC693" w14:textId="77777777" w:rsidR="00816F02" w:rsidRPr="009415F5" w:rsidRDefault="00816F02" w:rsidP="00306FA8">
            <w:pPr>
              <w:keepNext/>
              <w:spacing w:after="0"/>
              <w:jc w:val="left"/>
              <w:rPr>
                <w:rFonts w:cs="Arial"/>
                <w:sz w:val="19"/>
                <w:szCs w:val="19"/>
              </w:rPr>
            </w:pPr>
            <w:r w:rsidRPr="009415F5">
              <w:rPr>
                <w:rFonts w:cs="Arial"/>
                <w:sz w:val="19"/>
                <w:szCs w:val="19"/>
              </w:rPr>
              <w:t xml:space="preserve">Gender </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3441D370" w14:textId="77777777" w:rsidR="00816F02" w:rsidRPr="009415F5" w:rsidRDefault="00816F02" w:rsidP="00306FA8">
            <w:pPr>
              <w:keepNext/>
              <w:spacing w:after="0"/>
              <w:rPr>
                <w:rFonts w:cs="Arial"/>
                <w:sz w:val="19"/>
                <w:szCs w:val="19"/>
              </w:rPr>
            </w:pPr>
            <w:r w:rsidRPr="009415F5">
              <w:rPr>
                <w:rFonts w:cs="Arial"/>
                <w:sz w:val="19"/>
                <w:szCs w:val="19"/>
              </w:rPr>
              <w:t>76M (46%)/89F (54%)</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5C594807" w14:textId="77777777" w:rsidR="00816F02" w:rsidRPr="009415F5" w:rsidRDefault="00816F02" w:rsidP="00306FA8">
            <w:pPr>
              <w:keepNext/>
              <w:spacing w:after="0"/>
              <w:rPr>
                <w:rFonts w:cs="Arial"/>
                <w:sz w:val="19"/>
                <w:szCs w:val="19"/>
              </w:rPr>
            </w:pPr>
            <w:r w:rsidRPr="009415F5">
              <w:rPr>
                <w:rFonts w:cs="Arial"/>
                <w:sz w:val="19"/>
                <w:szCs w:val="19"/>
              </w:rPr>
              <w:t>97M (59%)/67F (41%)</w:t>
            </w:r>
          </w:p>
        </w:tc>
      </w:tr>
      <w:tr w:rsidR="00816F02" w:rsidRPr="009415F5" w14:paraId="06C8F0DC" w14:textId="77777777" w:rsidTr="00752F5B">
        <w:trPr>
          <w:gridBefore w:val="1"/>
          <w:wBefore w:w="294" w:type="dxa"/>
          <w:trHeight w:val="264"/>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470AD0F" w14:textId="77777777" w:rsidR="00816F02" w:rsidRPr="009415F5" w:rsidRDefault="00816F02" w:rsidP="00306FA8">
            <w:pPr>
              <w:keepNext/>
              <w:spacing w:after="0"/>
              <w:jc w:val="left"/>
              <w:rPr>
                <w:rFonts w:cs="Arial"/>
                <w:sz w:val="19"/>
                <w:szCs w:val="19"/>
              </w:rPr>
            </w:pPr>
            <w:r w:rsidRPr="009415F5">
              <w:rPr>
                <w:rFonts w:cs="Arial"/>
                <w:sz w:val="19"/>
                <w:szCs w:val="19"/>
              </w:rPr>
              <w:t xml:space="preserve">ECOG status </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11ABDF2F" w14:textId="77777777" w:rsidR="00816F02" w:rsidRPr="009415F5" w:rsidRDefault="00816F02" w:rsidP="00306FA8">
            <w:pPr>
              <w:keepNext/>
              <w:spacing w:after="0"/>
              <w:rPr>
                <w:rFonts w:cs="Arial"/>
                <w:sz w:val="19"/>
                <w:szCs w:val="19"/>
              </w:rPr>
            </w:pP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099DD389" w14:textId="77777777" w:rsidR="00816F02" w:rsidRPr="009415F5" w:rsidRDefault="00816F02" w:rsidP="00306FA8">
            <w:pPr>
              <w:keepNext/>
              <w:spacing w:after="0"/>
              <w:rPr>
                <w:rFonts w:cs="Arial"/>
                <w:sz w:val="19"/>
                <w:szCs w:val="19"/>
              </w:rPr>
            </w:pPr>
          </w:p>
        </w:tc>
      </w:tr>
      <w:tr w:rsidR="00816F02" w:rsidRPr="009415F5" w14:paraId="59406A16" w14:textId="77777777" w:rsidTr="00752F5B">
        <w:trPr>
          <w:gridBefore w:val="1"/>
          <w:wBefore w:w="294" w:type="dxa"/>
          <w:trHeight w:val="264"/>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65CCE357" w14:textId="77777777" w:rsidR="00816F02" w:rsidRPr="009415F5" w:rsidRDefault="00816F02" w:rsidP="00306FA8">
            <w:pPr>
              <w:keepNext/>
              <w:spacing w:after="0"/>
              <w:ind w:left="144"/>
              <w:jc w:val="left"/>
              <w:rPr>
                <w:rFonts w:cs="Arial"/>
                <w:sz w:val="19"/>
                <w:szCs w:val="19"/>
              </w:rPr>
            </w:pPr>
            <w:r w:rsidRPr="009415F5">
              <w:rPr>
                <w:rFonts w:cs="Arial"/>
                <w:sz w:val="19"/>
                <w:szCs w:val="19"/>
              </w:rPr>
              <w:t xml:space="preserve">0 </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003A5C06" w14:textId="77777777" w:rsidR="00816F02" w:rsidRPr="009415F5" w:rsidRDefault="00816F02" w:rsidP="00306FA8">
            <w:pPr>
              <w:keepNext/>
              <w:spacing w:after="0"/>
              <w:rPr>
                <w:rFonts w:cs="Arial"/>
                <w:sz w:val="19"/>
                <w:szCs w:val="19"/>
              </w:rPr>
            </w:pPr>
            <w:r w:rsidRPr="009415F5">
              <w:rPr>
                <w:rFonts w:cs="Arial"/>
                <w:sz w:val="19"/>
                <w:szCs w:val="19"/>
              </w:rPr>
              <w:t>87 (53%)</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59E8F65E" w14:textId="77777777" w:rsidR="00816F02" w:rsidRPr="009415F5" w:rsidRDefault="00816F02" w:rsidP="00306FA8">
            <w:pPr>
              <w:keepNext/>
              <w:spacing w:after="0"/>
              <w:rPr>
                <w:rFonts w:cs="Arial"/>
                <w:sz w:val="19"/>
                <w:szCs w:val="19"/>
              </w:rPr>
            </w:pPr>
            <w:r w:rsidRPr="009415F5">
              <w:rPr>
                <w:rFonts w:cs="Arial"/>
                <w:sz w:val="19"/>
                <w:szCs w:val="19"/>
              </w:rPr>
              <w:t>97 (59%)</w:t>
            </w:r>
          </w:p>
        </w:tc>
      </w:tr>
      <w:tr w:rsidR="00816F02" w:rsidRPr="009415F5" w14:paraId="022C678F" w14:textId="77777777" w:rsidTr="00752F5B">
        <w:trPr>
          <w:gridBefore w:val="1"/>
          <w:wBefore w:w="294" w:type="dxa"/>
          <w:trHeight w:val="264"/>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1732B279" w14:textId="77777777" w:rsidR="00816F02" w:rsidRPr="009415F5" w:rsidRDefault="00816F02" w:rsidP="00306FA8">
            <w:pPr>
              <w:keepNext/>
              <w:spacing w:after="0"/>
              <w:ind w:left="144"/>
              <w:jc w:val="left"/>
              <w:rPr>
                <w:rFonts w:cs="Arial"/>
                <w:sz w:val="19"/>
                <w:szCs w:val="19"/>
              </w:rPr>
            </w:pPr>
            <w:r w:rsidRPr="009415F5">
              <w:rPr>
                <w:rFonts w:cs="Arial"/>
                <w:sz w:val="19"/>
                <w:szCs w:val="19"/>
              </w:rPr>
              <w:t xml:space="preserve">1 </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0EF595B1" w14:textId="77777777" w:rsidR="00816F02" w:rsidRPr="009415F5" w:rsidRDefault="00816F02" w:rsidP="00306FA8">
            <w:pPr>
              <w:keepNext/>
              <w:spacing w:after="0"/>
              <w:rPr>
                <w:rFonts w:cs="Arial"/>
                <w:sz w:val="19"/>
                <w:szCs w:val="19"/>
              </w:rPr>
            </w:pPr>
            <w:r w:rsidRPr="009415F5">
              <w:rPr>
                <w:rFonts w:cs="Arial"/>
                <w:sz w:val="19"/>
                <w:szCs w:val="19"/>
              </w:rPr>
              <w:t>77 (47%)</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7E7C5095" w14:textId="77777777" w:rsidR="00816F02" w:rsidRPr="009415F5" w:rsidRDefault="00816F02" w:rsidP="00306FA8">
            <w:pPr>
              <w:keepNext/>
              <w:spacing w:after="0"/>
              <w:rPr>
                <w:rFonts w:cs="Arial"/>
                <w:sz w:val="19"/>
                <w:szCs w:val="19"/>
              </w:rPr>
            </w:pPr>
            <w:r w:rsidRPr="009415F5">
              <w:rPr>
                <w:rFonts w:cs="Arial"/>
                <w:sz w:val="19"/>
                <w:szCs w:val="19"/>
              </w:rPr>
              <w:t>67 (41%)</w:t>
            </w:r>
          </w:p>
        </w:tc>
      </w:tr>
      <w:tr w:rsidR="00816F02" w:rsidRPr="009415F5" w14:paraId="17229089" w14:textId="77777777" w:rsidTr="00752F5B">
        <w:trPr>
          <w:gridBefore w:val="1"/>
          <w:wBefore w:w="294" w:type="dxa"/>
          <w:trHeight w:val="264"/>
          <w:tblHeader/>
          <w:jc w:val="center"/>
        </w:trPr>
        <w:tc>
          <w:tcPr>
            <w:tcW w:w="2898" w:type="dxa"/>
            <w:tcBorders>
              <w:top w:val="single" w:sz="8" w:space="0" w:color="FFFFFF"/>
              <w:left w:val="single" w:sz="8" w:space="0" w:color="FFFFFF"/>
              <w:bottom w:val="single" w:sz="4" w:space="0" w:color="auto"/>
              <w:right w:val="single" w:sz="8" w:space="0" w:color="FFFFFF"/>
            </w:tcBorders>
            <w:tcMar>
              <w:top w:w="14" w:type="dxa"/>
              <w:left w:w="108" w:type="dxa"/>
              <w:bottom w:w="0" w:type="dxa"/>
              <w:right w:w="108" w:type="dxa"/>
            </w:tcMar>
            <w:hideMark/>
          </w:tcPr>
          <w:p w14:paraId="7C8D7D23" w14:textId="77777777" w:rsidR="00816F02" w:rsidRPr="009415F5" w:rsidRDefault="00816F02" w:rsidP="00306FA8">
            <w:pPr>
              <w:keepNext/>
              <w:spacing w:after="0"/>
              <w:ind w:left="144"/>
              <w:jc w:val="left"/>
              <w:rPr>
                <w:rFonts w:cs="Arial"/>
                <w:sz w:val="19"/>
                <w:szCs w:val="19"/>
              </w:rPr>
            </w:pPr>
            <w:r w:rsidRPr="009415F5">
              <w:rPr>
                <w:rFonts w:cs="Arial"/>
                <w:sz w:val="19"/>
                <w:szCs w:val="19"/>
              </w:rPr>
              <w:t>2</w:t>
            </w:r>
          </w:p>
        </w:tc>
        <w:tc>
          <w:tcPr>
            <w:tcW w:w="2340" w:type="dxa"/>
            <w:tcBorders>
              <w:top w:val="single" w:sz="8" w:space="0" w:color="FFFFFF"/>
              <w:left w:val="single" w:sz="8" w:space="0" w:color="FFFFFF"/>
              <w:bottom w:val="single" w:sz="4" w:space="0" w:color="auto"/>
              <w:right w:val="single" w:sz="8" w:space="0" w:color="FFFFFF"/>
            </w:tcBorders>
            <w:tcMar>
              <w:top w:w="14" w:type="dxa"/>
              <w:left w:w="108" w:type="dxa"/>
              <w:bottom w:w="0" w:type="dxa"/>
              <w:right w:w="108" w:type="dxa"/>
            </w:tcMar>
            <w:hideMark/>
          </w:tcPr>
          <w:p w14:paraId="5B069DA7" w14:textId="77777777" w:rsidR="00816F02" w:rsidRPr="009415F5" w:rsidRDefault="00816F02" w:rsidP="00306FA8">
            <w:pPr>
              <w:keepNext/>
              <w:spacing w:after="0"/>
              <w:rPr>
                <w:rFonts w:cs="Arial"/>
                <w:sz w:val="19"/>
                <w:szCs w:val="19"/>
              </w:rPr>
            </w:pPr>
            <w:r w:rsidRPr="009415F5">
              <w:rPr>
                <w:rFonts w:cs="Arial"/>
                <w:sz w:val="19"/>
                <w:szCs w:val="19"/>
              </w:rPr>
              <w:t>1 (1%)</w:t>
            </w:r>
          </w:p>
        </w:tc>
        <w:tc>
          <w:tcPr>
            <w:tcW w:w="2322" w:type="dxa"/>
            <w:tcBorders>
              <w:top w:val="single" w:sz="8" w:space="0" w:color="FFFFFF"/>
              <w:left w:val="single" w:sz="8" w:space="0" w:color="FFFFFF"/>
              <w:bottom w:val="single" w:sz="4" w:space="0" w:color="auto"/>
              <w:right w:val="single" w:sz="8" w:space="0" w:color="FFFFFF"/>
            </w:tcBorders>
            <w:tcMar>
              <w:top w:w="14" w:type="dxa"/>
              <w:left w:w="108" w:type="dxa"/>
              <w:bottom w:w="0" w:type="dxa"/>
              <w:right w:w="108" w:type="dxa"/>
            </w:tcMar>
            <w:hideMark/>
          </w:tcPr>
          <w:p w14:paraId="27DAFCD7" w14:textId="77777777" w:rsidR="00816F02" w:rsidRPr="009415F5" w:rsidRDefault="00816F02" w:rsidP="00306FA8">
            <w:pPr>
              <w:keepNext/>
              <w:spacing w:after="0"/>
              <w:rPr>
                <w:rFonts w:cs="Arial"/>
                <w:sz w:val="19"/>
                <w:szCs w:val="19"/>
              </w:rPr>
            </w:pPr>
            <w:r w:rsidRPr="009415F5">
              <w:rPr>
                <w:rFonts w:cs="Arial"/>
                <w:sz w:val="19"/>
                <w:szCs w:val="19"/>
              </w:rPr>
              <w:t>0</w:t>
            </w:r>
          </w:p>
        </w:tc>
      </w:tr>
      <w:tr w:rsidR="00816F02" w:rsidRPr="009415F5" w14:paraId="35ED0838" w14:textId="77777777" w:rsidTr="00752F5B">
        <w:trPr>
          <w:gridBefore w:val="1"/>
          <w:wBefore w:w="294" w:type="dxa"/>
          <w:trHeight w:val="308"/>
          <w:tblHeader/>
          <w:jc w:val="center"/>
        </w:trPr>
        <w:tc>
          <w:tcPr>
            <w:tcW w:w="2898" w:type="dxa"/>
            <w:tcBorders>
              <w:top w:val="single" w:sz="4" w:space="0" w:color="auto"/>
              <w:left w:val="single" w:sz="8" w:space="0" w:color="FFFFFF"/>
              <w:bottom w:val="single" w:sz="4" w:space="0" w:color="auto"/>
              <w:right w:val="single" w:sz="8" w:space="0" w:color="FFFFFF"/>
            </w:tcBorders>
            <w:tcMar>
              <w:top w:w="14" w:type="dxa"/>
              <w:left w:w="108" w:type="dxa"/>
              <w:bottom w:w="0" w:type="dxa"/>
              <w:right w:w="108" w:type="dxa"/>
            </w:tcMar>
            <w:hideMark/>
          </w:tcPr>
          <w:p w14:paraId="240F95BD" w14:textId="77777777" w:rsidR="00816F02" w:rsidRPr="009415F5" w:rsidRDefault="00816F02" w:rsidP="00306FA8">
            <w:pPr>
              <w:keepNext/>
              <w:spacing w:after="0"/>
              <w:jc w:val="left"/>
              <w:rPr>
                <w:rFonts w:cs="Arial"/>
                <w:sz w:val="19"/>
                <w:szCs w:val="19"/>
              </w:rPr>
            </w:pPr>
            <w:r w:rsidRPr="009415F5">
              <w:rPr>
                <w:rFonts w:cs="Arial"/>
                <w:sz w:val="19"/>
                <w:szCs w:val="19"/>
              </w:rPr>
              <w:t xml:space="preserve">Disease Characteristics </w:t>
            </w:r>
          </w:p>
        </w:tc>
        <w:tc>
          <w:tcPr>
            <w:tcW w:w="2340" w:type="dxa"/>
            <w:tcBorders>
              <w:top w:val="single" w:sz="4" w:space="0" w:color="auto"/>
              <w:left w:val="single" w:sz="8" w:space="0" w:color="FFFFFF"/>
              <w:bottom w:val="single" w:sz="4" w:space="0" w:color="auto"/>
              <w:right w:val="single" w:sz="8" w:space="0" w:color="FFFFFF"/>
            </w:tcBorders>
            <w:tcMar>
              <w:top w:w="14" w:type="dxa"/>
              <w:left w:w="108" w:type="dxa"/>
              <w:bottom w:w="0" w:type="dxa"/>
              <w:right w:w="108" w:type="dxa"/>
            </w:tcMar>
            <w:hideMark/>
          </w:tcPr>
          <w:p w14:paraId="04F02F75" w14:textId="77777777" w:rsidR="00816F02" w:rsidRPr="009415F5" w:rsidRDefault="00816F02" w:rsidP="00306FA8">
            <w:pPr>
              <w:keepNext/>
              <w:spacing w:after="0"/>
              <w:rPr>
                <w:rFonts w:cs="Arial"/>
                <w:sz w:val="19"/>
                <w:szCs w:val="19"/>
              </w:rPr>
            </w:pPr>
          </w:p>
        </w:tc>
        <w:tc>
          <w:tcPr>
            <w:tcW w:w="2322" w:type="dxa"/>
            <w:tcBorders>
              <w:top w:val="single" w:sz="4" w:space="0" w:color="auto"/>
              <w:left w:val="single" w:sz="8" w:space="0" w:color="FFFFFF"/>
              <w:bottom w:val="single" w:sz="4" w:space="0" w:color="auto"/>
              <w:right w:val="single" w:sz="8" w:space="0" w:color="FFFFFF"/>
            </w:tcBorders>
            <w:tcMar>
              <w:top w:w="14" w:type="dxa"/>
              <w:left w:w="108" w:type="dxa"/>
              <w:bottom w:w="0" w:type="dxa"/>
              <w:right w:w="108" w:type="dxa"/>
            </w:tcMar>
            <w:hideMark/>
          </w:tcPr>
          <w:p w14:paraId="0D594D09" w14:textId="77777777" w:rsidR="00816F02" w:rsidRPr="009415F5" w:rsidRDefault="00816F02" w:rsidP="00306FA8">
            <w:pPr>
              <w:keepNext/>
              <w:spacing w:after="0"/>
              <w:rPr>
                <w:rFonts w:cs="Arial"/>
                <w:sz w:val="19"/>
                <w:szCs w:val="19"/>
              </w:rPr>
            </w:pPr>
          </w:p>
        </w:tc>
      </w:tr>
      <w:tr w:rsidR="00816F02" w:rsidRPr="009415F5" w14:paraId="5E419BCF" w14:textId="77777777" w:rsidTr="00752F5B">
        <w:trPr>
          <w:gridBefore w:val="1"/>
          <w:wBefore w:w="294" w:type="dxa"/>
          <w:trHeight w:val="308"/>
          <w:tblHeader/>
          <w:jc w:val="center"/>
        </w:trPr>
        <w:tc>
          <w:tcPr>
            <w:tcW w:w="2898" w:type="dxa"/>
            <w:tcBorders>
              <w:top w:val="single" w:sz="4" w:space="0" w:color="auto"/>
              <w:left w:val="single" w:sz="8" w:space="0" w:color="FFFFFF"/>
              <w:bottom w:val="single" w:sz="8" w:space="0" w:color="FFFFFF"/>
              <w:right w:val="single" w:sz="8" w:space="0" w:color="FFFFFF"/>
            </w:tcBorders>
            <w:tcMar>
              <w:top w:w="14" w:type="dxa"/>
              <w:left w:w="108" w:type="dxa"/>
              <w:bottom w:w="0" w:type="dxa"/>
              <w:right w:w="108" w:type="dxa"/>
            </w:tcMar>
            <w:hideMark/>
          </w:tcPr>
          <w:p w14:paraId="61611DCA" w14:textId="77777777" w:rsidR="00816F02" w:rsidRPr="009415F5" w:rsidRDefault="00816F02" w:rsidP="00306FA8">
            <w:pPr>
              <w:keepNext/>
              <w:spacing w:after="0"/>
              <w:jc w:val="left"/>
              <w:rPr>
                <w:rFonts w:cs="Arial"/>
                <w:sz w:val="19"/>
                <w:szCs w:val="19"/>
              </w:rPr>
            </w:pPr>
            <w:r w:rsidRPr="009415F5">
              <w:rPr>
                <w:rFonts w:cs="Arial"/>
                <w:sz w:val="19"/>
                <w:szCs w:val="19"/>
              </w:rPr>
              <w:t>Number of prior chemotherapy regimens (median)</w:t>
            </w:r>
          </w:p>
        </w:tc>
        <w:tc>
          <w:tcPr>
            <w:tcW w:w="2340" w:type="dxa"/>
            <w:tcBorders>
              <w:top w:val="single" w:sz="4" w:space="0" w:color="auto"/>
              <w:left w:val="single" w:sz="8" w:space="0" w:color="FFFFFF"/>
              <w:bottom w:val="single" w:sz="8" w:space="0" w:color="FFFFFF"/>
              <w:right w:val="single" w:sz="8" w:space="0" w:color="FFFFFF"/>
            </w:tcBorders>
            <w:tcMar>
              <w:top w:w="14" w:type="dxa"/>
              <w:left w:w="108" w:type="dxa"/>
              <w:bottom w:w="0" w:type="dxa"/>
              <w:right w:w="108" w:type="dxa"/>
            </w:tcMar>
            <w:hideMark/>
          </w:tcPr>
          <w:p w14:paraId="65C0B93B" w14:textId="77777777" w:rsidR="00816F02" w:rsidRPr="009415F5" w:rsidRDefault="00816F02" w:rsidP="00306FA8">
            <w:pPr>
              <w:keepNext/>
              <w:spacing w:after="0"/>
              <w:rPr>
                <w:rFonts w:cs="Arial"/>
                <w:sz w:val="19"/>
                <w:szCs w:val="19"/>
              </w:rPr>
            </w:pPr>
            <w:r w:rsidRPr="009415F5">
              <w:rPr>
                <w:rFonts w:cs="Arial"/>
                <w:sz w:val="19"/>
                <w:szCs w:val="19"/>
              </w:rPr>
              <w:t>2 (2-8)</w:t>
            </w:r>
          </w:p>
        </w:tc>
        <w:tc>
          <w:tcPr>
            <w:tcW w:w="2322" w:type="dxa"/>
            <w:tcBorders>
              <w:top w:val="single" w:sz="4" w:space="0" w:color="auto"/>
              <w:left w:val="single" w:sz="8" w:space="0" w:color="FFFFFF"/>
              <w:bottom w:val="single" w:sz="8" w:space="0" w:color="FFFFFF"/>
              <w:right w:val="single" w:sz="8" w:space="0" w:color="FFFFFF"/>
            </w:tcBorders>
            <w:tcMar>
              <w:top w:w="14" w:type="dxa"/>
              <w:left w:w="108" w:type="dxa"/>
              <w:bottom w:w="0" w:type="dxa"/>
              <w:right w:w="108" w:type="dxa"/>
            </w:tcMar>
            <w:hideMark/>
          </w:tcPr>
          <w:p w14:paraId="2D8EE706" w14:textId="77777777" w:rsidR="00816F02" w:rsidRPr="009415F5" w:rsidRDefault="00816F02" w:rsidP="00306FA8">
            <w:pPr>
              <w:keepNext/>
              <w:spacing w:after="0"/>
              <w:rPr>
                <w:rFonts w:cs="Arial"/>
                <w:sz w:val="19"/>
                <w:szCs w:val="19"/>
              </w:rPr>
            </w:pPr>
            <w:r w:rsidRPr="009415F5">
              <w:rPr>
                <w:rFonts w:cs="Arial"/>
                <w:sz w:val="19"/>
                <w:szCs w:val="19"/>
              </w:rPr>
              <w:t>2 (2-7)</w:t>
            </w:r>
          </w:p>
        </w:tc>
      </w:tr>
      <w:tr w:rsidR="00816F02" w:rsidRPr="009415F5" w14:paraId="195528E0" w14:textId="77777777" w:rsidTr="00752F5B">
        <w:trPr>
          <w:gridBefore w:val="1"/>
          <w:wBefore w:w="294" w:type="dxa"/>
          <w:trHeight w:val="308"/>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16032ABF" w14:textId="77777777" w:rsidR="00816F02" w:rsidRPr="009415F5" w:rsidRDefault="00816F02" w:rsidP="00306FA8">
            <w:pPr>
              <w:keepNext/>
              <w:spacing w:after="0"/>
              <w:jc w:val="left"/>
              <w:rPr>
                <w:rFonts w:cs="Arial"/>
                <w:sz w:val="19"/>
                <w:szCs w:val="19"/>
              </w:rPr>
            </w:pPr>
            <w:r w:rsidRPr="009415F5">
              <w:rPr>
                <w:rFonts w:cs="Arial"/>
                <w:sz w:val="19"/>
                <w:szCs w:val="19"/>
              </w:rPr>
              <w:t>Time from HL diagnosis to first dose (median)</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128B8D00" w14:textId="77777777" w:rsidR="00816F02" w:rsidRPr="009415F5" w:rsidRDefault="00816F02" w:rsidP="00306FA8">
            <w:pPr>
              <w:keepNext/>
              <w:spacing w:after="0"/>
              <w:rPr>
                <w:rFonts w:cs="Arial"/>
                <w:sz w:val="19"/>
                <w:szCs w:val="19"/>
              </w:rPr>
            </w:pPr>
            <w:r w:rsidRPr="009415F5">
              <w:rPr>
                <w:rFonts w:cs="Arial"/>
                <w:sz w:val="19"/>
                <w:szCs w:val="19"/>
              </w:rPr>
              <w:t xml:space="preserve">18.7 </w:t>
            </w:r>
            <w:proofErr w:type="spellStart"/>
            <w:r w:rsidRPr="009415F5">
              <w:rPr>
                <w:rFonts w:cs="Arial"/>
                <w:sz w:val="19"/>
                <w:szCs w:val="19"/>
              </w:rPr>
              <w:t>mo</w:t>
            </w:r>
            <w:proofErr w:type="spellEnd"/>
            <w:r w:rsidRPr="009415F5">
              <w:rPr>
                <w:rFonts w:cs="Arial"/>
                <w:sz w:val="19"/>
                <w:szCs w:val="19"/>
              </w:rPr>
              <w:t xml:space="preserve"> (6.1-204.0)</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0EACE18A" w14:textId="77777777" w:rsidR="00816F02" w:rsidRPr="009415F5" w:rsidRDefault="00816F02" w:rsidP="00306FA8">
            <w:pPr>
              <w:keepNext/>
              <w:spacing w:after="0"/>
              <w:rPr>
                <w:rFonts w:cs="Arial"/>
                <w:sz w:val="19"/>
                <w:szCs w:val="19"/>
              </w:rPr>
            </w:pPr>
            <w:r w:rsidRPr="009415F5">
              <w:rPr>
                <w:rFonts w:cs="Arial"/>
                <w:sz w:val="19"/>
                <w:szCs w:val="19"/>
              </w:rPr>
              <w:t xml:space="preserve">18.8 </w:t>
            </w:r>
            <w:proofErr w:type="spellStart"/>
            <w:r w:rsidRPr="009415F5">
              <w:rPr>
                <w:rFonts w:cs="Arial"/>
                <w:sz w:val="19"/>
                <w:szCs w:val="19"/>
              </w:rPr>
              <w:t>mo</w:t>
            </w:r>
            <w:proofErr w:type="spellEnd"/>
            <w:r w:rsidRPr="009415F5">
              <w:rPr>
                <w:rFonts w:cs="Arial"/>
                <w:sz w:val="19"/>
                <w:szCs w:val="19"/>
              </w:rPr>
              <w:t xml:space="preserve"> (7.4-180.8)</w:t>
            </w:r>
          </w:p>
        </w:tc>
      </w:tr>
      <w:tr w:rsidR="00816F02" w:rsidRPr="009415F5" w14:paraId="5BBC116D" w14:textId="77777777" w:rsidTr="00752F5B">
        <w:trPr>
          <w:gridBefore w:val="1"/>
          <w:wBefore w:w="294" w:type="dxa"/>
          <w:trHeight w:val="308"/>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730DE6A0" w14:textId="77777777" w:rsidR="00816F02" w:rsidRPr="009415F5" w:rsidRDefault="00816F02" w:rsidP="00306FA8">
            <w:pPr>
              <w:keepNext/>
              <w:spacing w:after="0"/>
              <w:jc w:val="left"/>
              <w:rPr>
                <w:rFonts w:cs="Arial"/>
                <w:sz w:val="19"/>
                <w:szCs w:val="19"/>
              </w:rPr>
            </w:pPr>
            <w:r w:rsidRPr="009415F5">
              <w:rPr>
                <w:rFonts w:cs="Arial"/>
                <w:sz w:val="19"/>
                <w:szCs w:val="19"/>
              </w:rPr>
              <w:t>Disease stage at initial diagnosis of HL</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77556C60" w14:textId="77777777" w:rsidR="00816F02" w:rsidRPr="009415F5" w:rsidRDefault="00816F02" w:rsidP="00306FA8">
            <w:pPr>
              <w:keepNext/>
              <w:spacing w:after="0"/>
              <w:rPr>
                <w:rFonts w:cs="Arial"/>
                <w:sz w:val="19"/>
                <w:szCs w:val="19"/>
              </w:rPr>
            </w:pP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32BA094" w14:textId="77777777" w:rsidR="00816F02" w:rsidRPr="009415F5" w:rsidRDefault="00816F02" w:rsidP="00306FA8">
            <w:pPr>
              <w:keepNext/>
              <w:spacing w:after="0"/>
              <w:rPr>
                <w:rFonts w:cs="Arial"/>
                <w:sz w:val="19"/>
                <w:szCs w:val="19"/>
              </w:rPr>
            </w:pPr>
          </w:p>
        </w:tc>
      </w:tr>
      <w:tr w:rsidR="00816F02" w:rsidRPr="009415F5" w14:paraId="57C6FC04" w14:textId="77777777" w:rsidTr="00752F5B">
        <w:trPr>
          <w:gridBefore w:val="1"/>
          <w:wBefore w:w="294" w:type="dxa"/>
          <w:trHeight w:val="308"/>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58F55D42" w14:textId="77777777" w:rsidR="00816F02" w:rsidRPr="009415F5" w:rsidRDefault="00816F02" w:rsidP="00306FA8">
            <w:pPr>
              <w:keepNext/>
              <w:spacing w:after="0"/>
              <w:ind w:left="144"/>
              <w:jc w:val="left"/>
              <w:rPr>
                <w:rFonts w:cs="Arial"/>
                <w:sz w:val="19"/>
                <w:szCs w:val="19"/>
              </w:rPr>
            </w:pPr>
            <w:r w:rsidRPr="009415F5">
              <w:rPr>
                <w:rFonts w:cs="Arial"/>
                <w:sz w:val="19"/>
                <w:szCs w:val="19"/>
              </w:rPr>
              <w:t>Stage I</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5807A4F0" w14:textId="77777777" w:rsidR="00816F02" w:rsidRPr="009415F5" w:rsidRDefault="00816F02" w:rsidP="00306FA8">
            <w:pPr>
              <w:keepNext/>
              <w:spacing w:after="0"/>
              <w:rPr>
                <w:rFonts w:cs="Arial"/>
                <w:sz w:val="19"/>
                <w:szCs w:val="19"/>
              </w:rPr>
            </w:pPr>
            <w:r w:rsidRPr="009415F5">
              <w:rPr>
                <w:rFonts w:cs="Arial"/>
                <w:sz w:val="19"/>
                <w:szCs w:val="19"/>
              </w:rPr>
              <w:t>1 (1%)</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384F5D9C" w14:textId="77777777" w:rsidR="00816F02" w:rsidRPr="009415F5" w:rsidRDefault="00816F02" w:rsidP="00306FA8">
            <w:pPr>
              <w:keepNext/>
              <w:spacing w:after="0"/>
              <w:rPr>
                <w:rFonts w:cs="Arial"/>
                <w:sz w:val="19"/>
                <w:szCs w:val="19"/>
              </w:rPr>
            </w:pPr>
            <w:r w:rsidRPr="009415F5">
              <w:rPr>
                <w:rFonts w:cs="Arial"/>
                <w:sz w:val="19"/>
                <w:szCs w:val="19"/>
              </w:rPr>
              <w:t>5 (3%)</w:t>
            </w:r>
          </w:p>
        </w:tc>
      </w:tr>
      <w:tr w:rsidR="00816F02" w:rsidRPr="009415F5" w14:paraId="3F43C0BF" w14:textId="77777777" w:rsidTr="00752F5B">
        <w:trPr>
          <w:gridBefore w:val="1"/>
          <w:wBefore w:w="294" w:type="dxa"/>
          <w:trHeight w:val="308"/>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07BF1733" w14:textId="77777777" w:rsidR="00816F02" w:rsidRPr="009415F5" w:rsidRDefault="00816F02" w:rsidP="00306FA8">
            <w:pPr>
              <w:keepNext/>
              <w:spacing w:after="0"/>
              <w:ind w:left="144"/>
              <w:jc w:val="left"/>
              <w:rPr>
                <w:rFonts w:cs="Arial"/>
                <w:sz w:val="19"/>
                <w:szCs w:val="19"/>
              </w:rPr>
            </w:pPr>
            <w:r w:rsidRPr="009415F5">
              <w:rPr>
                <w:rFonts w:cs="Arial"/>
                <w:sz w:val="19"/>
                <w:szCs w:val="19"/>
              </w:rPr>
              <w:t>Stage II</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48E9A8AA" w14:textId="77777777" w:rsidR="00816F02" w:rsidRPr="009415F5" w:rsidRDefault="00816F02" w:rsidP="00306FA8">
            <w:pPr>
              <w:keepNext/>
              <w:spacing w:after="0"/>
              <w:rPr>
                <w:rFonts w:cs="Arial"/>
                <w:sz w:val="19"/>
                <w:szCs w:val="19"/>
              </w:rPr>
            </w:pPr>
            <w:r w:rsidRPr="009415F5">
              <w:rPr>
                <w:rFonts w:cs="Arial"/>
                <w:sz w:val="19"/>
                <w:szCs w:val="19"/>
              </w:rPr>
              <w:t>73 (44%)</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46F850E2" w14:textId="77777777" w:rsidR="00816F02" w:rsidRPr="009415F5" w:rsidRDefault="00816F02" w:rsidP="00306FA8">
            <w:pPr>
              <w:keepNext/>
              <w:spacing w:after="0"/>
              <w:rPr>
                <w:rFonts w:cs="Arial"/>
                <w:sz w:val="19"/>
                <w:szCs w:val="19"/>
              </w:rPr>
            </w:pPr>
            <w:r w:rsidRPr="009415F5">
              <w:rPr>
                <w:rFonts w:cs="Arial"/>
                <w:sz w:val="19"/>
                <w:szCs w:val="19"/>
              </w:rPr>
              <w:t>61 (37%)</w:t>
            </w:r>
          </w:p>
        </w:tc>
      </w:tr>
      <w:tr w:rsidR="00816F02" w:rsidRPr="009415F5" w14:paraId="1E6BBE08" w14:textId="77777777" w:rsidTr="00752F5B">
        <w:trPr>
          <w:gridBefore w:val="1"/>
          <w:wBefore w:w="294" w:type="dxa"/>
          <w:trHeight w:val="308"/>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54646A4" w14:textId="77777777" w:rsidR="00816F02" w:rsidRPr="009415F5" w:rsidRDefault="00816F02" w:rsidP="00306FA8">
            <w:pPr>
              <w:keepNext/>
              <w:spacing w:after="0"/>
              <w:ind w:left="144"/>
              <w:jc w:val="left"/>
              <w:rPr>
                <w:rFonts w:cs="Arial"/>
                <w:sz w:val="19"/>
                <w:szCs w:val="19"/>
              </w:rPr>
            </w:pPr>
            <w:r w:rsidRPr="009415F5">
              <w:rPr>
                <w:rFonts w:cs="Arial"/>
                <w:sz w:val="19"/>
                <w:szCs w:val="19"/>
              </w:rPr>
              <w:t>Stage III</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1410C099" w14:textId="77777777" w:rsidR="00816F02" w:rsidRPr="009415F5" w:rsidRDefault="00816F02" w:rsidP="00306FA8">
            <w:pPr>
              <w:keepNext/>
              <w:spacing w:after="0"/>
              <w:rPr>
                <w:rFonts w:cs="Arial"/>
                <w:sz w:val="19"/>
                <w:szCs w:val="19"/>
              </w:rPr>
            </w:pPr>
            <w:r w:rsidRPr="009415F5">
              <w:rPr>
                <w:rFonts w:cs="Arial"/>
                <w:sz w:val="19"/>
                <w:szCs w:val="19"/>
              </w:rPr>
              <w:t>48 (29%)</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61B957D7" w14:textId="77777777" w:rsidR="00816F02" w:rsidRPr="009415F5" w:rsidRDefault="00816F02" w:rsidP="00306FA8">
            <w:pPr>
              <w:keepNext/>
              <w:spacing w:after="0"/>
              <w:rPr>
                <w:rFonts w:cs="Arial"/>
                <w:sz w:val="19"/>
                <w:szCs w:val="19"/>
              </w:rPr>
            </w:pPr>
            <w:r w:rsidRPr="009415F5">
              <w:rPr>
                <w:rFonts w:cs="Arial"/>
                <w:sz w:val="19"/>
                <w:szCs w:val="19"/>
              </w:rPr>
              <w:t>45 (27%)</w:t>
            </w:r>
          </w:p>
        </w:tc>
      </w:tr>
      <w:tr w:rsidR="00816F02" w:rsidRPr="009415F5" w14:paraId="7751AE65" w14:textId="77777777" w:rsidTr="00752F5B">
        <w:trPr>
          <w:gridBefore w:val="1"/>
          <w:wBefore w:w="294" w:type="dxa"/>
          <w:trHeight w:val="308"/>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665F41A" w14:textId="77777777" w:rsidR="00816F02" w:rsidRPr="009415F5" w:rsidRDefault="00816F02" w:rsidP="00306FA8">
            <w:pPr>
              <w:keepNext/>
              <w:spacing w:after="0"/>
              <w:ind w:left="144"/>
              <w:jc w:val="left"/>
              <w:rPr>
                <w:rFonts w:cs="Arial"/>
                <w:sz w:val="19"/>
                <w:szCs w:val="19"/>
              </w:rPr>
            </w:pPr>
            <w:r w:rsidRPr="009415F5">
              <w:rPr>
                <w:rFonts w:cs="Arial"/>
                <w:sz w:val="19"/>
                <w:szCs w:val="19"/>
              </w:rPr>
              <w:t>Stage IV</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30524FF4" w14:textId="77777777" w:rsidR="00816F02" w:rsidRPr="009415F5" w:rsidRDefault="00816F02" w:rsidP="00306FA8">
            <w:pPr>
              <w:keepNext/>
              <w:spacing w:after="0"/>
              <w:rPr>
                <w:rFonts w:cs="Arial"/>
                <w:sz w:val="19"/>
                <w:szCs w:val="19"/>
              </w:rPr>
            </w:pPr>
            <w:r w:rsidRPr="009415F5">
              <w:rPr>
                <w:rFonts w:cs="Arial"/>
                <w:sz w:val="19"/>
                <w:szCs w:val="19"/>
              </w:rPr>
              <w:t>43 (26%)</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60D21A8E" w14:textId="77777777" w:rsidR="00816F02" w:rsidRPr="009415F5" w:rsidRDefault="00816F02" w:rsidP="00306FA8">
            <w:pPr>
              <w:keepNext/>
              <w:spacing w:after="0"/>
              <w:rPr>
                <w:rFonts w:cs="Arial"/>
                <w:sz w:val="19"/>
                <w:szCs w:val="19"/>
              </w:rPr>
            </w:pPr>
            <w:r w:rsidRPr="009415F5">
              <w:rPr>
                <w:rFonts w:cs="Arial"/>
                <w:sz w:val="19"/>
                <w:szCs w:val="19"/>
              </w:rPr>
              <w:t>51 (31%)</w:t>
            </w:r>
          </w:p>
        </w:tc>
      </w:tr>
      <w:tr w:rsidR="00816F02" w:rsidRPr="009415F5" w14:paraId="671A3674" w14:textId="77777777" w:rsidTr="00752F5B">
        <w:trPr>
          <w:gridBefore w:val="1"/>
          <w:wBefore w:w="294" w:type="dxa"/>
          <w:trHeight w:val="308"/>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139C5FB7" w14:textId="77777777" w:rsidR="00816F02" w:rsidRPr="009415F5" w:rsidRDefault="00816F02" w:rsidP="00306FA8">
            <w:pPr>
              <w:keepNext/>
              <w:spacing w:after="0"/>
              <w:ind w:left="144"/>
              <w:jc w:val="left"/>
              <w:rPr>
                <w:rFonts w:cs="Arial"/>
                <w:sz w:val="19"/>
                <w:szCs w:val="19"/>
              </w:rPr>
            </w:pPr>
            <w:r w:rsidRPr="009415F5">
              <w:rPr>
                <w:rFonts w:cs="Arial"/>
                <w:sz w:val="19"/>
                <w:szCs w:val="19"/>
              </w:rPr>
              <w:t>Unknown</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7110AF3E" w14:textId="77777777" w:rsidR="00816F02" w:rsidRPr="009415F5" w:rsidRDefault="00816F02" w:rsidP="00306FA8">
            <w:pPr>
              <w:keepNext/>
              <w:spacing w:after="0"/>
              <w:rPr>
                <w:rFonts w:cs="Arial"/>
                <w:sz w:val="19"/>
                <w:szCs w:val="19"/>
              </w:rPr>
            </w:pPr>
            <w:r w:rsidRPr="009415F5">
              <w:rPr>
                <w:rFonts w:cs="Arial"/>
                <w:sz w:val="19"/>
                <w:szCs w:val="19"/>
              </w:rPr>
              <w:t>0</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81FCD78" w14:textId="77777777" w:rsidR="00816F02" w:rsidRPr="009415F5" w:rsidRDefault="00816F02" w:rsidP="00306FA8">
            <w:pPr>
              <w:keepNext/>
              <w:spacing w:after="0"/>
              <w:rPr>
                <w:rFonts w:cs="Arial"/>
                <w:sz w:val="19"/>
                <w:szCs w:val="19"/>
              </w:rPr>
            </w:pPr>
            <w:r w:rsidRPr="009415F5">
              <w:rPr>
                <w:rFonts w:cs="Arial"/>
                <w:sz w:val="19"/>
                <w:szCs w:val="19"/>
              </w:rPr>
              <w:t>2 (1%)</w:t>
            </w:r>
          </w:p>
        </w:tc>
      </w:tr>
      <w:tr w:rsidR="00816F02" w:rsidRPr="009415F5" w14:paraId="06B2AA1D" w14:textId="77777777" w:rsidTr="00752F5B">
        <w:trPr>
          <w:gridBefore w:val="1"/>
          <w:wBefore w:w="294" w:type="dxa"/>
          <w:trHeight w:val="308"/>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73A7F361" w14:textId="77777777" w:rsidR="00816F02" w:rsidRPr="009415F5" w:rsidRDefault="00816F02" w:rsidP="00306FA8">
            <w:pPr>
              <w:keepNext/>
              <w:spacing w:after="0"/>
              <w:jc w:val="left"/>
              <w:rPr>
                <w:rFonts w:cs="Arial"/>
                <w:sz w:val="19"/>
                <w:szCs w:val="19"/>
              </w:rPr>
            </w:pPr>
            <w:r w:rsidRPr="009415F5">
              <w:rPr>
                <w:rFonts w:cs="Arial"/>
                <w:sz w:val="19"/>
                <w:szCs w:val="19"/>
              </w:rPr>
              <w:t>PET scan Status prior to ASCT</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0D30B804" w14:textId="77777777" w:rsidR="00816F02" w:rsidRPr="009415F5" w:rsidRDefault="00816F02" w:rsidP="00306FA8">
            <w:pPr>
              <w:keepNext/>
              <w:spacing w:after="0"/>
              <w:rPr>
                <w:rFonts w:cs="Arial"/>
                <w:sz w:val="19"/>
                <w:szCs w:val="19"/>
              </w:rPr>
            </w:pP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1103AF6" w14:textId="77777777" w:rsidR="00816F02" w:rsidRPr="009415F5" w:rsidRDefault="00816F02" w:rsidP="00306FA8">
            <w:pPr>
              <w:keepNext/>
              <w:spacing w:after="0"/>
              <w:rPr>
                <w:rFonts w:cs="Arial"/>
                <w:sz w:val="19"/>
                <w:szCs w:val="19"/>
              </w:rPr>
            </w:pPr>
          </w:p>
        </w:tc>
      </w:tr>
      <w:tr w:rsidR="00816F02" w:rsidRPr="009415F5" w14:paraId="01A1C3EA" w14:textId="77777777" w:rsidTr="00752F5B">
        <w:trPr>
          <w:gridBefore w:val="1"/>
          <w:wBefore w:w="294" w:type="dxa"/>
          <w:trHeight w:val="308"/>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0F34DD99" w14:textId="77777777" w:rsidR="00816F02" w:rsidRPr="009415F5" w:rsidRDefault="00816F02" w:rsidP="00306FA8">
            <w:pPr>
              <w:keepNext/>
              <w:spacing w:after="0"/>
              <w:ind w:left="144"/>
              <w:jc w:val="left"/>
              <w:rPr>
                <w:rFonts w:cs="Arial"/>
                <w:sz w:val="19"/>
                <w:szCs w:val="19"/>
              </w:rPr>
            </w:pPr>
            <w:r w:rsidRPr="009415F5">
              <w:rPr>
                <w:rFonts w:cs="Arial"/>
                <w:sz w:val="19"/>
                <w:szCs w:val="19"/>
              </w:rPr>
              <w:t>FDG-AVID</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7A25FFDC" w14:textId="77777777" w:rsidR="00816F02" w:rsidRPr="009415F5" w:rsidRDefault="00816F02" w:rsidP="00306FA8">
            <w:pPr>
              <w:keepNext/>
              <w:spacing w:after="0"/>
              <w:rPr>
                <w:rFonts w:cs="Arial"/>
                <w:sz w:val="19"/>
                <w:szCs w:val="19"/>
              </w:rPr>
            </w:pPr>
            <w:r w:rsidRPr="009415F5">
              <w:rPr>
                <w:rFonts w:cs="Arial"/>
                <w:sz w:val="19"/>
                <w:szCs w:val="19"/>
              </w:rPr>
              <w:t>64 (39%)</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1ED58D7D" w14:textId="77777777" w:rsidR="00816F02" w:rsidRPr="009415F5" w:rsidRDefault="00816F02" w:rsidP="00306FA8">
            <w:pPr>
              <w:keepNext/>
              <w:spacing w:after="0"/>
              <w:rPr>
                <w:rFonts w:cs="Arial"/>
                <w:sz w:val="19"/>
                <w:szCs w:val="19"/>
              </w:rPr>
            </w:pPr>
            <w:r w:rsidRPr="009415F5">
              <w:rPr>
                <w:rFonts w:cs="Arial"/>
                <w:sz w:val="19"/>
                <w:szCs w:val="19"/>
              </w:rPr>
              <w:t>51 (31%)</w:t>
            </w:r>
          </w:p>
        </w:tc>
      </w:tr>
      <w:tr w:rsidR="00816F02" w:rsidRPr="009415F5" w14:paraId="666D243D" w14:textId="77777777" w:rsidTr="00752F5B">
        <w:trPr>
          <w:gridBefore w:val="1"/>
          <w:wBefore w:w="294" w:type="dxa"/>
          <w:trHeight w:val="308"/>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35E590C5" w14:textId="77777777" w:rsidR="00816F02" w:rsidRPr="009415F5" w:rsidRDefault="00816F02" w:rsidP="00306FA8">
            <w:pPr>
              <w:keepNext/>
              <w:spacing w:after="0"/>
              <w:ind w:left="144"/>
              <w:jc w:val="left"/>
              <w:rPr>
                <w:rFonts w:cs="Arial"/>
                <w:sz w:val="19"/>
                <w:szCs w:val="19"/>
              </w:rPr>
            </w:pPr>
            <w:r w:rsidRPr="009415F5">
              <w:rPr>
                <w:rFonts w:cs="Arial"/>
                <w:sz w:val="19"/>
                <w:szCs w:val="19"/>
              </w:rPr>
              <w:t>FDG-NEGATIVE</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42EFA837" w14:textId="77777777" w:rsidR="00816F02" w:rsidRPr="009415F5" w:rsidRDefault="00816F02" w:rsidP="00306FA8">
            <w:pPr>
              <w:keepNext/>
              <w:spacing w:after="0"/>
              <w:rPr>
                <w:rFonts w:cs="Arial"/>
                <w:sz w:val="19"/>
                <w:szCs w:val="19"/>
              </w:rPr>
            </w:pPr>
            <w:r w:rsidRPr="009415F5">
              <w:rPr>
                <w:rFonts w:cs="Arial"/>
                <w:sz w:val="19"/>
                <w:szCs w:val="19"/>
              </w:rPr>
              <w:t>56 (34%)</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7F151254" w14:textId="77777777" w:rsidR="00816F02" w:rsidRPr="009415F5" w:rsidRDefault="00816F02" w:rsidP="00306FA8">
            <w:pPr>
              <w:keepNext/>
              <w:spacing w:after="0"/>
              <w:rPr>
                <w:rFonts w:cs="Arial"/>
                <w:sz w:val="19"/>
                <w:szCs w:val="19"/>
              </w:rPr>
            </w:pPr>
            <w:r w:rsidRPr="009415F5">
              <w:rPr>
                <w:rFonts w:cs="Arial"/>
                <w:sz w:val="19"/>
                <w:szCs w:val="19"/>
              </w:rPr>
              <w:t>57 (35%)</w:t>
            </w:r>
          </w:p>
        </w:tc>
      </w:tr>
      <w:tr w:rsidR="00816F02" w:rsidRPr="009415F5" w14:paraId="18B637AB" w14:textId="77777777" w:rsidTr="00752F5B">
        <w:trPr>
          <w:gridBefore w:val="1"/>
          <w:wBefore w:w="294" w:type="dxa"/>
          <w:trHeight w:val="308"/>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04141E97" w14:textId="77777777" w:rsidR="00816F02" w:rsidRPr="009415F5" w:rsidRDefault="00816F02" w:rsidP="00306FA8">
            <w:pPr>
              <w:keepNext/>
              <w:spacing w:after="0"/>
              <w:ind w:left="144"/>
              <w:jc w:val="left"/>
              <w:rPr>
                <w:rFonts w:cs="Arial"/>
                <w:sz w:val="19"/>
                <w:szCs w:val="19"/>
              </w:rPr>
            </w:pPr>
            <w:r w:rsidRPr="009415F5">
              <w:rPr>
                <w:rFonts w:cs="Arial"/>
                <w:sz w:val="19"/>
                <w:szCs w:val="19"/>
              </w:rPr>
              <w:t>NOT DONE</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12E645F3" w14:textId="77777777" w:rsidR="00816F02" w:rsidRPr="009415F5" w:rsidRDefault="00816F02" w:rsidP="00306FA8">
            <w:pPr>
              <w:keepNext/>
              <w:spacing w:after="0"/>
              <w:rPr>
                <w:rFonts w:cs="Arial"/>
                <w:sz w:val="19"/>
                <w:szCs w:val="19"/>
              </w:rPr>
            </w:pPr>
            <w:r w:rsidRPr="009415F5">
              <w:rPr>
                <w:rFonts w:cs="Arial"/>
                <w:sz w:val="19"/>
                <w:szCs w:val="19"/>
              </w:rPr>
              <w:t>45 (27%)</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7162C82" w14:textId="77777777" w:rsidR="00816F02" w:rsidRPr="009415F5" w:rsidRDefault="00816F02" w:rsidP="00306FA8">
            <w:pPr>
              <w:keepNext/>
              <w:spacing w:after="0"/>
              <w:rPr>
                <w:rFonts w:cs="Arial"/>
                <w:sz w:val="19"/>
                <w:szCs w:val="19"/>
              </w:rPr>
            </w:pPr>
            <w:r w:rsidRPr="009415F5">
              <w:rPr>
                <w:rFonts w:cs="Arial"/>
                <w:sz w:val="19"/>
                <w:szCs w:val="19"/>
              </w:rPr>
              <w:t>56 (34%)</w:t>
            </w:r>
          </w:p>
        </w:tc>
      </w:tr>
      <w:tr w:rsidR="00816F02" w:rsidRPr="009415F5" w14:paraId="236D227D" w14:textId="77777777" w:rsidTr="00752F5B">
        <w:trPr>
          <w:gridBefore w:val="1"/>
          <w:wBefore w:w="294" w:type="dxa"/>
          <w:trHeight w:val="317"/>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18256B1" w14:textId="77777777" w:rsidR="00816F02" w:rsidRPr="009415F5" w:rsidRDefault="00816F02" w:rsidP="00306FA8">
            <w:pPr>
              <w:keepNext/>
              <w:spacing w:after="0"/>
              <w:jc w:val="left"/>
              <w:rPr>
                <w:rFonts w:cs="Arial"/>
                <w:sz w:val="19"/>
                <w:szCs w:val="19"/>
              </w:rPr>
            </w:pPr>
            <w:proofErr w:type="spellStart"/>
            <w:r w:rsidRPr="009415F5">
              <w:rPr>
                <w:rFonts w:cs="Arial"/>
                <w:sz w:val="19"/>
                <w:szCs w:val="19"/>
              </w:rPr>
              <w:t>Extranodal</w:t>
            </w:r>
            <w:proofErr w:type="spellEnd"/>
            <w:r w:rsidRPr="009415F5">
              <w:rPr>
                <w:rFonts w:cs="Arial"/>
                <w:sz w:val="19"/>
                <w:szCs w:val="19"/>
              </w:rPr>
              <w:t xml:space="preserve"> involvement at time of pre-ASCT relapse</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044874A" w14:textId="77777777" w:rsidR="00816F02" w:rsidRPr="009415F5" w:rsidRDefault="00816F02" w:rsidP="00306FA8">
            <w:pPr>
              <w:keepNext/>
              <w:spacing w:after="0"/>
              <w:rPr>
                <w:rFonts w:cs="Arial"/>
                <w:sz w:val="19"/>
                <w:szCs w:val="19"/>
              </w:rPr>
            </w:pPr>
            <w:r w:rsidRPr="009415F5">
              <w:rPr>
                <w:rFonts w:cs="Arial"/>
                <w:sz w:val="19"/>
                <w:szCs w:val="19"/>
              </w:rPr>
              <w:t>54 (33%)</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0006E433" w14:textId="77777777" w:rsidR="00816F02" w:rsidRPr="009415F5" w:rsidRDefault="00816F02" w:rsidP="00306FA8">
            <w:pPr>
              <w:keepNext/>
              <w:spacing w:after="0"/>
              <w:rPr>
                <w:rFonts w:cs="Arial"/>
                <w:sz w:val="19"/>
                <w:szCs w:val="19"/>
              </w:rPr>
            </w:pPr>
            <w:r w:rsidRPr="009415F5">
              <w:rPr>
                <w:rFonts w:cs="Arial"/>
                <w:sz w:val="19"/>
                <w:szCs w:val="19"/>
              </w:rPr>
              <w:t>53 (32%)</w:t>
            </w:r>
          </w:p>
        </w:tc>
      </w:tr>
      <w:tr w:rsidR="00816F02" w:rsidRPr="009415F5" w14:paraId="2E0E12C1" w14:textId="77777777" w:rsidTr="00752F5B">
        <w:trPr>
          <w:gridBefore w:val="1"/>
          <w:wBefore w:w="294" w:type="dxa"/>
          <w:trHeight w:val="335"/>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CD0E476" w14:textId="77777777" w:rsidR="00816F02" w:rsidRPr="009415F5" w:rsidRDefault="00816F02" w:rsidP="00306FA8">
            <w:pPr>
              <w:keepNext/>
              <w:spacing w:after="0"/>
              <w:jc w:val="left"/>
              <w:rPr>
                <w:rFonts w:cs="Arial"/>
                <w:sz w:val="19"/>
                <w:szCs w:val="19"/>
              </w:rPr>
            </w:pPr>
            <w:r w:rsidRPr="009415F5">
              <w:rPr>
                <w:rFonts w:cs="Arial"/>
                <w:sz w:val="19"/>
                <w:szCs w:val="19"/>
              </w:rPr>
              <w:t xml:space="preserve">B symptoms after failure of frontline </w:t>
            </w:r>
            <w:proofErr w:type="spellStart"/>
            <w:r w:rsidRPr="009415F5">
              <w:rPr>
                <w:rFonts w:cs="Arial"/>
                <w:sz w:val="19"/>
                <w:szCs w:val="19"/>
              </w:rPr>
              <w:t>therapy</w:t>
            </w:r>
            <w:r w:rsidRPr="009415F5">
              <w:rPr>
                <w:rFonts w:cs="Arial"/>
                <w:sz w:val="19"/>
                <w:szCs w:val="19"/>
                <w:vertAlign w:val="superscript"/>
              </w:rPr>
              <w:t>a</w:t>
            </w:r>
            <w:proofErr w:type="spellEnd"/>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64D95C2E" w14:textId="77777777" w:rsidR="00816F02" w:rsidRPr="009415F5" w:rsidRDefault="00816F02" w:rsidP="00306FA8">
            <w:pPr>
              <w:keepNext/>
              <w:spacing w:after="0"/>
              <w:rPr>
                <w:rFonts w:cs="Arial"/>
                <w:sz w:val="19"/>
                <w:szCs w:val="19"/>
              </w:rPr>
            </w:pPr>
            <w:r w:rsidRPr="009415F5">
              <w:rPr>
                <w:rFonts w:cs="Arial"/>
                <w:sz w:val="19"/>
                <w:szCs w:val="19"/>
              </w:rPr>
              <w:t>47 (28%)</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01B23E56" w14:textId="77777777" w:rsidR="00816F02" w:rsidRPr="009415F5" w:rsidRDefault="00816F02" w:rsidP="00306FA8">
            <w:pPr>
              <w:keepNext/>
              <w:spacing w:after="0"/>
              <w:rPr>
                <w:rFonts w:cs="Arial"/>
                <w:sz w:val="19"/>
                <w:szCs w:val="19"/>
              </w:rPr>
            </w:pPr>
            <w:r w:rsidRPr="009415F5">
              <w:rPr>
                <w:rFonts w:cs="Arial"/>
                <w:sz w:val="19"/>
                <w:szCs w:val="19"/>
              </w:rPr>
              <w:t>40 (24%)</w:t>
            </w:r>
          </w:p>
        </w:tc>
      </w:tr>
      <w:tr w:rsidR="00816F02" w:rsidRPr="009415F5" w14:paraId="674BC124" w14:textId="77777777" w:rsidTr="00752F5B">
        <w:trPr>
          <w:gridBefore w:val="1"/>
          <w:wBefore w:w="294" w:type="dxa"/>
          <w:trHeight w:val="317"/>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6CF241B7" w14:textId="77777777" w:rsidR="00816F02" w:rsidRPr="009415F5" w:rsidRDefault="00816F02" w:rsidP="00306FA8">
            <w:pPr>
              <w:keepNext/>
              <w:spacing w:after="0"/>
              <w:jc w:val="left"/>
              <w:rPr>
                <w:rFonts w:cs="Arial"/>
                <w:sz w:val="19"/>
                <w:szCs w:val="19"/>
              </w:rPr>
            </w:pPr>
            <w:r w:rsidRPr="009415F5">
              <w:rPr>
                <w:rFonts w:cs="Arial"/>
                <w:sz w:val="19"/>
                <w:szCs w:val="19"/>
              </w:rPr>
              <w:t>Best response to salvage therapy pre-</w:t>
            </w:r>
            <w:proofErr w:type="spellStart"/>
            <w:r w:rsidRPr="009415F5">
              <w:rPr>
                <w:rFonts w:cs="Arial"/>
                <w:sz w:val="19"/>
                <w:szCs w:val="19"/>
              </w:rPr>
              <w:t>ASCT</w:t>
            </w:r>
            <w:r w:rsidRPr="009415F5">
              <w:rPr>
                <w:rFonts w:cs="Arial"/>
                <w:sz w:val="19"/>
                <w:szCs w:val="19"/>
                <w:vertAlign w:val="superscript"/>
              </w:rPr>
              <w:t>b</w:t>
            </w:r>
            <w:proofErr w:type="spellEnd"/>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4D004E4" w14:textId="77777777" w:rsidR="00816F02" w:rsidRPr="009415F5" w:rsidRDefault="00816F02" w:rsidP="00306FA8">
            <w:pPr>
              <w:keepNext/>
              <w:spacing w:after="0"/>
              <w:rPr>
                <w:rFonts w:cs="Arial"/>
                <w:sz w:val="19"/>
                <w:szCs w:val="19"/>
              </w:rPr>
            </w:pP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5B585899" w14:textId="77777777" w:rsidR="00816F02" w:rsidRPr="009415F5" w:rsidRDefault="00816F02" w:rsidP="00306FA8">
            <w:pPr>
              <w:keepNext/>
              <w:spacing w:after="0"/>
              <w:rPr>
                <w:rFonts w:cs="Arial"/>
                <w:sz w:val="19"/>
                <w:szCs w:val="19"/>
              </w:rPr>
            </w:pPr>
          </w:p>
        </w:tc>
      </w:tr>
      <w:tr w:rsidR="00816F02" w:rsidRPr="009415F5" w14:paraId="4B23635B" w14:textId="77777777" w:rsidTr="00752F5B">
        <w:trPr>
          <w:gridBefore w:val="1"/>
          <w:wBefore w:w="294" w:type="dxa"/>
          <w:trHeight w:val="317"/>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603D80EE" w14:textId="77777777" w:rsidR="00816F02" w:rsidRPr="009415F5" w:rsidRDefault="00816F02" w:rsidP="00306FA8">
            <w:pPr>
              <w:keepNext/>
              <w:spacing w:after="0"/>
              <w:ind w:left="144"/>
              <w:jc w:val="left"/>
              <w:rPr>
                <w:rFonts w:cs="Arial"/>
                <w:sz w:val="19"/>
                <w:szCs w:val="19"/>
              </w:rPr>
            </w:pPr>
            <w:r w:rsidRPr="009415F5">
              <w:rPr>
                <w:rFonts w:cs="Arial"/>
                <w:sz w:val="19"/>
                <w:szCs w:val="19"/>
              </w:rPr>
              <w:t>Complete Response</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32881828" w14:textId="77777777" w:rsidR="00816F02" w:rsidRPr="009415F5" w:rsidRDefault="00816F02" w:rsidP="00306FA8">
            <w:pPr>
              <w:keepNext/>
              <w:spacing w:after="0"/>
              <w:rPr>
                <w:rFonts w:cs="Arial"/>
                <w:sz w:val="19"/>
                <w:szCs w:val="19"/>
              </w:rPr>
            </w:pPr>
            <w:r w:rsidRPr="009415F5">
              <w:rPr>
                <w:rFonts w:cs="Arial"/>
                <w:sz w:val="19"/>
                <w:szCs w:val="19"/>
              </w:rPr>
              <w:t>61 (37%)</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A138D60" w14:textId="77777777" w:rsidR="00816F02" w:rsidRPr="009415F5" w:rsidRDefault="00816F02" w:rsidP="00306FA8">
            <w:pPr>
              <w:keepNext/>
              <w:spacing w:after="0"/>
              <w:rPr>
                <w:rFonts w:cs="Arial"/>
                <w:sz w:val="19"/>
                <w:szCs w:val="19"/>
              </w:rPr>
            </w:pPr>
            <w:r w:rsidRPr="009415F5">
              <w:rPr>
                <w:rFonts w:cs="Arial"/>
                <w:sz w:val="19"/>
                <w:szCs w:val="19"/>
              </w:rPr>
              <w:t>62 (38%)</w:t>
            </w:r>
          </w:p>
        </w:tc>
      </w:tr>
      <w:tr w:rsidR="00816F02" w:rsidRPr="009415F5" w14:paraId="1F15ECB3" w14:textId="77777777" w:rsidTr="00752F5B">
        <w:trPr>
          <w:gridBefore w:val="1"/>
          <w:wBefore w:w="294" w:type="dxa"/>
          <w:trHeight w:val="317"/>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7A77ED7" w14:textId="77777777" w:rsidR="00816F02" w:rsidRPr="009415F5" w:rsidRDefault="00816F02" w:rsidP="00306FA8">
            <w:pPr>
              <w:keepNext/>
              <w:spacing w:after="0"/>
              <w:ind w:left="144"/>
              <w:jc w:val="left"/>
              <w:rPr>
                <w:rFonts w:cs="Arial"/>
                <w:sz w:val="19"/>
                <w:szCs w:val="19"/>
              </w:rPr>
            </w:pPr>
            <w:r w:rsidRPr="009415F5">
              <w:rPr>
                <w:rFonts w:cs="Arial"/>
                <w:sz w:val="19"/>
                <w:szCs w:val="19"/>
              </w:rPr>
              <w:t>Partial Response</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5FB9BD58" w14:textId="77777777" w:rsidR="00816F02" w:rsidRPr="009415F5" w:rsidRDefault="00816F02" w:rsidP="00306FA8">
            <w:pPr>
              <w:keepNext/>
              <w:spacing w:after="0"/>
              <w:rPr>
                <w:rFonts w:cs="Arial"/>
                <w:sz w:val="19"/>
                <w:szCs w:val="19"/>
              </w:rPr>
            </w:pPr>
            <w:r w:rsidRPr="009415F5">
              <w:rPr>
                <w:rFonts w:cs="Arial"/>
                <w:sz w:val="19"/>
                <w:szCs w:val="19"/>
              </w:rPr>
              <w:t>57 (35%)</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73A1BE7E" w14:textId="77777777" w:rsidR="00816F02" w:rsidRPr="009415F5" w:rsidRDefault="00816F02" w:rsidP="00306FA8">
            <w:pPr>
              <w:keepNext/>
              <w:spacing w:after="0"/>
              <w:rPr>
                <w:rFonts w:cs="Arial"/>
                <w:sz w:val="19"/>
                <w:szCs w:val="19"/>
              </w:rPr>
            </w:pPr>
            <w:r w:rsidRPr="009415F5">
              <w:rPr>
                <w:rFonts w:cs="Arial"/>
                <w:sz w:val="19"/>
                <w:szCs w:val="19"/>
              </w:rPr>
              <w:t>56 (34%)</w:t>
            </w:r>
          </w:p>
        </w:tc>
      </w:tr>
      <w:tr w:rsidR="00816F02" w:rsidRPr="009415F5" w14:paraId="65F9E874" w14:textId="77777777" w:rsidTr="00752F5B">
        <w:trPr>
          <w:gridBefore w:val="1"/>
          <w:wBefore w:w="294" w:type="dxa"/>
          <w:trHeight w:val="317"/>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7264B7F" w14:textId="77777777" w:rsidR="00816F02" w:rsidRPr="009415F5" w:rsidRDefault="00816F02" w:rsidP="00306FA8">
            <w:pPr>
              <w:keepNext/>
              <w:spacing w:after="0"/>
              <w:ind w:left="144"/>
              <w:jc w:val="left"/>
              <w:rPr>
                <w:rFonts w:cs="Arial"/>
                <w:sz w:val="19"/>
                <w:szCs w:val="19"/>
              </w:rPr>
            </w:pPr>
            <w:r w:rsidRPr="009415F5">
              <w:rPr>
                <w:rFonts w:cs="Arial"/>
                <w:sz w:val="19"/>
                <w:szCs w:val="19"/>
              </w:rPr>
              <w:t>Stable Response</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032B1105" w14:textId="77777777" w:rsidR="00816F02" w:rsidRPr="009415F5" w:rsidRDefault="00816F02" w:rsidP="00306FA8">
            <w:pPr>
              <w:keepNext/>
              <w:spacing w:after="0"/>
              <w:rPr>
                <w:rFonts w:cs="Arial"/>
                <w:sz w:val="19"/>
                <w:szCs w:val="19"/>
              </w:rPr>
            </w:pPr>
            <w:r w:rsidRPr="009415F5">
              <w:rPr>
                <w:rFonts w:cs="Arial"/>
                <w:sz w:val="19"/>
                <w:szCs w:val="19"/>
              </w:rPr>
              <w:t>47 (28%)</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2638A40A" w14:textId="77777777" w:rsidR="00816F02" w:rsidRPr="009415F5" w:rsidRDefault="00816F02" w:rsidP="00306FA8">
            <w:pPr>
              <w:keepNext/>
              <w:spacing w:after="0"/>
              <w:rPr>
                <w:rFonts w:cs="Arial"/>
                <w:sz w:val="19"/>
                <w:szCs w:val="19"/>
              </w:rPr>
            </w:pPr>
            <w:r w:rsidRPr="009415F5">
              <w:rPr>
                <w:rFonts w:cs="Arial"/>
                <w:sz w:val="19"/>
                <w:szCs w:val="19"/>
              </w:rPr>
              <w:t>46 (28%)</w:t>
            </w:r>
          </w:p>
        </w:tc>
      </w:tr>
      <w:tr w:rsidR="00816F02" w:rsidRPr="009415F5" w14:paraId="6BF6AE02" w14:textId="77777777" w:rsidTr="00752F5B">
        <w:trPr>
          <w:gridBefore w:val="1"/>
          <w:wBefore w:w="294" w:type="dxa"/>
          <w:trHeight w:val="317"/>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3F578C4C" w14:textId="77777777" w:rsidR="00816F02" w:rsidRPr="009415F5" w:rsidRDefault="00816F02" w:rsidP="00306FA8">
            <w:pPr>
              <w:keepNext/>
              <w:spacing w:after="0"/>
              <w:jc w:val="left"/>
              <w:rPr>
                <w:rFonts w:cs="Arial"/>
                <w:sz w:val="19"/>
                <w:szCs w:val="19"/>
              </w:rPr>
            </w:pPr>
            <w:r w:rsidRPr="009415F5">
              <w:rPr>
                <w:rFonts w:cs="Arial"/>
                <w:sz w:val="19"/>
                <w:szCs w:val="19"/>
              </w:rPr>
              <w:t xml:space="preserve">HL Status after the end of frontline standard </w:t>
            </w:r>
            <w:proofErr w:type="spellStart"/>
            <w:r w:rsidRPr="009415F5">
              <w:rPr>
                <w:rFonts w:cs="Arial"/>
                <w:sz w:val="19"/>
                <w:szCs w:val="19"/>
              </w:rPr>
              <w:t>chemotherapy</w:t>
            </w:r>
            <w:r w:rsidRPr="009415F5">
              <w:rPr>
                <w:rFonts w:cs="Arial"/>
                <w:sz w:val="19"/>
                <w:szCs w:val="19"/>
                <w:vertAlign w:val="superscript"/>
              </w:rPr>
              <w:t>b</w:t>
            </w:r>
            <w:proofErr w:type="spellEnd"/>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1CAE1781" w14:textId="77777777" w:rsidR="00816F02" w:rsidRPr="009415F5" w:rsidRDefault="00816F02" w:rsidP="00306FA8">
            <w:pPr>
              <w:keepNext/>
              <w:spacing w:after="0"/>
              <w:rPr>
                <w:rFonts w:cs="Arial"/>
                <w:sz w:val="19"/>
                <w:szCs w:val="19"/>
              </w:rPr>
            </w:pP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5DC865CF" w14:textId="77777777" w:rsidR="00816F02" w:rsidRPr="009415F5" w:rsidRDefault="00816F02" w:rsidP="00306FA8">
            <w:pPr>
              <w:keepNext/>
              <w:spacing w:after="0"/>
              <w:rPr>
                <w:rFonts w:cs="Arial"/>
                <w:sz w:val="19"/>
                <w:szCs w:val="19"/>
              </w:rPr>
            </w:pPr>
          </w:p>
        </w:tc>
      </w:tr>
      <w:tr w:rsidR="00816F02" w:rsidRPr="009415F5" w14:paraId="26B4241D" w14:textId="77777777" w:rsidTr="00752F5B">
        <w:trPr>
          <w:gridBefore w:val="1"/>
          <w:wBefore w:w="294" w:type="dxa"/>
          <w:trHeight w:val="317"/>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717E6D92" w14:textId="77777777" w:rsidR="00816F02" w:rsidRPr="009415F5" w:rsidRDefault="00816F02" w:rsidP="00306FA8">
            <w:pPr>
              <w:keepNext/>
              <w:spacing w:after="0"/>
              <w:ind w:left="144"/>
              <w:jc w:val="left"/>
              <w:rPr>
                <w:rFonts w:cs="Arial"/>
                <w:sz w:val="19"/>
                <w:szCs w:val="19"/>
              </w:rPr>
            </w:pPr>
            <w:r w:rsidRPr="009415F5">
              <w:rPr>
                <w:rFonts w:cs="Arial"/>
                <w:sz w:val="19"/>
                <w:szCs w:val="19"/>
              </w:rPr>
              <w:t>Refractory</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1A3E7B25" w14:textId="77777777" w:rsidR="00816F02" w:rsidRPr="009415F5" w:rsidRDefault="00816F02" w:rsidP="00306FA8">
            <w:pPr>
              <w:keepNext/>
              <w:spacing w:after="0"/>
              <w:rPr>
                <w:rFonts w:cs="Arial"/>
                <w:sz w:val="19"/>
                <w:szCs w:val="19"/>
              </w:rPr>
            </w:pPr>
            <w:r w:rsidRPr="009415F5">
              <w:rPr>
                <w:rFonts w:cs="Arial"/>
                <w:sz w:val="19"/>
                <w:szCs w:val="19"/>
              </w:rPr>
              <w:t>99 (60%)</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6A06ECB7" w14:textId="77777777" w:rsidR="00816F02" w:rsidRPr="009415F5" w:rsidRDefault="00816F02" w:rsidP="00306FA8">
            <w:pPr>
              <w:keepNext/>
              <w:spacing w:after="0"/>
              <w:rPr>
                <w:rFonts w:cs="Arial"/>
                <w:sz w:val="19"/>
                <w:szCs w:val="19"/>
              </w:rPr>
            </w:pPr>
            <w:r w:rsidRPr="009415F5">
              <w:rPr>
                <w:rFonts w:cs="Arial"/>
                <w:sz w:val="19"/>
                <w:szCs w:val="19"/>
              </w:rPr>
              <w:t>97 (59%)</w:t>
            </w:r>
          </w:p>
        </w:tc>
      </w:tr>
      <w:tr w:rsidR="00816F02" w:rsidRPr="009415F5" w14:paraId="76D49D0F" w14:textId="77777777" w:rsidTr="00752F5B">
        <w:trPr>
          <w:gridBefore w:val="1"/>
          <w:wBefore w:w="294" w:type="dxa"/>
          <w:trHeight w:val="317"/>
          <w:tblHeader/>
          <w:jc w:val="center"/>
        </w:trPr>
        <w:tc>
          <w:tcPr>
            <w:tcW w:w="2898"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67DA3B22" w14:textId="77777777" w:rsidR="00816F02" w:rsidRPr="009415F5" w:rsidRDefault="00816F02" w:rsidP="00306FA8">
            <w:pPr>
              <w:keepNext/>
              <w:spacing w:after="0"/>
              <w:ind w:left="144"/>
              <w:jc w:val="left"/>
              <w:rPr>
                <w:rFonts w:cs="Arial"/>
                <w:sz w:val="19"/>
                <w:szCs w:val="19"/>
              </w:rPr>
            </w:pPr>
            <w:r w:rsidRPr="009415F5">
              <w:rPr>
                <w:rFonts w:cs="Arial"/>
                <w:sz w:val="19"/>
                <w:szCs w:val="19"/>
              </w:rPr>
              <w:t>Relapse occurred &lt;12 months</w:t>
            </w:r>
          </w:p>
        </w:tc>
        <w:tc>
          <w:tcPr>
            <w:tcW w:w="2340"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3A1B75F2" w14:textId="77777777" w:rsidR="00816F02" w:rsidRPr="009415F5" w:rsidRDefault="00816F02" w:rsidP="00306FA8">
            <w:pPr>
              <w:keepNext/>
              <w:spacing w:after="0"/>
              <w:rPr>
                <w:rFonts w:cs="Arial"/>
                <w:sz w:val="19"/>
                <w:szCs w:val="19"/>
              </w:rPr>
            </w:pPr>
            <w:r w:rsidRPr="009415F5">
              <w:rPr>
                <w:rFonts w:cs="Arial"/>
                <w:sz w:val="19"/>
                <w:szCs w:val="19"/>
              </w:rPr>
              <w:t>53 (32%)</w:t>
            </w:r>
          </w:p>
        </w:tc>
        <w:tc>
          <w:tcPr>
            <w:tcW w:w="2322" w:type="dxa"/>
            <w:tcBorders>
              <w:top w:val="single" w:sz="8" w:space="0" w:color="FFFFFF"/>
              <w:left w:val="single" w:sz="8" w:space="0" w:color="FFFFFF"/>
              <w:bottom w:val="single" w:sz="8" w:space="0" w:color="FFFFFF"/>
              <w:right w:val="single" w:sz="8" w:space="0" w:color="FFFFFF"/>
            </w:tcBorders>
            <w:tcMar>
              <w:top w:w="14" w:type="dxa"/>
              <w:left w:w="108" w:type="dxa"/>
              <w:bottom w:w="0" w:type="dxa"/>
              <w:right w:w="108" w:type="dxa"/>
            </w:tcMar>
            <w:hideMark/>
          </w:tcPr>
          <w:p w14:paraId="4A88A2A6" w14:textId="77777777" w:rsidR="00816F02" w:rsidRPr="009415F5" w:rsidRDefault="00816F02" w:rsidP="00306FA8">
            <w:pPr>
              <w:keepNext/>
              <w:spacing w:after="0"/>
              <w:rPr>
                <w:rFonts w:cs="Arial"/>
                <w:sz w:val="19"/>
                <w:szCs w:val="19"/>
              </w:rPr>
            </w:pPr>
            <w:r w:rsidRPr="009415F5">
              <w:rPr>
                <w:rFonts w:cs="Arial"/>
                <w:sz w:val="19"/>
                <w:szCs w:val="19"/>
              </w:rPr>
              <w:t>54 (33%)</w:t>
            </w:r>
          </w:p>
        </w:tc>
      </w:tr>
      <w:tr w:rsidR="00816F02" w:rsidRPr="009415F5" w14:paraId="3DA6AAB5" w14:textId="77777777" w:rsidTr="00752F5B">
        <w:trPr>
          <w:gridBefore w:val="1"/>
          <w:wBefore w:w="294" w:type="dxa"/>
          <w:trHeight w:val="317"/>
          <w:tblHeader/>
          <w:jc w:val="center"/>
        </w:trPr>
        <w:tc>
          <w:tcPr>
            <w:tcW w:w="2898" w:type="dxa"/>
            <w:tcBorders>
              <w:top w:val="single" w:sz="8" w:space="0" w:color="FFFFFF"/>
              <w:left w:val="single" w:sz="8" w:space="0" w:color="FFFFFF"/>
              <w:bottom w:val="single" w:sz="8" w:space="0" w:color="000000"/>
              <w:right w:val="single" w:sz="8" w:space="0" w:color="FFFFFF"/>
            </w:tcBorders>
            <w:tcMar>
              <w:top w:w="14" w:type="dxa"/>
              <w:left w:w="108" w:type="dxa"/>
              <w:bottom w:w="0" w:type="dxa"/>
              <w:right w:w="108" w:type="dxa"/>
            </w:tcMar>
            <w:hideMark/>
          </w:tcPr>
          <w:p w14:paraId="559A31B9" w14:textId="77777777" w:rsidR="00816F02" w:rsidRPr="009415F5" w:rsidRDefault="00816F02" w:rsidP="00306FA8">
            <w:pPr>
              <w:keepNext/>
              <w:spacing w:after="0"/>
              <w:ind w:left="144"/>
              <w:jc w:val="left"/>
              <w:rPr>
                <w:rFonts w:cs="Arial"/>
                <w:sz w:val="19"/>
                <w:szCs w:val="19"/>
              </w:rPr>
            </w:pPr>
            <w:r w:rsidRPr="009415F5">
              <w:rPr>
                <w:rFonts w:cs="Arial"/>
                <w:sz w:val="19"/>
                <w:szCs w:val="19"/>
              </w:rPr>
              <w:t>Relapse occurred &gt;=12</w:t>
            </w:r>
          </w:p>
        </w:tc>
        <w:tc>
          <w:tcPr>
            <w:tcW w:w="2340" w:type="dxa"/>
            <w:tcBorders>
              <w:top w:val="single" w:sz="8" w:space="0" w:color="FFFFFF"/>
              <w:left w:val="single" w:sz="8" w:space="0" w:color="FFFFFF"/>
              <w:bottom w:val="single" w:sz="8" w:space="0" w:color="000000"/>
              <w:right w:val="single" w:sz="8" w:space="0" w:color="FFFFFF"/>
            </w:tcBorders>
            <w:tcMar>
              <w:top w:w="14" w:type="dxa"/>
              <w:left w:w="108" w:type="dxa"/>
              <w:bottom w:w="0" w:type="dxa"/>
              <w:right w:w="108" w:type="dxa"/>
            </w:tcMar>
            <w:hideMark/>
          </w:tcPr>
          <w:p w14:paraId="177267FE" w14:textId="77777777" w:rsidR="00816F02" w:rsidRPr="009415F5" w:rsidRDefault="00816F02" w:rsidP="00306FA8">
            <w:pPr>
              <w:keepNext/>
              <w:spacing w:after="0"/>
              <w:rPr>
                <w:rFonts w:cs="Arial"/>
                <w:sz w:val="19"/>
                <w:szCs w:val="19"/>
              </w:rPr>
            </w:pPr>
            <w:r w:rsidRPr="009415F5">
              <w:rPr>
                <w:rFonts w:cs="Arial"/>
                <w:sz w:val="19"/>
                <w:szCs w:val="19"/>
              </w:rPr>
              <w:t>13 (8%)</w:t>
            </w:r>
          </w:p>
        </w:tc>
        <w:tc>
          <w:tcPr>
            <w:tcW w:w="2322" w:type="dxa"/>
            <w:tcBorders>
              <w:top w:val="single" w:sz="8" w:space="0" w:color="FFFFFF"/>
              <w:left w:val="single" w:sz="8" w:space="0" w:color="FFFFFF"/>
              <w:bottom w:val="single" w:sz="8" w:space="0" w:color="000000"/>
              <w:right w:val="single" w:sz="8" w:space="0" w:color="FFFFFF"/>
            </w:tcBorders>
            <w:tcMar>
              <w:top w:w="14" w:type="dxa"/>
              <w:left w:w="108" w:type="dxa"/>
              <w:bottom w:w="0" w:type="dxa"/>
              <w:right w:w="108" w:type="dxa"/>
            </w:tcMar>
            <w:hideMark/>
          </w:tcPr>
          <w:p w14:paraId="1B0C3053" w14:textId="77777777" w:rsidR="00816F02" w:rsidRPr="009415F5" w:rsidRDefault="00816F02" w:rsidP="00306FA8">
            <w:pPr>
              <w:keepNext/>
              <w:spacing w:after="0"/>
              <w:rPr>
                <w:rFonts w:cs="Arial"/>
                <w:sz w:val="19"/>
                <w:szCs w:val="19"/>
              </w:rPr>
            </w:pPr>
            <w:r w:rsidRPr="009415F5">
              <w:rPr>
                <w:rFonts w:cs="Arial"/>
                <w:sz w:val="19"/>
                <w:szCs w:val="19"/>
              </w:rPr>
              <w:t>13 (8%)</w:t>
            </w:r>
          </w:p>
        </w:tc>
      </w:tr>
    </w:tbl>
    <w:p w14:paraId="3DEFB154" w14:textId="77777777" w:rsidR="007E07A3" w:rsidRPr="007E07A3" w:rsidRDefault="007E07A3" w:rsidP="0020750C">
      <w:pPr>
        <w:keepNext/>
        <w:spacing w:after="120"/>
        <w:rPr>
          <w:rFonts w:cs="Arial"/>
          <w:sz w:val="20"/>
        </w:rPr>
      </w:pPr>
      <w:r w:rsidRPr="007E07A3">
        <w:rPr>
          <w:rFonts w:cs="Arial"/>
          <w:sz w:val="20"/>
          <w:vertAlign w:val="superscript"/>
        </w:rPr>
        <w:t>a</w:t>
      </w:r>
      <w:r w:rsidRPr="007E07A3">
        <w:rPr>
          <w:rFonts w:cs="Arial"/>
          <w:sz w:val="20"/>
        </w:rPr>
        <w:t xml:space="preserve"> </w:t>
      </w:r>
      <w:proofErr w:type="gramStart"/>
      <w:r w:rsidRPr="007E07A3">
        <w:rPr>
          <w:rFonts w:cs="Arial"/>
          <w:sz w:val="20"/>
        </w:rPr>
        <w:t>For</w:t>
      </w:r>
      <w:proofErr w:type="gramEnd"/>
      <w:r w:rsidRPr="007E07A3">
        <w:rPr>
          <w:rFonts w:cs="Arial"/>
          <w:sz w:val="20"/>
        </w:rPr>
        <w:t> refractory disease, or upon progression or relapse after frontline therapy</w:t>
      </w:r>
    </w:p>
    <w:p w14:paraId="2F72B99C" w14:textId="57078538" w:rsidR="007E07A3" w:rsidRPr="007E07A3" w:rsidRDefault="007E07A3" w:rsidP="0020750C">
      <w:pPr>
        <w:keepNext/>
        <w:spacing w:after="120"/>
        <w:rPr>
          <w:rFonts w:cs="Arial"/>
          <w:sz w:val="20"/>
        </w:rPr>
      </w:pPr>
      <w:r w:rsidRPr="007E07A3">
        <w:rPr>
          <w:rFonts w:cs="Arial"/>
          <w:sz w:val="20"/>
          <w:vertAlign w:val="superscript"/>
        </w:rPr>
        <w:t>b</w:t>
      </w:r>
      <w:r w:rsidRPr="007E07A3">
        <w:rPr>
          <w:rFonts w:cs="Arial"/>
          <w:sz w:val="20"/>
        </w:rPr>
        <w:t xml:space="preserve"> Stratification factors at </w:t>
      </w:r>
      <w:r w:rsidR="00C8385E" w:rsidRPr="007E07A3">
        <w:rPr>
          <w:rFonts w:cs="Arial"/>
          <w:sz w:val="20"/>
        </w:rPr>
        <w:t>randomi</w:t>
      </w:r>
      <w:r w:rsidR="00C8385E">
        <w:rPr>
          <w:rFonts w:cs="Arial"/>
          <w:sz w:val="20"/>
        </w:rPr>
        <w:t>s</w:t>
      </w:r>
      <w:r w:rsidR="00C8385E" w:rsidRPr="007E07A3">
        <w:rPr>
          <w:rFonts w:cs="Arial"/>
          <w:sz w:val="20"/>
        </w:rPr>
        <w:t>ation</w:t>
      </w:r>
    </w:p>
    <w:p w14:paraId="5F476432" w14:textId="77777777" w:rsidR="00DE02B2" w:rsidRDefault="00DE02B2" w:rsidP="00DE02B2">
      <w:pPr>
        <w:rPr>
          <w:highlight w:val="yellow"/>
        </w:rPr>
      </w:pPr>
    </w:p>
    <w:p w14:paraId="50DBB9CA" w14:textId="12DA7261" w:rsidR="00637587" w:rsidRPr="00BB3E4E" w:rsidRDefault="00BB3E4E" w:rsidP="008C2D23">
      <w:pPr>
        <w:pStyle w:val="Caption"/>
        <w:spacing w:after="0"/>
        <w:rPr>
          <w:sz w:val="22"/>
          <w:szCs w:val="22"/>
        </w:rPr>
      </w:pPr>
      <w:r w:rsidRPr="00BB3E4E">
        <w:rPr>
          <w:sz w:val="22"/>
          <w:szCs w:val="22"/>
        </w:rPr>
        <w:lastRenderedPageBreak/>
        <w:t xml:space="preserve">Table </w:t>
      </w:r>
      <w:r w:rsidRPr="00BB3E4E">
        <w:rPr>
          <w:sz w:val="22"/>
          <w:szCs w:val="22"/>
        </w:rPr>
        <w:fldChar w:fldCharType="begin"/>
      </w:r>
      <w:r w:rsidRPr="00BB3E4E">
        <w:rPr>
          <w:sz w:val="22"/>
          <w:szCs w:val="22"/>
        </w:rPr>
        <w:instrText xml:space="preserve"> SEQ Table \* ARABIC </w:instrText>
      </w:r>
      <w:r w:rsidRPr="00BB3E4E">
        <w:rPr>
          <w:sz w:val="22"/>
          <w:szCs w:val="22"/>
        </w:rPr>
        <w:fldChar w:fldCharType="separate"/>
      </w:r>
      <w:r w:rsidR="001E2FAC">
        <w:rPr>
          <w:noProof/>
          <w:sz w:val="22"/>
          <w:szCs w:val="22"/>
        </w:rPr>
        <w:t>15</w:t>
      </w:r>
      <w:r w:rsidRPr="00BB3E4E">
        <w:rPr>
          <w:sz w:val="22"/>
          <w:szCs w:val="22"/>
        </w:rPr>
        <w:fldChar w:fldCharType="end"/>
      </w:r>
      <w:r w:rsidRPr="00BB3E4E">
        <w:rPr>
          <w:sz w:val="22"/>
          <w:szCs w:val="22"/>
        </w:rPr>
        <w:tab/>
      </w:r>
      <w:r w:rsidR="00637587" w:rsidRPr="00BB3E4E">
        <w:rPr>
          <w:sz w:val="22"/>
          <w:szCs w:val="22"/>
        </w:rPr>
        <w:t xml:space="preserve">Efficacy results in CD30+ HL patients at risk of relapse or progression </w:t>
      </w:r>
      <w:r w:rsidR="00637587" w:rsidRPr="00BB3E4E">
        <w:rPr>
          <w:sz w:val="22"/>
          <w:szCs w:val="22"/>
        </w:rPr>
        <w:tab/>
      </w:r>
      <w:r w:rsidR="00637587" w:rsidRPr="00BB3E4E">
        <w:rPr>
          <w:sz w:val="22"/>
          <w:szCs w:val="22"/>
        </w:rPr>
        <w:tab/>
      </w:r>
      <w:r w:rsidR="00637587" w:rsidRPr="00BB3E4E">
        <w:rPr>
          <w:sz w:val="22"/>
          <w:szCs w:val="22"/>
        </w:rPr>
        <w:tab/>
        <w:t xml:space="preserve">following ASCT treated with 1.8 mg/kg of ADCETRIS every 3 weeks </w:t>
      </w:r>
      <w:r w:rsidR="00637587" w:rsidRPr="00BB3E4E">
        <w:rPr>
          <w:sz w:val="22"/>
          <w:szCs w:val="22"/>
        </w:rPr>
        <w:tab/>
      </w:r>
      <w:r w:rsidR="00637587" w:rsidRPr="00BB3E4E">
        <w:rPr>
          <w:sz w:val="22"/>
          <w:szCs w:val="22"/>
        </w:rPr>
        <w:tab/>
      </w:r>
      <w:r w:rsidR="00637587" w:rsidRPr="00BB3E4E">
        <w:rPr>
          <w:sz w:val="22"/>
          <w:szCs w:val="22"/>
        </w:rPr>
        <w:tab/>
      </w:r>
      <w:r w:rsidR="00637587" w:rsidRPr="00BB3E4E">
        <w:rPr>
          <w:sz w:val="22"/>
          <w:szCs w:val="22"/>
        </w:rPr>
        <w:tab/>
        <w:t>(Study SGN35-005)</w:t>
      </w:r>
    </w:p>
    <w:tbl>
      <w:tblPr>
        <w:tblW w:w="9458" w:type="dxa"/>
        <w:jc w:val="center"/>
        <w:tblCellMar>
          <w:left w:w="0" w:type="dxa"/>
          <w:right w:w="0" w:type="dxa"/>
        </w:tblCellMar>
        <w:tblLook w:val="04A0" w:firstRow="1" w:lastRow="0" w:firstColumn="1" w:lastColumn="0" w:noHBand="0" w:noVBand="1"/>
      </w:tblPr>
      <w:tblGrid>
        <w:gridCol w:w="1898"/>
        <w:gridCol w:w="2700"/>
        <w:gridCol w:w="2610"/>
        <w:gridCol w:w="2250"/>
      </w:tblGrid>
      <w:tr w:rsidR="00637587" w:rsidRPr="009722AB" w14:paraId="62CDE256" w14:textId="77777777" w:rsidTr="00637587">
        <w:trPr>
          <w:trHeight w:val="1090"/>
          <w:jc w:val="center"/>
        </w:trPr>
        <w:tc>
          <w:tcPr>
            <w:tcW w:w="1898"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vAlign w:val="center"/>
            <w:hideMark/>
          </w:tcPr>
          <w:p w14:paraId="18735C3E" w14:textId="77777777" w:rsidR="00637587" w:rsidRPr="009722AB" w:rsidRDefault="00637587" w:rsidP="00E977D4">
            <w:pPr>
              <w:spacing w:after="0"/>
              <w:rPr>
                <w:rFonts w:cs="Arial"/>
                <w:sz w:val="20"/>
              </w:rPr>
            </w:pPr>
          </w:p>
        </w:tc>
        <w:tc>
          <w:tcPr>
            <w:tcW w:w="270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vAlign w:val="center"/>
            <w:hideMark/>
          </w:tcPr>
          <w:p w14:paraId="1CA6728B" w14:textId="77777777" w:rsidR="00637587" w:rsidRPr="009722AB" w:rsidRDefault="00637587" w:rsidP="00E977D4">
            <w:pPr>
              <w:spacing w:after="0"/>
              <w:jc w:val="center"/>
              <w:rPr>
                <w:rFonts w:cs="Arial"/>
                <w:sz w:val="20"/>
              </w:rPr>
            </w:pPr>
            <w:r w:rsidRPr="009722AB">
              <w:rPr>
                <w:rFonts w:cs="Arial"/>
                <w:sz w:val="20"/>
              </w:rPr>
              <w:t>ADCETRIS</w:t>
            </w:r>
          </w:p>
          <w:p w14:paraId="388504EE" w14:textId="77777777" w:rsidR="00637587" w:rsidRPr="009722AB" w:rsidRDefault="00637587" w:rsidP="00E977D4">
            <w:pPr>
              <w:spacing w:after="0"/>
              <w:jc w:val="center"/>
              <w:rPr>
                <w:rFonts w:cs="Arial"/>
                <w:sz w:val="20"/>
              </w:rPr>
            </w:pPr>
            <w:r w:rsidRPr="009722AB">
              <w:rPr>
                <w:rFonts w:cs="Arial"/>
                <w:sz w:val="20"/>
              </w:rPr>
              <w:t>N=165</w:t>
            </w:r>
          </w:p>
        </w:tc>
        <w:tc>
          <w:tcPr>
            <w:tcW w:w="261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vAlign w:val="center"/>
            <w:hideMark/>
          </w:tcPr>
          <w:p w14:paraId="621AEE68" w14:textId="77777777" w:rsidR="00637587" w:rsidRPr="009722AB" w:rsidRDefault="00637587" w:rsidP="00E977D4">
            <w:pPr>
              <w:spacing w:after="0"/>
              <w:jc w:val="center"/>
              <w:rPr>
                <w:rFonts w:cs="Arial"/>
                <w:sz w:val="20"/>
              </w:rPr>
            </w:pPr>
            <w:r w:rsidRPr="009722AB">
              <w:rPr>
                <w:rFonts w:cs="Arial"/>
                <w:sz w:val="20"/>
              </w:rPr>
              <w:t>Placebo</w:t>
            </w:r>
          </w:p>
          <w:p w14:paraId="3E3904B7" w14:textId="77777777" w:rsidR="00637587" w:rsidRPr="009722AB" w:rsidRDefault="00637587" w:rsidP="00E977D4">
            <w:pPr>
              <w:spacing w:after="0"/>
              <w:jc w:val="center"/>
              <w:rPr>
                <w:rFonts w:cs="Arial"/>
                <w:sz w:val="20"/>
              </w:rPr>
            </w:pPr>
            <w:r w:rsidRPr="009722AB">
              <w:rPr>
                <w:rFonts w:cs="Arial"/>
                <w:sz w:val="20"/>
              </w:rPr>
              <w:t>N=164</w:t>
            </w:r>
          </w:p>
        </w:tc>
        <w:tc>
          <w:tcPr>
            <w:tcW w:w="225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vAlign w:val="center"/>
            <w:hideMark/>
          </w:tcPr>
          <w:p w14:paraId="2C76C0C4" w14:textId="77777777" w:rsidR="00637587" w:rsidRPr="009722AB" w:rsidRDefault="00637587" w:rsidP="00E977D4">
            <w:pPr>
              <w:spacing w:after="0"/>
              <w:jc w:val="center"/>
              <w:rPr>
                <w:rFonts w:cs="Arial"/>
                <w:sz w:val="20"/>
              </w:rPr>
            </w:pPr>
            <w:r w:rsidRPr="009722AB">
              <w:rPr>
                <w:rFonts w:cs="Arial"/>
                <w:sz w:val="20"/>
              </w:rPr>
              <w:t>Stratified Hazard Ratio</w:t>
            </w:r>
          </w:p>
        </w:tc>
      </w:tr>
      <w:tr w:rsidR="00637587" w:rsidRPr="009722AB" w14:paraId="13B7456A" w14:textId="77777777" w:rsidTr="00637587">
        <w:trPr>
          <w:trHeight w:val="386"/>
          <w:jc w:val="center"/>
        </w:trPr>
        <w:tc>
          <w:tcPr>
            <w:tcW w:w="1898" w:type="dxa"/>
            <w:vMerge w:val="restart"/>
            <w:tcBorders>
              <w:top w:val="single" w:sz="8" w:space="0" w:color="000000"/>
              <w:left w:val="single" w:sz="8" w:space="0" w:color="000000"/>
              <w:right w:val="single" w:sz="8" w:space="0" w:color="000000"/>
            </w:tcBorders>
            <w:tcMar>
              <w:top w:w="14" w:type="dxa"/>
              <w:left w:w="98" w:type="dxa"/>
              <w:bottom w:w="0" w:type="dxa"/>
              <w:right w:w="98" w:type="dxa"/>
            </w:tcMar>
            <w:vAlign w:val="center"/>
            <w:hideMark/>
          </w:tcPr>
          <w:p w14:paraId="0F70F3DB" w14:textId="77777777" w:rsidR="00637587" w:rsidRPr="009722AB" w:rsidRDefault="00637587" w:rsidP="00E977D4">
            <w:pPr>
              <w:spacing w:after="0"/>
              <w:jc w:val="left"/>
              <w:rPr>
                <w:rFonts w:cs="Arial"/>
                <w:sz w:val="20"/>
              </w:rPr>
            </w:pPr>
            <w:r w:rsidRPr="009722AB">
              <w:rPr>
                <w:rFonts w:cs="Arial"/>
                <w:sz w:val="20"/>
              </w:rPr>
              <w:t>Progression Free Survival (PFS)</w:t>
            </w:r>
            <w:r w:rsidRPr="009722AB">
              <w:rPr>
                <w:rFonts w:cs="Arial"/>
                <w:sz w:val="20"/>
                <w:vertAlign w:val="superscript"/>
              </w:rPr>
              <w:t>a</w:t>
            </w:r>
            <w:r w:rsidRPr="009722AB">
              <w:rPr>
                <w:rFonts w:cs="Arial"/>
                <w:sz w:val="20"/>
              </w:rPr>
              <w:t xml:space="preserve"> </w:t>
            </w:r>
          </w:p>
          <w:p w14:paraId="7B47E0A3" w14:textId="77777777" w:rsidR="00637587" w:rsidRPr="009722AB" w:rsidRDefault="00637587" w:rsidP="00E977D4">
            <w:pPr>
              <w:spacing w:after="0"/>
              <w:rPr>
                <w:rFonts w:cs="Arial"/>
                <w:sz w:val="20"/>
              </w:rPr>
            </w:pPr>
          </w:p>
          <w:p w14:paraId="0F81C361" w14:textId="77777777" w:rsidR="00637587" w:rsidRPr="009722AB" w:rsidRDefault="00637587" w:rsidP="00E977D4">
            <w:pPr>
              <w:spacing w:after="0"/>
              <w:rPr>
                <w:rFonts w:cs="Arial"/>
                <w:sz w:val="20"/>
              </w:rPr>
            </w:pPr>
          </w:p>
        </w:tc>
        <w:tc>
          <w:tcPr>
            <w:tcW w:w="5310" w:type="dxa"/>
            <w:gridSpan w:val="2"/>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vAlign w:val="center"/>
            <w:hideMark/>
          </w:tcPr>
          <w:p w14:paraId="003124F4" w14:textId="77777777" w:rsidR="00637587" w:rsidRPr="009722AB" w:rsidRDefault="00637587" w:rsidP="00E977D4">
            <w:pPr>
              <w:spacing w:after="0"/>
              <w:jc w:val="center"/>
              <w:rPr>
                <w:rFonts w:cs="Arial"/>
                <w:sz w:val="20"/>
              </w:rPr>
            </w:pPr>
            <w:r w:rsidRPr="009722AB">
              <w:rPr>
                <w:rFonts w:cs="Arial"/>
                <w:sz w:val="20"/>
              </w:rPr>
              <w:t>Median per IRF*</w:t>
            </w:r>
          </w:p>
        </w:tc>
        <w:tc>
          <w:tcPr>
            <w:tcW w:w="225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hideMark/>
          </w:tcPr>
          <w:p w14:paraId="78634767" w14:textId="77777777" w:rsidR="00637587" w:rsidRPr="009722AB" w:rsidRDefault="00637587" w:rsidP="00E977D4">
            <w:pPr>
              <w:spacing w:after="0"/>
              <w:rPr>
                <w:rFonts w:cs="Arial"/>
                <w:sz w:val="20"/>
              </w:rPr>
            </w:pPr>
          </w:p>
        </w:tc>
      </w:tr>
      <w:tr w:rsidR="00637587" w:rsidRPr="009722AB" w14:paraId="32FBCCDC" w14:textId="77777777" w:rsidTr="00637587">
        <w:trPr>
          <w:trHeight w:val="386"/>
          <w:jc w:val="center"/>
        </w:trPr>
        <w:tc>
          <w:tcPr>
            <w:tcW w:w="1898" w:type="dxa"/>
            <w:vMerge/>
            <w:tcBorders>
              <w:left w:val="single" w:sz="8" w:space="0" w:color="000000"/>
              <w:right w:val="single" w:sz="8" w:space="0" w:color="000000"/>
            </w:tcBorders>
            <w:tcMar>
              <w:top w:w="14" w:type="dxa"/>
              <w:left w:w="98" w:type="dxa"/>
              <w:bottom w:w="0" w:type="dxa"/>
              <w:right w:w="98" w:type="dxa"/>
            </w:tcMar>
            <w:vAlign w:val="center"/>
            <w:hideMark/>
          </w:tcPr>
          <w:p w14:paraId="78EEB345" w14:textId="77777777" w:rsidR="00637587" w:rsidRPr="009722AB" w:rsidRDefault="00637587" w:rsidP="00E977D4">
            <w:pPr>
              <w:spacing w:after="0"/>
              <w:rPr>
                <w:rFonts w:cs="Arial"/>
                <w:sz w:val="20"/>
              </w:rPr>
            </w:pPr>
          </w:p>
        </w:tc>
        <w:tc>
          <w:tcPr>
            <w:tcW w:w="270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vAlign w:val="center"/>
            <w:hideMark/>
          </w:tcPr>
          <w:p w14:paraId="78604E02" w14:textId="77777777" w:rsidR="00637587" w:rsidRPr="009722AB" w:rsidRDefault="00637587" w:rsidP="00E977D4">
            <w:pPr>
              <w:spacing w:after="0"/>
              <w:rPr>
                <w:rFonts w:cs="Arial"/>
                <w:sz w:val="20"/>
              </w:rPr>
            </w:pPr>
            <w:r w:rsidRPr="009722AB">
              <w:rPr>
                <w:rFonts w:cs="Arial"/>
                <w:sz w:val="20"/>
              </w:rPr>
              <w:t>42.9 months</w:t>
            </w:r>
          </w:p>
          <w:p w14:paraId="219D8AF4" w14:textId="77777777" w:rsidR="00637587" w:rsidRPr="009722AB" w:rsidRDefault="00637587" w:rsidP="00E977D4">
            <w:pPr>
              <w:spacing w:after="0"/>
              <w:rPr>
                <w:rFonts w:cs="Arial"/>
                <w:sz w:val="20"/>
              </w:rPr>
            </w:pPr>
            <w:r w:rsidRPr="009722AB">
              <w:rPr>
                <w:rFonts w:cs="Arial"/>
                <w:sz w:val="20"/>
              </w:rPr>
              <w:t>(95% CI [30.4, 42.9])</w:t>
            </w:r>
          </w:p>
        </w:tc>
        <w:tc>
          <w:tcPr>
            <w:tcW w:w="261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vAlign w:val="center"/>
            <w:hideMark/>
          </w:tcPr>
          <w:p w14:paraId="33E87F98" w14:textId="77777777" w:rsidR="00637587" w:rsidRPr="009722AB" w:rsidRDefault="00637587" w:rsidP="00E977D4">
            <w:pPr>
              <w:spacing w:after="0"/>
              <w:rPr>
                <w:rFonts w:cs="Arial"/>
                <w:sz w:val="20"/>
              </w:rPr>
            </w:pPr>
            <w:r w:rsidRPr="009722AB">
              <w:rPr>
                <w:rFonts w:cs="Arial"/>
                <w:sz w:val="20"/>
              </w:rPr>
              <w:t>24.1 months</w:t>
            </w:r>
          </w:p>
          <w:p w14:paraId="7973B299" w14:textId="77777777" w:rsidR="00637587" w:rsidRPr="009722AB" w:rsidRDefault="00637587" w:rsidP="00E977D4">
            <w:pPr>
              <w:spacing w:after="0"/>
              <w:rPr>
                <w:rFonts w:cs="Arial"/>
                <w:sz w:val="20"/>
              </w:rPr>
            </w:pPr>
            <w:r w:rsidRPr="009722AB">
              <w:rPr>
                <w:rFonts w:cs="Arial"/>
                <w:sz w:val="20"/>
              </w:rPr>
              <w:t>(95% CI [11.5, -])</w:t>
            </w:r>
          </w:p>
        </w:tc>
        <w:tc>
          <w:tcPr>
            <w:tcW w:w="225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hideMark/>
          </w:tcPr>
          <w:p w14:paraId="66978341" w14:textId="77777777" w:rsidR="00637587" w:rsidRPr="009722AB" w:rsidRDefault="00637587" w:rsidP="00E977D4">
            <w:pPr>
              <w:spacing w:after="0"/>
              <w:rPr>
                <w:rFonts w:cs="Arial"/>
                <w:sz w:val="20"/>
              </w:rPr>
            </w:pPr>
            <w:r w:rsidRPr="009722AB">
              <w:rPr>
                <w:rFonts w:cs="Arial"/>
                <w:sz w:val="20"/>
              </w:rPr>
              <w:t>0.57</w:t>
            </w:r>
          </w:p>
          <w:p w14:paraId="5D932F33" w14:textId="77777777" w:rsidR="00637587" w:rsidRPr="009722AB" w:rsidRDefault="00637587" w:rsidP="00E977D4">
            <w:pPr>
              <w:spacing w:after="0"/>
              <w:rPr>
                <w:rFonts w:cs="Arial"/>
                <w:sz w:val="20"/>
              </w:rPr>
            </w:pPr>
            <w:r w:rsidRPr="009722AB">
              <w:rPr>
                <w:rFonts w:cs="Arial"/>
                <w:sz w:val="20"/>
              </w:rPr>
              <w:t>(95% CI [0.40, 0.81])</w:t>
            </w:r>
          </w:p>
          <w:p w14:paraId="7286A884" w14:textId="77777777" w:rsidR="00637587" w:rsidRPr="009722AB" w:rsidRDefault="00637587" w:rsidP="00E977D4">
            <w:pPr>
              <w:spacing w:after="0"/>
              <w:rPr>
                <w:rFonts w:cs="Arial"/>
                <w:sz w:val="20"/>
              </w:rPr>
            </w:pPr>
            <w:r w:rsidRPr="009722AB">
              <w:rPr>
                <w:rFonts w:cs="Arial"/>
                <w:sz w:val="20"/>
              </w:rPr>
              <w:t>Stratified log-rank test P=0.001</w:t>
            </w:r>
          </w:p>
        </w:tc>
      </w:tr>
      <w:tr w:rsidR="00637587" w:rsidRPr="009722AB" w14:paraId="4950AEC9" w14:textId="77777777" w:rsidTr="00637587">
        <w:trPr>
          <w:trHeight w:val="386"/>
          <w:jc w:val="center"/>
        </w:trPr>
        <w:tc>
          <w:tcPr>
            <w:tcW w:w="1898" w:type="dxa"/>
            <w:vMerge/>
            <w:tcBorders>
              <w:left w:val="single" w:sz="8" w:space="0" w:color="000000"/>
              <w:right w:val="single" w:sz="8" w:space="0" w:color="000000"/>
            </w:tcBorders>
            <w:tcMar>
              <w:top w:w="14" w:type="dxa"/>
              <w:left w:w="98" w:type="dxa"/>
              <w:bottom w:w="0" w:type="dxa"/>
              <w:right w:w="98" w:type="dxa"/>
            </w:tcMar>
            <w:vAlign w:val="center"/>
            <w:hideMark/>
          </w:tcPr>
          <w:p w14:paraId="00EEE5F9" w14:textId="77777777" w:rsidR="00637587" w:rsidRPr="009722AB" w:rsidRDefault="00637587" w:rsidP="00E977D4">
            <w:pPr>
              <w:spacing w:after="0"/>
              <w:rPr>
                <w:rFonts w:cs="Arial"/>
                <w:sz w:val="20"/>
              </w:rPr>
            </w:pPr>
          </w:p>
        </w:tc>
        <w:tc>
          <w:tcPr>
            <w:tcW w:w="5310" w:type="dxa"/>
            <w:gridSpan w:val="2"/>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vAlign w:val="center"/>
            <w:hideMark/>
          </w:tcPr>
          <w:p w14:paraId="67F930F6" w14:textId="77777777" w:rsidR="00637587" w:rsidRPr="009722AB" w:rsidRDefault="00637587" w:rsidP="00E977D4">
            <w:pPr>
              <w:spacing w:after="0"/>
              <w:jc w:val="center"/>
              <w:rPr>
                <w:rFonts w:cs="Arial"/>
                <w:sz w:val="20"/>
              </w:rPr>
            </w:pPr>
            <w:r w:rsidRPr="009722AB">
              <w:rPr>
                <w:rFonts w:cs="Arial"/>
                <w:sz w:val="20"/>
              </w:rPr>
              <w:t>Median per Investigator using radiographic, biopsy, and clinical lymphoma assessments**</w:t>
            </w:r>
          </w:p>
        </w:tc>
        <w:tc>
          <w:tcPr>
            <w:tcW w:w="225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hideMark/>
          </w:tcPr>
          <w:p w14:paraId="5DD82D5A" w14:textId="77777777" w:rsidR="00637587" w:rsidRPr="009722AB" w:rsidRDefault="00637587" w:rsidP="00E977D4">
            <w:pPr>
              <w:spacing w:after="0"/>
              <w:rPr>
                <w:rFonts w:cs="Arial"/>
                <w:sz w:val="20"/>
              </w:rPr>
            </w:pPr>
          </w:p>
        </w:tc>
      </w:tr>
      <w:tr w:rsidR="00637587" w:rsidRPr="009722AB" w14:paraId="47E4C7C1" w14:textId="77777777" w:rsidTr="00637587">
        <w:trPr>
          <w:trHeight w:val="386"/>
          <w:jc w:val="center"/>
        </w:trPr>
        <w:tc>
          <w:tcPr>
            <w:tcW w:w="1898" w:type="dxa"/>
            <w:vMerge/>
            <w:tcBorders>
              <w:left w:val="single" w:sz="8" w:space="0" w:color="000000"/>
              <w:bottom w:val="single" w:sz="8" w:space="0" w:color="000000"/>
              <w:right w:val="single" w:sz="8" w:space="0" w:color="000000"/>
            </w:tcBorders>
            <w:tcMar>
              <w:top w:w="14" w:type="dxa"/>
              <w:left w:w="98" w:type="dxa"/>
              <w:bottom w:w="0" w:type="dxa"/>
              <w:right w:w="98" w:type="dxa"/>
            </w:tcMar>
            <w:vAlign w:val="center"/>
            <w:hideMark/>
          </w:tcPr>
          <w:p w14:paraId="374E2DBC" w14:textId="77777777" w:rsidR="00637587" w:rsidRPr="009722AB" w:rsidRDefault="00637587" w:rsidP="00E977D4">
            <w:pPr>
              <w:spacing w:after="0"/>
              <w:rPr>
                <w:rFonts w:cs="Arial"/>
                <w:sz w:val="20"/>
              </w:rPr>
            </w:pPr>
          </w:p>
        </w:tc>
        <w:tc>
          <w:tcPr>
            <w:tcW w:w="270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vAlign w:val="center"/>
            <w:hideMark/>
          </w:tcPr>
          <w:p w14:paraId="4D3D6188" w14:textId="77777777" w:rsidR="00637587" w:rsidRPr="009722AB" w:rsidRDefault="00637587" w:rsidP="00E977D4">
            <w:pPr>
              <w:spacing w:after="0"/>
              <w:rPr>
                <w:rFonts w:cs="Arial"/>
                <w:sz w:val="20"/>
              </w:rPr>
            </w:pPr>
            <w:r w:rsidRPr="009722AB">
              <w:rPr>
                <w:rFonts w:cs="Arial"/>
                <w:sz w:val="20"/>
              </w:rPr>
              <w:t xml:space="preserve">Not Reached </w:t>
            </w:r>
          </w:p>
          <w:p w14:paraId="46D38F40" w14:textId="77777777" w:rsidR="00637587" w:rsidRPr="009722AB" w:rsidRDefault="00637587" w:rsidP="00E977D4">
            <w:pPr>
              <w:spacing w:after="0"/>
              <w:rPr>
                <w:rFonts w:cs="Arial"/>
                <w:sz w:val="20"/>
              </w:rPr>
            </w:pPr>
            <w:r w:rsidRPr="009722AB">
              <w:rPr>
                <w:rFonts w:cs="Arial"/>
                <w:sz w:val="20"/>
              </w:rPr>
              <w:t xml:space="preserve">(95% CI [-, -]) </w:t>
            </w:r>
          </w:p>
        </w:tc>
        <w:tc>
          <w:tcPr>
            <w:tcW w:w="261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vAlign w:val="center"/>
            <w:hideMark/>
          </w:tcPr>
          <w:p w14:paraId="3D2B52DB" w14:textId="77777777" w:rsidR="00637587" w:rsidRPr="009722AB" w:rsidRDefault="00637587" w:rsidP="00E977D4">
            <w:pPr>
              <w:spacing w:after="0"/>
              <w:rPr>
                <w:rFonts w:cs="Arial"/>
                <w:sz w:val="20"/>
              </w:rPr>
            </w:pPr>
            <w:r w:rsidRPr="009722AB">
              <w:rPr>
                <w:rFonts w:cs="Arial"/>
                <w:sz w:val="20"/>
              </w:rPr>
              <w:t xml:space="preserve">15.8 months </w:t>
            </w:r>
          </w:p>
          <w:p w14:paraId="421675C6" w14:textId="77777777" w:rsidR="00637587" w:rsidRPr="009722AB" w:rsidRDefault="00637587" w:rsidP="00E977D4">
            <w:pPr>
              <w:spacing w:after="0"/>
              <w:rPr>
                <w:rFonts w:cs="Arial"/>
                <w:sz w:val="20"/>
              </w:rPr>
            </w:pPr>
            <w:r w:rsidRPr="009722AB">
              <w:rPr>
                <w:rFonts w:cs="Arial"/>
                <w:sz w:val="20"/>
              </w:rPr>
              <w:t>(95% CI [8.5, -])</w:t>
            </w:r>
          </w:p>
        </w:tc>
        <w:tc>
          <w:tcPr>
            <w:tcW w:w="225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98" w:type="dxa"/>
            </w:tcMar>
            <w:hideMark/>
          </w:tcPr>
          <w:p w14:paraId="72B0FB14" w14:textId="77777777" w:rsidR="00637587" w:rsidRPr="009722AB" w:rsidRDefault="00637587" w:rsidP="00E977D4">
            <w:pPr>
              <w:spacing w:after="0"/>
              <w:rPr>
                <w:rFonts w:cs="Arial"/>
                <w:sz w:val="20"/>
              </w:rPr>
            </w:pPr>
            <w:r w:rsidRPr="009722AB">
              <w:rPr>
                <w:rFonts w:cs="Arial"/>
                <w:sz w:val="20"/>
              </w:rPr>
              <w:t xml:space="preserve">0.50 </w:t>
            </w:r>
          </w:p>
          <w:p w14:paraId="0A9D196B" w14:textId="77777777" w:rsidR="00637587" w:rsidRPr="009722AB" w:rsidRDefault="00637587" w:rsidP="00E977D4">
            <w:pPr>
              <w:spacing w:after="0"/>
              <w:rPr>
                <w:rFonts w:cs="Arial"/>
                <w:sz w:val="20"/>
              </w:rPr>
            </w:pPr>
            <w:r w:rsidRPr="009722AB">
              <w:rPr>
                <w:rFonts w:cs="Arial"/>
                <w:sz w:val="20"/>
              </w:rPr>
              <w:t>(95% CI [0.36, 0.70</w:t>
            </w:r>
            <w:proofErr w:type="gramStart"/>
            <w:r w:rsidRPr="009722AB">
              <w:rPr>
                <w:rFonts w:cs="Arial"/>
                <w:sz w:val="20"/>
              </w:rPr>
              <w:t>])</w:t>
            </w:r>
            <w:r w:rsidRPr="009722AB">
              <w:rPr>
                <w:rFonts w:cs="Arial"/>
                <w:sz w:val="20"/>
                <w:vertAlign w:val="superscript"/>
              </w:rPr>
              <w:t>b</w:t>
            </w:r>
            <w:proofErr w:type="gramEnd"/>
          </w:p>
        </w:tc>
      </w:tr>
    </w:tbl>
    <w:p w14:paraId="2ED0258F" w14:textId="77777777" w:rsidR="008C4442" w:rsidRPr="008C4442" w:rsidRDefault="008C4442" w:rsidP="00FD6544">
      <w:pPr>
        <w:keepNext/>
        <w:spacing w:after="0"/>
        <w:rPr>
          <w:rFonts w:cs="Arial"/>
          <w:sz w:val="20"/>
        </w:rPr>
      </w:pPr>
      <w:proofErr w:type="spellStart"/>
      <w:r w:rsidRPr="008C4442">
        <w:rPr>
          <w:rFonts w:cs="Arial"/>
          <w:sz w:val="20"/>
          <w:vertAlign w:val="superscript"/>
        </w:rPr>
        <w:t>a</w:t>
      </w:r>
      <w:r w:rsidRPr="008C4442">
        <w:rPr>
          <w:rFonts w:cs="Arial"/>
          <w:sz w:val="20"/>
        </w:rPr>
        <w:t>At</w:t>
      </w:r>
      <w:proofErr w:type="spellEnd"/>
      <w:r w:rsidRPr="008C4442">
        <w:rPr>
          <w:rFonts w:cs="Arial"/>
          <w:sz w:val="20"/>
        </w:rPr>
        <w:t xml:space="preserve"> the time of analysis, the median follow-up time for both arms was 30 months [range, 0 to 50]</w:t>
      </w:r>
    </w:p>
    <w:p w14:paraId="023DAEC0" w14:textId="77777777" w:rsidR="008C4442" w:rsidRPr="008C4442" w:rsidRDefault="008C4442" w:rsidP="00FD6544">
      <w:pPr>
        <w:keepNext/>
        <w:spacing w:after="0"/>
        <w:rPr>
          <w:rFonts w:cs="Arial"/>
          <w:sz w:val="20"/>
        </w:rPr>
      </w:pPr>
      <w:proofErr w:type="spellStart"/>
      <w:r w:rsidRPr="008C4442">
        <w:rPr>
          <w:rFonts w:cs="Arial"/>
          <w:sz w:val="20"/>
          <w:vertAlign w:val="superscript"/>
        </w:rPr>
        <w:t>b</w:t>
      </w:r>
      <w:r w:rsidRPr="008C4442">
        <w:rPr>
          <w:rFonts w:cs="Arial"/>
          <w:sz w:val="20"/>
        </w:rPr>
        <w:t>Stratified</w:t>
      </w:r>
      <w:proofErr w:type="spellEnd"/>
      <w:r w:rsidRPr="008C4442">
        <w:rPr>
          <w:rFonts w:cs="Arial"/>
          <w:sz w:val="20"/>
        </w:rPr>
        <w:t xml:space="preserve"> log-rank test was not performed for PFS per Investigator</w:t>
      </w:r>
    </w:p>
    <w:p w14:paraId="1365C063" w14:textId="77777777" w:rsidR="008C4442" w:rsidRPr="008C4442" w:rsidRDefault="008C4442" w:rsidP="00FD6544">
      <w:pPr>
        <w:spacing w:after="0"/>
        <w:jc w:val="left"/>
        <w:rPr>
          <w:rFonts w:cs="Arial"/>
          <w:sz w:val="20"/>
        </w:rPr>
      </w:pPr>
      <w:r w:rsidRPr="008C4442">
        <w:rPr>
          <w:rFonts w:cs="Arial"/>
          <w:sz w:val="20"/>
        </w:rPr>
        <w:t xml:space="preserve">* The primary efficacy analysis:  PFS per IRF, defined as the time from randomisation to the first documentation of tumour progression or death. </w:t>
      </w:r>
    </w:p>
    <w:p w14:paraId="41925821" w14:textId="77777777" w:rsidR="008C4442" w:rsidRPr="008C4442" w:rsidRDefault="008C4442" w:rsidP="008C4442">
      <w:pPr>
        <w:spacing w:after="120"/>
        <w:jc w:val="left"/>
        <w:rPr>
          <w:rFonts w:cs="Arial"/>
          <w:sz w:val="20"/>
        </w:rPr>
      </w:pPr>
      <w:r w:rsidRPr="008C4442">
        <w:rPr>
          <w:rFonts w:cs="Arial"/>
          <w:sz w:val="20"/>
        </w:rPr>
        <w:t>**PFS per investigator using radiographic, biopsy, and clinical lymphoma assessments was a pre-specified sensitivity analysis</w:t>
      </w:r>
    </w:p>
    <w:p w14:paraId="264BC361" w14:textId="77777777" w:rsidR="007A1934" w:rsidRDefault="007A1934" w:rsidP="006333A4">
      <w:pPr>
        <w:spacing w:after="60"/>
      </w:pPr>
      <w:r>
        <w:t>Pre-specified subgroup analyses of PFS per IRF were performed by patients’ best response to pre</w:t>
      </w:r>
      <w:r w:rsidR="00F16513">
        <w:noBreakHyphen/>
      </w:r>
      <w:r>
        <w:t xml:space="preserve">ASCT salvage therapy, HL status after frontline therapy, age, gender, baseline weight, baseline ECOG performance status, number of treatments pre-ASCT, geographic region, pre-ASCT PET status, B symptom status after failure of frontline therapy, and pre-ASCT </w:t>
      </w:r>
      <w:proofErr w:type="spellStart"/>
      <w:r>
        <w:t>extranodal</w:t>
      </w:r>
      <w:proofErr w:type="spellEnd"/>
      <w:r>
        <w:t xml:space="preserve"> disease status. </w:t>
      </w:r>
    </w:p>
    <w:p w14:paraId="43932E77" w14:textId="0F45A4FF" w:rsidR="007A1934" w:rsidRDefault="007A1934" w:rsidP="006333A4">
      <w:pPr>
        <w:spacing w:after="60"/>
      </w:pPr>
      <w:r>
        <w:t xml:space="preserve">Quality of life was assessed using the EQ-5D instrument. No clinically meaningful differences were observed between the treatment and placebo arms. </w:t>
      </w:r>
      <w:r w:rsidR="00752F5B">
        <w:t>Eighty-five</w:t>
      </w:r>
      <w:r>
        <w:t xml:space="preserve"> patients in the placebo arm progressed and received subsequent treatments, of whom 72 (84.7%) received ADCETRIS.</w:t>
      </w:r>
    </w:p>
    <w:p w14:paraId="006A56FD" w14:textId="77777777" w:rsidR="00C948E0" w:rsidRDefault="00C948E0" w:rsidP="006333A4">
      <w:pPr>
        <w:spacing w:after="60"/>
      </w:pPr>
    </w:p>
    <w:p w14:paraId="0A97CD87" w14:textId="77777777" w:rsidR="007A1934" w:rsidRPr="00AE2D5B" w:rsidRDefault="008B6780" w:rsidP="007A1934">
      <w:pPr>
        <w:rPr>
          <w:b/>
          <w:u w:val="single"/>
          <w:lang w:val="en-US"/>
        </w:rPr>
      </w:pPr>
      <w:r w:rsidRPr="00AE2D5B">
        <w:rPr>
          <w:b/>
          <w:u w:val="single"/>
          <w:lang w:val="en-US"/>
        </w:rPr>
        <w:t>Peripheral T-cell lymphoma</w:t>
      </w:r>
      <w:r w:rsidR="006333A4" w:rsidRPr="00AE2D5B">
        <w:rPr>
          <w:b/>
          <w:u w:val="single"/>
          <w:lang w:val="en-US"/>
        </w:rPr>
        <w:t xml:space="preserve"> (PTCL)</w:t>
      </w:r>
    </w:p>
    <w:p w14:paraId="7CB46E8F" w14:textId="77777777" w:rsidR="008B6780" w:rsidRPr="007A1934" w:rsidRDefault="008B6780" w:rsidP="006333A4">
      <w:pPr>
        <w:spacing w:after="60"/>
        <w:rPr>
          <w:i/>
        </w:rPr>
      </w:pPr>
      <w:r>
        <w:rPr>
          <w:bCs/>
          <w:i/>
          <w:lang w:val="en-GB"/>
        </w:rPr>
        <w:t>P</w:t>
      </w:r>
      <w:r w:rsidRPr="008B6780">
        <w:rPr>
          <w:bCs/>
          <w:i/>
          <w:lang w:val="en-GB"/>
        </w:rPr>
        <w:t xml:space="preserve">atients with previously untreated </w:t>
      </w:r>
      <w:r w:rsidR="003544DA">
        <w:rPr>
          <w:bCs/>
          <w:lang w:val="en-GB"/>
        </w:rPr>
        <w:t>CD30+</w:t>
      </w:r>
      <w:r w:rsidR="003544DA" w:rsidRPr="008B6780">
        <w:rPr>
          <w:bCs/>
          <w:lang w:val="en-GB"/>
        </w:rPr>
        <w:t xml:space="preserve"> </w:t>
      </w:r>
      <w:r w:rsidRPr="008B6780">
        <w:rPr>
          <w:bCs/>
          <w:i/>
          <w:lang w:val="en-GB"/>
        </w:rPr>
        <w:t>PTCL in combination with cyclophosphamide [C], doxorubicin [H], and prednisone [P] (CHP)</w:t>
      </w:r>
      <w:r>
        <w:rPr>
          <w:bCs/>
          <w:i/>
          <w:lang w:val="en-GB"/>
        </w:rPr>
        <w:t xml:space="preserve"> </w:t>
      </w:r>
      <w:r>
        <w:rPr>
          <w:i/>
        </w:rPr>
        <w:t>(Study SG</w:t>
      </w:r>
      <w:r w:rsidR="00543193">
        <w:rPr>
          <w:i/>
        </w:rPr>
        <w:t>N</w:t>
      </w:r>
      <w:r>
        <w:rPr>
          <w:i/>
        </w:rPr>
        <w:t>35-014</w:t>
      </w:r>
      <w:r w:rsidRPr="007A1934">
        <w:rPr>
          <w:i/>
        </w:rPr>
        <w:t>)</w:t>
      </w:r>
    </w:p>
    <w:p w14:paraId="31026A56" w14:textId="213A30A4" w:rsidR="008B6780" w:rsidRPr="008B6780" w:rsidRDefault="008B6780" w:rsidP="008B6780">
      <w:pPr>
        <w:rPr>
          <w:bCs/>
          <w:lang w:val="en-GB"/>
        </w:rPr>
      </w:pPr>
      <w:r w:rsidRPr="008B6780">
        <w:rPr>
          <w:bCs/>
          <w:lang w:val="en-GB"/>
        </w:rPr>
        <w:t xml:space="preserve">The efficacy and safety of ADCETRIS were evaluated in a randomised, double-blind, double-dummy, active-controlled, </w:t>
      </w:r>
      <w:r w:rsidR="00097361" w:rsidRPr="008B6780">
        <w:rPr>
          <w:bCs/>
          <w:lang w:val="en-GB"/>
        </w:rPr>
        <w:t>multicent</w:t>
      </w:r>
      <w:r w:rsidR="00097361">
        <w:rPr>
          <w:bCs/>
          <w:lang w:val="en-GB"/>
        </w:rPr>
        <w:t>re</w:t>
      </w:r>
      <w:r w:rsidR="00097361" w:rsidRPr="008B6780">
        <w:rPr>
          <w:bCs/>
          <w:lang w:val="en-GB"/>
        </w:rPr>
        <w:t xml:space="preserve"> </w:t>
      </w:r>
      <w:r w:rsidRPr="008B6780">
        <w:rPr>
          <w:bCs/>
          <w:lang w:val="en-GB"/>
        </w:rPr>
        <w:t>trial of 452 patients with previously untreated</w:t>
      </w:r>
      <w:r w:rsidR="0099251B">
        <w:rPr>
          <w:bCs/>
          <w:lang w:val="en-GB"/>
        </w:rPr>
        <w:t xml:space="preserve"> CD30+</w:t>
      </w:r>
      <w:r w:rsidRPr="008B6780">
        <w:rPr>
          <w:bCs/>
          <w:lang w:val="en-GB"/>
        </w:rPr>
        <w:t xml:space="preserve"> PTCL in combination with cyclophosphamide [C], doxorubicin [H], and prednisone [P] (CHP). Of the 452 patients, 226 were randomised to treatment with ADCETRIS + CHP and 226 patients were randomised to treatment with CHOP (cyclophosphamide [C], doxorubicin [H], vincristine [O], and prednisone [P]). </w:t>
      </w:r>
      <w:r w:rsidR="00C8385E" w:rsidRPr="008B6780">
        <w:rPr>
          <w:bCs/>
          <w:lang w:val="en-GB"/>
        </w:rPr>
        <w:t>Randomi</w:t>
      </w:r>
      <w:r w:rsidR="00C8385E">
        <w:rPr>
          <w:bCs/>
          <w:lang w:val="en-GB"/>
        </w:rPr>
        <w:t>s</w:t>
      </w:r>
      <w:r w:rsidR="00C8385E" w:rsidRPr="008B6780">
        <w:rPr>
          <w:bCs/>
          <w:lang w:val="en-GB"/>
        </w:rPr>
        <w:t xml:space="preserve">ation </w:t>
      </w:r>
      <w:r w:rsidRPr="008B6780">
        <w:rPr>
          <w:bCs/>
          <w:lang w:val="en-GB"/>
        </w:rPr>
        <w:t xml:space="preserve">was stratified by ALK-positive </w:t>
      </w:r>
      <w:proofErr w:type="spellStart"/>
      <w:r w:rsidRPr="008B6780">
        <w:rPr>
          <w:bCs/>
          <w:lang w:val="en-GB"/>
        </w:rPr>
        <w:t>sALCL</w:t>
      </w:r>
      <w:proofErr w:type="spellEnd"/>
      <w:r w:rsidRPr="008B6780">
        <w:rPr>
          <w:bCs/>
          <w:lang w:val="en-GB"/>
        </w:rPr>
        <w:t xml:space="preserve"> versus all other subtypes and by the International Prognostic Index (IPI) score. Patients were treated with </w:t>
      </w:r>
      <w:r w:rsidR="00566817">
        <w:t>1.8 mg/kg</w:t>
      </w:r>
      <w:r w:rsidR="00566817">
        <w:rPr>
          <w:bCs/>
          <w:lang w:val="en-GB"/>
        </w:rPr>
        <w:t xml:space="preserve"> of </w:t>
      </w:r>
      <w:r w:rsidRPr="008B6780">
        <w:rPr>
          <w:bCs/>
          <w:lang w:val="en-GB"/>
        </w:rPr>
        <w:t>ADCETRIS administered as an intravenous infusion over 30 minutes on day 1 of each 21</w:t>
      </w:r>
      <w:r w:rsidRPr="008B6780">
        <w:rPr>
          <w:bCs/>
          <w:lang w:val="en-GB"/>
        </w:rPr>
        <w:noBreakHyphen/>
        <w:t>day cycle for 6 to 8 cycles + CHP. The median number of cycles received was 6 (range, 1 to 8 cycles); 70% of patients received 6 cycles of treatment, and 18% received 8 cycles of treatment</w:t>
      </w:r>
      <w:r w:rsidRPr="0085274E">
        <w:rPr>
          <w:bCs/>
          <w:lang w:val="en-GB"/>
        </w:rPr>
        <w:t>.</w:t>
      </w:r>
      <w:r w:rsidR="00F60714" w:rsidRPr="0085274E">
        <w:rPr>
          <w:bCs/>
          <w:lang w:val="en-GB"/>
        </w:rPr>
        <w:t xml:space="preserve"> </w:t>
      </w:r>
      <w:r w:rsidR="00BB3E4E">
        <w:rPr>
          <w:bCs/>
          <w:lang w:val="en-GB"/>
        </w:rPr>
        <w:fldChar w:fldCharType="begin"/>
      </w:r>
      <w:r w:rsidR="00BB3E4E">
        <w:rPr>
          <w:bCs/>
          <w:lang w:val="en-GB"/>
        </w:rPr>
        <w:instrText xml:space="preserve"> REF _Ref147566875 \h </w:instrText>
      </w:r>
      <w:r w:rsidR="00BB3E4E">
        <w:rPr>
          <w:bCs/>
          <w:lang w:val="en-GB"/>
        </w:rPr>
      </w:r>
      <w:r w:rsidR="00BB3E4E">
        <w:rPr>
          <w:bCs/>
          <w:lang w:val="en-GB"/>
        </w:rPr>
        <w:fldChar w:fldCharType="separate"/>
      </w:r>
      <w:r w:rsidR="001E2FAC" w:rsidRPr="00BB3E4E">
        <w:rPr>
          <w:szCs w:val="22"/>
        </w:rPr>
        <w:t xml:space="preserve">Table </w:t>
      </w:r>
      <w:r w:rsidR="001E2FAC">
        <w:rPr>
          <w:noProof/>
          <w:szCs w:val="22"/>
        </w:rPr>
        <w:t>16</w:t>
      </w:r>
      <w:r w:rsidR="00BB3E4E">
        <w:rPr>
          <w:bCs/>
          <w:lang w:val="en-GB"/>
        </w:rPr>
        <w:fldChar w:fldCharType="end"/>
      </w:r>
      <w:r w:rsidR="00BB3E4E">
        <w:rPr>
          <w:bCs/>
          <w:lang w:val="en-GB"/>
        </w:rPr>
        <w:t xml:space="preserve"> </w:t>
      </w:r>
      <w:r w:rsidRPr="0085274E">
        <w:rPr>
          <w:bCs/>
          <w:lang w:val="en-GB"/>
        </w:rPr>
        <w:t>provides</w:t>
      </w:r>
      <w:r w:rsidRPr="008B6780">
        <w:rPr>
          <w:bCs/>
          <w:lang w:val="en-GB"/>
        </w:rPr>
        <w:t xml:space="preserve"> a summary of baseline patient and disease characteristics.</w:t>
      </w:r>
    </w:p>
    <w:p w14:paraId="35421A31" w14:textId="487F2CCF" w:rsidR="007B3BB3" w:rsidRDefault="00A90ECE" w:rsidP="00A90ECE">
      <w:pPr>
        <w:pStyle w:val="Caption"/>
        <w:keepNext/>
        <w:ind w:left="1440" w:hanging="1440"/>
        <w:rPr>
          <w:sz w:val="22"/>
          <w:szCs w:val="22"/>
        </w:rPr>
      </w:pPr>
      <w:r w:rsidRPr="007B3BB3">
        <w:rPr>
          <w:sz w:val="22"/>
          <w:szCs w:val="22"/>
        </w:rPr>
        <w:tab/>
      </w:r>
    </w:p>
    <w:p w14:paraId="1FDBED48" w14:textId="77777777" w:rsidR="00BB3E4E" w:rsidRDefault="00BB3E4E" w:rsidP="00BB3E4E"/>
    <w:p w14:paraId="008462BB" w14:textId="77777777" w:rsidR="00BB3E4E" w:rsidRDefault="00BB3E4E" w:rsidP="00BB3E4E"/>
    <w:p w14:paraId="44B62335" w14:textId="4DE3E43C" w:rsidR="008B6780" w:rsidRPr="00BB3E4E" w:rsidRDefault="00BB3E4E" w:rsidP="00DD2080">
      <w:pPr>
        <w:pStyle w:val="Caption"/>
        <w:spacing w:after="120"/>
        <w:ind w:left="1440" w:hanging="1440"/>
        <w:rPr>
          <w:bCs w:val="0"/>
          <w:sz w:val="22"/>
          <w:szCs w:val="22"/>
          <w:lang w:val="en-GB"/>
        </w:rPr>
      </w:pPr>
      <w:bookmarkStart w:id="42" w:name="_Ref147566875"/>
      <w:bookmarkStart w:id="43" w:name="_Ref116657395"/>
      <w:r w:rsidRPr="00BB3E4E">
        <w:rPr>
          <w:sz w:val="22"/>
          <w:szCs w:val="22"/>
        </w:rPr>
        <w:lastRenderedPageBreak/>
        <w:t xml:space="preserve">Table </w:t>
      </w:r>
      <w:r w:rsidRPr="00BB3E4E">
        <w:rPr>
          <w:sz w:val="22"/>
          <w:szCs w:val="22"/>
        </w:rPr>
        <w:fldChar w:fldCharType="begin"/>
      </w:r>
      <w:r w:rsidRPr="00BB3E4E">
        <w:rPr>
          <w:sz w:val="22"/>
          <w:szCs w:val="22"/>
        </w:rPr>
        <w:instrText xml:space="preserve"> SEQ Table \* ARABIC </w:instrText>
      </w:r>
      <w:r w:rsidRPr="00BB3E4E">
        <w:rPr>
          <w:sz w:val="22"/>
          <w:szCs w:val="22"/>
        </w:rPr>
        <w:fldChar w:fldCharType="separate"/>
      </w:r>
      <w:r w:rsidR="001E2FAC">
        <w:rPr>
          <w:noProof/>
          <w:sz w:val="22"/>
          <w:szCs w:val="22"/>
        </w:rPr>
        <w:t>16</w:t>
      </w:r>
      <w:r w:rsidRPr="00BB3E4E">
        <w:rPr>
          <w:sz w:val="22"/>
          <w:szCs w:val="22"/>
        </w:rPr>
        <w:fldChar w:fldCharType="end"/>
      </w:r>
      <w:bookmarkEnd w:id="42"/>
      <w:bookmarkEnd w:id="43"/>
      <w:r w:rsidRPr="00BB3E4E">
        <w:rPr>
          <w:sz w:val="22"/>
          <w:szCs w:val="22"/>
        </w:rPr>
        <w:tab/>
      </w:r>
      <w:r w:rsidR="00A90ECE" w:rsidRPr="00BB3E4E">
        <w:rPr>
          <w:sz w:val="22"/>
          <w:szCs w:val="22"/>
        </w:rPr>
        <w:t>S</w:t>
      </w:r>
      <w:proofErr w:type="spellStart"/>
      <w:r w:rsidR="008B6780" w:rsidRPr="00BB3E4E">
        <w:rPr>
          <w:bCs w:val="0"/>
          <w:sz w:val="22"/>
          <w:szCs w:val="22"/>
          <w:lang w:val="en-GB"/>
        </w:rPr>
        <w:t>ummary</w:t>
      </w:r>
      <w:proofErr w:type="spellEnd"/>
      <w:r w:rsidR="008B6780" w:rsidRPr="00BB3E4E">
        <w:rPr>
          <w:bCs w:val="0"/>
          <w:sz w:val="22"/>
          <w:szCs w:val="22"/>
          <w:lang w:val="en-GB"/>
        </w:rPr>
        <w:t xml:space="preserve"> of baseline patient and disease characteristics in the phase 3 previously untreated PTCL study</w:t>
      </w:r>
    </w:p>
    <w:tbl>
      <w:tblPr>
        <w:tblW w:w="0" w:type="auto"/>
        <w:tblBorders>
          <w:top w:val="single" w:sz="6" w:space="0" w:color="auto"/>
          <w:bottom w:val="single" w:sz="6" w:space="0" w:color="auto"/>
        </w:tblBorders>
        <w:tblLook w:val="04A0" w:firstRow="1" w:lastRow="0" w:firstColumn="1" w:lastColumn="0" w:noHBand="0" w:noVBand="1"/>
      </w:tblPr>
      <w:tblGrid>
        <w:gridCol w:w="5778"/>
        <w:gridCol w:w="1701"/>
        <w:gridCol w:w="1701"/>
      </w:tblGrid>
      <w:tr w:rsidR="008B6780" w:rsidRPr="00A90ECE" w14:paraId="1CA207D7" w14:textId="77777777" w:rsidTr="008B6780">
        <w:trPr>
          <w:tblHeader/>
        </w:trPr>
        <w:tc>
          <w:tcPr>
            <w:tcW w:w="5778" w:type="dxa"/>
            <w:tcBorders>
              <w:top w:val="single" w:sz="4" w:space="0" w:color="auto"/>
              <w:left w:val="single" w:sz="4" w:space="0" w:color="auto"/>
              <w:bottom w:val="single" w:sz="6" w:space="0" w:color="auto"/>
            </w:tcBorders>
          </w:tcPr>
          <w:p w14:paraId="1A718A6A" w14:textId="77777777" w:rsidR="008B6780" w:rsidRPr="00A90ECE" w:rsidRDefault="008B6780" w:rsidP="008B6780">
            <w:pPr>
              <w:keepNext/>
              <w:tabs>
                <w:tab w:val="left" w:pos="567"/>
              </w:tabs>
              <w:spacing w:after="0"/>
              <w:jc w:val="left"/>
              <w:rPr>
                <w:rFonts w:cs="Arial"/>
                <w:b/>
                <w:noProof/>
                <w:color w:val="000000"/>
                <w:sz w:val="20"/>
                <w:lang w:val="en-GB"/>
              </w:rPr>
            </w:pPr>
            <w:r w:rsidRPr="00A90ECE">
              <w:rPr>
                <w:rFonts w:cs="Arial"/>
                <w:b/>
                <w:noProof/>
                <w:color w:val="000000"/>
                <w:sz w:val="20"/>
                <w:lang w:val="en-GB"/>
              </w:rPr>
              <w:t>Patient characteristics</w:t>
            </w:r>
          </w:p>
        </w:tc>
        <w:tc>
          <w:tcPr>
            <w:tcW w:w="1701" w:type="dxa"/>
            <w:tcBorders>
              <w:top w:val="single" w:sz="4" w:space="0" w:color="auto"/>
              <w:bottom w:val="single" w:sz="6" w:space="0" w:color="auto"/>
            </w:tcBorders>
            <w:vAlign w:val="bottom"/>
          </w:tcPr>
          <w:p w14:paraId="10D7B60A" w14:textId="77777777" w:rsidR="008B6780" w:rsidRPr="00A90ECE" w:rsidRDefault="008B6780" w:rsidP="008B6780">
            <w:pPr>
              <w:keepNext/>
              <w:tabs>
                <w:tab w:val="left" w:pos="567"/>
              </w:tabs>
              <w:spacing w:after="0"/>
              <w:jc w:val="center"/>
              <w:rPr>
                <w:rFonts w:cs="Arial"/>
                <w:b/>
                <w:noProof/>
                <w:color w:val="000000"/>
                <w:sz w:val="20"/>
                <w:lang w:val="en-GB"/>
              </w:rPr>
            </w:pPr>
            <w:r w:rsidRPr="00A90ECE">
              <w:rPr>
                <w:rFonts w:cs="Arial"/>
                <w:b/>
                <w:noProof/>
                <w:color w:val="000000"/>
                <w:sz w:val="20"/>
                <w:lang w:val="en-GB"/>
              </w:rPr>
              <w:t>ADCETRIS + CHP</w:t>
            </w:r>
          </w:p>
          <w:p w14:paraId="3E6F5395" w14:textId="77777777" w:rsidR="008B6780" w:rsidRPr="00A90ECE" w:rsidRDefault="008B6780" w:rsidP="008B6780">
            <w:pPr>
              <w:keepNext/>
              <w:tabs>
                <w:tab w:val="left" w:pos="567"/>
              </w:tabs>
              <w:spacing w:after="0"/>
              <w:jc w:val="center"/>
              <w:rPr>
                <w:rFonts w:cs="Arial"/>
                <w:b/>
                <w:noProof/>
                <w:color w:val="000000"/>
                <w:sz w:val="20"/>
                <w:lang w:val="en-GB"/>
              </w:rPr>
            </w:pPr>
            <w:r w:rsidRPr="00A90ECE">
              <w:rPr>
                <w:rFonts w:cs="Arial"/>
                <w:b/>
                <w:noProof/>
                <w:color w:val="000000"/>
                <w:sz w:val="20"/>
                <w:lang w:val="en-GB"/>
              </w:rPr>
              <w:t>n=226</w:t>
            </w:r>
          </w:p>
        </w:tc>
        <w:tc>
          <w:tcPr>
            <w:tcW w:w="1701" w:type="dxa"/>
            <w:tcBorders>
              <w:top w:val="single" w:sz="4" w:space="0" w:color="auto"/>
              <w:bottom w:val="single" w:sz="6" w:space="0" w:color="auto"/>
              <w:right w:val="single" w:sz="4" w:space="0" w:color="auto"/>
            </w:tcBorders>
            <w:vAlign w:val="bottom"/>
          </w:tcPr>
          <w:p w14:paraId="4FE64C93" w14:textId="77777777" w:rsidR="008B6780" w:rsidRPr="00A90ECE" w:rsidRDefault="008B6780" w:rsidP="008B6780">
            <w:pPr>
              <w:keepNext/>
              <w:tabs>
                <w:tab w:val="left" w:pos="567"/>
              </w:tabs>
              <w:spacing w:after="0"/>
              <w:jc w:val="center"/>
              <w:rPr>
                <w:rFonts w:cs="Arial"/>
                <w:b/>
                <w:noProof/>
                <w:color w:val="000000"/>
                <w:sz w:val="20"/>
                <w:lang w:val="en-GB"/>
              </w:rPr>
            </w:pPr>
            <w:r w:rsidRPr="00A90ECE">
              <w:rPr>
                <w:rFonts w:cs="Arial"/>
                <w:b/>
                <w:noProof/>
                <w:color w:val="000000"/>
                <w:sz w:val="20"/>
                <w:lang w:val="en-GB"/>
              </w:rPr>
              <w:t>CHOP</w:t>
            </w:r>
          </w:p>
          <w:p w14:paraId="51148E40" w14:textId="77777777" w:rsidR="008B6780" w:rsidRPr="00A90ECE" w:rsidRDefault="008B6780" w:rsidP="008B6780">
            <w:pPr>
              <w:keepNext/>
              <w:tabs>
                <w:tab w:val="left" w:pos="567"/>
              </w:tabs>
              <w:spacing w:after="0"/>
              <w:jc w:val="center"/>
              <w:rPr>
                <w:rFonts w:cs="Arial"/>
                <w:b/>
                <w:noProof/>
                <w:color w:val="000000"/>
                <w:sz w:val="20"/>
                <w:lang w:val="en-GB"/>
              </w:rPr>
            </w:pPr>
            <w:r w:rsidRPr="00A90ECE">
              <w:rPr>
                <w:rFonts w:cs="Arial"/>
                <w:b/>
                <w:noProof/>
                <w:color w:val="000000"/>
                <w:sz w:val="20"/>
                <w:lang w:val="en-GB"/>
              </w:rPr>
              <w:t>n=226</w:t>
            </w:r>
          </w:p>
        </w:tc>
      </w:tr>
      <w:tr w:rsidR="008B6780" w:rsidRPr="00A90ECE" w14:paraId="0A1EC352" w14:textId="77777777" w:rsidTr="008B6780">
        <w:trPr>
          <w:tblHeader/>
        </w:trPr>
        <w:tc>
          <w:tcPr>
            <w:tcW w:w="5778" w:type="dxa"/>
            <w:tcBorders>
              <w:top w:val="single" w:sz="6" w:space="0" w:color="auto"/>
              <w:left w:val="single" w:sz="4" w:space="0" w:color="auto"/>
            </w:tcBorders>
          </w:tcPr>
          <w:p w14:paraId="0F138DBD" w14:textId="77777777" w:rsidR="008B6780" w:rsidRPr="00A90ECE" w:rsidRDefault="008B6780" w:rsidP="008B6780">
            <w:pPr>
              <w:keepNext/>
              <w:tabs>
                <w:tab w:val="left" w:pos="567"/>
              </w:tabs>
              <w:spacing w:after="0"/>
              <w:jc w:val="left"/>
              <w:rPr>
                <w:rFonts w:cs="Arial"/>
                <w:noProof/>
                <w:color w:val="000000"/>
                <w:sz w:val="20"/>
                <w:lang w:val="en-GB"/>
              </w:rPr>
            </w:pPr>
            <w:r w:rsidRPr="00A90ECE">
              <w:rPr>
                <w:rFonts w:cs="Arial"/>
                <w:noProof/>
                <w:color w:val="000000"/>
                <w:sz w:val="20"/>
                <w:lang w:val="en-GB"/>
              </w:rPr>
              <w:t>Median age (range)</w:t>
            </w:r>
          </w:p>
        </w:tc>
        <w:tc>
          <w:tcPr>
            <w:tcW w:w="1701" w:type="dxa"/>
            <w:tcBorders>
              <w:top w:val="single" w:sz="6" w:space="0" w:color="auto"/>
            </w:tcBorders>
          </w:tcPr>
          <w:p w14:paraId="7C313BD6"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58.0 (18</w:t>
            </w:r>
            <w:r w:rsidRPr="00A90ECE">
              <w:rPr>
                <w:rFonts w:cs="Arial"/>
                <w:noProof/>
                <w:color w:val="000000"/>
                <w:sz w:val="20"/>
                <w:lang w:val="en-GB"/>
              </w:rPr>
              <w:noBreakHyphen/>
              <w:t>85)</w:t>
            </w:r>
          </w:p>
        </w:tc>
        <w:tc>
          <w:tcPr>
            <w:tcW w:w="1701" w:type="dxa"/>
            <w:tcBorders>
              <w:top w:val="single" w:sz="6" w:space="0" w:color="auto"/>
              <w:right w:val="single" w:sz="4" w:space="0" w:color="auto"/>
            </w:tcBorders>
          </w:tcPr>
          <w:p w14:paraId="07D17915"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58.0 (18</w:t>
            </w:r>
            <w:r w:rsidRPr="00A90ECE">
              <w:rPr>
                <w:rFonts w:cs="Arial"/>
                <w:noProof/>
                <w:color w:val="000000"/>
                <w:sz w:val="20"/>
                <w:lang w:val="en-GB"/>
              </w:rPr>
              <w:noBreakHyphen/>
              <w:t>83)</w:t>
            </w:r>
          </w:p>
        </w:tc>
      </w:tr>
      <w:tr w:rsidR="008B6780" w:rsidRPr="00A90ECE" w14:paraId="66CE4A9A" w14:textId="77777777" w:rsidTr="008B6780">
        <w:trPr>
          <w:tblHeader/>
        </w:trPr>
        <w:tc>
          <w:tcPr>
            <w:tcW w:w="5778" w:type="dxa"/>
            <w:tcBorders>
              <w:left w:val="single" w:sz="4" w:space="0" w:color="auto"/>
            </w:tcBorders>
          </w:tcPr>
          <w:p w14:paraId="5937C61A" w14:textId="77777777" w:rsidR="008B6780" w:rsidRPr="00A90ECE" w:rsidRDefault="008B6780" w:rsidP="008B6780">
            <w:pPr>
              <w:keepNext/>
              <w:tabs>
                <w:tab w:val="left" w:pos="567"/>
              </w:tabs>
              <w:spacing w:after="0"/>
              <w:jc w:val="left"/>
              <w:rPr>
                <w:rFonts w:cs="Arial"/>
                <w:noProof/>
                <w:color w:val="000000"/>
                <w:sz w:val="20"/>
                <w:lang w:val="en-GB"/>
              </w:rPr>
            </w:pPr>
            <w:r w:rsidRPr="00A90ECE">
              <w:rPr>
                <w:rFonts w:cs="Arial"/>
                <w:noProof/>
                <w:color w:val="000000"/>
                <w:sz w:val="20"/>
                <w:lang w:val="en-GB"/>
              </w:rPr>
              <w:t>Patients ≥ 65 years old (%)</w:t>
            </w:r>
          </w:p>
        </w:tc>
        <w:tc>
          <w:tcPr>
            <w:tcW w:w="1701" w:type="dxa"/>
          </w:tcPr>
          <w:p w14:paraId="4BB7BED1"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69 (31)</w:t>
            </w:r>
          </w:p>
        </w:tc>
        <w:tc>
          <w:tcPr>
            <w:tcW w:w="1701" w:type="dxa"/>
            <w:tcBorders>
              <w:right w:val="single" w:sz="4" w:space="0" w:color="auto"/>
            </w:tcBorders>
          </w:tcPr>
          <w:p w14:paraId="63203CED"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70 (31)</w:t>
            </w:r>
          </w:p>
        </w:tc>
      </w:tr>
      <w:tr w:rsidR="008B6780" w:rsidRPr="00A90ECE" w14:paraId="0172E886" w14:textId="77777777" w:rsidTr="008B6780">
        <w:trPr>
          <w:tblHeader/>
        </w:trPr>
        <w:tc>
          <w:tcPr>
            <w:tcW w:w="5778" w:type="dxa"/>
            <w:tcBorders>
              <w:left w:val="single" w:sz="4" w:space="0" w:color="auto"/>
            </w:tcBorders>
          </w:tcPr>
          <w:p w14:paraId="1310F57A" w14:textId="77777777" w:rsidR="008B6780" w:rsidRPr="00A90ECE" w:rsidRDefault="008B6780" w:rsidP="008B6780">
            <w:pPr>
              <w:keepNext/>
              <w:tabs>
                <w:tab w:val="left" w:pos="567"/>
              </w:tabs>
              <w:spacing w:after="0"/>
              <w:jc w:val="left"/>
              <w:rPr>
                <w:rFonts w:cs="Arial"/>
                <w:noProof/>
                <w:color w:val="000000"/>
                <w:sz w:val="20"/>
                <w:lang w:val="en-GB"/>
              </w:rPr>
            </w:pPr>
            <w:r w:rsidRPr="00A90ECE">
              <w:rPr>
                <w:rFonts w:cs="Arial"/>
                <w:noProof/>
                <w:color w:val="000000"/>
                <w:sz w:val="20"/>
                <w:lang w:val="en-GB"/>
              </w:rPr>
              <w:t>Male sex, n (%)</w:t>
            </w:r>
          </w:p>
        </w:tc>
        <w:tc>
          <w:tcPr>
            <w:tcW w:w="1701" w:type="dxa"/>
          </w:tcPr>
          <w:p w14:paraId="0CA602A5"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133 (59)</w:t>
            </w:r>
          </w:p>
        </w:tc>
        <w:tc>
          <w:tcPr>
            <w:tcW w:w="1701" w:type="dxa"/>
            <w:tcBorders>
              <w:right w:val="single" w:sz="4" w:space="0" w:color="auto"/>
            </w:tcBorders>
          </w:tcPr>
          <w:p w14:paraId="57C025B1"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151 (67)</w:t>
            </w:r>
          </w:p>
        </w:tc>
      </w:tr>
      <w:tr w:rsidR="008B6780" w:rsidRPr="00A90ECE" w14:paraId="2D764054" w14:textId="77777777" w:rsidTr="008B6780">
        <w:trPr>
          <w:tblHeader/>
        </w:trPr>
        <w:tc>
          <w:tcPr>
            <w:tcW w:w="5778" w:type="dxa"/>
            <w:tcBorders>
              <w:left w:val="single" w:sz="4" w:space="0" w:color="auto"/>
            </w:tcBorders>
          </w:tcPr>
          <w:p w14:paraId="304EFB67" w14:textId="77777777" w:rsidR="008B6780" w:rsidRPr="00A90ECE" w:rsidRDefault="008B6780" w:rsidP="008B6780">
            <w:pPr>
              <w:keepNext/>
              <w:tabs>
                <w:tab w:val="left" w:pos="567"/>
              </w:tabs>
              <w:spacing w:after="0"/>
              <w:jc w:val="left"/>
              <w:rPr>
                <w:rFonts w:cs="Arial"/>
                <w:noProof/>
                <w:color w:val="000000"/>
                <w:sz w:val="20"/>
                <w:lang w:val="en-GB"/>
              </w:rPr>
            </w:pPr>
            <w:r w:rsidRPr="00A90ECE">
              <w:rPr>
                <w:rFonts w:cs="Arial"/>
                <w:noProof/>
                <w:color w:val="000000"/>
                <w:sz w:val="20"/>
                <w:lang w:val="en-GB"/>
              </w:rPr>
              <w:t>ECOG status, n (%)</w:t>
            </w:r>
          </w:p>
        </w:tc>
        <w:tc>
          <w:tcPr>
            <w:tcW w:w="1701" w:type="dxa"/>
          </w:tcPr>
          <w:p w14:paraId="610F6407" w14:textId="77777777" w:rsidR="008B6780" w:rsidRPr="00A90ECE" w:rsidRDefault="008B6780" w:rsidP="008B6780">
            <w:pPr>
              <w:keepNext/>
              <w:tabs>
                <w:tab w:val="left" w:pos="567"/>
              </w:tabs>
              <w:spacing w:after="0"/>
              <w:jc w:val="center"/>
              <w:rPr>
                <w:rFonts w:cs="Arial"/>
                <w:noProof/>
                <w:color w:val="000000"/>
                <w:sz w:val="20"/>
                <w:lang w:val="en-GB"/>
              </w:rPr>
            </w:pPr>
          </w:p>
        </w:tc>
        <w:tc>
          <w:tcPr>
            <w:tcW w:w="1701" w:type="dxa"/>
            <w:tcBorders>
              <w:right w:val="single" w:sz="4" w:space="0" w:color="auto"/>
            </w:tcBorders>
          </w:tcPr>
          <w:p w14:paraId="267D3C12" w14:textId="77777777" w:rsidR="008B6780" w:rsidRPr="00A90ECE" w:rsidRDefault="008B6780" w:rsidP="008B6780">
            <w:pPr>
              <w:keepNext/>
              <w:tabs>
                <w:tab w:val="left" w:pos="567"/>
              </w:tabs>
              <w:spacing w:after="0"/>
              <w:jc w:val="center"/>
              <w:rPr>
                <w:rFonts w:cs="Arial"/>
                <w:noProof/>
                <w:color w:val="000000"/>
                <w:sz w:val="20"/>
                <w:lang w:val="en-GB"/>
              </w:rPr>
            </w:pPr>
          </w:p>
        </w:tc>
      </w:tr>
      <w:tr w:rsidR="008B6780" w:rsidRPr="00A90ECE" w14:paraId="60736F84" w14:textId="77777777" w:rsidTr="008B6780">
        <w:trPr>
          <w:tblHeader/>
        </w:trPr>
        <w:tc>
          <w:tcPr>
            <w:tcW w:w="5778" w:type="dxa"/>
            <w:tcBorders>
              <w:left w:val="single" w:sz="4" w:space="0" w:color="auto"/>
            </w:tcBorders>
          </w:tcPr>
          <w:p w14:paraId="2C8E9C6D" w14:textId="77777777" w:rsidR="008B6780" w:rsidRPr="00A90ECE" w:rsidRDefault="008B6780" w:rsidP="008B6780">
            <w:pPr>
              <w:keepNext/>
              <w:tabs>
                <w:tab w:val="left" w:pos="567"/>
              </w:tabs>
              <w:spacing w:after="0"/>
              <w:ind w:left="144"/>
              <w:jc w:val="left"/>
              <w:rPr>
                <w:rFonts w:cs="Arial"/>
                <w:noProof/>
                <w:color w:val="000000"/>
                <w:sz w:val="20"/>
                <w:lang w:val="en-GB"/>
              </w:rPr>
            </w:pPr>
            <w:r w:rsidRPr="00A90ECE">
              <w:rPr>
                <w:rFonts w:cs="Arial"/>
                <w:noProof/>
                <w:color w:val="000000"/>
                <w:sz w:val="20"/>
                <w:lang w:val="en-GB"/>
              </w:rPr>
              <w:t>0</w:t>
            </w:r>
          </w:p>
        </w:tc>
        <w:tc>
          <w:tcPr>
            <w:tcW w:w="1701" w:type="dxa"/>
          </w:tcPr>
          <w:p w14:paraId="7613C721"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84 (37)</w:t>
            </w:r>
          </w:p>
        </w:tc>
        <w:tc>
          <w:tcPr>
            <w:tcW w:w="1701" w:type="dxa"/>
            <w:tcBorders>
              <w:right w:val="single" w:sz="4" w:space="0" w:color="auto"/>
            </w:tcBorders>
          </w:tcPr>
          <w:p w14:paraId="6FCB2C67"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93 (41)</w:t>
            </w:r>
          </w:p>
        </w:tc>
      </w:tr>
      <w:tr w:rsidR="008B6780" w:rsidRPr="00A90ECE" w14:paraId="563433E5" w14:textId="77777777" w:rsidTr="008B6780">
        <w:trPr>
          <w:tblHeader/>
        </w:trPr>
        <w:tc>
          <w:tcPr>
            <w:tcW w:w="5778" w:type="dxa"/>
            <w:tcBorders>
              <w:left w:val="single" w:sz="4" w:space="0" w:color="auto"/>
            </w:tcBorders>
          </w:tcPr>
          <w:p w14:paraId="4789FDC9" w14:textId="77777777" w:rsidR="008B6780" w:rsidRPr="00A90ECE" w:rsidRDefault="008B6780" w:rsidP="008B6780">
            <w:pPr>
              <w:keepNext/>
              <w:tabs>
                <w:tab w:val="left" w:pos="567"/>
              </w:tabs>
              <w:spacing w:after="0"/>
              <w:ind w:left="144"/>
              <w:jc w:val="left"/>
              <w:rPr>
                <w:rFonts w:cs="Arial"/>
                <w:noProof/>
                <w:color w:val="000000"/>
                <w:sz w:val="20"/>
                <w:lang w:val="en-GB"/>
              </w:rPr>
            </w:pPr>
            <w:r w:rsidRPr="00A90ECE">
              <w:rPr>
                <w:rFonts w:cs="Arial"/>
                <w:noProof/>
                <w:color w:val="000000"/>
                <w:sz w:val="20"/>
                <w:lang w:val="en-GB"/>
              </w:rPr>
              <w:t>1</w:t>
            </w:r>
          </w:p>
        </w:tc>
        <w:tc>
          <w:tcPr>
            <w:tcW w:w="1701" w:type="dxa"/>
          </w:tcPr>
          <w:p w14:paraId="13D9D1E7"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90 (40)</w:t>
            </w:r>
          </w:p>
        </w:tc>
        <w:tc>
          <w:tcPr>
            <w:tcW w:w="1701" w:type="dxa"/>
            <w:tcBorders>
              <w:right w:val="single" w:sz="4" w:space="0" w:color="auto"/>
            </w:tcBorders>
          </w:tcPr>
          <w:p w14:paraId="26564224"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86 (38)</w:t>
            </w:r>
          </w:p>
        </w:tc>
      </w:tr>
      <w:tr w:rsidR="008B6780" w:rsidRPr="00A90ECE" w14:paraId="62A4F5D4" w14:textId="77777777" w:rsidTr="008B6780">
        <w:trPr>
          <w:tblHeader/>
        </w:trPr>
        <w:tc>
          <w:tcPr>
            <w:tcW w:w="5778" w:type="dxa"/>
            <w:tcBorders>
              <w:left w:val="single" w:sz="4" w:space="0" w:color="auto"/>
              <w:bottom w:val="single" w:sz="6" w:space="0" w:color="auto"/>
            </w:tcBorders>
          </w:tcPr>
          <w:p w14:paraId="2BB7C9B6" w14:textId="77777777" w:rsidR="008B6780" w:rsidRPr="00A90ECE" w:rsidRDefault="008B6780" w:rsidP="008B6780">
            <w:pPr>
              <w:keepNext/>
              <w:tabs>
                <w:tab w:val="left" w:pos="567"/>
              </w:tabs>
              <w:spacing w:after="0"/>
              <w:ind w:left="144"/>
              <w:jc w:val="left"/>
              <w:rPr>
                <w:rFonts w:cs="Arial"/>
                <w:noProof/>
                <w:color w:val="000000"/>
                <w:sz w:val="20"/>
                <w:lang w:val="en-GB"/>
              </w:rPr>
            </w:pPr>
            <w:r w:rsidRPr="00A90ECE">
              <w:rPr>
                <w:rFonts w:cs="Arial"/>
                <w:noProof/>
                <w:color w:val="000000"/>
                <w:sz w:val="20"/>
                <w:lang w:val="en-GB"/>
              </w:rPr>
              <w:t>2</w:t>
            </w:r>
          </w:p>
        </w:tc>
        <w:tc>
          <w:tcPr>
            <w:tcW w:w="1701" w:type="dxa"/>
            <w:tcBorders>
              <w:bottom w:val="single" w:sz="6" w:space="0" w:color="auto"/>
            </w:tcBorders>
          </w:tcPr>
          <w:p w14:paraId="44C205B6"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51 (23)</w:t>
            </w:r>
          </w:p>
        </w:tc>
        <w:tc>
          <w:tcPr>
            <w:tcW w:w="1701" w:type="dxa"/>
            <w:tcBorders>
              <w:bottom w:val="single" w:sz="6" w:space="0" w:color="auto"/>
              <w:right w:val="single" w:sz="4" w:space="0" w:color="auto"/>
            </w:tcBorders>
          </w:tcPr>
          <w:p w14:paraId="6261F29A"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47 (21)</w:t>
            </w:r>
          </w:p>
        </w:tc>
      </w:tr>
      <w:tr w:rsidR="008B6780" w:rsidRPr="00A90ECE" w14:paraId="13517382" w14:textId="77777777" w:rsidTr="008B6780">
        <w:trPr>
          <w:tblHeader/>
        </w:trPr>
        <w:tc>
          <w:tcPr>
            <w:tcW w:w="5778" w:type="dxa"/>
            <w:tcBorders>
              <w:top w:val="single" w:sz="6" w:space="0" w:color="auto"/>
              <w:left w:val="single" w:sz="4" w:space="0" w:color="auto"/>
              <w:bottom w:val="single" w:sz="4" w:space="0" w:color="auto"/>
            </w:tcBorders>
          </w:tcPr>
          <w:p w14:paraId="6D77B7D4" w14:textId="77777777" w:rsidR="008B6780" w:rsidRPr="00A90ECE" w:rsidRDefault="008B6780" w:rsidP="008B6780">
            <w:pPr>
              <w:keepNext/>
              <w:tabs>
                <w:tab w:val="left" w:pos="567"/>
              </w:tabs>
              <w:spacing w:after="0"/>
              <w:jc w:val="left"/>
              <w:rPr>
                <w:rFonts w:cs="Arial"/>
                <w:b/>
                <w:noProof/>
                <w:color w:val="000000"/>
                <w:sz w:val="20"/>
                <w:lang w:val="en-GB"/>
              </w:rPr>
            </w:pPr>
            <w:r w:rsidRPr="00A90ECE">
              <w:rPr>
                <w:rFonts w:cs="Arial"/>
                <w:b/>
                <w:noProof/>
                <w:color w:val="000000"/>
                <w:sz w:val="20"/>
                <w:lang w:val="en-GB"/>
              </w:rPr>
              <w:t>Disease characteristics</w:t>
            </w:r>
          </w:p>
        </w:tc>
        <w:tc>
          <w:tcPr>
            <w:tcW w:w="1701" w:type="dxa"/>
            <w:tcBorders>
              <w:top w:val="single" w:sz="6" w:space="0" w:color="auto"/>
              <w:bottom w:val="single" w:sz="4" w:space="0" w:color="auto"/>
            </w:tcBorders>
          </w:tcPr>
          <w:p w14:paraId="24D43CD9" w14:textId="77777777" w:rsidR="008B6780" w:rsidRPr="00A90ECE" w:rsidRDefault="008B6780" w:rsidP="008B6780">
            <w:pPr>
              <w:keepNext/>
              <w:tabs>
                <w:tab w:val="left" w:pos="567"/>
              </w:tabs>
              <w:spacing w:after="0"/>
              <w:jc w:val="center"/>
              <w:rPr>
                <w:rFonts w:cs="Arial"/>
                <w:noProof/>
                <w:color w:val="000000"/>
                <w:sz w:val="20"/>
                <w:lang w:val="en-GB"/>
              </w:rPr>
            </w:pPr>
          </w:p>
        </w:tc>
        <w:tc>
          <w:tcPr>
            <w:tcW w:w="1701" w:type="dxa"/>
            <w:tcBorders>
              <w:top w:val="single" w:sz="6" w:space="0" w:color="auto"/>
              <w:bottom w:val="single" w:sz="4" w:space="0" w:color="auto"/>
              <w:right w:val="single" w:sz="4" w:space="0" w:color="auto"/>
            </w:tcBorders>
          </w:tcPr>
          <w:p w14:paraId="7D2F1BFB" w14:textId="77777777" w:rsidR="008B6780" w:rsidRPr="00A90ECE" w:rsidRDefault="008B6780" w:rsidP="008B6780">
            <w:pPr>
              <w:keepNext/>
              <w:tabs>
                <w:tab w:val="left" w:pos="567"/>
              </w:tabs>
              <w:spacing w:after="0"/>
              <w:jc w:val="center"/>
              <w:rPr>
                <w:rFonts w:cs="Arial"/>
                <w:noProof/>
                <w:color w:val="000000"/>
                <w:sz w:val="20"/>
                <w:lang w:val="en-GB"/>
              </w:rPr>
            </w:pPr>
          </w:p>
        </w:tc>
      </w:tr>
      <w:tr w:rsidR="008B6780" w:rsidRPr="00A90ECE" w14:paraId="2A922CFC" w14:textId="77777777" w:rsidTr="008B6780">
        <w:trPr>
          <w:tblHeader/>
        </w:trPr>
        <w:tc>
          <w:tcPr>
            <w:tcW w:w="5778" w:type="dxa"/>
            <w:tcBorders>
              <w:top w:val="single" w:sz="4" w:space="0" w:color="auto"/>
              <w:left w:val="single" w:sz="4" w:space="0" w:color="auto"/>
              <w:bottom w:val="nil"/>
            </w:tcBorders>
          </w:tcPr>
          <w:p w14:paraId="36C8F780" w14:textId="77777777" w:rsidR="008B6780" w:rsidRPr="00A90ECE" w:rsidRDefault="008B6780" w:rsidP="008B6780">
            <w:pPr>
              <w:keepNext/>
              <w:tabs>
                <w:tab w:val="left" w:pos="567"/>
              </w:tabs>
              <w:spacing w:after="0"/>
              <w:ind w:left="144"/>
              <w:jc w:val="left"/>
              <w:rPr>
                <w:rFonts w:cs="Arial"/>
                <w:b/>
                <w:noProof/>
                <w:color w:val="000000"/>
                <w:sz w:val="20"/>
                <w:lang w:val="en-GB"/>
              </w:rPr>
            </w:pPr>
            <w:r w:rsidRPr="00A90ECE">
              <w:rPr>
                <w:rFonts w:cs="Arial"/>
                <w:noProof/>
                <w:color w:val="000000"/>
                <w:sz w:val="20"/>
                <w:lang w:val="en-GB"/>
              </w:rPr>
              <w:t>Diagnosis, per local assessment, n (%)</w:t>
            </w:r>
          </w:p>
        </w:tc>
        <w:tc>
          <w:tcPr>
            <w:tcW w:w="1701" w:type="dxa"/>
            <w:tcBorders>
              <w:top w:val="single" w:sz="4" w:space="0" w:color="auto"/>
              <w:bottom w:val="nil"/>
            </w:tcBorders>
          </w:tcPr>
          <w:p w14:paraId="56CBC8F5" w14:textId="77777777" w:rsidR="008B6780" w:rsidRPr="00A90ECE" w:rsidRDefault="008B6780" w:rsidP="008B6780">
            <w:pPr>
              <w:keepNext/>
              <w:tabs>
                <w:tab w:val="left" w:pos="567"/>
              </w:tabs>
              <w:spacing w:after="0"/>
              <w:jc w:val="center"/>
              <w:rPr>
                <w:rFonts w:cs="Arial"/>
                <w:noProof/>
                <w:color w:val="000000"/>
                <w:sz w:val="20"/>
                <w:lang w:val="en-GB"/>
              </w:rPr>
            </w:pPr>
          </w:p>
        </w:tc>
        <w:tc>
          <w:tcPr>
            <w:tcW w:w="1701" w:type="dxa"/>
            <w:tcBorders>
              <w:top w:val="single" w:sz="4" w:space="0" w:color="auto"/>
              <w:bottom w:val="nil"/>
              <w:right w:val="single" w:sz="4" w:space="0" w:color="auto"/>
            </w:tcBorders>
          </w:tcPr>
          <w:p w14:paraId="62E94893" w14:textId="77777777" w:rsidR="008B6780" w:rsidRPr="00A90ECE" w:rsidRDefault="008B6780" w:rsidP="008B6780">
            <w:pPr>
              <w:keepNext/>
              <w:tabs>
                <w:tab w:val="left" w:pos="567"/>
              </w:tabs>
              <w:spacing w:after="0"/>
              <w:jc w:val="center"/>
              <w:rPr>
                <w:rFonts w:cs="Arial"/>
                <w:noProof/>
                <w:color w:val="000000"/>
                <w:sz w:val="20"/>
                <w:lang w:val="en-GB"/>
              </w:rPr>
            </w:pPr>
          </w:p>
        </w:tc>
      </w:tr>
      <w:tr w:rsidR="008B6780" w:rsidRPr="00A90ECE" w14:paraId="13B71754" w14:textId="77777777" w:rsidTr="008B6780">
        <w:trPr>
          <w:tblHeader/>
        </w:trPr>
        <w:tc>
          <w:tcPr>
            <w:tcW w:w="5778" w:type="dxa"/>
            <w:tcBorders>
              <w:top w:val="nil"/>
              <w:left w:val="single" w:sz="4" w:space="0" w:color="auto"/>
              <w:bottom w:val="nil"/>
            </w:tcBorders>
          </w:tcPr>
          <w:p w14:paraId="44D48382" w14:textId="77777777" w:rsidR="008B6780" w:rsidRPr="00A90ECE" w:rsidRDefault="008B6780" w:rsidP="008B6780">
            <w:pPr>
              <w:keepNext/>
              <w:tabs>
                <w:tab w:val="left" w:pos="567"/>
              </w:tabs>
              <w:spacing w:after="0"/>
              <w:ind w:left="288"/>
              <w:jc w:val="left"/>
              <w:rPr>
                <w:rFonts w:cs="Arial"/>
                <w:b/>
                <w:noProof/>
                <w:color w:val="000000"/>
                <w:sz w:val="20"/>
                <w:lang w:val="en-GB"/>
              </w:rPr>
            </w:pPr>
            <w:r w:rsidRPr="00A90ECE">
              <w:rPr>
                <w:rFonts w:cs="Arial"/>
                <w:noProof/>
                <w:color w:val="000000"/>
                <w:sz w:val="20"/>
                <w:lang w:val="en-GB"/>
              </w:rPr>
              <w:t>sALCL</w:t>
            </w:r>
          </w:p>
        </w:tc>
        <w:tc>
          <w:tcPr>
            <w:tcW w:w="1701" w:type="dxa"/>
            <w:tcBorders>
              <w:top w:val="nil"/>
              <w:bottom w:val="nil"/>
            </w:tcBorders>
          </w:tcPr>
          <w:p w14:paraId="27C5E267"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162 (72)</w:t>
            </w:r>
          </w:p>
        </w:tc>
        <w:tc>
          <w:tcPr>
            <w:tcW w:w="1701" w:type="dxa"/>
            <w:tcBorders>
              <w:top w:val="nil"/>
              <w:bottom w:val="nil"/>
              <w:right w:val="single" w:sz="4" w:space="0" w:color="auto"/>
            </w:tcBorders>
          </w:tcPr>
          <w:p w14:paraId="6D8B4A87"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154 (68)</w:t>
            </w:r>
          </w:p>
        </w:tc>
      </w:tr>
      <w:tr w:rsidR="008B6780" w:rsidRPr="00A90ECE" w14:paraId="095AD1BA" w14:textId="77777777" w:rsidTr="008B6780">
        <w:trPr>
          <w:tblHeader/>
        </w:trPr>
        <w:tc>
          <w:tcPr>
            <w:tcW w:w="5778" w:type="dxa"/>
            <w:tcBorders>
              <w:top w:val="nil"/>
              <w:left w:val="single" w:sz="4" w:space="0" w:color="auto"/>
              <w:bottom w:val="nil"/>
            </w:tcBorders>
          </w:tcPr>
          <w:p w14:paraId="7206B5C6" w14:textId="77777777" w:rsidR="008B6780" w:rsidRPr="00A90ECE" w:rsidRDefault="008B6780" w:rsidP="008B6780">
            <w:pPr>
              <w:keepNext/>
              <w:tabs>
                <w:tab w:val="left" w:pos="567"/>
              </w:tabs>
              <w:spacing w:after="0"/>
              <w:ind w:left="576"/>
              <w:jc w:val="left"/>
              <w:rPr>
                <w:rFonts w:cs="Arial"/>
                <w:b/>
                <w:noProof/>
                <w:color w:val="000000"/>
                <w:sz w:val="20"/>
                <w:lang w:val="en-GB"/>
              </w:rPr>
            </w:pPr>
            <w:r w:rsidRPr="00A90ECE">
              <w:rPr>
                <w:rFonts w:cs="Arial"/>
                <w:noProof/>
                <w:color w:val="000000"/>
                <w:sz w:val="20"/>
                <w:lang w:val="en-GB"/>
              </w:rPr>
              <w:t>ALK-positive</w:t>
            </w:r>
          </w:p>
        </w:tc>
        <w:tc>
          <w:tcPr>
            <w:tcW w:w="1701" w:type="dxa"/>
            <w:tcBorders>
              <w:top w:val="nil"/>
              <w:bottom w:val="nil"/>
            </w:tcBorders>
          </w:tcPr>
          <w:p w14:paraId="067858FB"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49 (22)</w:t>
            </w:r>
          </w:p>
        </w:tc>
        <w:tc>
          <w:tcPr>
            <w:tcW w:w="1701" w:type="dxa"/>
            <w:tcBorders>
              <w:top w:val="nil"/>
              <w:bottom w:val="nil"/>
              <w:right w:val="single" w:sz="4" w:space="0" w:color="auto"/>
            </w:tcBorders>
          </w:tcPr>
          <w:p w14:paraId="51FA45F6"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49 (22)</w:t>
            </w:r>
          </w:p>
        </w:tc>
      </w:tr>
      <w:tr w:rsidR="008B6780" w:rsidRPr="00A90ECE" w14:paraId="2CE9ECD5" w14:textId="77777777" w:rsidTr="008B6780">
        <w:trPr>
          <w:tblHeader/>
        </w:trPr>
        <w:tc>
          <w:tcPr>
            <w:tcW w:w="5778" w:type="dxa"/>
            <w:tcBorders>
              <w:top w:val="nil"/>
              <w:left w:val="single" w:sz="4" w:space="0" w:color="auto"/>
              <w:bottom w:val="nil"/>
            </w:tcBorders>
          </w:tcPr>
          <w:p w14:paraId="7C2C7A7F" w14:textId="77777777" w:rsidR="008B6780" w:rsidRPr="00A90ECE" w:rsidRDefault="008B6780" w:rsidP="008B6780">
            <w:pPr>
              <w:keepNext/>
              <w:tabs>
                <w:tab w:val="left" w:pos="567"/>
              </w:tabs>
              <w:spacing w:after="0"/>
              <w:ind w:left="576"/>
              <w:jc w:val="left"/>
              <w:rPr>
                <w:rFonts w:cs="Arial"/>
                <w:b/>
                <w:noProof/>
                <w:color w:val="000000"/>
                <w:sz w:val="20"/>
                <w:lang w:val="en-GB"/>
              </w:rPr>
            </w:pPr>
            <w:r w:rsidRPr="00A90ECE">
              <w:rPr>
                <w:rFonts w:cs="Arial"/>
                <w:noProof/>
                <w:color w:val="000000"/>
                <w:sz w:val="20"/>
                <w:lang w:val="en-GB"/>
              </w:rPr>
              <w:t>ALK-negative</w:t>
            </w:r>
          </w:p>
        </w:tc>
        <w:tc>
          <w:tcPr>
            <w:tcW w:w="1701" w:type="dxa"/>
            <w:tcBorders>
              <w:top w:val="nil"/>
              <w:bottom w:val="nil"/>
            </w:tcBorders>
          </w:tcPr>
          <w:p w14:paraId="5164679A"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113 (50)</w:t>
            </w:r>
          </w:p>
        </w:tc>
        <w:tc>
          <w:tcPr>
            <w:tcW w:w="1701" w:type="dxa"/>
            <w:tcBorders>
              <w:top w:val="nil"/>
              <w:bottom w:val="nil"/>
              <w:right w:val="single" w:sz="4" w:space="0" w:color="auto"/>
            </w:tcBorders>
          </w:tcPr>
          <w:p w14:paraId="13E75664"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105 (46)</w:t>
            </w:r>
          </w:p>
        </w:tc>
      </w:tr>
      <w:tr w:rsidR="008B6780" w:rsidRPr="00A90ECE" w14:paraId="04926616" w14:textId="77777777" w:rsidTr="008B6780">
        <w:trPr>
          <w:tblHeader/>
        </w:trPr>
        <w:tc>
          <w:tcPr>
            <w:tcW w:w="5778" w:type="dxa"/>
            <w:tcBorders>
              <w:top w:val="nil"/>
              <w:left w:val="single" w:sz="4" w:space="0" w:color="auto"/>
              <w:bottom w:val="nil"/>
            </w:tcBorders>
          </w:tcPr>
          <w:p w14:paraId="252F6B31" w14:textId="77777777" w:rsidR="008B6780" w:rsidRPr="00A90ECE" w:rsidRDefault="008B6780" w:rsidP="008B6780">
            <w:pPr>
              <w:keepNext/>
              <w:tabs>
                <w:tab w:val="left" w:pos="567"/>
              </w:tabs>
              <w:spacing w:after="0"/>
              <w:ind w:left="288"/>
              <w:jc w:val="left"/>
              <w:rPr>
                <w:rFonts w:cs="Arial"/>
                <w:b/>
                <w:noProof/>
                <w:color w:val="000000"/>
                <w:sz w:val="20"/>
                <w:lang w:val="fr-FR"/>
              </w:rPr>
            </w:pPr>
            <w:r w:rsidRPr="00A90ECE">
              <w:rPr>
                <w:rFonts w:cs="Arial"/>
                <w:noProof/>
                <w:color w:val="000000"/>
                <w:sz w:val="20"/>
                <w:lang w:val="fr-FR"/>
              </w:rPr>
              <w:t>Peripheral T-cell lymphoma (PTCL-NOS)</w:t>
            </w:r>
          </w:p>
        </w:tc>
        <w:tc>
          <w:tcPr>
            <w:tcW w:w="1701" w:type="dxa"/>
            <w:tcBorders>
              <w:top w:val="nil"/>
              <w:bottom w:val="nil"/>
            </w:tcBorders>
          </w:tcPr>
          <w:p w14:paraId="272FF90A"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29 (13)</w:t>
            </w:r>
          </w:p>
        </w:tc>
        <w:tc>
          <w:tcPr>
            <w:tcW w:w="1701" w:type="dxa"/>
            <w:tcBorders>
              <w:top w:val="nil"/>
              <w:bottom w:val="nil"/>
              <w:right w:val="single" w:sz="4" w:space="0" w:color="auto"/>
            </w:tcBorders>
          </w:tcPr>
          <w:p w14:paraId="7671BDFC"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43 (19)</w:t>
            </w:r>
          </w:p>
        </w:tc>
      </w:tr>
      <w:tr w:rsidR="008B6780" w:rsidRPr="00A90ECE" w14:paraId="7653D7C0" w14:textId="77777777" w:rsidTr="008B6780">
        <w:trPr>
          <w:tblHeader/>
        </w:trPr>
        <w:tc>
          <w:tcPr>
            <w:tcW w:w="5778" w:type="dxa"/>
            <w:tcBorders>
              <w:top w:val="nil"/>
              <w:left w:val="single" w:sz="4" w:space="0" w:color="auto"/>
              <w:bottom w:val="nil"/>
            </w:tcBorders>
          </w:tcPr>
          <w:p w14:paraId="7F62FF14" w14:textId="77777777" w:rsidR="008B6780" w:rsidRPr="00A90ECE" w:rsidRDefault="008B6780" w:rsidP="008B6780">
            <w:pPr>
              <w:keepNext/>
              <w:tabs>
                <w:tab w:val="left" w:pos="567"/>
              </w:tabs>
              <w:spacing w:after="0"/>
              <w:ind w:left="288"/>
              <w:jc w:val="left"/>
              <w:rPr>
                <w:rFonts w:cs="Arial"/>
                <w:b/>
                <w:noProof/>
                <w:color w:val="000000"/>
                <w:sz w:val="20"/>
                <w:lang w:val="en-GB"/>
              </w:rPr>
            </w:pPr>
            <w:r w:rsidRPr="00A90ECE">
              <w:rPr>
                <w:rFonts w:cs="Arial"/>
                <w:noProof/>
                <w:color w:val="000000"/>
                <w:sz w:val="20"/>
                <w:lang w:val="en-GB"/>
              </w:rPr>
              <w:t>Angioimmunoblastic T-cell lymphoma (AITL)</w:t>
            </w:r>
          </w:p>
        </w:tc>
        <w:tc>
          <w:tcPr>
            <w:tcW w:w="1701" w:type="dxa"/>
            <w:tcBorders>
              <w:top w:val="nil"/>
              <w:bottom w:val="nil"/>
            </w:tcBorders>
          </w:tcPr>
          <w:p w14:paraId="13E09F19"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30 (13)</w:t>
            </w:r>
          </w:p>
        </w:tc>
        <w:tc>
          <w:tcPr>
            <w:tcW w:w="1701" w:type="dxa"/>
            <w:tcBorders>
              <w:top w:val="nil"/>
              <w:bottom w:val="nil"/>
              <w:right w:val="single" w:sz="4" w:space="0" w:color="auto"/>
            </w:tcBorders>
          </w:tcPr>
          <w:p w14:paraId="2B444D3D"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24 (11)</w:t>
            </w:r>
          </w:p>
        </w:tc>
      </w:tr>
      <w:tr w:rsidR="008B6780" w:rsidRPr="00A90ECE" w14:paraId="05898EB9" w14:textId="77777777" w:rsidTr="008B6780">
        <w:trPr>
          <w:tblHeader/>
        </w:trPr>
        <w:tc>
          <w:tcPr>
            <w:tcW w:w="5778" w:type="dxa"/>
            <w:tcBorders>
              <w:top w:val="nil"/>
              <w:left w:val="single" w:sz="4" w:space="0" w:color="auto"/>
              <w:bottom w:val="nil"/>
            </w:tcBorders>
          </w:tcPr>
          <w:p w14:paraId="0988E29B" w14:textId="77777777" w:rsidR="008B6780" w:rsidRPr="00A90ECE" w:rsidRDefault="008B6780" w:rsidP="008B6780">
            <w:pPr>
              <w:keepNext/>
              <w:tabs>
                <w:tab w:val="left" w:pos="567"/>
              </w:tabs>
              <w:spacing w:after="0"/>
              <w:ind w:left="288"/>
              <w:jc w:val="left"/>
              <w:rPr>
                <w:rFonts w:cs="Arial"/>
                <w:b/>
                <w:noProof/>
                <w:color w:val="000000"/>
                <w:sz w:val="20"/>
                <w:lang w:val="en-GB"/>
              </w:rPr>
            </w:pPr>
            <w:r w:rsidRPr="00A90ECE">
              <w:rPr>
                <w:rFonts w:cs="Arial"/>
                <w:noProof/>
                <w:color w:val="000000"/>
                <w:sz w:val="20"/>
                <w:lang w:val="en-GB"/>
              </w:rPr>
              <w:t>Adult T-cell leukemia/lymphoma (ATLL)</w:t>
            </w:r>
          </w:p>
        </w:tc>
        <w:tc>
          <w:tcPr>
            <w:tcW w:w="1701" w:type="dxa"/>
            <w:tcBorders>
              <w:top w:val="nil"/>
              <w:bottom w:val="nil"/>
            </w:tcBorders>
          </w:tcPr>
          <w:p w14:paraId="6369FF8A"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4 (2)</w:t>
            </w:r>
          </w:p>
        </w:tc>
        <w:tc>
          <w:tcPr>
            <w:tcW w:w="1701" w:type="dxa"/>
            <w:tcBorders>
              <w:top w:val="nil"/>
              <w:bottom w:val="nil"/>
              <w:right w:val="single" w:sz="4" w:space="0" w:color="auto"/>
            </w:tcBorders>
          </w:tcPr>
          <w:p w14:paraId="747D49EA"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3 (1)</w:t>
            </w:r>
          </w:p>
        </w:tc>
      </w:tr>
      <w:tr w:rsidR="008B6780" w:rsidRPr="00A90ECE" w14:paraId="5F4FDA16" w14:textId="77777777" w:rsidTr="008B6780">
        <w:trPr>
          <w:tblHeader/>
        </w:trPr>
        <w:tc>
          <w:tcPr>
            <w:tcW w:w="5778" w:type="dxa"/>
            <w:tcBorders>
              <w:top w:val="nil"/>
              <w:left w:val="single" w:sz="4" w:space="0" w:color="auto"/>
              <w:bottom w:val="nil"/>
            </w:tcBorders>
          </w:tcPr>
          <w:p w14:paraId="0934F44D" w14:textId="77777777" w:rsidR="008B6780" w:rsidRPr="00A90ECE" w:rsidRDefault="008B6780" w:rsidP="008B6780">
            <w:pPr>
              <w:keepNext/>
              <w:tabs>
                <w:tab w:val="left" w:pos="567"/>
              </w:tabs>
              <w:spacing w:after="0"/>
              <w:ind w:left="288"/>
              <w:jc w:val="left"/>
              <w:rPr>
                <w:rFonts w:cs="Arial"/>
                <w:b/>
                <w:noProof/>
                <w:color w:val="000000"/>
                <w:sz w:val="20"/>
                <w:lang w:val="en-GB"/>
              </w:rPr>
            </w:pPr>
            <w:r w:rsidRPr="00A90ECE">
              <w:rPr>
                <w:rFonts w:cs="Arial"/>
                <w:noProof/>
                <w:color w:val="000000"/>
                <w:sz w:val="20"/>
                <w:lang w:val="en-GB"/>
              </w:rPr>
              <w:t>Enteropathy-associated T-cell lymphoma (EATL)</w:t>
            </w:r>
          </w:p>
        </w:tc>
        <w:tc>
          <w:tcPr>
            <w:tcW w:w="1701" w:type="dxa"/>
            <w:tcBorders>
              <w:top w:val="nil"/>
              <w:bottom w:val="nil"/>
            </w:tcBorders>
          </w:tcPr>
          <w:p w14:paraId="4F8CDE13"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 (0)</w:t>
            </w:r>
          </w:p>
        </w:tc>
        <w:tc>
          <w:tcPr>
            <w:tcW w:w="1701" w:type="dxa"/>
            <w:tcBorders>
              <w:top w:val="nil"/>
              <w:bottom w:val="nil"/>
              <w:right w:val="single" w:sz="4" w:space="0" w:color="auto"/>
            </w:tcBorders>
          </w:tcPr>
          <w:p w14:paraId="6A307044"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2 (1)</w:t>
            </w:r>
          </w:p>
        </w:tc>
      </w:tr>
      <w:tr w:rsidR="008B6780" w:rsidRPr="00A90ECE" w14:paraId="09DBB587" w14:textId="77777777" w:rsidTr="008B6780">
        <w:trPr>
          <w:tblHeader/>
        </w:trPr>
        <w:tc>
          <w:tcPr>
            <w:tcW w:w="5778" w:type="dxa"/>
            <w:tcBorders>
              <w:top w:val="nil"/>
              <w:left w:val="single" w:sz="4" w:space="0" w:color="auto"/>
              <w:bottom w:val="nil"/>
            </w:tcBorders>
          </w:tcPr>
          <w:p w14:paraId="156E61BA" w14:textId="77777777" w:rsidR="008B6780" w:rsidRPr="00A90ECE" w:rsidRDefault="008B6780" w:rsidP="008B6780">
            <w:pPr>
              <w:keepNext/>
              <w:tabs>
                <w:tab w:val="left" w:pos="567"/>
              </w:tabs>
              <w:spacing w:after="0"/>
              <w:ind w:left="144"/>
              <w:jc w:val="left"/>
              <w:rPr>
                <w:rFonts w:cs="Arial"/>
                <w:noProof/>
                <w:color w:val="000000"/>
                <w:sz w:val="20"/>
                <w:lang w:val="en-GB"/>
              </w:rPr>
            </w:pPr>
            <w:r w:rsidRPr="00A90ECE">
              <w:rPr>
                <w:rFonts w:cs="Arial"/>
                <w:noProof/>
                <w:color w:val="000000"/>
                <w:sz w:val="20"/>
                <w:lang w:val="en-GB"/>
              </w:rPr>
              <w:t>Median time from diagnosis to first dose, months (range)</w:t>
            </w:r>
          </w:p>
        </w:tc>
        <w:tc>
          <w:tcPr>
            <w:tcW w:w="1701" w:type="dxa"/>
            <w:tcBorders>
              <w:top w:val="nil"/>
              <w:bottom w:val="nil"/>
            </w:tcBorders>
          </w:tcPr>
          <w:p w14:paraId="46A7C6FB"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0.8 (0, 19)</w:t>
            </w:r>
          </w:p>
        </w:tc>
        <w:tc>
          <w:tcPr>
            <w:tcW w:w="1701" w:type="dxa"/>
            <w:tcBorders>
              <w:top w:val="nil"/>
              <w:bottom w:val="nil"/>
              <w:right w:val="single" w:sz="4" w:space="0" w:color="auto"/>
            </w:tcBorders>
          </w:tcPr>
          <w:p w14:paraId="2D895DAE"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0.9 (0, 10)</w:t>
            </w:r>
          </w:p>
        </w:tc>
      </w:tr>
      <w:tr w:rsidR="008B6780" w:rsidRPr="00A90ECE" w14:paraId="64AD46BA" w14:textId="77777777" w:rsidTr="008B6780">
        <w:trPr>
          <w:tblHeader/>
        </w:trPr>
        <w:tc>
          <w:tcPr>
            <w:tcW w:w="5778" w:type="dxa"/>
            <w:tcBorders>
              <w:top w:val="nil"/>
              <w:left w:val="single" w:sz="4" w:space="0" w:color="auto"/>
            </w:tcBorders>
          </w:tcPr>
          <w:p w14:paraId="4CCFC34D" w14:textId="77777777" w:rsidR="008B6780" w:rsidRPr="00A90ECE" w:rsidRDefault="008B6780" w:rsidP="008B6780">
            <w:pPr>
              <w:keepNext/>
              <w:tabs>
                <w:tab w:val="left" w:pos="567"/>
              </w:tabs>
              <w:spacing w:after="0"/>
              <w:ind w:left="144"/>
              <w:jc w:val="left"/>
              <w:rPr>
                <w:rFonts w:cs="Arial"/>
                <w:noProof/>
                <w:color w:val="000000"/>
                <w:sz w:val="20"/>
                <w:lang w:val="en-GB"/>
              </w:rPr>
            </w:pPr>
            <w:r w:rsidRPr="00A90ECE">
              <w:rPr>
                <w:rFonts w:cs="Arial"/>
                <w:noProof/>
                <w:color w:val="000000"/>
                <w:sz w:val="20"/>
                <w:lang w:val="en-GB"/>
              </w:rPr>
              <w:t>Disease stage at initial diagnosis of PTCL, n (%)</w:t>
            </w:r>
          </w:p>
        </w:tc>
        <w:tc>
          <w:tcPr>
            <w:tcW w:w="1701" w:type="dxa"/>
            <w:tcBorders>
              <w:top w:val="nil"/>
            </w:tcBorders>
          </w:tcPr>
          <w:p w14:paraId="598430D8" w14:textId="77777777" w:rsidR="008B6780" w:rsidRPr="00A90ECE" w:rsidRDefault="008B6780" w:rsidP="008B6780">
            <w:pPr>
              <w:keepNext/>
              <w:tabs>
                <w:tab w:val="left" w:pos="567"/>
              </w:tabs>
              <w:spacing w:after="0"/>
              <w:jc w:val="center"/>
              <w:rPr>
                <w:rFonts w:cs="Arial"/>
                <w:noProof/>
                <w:color w:val="000000"/>
                <w:sz w:val="20"/>
                <w:lang w:val="en-GB"/>
              </w:rPr>
            </w:pPr>
          </w:p>
        </w:tc>
        <w:tc>
          <w:tcPr>
            <w:tcW w:w="1701" w:type="dxa"/>
            <w:tcBorders>
              <w:top w:val="nil"/>
              <w:right w:val="single" w:sz="4" w:space="0" w:color="auto"/>
            </w:tcBorders>
          </w:tcPr>
          <w:p w14:paraId="3F52C06F" w14:textId="77777777" w:rsidR="008B6780" w:rsidRPr="00A90ECE" w:rsidRDefault="008B6780" w:rsidP="008B6780">
            <w:pPr>
              <w:keepNext/>
              <w:tabs>
                <w:tab w:val="left" w:pos="567"/>
              </w:tabs>
              <w:spacing w:after="0"/>
              <w:jc w:val="center"/>
              <w:rPr>
                <w:rFonts w:cs="Arial"/>
                <w:noProof/>
                <w:color w:val="000000"/>
                <w:sz w:val="20"/>
                <w:lang w:val="en-GB"/>
              </w:rPr>
            </w:pPr>
          </w:p>
        </w:tc>
      </w:tr>
      <w:tr w:rsidR="008B6780" w:rsidRPr="00A90ECE" w14:paraId="35CDF204" w14:textId="77777777" w:rsidTr="008B6780">
        <w:trPr>
          <w:tblHeader/>
        </w:trPr>
        <w:tc>
          <w:tcPr>
            <w:tcW w:w="5778" w:type="dxa"/>
            <w:tcBorders>
              <w:left w:val="single" w:sz="4" w:space="0" w:color="auto"/>
            </w:tcBorders>
          </w:tcPr>
          <w:p w14:paraId="667F36B1"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Stage I</w:t>
            </w:r>
          </w:p>
        </w:tc>
        <w:tc>
          <w:tcPr>
            <w:tcW w:w="1701" w:type="dxa"/>
          </w:tcPr>
          <w:p w14:paraId="39621E6F"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12 (5)</w:t>
            </w:r>
          </w:p>
        </w:tc>
        <w:tc>
          <w:tcPr>
            <w:tcW w:w="1701" w:type="dxa"/>
            <w:tcBorders>
              <w:right w:val="single" w:sz="4" w:space="0" w:color="auto"/>
            </w:tcBorders>
          </w:tcPr>
          <w:p w14:paraId="04366504"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9 (4)</w:t>
            </w:r>
          </w:p>
        </w:tc>
      </w:tr>
      <w:tr w:rsidR="008B6780" w:rsidRPr="00A90ECE" w14:paraId="55859C55" w14:textId="77777777" w:rsidTr="008B6780">
        <w:trPr>
          <w:tblHeader/>
        </w:trPr>
        <w:tc>
          <w:tcPr>
            <w:tcW w:w="5778" w:type="dxa"/>
            <w:tcBorders>
              <w:left w:val="single" w:sz="4" w:space="0" w:color="auto"/>
            </w:tcBorders>
          </w:tcPr>
          <w:p w14:paraId="38CA59B2"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Stage II</w:t>
            </w:r>
          </w:p>
        </w:tc>
        <w:tc>
          <w:tcPr>
            <w:tcW w:w="1701" w:type="dxa"/>
          </w:tcPr>
          <w:p w14:paraId="45DFDE20"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30 (13)</w:t>
            </w:r>
          </w:p>
        </w:tc>
        <w:tc>
          <w:tcPr>
            <w:tcW w:w="1701" w:type="dxa"/>
            <w:tcBorders>
              <w:right w:val="single" w:sz="4" w:space="0" w:color="auto"/>
            </w:tcBorders>
          </w:tcPr>
          <w:p w14:paraId="38595102"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37 (16)</w:t>
            </w:r>
          </w:p>
        </w:tc>
      </w:tr>
      <w:tr w:rsidR="008B6780" w:rsidRPr="00A90ECE" w14:paraId="0AE3A441" w14:textId="77777777" w:rsidTr="008B6780">
        <w:trPr>
          <w:tblHeader/>
        </w:trPr>
        <w:tc>
          <w:tcPr>
            <w:tcW w:w="5778" w:type="dxa"/>
            <w:tcBorders>
              <w:left w:val="single" w:sz="4" w:space="0" w:color="auto"/>
            </w:tcBorders>
          </w:tcPr>
          <w:p w14:paraId="01CB4438"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Stage III</w:t>
            </w:r>
          </w:p>
        </w:tc>
        <w:tc>
          <w:tcPr>
            <w:tcW w:w="1701" w:type="dxa"/>
          </w:tcPr>
          <w:p w14:paraId="6E04DBED"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57 (25)</w:t>
            </w:r>
          </w:p>
        </w:tc>
        <w:tc>
          <w:tcPr>
            <w:tcW w:w="1701" w:type="dxa"/>
            <w:tcBorders>
              <w:right w:val="single" w:sz="4" w:space="0" w:color="auto"/>
            </w:tcBorders>
          </w:tcPr>
          <w:p w14:paraId="4B760D28"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67 (30)</w:t>
            </w:r>
          </w:p>
        </w:tc>
      </w:tr>
      <w:tr w:rsidR="008B6780" w:rsidRPr="00A90ECE" w14:paraId="5D4F373E" w14:textId="77777777" w:rsidTr="008B6780">
        <w:trPr>
          <w:tblHeader/>
        </w:trPr>
        <w:tc>
          <w:tcPr>
            <w:tcW w:w="5778" w:type="dxa"/>
            <w:tcBorders>
              <w:left w:val="single" w:sz="4" w:space="0" w:color="auto"/>
            </w:tcBorders>
          </w:tcPr>
          <w:p w14:paraId="5A211A98"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Stage IV</w:t>
            </w:r>
          </w:p>
        </w:tc>
        <w:tc>
          <w:tcPr>
            <w:tcW w:w="1701" w:type="dxa"/>
          </w:tcPr>
          <w:p w14:paraId="43060FE9"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127 (56)</w:t>
            </w:r>
          </w:p>
        </w:tc>
        <w:tc>
          <w:tcPr>
            <w:tcW w:w="1701" w:type="dxa"/>
            <w:tcBorders>
              <w:right w:val="single" w:sz="4" w:space="0" w:color="auto"/>
            </w:tcBorders>
          </w:tcPr>
          <w:p w14:paraId="5A9D3D8D"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113 (50)</w:t>
            </w:r>
          </w:p>
        </w:tc>
      </w:tr>
      <w:tr w:rsidR="008B6780" w:rsidRPr="00A90ECE" w14:paraId="504A8E39" w14:textId="77777777" w:rsidTr="008B6780">
        <w:trPr>
          <w:tblHeader/>
        </w:trPr>
        <w:tc>
          <w:tcPr>
            <w:tcW w:w="5778" w:type="dxa"/>
            <w:tcBorders>
              <w:left w:val="single" w:sz="4" w:space="0" w:color="auto"/>
            </w:tcBorders>
          </w:tcPr>
          <w:p w14:paraId="43072A61" w14:textId="77777777" w:rsidR="008B6780" w:rsidRPr="00A90ECE" w:rsidRDefault="008B6780" w:rsidP="008B6780">
            <w:pPr>
              <w:keepNext/>
              <w:tabs>
                <w:tab w:val="left" w:pos="567"/>
              </w:tabs>
              <w:spacing w:after="0"/>
              <w:ind w:left="144"/>
              <w:jc w:val="left"/>
              <w:rPr>
                <w:rFonts w:cs="Arial"/>
                <w:noProof/>
                <w:color w:val="000000"/>
                <w:sz w:val="20"/>
                <w:lang w:val="en-GB"/>
              </w:rPr>
            </w:pPr>
            <w:r w:rsidRPr="00A90ECE">
              <w:rPr>
                <w:rFonts w:cs="Arial"/>
                <w:noProof/>
                <w:color w:val="000000"/>
                <w:sz w:val="20"/>
                <w:lang w:val="en-GB"/>
              </w:rPr>
              <w:t xml:space="preserve">IPI score </w:t>
            </w:r>
          </w:p>
        </w:tc>
        <w:tc>
          <w:tcPr>
            <w:tcW w:w="1701" w:type="dxa"/>
          </w:tcPr>
          <w:p w14:paraId="04F19173" w14:textId="77777777" w:rsidR="008B6780" w:rsidRPr="00A90ECE" w:rsidRDefault="008B6780" w:rsidP="008B6780">
            <w:pPr>
              <w:keepNext/>
              <w:tabs>
                <w:tab w:val="left" w:pos="567"/>
              </w:tabs>
              <w:spacing w:after="0"/>
              <w:jc w:val="center"/>
              <w:rPr>
                <w:rFonts w:cs="Arial"/>
                <w:noProof/>
                <w:color w:val="000000"/>
                <w:sz w:val="20"/>
                <w:lang w:val="en-GB"/>
              </w:rPr>
            </w:pPr>
          </w:p>
        </w:tc>
        <w:tc>
          <w:tcPr>
            <w:tcW w:w="1701" w:type="dxa"/>
            <w:tcBorders>
              <w:right w:val="single" w:sz="4" w:space="0" w:color="auto"/>
            </w:tcBorders>
          </w:tcPr>
          <w:p w14:paraId="4265A3D2" w14:textId="77777777" w:rsidR="008B6780" w:rsidRPr="00A90ECE" w:rsidRDefault="008B6780" w:rsidP="008B6780">
            <w:pPr>
              <w:keepNext/>
              <w:tabs>
                <w:tab w:val="left" w:pos="567"/>
              </w:tabs>
              <w:spacing w:after="0"/>
              <w:jc w:val="center"/>
              <w:rPr>
                <w:rFonts w:cs="Arial"/>
                <w:noProof/>
                <w:color w:val="000000"/>
                <w:sz w:val="20"/>
                <w:lang w:val="en-GB"/>
              </w:rPr>
            </w:pPr>
          </w:p>
        </w:tc>
      </w:tr>
      <w:tr w:rsidR="008B6780" w:rsidRPr="00A90ECE" w14:paraId="39B3BEBB" w14:textId="77777777" w:rsidTr="008B6780">
        <w:trPr>
          <w:tblHeader/>
        </w:trPr>
        <w:tc>
          <w:tcPr>
            <w:tcW w:w="5778" w:type="dxa"/>
            <w:tcBorders>
              <w:left w:val="single" w:sz="4" w:space="0" w:color="auto"/>
            </w:tcBorders>
          </w:tcPr>
          <w:p w14:paraId="573EFFDD"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0</w:t>
            </w:r>
          </w:p>
        </w:tc>
        <w:tc>
          <w:tcPr>
            <w:tcW w:w="1701" w:type="dxa"/>
          </w:tcPr>
          <w:p w14:paraId="26EAB55A"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8 (4)</w:t>
            </w:r>
          </w:p>
        </w:tc>
        <w:tc>
          <w:tcPr>
            <w:tcW w:w="1701" w:type="dxa"/>
            <w:tcBorders>
              <w:right w:val="single" w:sz="4" w:space="0" w:color="auto"/>
            </w:tcBorders>
          </w:tcPr>
          <w:p w14:paraId="153BFF09"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16 (7)</w:t>
            </w:r>
          </w:p>
        </w:tc>
      </w:tr>
      <w:tr w:rsidR="008B6780" w:rsidRPr="00A90ECE" w14:paraId="74C4E46D" w14:textId="77777777" w:rsidTr="008B6780">
        <w:trPr>
          <w:tblHeader/>
        </w:trPr>
        <w:tc>
          <w:tcPr>
            <w:tcW w:w="5778" w:type="dxa"/>
            <w:tcBorders>
              <w:left w:val="single" w:sz="4" w:space="0" w:color="auto"/>
            </w:tcBorders>
          </w:tcPr>
          <w:p w14:paraId="3FA8EA32"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1</w:t>
            </w:r>
          </w:p>
        </w:tc>
        <w:tc>
          <w:tcPr>
            <w:tcW w:w="1701" w:type="dxa"/>
          </w:tcPr>
          <w:p w14:paraId="4E2D46F9"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45 (20)</w:t>
            </w:r>
          </w:p>
        </w:tc>
        <w:tc>
          <w:tcPr>
            <w:tcW w:w="1701" w:type="dxa"/>
            <w:tcBorders>
              <w:right w:val="single" w:sz="4" w:space="0" w:color="auto"/>
            </w:tcBorders>
          </w:tcPr>
          <w:p w14:paraId="3A088AE2"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32 (14)</w:t>
            </w:r>
          </w:p>
        </w:tc>
      </w:tr>
      <w:tr w:rsidR="008B6780" w:rsidRPr="00A90ECE" w14:paraId="73DCCF0A" w14:textId="77777777" w:rsidTr="008B6780">
        <w:trPr>
          <w:tblHeader/>
        </w:trPr>
        <w:tc>
          <w:tcPr>
            <w:tcW w:w="5778" w:type="dxa"/>
            <w:tcBorders>
              <w:left w:val="single" w:sz="4" w:space="0" w:color="auto"/>
            </w:tcBorders>
          </w:tcPr>
          <w:p w14:paraId="407C321E"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2</w:t>
            </w:r>
          </w:p>
        </w:tc>
        <w:tc>
          <w:tcPr>
            <w:tcW w:w="1701" w:type="dxa"/>
          </w:tcPr>
          <w:p w14:paraId="779B80F0"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74 (33)</w:t>
            </w:r>
          </w:p>
        </w:tc>
        <w:tc>
          <w:tcPr>
            <w:tcW w:w="1701" w:type="dxa"/>
            <w:tcBorders>
              <w:right w:val="single" w:sz="4" w:space="0" w:color="auto"/>
            </w:tcBorders>
          </w:tcPr>
          <w:p w14:paraId="23AE6170"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78 (35)</w:t>
            </w:r>
          </w:p>
        </w:tc>
      </w:tr>
      <w:tr w:rsidR="008B6780" w:rsidRPr="00A90ECE" w14:paraId="1C4CBB63" w14:textId="77777777" w:rsidTr="008B6780">
        <w:trPr>
          <w:tblHeader/>
        </w:trPr>
        <w:tc>
          <w:tcPr>
            <w:tcW w:w="5778" w:type="dxa"/>
            <w:tcBorders>
              <w:left w:val="single" w:sz="4" w:space="0" w:color="auto"/>
            </w:tcBorders>
          </w:tcPr>
          <w:p w14:paraId="78FFAC2A"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3</w:t>
            </w:r>
          </w:p>
        </w:tc>
        <w:tc>
          <w:tcPr>
            <w:tcW w:w="1701" w:type="dxa"/>
          </w:tcPr>
          <w:p w14:paraId="037CB914"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66 (29)</w:t>
            </w:r>
          </w:p>
        </w:tc>
        <w:tc>
          <w:tcPr>
            <w:tcW w:w="1701" w:type="dxa"/>
            <w:tcBorders>
              <w:right w:val="single" w:sz="4" w:space="0" w:color="auto"/>
            </w:tcBorders>
          </w:tcPr>
          <w:p w14:paraId="62D4E471"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66 (29)</w:t>
            </w:r>
          </w:p>
        </w:tc>
      </w:tr>
      <w:tr w:rsidR="008B6780" w:rsidRPr="00A90ECE" w14:paraId="06368819" w14:textId="77777777" w:rsidTr="008B6780">
        <w:trPr>
          <w:tblHeader/>
        </w:trPr>
        <w:tc>
          <w:tcPr>
            <w:tcW w:w="5778" w:type="dxa"/>
            <w:tcBorders>
              <w:left w:val="single" w:sz="4" w:space="0" w:color="auto"/>
            </w:tcBorders>
          </w:tcPr>
          <w:p w14:paraId="46BD93DD"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4</w:t>
            </w:r>
          </w:p>
        </w:tc>
        <w:tc>
          <w:tcPr>
            <w:tcW w:w="1701" w:type="dxa"/>
          </w:tcPr>
          <w:p w14:paraId="71DE6963"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29 (13)</w:t>
            </w:r>
          </w:p>
        </w:tc>
        <w:tc>
          <w:tcPr>
            <w:tcW w:w="1701" w:type="dxa"/>
            <w:tcBorders>
              <w:right w:val="single" w:sz="4" w:space="0" w:color="auto"/>
            </w:tcBorders>
          </w:tcPr>
          <w:p w14:paraId="7C7DEE93"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25 (11)</w:t>
            </w:r>
          </w:p>
        </w:tc>
      </w:tr>
      <w:tr w:rsidR="008B6780" w:rsidRPr="00A90ECE" w14:paraId="4B820EEB" w14:textId="77777777" w:rsidTr="008B6780">
        <w:trPr>
          <w:tblHeader/>
        </w:trPr>
        <w:tc>
          <w:tcPr>
            <w:tcW w:w="5778" w:type="dxa"/>
            <w:tcBorders>
              <w:left w:val="single" w:sz="4" w:space="0" w:color="auto"/>
            </w:tcBorders>
          </w:tcPr>
          <w:p w14:paraId="750FE2F2"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5</w:t>
            </w:r>
          </w:p>
        </w:tc>
        <w:tc>
          <w:tcPr>
            <w:tcW w:w="1701" w:type="dxa"/>
          </w:tcPr>
          <w:p w14:paraId="7D826322"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4 (2)</w:t>
            </w:r>
          </w:p>
        </w:tc>
        <w:tc>
          <w:tcPr>
            <w:tcW w:w="1701" w:type="dxa"/>
            <w:tcBorders>
              <w:right w:val="single" w:sz="4" w:space="0" w:color="auto"/>
            </w:tcBorders>
          </w:tcPr>
          <w:p w14:paraId="0E220E0F"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9 (4)</w:t>
            </w:r>
          </w:p>
        </w:tc>
      </w:tr>
      <w:tr w:rsidR="008B6780" w:rsidRPr="00A90ECE" w14:paraId="757840B4" w14:textId="77777777" w:rsidTr="008B6780">
        <w:trPr>
          <w:tblHeader/>
        </w:trPr>
        <w:tc>
          <w:tcPr>
            <w:tcW w:w="5778" w:type="dxa"/>
            <w:tcBorders>
              <w:left w:val="single" w:sz="4" w:space="0" w:color="auto"/>
            </w:tcBorders>
          </w:tcPr>
          <w:p w14:paraId="5783336C" w14:textId="77777777" w:rsidR="008B6780" w:rsidRPr="00A90ECE" w:rsidRDefault="008B6780" w:rsidP="008B6780">
            <w:pPr>
              <w:keepNext/>
              <w:tabs>
                <w:tab w:val="left" w:pos="567"/>
              </w:tabs>
              <w:spacing w:after="0"/>
              <w:ind w:left="144"/>
              <w:jc w:val="left"/>
              <w:rPr>
                <w:rFonts w:cs="Arial"/>
                <w:noProof/>
                <w:color w:val="000000"/>
                <w:sz w:val="20"/>
                <w:lang w:val="en-GB"/>
              </w:rPr>
            </w:pPr>
            <w:r w:rsidRPr="00A90ECE">
              <w:rPr>
                <w:rFonts w:cs="Arial"/>
                <w:noProof/>
                <w:color w:val="000000"/>
                <w:sz w:val="20"/>
                <w:lang w:val="en-GB" w:eastAsia="ja-JP"/>
              </w:rPr>
              <w:t>Extranodal involvement at time of diagnosis, n (%)</w:t>
            </w:r>
          </w:p>
        </w:tc>
        <w:tc>
          <w:tcPr>
            <w:tcW w:w="1701" w:type="dxa"/>
          </w:tcPr>
          <w:p w14:paraId="5F589F35" w14:textId="77777777" w:rsidR="008B6780" w:rsidRPr="00A90ECE" w:rsidRDefault="008B6780" w:rsidP="008B6780">
            <w:pPr>
              <w:keepNext/>
              <w:tabs>
                <w:tab w:val="left" w:pos="567"/>
              </w:tabs>
              <w:spacing w:after="0"/>
              <w:jc w:val="center"/>
              <w:rPr>
                <w:rFonts w:cs="Arial"/>
                <w:noProof/>
                <w:color w:val="000000"/>
                <w:sz w:val="20"/>
                <w:lang w:val="en-GB"/>
              </w:rPr>
            </w:pPr>
          </w:p>
        </w:tc>
        <w:tc>
          <w:tcPr>
            <w:tcW w:w="1701" w:type="dxa"/>
            <w:tcBorders>
              <w:right w:val="single" w:sz="4" w:space="0" w:color="auto"/>
            </w:tcBorders>
          </w:tcPr>
          <w:p w14:paraId="65E0A073" w14:textId="77777777" w:rsidR="008B6780" w:rsidRPr="00A90ECE" w:rsidRDefault="008B6780" w:rsidP="008B6780">
            <w:pPr>
              <w:keepNext/>
              <w:tabs>
                <w:tab w:val="left" w:pos="567"/>
              </w:tabs>
              <w:spacing w:after="0"/>
              <w:jc w:val="center"/>
              <w:rPr>
                <w:rFonts w:cs="Arial"/>
                <w:noProof/>
                <w:color w:val="000000"/>
                <w:sz w:val="20"/>
                <w:lang w:val="en-GB"/>
              </w:rPr>
            </w:pPr>
          </w:p>
        </w:tc>
      </w:tr>
      <w:tr w:rsidR="008B6780" w:rsidRPr="00A90ECE" w14:paraId="6953FD15" w14:textId="77777777" w:rsidTr="008B6780">
        <w:trPr>
          <w:tblHeader/>
        </w:trPr>
        <w:tc>
          <w:tcPr>
            <w:tcW w:w="5778" w:type="dxa"/>
            <w:tcBorders>
              <w:left w:val="single" w:sz="4" w:space="0" w:color="auto"/>
            </w:tcBorders>
          </w:tcPr>
          <w:p w14:paraId="21572CEF" w14:textId="77777777" w:rsidR="008B6780" w:rsidRPr="00A90ECE" w:rsidRDefault="008B6780" w:rsidP="008B6780">
            <w:pPr>
              <w:keepNext/>
              <w:tabs>
                <w:tab w:val="left" w:pos="567"/>
              </w:tabs>
              <w:spacing w:after="0"/>
              <w:ind w:left="288" w:right="288"/>
              <w:jc w:val="left"/>
              <w:rPr>
                <w:rFonts w:cs="Arial"/>
                <w:noProof/>
                <w:color w:val="000000"/>
                <w:sz w:val="20"/>
                <w:lang w:val="en-GB"/>
              </w:rPr>
            </w:pPr>
            <w:r w:rsidRPr="00A90ECE">
              <w:rPr>
                <w:rFonts w:cs="Arial"/>
                <w:noProof/>
                <w:color w:val="000000"/>
                <w:sz w:val="20"/>
                <w:lang w:val="en-GB"/>
              </w:rPr>
              <w:t>≤ 1 site</w:t>
            </w:r>
          </w:p>
        </w:tc>
        <w:tc>
          <w:tcPr>
            <w:tcW w:w="1701" w:type="dxa"/>
          </w:tcPr>
          <w:p w14:paraId="286383E6"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142 (63)</w:t>
            </w:r>
          </w:p>
        </w:tc>
        <w:tc>
          <w:tcPr>
            <w:tcW w:w="1701" w:type="dxa"/>
            <w:tcBorders>
              <w:right w:val="single" w:sz="4" w:space="0" w:color="auto"/>
            </w:tcBorders>
          </w:tcPr>
          <w:p w14:paraId="0CC7D571"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146 (65)</w:t>
            </w:r>
          </w:p>
        </w:tc>
      </w:tr>
      <w:tr w:rsidR="008B6780" w:rsidRPr="00A90ECE" w14:paraId="0DAE272F" w14:textId="77777777" w:rsidTr="008B6780">
        <w:trPr>
          <w:tblHeader/>
        </w:trPr>
        <w:tc>
          <w:tcPr>
            <w:tcW w:w="5778" w:type="dxa"/>
            <w:tcBorders>
              <w:left w:val="single" w:sz="4" w:space="0" w:color="auto"/>
            </w:tcBorders>
          </w:tcPr>
          <w:p w14:paraId="5620EED6"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&gt;1 site</w:t>
            </w:r>
          </w:p>
        </w:tc>
        <w:tc>
          <w:tcPr>
            <w:tcW w:w="1701" w:type="dxa"/>
          </w:tcPr>
          <w:p w14:paraId="48776A46"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84 (37)</w:t>
            </w:r>
          </w:p>
        </w:tc>
        <w:tc>
          <w:tcPr>
            <w:tcW w:w="1701" w:type="dxa"/>
            <w:tcBorders>
              <w:right w:val="single" w:sz="4" w:space="0" w:color="auto"/>
            </w:tcBorders>
          </w:tcPr>
          <w:p w14:paraId="2834D3CD"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80 (35)</w:t>
            </w:r>
          </w:p>
        </w:tc>
      </w:tr>
      <w:tr w:rsidR="008B6780" w:rsidRPr="00A90ECE" w14:paraId="72979195" w14:textId="77777777" w:rsidTr="008B6780">
        <w:trPr>
          <w:tblHeader/>
        </w:trPr>
        <w:tc>
          <w:tcPr>
            <w:tcW w:w="5778" w:type="dxa"/>
            <w:tcBorders>
              <w:left w:val="single" w:sz="4" w:space="0" w:color="auto"/>
            </w:tcBorders>
          </w:tcPr>
          <w:p w14:paraId="6D21E307" w14:textId="77777777" w:rsidR="008B6780" w:rsidRPr="00A90ECE" w:rsidRDefault="008B6780" w:rsidP="008B6780">
            <w:pPr>
              <w:keepNext/>
              <w:tabs>
                <w:tab w:val="left" w:pos="567"/>
              </w:tabs>
              <w:spacing w:after="0"/>
              <w:ind w:left="144"/>
              <w:jc w:val="left"/>
              <w:rPr>
                <w:rFonts w:cs="Arial"/>
                <w:noProof/>
                <w:color w:val="000000"/>
                <w:sz w:val="20"/>
                <w:lang w:val="en-GB"/>
              </w:rPr>
            </w:pPr>
            <w:r w:rsidRPr="00A90ECE">
              <w:rPr>
                <w:rFonts w:cs="Arial"/>
                <w:noProof/>
                <w:color w:val="000000"/>
                <w:sz w:val="20"/>
                <w:lang w:val="en-GB"/>
              </w:rPr>
              <w:t>Baseline bone marrow biopsy-lymphoma involvement, n (%)</w:t>
            </w:r>
          </w:p>
        </w:tc>
        <w:tc>
          <w:tcPr>
            <w:tcW w:w="1701" w:type="dxa"/>
          </w:tcPr>
          <w:p w14:paraId="480F8325" w14:textId="77777777" w:rsidR="008B6780" w:rsidRPr="00A90ECE" w:rsidRDefault="008B6780" w:rsidP="008B6780">
            <w:pPr>
              <w:keepNext/>
              <w:tabs>
                <w:tab w:val="left" w:pos="567"/>
              </w:tabs>
              <w:spacing w:after="0"/>
              <w:jc w:val="center"/>
              <w:rPr>
                <w:rFonts w:cs="Arial"/>
                <w:noProof/>
                <w:color w:val="000000"/>
                <w:sz w:val="20"/>
                <w:lang w:val="en-GB"/>
              </w:rPr>
            </w:pPr>
          </w:p>
        </w:tc>
        <w:tc>
          <w:tcPr>
            <w:tcW w:w="1701" w:type="dxa"/>
            <w:tcBorders>
              <w:right w:val="single" w:sz="4" w:space="0" w:color="auto"/>
            </w:tcBorders>
          </w:tcPr>
          <w:p w14:paraId="1627092C" w14:textId="77777777" w:rsidR="008B6780" w:rsidRPr="00A90ECE" w:rsidRDefault="008B6780" w:rsidP="008B6780">
            <w:pPr>
              <w:keepNext/>
              <w:tabs>
                <w:tab w:val="left" w:pos="567"/>
              </w:tabs>
              <w:spacing w:after="0"/>
              <w:jc w:val="center"/>
              <w:rPr>
                <w:rFonts w:cs="Arial"/>
                <w:noProof/>
                <w:color w:val="000000"/>
                <w:sz w:val="20"/>
                <w:lang w:val="en-GB"/>
              </w:rPr>
            </w:pPr>
          </w:p>
        </w:tc>
      </w:tr>
      <w:tr w:rsidR="008B6780" w:rsidRPr="00A90ECE" w14:paraId="54A3C175" w14:textId="77777777" w:rsidTr="008B6780">
        <w:trPr>
          <w:tblHeader/>
        </w:trPr>
        <w:tc>
          <w:tcPr>
            <w:tcW w:w="5778" w:type="dxa"/>
            <w:tcBorders>
              <w:left w:val="single" w:sz="4" w:space="0" w:color="auto"/>
            </w:tcBorders>
          </w:tcPr>
          <w:p w14:paraId="3BB8EE9A"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Yes</w:t>
            </w:r>
          </w:p>
        </w:tc>
        <w:tc>
          <w:tcPr>
            <w:tcW w:w="1701" w:type="dxa"/>
          </w:tcPr>
          <w:p w14:paraId="40A64BF5"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30 (13)</w:t>
            </w:r>
          </w:p>
        </w:tc>
        <w:tc>
          <w:tcPr>
            <w:tcW w:w="1701" w:type="dxa"/>
            <w:tcBorders>
              <w:right w:val="single" w:sz="4" w:space="0" w:color="auto"/>
            </w:tcBorders>
          </w:tcPr>
          <w:p w14:paraId="46BCD0D1"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34 (15)</w:t>
            </w:r>
          </w:p>
        </w:tc>
      </w:tr>
      <w:tr w:rsidR="008B6780" w:rsidRPr="00A90ECE" w14:paraId="4CCC65C2" w14:textId="77777777" w:rsidTr="008B6780">
        <w:trPr>
          <w:tblHeader/>
        </w:trPr>
        <w:tc>
          <w:tcPr>
            <w:tcW w:w="5778" w:type="dxa"/>
            <w:tcBorders>
              <w:left w:val="single" w:sz="4" w:space="0" w:color="auto"/>
              <w:bottom w:val="single" w:sz="4" w:space="0" w:color="auto"/>
            </w:tcBorders>
          </w:tcPr>
          <w:p w14:paraId="2941960C" w14:textId="77777777" w:rsidR="008B6780" w:rsidRPr="00A90ECE" w:rsidRDefault="008B6780" w:rsidP="008B6780">
            <w:pPr>
              <w:keepNext/>
              <w:tabs>
                <w:tab w:val="left" w:pos="567"/>
              </w:tabs>
              <w:spacing w:after="0"/>
              <w:ind w:left="288"/>
              <w:jc w:val="left"/>
              <w:rPr>
                <w:rFonts w:cs="Arial"/>
                <w:noProof/>
                <w:color w:val="000000"/>
                <w:sz w:val="20"/>
                <w:lang w:val="en-GB"/>
              </w:rPr>
            </w:pPr>
            <w:r w:rsidRPr="00A90ECE">
              <w:rPr>
                <w:rFonts w:cs="Arial"/>
                <w:noProof/>
                <w:color w:val="000000"/>
                <w:sz w:val="20"/>
                <w:lang w:val="en-GB"/>
              </w:rPr>
              <w:t>No</w:t>
            </w:r>
          </w:p>
        </w:tc>
        <w:tc>
          <w:tcPr>
            <w:tcW w:w="1701" w:type="dxa"/>
            <w:tcBorders>
              <w:bottom w:val="single" w:sz="4" w:space="0" w:color="auto"/>
            </w:tcBorders>
          </w:tcPr>
          <w:p w14:paraId="54261D74"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196 (87)</w:t>
            </w:r>
          </w:p>
        </w:tc>
        <w:tc>
          <w:tcPr>
            <w:tcW w:w="1701" w:type="dxa"/>
            <w:tcBorders>
              <w:bottom w:val="single" w:sz="4" w:space="0" w:color="auto"/>
              <w:right w:val="single" w:sz="4" w:space="0" w:color="auto"/>
            </w:tcBorders>
          </w:tcPr>
          <w:p w14:paraId="5544D5D6" w14:textId="77777777" w:rsidR="008B6780" w:rsidRPr="00A90ECE" w:rsidRDefault="008B6780" w:rsidP="008B6780">
            <w:pPr>
              <w:keepNext/>
              <w:tabs>
                <w:tab w:val="left" w:pos="567"/>
              </w:tabs>
              <w:spacing w:after="0"/>
              <w:jc w:val="center"/>
              <w:rPr>
                <w:rFonts w:cs="Arial"/>
                <w:noProof/>
                <w:color w:val="000000"/>
                <w:sz w:val="20"/>
                <w:lang w:val="en-GB"/>
              </w:rPr>
            </w:pPr>
            <w:r w:rsidRPr="00A90ECE">
              <w:rPr>
                <w:rFonts w:cs="Arial"/>
                <w:noProof/>
                <w:color w:val="000000"/>
                <w:sz w:val="20"/>
                <w:lang w:val="en-GB"/>
              </w:rPr>
              <w:t>192 (85)</w:t>
            </w:r>
          </w:p>
        </w:tc>
      </w:tr>
    </w:tbl>
    <w:p w14:paraId="1928F4E2" w14:textId="77777777" w:rsidR="00752F5B" w:rsidRDefault="00752F5B" w:rsidP="006333A4">
      <w:pPr>
        <w:spacing w:after="60"/>
      </w:pPr>
    </w:p>
    <w:p w14:paraId="3F5CAA20" w14:textId="6E9D072B" w:rsidR="005A5B2D" w:rsidRDefault="005A5B2D" w:rsidP="006333A4">
      <w:pPr>
        <w:spacing w:after="60"/>
      </w:pPr>
      <w:r>
        <w:t>The primary endpoint in SGN35</w:t>
      </w:r>
      <w:r w:rsidR="00AE5A20">
        <w:t>-</w:t>
      </w:r>
      <w:r>
        <w:t xml:space="preserve">014 was PFS per IRF, defined as the time from the date of </w:t>
      </w:r>
      <w:r w:rsidR="00C8385E">
        <w:t xml:space="preserve">randomisation </w:t>
      </w:r>
      <w:r>
        <w:t>to the date of first documentation of progressive disease, death due to any cause, or receipt of subsequent anticancer chemotherapy to treat residual or progressive disease, whichever occurs first. Receipt of post treatment consolidative radiotherapy, post-treatment chemotherapy for the purpose of mobilising peripheral blood stem cells, or consolidative autologous or allogeneic stem cell transplant were not considered as disease progression or as having started new anticancer therapy.</w:t>
      </w:r>
    </w:p>
    <w:p w14:paraId="60F766A3" w14:textId="77777777" w:rsidR="005A5B2D" w:rsidRDefault="005A5B2D" w:rsidP="006333A4">
      <w:pPr>
        <w:spacing w:after="60"/>
      </w:pPr>
      <w:r>
        <w:t xml:space="preserve">Key secondary endpoints included PFS per IRF for subjects with </w:t>
      </w:r>
      <w:proofErr w:type="gramStart"/>
      <w:r>
        <w:t>centrally-confirmed</w:t>
      </w:r>
      <w:proofErr w:type="gramEnd"/>
      <w:r>
        <w:t xml:space="preserve"> </w:t>
      </w:r>
      <w:proofErr w:type="spellStart"/>
      <w:r>
        <w:t>sALCL</w:t>
      </w:r>
      <w:proofErr w:type="spellEnd"/>
      <w:r>
        <w:t xml:space="preserve">, CR rate per IRF following the completion of study treatment, OS, and ORR per IRF following the completion of study treatment which were tested by a fixed sequence testing procedure following the statistical significance of PFS per IRF. </w:t>
      </w:r>
    </w:p>
    <w:p w14:paraId="72FB912A" w14:textId="77777777" w:rsidR="00B04738" w:rsidRDefault="00B04738" w:rsidP="006333A4">
      <w:pPr>
        <w:spacing w:after="60"/>
      </w:pPr>
    </w:p>
    <w:p w14:paraId="7E505E8F" w14:textId="432C2630" w:rsidR="005A5B2D" w:rsidRDefault="005A5B2D" w:rsidP="005A5B2D">
      <w:r>
        <w:t xml:space="preserve">The primary endpoint and alpha-protected, key secondary endpoints, which were evaluated hierarchically, were met. The median PFS per IRF was 48.2 months on the ADCETRIS + CHP arm </w:t>
      </w:r>
      <w:r>
        <w:lastRenderedPageBreak/>
        <w:t>versus 20.8 months on the CHOP arm. The stratified hazard ratio was 0.71 (95% CI: 0.54, 0.93, p=0.011), indicating a 29% reduction in the risk of PFS events for ADCETR</w:t>
      </w:r>
      <w:r w:rsidR="00793BE5">
        <w:t xml:space="preserve">IS + CHP versus CHOP. </w:t>
      </w:r>
      <w:r w:rsidR="00BB3E4E">
        <w:fldChar w:fldCharType="begin"/>
      </w:r>
      <w:r w:rsidR="00BB3E4E">
        <w:instrText xml:space="preserve"> REF _Ref147567107 \h </w:instrText>
      </w:r>
      <w:r w:rsidR="00BB3E4E">
        <w:fldChar w:fldCharType="separate"/>
      </w:r>
      <w:r w:rsidR="001E2FAC" w:rsidRPr="00BB3E4E">
        <w:rPr>
          <w:szCs w:val="22"/>
        </w:rPr>
        <w:t xml:space="preserve">Table </w:t>
      </w:r>
      <w:r w:rsidR="001E2FAC">
        <w:rPr>
          <w:noProof/>
          <w:szCs w:val="22"/>
        </w:rPr>
        <w:t>17</w:t>
      </w:r>
      <w:r w:rsidR="00BB3E4E">
        <w:fldChar w:fldCharType="end"/>
      </w:r>
      <w:r w:rsidR="00BB3E4E">
        <w:t xml:space="preserve"> </w:t>
      </w:r>
      <w:r w:rsidRPr="0085274E">
        <w:t>provide</w:t>
      </w:r>
      <w:r w:rsidR="00793BE5" w:rsidRPr="0085274E">
        <w:t>s</w:t>
      </w:r>
      <w:r w:rsidRPr="0085274E">
        <w:t xml:space="preserve"> the efficacy results for PFS and other key secondary endpoints.</w:t>
      </w:r>
      <w:r w:rsidR="00BF7B0A" w:rsidRPr="00BF7B0A">
        <w:t xml:space="preserve"> </w:t>
      </w:r>
    </w:p>
    <w:p w14:paraId="6C48986C" w14:textId="77777777" w:rsidR="00894944" w:rsidRDefault="00894944" w:rsidP="00894944">
      <w:pPr>
        <w:spacing w:after="60"/>
      </w:pPr>
      <w:r>
        <w:t xml:space="preserve">PFS per IRF for patients with </w:t>
      </w:r>
      <w:proofErr w:type="gramStart"/>
      <w:r>
        <w:t>centrally-confirmed</w:t>
      </w:r>
      <w:proofErr w:type="gramEnd"/>
      <w:r>
        <w:t xml:space="preserve"> </w:t>
      </w:r>
      <w:proofErr w:type="spellStart"/>
      <w:r>
        <w:t>sALCL</w:t>
      </w:r>
      <w:proofErr w:type="spellEnd"/>
      <w:r>
        <w:t xml:space="preserve"> was a pre-specified key secondary endpoint. The median PFS per IRF was 55.7 months on the ADCETRIS + CHP arm versus 54.2 months on the CHOP arm. The stratified hazard ratio was 0.59 (95% CI, 0.42; 0.84), compatible with a statistically significant 41% reduction in the risk of PFS events for ADCETRIS + CHP versus CHOP (p value=0.003).</w:t>
      </w:r>
      <w:r w:rsidR="008A0843">
        <w:t xml:space="preserve"> </w:t>
      </w:r>
      <w:r w:rsidR="008A0843" w:rsidRPr="006819D9">
        <w:t xml:space="preserve">No formal testing was </w:t>
      </w:r>
      <w:r w:rsidR="00396277" w:rsidRPr="006819D9">
        <w:t>performed</w:t>
      </w:r>
      <w:r w:rsidR="008A0843" w:rsidRPr="006819D9">
        <w:t xml:space="preserve"> in other histological subtypes, and no histological subtypes of PTCL were powered to det</w:t>
      </w:r>
      <w:r w:rsidR="00396277" w:rsidRPr="006819D9">
        <w:t>ect a</w:t>
      </w:r>
      <w:r w:rsidR="008A0843" w:rsidRPr="006819D9">
        <w:t xml:space="preserve"> significan</w:t>
      </w:r>
      <w:r w:rsidR="00396277" w:rsidRPr="006819D9">
        <w:t>t difference in treatment effect</w:t>
      </w:r>
      <w:r w:rsidR="008A0843" w:rsidRPr="006819D9">
        <w:t>.</w:t>
      </w:r>
    </w:p>
    <w:p w14:paraId="1B904B7F" w14:textId="77777777" w:rsidR="00BB3E4E" w:rsidRDefault="00BB3E4E" w:rsidP="00A90ECE">
      <w:pPr>
        <w:pStyle w:val="Caption"/>
        <w:keepNext/>
        <w:ind w:left="1440" w:hanging="1440"/>
        <w:rPr>
          <w:sz w:val="22"/>
          <w:szCs w:val="22"/>
        </w:rPr>
      </w:pPr>
    </w:p>
    <w:p w14:paraId="49F83E56" w14:textId="0B0A4C2E" w:rsidR="005A5B2D" w:rsidRPr="00BB3E4E" w:rsidRDefault="00BB3E4E" w:rsidP="008C2D23">
      <w:pPr>
        <w:pStyle w:val="Caption"/>
        <w:spacing w:after="0"/>
        <w:ind w:left="1440" w:hanging="1440"/>
        <w:rPr>
          <w:sz w:val="22"/>
          <w:szCs w:val="22"/>
          <w:lang w:val="en-GB"/>
        </w:rPr>
      </w:pPr>
      <w:bookmarkStart w:id="44" w:name="_Ref147567107"/>
      <w:r w:rsidRPr="00BB3E4E">
        <w:rPr>
          <w:sz w:val="22"/>
          <w:szCs w:val="22"/>
        </w:rPr>
        <w:t xml:space="preserve">Table </w:t>
      </w:r>
      <w:r w:rsidRPr="00BB3E4E">
        <w:rPr>
          <w:szCs w:val="22"/>
        </w:rPr>
        <w:fldChar w:fldCharType="begin"/>
      </w:r>
      <w:r w:rsidRPr="00BB3E4E">
        <w:rPr>
          <w:sz w:val="22"/>
          <w:szCs w:val="22"/>
        </w:rPr>
        <w:instrText xml:space="preserve"> SEQ Table \* ARABIC </w:instrText>
      </w:r>
      <w:r w:rsidRPr="00BB3E4E">
        <w:rPr>
          <w:szCs w:val="22"/>
        </w:rPr>
        <w:fldChar w:fldCharType="separate"/>
      </w:r>
      <w:r w:rsidR="001E2FAC">
        <w:rPr>
          <w:noProof/>
          <w:sz w:val="22"/>
          <w:szCs w:val="22"/>
        </w:rPr>
        <w:t>17</w:t>
      </w:r>
      <w:r w:rsidRPr="00BB3E4E">
        <w:rPr>
          <w:szCs w:val="22"/>
        </w:rPr>
        <w:fldChar w:fldCharType="end"/>
      </w:r>
      <w:bookmarkEnd w:id="44"/>
      <w:r w:rsidRPr="00BB3E4E">
        <w:rPr>
          <w:sz w:val="22"/>
          <w:szCs w:val="22"/>
        </w:rPr>
        <w:t xml:space="preserve"> </w:t>
      </w:r>
      <w:r w:rsidRPr="00BB3E4E">
        <w:rPr>
          <w:sz w:val="22"/>
          <w:szCs w:val="22"/>
        </w:rPr>
        <w:tab/>
      </w:r>
      <w:r w:rsidR="005A5B2D" w:rsidRPr="00BB3E4E">
        <w:rPr>
          <w:sz w:val="22"/>
          <w:szCs w:val="22"/>
          <w:lang w:val="en-GB"/>
        </w:rPr>
        <w:t>Efficacy results in patients with previously untreated PTCL with 1.8 mg/kg of ADCETRIS on</w:t>
      </w:r>
      <w:r w:rsidRPr="00BB3E4E">
        <w:rPr>
          <w:sz w:val="22"/>
          <w:szCs w:val="22"/>
          <w:lang w:val="en-GB"/>
        </w:rPr>
        <w:t xml:space="preserve"> </w:t>
      </w:r>
      <w:r w:rsidR="005A5B2D" w:rsidRPr="00BB3E4E">
        <w:rPr>
          <w:sz w:val="22"/>
          <w:szCs w:val="22"/>
          <w:lang w:val="en-GB"/>
        </w:rPr>
        <w:t>day 1 of a 3</w:t>
      </w:r>
      <w:r w:rsidR="005A5B2D" w:rsidRPr="00BB3E4E">
        <w:rPr>
          <w:sz w:val="22"/>
          <w:szCs w:val="22"/>
          <w:lang w:val="en-GB"/>
        </w:rPr>
        <w:noBreakHyphen/>
        <w:t>week cycle (ITT population)</w:t>
      </w:r>
      <w:r w:rsidR="00DE4B6E" w:rsidRPr="00BB3E4E">
        <w:rPr>
          <w:sz w:val="22"/>
          <w:szCs w:val="22"/>
          <w:lang w:val="en-GB"/>
        </w:rPr>
        <w:t xml:space="preserve"> (primary analysis)</w:t>
      </w:r>
    </w:p>
    <w:tbl>
      <w:tblPr>
        <w:tblW w:w="880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8"/>
        <w:gridCol w:w="2250"/>
        <w:gridCol w:w="2160"/>
      </w:tblGrid>
      <w:tr w:rsidR="005A5B2D" w:rsidRPr="005A5B2D" w14:paraId="6703C395" w14:textId="77777777" w:rsidTr="009F5F2E">
        <w:trPr>
          <w:trHeight w:hRule="exact" w:val="607"/>
        </w:trPr>
        <w:tc>
          <w:tcPr>
            <w:tcW w:w="4398" w:type="dxa"/>
          </w:tcPr>
          <w:p w14:paraId="537C53CA" w14:textId="77777777" w:rsidR="005A5B2D" w:rsidRPr="005A5B2D" w:rsidRDefault="005A5B2D" w:rsidP="005A5B2D">
            <w:pPr>
              <w:keepNext/>
              <w:keepLines/>
              <w:autoSpaceDE w:val="0"/>
              <w:autoSpaceDN w:val="0"/>
              <w:spacing w:after="0"/>
              <w:ind w:left="102"/>
              <w:jc w:val="left"/>
              <w:rPr>
                <w:rFonts w:cs="Arial"/>
                <w:b/>
                <w:sz w:val="20"/>
                <w:lang w:val="en-US"/>
              </w:rPr>
            </w:pPr>
          </w:p>
        </w:tc>
        <w:tc>
          <w:tcPr>
            <w:tcW w:w="2250" w:type="dxa"/>
          </w:tcPr>
          <w:p w14:paraId="63A75176" w14:textId="77777777" w:rsidR="005A5B2D" w:rsidRPr="005A5B2D" w:rsidRDefault="005A5B2D" w:rsidP="005A5B2D">
            <w:pPr>
              <w:keepNext/>
              <w:keepLines/>
              <w:autoSpaceDE w:val="0"/>
              <w:autoSpaceDN w:val="0"/>
              <w:spacing w:after="0" w:line="302" w:lineRule="auto"/>
              <w:ind w:left="180" w:right="307" w:hanging="90"/>
              <w:jc w:val="center"/>
              <w:rPr>
                <w:rFonts w:cs="Arial"/>
                <w:b/>
                <w:sz w:val="20"/>
                <w:lang w:val="en-US"/>
              </w:rPr>
            </w:pPr>
            <w:r w:rsidRPr="005A5B2D">
              <w:rPr>
                <w:rFonts w:cs="Arial"/>
                <w:b/>
                <w:sz w:val="20"/>
                <w:lang w:val="en-US"/>
              </w:rPr>
              <w:t>ADCETRIS + CHP</w:t>
            </w:r>
          </w:p>
          <w:p w14:paraId="24ECF6FB" w14:textId="77777777" w:rsidR="005A5B2D" w:rsidRPr="005A5B2D" w:rsidRDefault="005A5B2D" w:rsidP="005A5B2D">
            <w:pPr>
              <w:keepNext/>
              <w:keepLines/>
              <w:autoSpaceDE w:val="0"/>
              <w:autoSpaceDN w:val="0"/>
              <w:spacing w:after="0" w:line="302" w:lineRule="auto"/>
              <w:ind w:left="180" w:right="307" w:hanging="90"/>
              <w:jc w:val="center"/>
              <w:rPr>
                <w:rFonts w:cs="Arial"/>
                <w:b/>
                <w:sz w:val="20"/>
                <w:lang w:val="en-US"/>
              </w:rPr>
            </w:pPr>
            <w:r w:rsidRPr="005A5B2D">
              <w:rPr>
                <w:rFonts w:cs="Arial"/>
                <w:b/>
                <w:sz w:val="20"/>
                <w:lang w:val="en-US"/>
              </w:rPr>
              <w:t>n=226</w:t>
            </w:r>
          </w:p>
        </w:tc>
        <w:tc>
          <w:tcPr>
            <w:tcW w:w="2160" w:type="dxa"/>
          </w:tcPr>
          <w:p w14:paraId="31CBD03A" w14:textId="77777777" w:rsidR="005A5B2D" w:rsidRPr="005A5B2D" w:rsidRDefault="005A5B2D" w:rsidP="005A5B2D">
            <w:pPr>
              <w:keepNext/>
              <w:keepLines/>
              <w:autoSpaceDE w:val="0"/>
              <w:autoSpaceDN w:val="0"/>
              <w:spacing w:after="0" w:line="302" w:lineRule="auto"/>
              <w:ind w:left="180" w:right="307" w:hanging="90"/>
              <w:jc w:val="center"/>
              <w:rPr>
                <w:rFonts w:cs="Arial"/>
                <w:b/>
                <w:sz w:val="20"/>
                <w:lang w:val="en-US"/>
              </w:rPr>
            </w:pPr>
            <w:r w:rsidRPr="005A5B2D">
              <w:rPr>
                <w:rFonts w:cs="Arial"/>
                <w:b/>
                <w:sz w:val="20"/>
                <w:lang w:val="en-US"/>
              </w:rPr>
              <w:t>CHOP</w:t>
            </w:r>
          </w:p>
          <w:p w14:paraId="73002120" w14:textId="77777777" w:rsidR="005A5B2D" w:rsidRPr="005A5B2D" w:rsidRDefault="005A5B2D" w:rsidP="005A5B2D">
            <w:pPr>
              <w:keepNext/>
              <w:keepLines/>
              <w:autoSpaceDE w:val="0"/>
              <w:autoSpaceDN w:val="0"/>
              <w:spacing w:after="0" w:line="302" w:lineRule="auto"/>
              <w:ind w:left="180" w:right="307" w:hanging="90"/>
              <w:jc w:val="center"/>
              <w:rPr>
                <w:rFonts w:cs="Arial"/>
                <w:b/>
                <w:sz w:val="20"/>
                <w:lang w:val="en-US"/>
              </w:rPr>
            </w:pPr>
            <w:r w:rsidRPr="005A5B2D">
              <w:rPr>
                <w:rFonts w:cs="Arial"/>
                <w:b/>
                <w:sz w:val="20"/>
                <w:lang w:val="en-US"/>
              </w:rPr>
              <w:t>n=226</w:t>
            </w:r>
          </w:p>
        </w:tc>
      </w:tr>
      <w:tr w:rsidR="005A5B2D" w:rsidRPr="005A5B2D" w14:paraId="55FFAADA" w14:textId="77777777" w:rsidTr="009F5F2E">
        <w:trPr>
          <w:trHeight w:hRule="exact" w:val="302"/>
        </w:trPr>
        <w:tc>
          <w:tcPr>
            <w:tcW w:w="8808" w:type="dxa"/>
            <w:gridSpan w:val="3"/>
            <w:vAlign w:val="bottom"/>
          </w:tcPr>
          <w:p w14:paraId="167307D1" w14:textId="77777777" w:rsidR="005A5B2D" w:rsidRPr="00CD294D" w:rsidRDefault="005A5B2D" w:rsidP="005A5B2D">
            <w:pPr>
              <w:keepNext/>
              <w:keepLines/>
              <w:autoSpaceDE w:val="0"/>
              <w:autoSpaceDN w:val="0"/>
              <w:spacing w:after="0"/>
              <w:ind w:left="145" w:firstLine="115"/>
              <w:jc w:val="left"/>
              <w:rPr>
                <w:rFonts w:cs="Arial"/>
                <w:b/>
                <w:sz w:val="20"/>
                <w:highlight w:val="lightGray"/>
                <w:lang w:val="en-US"/>
              </w:rPr>
            </w:pPr>
            <w:r w:rsidRPr="005A5B2D">
              <w:rPr>
                <w:rFonts w:cs="Arial"/>
                <w:b/>
                <w:sz w:val="20"/>
                <w:lang w:val="en-US"/>
              </w:rPr>
              <w:t>PFS per IRF</w:t>
            </w:r>
          </w:p>
        </w:tc>
      </w:tr>
      <w:tr w:rsidR="005A5B2D" w:rsidRPr="005A5B2D" w14:paraId="353B9D0B" w14:textId="77777777" w:rsidTr="009F5F2E">
        <w:trPr>
          <w:trHeight w:hRule="exact" w:val="316"/>
        </w:trPr>
        <w:tc>
          <w:tcPr>
            <w:tcW w:w="4398" w:type="dxa"/>
          </w:tcPr>
          <w:p w14:paraId="4C4A4370" w14:textId="77777777" w:rsidR="005A5B2D" w:rsidRPr="005A5B2D" w:rsidRDefault="005A5B2D" w:rsidP="005A5B2D">
            <w:pPr>
              <w:keepNext/>
              <w:keepLines/>
              <w:autoSpaceDE w:val="0"/>
              <w:autoSpaceDN w:val="0"/>
              <w:spacing w:after="0" w:line="230" w:lineRule="exact"/>
              <w:ind w:left="530"/>
              <w:jc w:val="left"/>
              <w:rPr>
                <w:rFonts w:cs="Arial"/>
                <w:bCs/>
                <w:sz w:val="20"/>
                <w:lang w:val="en-US"/>
              </w:rPr>
            </w:pPr>
            <w:r w:rsidRPr="005A5B2D">
              <w:rPr>
                <w:rFonts w:cs="Arial"/>
                <w:bCs/>
                <w:sz w:val="20"/>
                <w:lang w:val="en-US"/>
              </w:rPr>
              <w:t>Number of patients with a PFS event, n (%)</w:t>
            </w:r>
          </w:p>
        </w:tc>
        <w:tc>
          <w:tcPr>
            <w:tcW w:w="2250" w:type="dxa"/>
          </w:tcPr>
          <w:p w14:paraId="5809FC26"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95 (42)</w:t>
            </w:r>
          </w:p>
        </w:tc>
        <w:tc>
          <w:tcPr>
            <w:tcW w:w="2160" w:type="dxa"/>
          </w:tcPr>
          <w:p w14:paraId="121B1D31"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125 (55)</w:t>
            </w:r>
          </w:p>
        </w:tc>
      </w:tr>
      <w:tr w:rsidR="005A5B2D" w:rsidRPr="005A5B2D" w14:paraId="6A835BD5" w14:textId="77777777" w:rsidTr="009F5F2E">
        <w:trPr>
          <w:trHeight w:hRule="exact" w:val="352"/>
        </w:trPr>
        <w:tc>
          <w:tcPr>
            <w:tcW w:w="4398" w:type="dxa"/>
          </w:tcPr>
          <w:p w14:paraId="4B048A55" w14:textId="77777777" w:rsidR="005A5B2D" w:rsidRPr="005A5B2D" w:rsidRDefault="005A5B2D" w:rsidP="005A5B2D">
            <w:pPr>
              <w:keepNext/>
              <w:keepLines/>
              <w:autoSpaceDE w:val="0"/>
              <w:autoSpaceDN w:val="0"/>
              <w:spacing w:after="0" w:line="230" w:lineRule="exact"/>
              <w:ind w:left="530"/>
              <w:jc w:val="left"/>
              <w:rPr>
                <w:rFonts w:cs="Arial"/>
                <w:sz w:val="20"/>
                <w:lang w:val="en-US"/>
              </w:rPr>
            </w:pPr>
            <w:r w:rsidRPr="005A5B2D">
              <w:rPr>
                <w:rFonts w:cs="Arial"/>
                <w:bCs/>
                <w:sz w:val="20"/>
                <w:lang w:val="en-US"/>
              </w:rPr>
              <w:t>Median PFS, months (95% CI)</w:t>
            </w:r>
          </w:p>
        </w:tc>
        <w:tc>
          <w:tcPr>
            <w:tcW w:w="2250" w:type="dxa"/>
          </w:tcPr>
          <w:p w14:paraId="083BC8D5"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48.2 (35.2, NE)</w:t>
            </w:r>
          </w:p>
        </w:tc>
        <w:tc>
          <w:tcPr>
            <w:tcW w:w="2160" w:type="dxa"/>
          </w:tcPr>
          <w:p w14:paraId="789440B5"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20.8 (12.7, 47.6)</w:t>
            </w:r>
          </w:p>
        </w:tc>
      </w:tr>
      <w:tr w:rsidR="005A5B2D" w:rsidRPr="005A5B2D" w14:paraId="6B3F483B" w14:textId="77777777" w:rsidTr="009F5F2E">
        <w:trPr>
          <w:trHeight w:hRule="exact" w:val="316"/>
        </w:trPr>
        <w:tc>
          <w:tcPr>
            <w:tcW w:w="4398" w:type="dxa"/>
          </w:tcPr>
          <w:p w14:paraId="4C66F2CA" w14:textId="77777777" w:rsidR="005A5B2D" w:rsidRPr="005A5B2D" w:rsidRDefault="005A5B2D" w:rsidP="005A5B2D">
            <w:pPr>
              <w:keepNext/>
              <w:keepLines/>
              <w:autoSpaceDE w:val="0"/>
              <w:autoSpaceDN w:val="0"/>
              <w:spacing w:after="0" w:line="230" w:lineRule="exact"/>
              <w:ind w:left="530"/>
              <w:jc w:val="left"/>
              <w:rPr>
                <w:rFonts w:cs="Arial"/>
                <w:sz w:val="20"/>
                <w:lang w:val="en-US"/>
              </w:rPr>
            </w:pPr>
            <w:r w:rsidRPr="005A5B2D">
              <w:rPr>
                <w:rFonts w:cs="Arial"/>
                <w:sz w:val="20"/>
                <w:lang w:val="en-US"/>
              </w:rPr>
              <w:t>Hazard ratio (95% </w:t>
            </w:r>
            <w:proofErr w:type="gramStart"/>
            <w:r w:rsidRPr="005A5B2D">
              <w:rPr>
                <w:rFonts w:cs="Arial"/>
                <w:sz w:val="20"/>
                <w:lang w:val="en-US"/>
              </w:rPr>
              <w:t>CI)</w:t>
            </w:r>
            <w:r w:rsidRPr="005A5B2D">
              <w:rPr>
                <w:rFonts w:cs="Arial"/>
                <w:sz w:val="20"/>
                <w:vertAlign w:val="superscript"/>
                <w:lang w:val="en-US"/>
              </w:rPr>
              <w:t>a</w:t>
            </w:r>
            <w:proofErr w:type="gramEnd"/>
          </w:p>
        </w:tc>
        <w:tc>
          <w:tcPr>
            <w:tcW w:w="4410" w:type="dxa"/>
            <w:gridSpan w:val="2"/>
          </w:tcPr>
          <w:p w14:paraId="247D0541"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0.71 (0.54, 0.93)</w:t>
            </w:r>
          </w:p>
        </w:tc>
      </w:tr>
      <w:tr w:rsidR="005A5B2D" w:rsidRPr="005A5B2D" w14:paraId="75722EC0" w14:textId="77777777" w:rsidTr="009F5F2E">
        <w:trPr>
          <w:trHeight w:hRule="exact" w:val="300"/>
        </w:trPr>
        <w:tc>
          <w:tcPr>
            <w:tcW w:w="4398" w:type="dxa"/>
          </w:tcPr>
          <w:p w14:paraId="75C2F36B" w14:textId="77777777" w:rsidR="005A5B2D" w:rsidRPr="005A5B2D" w:rsidRDefault="005A5B2D" w:rsidP="005A5B2D">
            <w:pPr>
              <w:keepNext/>
              <w:keepLines/>
              <w:autoSpaceDE w:val="0"/>
              <w:autoSpaceDN w:val="0"/>
              <w:spacing w:after="0" w:line="230" w:lineRule="exact"/>
              <w:ind w:left="530"/>
              <w:jc w:val="left"/>
              <w:rPr>
                <w:rFonts w:cs="Arial"/>
                <w:sz w:val="20"/>
                <w:lang w:val="en-US"/>
              </w:rPr>
            </w:pPr>
            <w:r w:rsidRPr="005A5B2D">
              <w:rPr>
                <w:rFonts w:cs="Arial"/>
                <w:sz w:val="20"/>
                <w:lang w:val="en-US"/>
              </w:rPr>
              <w:t>p-</w:t>
            </w:r>
            <w:proofErr w:type="spellStart"/>
            <w:r w:rsidRPr="005A5B2D">
              <w:rPr>
                <w:rFonts w:cs="Arial"/>
                <w:sz w:val="20"/>
                <w:lang w:val="en-US"/>
              </w:rPr>
              <w:t>value</w:t>
            </w:r>
            <w:r w:rsidRPr="005A5B2D">
              <w:rPr>
                <w:rFonts w:cs="Arial"/>
                <w:sz w:val="20"/>
                <w:vertAlign w:val="superscript"/>
                <w:lang w:val="en-US"/>
              </w:rPr>
              <w:t>b</w:t>
            </w:r>
            <w:proofErr w:type="spellEnd"/>
          </w:p>
        </w:tc>
        <w:tc>
          <w:tcPr>
            <w:tcW w:w="4410" w:type="dxa"/>
            <w:gridSpan w:val="2"/>
          </w:tcPr>
          <w:p w14:paraId="530156F7"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0.0110</w:t>
            </w:r>
          </w:p>
        </w:tc>
      </w:tr>
      <w:tr w:rsidR="005A5B2D" w:rsidRPr="005A5B2D" w14:paraId="7D1EE0AA" w14:textId="77777777" w:rsidTr="009F5F2E">
        <w:trPr>
          <w:trHeight w:hRule="exact" w:val="302"/>
        </w:trPr>
        <w:tc>
          <w:tcPr>
            <w:tcW w:w="8808" w:type="dxa"/>
            <w:gridSpan w:val="3"/>
            <w:vAlign w:val="bottom"/>
          </w:tcPr>
          <w:p w14:paraId="3878609B" w14:textId="77777777" w:rsidR="005A5B2D" w:rsidRPr="005A5B2D" w:rsidRDefault="005A5B2D" w:rsidP="005A5B2D">
            <w:pPr>
              <w:keepNext/>
              <w:keepLines/>
              <w:autoSpaceDE w:val="0"/>
              <w:autoSpaceDN w:val="0"/>
              <w:spacing w:after="0" w:line="230" w:lineRule="exact"/>
              <w:ind w:left="260" w:right="771"/>
              <w:jc w:val="left"/>
              <w:rPr>
                <w:rFonts w:cs="Arial"/>
                <w:b/>
                <w:sz w:val="20"/>
                <w:lang w:val="en-US"/>
              </w:rPr>
            </w:pPr>
            <w:proofErr w:type="spellStart"/>
            <w:r w:rsidRPr="005A5B2D">
              <w:rPr>
                <w:rFonts w:cs="Arial"/>
                <w:b/>
                <w:sz w:val="20"/>
                <w:lang w:val="en-US"/>
              </w:rPr>
              <w:t>OS</w:t>
            </w:r>
            <w:r w:rsidRPr="005A5B2D">
              <w:rPr>
                <w:rFonts w:cs="Arial"/>
                <w:sz w:val="20"/>
                <w:vertAlign w:val="superscript"/>
                <w:lang w:val="en-US"/>
              </w:rPr>
              <w:t>c</w:t>
            </w:r>
            <w:proofErr w:type="spellEnd"/>
          </w:p>
        </w:tc>
      </w:tr>
      <w:tr w:rsidR="005A5B2D" w:rsidRPr="005A5B2D" w14:paraId="03C70391" w14:textId="77777777" w:rsidTr="009F5F2E">
        <w:trPr>
          <w:trHeight w:hRule="exact" w:val="302"/>
        </w:trPr>
        <w:tc>
          <w:tcPr>
            <w:tcW w:w="4398" w:type="dxa"/>
          </w:tcPr>
          <w:p w14:paraId="249DC91A" w14:textId="77777777" w:rsidR="005A5B2D" w:rsidRPr="005A5B2D" w:rsidRDefault="005A5B2D" w:rsidP="005A5B2D">
            <w:pPr>
              <w:keepNext/>
              <w:keepLines/>
              <w:autoSpaceDE w:val="0"/>
              <w:autoSpaceDN w:val="0"/>
              <w:spacing w:after="0"/>
              <w:ind w:left="288" w:firstLine="242"/>
              <w:jc w:val="left"/>
              <w:rPr>
                <w:rFonts w:cs="Arial"/>
                <w:sz w:val="20"/>
                <w:lang w:val="en-US"/>
              </w:rPr>
            </w:pPr>
            <w:r w:rsidRPr="005A5B2D">
              <w:rPr>
                <w:rFonts w:cs="Arial"/>
                <w:sz w:val="20"/>
                <w:lang w:val="en-US"/>
              </w:rPr>
              <w:t>Number of deaths</w:t>
            </w:r>
          </w:p>
        </w:tc>
        <w:tc>
          <w:tcPr>
            <w:tcW w:w="2250" w:type="dxa"/>
          </w:tcPr>
          <w:p w14:paraId="5438C149"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51 (23)</w:t>
            </w:r>
          </w:p>
        </w:tc>
        <w:tc>
          <w:tcPr>
            <w:tcW w:w="2160" w:type="dxa"/>
          </w:tcPr>
          <w:p w14:paraId="205BFB5E"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73 (32)</w:t>
            </w:r>
          </w:p>
        </w:tc>
      </w:tr>
      <w:tr w:rsidR="005A5B2D" w:rsidRPr="005A5B2D" w14:paraId="6F887D32" w14:textId="77777777" w:rsidTr="009F5F2E">
        <w:trPr>
          <w:trHeight w:hRule="exact" w:val="302"/>
        </w:trPr>
        <w:tc>
          <w:tcPr>
            <w:tcW w:w="4398" w:type="dxa"/>
          </w:tcPr>
          <w:p w14:paraId="04E090EB" w14:textId="77777777" w:rsidR="005A5B2D" w:rsidRPr="005A5B2D" w:rsidRDefault="005A5B2D" w:rsidP="005A5B2D">
            <w:pPr>
              <w:keepNext/>
              <w:keepLines/>
              <w:autoSpaceDE w:val="0"/>
              <w:autoSpaceDN w:val="0"/>
              <w:spacing w:after="0"/>
              <w:ind w:left="288" w:firstLine="242"/>
              <w:jc w:val="left"/>
              <w:rPr>
                <w:rFonts w:cs="Arial"/>
                <w:bCs/>
                <w:sz w:val="20"/>
                <w:lang w:val="en-US"/>
              </w:rPr>
            </w:pPr>
            <w:r w:rsidRPr="005A5B2D">
              <w:rPr>
                <w:rFonts w:cs="Arial"/>
                <w:bCs/>
                <w:sz w:val="20"/>
                <w:lang w:val="en-US"/>
              </w:rPr>
              <w:t>Median OS, months (95% CI)</w:t>
            </w:r>
          </w:p>
        </w:tc>
        <w:tc>
          <w:tcPr>
            <w:tcW w:w="2250" w:type="dxa"/>
          </w:tcPr>
          <w:p w14:paraId="36244689" w14:textId="77777777" w:rsidR="005A5B2D" w:rsidRPr="005A5B2D" w:rsidRDefault="005A5B2D" w:rsidP="005A5B2D">
            <w:pPr>
              <w:keepNext/>
              <w:keepLines/>
              <w:autoSpaceDE w:val="0"/>
              <w:autoSpaceDN w:val="0"/>
              <w:spacing w:after="0" w:line="230" w:lineRule="exact"/>
              <w:ind w:left="360"/>
              <w:jc w:val="center"/>
              <w:rPr>
                <w:rFonts w:cs="Arial"/>
                <w:sz w:val="20"/>
                <w:lang w:val="en-US"/>
              </w:rPr>
            </w:pPr>
            <w:r w:rsidRPr="005A5B2D">
              <w:rPr>
                <w:rFonts w:cs="Arial"/>
                <w:sz w:val="20"/>
                <w:lang w:val="en-US"/>
              </w:rPr>
              <w:t>NE (NE, NE)</w:t>
            </w:r>
          </w:p>
        </w:tc>
        <w:tc>
          <w:tcPr>
            <w:tcW w:w="2160" w:type="dxa"/>
          </w:tcPr>
          <w:p w14:paraId="28B2D455"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NE (54.2, NE)</w:t>
            </w:r>
          </w:p>
        </w:tc>
      </w:tr>
      <w:tr w:rsidR="005A5B2D" w:rsidRPr="005A5B2D" w14:paraId="4EEC914E" w14:textId="77777777" w:rsidTr="009F5F2E">
        <w:trPr>
          <w:trHeight w:hRule="exact" w:val="352"/>
        </w:trPr>
        <w:tc>
          <w:tcPr>
            <w:tcW w:w="4398" w:type="dxa"/>
          </w:tcPr>
          <w:p w14:paraId="6237C978" w14:textId="77777777" w:rsidR="005A5B2D" w:rsidRPr="005A5B2D" w:rsidRDefault="005A5B2D" w:rsidP="005A5B2D">
            <w:pPr>
              <w:keepNext/>
              <w:keepLines/>
              <w:autoSpaceDE w:val="0"/>
              <w:autoSpaceDN w:val="0"/>
              <w:spacing w:after="0"/>
              <w:ind w:left="288" w:firstLine="242"/>
              <w:jc w:val="left"/>
              <w:rPr>
                <w:rFonts w:cs="Arial"/>
                <w:sz w:val="20"/>
                <w:lang w:val="en-US"/>
              </w:rPr>
            </w:pPr>
            <w:r w:rsidRPr="005A5B2D">
              <w:rPr>
                <w:rFonts w:cs="Arial"/>
                <w:sz w:val="20"/>
                <w:lang w:val="en-US"/>
              </w:rPr>
              <w:t>Hazard ratio (95% </w:t>
            </w:r>
            <w:proofErr w:type="gramStart"/>
            <w:r w:rsidRPr="005A5B2D">
              <w:rPr>
                <w:rFonts w:cs="Arial"/>
                <w:sz w:val="20"/>
                <w:lang w:val="en-US"/>
              </w:rPr>
              <w:t>CI)</w:t>
            </w:r>
            <w:r w:rsidRPr="005A5B2D">
              <w:rPr>
                <w:rFonts w:cs="Arial"/>
                <w:sz w:val="20"/>
                <w:vertAlign w:val="superscript"/>
                <w:lang w:val="en-US"/>
              </w:rPr>
              <w:t>a</w:t>
            </w:r>
            <w:proofErr w:type="gramEnd"/>
          </w:p>
        </w:tc>
        <w:tc>
          <w:tcPr>
            <w:tcW w:w="4410" w:type="dxa"/>
            <w:gridSpan w:val="2"/>
          </w:tcPr>
          <w:p w14:paraId="1138E66D"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0.66 (0.46, 0.95)</w:t>
            </w:r>
          </w:p>
        </w:tc>
      </w:tr>
      <w:tr w:rsidR="005A5B2D" w:rsidRPr="005A5B2D" w14:paraId="2187E75C" w14:textId="77777777" w:rsidTr="009F5F2E">
        <w:trPr>
          <w:trHeight w:hRule="exact" w:val="302"/>
        </w:trPr>
        <w:tc>
          <w:tcPr>
            <w:tcW w:w="4398" w:type="dxa"/>
          </w:tcPr>
          <w:p w14:paraId="648F2F88" w14:textId="77777777" w:rsidR="005A5B2D" w:rsidRPr="005A5B2D" w:rsidRDefault="005A5B2D" w:rsidP="005A5B2D">
            <w:pPr>
              <w:keepNext/>
              <w:keepLines/>
              <w:autoSpaceDE w:val="0"/>
              <w:autoSpaceDN w:val="0"/>
              <w:spacing w:after="0"/>
              <w:ind w:left="288" w:firstLine="242"/>
              <w:jc w:val="left"/>
              <w:rPr>
                <w:rFonts w:cs="Arial"/>
                <w:sz w:val="20"/>
                <w:lang w:val="en-US"/>
              </w:rPr>
            </w:pPr>
            <w:r w:rsidRPr="005A5B2D">
              <w:rPr>
                <w:rFonts w:cs="Arial"/>
                <w:sz w:val="20"/>
                <w:lang w:val="en-US"/>
              </w:rPr>
              <w:t>p-</w:t>
            </w:r>
            <w:proofErr w:type="spellStart"/>
            <w:r w:rsidRPr="005A5B2D">
              <w:rPr>
                <w:rFonts w:cs="Arial"/>
                <w:sz w:val="20"/>
                <w:lang w:val="en-US"/>
              </w:rPr>
              <w:t>value</w:t>
            </w:r>
            <w:r w:rsidRPr="005A5B2D">
              <w:rPr>
                <w:rFonts w:cs="Arial"/>
                <w:sz w:val="20"/>
                <w:vertAlign w:val="superscript"/>
                <w:lang w:val="en-US"/>
              </w:rPr>
              <w:t>b</w:t>
            </w:r>
            <w:proofErr w:type="spellEnd"/>
          </w:p>
        </w:tc>
        <w:tc>
          <w:tcPr>
            <w:tcW w:w="4410" w:type="dxa"/>
            <w:gridSpan w:val="2"/>
          </w:tcPr>
          <w:p w14:paraId="641F5835"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0.0244</w:t>
            </w:r>
          </w:p>
        </w:tc>
      </w:tr>
      <w:tr w:rsidR="005A5B2D" w:rsidRPr="005A5B2D" w14:paraId="687DA5CC" w14:textId="77777777" w:rsidTr="009F5F2E">
        <w:trPr>
          <w:trHeight w:hRule="exact" w:val="302"/>
        </w:trPr>
        <w:tc>
          <w:tcPr>
            <w:tcW w:w="8808" w:type="dxa"/>
            <w:gridSpan w:val="3"/>
            <w:vAlign w:val="bottom"/>
          </w:tcPr>
          <w:p w14:paraId="75C382CB" w14:textId="77777777" w:rsidR="005A5B2D" w:rsidRPr="005A5B2D" w:rsidRDefault="005A5B2D" w:rsidP="005A5B2D">
            <w:pPr>
              <w:keepNext/>
              <w:keepLines/>
              <w:autoSpaceDE w:val="0"/>
              <w:autoSpaceDN w:val="0"/>
              <w:spacing w:after="0" w:line="230" w:lineRule="exact"/>
              <w:ind w:left="260"/>
              <w:jc w:val="left"/>
              <w:rPr>
                <w:rFonts w:cs="Arial"/>
                <w:sz w:val="20"/>
                <w:lang w:val="en-US"/>
              </w:rPr>
            </w:pPr>
            <w:r w:rsidRPr="005A5B2D">
              <w:rPr>
                <w:rFonts w:cs="Arial"/>
                <w:b/>
                <w:sz w:val="20"/>
                <w:lang w:val="en-US"/>
              </w:rPr>
              <w:t>CR Rate</w:t>
            </w:r>
            <w:r w:rsidRPr="005A5B2D">
              <w:rPr>
                <w:rFonts w:cs="Arial"/>
                <w:sz w:val="20"/>
                <w:vertAlign w:val="superscript"/>
                <w:lang w:val="en-US"/>
              </w:rPr>
              <w:t>d</w:t>
            </w:r>
          </w:p>
        </w:tc>
      </w:tr>
      <w:tr w:rsidR="005A5B2D" w:rsidRPr="005A5B2D" w14:paraId="7298308C" w14:textId="77777777" w:rsidTr="009F5F2E">
        <w:trPr>
          <w:trHeight w:hRule="exact" w:val="302"/>
        </w:trPr>
        <w:tc>
          <w:tcPr>
            <w:tcW w:w="4398" w:type="dxa"/>
          </w:tcPr>
          <w:p w14:paraId="374E6D49" w14:textId="77777777" w:rsidR="005A5B2D" w:rsidRPr="005A5B2D" w:rsidRDefault="005A5B2D" w:rsidP="005A5B2D">
            <w:pPr>
              <w:keepNext/>
              <w:keepLines/>
              <w:autoSpaceDE w:val="0"/>
              <w:autoSpaceDN w:val="0"/>
              <w:spacing w:after="0"/>
              <w:ind w:left="288" w:firstLine="242"/>
              <w:jc w:val="left"/>
              <w:rPr>
                <w:rFonts w:cs="Arial"/>
                <w:sz w:val="20"/>
                <w:lang w:val="en-US"/>
              </w:rPr>
            </w:pPr>
            <w:r w:rsidRPr="005A5B2D">
              <w:rPr>
                <w:rFonts w:cs="Arial"/>
                <w:sz w:val="20"/>
                <w:lang w:val="en-US"/>
              </w:rPr>
              <w:t>% (95% CI)</w:t>
            </w:r>
          </w:p>
        </w:tc>
        <w:tc>
          <w:tcPr>
            <w:tcW w:w="2250" w:type="dxa"/>
          </w:tcPr>
          <w:p w14:paraId="56C34BC1"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68% (61.2, 73.7)</w:t>
            </w:r>
          </w:p>
        </w:tc>
        <w:tc>
          <w:tcPr>
            <w:tcW w:w="2160" w:type="dxa"/>
          </w:tcPr>
          <w:p w14:paraId="1D3E1AD5"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56% (49.0, 62.3)</w:t>
            </w:r>
          </w:p>
        </w:tc>
      </w:tr>
      <w:tr w:rsidR="005A5B2D" w:rsidRPr="005A5B2D" w14:paraId="7BED0D84" w14:textId="77777777" w:rsidTr="009F5F2E">
        <w:trPr>
          <w:trHeight w:hRule="exact" w:val="302"/>
        </w:trPr>
        <w:tc>
          <w:tcPr>
            <w:tcW w:w="4398" w:type="dxa"/>
          </w:tcPr>
          <w:p w14:paraId="538B5C86" w14:textId="77777777" w:rsidR="005A5B2D" w:rsidRPr="005A5B2D" w:rsidRDefault="005A5B2D" w:rsidP="005A5B2D">
            <w:pPr>
              <w:keepNext/>
              <w:keepLines/>
              <w:autoSpaceDE w:val="0"/>
              <w:autoSpaceDN w:val="0"/>
              <w:spacing w:after="0"/>
              <w:ind w:left="288" w:firstLine="242"/>
              <w:jc w:val="left"/>
              <w:rPr>
                <w:rFonts w:cs="Arial"/>
                <w:sz w:val="20"/>
                <w:lang w:val="en-US"/>
              </w:rPr>
            </w:pPr>
            <w:r w:rsidRPr="005A5B2D">
              <w:rPr>
                <w:rFonts w:cs="Arial"/>
                <w:sz w:val="20"/>
                <w:lang w:val="en-US"/>
              </w:rPr>
              <w:t>p-</w:t>
            </w:r>
            <w:proofErr w:type="spellStart"/>
            <w:r w:rsidRPr="005A5B2D">
              <w:rPr>
                <w:rFonts w:cs="Arial"/>
                <w:sz w:val="20"/>
                <w:lang w:val="en-US"/>
              </w:rPr>
              <w:t>value</w:t>
            </w:r>
            <w:r w:rsidRPr="005A5B2D">
              <w:rPr>
                <w:rFonts w:cs="Arial"/>
                <w:sz w:val="20"/>
                <w:vertAlign w:val="superscript"/>
                <w:lang w:val="en-US"/>
              </w:rPr>
              <w:t>e</w:t>
            </w:r>
            <w:proofErr w:type="spellEnd"/>
          </w:p>
        </w:tc>
        <w:tc>
          <w:tcPr>
            <w:tcW w:w="4410" w:type="dxa"/>
            <w:gridSpan w:val="2"/>
          </w:tcPr>
          <w:p w14:paraId="24696FA7"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0.0066</w:t>
            </w:r>
          </w:p>
        </w:tc>
      </w:tr>
      <w:tr w:rsidR="005A5B2D" w:rsidRPr="005A5B2D" w14:paraId="54A34174" w14:textId="77777777" w:rsidTr="009F5F2E">
        <w:trPr>
          <w:trHeight w:hRule="exact" w:val="302"/>
        </w:trPr>
        <w:tc>
          <w:tcPr>
            <w:tcW w:w="8808" w:type="dxa"/>
            <w:gridSpan w:val="3"/>
          </w:tcPr>
          <w:p w14:paraId="502C7577" w14:textId="77777777" w:rsidR="005A5B2D" w:rsidRPr="005A5B2D" w:rsidRDefault="005A5B2D" w:rsidP="005A5B2D">
            <w:pPr>
              <w:keepNext/>
              <w:keepLines/>
              <w:autoSpaceDE w:val="0"/>
              <w:autoSpaceDN w:val="0"/>
              <w:spacing w:after="0" w:line="230" w:lineRule="exact"/>
              <w:ind w:left="260"/>
              <w:jc w:val="left"/>
              <w:rPr>
                <w:rFonts w:cs="Arial"/>
                <w:sz w:val="20"/>
                <w:lang w:val="en-US"/>
              </w:rPr>
            </w:pPr>
            <w:proofErr w:type="spellStart"/>
            <w:r w:rsidRPr="005A5B2D">
              <w:rPr>
                <w:rFonts w:cs="Arial"/>
                <w:b/>
                <w:sz w:val="20"/>
                <w:lang w:val="en-US"/>
              </w:rPr>
              <w:t>ORR</w:t>
            </w:r>
            <w:r w:rsidRPr="005A5B2D">
              <w:rPr>
                <w:rFonts w:cs="Arial"/>
                <w:sz w:val="20"/>
                <w:vertAlign w:val="superscript"/>
                <w:lang w:val="en-US"/>
              </w:rPr>
              <w:t>d</w:t>
            </w:r>
            <w:proofErr w:type="spellEnd"/>
          </w:p>
        </w:tc>
      </w:tr>
      <w:tr w:rsidR="005A5B2D" w:rsidRPr="005A5B2D" w14:paraId="1EE8F901" w14:textId="77777777" w:rsidTr="009F5F2E">
        <w:trPr>
          <w:trHeight w:hRule="exact" w:val="302"/>
        </w:trPr>
        <w:tc>
          <w:tcPr>
            <w:tcW w:w="4398" w:type="dxa"/>
          </w:tcPr>
          <w:p w14:paraId="1612D636" w14:textId="77777777" w:rsidR="005A5B2D" w:rsidRPr="005A5B2D" w:rsidRDefault="005A5B2D" w:rsidP="005A5B2D">
            <w:pPr>
              <w:keepNext/>
              <w:keepLines/>
              <w:autoSpaceDE w:val="0"/>
              <w:autoSpaceDN w:val="0"/>
              <w:spacing w:after="0"/>
              <w:ind w:left="288" w:firstLine="242"/>
              <w:jc w:val="left"/>
              <w:rPr>
                <w:rFonts w:cs="Arial"/>
                <w:sz w:val="20"/>
                <w:lang w:val="en-US"/>
              </w:rPr>
            </w:pPr>
            <w:r w:rsidRPr="005A5B2D">
              <w:rPr>
                <w:rFonts w:cs="Arial"/>
                <w:sz w:val="20"/>
                <w:lang w:val="en-US"/>
              </w:rPr>
              <w:t>% (95% CI)</w:t>
            </w:r>
          </w:p>
        </w:tc>
        <w:tc>
          <w:tcPr>
            <w:tcW w:w="2250" w:type="dxa"/>
          </w:tcPr>
          <w:p w14:paraId="6BB08BA3"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83% (77.7, 87.8)</w:t>
            </w:r>
          </w:p>
        </w:tc>
        <w:tc>
          <w:tcPr>
            <w:tcW w:w="2160" w:type="dxa"/>
          </w:tcPr>
          <w:p w14:paraId="6EE9EAFE"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72% (65.8, 77.9)</w:t>
            </w:r>
          </w:p>
        </w:tc>
      </w:tr>
      <w:tr w:rsidR="005A5B2D" w:rsidRPr="005A5B2D" w14:paraId="06A3CCF0" w14:textId="77777777" w:rsidTr="009F5F2E">
        <w:trPr>
          <w:trHeight w:hRule="exact" w:val="302"/>
        </w:trPr>
        <w:tc>
          <w:tcPr>
            <w:tcW w:w="4398" w:type="dxa"/>
          </w:tcPr>
          <w:p w14:paraId="6AA55009" w14:textId="77777777" w:rsidR="005A5B2D" w:rsidRPr="005A5B2D" w:rsidRDefault="005A5B2D" w:rsidP="005A5B2D">
            <w:pPr>
              <w:keepNext/>
              <w:keepLines/>
              <w:autoSpaceDE w:val="0"/>
              <w:autoSpaceDN w:val="0"/>
              <w:spacing w:after="0"/>
              <w:ind w:left="288" w:firstLine="242"/>
              <w:jc w:val="left"/>
              <w:rPr>
                <w:rFonts w:cs="Arial"/>
                <w:sz w:val="20"/>
                <w:lang w:val="en-US"/>
              </w:rPr>
            </w:pPr>
            <w:r w:rsidRPr="005A5B2D">
              <w:rPr>
                <w:rFonts w:cs="Arial"/>
                <w:sz w:val="20"/>
                <w:lang w:val="en-US"/>
              </w:rPr>
              <w:t>p-</w:t>
            </w:r>
            <w:proofErr w:type="spellStart"/>
            <w:r w:rsidRPr="005A5B2D">
              <w:rPr>
                <w:rFonts w:cs="Arial"/>
                <w:sz w:val="20"/>
                <w:lang w:val="en-US"/>
              </w:rPr>
              <w:t>value</w:t>
            </w:r>
            <w:r w:rsidRPr="005A5B2D">
              <w:rPr>
                <w:rFonts w:cs="Arial"/>
                <w:sz w:val="20"/>
                <w:vertAlign w:val="superscript"/>
                <w:lang w:val="en-US"/>
              </w:rPr>
              <w:t>e</w:t>
            </w:r>
            <w:proofErr w:type="spellEnd"/>
          </w:p>
        </w:tc>
        <w:tc>
          <w:tcPr>
            <w:tcW w:w="4410" w:type="dxa"/>
            <w:gridSpan w:val="2"/>
          </w:tcPr>
          <w:p w14:paraId="62FC5DB5" w14:textId="77777777" w:rsidR="005A5B2D" w:rsidRPr="005A5B2D" w:rsidRDefault="005A5B2D" w:rsidP="005A5B2D">
            <w:pPr>
              <w:keepNext/>
              <w:keepLines/>
              <w:autoSpaceDE w:val="0"/>
              <w:autoSpaceDN w:val="0"/>
              <w:spacing w:after="0" w:line="230" w:lineRule="exact"/>
              <w:jc w:val="center"/>
              <w:rPr>
                <w:rFonts w:cs="Arial"/>
                <w:sz w:val="20"/>
                <w:lang w:val="en-US"/>
              </w:rPr>
            </w:pPr>
            <w:r w:rsidRPr="005A5B2D">
              <w:rPr>
                <w:rFonts w:cs="Arial"/>
                <w:sz w:val="20"/>
                <w:lang w:val="en-US"/>
              </w:rPr>
              <w:t>0.0032</w:t>
            </w:r>
          </w:p>
        </w:tc>
      </w:tr>
    </w:tbl>
    <w:p w14:paraId="54F9C10B" w14:textId="77777777" w:rsidR="00F16513" w:rsidRDefault="00F16513" w:rsidP="005A5B2D">
      <w:pPr>
        <w:spacing w:after="0"/>
        <w:rPr>
          <w:sz w:val="20"/>
          <w:lang w:val="en-GB"/>
        </w:rPr>
      </w:pPr>
    </w:p>
    <w:p w14:paraId="0C6FA322" w14:textId="77777777" w:rsidR="005A5B2D" w:rsidRPr="005A5B2D" w:rsidRDefault="005A5B2D" w:rsidP="005A5B2D">
      <w:pPr>
        <w:spacing w:after="0"/>
        <w:rPr>
          <w:sz w:val="20"/>
          <w:lang w:val="en-GB"/>
        </w:rPr>
      </w:pPr>
      <w:r w:rsidRPr="005A5B2D">
        <w:rPr>
          <w:sz w:val="20"/>
          <w:lang w:val="en-GB"/>
        </w:rPr>
        <w:t>CR=complete remission; IRF=Independent Review Facility; NE: Not estimable; ORR=objective response rate; PFS=progression-free survival.</w:t>
      </w:r>
    </w:p>
    <w:p w14:paraId="31D2048D" w14:textId="77777777" w:rsidR="005A5B2D" w:rsidRPr="005A5B2D" w:rsidRDefault="005A5B2D" w:rsidP="000550D7">
      <w:pPr>
        <w:numPr>
          <w:ilvl w:val="0"/>
          <w:numId w:val="34"/>
        </w:numPr>
        <w:spacing w:after="0"/>
        <w:rPr>
          <w:sz w:val="20"/>
          <w:lang w:val="en-US"/>
        </w:rPr>
      </w:pPr>
      <w:r w:rsidRPr="005A5B2D">
        <w:rPr>
          <w:sz w:val="20"/>
          <w:lang w:val="en-US"/>
        </w:rPr>
        <w:t xml:space="preserve">Hazard ratio (A+CHP/CHOP) and 95% confidence intervals are based on a stratified Cox’s proportional hazard regression model with stratification factors (ALK-positive </w:t>
      </w:r>
      <w:proofErr w:type="spellStart"/>
      <w:r w:rsidRPr="005A5B2D">
        <w:rPr>
          <w:sz w:val="20"/>
          <w:lang w:val="en-US"/>
        </w:rPr>
        <w:t>sALCL</w:t>
      </w:r>
      <w:proofErr w:type="spellEnd"/>
      <w:r w:rsidRPr="005A5B2D">
        <w:rPr>
          <w:sz w:val="20"/>
          <w:lang w:val="en-US"/>
        </w:rPr>
        <w:t xml:space="preserve"> versus all others and International Prognostic Index [IPI] score at baseline). Hazard ratio &lt;1 favors A+CHP arm.</w:t>
      </w:r>
    </w:p>
    <w:p w14:paraId="61056DB6" w14:textId="77777777" w:rsidR="005A5B2D" w:rsidRPr="005A5B2D" w:rsidRDefault="005A5B2D" w:rsidP="000550D7">
      <w:pPr>
        <w:numPr>
          <w:ilvl w:val="0"/>
          <w:numId w:val="34"/>
        </w:numPr>
        <w:spacing w:after="0"/>
        <w:rPr>
          <w:sz w:val="20"/>
          <w:lang w:val="en-US"/>
        </w:rPr>
      </w:pPr>
      <w:r w:rsidRPr="005A5B2D">
        <w:rPr>
          <w:sz w:val="20"/>
          <w:lang w:val="en-US"/>
        </w:rPr>
        <w:t>p-value is calculated using a stratified log-rank test.</w:t>
      </w:r>
    </w:p>
    <w:p w14:paraId="284ECCD0" w14:textId="77777777" w:rsidR="005A5B2D" w:rsidRPr="005A5B2D" w:rsidRDefault="005A5B2D" w:rsidP="000550D7">
      <w:pPr>
        <w:numPr>
          <w:ilvl w:val="0"/>
          <w:numId w:val="34"/>
        </w:numPr>
        <w:spacing w:after="0"/>
        <w:rPr>
          <w:sz w:val="20"/>
          <w:lang w:val="en-US"/>
        </w:rPr>
      </w:pPr>
      <w:r w:rsidRPr="005A5B2D">
        <w:rPr>
          <w:sz w:val="20"/>
          <w:lang w:val="en-US"/>
        </w:rPr>
        <w:t>Median OS follow-up in the ADCETRIS+CHP arm was 40.5 months; in the CHOP arm was 41.7 months.</w:t>
      </w:r>
    </w:p>
    <w:p w14:paraId="72141E67" w14:textId="77777777" w:rsidR="005A5B2D" w:rsidRPr="005A5B2D" w:rsidRDefault="005A5B2D" w:rsidP="000550D7">
      <w:pPr>
        <w:numPr>
          <w:ilvl w:val="0"/>
          <w:numId w:val="34"/>
        </w:numPr>
        <w:spacing w:after="0"/>
        <w:rPr>
          <w:sz w:val="20"/>
          <w:lang w:val="en-US"/>
        </w:rPr>
      </w:pPr>
      <w:r w:rsidRPr="005A5B2D">
        <w:rPr>
          <w:sz w:val="20"/>
          <w:lang w:val="en-US"/>
        </w:rPr>
        <w:t>Response per 2007 International Working Group Criteria at end of treatment.</w:t>
      </w:r>
    </w:p>
    <w:p w14:paraId="08DF4344" w14:textId="77777777" w:rsidR="005A5B2D" w:rsidRPr="005A5B2D" w:rsidRDefault="005A5B2D" w:rsidP="000550D7">
      <w:pPr>
        <w:numPr>
          <w:ilvl w:val="0"/>
          <w:numId w:val="34"/>
        </w:numPr>
        <w:spacing w:after="0"/>
        <w:rPr>
          <w:sz w:val="20"/>
          <w:lang w:val="en-US"/>
        </w:rPr>
      </w:pPr>
      <w:r w:rsidRPr="005A5B2D">
        <w:rPr>
          <w:sz w:val="20"/>
          <w:lang w:val="en-US"/>
        </w:rPr>
        <w:t>p-value is calculated using a stratified Cochran-Mantel-Haenszel test.</w:t>
      </w:r>
    </w:p>
    <w:p w14:paraId="78244644" w14:textId="77777777" w:rsidR="005C5869" w:rsidRDefault="005C5869" w:rsidP="00AF3F10">
      <w:pPr>
        <w:spacing w:after="60"/>
      </w:pPr>
    </w:p>
    <w:p w14:paraId="22A8923F" w14:textId="77777777" w:rsidR="005A5B2D" w:rsidRDefault="005A5B2D" w:rsidP="00356418">
      <w:r>
        <w:t xml:space="preserve">The European Organization for Research and Treatment of Cancer Quality of Life 30-item Questionnaire (EORTC QLQ C30) showed no clinically meaningful difference between the two treatment arms. </w:t>
      </w:r>
    </w:p>
    <w:p w14:paraId="37FF31F6" w14:textId="77777777" w:rsidR="00DE4B6E" w:rsidRPr="00687E84" w:rsidRDefault="00DE4B6E" w:rsidP="00DE4B6E">
      <w:pPr>
        <w:rPr>
          <w:strike/>
        </w:rPr>
      </w:pPr>
      <w:r>
        <w:t xml:space="preserve">As of study closure more than 7 years after enrolment of the first patient, PFS per investigator results in the ITT population indicated a 30% reduction in the risk of a PFS event in the ADCETRIS + CHP arm compared with patients treated with CHOP (HR = 0.70 [95% CI (0.53, 0.91)]). </w:t>
      </w:r>
    </w:p>
    <w:p w14:paraId="480177A5" w14:textId="12C192BA" w:rsidR="00F16513" w:rsidRDefault="00DE4B6E" w:rsidP="00356418">
      <w:r>
        <w:lastRenderedPageBreak/>
        <w:t xml:space="preserve">As of study closure, overall survival results continued to show a benefit and were consistent with those reported at the time of the primary analysis. Overall survival results in the ITT population indicated a 28% reduction in the risk of death in the ADCETRIS+CHP arm compared with patients treated with CHOP (HR = 0.72 [95% CI (0.53 to 0.99)]). </w:t>
      </w:r>
    </w:p>
    <w:p w14:paraId="7B57D525" w14:textId="77777777" w:rsidR="007A1934" w:rsidRPr="007A1934" w:rsidRDefault="007A1934" w:rsidP="006333A4">
      <w:pPr>
        <w:spacing w:after="120"/>
        <w:rPr>
          <w:i/>
        </w:rPr>
      </w:pPr>
      <w:r w:rsidRPr="007A1934">
        <w:rPr>
          <w:i/>
        </w:rPr>
        <w:t xml:space="preserve">Patients with relapsed or refractory </w:t>
      </w:r>
      <w:proofErr w:type="spellStart"/>
      <w:r w:rsidRPr="007A1934">
        <w:rPr>
          <w:i/>
        </w:rPr>
        <w:t>sALCL</w:t>
      </w:r>
      <w:proofErr w:type="spellEnd"/>
      <w:r w:rsidRPr="007A1934">
        <w:rPr>
          <w:i/>
        </w:rPr>
        <w:t xml:space="preserve"> (Study SG035-0004)</w:t>
      </w:r>
    </w:p>
    <w:p w14:paraId="47A36B73" w14:textId="627C20E4" w:rsidR="007B3BB3" w:rsidRDefault="007A1934" w:rsidP="00752F5B">
      <w:r>
        <w:t xml:space="preserve">The efficacy and safety of ADCETRIS as a single agent was evaluated in an open-label, single-arm, </w:t>
      </w:r>
      <w:r w:rsidR="00B05C5F" w:rsidRPr="0085274E">
        <w:t xml:space="preserve">multicentre </w:t>
      </w:r>
      <w:r w:rsidRPr="0085274E">
        <w:t xml:space="preserve">study (study SG035-0004) in 58 patients with relapsed or refractory </w:t>
      </w:r>
      <w:proofErr w:type="spellStart"/>
      <w:r w:rsidRPr="0085274E">
        <w:t>sALCL</w:t>
      </w:r>
      <w:proofErr w:type="spellEnd"/>
      <w:r w:rsidRPr="0085274E">
        <w:t xml:space="preserve">. </w:t>
      </w:r>
      <w:r w:rsidR="00BB3E4E">
        <w:fldChar w:fldCharType="begin"/>
      </w:r>
      <w:r w:rsidR="00BB3E4E">
        <w:instrText xml:space="preserve"> REF _Ref147567174 \h </w:instrText>
      </w:r>
      <w:r w:rsidR="00BB3E4E">
        <w:fldChar w:fldCharType="separate"/>
      </w:r>
      <w:r w:rsidR="001E2FAC" w:rsidRPr="00BB3E4E">
        <w:rPr>
          <w:szCs w:val="22"/>
        </w:rPr>
        <w:t xml:space="preserve">Table </w:t>
      </w:r>
      <w:r w:rsidR="001E2FAC">
        <w:rPr>
          <w:noProof/>
          <w:szCs w:val="22"/>
        </w:rPr>
        <w:t>18</w:t>
      </w:r>
      <w:r w:rsidR="00BB3E4E">
        <w:fldChar w:fldCharType="end"/>
      </w:r>
      <w:r w:rsidR="00BB3E4E">
        <w:t xml:space="preserve"> </w:t>
      </w:r>
      <w:r w:rsidRPr="0085274E">
        <w:t>below for a summary of baseline patient and disease characteristics.</w:t>
      </w:r>
      <w:r w:rsidR="00EE02FC" w:rsidRPr="0085274E">
        <w:rPr>
          <w:szCs w:val="22"/>
        </w:rPr>
        <w:tab/>
      </w:r>
    </w:p>
    <w:p w14:paraId="718D75B6" w14:textId="77777777" w:rsidR="00BB3E4E" w:rsidRDefault="00BB3E4E" w:rsidP="00BB3E4E">
      <w:pPr>
        <w:pStyle w:val="Caption"/>
        <w:keepNext/>
        <w:spacing w:after="0"/>
        <w:ind w:firstLine="720"/>
        <w:rPr>
          <w:sz w:val="22"/>
          <w:szCs w:val="22"/>
        </w:rPr>
      </w:pPr>
      <w:bookmarkStart w:id="45" w:name="_Ref116657500"/>
    </w:p>
    <w:p w14:paraId="6AE3AECE" w14:textId="45B50AB1" w:rsidR="00BB3E4E" w:rsidRPr="00BB3E4E" w:rsidRDefault="00DD2080" w:rsidP="00DD2080">
      <w:pPr>
        <w:pStyle w:val="Caption"/>
        <w:keepNext/>
        <w:spacing w:after="0"/>
        <w:rPr>
          <w:sz w:val="22"/>
          <w:szCs w:val="22"/>
        </w:rPr>
      </w:pPr>
      <w:bookmarkStart w:id="46" w:name="_Ref147567174"/>
      <w:bookmarkEnd w:id="45"/>
      <w:r w:rsidRPr="00BB3E4E">
        <w:rPr>
          <w:sz w:val="22"/>
          <w:szCs w:val="22"/>
        </w:rPr>
        <w:t xml:space="preserve">Table </w:t>
      </w:r>
      <w:r w:rsidRPr="00BB3E4E">
        <w:rPr>
          <w:szCs w:val="22"/>
        </w:rPr>
        <w:fldChar w:fldCharType="begin"/>
      </w:r>
      <w:r w:rsidRPr="00BB3E4E">
        <w:rPr>
          <w:sz w:val="22"/>
          <w:szCs w:val="22"/>
        </w:rPr>
        <w:instrText xml:space="preserve"> SEQ Table \* ARABIC </w:instrText>
      </w:r>
      <w:r w:rsidRPr="00BB3E4E">
        <w:rPr>
          <w:szCs w:val="22"/>
        </w:rPr>
        <w:fldChar w:fldCharType="separate"/>
      </w:r>
      <w:r w:rsidR="001E2FAC">
        <w:rPr>
          <w:noProof/>
          <w:sz w:val="22"/>
          <w:szCs w:val="22"/>
        </w:rPr>
        <w:t>18</w:t>
      </w:r>
      <w:r w:rsidRPr="00BB3E4E">
        <w:rPr>
          <w:szCs w:val="22"/>
        </w:rPr>
        <w:fldChar w:fldCharType="end"/>
      </w:r>
      <w:bookmarkEnd w:id="46"/>
      <w:r w:rsidRPr="00BB3E4E" w:rsidDel="00BB3E4E">
        <w:rPr>
          <w:sz w:val="22"/>
          <w:szCs w:val="22"/>
        </w:rPr>
        <w:t xml:space="preserve"> </w:t>
      </w:r>
      <w:r w:rsidRPr="00BB3E4E" w:rsidDel="00BB3E4E">
        <w:rPr>
          <w:sz w:val="22"/>
          <w:szCs w:val="22"/>
        </w:rPr>
        <w:tab/>
      </w:r>
      <w:r w:rsidRPr="00BB3E4E">
        <w:rPr>
          <w:sz w:val="22"/>
          <w:szCs w:val="22"/>
        </w:rPr>
        <w:t xml:space="preserve">Summary of baseline patient and disease characteristics in the phase 2 </w:t>
      </w:r>
      <w:r w:rsidRPr="00BB3E4E">
        <w:rPr>
          <w:sz w:val="22"/>
          <w:szCs w:val="22"/>
        </w:rPr>
        <w:tab/>
      </w:r>
      <w:r w:rsidRPr="00BB3E4E">
        <w:rPr>
          <w:sz w:val="22"/>
          <w:szCs w:val="22"/>
        </w:rPr>
        <w:tab/>
      </w:r>
      <w:r w:rsidRPr="00BB3E4E">
        <w:rPr>
          <w:sz w:val="22"/>
          <w:szCs w:val="22"/>
        </w:rPr>
        <w:tab/>
        <w:t xml:space="preserve">relapsed or refractory </w:t>
      </w:r>
      <w:proofErr w:type="spellStart"/>
      <w:r w:rsidRPr="00BB3E4E">
        <w:rPr>
          <w:sz w:val="22"/>
          <w:szCs w:val="22"/>
        </w:rPr>
        <w:t>sALCL</w:t>
      </w:r>
      <w:proofErr w:type="spellEnd"/>
      <w:r w:rsidRPr="00BB3E4E">
        <w:rPr>
          <w:sz w:val="22"/>
          <w:szCs w:val="22"/>
        </w:rPr>
        <w:t xml:space="preserve"> study (Study SG035-0004)</w:t>
      </w:r>
    </w:p>
    <w:tbl>
      <w:tblPr>
        <w:tblW w:w="9000"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5761"/>
        <w:gridCol w:w="3239"/>
      </w:tblGrid>
      <w:tr w:rsidR="00EE02FC" w:rsidRPr="009722AB" w14:paraId="58F8354D" w14:textId="77777777" w:rsidTr="00CE4E28">
        <w:trPr>
          <w:trHeight w:val="302"/>
          <w:jc w:val="center"/>
        </w:trPr>
        <w:tc>
          <w:tcPr>
            <w:tcW w:w="5761" w:type="dxa"/>
            <w:tcBorders>
              <w:top w:val="single" w:sz="4" w:space="0" w:color="auto"/>
              <w:left w:val="single" w:sz="4" w:space="0" w:color="auto"/>
              <w:bottom w:val="single" w:sz="4" w:space="0" w:color="auto"/>
            </w:tcBorders>
          </w:tcPr>
          <w:p w14:paraId="3FA206B0" w14:textId="44A3DA2D" w:rsidR="00EE02FC" w:rsidRPr="009722AB" w:rsidRDefault="00EE02FC" w:rsidP="00CE4E28">
            <w:pPr>
              <w:keepNext/>
              <w:spacing w:after="0"/>
              <w:rPr>
                <w:rFonts w:cs="Arial"/>
                <w:b/>
                <w:bCs/>
                <w:sz w:val="20"/>
              </w:rPr>
            </w:pPr>
            <w:r w:rsidRPr="009722AB">
              <w:rPr>
                <w:rFonts w:cs="Arial"/>
                <w:b/>
                <w:bCs/>
                <w:sz w:val="20"/>
              </w:rPr>
              <w:t>Patient characteristics</w:t>
            </w:r>
          </w:p>
        </w:tc>
        <w:tc>
          <w:tcPr>
            <w:tcW w:w="3239" w:type="dxa"/>
            <w:tcBorders>
              <w:top w:val="single" w:sz="4" w:space="0" w:color="auto"/>
              <w:bottom w:val="single" w:sz="4" w:space="0" w:color="auto"/>
              <w:right w:val="single" w:sz="4" w:space="0" w:color="auto"/>
            </w:tcBorders>
          </w:tcPr>
          <w:p w14:paraId="45E7641B" w14:textId="77777777" w:rsidR="00EE02FC" w:rsidRPr="009722AB" w:rsidRDefault="00EE02FC" w:rsidP="00CE4E28">
            <w:pPr>
              <w:keepNext/>
              <w:spacing w:after="0"/>
              <w:jc w:val="center"/>
              <w:rPr>
                <w:rFonts w:cs="Arial"/>
                <w:b/>
                <w:bCs/>
                <w:sz w:val="20"/>
              </w:rPr>
            </w:pPr>
            <w:r w:rsidRPr="009722AB">
              <w:rPr>
                <w:rFonts w:cs="Arial"/>
                <w:b/>
                <w:bCs/>
                <w:sz w:val="20"/>
              </w:rPr>
              <w:t>N =58</w:t>
            </w:r>
          </w:p>
        </w:tc>
      </w:tr>
      <w:tr w:rsidR="00EE02FC" w:rsidRPr="009722AB" w14:paraId="0C97E016" w14:textId="77777777" w:rsidTr="00CE4E28">
        <w:trPr>
          <w:trHeight w:val="270"/>
          <w:jc w:val="center"/>
        </w:trPr>
        <w:tc>
          <w:tcPr>
            <w:tcW w:w="5761" w:type="dxa"/>
            <w:tcBorders>
              <w:top w:val="single" w:sz="4" w:space="0" w:color="auto"/>
              <w:left w:val="single" w:sz="4" w:space="0" w:color="auto"/>
              <w:bottom w:val="single" w:sz="2" w:space="0" w:color="FFFFFF"/>
            </w:tcBorders>
          </w:tcPr>
          <w:p w14:paraId="4521AE7A" w14:textId="77777777" w:rsidR="00EE02FC" w:rsidRPr="009722AB" w:rsidRDefault="00EE02FC" w:rsidP="00CE4E28">
            <w:pPr>
              <w:keepNext/>
              <w:spacing w:after="0"/>
              <w:ind w:left="62" w:firstLine="110"/>
              <w:rPr>
                <w:rFonts w:cs="Arial"/>
                <w:sz w:val="20"/>
              </w:rPr>
            </w:pPr>
            <w:r w:rsidRPr="009722AB">
              <w:rPr>
                <w:rFonts w:cs="Arial"/>
                <w:sz w:val="20"/>
              </w:rPr>
              <w:t xml:space="preserve">Median age, </w:t>
            </w:r>
            <w:proofErr w:type="spellStart"/>
            <w:r w:rsidRPr="009722AB">
              <w:rPr>
                <w:rFonts w:cs="Arial"/>
                <w:sz w:val="20"/>
              </w:rPr>
              <w:t>yrs</w:t>
            </w:r>
            <w:proofErr w:type="spellEnd"/>
            <w:r w:rsidRPr="009722AB">
              <w:rPr>
                <w:rFonts w:cs="Arial"/>
                <w:sz w:val="20"/>
              </w:rPr>
              <w:t xml:space="preserve"> (range)</w:t>
            </w:r>
          </w:p>
        </w:tc>
        <w:tc>
          <w:tcPr>
            <w:tcW w:w="3239" w:type="dxa"/>
            <w:tcBorders>
              <w:top w:val="single" w:sz="4" w:space="0" w:color="auto"/>
              <w:bottom w:val="single" w:sz="2" w:space="0" w:color="FFFFFF"/>
              <w:right w:val="single" w:sz="4" w:space="0" w:color="auto"/>
            </w:tcBorders>
          </w:tcPr>
          <w:p w14:paraId="382F608D" w14:textId="77777777" w:rsidR="00EE02FC" w:rsidRPr="009722AB" w:rsidRDefault="00EE02FC" w:rsidP="00CE4E28">
            <w:pPr>
              <w:keepNext/>
              <w:spacing w:after="0"/>
              <w:jc w:val="center"/>
              <w:rPr>
                <w:rFonts w:cs="Arial"/>
                <w:sz w:val="20"/>
              </w:rPr>
            </w:pPr>
            <w:r w:rsidRPr="009722AB">
              <w:rPr>
                <w:rFonts w:cs="Arial"/>
                <w:sz w:val="20"/>
              </w:rPr>
              <w:t>52 years (14</w:t>
            </w:r>
            <w:r w:rsidRPr="009722AB">
              <w:rPr>
                <w:rFonts w:cs="Arial"/>
                <w:sz w:val="20"/>
              </w:rPr>
              <w:noBreakHyphen/>
              <w:t>76)</w:t>
            </w:r>
          </w:p>
        </w:tc>
      </w:tr>
      <w:tr w:rsidR="00EE02FC" w:rsidRPr="009722AB" w14:paraId="6372007F" w14:textId="77777777" w:rsidTr="00CE4E28">
        <w:trPr>
          <w:trHeight w:val="270"/>
          <w:jc w:val="center"/>
        </w:trPr>
        <w:tc>
          <w:tcPr>
            <w:tcW w:w="5761" w:type="dxa"/>
            <w:tcBorders>
              <w:top w:val="single" w:sz="2" w:space="0" w:color="FFFFFF"/>
              <w:left w:val="single" w:sz="4" w:space="0" w:color="auto"/>
              <w:bottom w:val="single" w:sz="2" w:space="0" w:color="FFFFFF"/>
            </w:tcBorders>
          </w:tcPr>
          <w:p w14:paraId="397C5DD2" w14:textId="77777777" w:rsidR="00EE02FC" w:rsidRPr="009722AB" w:rsidRDefault="00EE02FC" w:rsidP="00CE4E28">
            <w:pPr>
              <w:keepNext/>
              <w:spacing w:after="0"/>
              <w:ind w:firstLine="172"/>
              <w:rPr>
                <w:rFonts w:cs="Arial"/>
                <w:sz w:val="20"/>
              </w:rPr>
            </w:pPr>
            <w:r w:rsidRPr="009722AB">
              <w:rPr>
                <w:rFonts w:cs="Arial"/>
                <w:sz w:val="20"/>
              </w:rPr>
              <w:t>Gender</w:t>
            </w:r>
          </w:p>
        </w:tc>
        <w:tc>
          <w:tcPr>
            <w:tcW w:w="3239" w:type="dxa"/>
            <w:tcBorders>
              <w:top w:val="single" w:sz="2" w:space="0" w:color="FFFFFF"/>
              <w:bottom w:val="single" w:sz="2" w:space="0" w:color="FFFFFF"/>
              <w:right w:val="single" w:sz="4" w:space="0" w:color="auto"/>
            </w:tcBorders>
          </w:tcPr>
          <w:p w14:paraId="7328131C" w14:textId="77777777" w:rsidR="00EE02FC" w:rsidRPr="009722AB" w:rsidRDefault="00EE02FC" w:rsidP="00CE4E28">
            <w:pPr>
              <w:keepNext/>
              <w:spacing w:after="0"/>
              <w:jc w:val="center"/>
              <w:rPr>
                <w:rFonts w:cs="Arial"/>
                <w:sz w:val="20"/>
              </w:rPr>
            </w:pPr>
            <w:r w:rsidRPr="009722AB">
              <w:rPr>
                <w:rFonts w:cs="Arial"/>
                <w:sz w:val="20"/>
              </w:rPr>
              <w:t>33M (57%)/25F (43%)</w:t>
            </w:r>
          </w:p>
        </w:tc>
      </w:tr>
      <w:tr w:rsidR="00EE02FC" w:rsidRPr="009722AB" w14:paraId="7CA9210B" w14:textId="77777777" w:rsidTr="00CE4E28">
        <w:trPr>
          <w:trHeight w:val="255"/>
          <w:jc w:val="center"/>
        </w:trPr>
        <w:tc>
          <w:tcPr>
            <w:tcW w:w="5761" w:type="dxa"/>
            <w:tcBorders>
              <w:top w:val="single" w:sz="2" w:space="0" w:color="FFFFFF"/>
              <w:left w:val="single" w:sz="4" w:space="0" w:color="auto"/>
            </w:tcBorders>
          </w:tcPr>
          <w:p w14:paraId="2789F48F" w14:textId="77777777" w:rsidR="00EE02FC" w:rsidRPr="009722AB" w:rsidRDefault="00EE02FC" w:rsidP="00CE4E28">
            <w:pPr>
              <w:keepNext/>
              <w:spacing w:after="0"/>
              <w:ind w:firstLine="172"/>
              <w:rPr>
                <w:rFonts w:cs="Arial"/>
                <w:sz w:val="20"/>
              </w:rPr>
            </w:pPr>
            <w:r w:rsidRPr="009722AB">
              <w:rPr>
                <w:rFonts w:cs="Arial"/>
                <w:sz w:val="20"/>
              </w:rPr>
              <w:t xml:space="preserve">ECOG </w:t>
            </w:r>
            <w:proofErr w:type="spellStart"/>
            <w:r w:rsidRPr="009722AB">
              <w:rPr>
                <w:rFonts w:cs="Arial"/>
                <w:sz w:val="20"/>
              </w:rPr>
              <w:t>status</w:t>
            </w:r>
            <w:r w:rsidRPr="009722AB">
              <w:rPr>
                <w:rFonts w:cs="Arial"/>
                <w:sz w:val="20"/>
                <w:vertAlign w:val="superscript"/>
              </w:rPr>
              <w:t>a</w:t>
            </w:r>
            <w:proofErr w:type="spellEnd"/>
          </w:p>
        </w:tc>
        <w:tc>
          <w:tcPr>
            <w:tcW w:w="3239" w:type="dxa"/>
            <w:tcBorders>
              <w:top w:val="single" w:sz="2" w:space="0" w:color="FFFFFF"/>
              <w:right w:val="single" w:sz="4" w:space="0" w:color="auto"/>
            </w:tcBorders>
          </w:tcPr>
          <w:p w14:paraId="7277E56B" w14:textId="77777777" w:rsidR="00EE02FC" w:rsidRPr="009722AB" w:rsidRDefault="00EE02FC" w:rsidP="00CE4E28">
            <w:pPr>
              <w:keepNext/>
              <w:spacing w:after="0"/>
              <w:jc w:val="center"/>
              <w:rPr>
                <w:rFonts w:cs="Arial"/>
                <w:sz w:val="20"/>
              </w:rPr>
            </w:pPr>
          </w:p>
        </w:tc>
      </w:tr>
      <w:tr w:rsidR="00EE02FC" w:rsidRPr="009722AB" w14:paraId="5D3BDC15" w14:textId="77777777" w:rsidTr="00CE4E28">
        <w:trPr>
          <w:trHeight w:val="255"/>
          <w:jc w:val="center"/>
        </w:trPr>
        <w:tc>
          <w:tcPr>
            <w:tcW w:w="5761" w:type="dxa"/>
            <w:tcBorders>
              <w:left w:val="single" w:sz="4" w:space="0" w:color="auto"/>
            </w:tcBorders>
          </w:tcPr>
          <w:p w14:paraId="7F65A7D7" w14:textId="77777777" w:rsidR="00EE02FC" w:rsidRPr="009722AB" w:rsidRDefault="00EE02FC" w:rsidP="00CE4E28">
            <w:pPr>
              <w:keepNext/>
              <w:spacing w:after="0"/>
              <w:ind w:left="392"/>
              <w:rPr>
                <w:rFonts w:cs="Arial"/>
                <w:sz w:val="20"/>
              </w:rPr>
            </w:pPr>
            <w:r w:rsidRPr="009722AB">
              <w:rPr>
                <w:rFonts w:cs="Arial"/>
                <w:sz w:val="20"/>
              </w:rPr>
              <w:t>0</w:t>
            </w:r>
          </w:p>
        </w:tc>
        <w:tc>
          <w:tcPr>
            <w:tcW w:w="3239" w:type="dxa"/>
            <w:tcBorders>
              <w:right w:val="single" w:sz="4" w:space="0" w:color="auto"/>
            </w:tcBorders>
          </w:tcPr>
          <w:p w14:paraId="79E4E541" w14:textId="77777777" w:rsidR="00EE02FC" w:rsidRPr="009722AB" w:rsidRDefault="00EE02FC" w:rsidP="00CE4E28">
            <w:pPr>
              <w:keepNext/>
              <w:spacing w:after="0"/>
              <w:jc w:val="center"/>
              <w:rPr>
                <w:rFonts w:cs="Arial"/>
                <w:sz w:val="20"/>
              </w:rPr>
            </w:pPr>
            <w:r w:rsidRPr="009722AB">
              <w:rPr>
                <w:rFonts w:cs="Arial"/>
                <w:sz w:val="20"/>
              </w:rPr>
              <w:t>19 (33%)</w:t>
            </w:r>
          </w:p>
        </w:tc>
      </w:tr>
      <w:tr w:rsidR="00EE02FC" w:rsidRPr="009722AB" w14:paraId="52EF44E1" w14:textId="77777777" w:rsidTr="00CE4E28">
        <w:trPr>
          <w:trHeight w:val="113"/>
          <w:jc w:val="center"/>
        </w:trPr>
        <w:tc>
          <w:tcPr>
            <w:tcW w:w="5761" w:type="dxa"/>
            <w:tcBorders>
              <w:left w:val="single" w:sz="4" w:space="0" w:color="auto"/>
              <w:bottom w:val="single" w:sz="8" w:space="0" w:color="FFFFFF"/>
            </w:tcBorders>
          </w:tcPr>
          <w:p w14:paraId="5C76FA01" w14:textId="77777777" w:rsidR="00EE02FC" w:rsidRPr="009722AB" w:rsidRDefault="00EE02FC" w:rsidP="00CE4E28">
            <w:pPr>
              <w:keepNext/>
              <w:spacing w:after="0"/>
              <w:ind w:left="392"/>
              <w:rPr>
                <w:rFonts w:cs="Arial"/>
                <w:sz w:val="20"/>
              </w:rPr>
            </w:pPr>
            <w:r w:rsidRPr="009722AB">
              <w:rPr>
                <w:rFonts w:cs="Arial"/>
                <w:sz w:val="20"/>
              </w:rPr>
              <w:t>1</w:t>
            </w:r>
          </w:p>
        </w:tc>
        <w:tc>
          <w:tcPr>
            <w:tcW w:w="3239" w:type="dxa"/>
            <w:tcBorders>
              <w:right w:val="single" w:sz="4" w:space="0" w:color="auto"/>
            </w:tcBorders>
          </w:tcPr>
          <w:p w14:paraId="5B61D32D" w14:textId="77777777" w:rsidR="00EE02FC" w:rsidRPr="009722AB" w:rsidRDefault="00EE02FC" w:rsidP="00CE4E28">
            <w:pPr>
              <w:keepNext/>
              <w:spacing w:after="0"/>
              <w:jc w:val="center"/>
              <w:rPr>
                <w:rFonts w:cs="Arial"/>
                <w:sz w:val="20"/>
              </w:rPr>
            </w:pPr>
            <w:r w:rsidRPr="009722AB">
              <w:rPr>
                <w:rFonts w:cs="Arial"/>
                <w:sz w:val="20"/>
              </w:rPr>
              <w:t>38 (66%)</w:t>
            </w:r>
          </w:p>
        </w:tc>
      </w:tr>
      <w:tr w:rsidR="00EE02FC" w:rsidRPr="009722AB" w14:paraId="2D6EC6F3" w14:textId="77777777" w:rsidTr="00CE4E28">
        <w:trPr>
          <w:trHeight w:val="113"/>
          <w:jc w:val="center"/>
        </w:trPr>
        <w:tc>
          <w:tcPr>
            <w:tcW w:w="5761" w:type="dxa"/>
            <w:tcBorders>
              <w:top w:val="single" w:sz="8" w:space="0" w:color="FFFFFF"/>
              <w:left w:val="single" w:sz="4" w:space="0" w:color="auto"/>
              <w:bottom w:val="single" w:sz="8" w:space="0" w:color="FFFFFF"/>
            </w:tcBorders>
          </w:tcPr>
          <w:p w14:paraId="40325C48" w14:textId="77777777" w:rsidR="00EE02FC" w:rsidRPr="009722AB" w:rsidRDefault="00EE02FC" w:rsidP="00CE4E28">
            <w:pPr>
              <w:keepNext/>
              <w:spacing w:after="0"/>
              <w:ind w:left="392" w:hanging="216"/>
              <w:rPr>
                <w:rFonts w:cs="Arial"/>
                <w:sz w:val="20"/>
              </w:rPr>
            </w:pPr>
            <w:r w:rsidRPr="009722AB">
              <w:rPr>
                <w:rFonts w:cs="Arial"/>
                <w:sz w:val="20"/>
              </w:rPr>
              <w:t>Prior ASCT</w:t>
            </w:r>
          </w:p>
        </w:tc>
        <w:tc>
          <w:tcPr>
            <w:tcW w:w="3239" w:type="dxa"/>
            <w:tcBorders>
              <w:bottom w:val="single" w:sz="8" w:space="0" w:color="FFFFFF"/>
              <w:right w:val="single" w:sz="4" w:space="0" w:color="auto"/>
            </w:tcBorders>
          </w:tcPr>
          <w:p w14:paraId="670B0940" w14:textId="77777777" w:rsidR="00EE02FC" w:rsidRPr="009722AB" w:rsidRDefault="00EE02FC" w:rsidP="00CE4E28">
            <w:pPr>
              <w:keepNext/>
              <w:spacing w:after="0"/>
              <w:jc w:val="center"/>
              <w:rPr>
                <w:rFonts w:cs="Arial"/>
                <w:sz w:val="20"/>
              </w:rPr>
            </w:pPr>
            <w:r w:rsidRPr="009722AB">
              <w:rPr>
                <w:rFonts w:cs="Arial"/>
                <w:sz w:val="20"/>
              </w:rPr>
              <w:t>15 (26%)</w:t>
            </w:r>
          </w:p>
        </w:tc>
      </w:tr>
      <w:tr w:rsidR="00EE02FC" w:rsidRPr="009722AB" w14:paraId="46A03FAC" w14:textId="77777777" w:rsidTr="00CE4E28">
        <w:trPr>
          <w:trHeight w:val="128"/>
          <w:jc w:val="center"/>
        </w:trPr>
        <w:tc>
          <w:tcPr>
            <w:tcW w:w="5761" w:type="dxa"/>
            <w:tcBorders>
              <w:top w:val="single" w:sz="8" w:space="0" w:color="FFFFFF"/>
              <w:left w:val="single" w:sz="4" w:space="0" w:color="auto"/>
              <w:bottom w:val="single" w:sz="8" w:space="0" w:color="FFFFFF"/>
            </w:tcBorders>
          </w:tcPr>
          <w:p w14:paraId="0DD324EF" w14:textId="77777777" w:rsidR="00EE02FC" w:rsidRPr="009722AB" w:rsidRDefault="00EE02FC" w:rsidP="00CE4E28">
            <w:pPr>
              <w:keepNext/>
              <w:spacing w:after="0"/>
              <w:ind w:left="392" w:hanging="216"/>
              <w:rPr>
                <w:rFonts w:cs="Arial"/>
                <w:sz w:val="20"/>
              </w:rPr>
            </w:pPr>
            <w:r w:rsidRPr="009722AB">
              <w:rPr>
                <w:rFonts w:cs="Arial"/>
                <w:sz w:val="20"/>
              </w:rPr>
              <w:t>Prior chemotherapy Regimens (range)</w:t>
            </w:r>
          </w:p>
        </w:tc>
        <w:tc>
          <w:tcPr>
            <w:tcW w:w="3239" w:type="dxa"/>
            <w:tcBorders>
              <w:top w:val="single" w:sz="8" w:space="0" w:color="FFFFFF"/>
              <w:right w:val="single" w:sz="4" w:space="0" w:color="auto"/>
            </w:tcBorders>
          </w:tcPr>
          <w:p w14:paraId="783C9154" w14:textId="77777777" w:rsidR="00EE02FC" w:rsidRPr="009722AB" w:rsidRDefault="00EE02FC" w:rsidP="00CE4E28">
            <w:pPr>
              <w:keepNext/>
              <w:spacing w:after="0"/>
              <w:jc w:val="center"/>
              <w:rPr>
                <w:rFonts w:cs="Arial"/>
                <w:sz w:val="20"/>
              </w:rPr>
            </w:pPr>
            <w:r w:rsidRPr="009722AB">
              <w:rPr>
                <w:rFonts w:cs="Arial"/>
                <w:sz w:val="20"/>
              </w:rPr>
              <w:t>2 (1-6)</w:t>
            </w:r>
          </w:p>
        </w:tc>
      </w:tr>
      <w:tr w:rsidR="00EE02FC" w:rsidRPr="009722AB" w14:paraId="190BCD23" w14:textId="77777777" w:rsidTr="00CE4E28">
        <w:trPr>
          <w:trHeight w:val="128"/>
          <w:jc w:val="center"/>
        </w:trPr>
        <w:tc>
          <w:tcPr>
            <w:tcW w:w="5761" w:type="dxa"/>
            <w:tcBorders>
              <w:top w:val="single" w:sz="8" w:space="0" w:color="FFFFFF"/>
              <w:left w:val="single" w:sz="4" w:space="0" w:color="auto"/>
              <w:bottom w:val="single" w:sz="8" w:space="0" w:color="FFFFFF"/>
            </w:tcBorders>
          </w:tcPr>
          <w:p w14:paraId="0CB78294" w14:textId="77777777" w:rsidR="00EE02FC" w:rsidRPr="009722AB" w:rsidRDefault="00EE02FC" w:rsidP="00CE4E28">
            <w:pPr>
              <w:keepNext/>
              <w:spacing w:after="0"/>
              <w:ind w:left="392" w:hanging="216"/>
              <w:rPr>
                <w:rFonts w:cs="Arial"/>
                <w:sz w:val="20"/>
              </w:rPr>
            </w:pPr>
            <w:r w:rsidRPr="009722AB">
              <w:rPr>
                <w:rFonts w:cs="Arial"/>
                <w:sz w:val="20"/>
              </w:rPr>
              <w:t>Histologically confirmed CD30</w:t>
            </w:r>
            <w:r w:rsidRPr="009722AB">
              <w:rPr>
                <w:rFonts w:cs="Arial"/>
                <w:sz w:val="20"/>
              </w:rPr>
              <w:noBreakHyphen/>
              <w:t>expressing disease</w:t>
            </w:r>
          </w:p>
        </w:tc>
        <w:tc>
          <w:tcPr>
            <w:tcW w:w="3239" w:type="dxa"/>
            <w:tcBorders>
              <w:right w:val="single" w:sz="4" w:space="0" w:color="auto"/>
            </w:tcBorders>
          </w:tcPr>
          <w:p w14:paraId="77191A1D" w14:textId="77777777" w:rsidR="00EE02FC" w:rsidRPr="009722AB" w:rsidRDefault="00EE02FC" w:rsidP="00CE4E28">
            <w:pPr>
              <w:keepNext/>
              <w:spacing w:after="0"/>
              <w:jc w:val="center"/>
              <w:rPr>
                <w:rFonts w:cs="Arial"/>
                <w:sz w:val="20"/>
              </w:rPr>
            </w:pPr>
            <w:r w:rsidRPr="009722AB">
              <w:rPr>
                <w:rFonts w:cs="Arial"/>
                <w:sz w:val="20"/>
              </w:rPr>
              <w:t>57 (98%)</w:t>
            </w:r>
          </w:p>
        </w:tc>
      </w:tr>
      <w:tr w:rsidR="00EE02FC" w:rsidRPr="009722AB" w14:paraId="576349D2" w14:textId="77777777" w:rsidTr="00CE4E28">
        <w:trPr>
          <w:trHeight w:val="127"/>
          <w:jc w:val="center"/>
        </w:trPr>
        <w:tc>
          <w:tcPr>
            <w:tcW w:w="5761" w:type="dxa"/>
            <w:tcBorders>
              <w:top w:val="single" w:sz="8" w:space="0" w:color="FFFFFF"/>
              <w:left w:val="single" w:sz="4" w:space="0" w:color="auto"/>
              <w:bottom w:val="single" w:sz="4" w:space="0" w:color="auto"/>
            </w:tcBorders>
          </w:tcPr>
          <w:p w14:paraId="74C98244" w14:textId="77777777" w:rsidR="00EE02FC" w:rsidRPr="009722AB" w:rsidRDefault="00EE02FC" w:rsidP="00CE4E28">
            <w:pPr>
              <w:keepNext/>
              <w:spacing w:after="0"/>
              <w:ind w:left="392" w:hanging="216"/>
              <w:rPr>
                <w:rFonts w:cs="Arial"/>
                <w:sz w:val="20"/>
              </w:rPr>
            </w:pPr>
            <w:r w:rsidRPr="009722AB">
              <w:rPr>
                <w:rFonts w:cs="Arial"/>
                <w:sz w:val="20"/>
              </w:rPr>
              <w:t>Anaplastic lymphoma kinase (ALK)-negative disease</w:t>
            </w:r>
          </w:p>
        </w:tc>
        <w:tc>
          <w:tcPr>
            <w:tcW w:w="3239" w:type="dxa"/>
            <w:tcBorders>
              <w:bottom w:val="single" w:sz="4" w:space="0" w:color="auto"/>
              <w:right w:val="single" w:sz="4" w:space="0" w:color="auto"/>
            </w:tcBorders>
          </w:tcPr>
          <w:p w14:paraId="719760A3" w14:textId="77777777" w:rsidR="00EE02FC" w:rsidRPr="009722AB" w:rsidRDefault="00EE02FC" w:rsidP="00CE4E28">
            <w:pPr>
              <w:keepNext/>
              <w:spacing w:after="0"/>
              <w:jc w:val="center"/>
              <w:rPr>
                <w:rFonts w:cs="Arial"/>
                <w:sz w:val="20"/>
              </w:rPr>
            </w:pPr>
            <w:r w:rsidRPr="009722AB">
              <w:rPr>
                <w:rFonts w:cs="Arial"/>
                <w:sz w:val="20"/>
              </w:rPr>
              <w:t>42 (72%)</w:t>
            </w:r>
          </w:p>
        </w:tc>
      </w:tr>
      <w:tr w:rsidR="00EE02FC" w:rsidRPr="009722AB" w14:paraId="42C1B6D9" w14:textId="77777777" w:rsidTr="00CE4E28">
        <w:trPr>
          <w:trHeight w:val="302"/>
          <w:jc w:val="center"/>
        </w:trPr>
        <w:tc>
          <w:tcPr>
            <w:tcW w:w="5761" w:type="dxa"/>
            <w:tcBorders>
              <w:top w:val="single" w:sz="4" w:space="0" w:color="auto"/>
              <w:left w:val="single" w:sz="4" w:space="0" w:color="auto"/>
              <w:bottom w:val="single" w:sz="4" w:space="0" w:color="auto"/>
            </w:tcBorders>
          </w:tcPr>
          <w:p w14:paraId="1713D9D4" w14:textId="77777777" w:rsidR="00EE02FC" w:rsidRPr="009722AB" w:rsidRDefault="00EE02FC" w:rsidP="00CE4E28">
            <w:pPr>
              <w:keepNext/>
              <w:spacing w:after="0"/>
              <w:ind w:left="389" w:hanging="389"/>
              <w:rPr>
                <w:rFonts w:cs="Arial"/>
                <w:b/>
                <w:sz w:val="20"/>
              </w:rPr>
            </w:pPr>
            <w:r w:rsidRPr="009722AB">
              <w:rPr>
                <w:rFonts w:cs="Arial"/>
                <w:b/>
                <w:sz w:val="20"/>
              </w:rPr>
              <w:t>Disease characteristics</w:t>
            </w:r>
          </w:p>
        </w:tc>
        <w:tc>
          <w:tcPr>
            <w:tcW w:w="3239" w:type="dxa"/>
            <w:tcBorders>
              <w:top w:val="single" w:sz="4" w:space="0" w:color="auto"/>
              <w:bottom w:val="single" w:sz="4" w:space="0" w:color="auto"/>
              <w:right w:val="single" w:sz="4" w:space="0" w:color="auto"/>
            </w:tcBorders>
          </w:tcPr>
          <w:p w14:paraId="6F985A00" w14:textId="77777777" w:rsidR="00EE02FC" w:rsidRPr="009722AB" w:rsidRDefault="00EE02FC" w:rsidP="00CE4E28">
            <w:pPr>
              <w:keepNext/>
              <w:spacing w:after="0"/>
              <w:jc w:val="center"/>
              <w:rPr>
                <w:rFonts w:cs="Arial"/>
                <w:b/>
                <w:sz w:val="20"/>
              </w:rPr>
            </w:pPr>
          </w:p>
        </w:tc>
      </w:tr>
      <w:tr w:rsidR="00EE02FC" w:rsidRPr="009722AB" w14:paraId="02CC2D15" w14:textId="77777777" w:rsidTr="00CE4E28">
        <w:trPr>
          <w:trHeight w:val="160"/>
          <w:jc w:val="center"/>
        </w:trPr>
        <w:tc>
          <w:tcPr>
            <w:tcW w:w="5761" w:type="dxa"/>
            <w:tcBorders>
              <w:top w:val="single" w:sz="4" w:space="0" w:color="auto"/>
              <w:left w:val="single" w:sz="4" w:space="0" w:color="auto"/>
            </w:tcBorders>
          </w:tcPr>
          <w:p w14:paraId="1C907E9F" w14:textId="77777777" w:rsidR="00EE02FC" w:rsidRPr="009722AB" w:rsidRDefault="00EE02FC" w:rsidP="00CE4E28">
            <w:pPr>
              <w:keepNext/>
              <w:spacing w:after="0"/>
              <w:ind w:left="172"/>
              <w:rPr>
                <w:rFonts w:cs="Arial"/>
                <w:sz w:val="20"/>
              </w:rPr>
            </w:pPr>
            <w:r w:rsidRPr="009722AB">
              <w:rPr>
                <w:rFonts w:cs="Arial"/>
                <w:sz w:val="20"/>
              </w:rPr>
              <w:t xml:space="preserve">Primary Refractory to frontline </w:t>
            </w:r>
            <w:proofErr w:type="spellStart"/>
            <w:r w:rsidRPr="009722AB">
              <w:rPr>
                <w:rFonts w:cs="Arial"/>
                <w:sz w:val="20"/>
              </w:rPr>
              <w:t>therapy</w:t>
            </w:r>
            <w:r w:rsidRPr="009722AB">
              <w:rPr>
                <w:rFonts w:cs="Arial"/>
                <w:sz w:val="20"/>
                <w:vertAlign w:val="superscript"/>
              </w:rPr>
              <w:t>b</w:t>
            </w:r>
            <w:proofErr w:type="spellEnd"/>
          </w:p>
        </w:tc>
        <w:tc>
          <w:tcPr>
            <w:tcW w:w="3239" w:type="dxa"/>
            <w:tcBorders>
              <w:top w:val="single" w:sz="4" w:space="0" w:color="auto"/>
              <w:right w:val="single" w:sz="4" w:space="0" w:color="auto"/>
            </w:tcBorders>
          </w:tcPr>
          <w:p w14:paraId="6E5660CB" w14:textId="77777777" w:rsidR="00EE02FC" w:rsidRPr="009722AB" w:rsidRDefault="00EE02FC" w:rsidP="00CE4E28">
            <w:pPr>
              <w:keepNext/>
              <w:spacing w:after="0"/>
              <w:jc w:val="center"/>
              <w:rPr>
                <w:rFonts w:cs="Arial"/>
                <w:sz w:val="20"/>
              </w:rPr>
            </w:pPr>
            <w:r w:rsidRPr="009722AB">
              <w:rPr>
                <w:rFonts w:cs="Arial"/>
                <w:sz w:val="20"/>
              </w:rPr>
              <w:t>36 (62%)</w:t>
            </w:r>
          </w:p>
        </w:tc>
      </w:tr>
      <w:tr w:rsidR="00EE02FC" w:rsidRPr="009722AB" w14:paraId="1C3EFCC7" w14:textId="77777777" w:rsidTr="00CE4E28">
        <w:trPr>
          <w:trHeight w:val="143"/>
          <w:jc w:val="center"/>
        </w:trPr>
        <w:tc>
          <w:tcPr>
            <w:tcW w:w="5761" w:type="dxa"/>
            <w:tcBorders>
              <w:top w:val="single" w:sz="2" w:space="0" w:color="FFFFFF"/>
              <w:left w:val="single" w:sz="4" w:space="0" w:color="auto"/>
              <w:bottom w:val="single" w:sz="2" w:space="0" w:color="FFFFFF"/>
            </w:tcBorders>
          </w:tcPr>
          <w:p w14:paraId="6DEA304E" w14:textId="77777777" w:rsidR="00EE02FC" w:rsidRPr="009722AB" w:rsidRDefault="00EE02FC" w:rsidP="00CE4E28">
            <w:pPr>
              <w:keepNext/>
              <w:spacing w:after="0"/>
              <w:ind w:left="172"/>
              <w:rPr>
                <w:rFonts w:cs="Arial"/>
                <w:sz w:val="20"/>
              </w:rPr>
            </w:pPr>
            <w:r w:rsidRPr="009722AB">
              <w:rPr>
                <w:rFonts w:cs="Arial"/>
                <w:sz w:val="20"/>
              </w:rPr>
              <w:t>Refractory to most recent therapy</w:t>
            </w:r>
          </w:p>
        </w:tc>
        <w:tc>
          <w:tcPr>
            <w:tcW w:w="3239" w:type="dxa"/>
            <w:tcBorders>
              <w:top w:val="single" w:sz="2" w:space="0" w:color="FFFFFF"/>
              <w:right w:val="single" w:sz="4" w:space="0" w:color="auto"/>
            </w:tcBorders>
          </w:tcPr>
          <w:p w14:paraId="4C4C0A96" w14:textId="77777777" w:rsidR="00EE02FC" w:rsidRPr="009722AB" w:rsidRDefault="00EE02FC" w:rsidP="00CE4E28">
            <w:pPr>
              <w:keepNext/>
              <w:spacing w:after="0"/>
              <w:jc w:val="center"/>
              <w:rPr>
                <w:rFonts w:cs="Arial"/>
                <w:sz w:val="20"/>
              </w:rPr>
            </w:pPr>
            <w:r w:rsidRPr="009722AB">
              <w:rPr>
                <w:rFonts w:cs="Arial"/>
                <w:sz w:val="20"/>
              </w:rPr>
              <w:t>29 (50%)</w:t>
            </w:r>
          </w:p>
        </w:tc>
      </w:tr>
      <w:tr w:rsidR="00EE02FC" w:rsidRPr="009722AB" w14:paraId="338C64B3" w14:textId="77777777" w:rsidTr="00CE4E28">
        <w:trPr>
          <w:trHeight w:val="128"/>
          <w:jc w:val="center"/>
        </w:trPr>
        <w:tc>
          <w:tcPr>
            <w:tcW w:w="5761" w:type="dxa"/>
            <w:tcBorders>
              <w:top w:val="single" w:sz="2" w:space="0" w:color="FFFFFF"/>
              <w:left w:val="single" w:sz="4" w:space="0" w:color="auto"/>
              <w:bottom w:val="single" w:sz="2" w:space="0" w:color="FFFFFF"/>
            </w:tcBorders>
          </w:tcPr>
          <w:p w14:paraId="3774216E" w14:textId="77777777" w:rsidR="00EE02FC" w:rsidRPr="009722AB" w:rsidRDefault="00EE02FC" w:rsidP="00CE4E28">
            <w:pPr>
              <w:keepNext/>
              <w:spacing w:after="0"/>
              <w:ind w:left="172"/>
              <w:rPr>
                <w:rFonts w:cs="Arial"/>
                <w:sz w:val="20"/>
              </w:rPr>
            </w:pPr>
            <w:r w:rsidRPr="009722AB">
              <w:rPr>
                <w:rFonts w:cs="Arial"/>
                <w:sz w:val="20"/>
              </w:rPr>
              <w:t>Relapsed to most recent therapy</w:t>
            </w:r>
          </w:p>
        </w:tc>
        <w:tc>
          <w:tcPr>
            <w:tcW w:w="3239" w:type="dxa"/>
            <w:tcBorders>
              <w:right w:val="single" w:sz="4" w:space="0" w:color="auto"/>
            </w:tcBorders>
          </w:tcPr>
          <w:p w14:paraId="7D334935" w14:textId="77777777" w:rsidR="00EE02FC" w:rsidRPr="009722AB" w:rsidRDefault="00EE02FC" w:rsidP="00CE4E28">
            <w:pPr>
              <w:keepNext/>
              <w:spacing w:after="0"/>
              <w:jc w:val="center"/>
              <w:rPr>
                <w:rFonts w:cs="Arial"/>
                <w:sz w:val="20"/>
              </w:rPr>
            </w:pPr>
            <w:r w:rsidRPr="009722AB">
              <w:rPr>
                <w:rFonts w:cs="Arial"/>
                <w:sz w:val="20"/>
              </w:rPr>
              <w:t>29 (50%)</w:t>
            </w:r>
          </w:p>
        </w:tc>
      </w:tr>
      <w:tr w:rsidR="00EE02FC" w:rsidRPr="009722AB" w14:paraId="01CC879D" w14:textId="77777777" w:rsidTr="00CE4E28">
        <w:trPr>
          <w:trHeight w:val="128"/>
          <w:jc w:val="center"/>
        </w:trPr>
        <w:tc>
          <w:tcPr>
            <w:tcW w:w="5761" w:type="dxa"/>
            <w:tcBorders>
              <w:top w:val="single" w:sz="2" w:space="0" w:color="FFFFFF"/>
              <w:left w:val="single" w:sz="4" w:space="0" w:color="auto"/>
              <w:bottom w:val="single" w:sz="2" w:space="0" w:color="FFFFFF"/>
            </w:tcBorders>
          </w:tcPr>
          <w:p w14:paraId="2BFFF6FA" w14:textId="77777777" w:rsidR="00EE02FC" w:rsidRPr="009722AB" w:rsidRDefault="00EE02FC" w:rsidP="00CE4E28">
            <w:pPr>
              <w:keepNext/>
              <w:spacing w:after="0"/>
              <w:ind w:left="172"/>
              <w:rPr>
                <w:rFonts w:cs="Arial"/>
                <w:sz w:val="20"/>
              </w:rPr>
            </w:pPr>
            <w:r w:rsidRPr="009722AB">
              <w:rPr>
                <w:rFonts w:cs="Arial"/>
                <w:sz w:val="20"/>
              </w:rPr>
              <w:t>Baseline B symptoms</w:t>
            </w:r>
          </w:p>
        </w:tc>
        <w:tc>
          <w:tcPr>
            <w:tcW w:w="3239" w:type="dxa"/>
            <w:tcBorders>
              <w:right w:val="single" w:sz="4" w:space="0" w:color="auto"/>
            </w:tcBorders>
          </w:tcPr>
          <w:p w14:paraId="15B2A765" w14:textId="77777777" w:rsidR="00EE02FC" w:rsidRPr="009722AB" w:rsidRDefault="00EE02FC" w:rsidP="00CE4E28">
            <w:pPr>
              <w:keepNext/>
              <w:spacing w:after="0"/>
              <w:jc w:val="center"/>
              <w:rPr>
                <w:rFonts w:cs="Arial"/>
                <w:sz w:val="20"/>
              </w:rPr>
            </w:pPr>
            <w:r w:rsidRPr="009722AB">
              <w:rPr>
                <w:rFonts w:cs="Arial"/>
                <w:sz w:val="20"/>
              </w:rPr>
              <w:t>17 (29%)</w:t>
            </w:r>
          </w:p>
        </w:tc>
      </w:tr>
      <w:tr w:rsidR="00EE02FC" w:rsidRPr="009722AB" w14:paraId="3A2961E2" w14:textId="77777777" w:rsidTr="00CE4E28">
        <w:trPr>
          <w:trHeight w:val="127"/>
          <w:jc w:val="center"/>
        </w:trPr>
        <w:tc>
          <w:tcPr>
            <w:tcW w:w="5761" w:type="dxa"/>
            <w:tcBorders>
              <w:top w:val="single" w:sz="2" w:space="0" w:color="FFFFFF"/>
              <w:left w:val="single" w:sz="4" w:space="0" w:color="auto"/>
              <w:bottom w:val="single" w:sz="2" w:space="0" w:color="FFFFFF"/>
            </w:tcBorders>
          </w:tcPr>
          <w:p w14:paraId="1E7B552C" w14:textId="77777777" w:rsidR="00EE02FC" w:rsidRPr="009722AB" w:rsidRDefault="00EE02FC" w:rsidP="00CE4E28">
            <w:pPr>
              <w:keepNext/>
              <w:spacing w:after="0"/>
              <w:ind w:left="172"/>
              <w:rPr>
                <w:rFonts w:cs="Arial"/>
                <w:sz w:val="20"/>
              </w:rPr>
            </w:pPr>
            <w:r w:rsidRPr="009722AB">
              <w:rPr>
                <w:rFonts w:cs="Arial"/>
                <w:sz w:val="20"/>
              </w:rPr>
              <w:t>Stage III at initial diagnosis</w:t>
            </w:r>
          </w:p>
        </w:tc>
        <w:tc>
          <w:tcPr>
            <w:tcW w:w="3239" w:type="dxa"/>
            <w:tcBorders>
              <w:right w:val="single" w:sz="4" w:space="0" w:color="auto"/>
            </w:tcBorders>
          </w:tcPr>
          <w:p w14:paraId="7C7F493B" w14:textId="77777777" w:rsidR="00EE02FC" w:rsidRPr="009722AB" w:rsidRDefault="00EE02FC" w:rsidP="00CE4E28">
            <w:pPr>
              <w:keepNext/>
              <w:spacing w:after="0"/>
              <w:jc w:val="center"/>
              <w:rPr>
                <w:rFonts w:cs="Arial"/>
                <w:sz w:val="20"/>
              </w:rPr>
            </w:pPr>
            <w:r w:rsidRPr="009722AB">
              <w:rPr>
                <w:rFonts w:cs="Arial"/>
                <w:sz w:val="20"/>
              </w:rPr>
              <w:t>8 (14%)</w:t>
            </w:r>
          </w:p>
        </w:tc>
      </w:tr>
      <w:tr w:rsidR="00EE02FC" w:rsidRPr="009722AB" w14:paraId="1CD8BADF" w14:textId="77777777" w:rsidTr="00CE4E28">
        <w:trPr>
          <w:trHeight w:val="127"/>
          <w:jc w:val="center"/>
        </w:trPr>
        <w:tc>
          <w:tcPr>
            <w:tcW w:w="5761" w:type="dxa"/>
            <w:tcBorders>
              <w:top w:val="single" w:sz="2" w:space="0" w:color="FFFFFF"/>
              <w:left w:val="single" w:sz="4" w:space="0" w:color="auto"/>
              <w:bottom w:val="single" w:sz="4" w:space="0" w:color="auto"/>
            </w:tcBorders>
          </w:tcPr>
          <w:p w14:paraId="609CE1E8" w14:textId="77777777" w:rsidR="00EE02FC" w:rsidRPr="009722AB" w:rsidRDefault="00EE02FC" w:rsidP="00CE4E28">
            <w:pPr>
              <w:keepNext/>
              <w:spacing w:after="0"/>
              <w:ind w:left="172"/>
              <w:rPr>
                <w:rFonts w:cs="Arial"/>
                <w:sz w:val="20"/>
              </w:rPr>
            </w:pPr>
            <w:r w:rsidRPr="009722AB">
              <w:rPr>
                <w:rFonts w:cs="Arial"/>
                <w:sz w:val="20"/>
              </w:rPr>
              <w:t>Stage IV at initial diagnosis</w:t>
            </w:r>
          </w:p>
        </w:tc>
        <w:tc>
          <w:tcPr>
            <w:tcW w:w="3239" w:type="dxa"/>
            <w:tcBorders>
              <w:bottom w:val="single" w:sz="4" w:space="0" w:color="auto"/>
              <w:right w:val="single" w:sz="4" w:space="0" w:color="auto"/>
            </w:tcBorders>
          </w:tcPr>
          <w:p w14:paraId="7D937411" w14:textId="77777777" w:rsidR="00EE02FC" w:rsidRPr="009722AB" w:rsidRDefault="00EE02FC" w:rsidP="00CE4E28">
            <w:pPr>
              <w:keepNext/>
              <w:spacing w:after="0"/>
              <w:jc w:val="center"/>
              <w:rPr>
                <w:rFonts w:cs="Arial"/>
                <w:sz w:val="20"/>
              </w:rPr>
            </w:pPr>
            <w:r w:rsidRPr="009722AB">
              <w:rPr>
                <w:rFonts w:cs="Arial"/>
                <w:sz w:val="20"/>
              </w:rPr>
              <w:t>21 (36%)</w:t>
            </w:r>
          </w:p>
        </w:tc>
      </w:tr>
    </w:tbl>
    <w:p w14:paraId="4185B8E1" w14:textId="77777777" w:rsidR="007E4A90" w:rsidRPr="009722AB" w:rsidRDefault="007E4A90" w:rsidP="000550D7">
      <w:pPr>
        <w:pStyle w:val="Paragraph"/>
        <w:keepNext/>
        <w:numPr>
          <w:ilvl w:val="0"/>
          <w:numId w:val="31"/>
        </w:numPr>
        <w:tabs>
          <w:tab w:val="clear" w:pos="360"/>
        </w:tabs>
        <w:spacing w:after="0"/>
        <w:ind w:left="709" w:hanging="357"/>
        <w:rPr>
          <w:rFonts w:ascii="Arial" w:hAnsi="Arial" w:cs="Arial"/>
          <w:sz w:val="20"/>
          <w:szCs w:val="20"/>
          <w:lang w:val="en-GB"/>
        </w:rPr>
      </w:pPr>
      <w:r w:rsidRPr="009722AB">
        <w:rPr>
          <w:rFonts w:ascii="Arial" w:hAnsi="Arial" w:cs="Arial"/>
          <w:bCs/>
          <w:sz w:val="20"/>
          <w:szCs w:val="20"/>
          <w:lang w:val="en-GB"/>
        </w:rPr>
        <w:t>One patient had a baseline ECOG status of 2, which was prohibited by protocol and is captured as Inclusion Criteria Not Met.</w:t>
      </w:r>
    </w:p>
    <w:p w14:paraId="42126E99" w14:textId="77777777" w:rsidR="007E4A90" w:rsidRPr="009722AB" w:rsidRDefault="007E4A90" w:rsidP="000550D7">
      <w:pPr>
        <w:pStyle w:val="Paragraph"/>
        <w:keepNext/>
        <w:numPr>
          <w:ilvl w:val="0"/>
          <w:numId w:val="31"/>
        </w:numPr>
        <w:tabs>
          <w:tab w:val="clear" w:pos="360"/>
          <w:tab w:val="left" w:pos="0"/>
        </w:tabs>
        <w:spacing w:after="0"/>
        <w:ind w:left="709" w:hanging="357"/>
        <w:rPr>
          <w:rFonts w:ascii="Arial" w:hAnsi="Arial" w:cs="Arial"/>
          <w:sz w:val="20"/>
          <w:szCs w:val="20"/>
          <w:lang w:val="en-GB"/>
        </w:rPr>
      </w:pPr>
      <w:r w:rsidRPr="009722AB">
        <w:rPr>
          <w:rFonts w:ascii="Arial" w:hAnsi="Arial" w:cs="Arial"/>
          <w:sz w:val="20"/>
          <w:szCs w:val="20"/>
          <w:lang w:val="en-GB"/>
        </w:rPr>
        <w:t xml:space="preserve">Primary refractory </w:t>
      </w:r>
      <w:proofErr w:type="spellStart"/>
      <w:r w:rsidRPr="009722AB">
        <w:rPr>
          <w:rFonts w:ascii="Arial" w:hAnsi="Arial" w:cs="Arial"/>
          <w:sz w:val="20"/>
          <w:szCs w:val="20"/>
          <w:lang w:val="en-GB"/>
        </w:rPr>
        <w:t>sALCL</w:t>
      </w:r>
      <w:proofErr w:type="spellEnd"/>
      <w:r w:rsidRPr="009722AB">
        <w:rPr>
          <w:rFonts w:ascii="Arial" w:hAnsi="Arial" w:cs="Arial"/>
          <w:sz w:val="20"/>
          <w:szCs w:val="20"/>
          <w:lang w:val="en-GB"/>
        </w:rPr>
        <w:t xml:space="preserve"> is defined as a failure to achieve a complete remission </w:t>
      </w:r>
      <w:proofErr w:type="gramStart"/>
      <w:r w:rsidRPr="009722AB">
        <w:rPr>
          <w:rFonts w:ascii="Arial" w:hAnsi="Arial" w:cs="Arial"/>
          <w:sz w:val="20"/>
          <w:szCs w:val="20"/>
          <w:lang w:val="en-GB"/>
        </w:rPr>
        <w:t>to, or</w:t>
      </w:r>
      <w:proofErr w:type="gramEnd"/>
      <w:r w:rsidRPr="009722AB">
        <w:rPr>
          <w:rFonts w:ascii="Arial" w:hAnsi="Arial" w:cs="Arial"/>
          <w:sz w:val="20"/>
          <w:szCs w:val="20"/>
          <w:lang w:val="en-GB"/>
        </w:rPr>
        <w:t xml:space="preserve"> progressed within 3 months of completing frontline therapy.</w:t>
      </w:r>
    </w:p>
    <w:p w14:paraId="5829BBC5" w14:textId="77777777" w:rsidR="00EE02FC" w:rsidRDefault="00EE02FC" w:rsidP="007E4A90">
      <w:pPr>
        <w:spacing w:after="0"/>
        <w:rPr>
          <w:highlight w:val="yellow"/>
        </w:rPr>
      </w:pPr>
    </w:p>
    <w:p w14:paraId="54156CC0" w14:textId="77777777" w:rsidR="007E4A90" w:rsidRDefault="007E4A90" w:rsidP="006333A4">
      <w:pPr>
        <w:spacing w:after="60"/>
      </w:pPr>
      <w:r>
        <w:t xml:space="preserve">The median time from initial </w:t>
      </w:r>
      <w:proofErr w:type="spellStart"/>
      <w:r>
        <w:t>sALCL</w:t>
      </w:r>
      <w:proofErr w:type="spellEnd"/>
      <w:r>
        <w:t xml:space="preserve"> diagnosis to first dose with ADCETRIS was 16.8 months. Ten (10) patients (17%) received 16 cycles of ADCETRIS; the median number of cycles received was 7 (range, 1 to 16). </w:t>
      </w:r>
    </w:p>
    <w:p w14:paraId="54F9E913" w14:textId="77777777" w:rsidR="007E4A90" w:rsidRDefault="007E4A90" w:rsidP="006333A4">
      <w:pPr>
        <w:spacing w:after="60"/>
      </w:pPr>
      <w:r>
        <w:t>Response to treatment with ADCETRIS was assessed by IRF using the Revised Response Criteria for Malignant Lymphoma (</w:t>
      </w:r>
      <w:proofErr w:type="spellStart"/>
      <w:r>
        <w:t>Cheson</w:t>
      </w:r>
      <w:proofErr w:type="spellEnd"/>
      <w:r>
        <w:t xml:space="preserve">, 2007). Treatment response was assessed by spiral CT of chest, neck, abdomen and </w:t>
      </w:r>
      <w:proofErr w:type="gramStart"/>
      <w:r>
        <w:t>pelvis;</w:t>
      </w:r>
      <w:proofErr w:type="gramEnd"/>
      <w:r>
        <w:t xml:space="preserve"> PET scans and clinical data. Response assessments were performed at cycles 2, 4, 7, 10, 13 and 16 with PET at cycles 4 and 7. </w:t>
      </w:r>
    </w:p>
    <w:p w14:paraId="126F6A40" w14:textId="085C2A65" w:rsidR="007E4A90" w:rsidRPr="0085274E" w:rsidRDefault="007E4A90" w:rsidP="007E4A90">
      <w:r>
        <w:t>The ORR per IRF assessment was 86% (50 of 58 patients in the ITT set). CR was 59% (34 of 58 patients in the ITT set)</w:t>
      </w:r>
      <w:r w:rsidR="00F65C05">
        <w:t xml:space="preserve"> </w:t>
      </w:r>
      <w:r w:rsidR="00F65C05" w:rsidRPr="00F65C05">
        <w:t>and tumour reduction (of any degree) was achieved in 97% of patients</w:t>
      </w:r>
      <w:r>
        <w:t>. The estimated overall survival</w:t>
      </w:r>
      <w:r w:rsidR="002F1A40">
        <w:t xml:space="preserve"> </w:t>
      </w:r>
      <w:r w:rsidR="002F1A40" w:rsidRPr="00813F82">
        <w:t>at 5 years was 60% (95% CI [47%,</w:t>
      </w:r>
      <w:r w:rsidR="00AB08C5">
        <w:t xml:space="preserve"> </w:t>
      </w:r>
      <w:r w:rsidR="002F1A40" w:rsidRPr="00813F82">
        <w:t>73%])</w:t>
      </w:r>
      <w:r w:rsidR="002F1A40">
        <w:t xml:space="preserve">. </w:t>
      </w:r>
      <w:r>
        <w:t xml:space="preserve"> </w:t>
      </w:r>
      <w:r w:rsidR="002F1A40">
        <w:t>T</w:t>
      </w:r>
      <w:r>
        <w:t xml:space="preserve">he median observation time (time to death or last contact) from first dose was </w:t>
      </w:r>
      <w:r w:rsidR="002F1A40">
        <w:t>71.4</w:t>
      </w:r>
      <w:r>
        <w:t xml:space="preserve"> months). The investigator assessments were generally consistent with the independent review of the scans. Of the patients treated, 9 responding patients went on to receive an allogeneic stem cell transplant and </w:t>
      </w:r>
      <w:r w:rsidR="002F1A40">
        <w:t xml:space="preserve">9 </w:t>
      </w:r>
      <w:r>
        <w:t xml:space="preserve">responding patients went on to </w:t>
      </w:r>
      <w:r w:rsidRPr="0085274E">
        <w:t>ASCT. For further efficacy results, see</w:t>
      </w:r>
      <w:r w:rsidR="00BB3E4E">
        <w:t xml:space="preserve"> </w:t>
      </w:r>
      <w:r w:rsidR="00BB3E4E">
        <w:fldChar w:fldCharType="begin"/>
      </w:r>
      <w:r w:rsidR="00BB3E4E">
        <w:instrText xml:space="preserve"> REF _Ref147567226 \h </w:instrText>
      </w:r>
      <w:r w:rsidR="00BB3E4E">
        <w:fldChar w:fldCharType="separate"/>
      </w:r>
      <w:r w:rsidR="001E2FAC" w:rsidRPr="00BB3E4E">
        <w:rPr>
          <w:szCs w:val="22"/>
        </w:rPr>
        <w:t xml:space="preserve">Table </w:t>
      </w:r>
      <w:r w:rsidR="001E2FAC">
        <w:rPr>
          <w:noProof/>
          <w:szCs w:val="22"/>
        </w:rPr>
        <w:t>19</w:t>
      </w:r>
      <w:r w:rsidR="00BB3E4E">
        <w:fldChar w:fldCharType="end"/>
      </w:r>
      <w:r w:rsidRPr="0085274E">
        <w:t>.</w:t>
      </w:r>
    </w:p>
    <w:p w14:paraId="686E51A5" w14:textId="41B76E95" w:rsidR="00BB3E4E" w:rsidRPr="00BB3E4E" w:rsidRDefault="00BB3E4E" w:rsidP="008C2D23">
      <w:pPr>
        <w:pStyle w:val="Caption"/>
        <w:keepNext/>
        <w:spacing w:after="0"/>
        <w:rPr>
          <w:sz w:val="22"/>
          <w:szCs w:val="22"/>
        </w:rPr>
      </w:pPr>
      <w:bookmarkStart w:id="47" w:name="_Ref147567226"/>
      <w:r w:rsidRPr="00BB3E4E">
        <w:rPr>
          <w:sz w:val="22"/>
          <w:szCs w:val="22"/>
        </w:rPr>
        <w:lastRenderedPageBreak/>
        <w:t xml:space="preserve">Table </w:t>
      </w:r>
      <w:r w:rsidRPr="00BB3E4E">
        <w:rPr>
          <w:sz w:val="22"/>
          <w:szCs w:val="22"/>
        </w:rPr>
        <w:fldChar w:fldCharType="begin"/>
      </w:r>
      <w:r w:rsidRPr="00BB3E4E">
        <w:rPr>
          <w:sz w:val="22"/>
          <w:szCs w:val="22"/>
        </w:rPr>
        <w:instrText xml:space="preserve"> SEQ Table \* ARABIC </w:instrText>
      </w:r>
      <w:r w:rsidRPr="00BB3E4E">
        <w:rPr>
          <w:sz w:val="22"/>
          <w:szCs w:val="22"/>
        </w:rPr>
        <w:fldChar w:fldCharType="separate"/>
      </w:r>
      <w:r w:rsidR="001E2FAC">
        <w:rPr>
          <w:noProof/>
          <w:sz w:val="22"/>
          <w:szCs w:val="22"/>
        </w:rPr>
        <w:t>19</w:t>
      </w:r>
      <w:r w:rsidRPr="00BB3E4E">
        <w:rPr>
          <w:sz w:val="22"/>
          <w:szCs w:val="22"/>
        </w:rPr>
        <w:fldChar w:fldCharType="end"/>
      </w:r>
      <w:bookmarkEnd w:id="47"/>
      <w:r w:rsidRPr="00BB3E4E" w:rsidDel="00BB3E4E">
        <w:rPr>
          <w:sz w:val="22"/>
          <w:szCs w:val="22"/>
        </w:rPr>
        <w:t xml:space="preserve"> </w:t>
      </w:r>
      <w:r w:rsidRPr="00BB3E4E" w:rsidDel="00BB3E4E">
        <w:rPr>
          <w:sz w:val="22"/>
          <w:szCs w:val="22"/>
        </w:rPr>
        <w:tab/>
      </w:r>
      <w:r w:rsidRPr="00BB3E4E">
        <w:rPr>
          <w:sz w:val="22"/>
          <w:szCs w:val="22"/>
        </w:rPr>
        <w:t xml:space="preserve">Efficacy results in relapsed or refractory </w:t>
      </w:r>
      <w:proofErr w:type="spellStart"/>
      <w:r w:rsidRPr="00BB3E4E">
        <w:rPr>
          <w:sz w:val="22"/>
          <w:szCs w:val="22"/>
        </w:rPr>
        <w:t>sALCL</w:t>
      </w:r>
      <w:proofErr w:type="spellEnd"/>
      <w:r w:rsidRPr="00BB3E4E">
        <w:rPr>
          <w:sz w:val="22"/>
          <w:szCs w:val="22"/>
        </w:rPr>
        <w:t xml:space="preserve"> patients treated with </w:t>
      </w:r>
      <w:r w:rsidRPr="00BB3E4E">
        <w:rPr>
          <w:sz w:val="22"/>
          <w:szCs w:val="22"/>
        </w:rPr>
        <w:tab/>
      </w:r>
      <w:r w:rsidRPr="00BB3E4E">
        <w:rPr>
          <w:sz w:val="22"/>
          <w:szCs w:val="22"/>
        </w:rPr>
        <w:tab/>
      </w:r>
      <w:r w:rsidRPr="00BB3E4E">
        <w:rPr>
          <w:sz w:val="22"/>
          <w:szCs w:val="22"/>
        </w:rPr>
        <w:tab/>
        <w:t>1.8 mg/kg of ADCETRIS every 3 weeks (Study SG035-0004)</w:t>
      </w:r>
    </w:p>
    <w:tbl>
      <w:tblPr>
        <w:tblW w:w="9331" w:type="dxa"/>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111"/>
        <w:gridCol w:w="2790"/>
        <w:gridCol w:w="2430"/>
      </w:tblGrid>
      <w:tr w:rsidR="00333C01" w:rsidRPr="009722AB" w14:paraId="6EAE45CB" w14:textId="77777777" w:rsidTr="001F25D6">
        <w:trPr>
          <w:trHeight w:val="302"/>
          <w:jc w:val="center"/>
        </w:trPr>
        <w:tc>
          <w:tcPr>
            <w:tcW w:w="4111" w:type="dxa"/>
            <w:tcBorders>
              <w:top w:val="single" w:sz="4" w:space="0" w:color="auto"/>
              <w:left w:val="single" w:sz="4" w:space="0" w:color="auto"/>
              <w:bottom w:val="single" w:sz="4" w:space="0" w:color="auto"/>
            </w:tcBorders>
            <w:noWrap/>
          </w:tcPr>
          <w:p w14:paraId="15B9E20D" w14:textId="77777777" w:rsidR="00333C01" w:rsidRPr="009722AB" w:rsidRDefault="00333C01" w:rsidP="00CE4E28">
            <w:pPr>
              <w:keepNext/>
              <w:spacing w:after="0"/>
              <w:rPr>
                <w:rFonts w:cs="Arial"/>
                <w:b/>
                <w:bCs/>
                <w:sz w:val="20"/>
              </w:rPr>
            </w:pPr>
            <w:r w:rsidRPr="009722AB">
              <w:rPr>
                <w:rFonts w:cs="Arial"/>
                <w:b/>
                <w:bCs/>
                <w:sz w:val="20"/>
              </w:rPr>
              <w:t>Best clinical response</w:t>
            </w:r>
            <w:r w:rsidRPr="009722AB">
              <w:rPr>
                <w:rFonts w:cs="Arial"/>
                <w:b/>
                <w:sz w:val="20"/>
                <w:vertAlign w:val="superscript"/>
              </w:rPr>
              <w:t xml:space="preserve"> </w:t>
            </w:r>
            <w:r w:rsidRPr="009722AB">
              <w:rPr>
                <w:rFonts w:cs="Arial"/>
                <w:b/>
                <w:bCs/>
                <w:sz w:val="20"/>
              </w:rPr>
              <w:t xml:space="preserve">(N = </w:t>
            </w:r>
            <w:proofErr w:type="gramStart"/>
            <w:r w:rsidRPr="009722AB">
              <w:rPr>
                <w:rFonts w:cs="Arial"/>
                <w:b/>
                <w:bCs/>
                <w:sz w:val="20"/>
              </w:rPr>
              <w:t>58</w:t>
            </w:r>
            <w:r w:rsidRPr="009722AB">
              <w:rPr>
                <w:rFonts w:cs="Arial"/>
                <w:sz w:val="20"/>
                <w:vertAlign w:val="superscript"/>
              </w:rPr>
              <w:t xml:space="preserve"> </w:t>
            </w:r>
            <w:r w:rsidRPr="009722AB">
              <w:rPr>
                <w:rFonts w:cs="Arial"/>
                <w:b/>
                <w:bCs/>
                <w:sz w:val="20"/>
              </w:rPr>
              <w:t>)</w:t>
            </w:r>
            <w:proofErr w:type="gramEnd"/>
          </w:p>
        </w:tc>
        <w:tc>
          <w:tcPr>
            <w:tcW w:w="2790" w:type="dxa"/>
            <w:tcBorders>
              <w:top w:val="single" w:sz="4" w:space="0" w:color="auto"/>
              <w:bottom w:val="single" w:sz="4" w:space="0" w:color="auto"/>
            </w:tcBorders>
            <w:noWrap/>
          </w:tcPr>
          <w:p w14:paraId="1721C466" w14:textId="77777777" w:rsidR="00333C01" w:rsidRPr="009722AB" w:rsidRDefault="00333C01" w:rsidP="00CE4E28">
            <w:pPr>
              <w:keepNext/>
              <w:spacing w:after="0"/>
              <w:jc w:val="center"/>
              <w:rPr>
                <w:rFonts w:cs="Arial"/>
                <w:b/>
                <w:bCs/>
                <w:sz w:val="20"/>
              </w:rPr>
            </w:pPr>
            <w:r w:rsidRPr="009722AB">
              <w:rPr>
                <w:rFonts w:cs="Arial"/>
                <w:b/>
                <w:bCs/>
                <w:sz w:val="20"/>
              </w:rPr>
              <w:t>IRF N (%)</w:t>
            </w:r>
          </w:p>
        </w:tc>
        <w:tc>
          <w:tcPr>
            <w:tcW w:w="2430" w:type="dxa"/>
            <w:tcBorders>
              <w:top w:val="single" w:sz="4" w:space="0" w:color="auto"/>
              <w:bottom w:val="single" w:sz="4" w:space="0" w:color="auto"/>
              <w:right w:val="single" w:sz="4" w:space="0" w:color="C0C0C0"/>
            </w:tcBorders>
            <w:noWrap/>
          </w:tcPr>
          <w:p w14:paraId="05782EF6" w14:textId="77777777" w:rsidR="00333C01" w:rsidRPr="009722AB" w:rsidRDefault="00333C01" w:rsidP="00CE4E28">
            <w:pPr>
              <w:keepNext/>
              <w:spacing w:after="0"/>
              <w:jc w:val="center"/>
              <w:rPr>
                <w:rFonts w:cs="Arial"/>
                <w:b/>
                <w:bCs/>
                <w:sz w:val="20"/>
              </w:rPr>
            </w:pPr>
            <w:r w:rsidRPr="009722AB">
              <w:rPr>
                <w:rFonts w:cs="Arial"/>
                <w:b/>
                <w:bCs/>
                <w:sz w:val="20"/>
              </w:rPr>
              <w:t>95% CI</w:t>
            </w:r>
          </w:p>
        </w:tc>
      </w:tr>
      <w:tr w:rsidR="00333C01" w:rsidRPr="009722AB" w14:paraId="45514607" w14:textId="77777777" w:rsidTr="001F25D6">
        <w:trPr>
          <w:trHeight w:val="255"/>
          <w:jc w:val="center"/>
        </w:trPr>
        <w:tc>
          <w:tcPr>
            <w:tcW w:w="4111" w:type="dxa"/>
            <w:tcBorders>
              <w:top w:val="single" w:sz="4" w:space="0" w:color="auto"/>
              <w:left w:val="single" w:sz="4" w:space="0" w:color="auto"/>
            </w:tcBorders>
            <w:noWrap/>
          </w:tcPr>
          <w:p w14:paraId="2EB85FF4" w14:textId="77777777" w:rsidR="00333C01" w:rsidRPr="009722AB" w:rsidRDefault="00333C01" w:rsidP="00CE4E28">
            <w:pPr>
              <w:keepNext/>
              <w:spacing w:after="0"/>
              <w:rPr>
                <w:rFonts w:cs="Arial"/>
                <w:sz w:val="20"/>
              </w:rPr>
            </w:pPr>
            <w:r w:rsidRPr="009722AB">
              <w:rPr>
                <w:rFonts w:cs="Arial"/>
                <w:sz w:val="20"/>
              </w:rPr>
              <w:t xml:space="preserve">    Objective response rate (CR + PR)</w:t>
            </w:r>
          </w:p>
        </w:tc>
        <w:tc>
          <w:tcPr>
            <w:tcW w:w="2790" w:type="dxa"/>
            <w:tcBorders>
              <w:top w:val="single" w:sz="4" w:space="0" w:color="auto"/>
            </w:tcBorders>
            <w:noWrap/>
          </w:tcPr>
          <w:p w14:paraId="7245D9FF" w14:textId="77777777" w:rsidR="00333C01" w:rsidRPr="009722AB" w:rsidRDefault="00333C01" w:rsidP="00CE4E28">
            <w:pPr>
              <w:keepNext/>
              <w:spacing w:after="0"/>
              <w:jc w:val="center"/>
              <w:rPr>
                <w:rFonts w:cs="Arial"/>
                <w:sz w:val="20"/>
              </w:rPr>
            </w:pPr>
            <w:r w:rsidRPr="009722AB">
              <w:rPr>
                <w:rFonts w:cs="Arial"/>
                <w:sz w:val="20"/>
              </w:rPr>
              <w:t>50 (86)</w:t>
            </w:r>
          </w:p>
        </w:tc>
        <w:tc>
          <w:tcPr>
            <w:tcW w:w="2430" w:type="dxa"/>
            <w:tcBorders>
              <w:top w:val="single" w:sz="4" w:space="0" w:color="auto"/>
              <w:right w:val="single" w:sz="4" w:space="0" w:color="C0C0C0"/>
            </w:tcBorders>
            <w:noWrap/>
          </w:tcPr>
          <w:p w14:paraId="7CC8FAFA" w14:textId="77777777" w:rsidR="00333C01" w:rsidRPr="009722AB" w:rsidRDefault="00333C01" w:rsidP="00CE4E28">
            <w:pPr>
              <w:keepNext/>
              <w:spacing w:after="0"/>
              <w:jc w:val="center"/>
              <w:rPr>
                <w:rFonts w:cs="Arial"/>
                <w:sz w:val="20"/>
              </w:rPr>
            </w:pPr>
            <w:r w:rsidRPr="009722AB">
              <w:rPr>
                <w:rFonts w:cs="Arial"/>
                <w:sz w:val="20"/>
              </w:rPr>
              <w:t>74.6, 93.9</w:t>
            </w:r>
          </w:p>
        </w:tc>
      </w:tr>
      <w:tr w:rsidR="00333C01" w:rsidRPr="009722AB" w14:paraId="19FD000B" w14:textId="77777777" w:rsidTr="001F25D6">
        <w:trPr>
          <w:trHeight w:val="255"/>
          <w:jc w:val="center"/>
        </w:trPr>
        <w:tc>
          <w:tcPr>
            <w:tcW w:w="4111" w:type="dxa"/>
            <w:tcBorders>
              <w:left w:val="single" w:sz="4" w:space="0" w:color="auto"/>
            </w:tcBorders>
            <w:noWrap/>
          </w:tcPr>
          <w:p w14:paraId="59F84219" w14:textId="77777777" w:rsidR="00333C01" w:rsidRPr="009722AB" w:rsidRDefault="00333C01" w:rsidP="00CE4E28">
            <w:pPr>
              <w:keepNext/>
              <w:spacing w:after="0"/>
              <w:rPr>
                <w:rFonts w:cs="Arial"/>
                <w:sz w:val="20"/>
              </w:rPr>
            </w:pPr>
            <w:r w:rsidRPr="009722AB">
              <w:rPr>
                <w:rFonts w:cs="Arial"/>
                <w:sz w:val="20"/>
              </w:rPr>
              <w:t xml:space="preserve">          Complete remission (CR)</w:t>
            </w:r>
          </w:p>
        </w:tc>
        <w:tc>
          <w:tcPr>
            <w:tcW w:w="2790" w:type="dxa"/>
            <w:noWrap/>
          </w:tcPr>
          <w:p w14:paraId="240CA4D5" w14:textId="77777777" w:rsidR="00333C01" w:rsidRPr="009722AB" w:rsidRDefault="00333C01" w:rsidP="00CE4E28">
            <w:pPr>
              <w:keepNext/>
              <w:spacing w:after="0"/>
              <w:jc w:val="center"/>
              <w:rPr>
                <w:rFonts w:cs="Arial"/>
                <w:sz w:val="20"/>
              </w:rPr>
            </w:pPr>
            <w:r w:rsidRPr="009722AB">
              <w:rPr>
                <w:rFonts w:cs="Arial"/>
                <w:sz w:val="20"/>
              </w:rPr>
              <w:t>34 (59)</w:t>
            </w:r>
          </w:p>
        </w:tc>
        <w:tc>
          <w:tcPr>
            <w:tcW w:w="2430" w:type="dxa"/>
            <w:tcBorders>
              <w:right w:val="single" w:sz="4" w:space="0" w:color="C0C0C0"/>
            </w:tcBorders>
            <w:noWrap/>
          </w:tcPr>
          <w:p w14:paraId="141C3A80" w14:textId="77777777" w:rsidR="00333C01" w:rsidRPr="009722AB" w:rsidRDefault="00333C01" w:rsidP="00CE4E28">
            <w:pPr>
              <w:keepNext/>
              <w:spacing w:after="0"/>
              <w:jc w:val="center"/>
              <w:rPr>
                <w:rFonts w:cs="Arial"/>
                <w:sz w:val="20"/>
              </w:rPr>
            </w:pPr>
            <w:r w:rsidRPr="009722AB">
              <w:rPr>
                <w:rFonts w:cs="Arial"/>
                <w:sz w:val="20"/>
              </w:rPr>
              <w:t>44.9, 71.4</w:t>
            </w:r>
          </w:p>
        </w:tc>
      </w:tr>
      <w:tr w:rsidR="00333C01" w:rsidRPr="009722AB" w14:paraId="35688635" w14:textId="77777777" w:rsidTr="001F25D6">
        <w:trPr>
          <w:trHeight w:val="255"/>
          <w:jc w:val="center"/>
        </w:trPr>
        <w:tc>
          <w:tcPr>
            <w:tcW w:w="4111" w:type="dxa"/>
            <w:tcBorders>
              <w:left w:val="single" w:sz="4" w:space="0" w:color="auto"/>
            </w:tcBorders>
            <w:noWrap/>
          </w:tcPr>
          <w:p w14:paraId="19F75AAC" w14:textId="77777777" w:rsidR="00333C01" w:rsidRPr="009722AB" w:rsidRDefault="00333C01" w:rsidP="00CE4E28">
            <w:pPr>
              <w:keepNext/>
              <w:spacing w:after="0"/>
              <w:rPr>
                <w:rFonts w:cs="Arial"/>
                <w:sz w:val="20"/>
              </w:rPr>
            </w:pPr>
            <w:r w:rsidRPr="009722AB">
              <w:rPr>
                <w:rFonts w:cs="Arial"/>
                <w:sz w:val="20"/>
              </w:rPr>
              <w:t xml:space="preserve">          Partial remission (PR)</w:t>
            </w:r>
          </w:p>
        </w:tc>
        <w:tc>
          <w:tcPr>
            <w:tcW w:w="2790" w:type="dxa"/>
            <w:noWrap/>
          </w:tcPr>
          <w:p w14:paraId="415E468F" w14:textId="77777777" w:rsidR="00333C01" w:rsidRPr="009722AB" w:rsidRDefault="00333C01" w:rsidP="00CE4E28">
            <w:pPr>
              <w:keepNext/>
              <w:spacing w:after="0"/>
              <w:jc w:val="center"/>
              <w:rPr>
                <w:rFonts w:cs="Arial"/>
                <w:sz w:val="20"/>
              </w:rPr>
            </w:pPr>
            <w:r w:rsidRPr="009722AB">
              <w:rPr>
                <w:rFonts w:cs="Arial"/>
                <w:sz w:val="20"/>
              </w:rPr>
              <w:t>16 (28)</w:t>
            </w:r>
          </w:p>
        </w:tc>
        <w:tc>
          <w:tcPr>
            <w:tcW w:w="2430" w:type="dxa"/>
            <w:tcBorders>
              <w:right w:val="single" w:sz="4" w:space="0" w:color="C0C0C0"/>
            </w:tcBorders>
            <w:noWrap/>
          </w:tcPr>
          <w:p w14:paraId="58C5C021" w14:textId="77777777" w:rsidR="00333C01" w:rsidRPr="009722AB" w:rsidRDefault="00333C01" w:rsidP="00CE4E28">
            <w:pPr>
              <w:keepNext/>
              <w:spacing w:after="0"/>
              <w:jc w:val="center"/>
              <w:rPr>
                <w:rFonts w:cs="Arial"/>
                <w:sz w:val="20"/>
              </w:rPr>
            </w:pPr>
            <w:r w:rsidRPr="009722AB">
              <w:rPr>
                <w:rFonts w:cs="Arial"/>
                <w:sz w:val="20"/>
              </w:rPr>
              <w:t>NA</w:t>
            </w:r>
          </w:p>
        </w:tc>
      </w:tr>
      <w:tr w:rsidR="00333C01" w:rsidRPr="009722AB" w14:paraId="1E51AA1B" w14:textId="77777777" w:rsidTr="001F25D6">
        <w:trPr>
          <w:trHeight w:val="255"/>
          <w:jc w:val="center"/>
        </w:trPr>
        <w:tc>
          <w:tcPr>
            <w:tcW w:w="4111" w:type="dxa"/>
            <w:tcBorders>
              <w:left w:val="single" w:sz="4" w:space="0" w:color="auto"/>
              <w:bottom w:val="single" w:sz="4" w:space="0" w:color="auto"/>
            </w:tcBorders>
            <w:noWrap/>
          </w:tcPr>
          <w:p w14:paraId="05F17F64" w14:textId="77777777" w:rsidR="00333C01" w:rsidRPr="009722AB" w:rsidRDefault="00333C01" w:rsidP="00CE4E28">
            <w:pPr>
              <w:keepNext/>
              <w:spacing w:after="0"/>
              <w:rPr>
                <w:rFonts w:cs="Arial"/>
                <w:sz w:val="20"/>
              </w:rPr>
            </w:pPr>
            <w:r w:rsidRPr="009722AB">
              <w:rPr>
                <w:rFonts w:cs="Arial"/>
                <w:sz w:val="20"/>
              </w:rPr>
              <w:t xml:space="preserve">    Disease control rate (CR + PR + SD)</w:t>
            </w:r>
          </w:p>
        </w:tc>
        <w:tc>
          <w:tcPr>
            <w:tcW w:w="2790" w:type="dxa"/>
            <w:tcBorders>
              <w:bottom w:val="single" w:sz="4" w:space="0" w:color="auto"/>
            </w:tcBorders>
            <w:noWrap/>
          </w:tcPr>
          <w:p w14:paraId="1CB0D488" w14:textId="77777777" w:rsidR="00333C01" w:rsidRPr="009722AB" w:rsidRDefault="00333C01" w:rsidP="00CE4E28">
            <w:pPr>
              <w:keepNext/>
              <w:spacing w:after="0"/>
              <w:jc w:val="center"/>
              <w:rPr>
                <w:rFonts w:cs="Arial"/>
                <w:sz w:val="20"/>
              </w:rPr>
            </w:pPr>
            <w:r w:rsidRPr="009722AB">
              <w:rPr>
                <w:rFonts w:cs="Arial"/>
                <w:sz w:val="20"/>
              </w:rPr>
              <w:t>52 (90)</w:t>
            </w:r>
          </w:p>
        </w:tc>
        <w:tc>
          <w:tcPr>
            <w:tcW w:w="2430" w:type="dxa"/>
            <w:tcBorders>
              <w:bottom w:val="single" w:sz="4" w:space="0" w:color="auto"/>
              <w:right w:val="single" w:sz="4" w:space="0" w:color="C0C0C0"/>
            </w:tcBorders>
            <w:noWrap/>
          </w:tcPr>
          <w:p w14:paraId="46D61788" w14:textId="77777777" w:rsidR="00333C01" w:rsidRPr="009722AB" w:rsidRDefault="00333C01" w:rsidP="00CE4E28">
            <w:pPr>
              <w:keepNext/>
              <w:spacing w:after="0"/>
              <w:jc w:val="center"/>
              <w:rPr>
                <w:rFonts w:cs="Arial"/>
                <w:sz w:val="20"/>
              </w:rPr>
            </w:pPr>
            <w:r w:rsidRPr="009722AB">
              <w:rPr>
                <w:rFonts w:cs="Arial"/>
                <w:sz w:val="20"/>
              </w:rPr>
              <w:t>78.8, 96.1</w:t>
            </w:r>
          </w:p>
        </w:tc>
      </w:tr>
      <w:tr w:rsidR="00333C01" w:rsidRPr="009722AB" w14:paraId="604241EA" w14:textId="77777777" w:rsidTr="001F25D6">
        <w:trPr>
          <w:trHeight w:val="302"/>
          <w:jc w:val="center"/>
        </w:trPr>
        <w:tc>
          <w:tcPr>
            <w:tcW w:w="4111" w:type="dxa"/>
            <w:tcBorders>
              <w:top w:val="single" w:sz="4" w:space="0" w:color="auto"/>
              <w:left w:val="single" w:sz="4" w:space="0" w:color="auto"/>
              <w:bottom w:val="single" w:sz="4" w:space="0" w:color="auto"/>
            </w:tcBorders>
            <w:noWrap/>
          </w:tcPr>
          <w:p w14:paraId="3DF77E4A" w14:textId="77777777" w:rsidR="00333C01" w:rsidRPr="009722AB" w:rsidRDefault="00333C01" w:rsidP="00CE4E28">
            <w:pPr>
              <w:keepNext/>
              <w:spacing w:after="0"/>
              <w:rPr>
                <w:rFonts w:cs="Arial"/>
                <w:b/>
                <w:bCs/>
                <w:sz w:val="20"/>
              </w:rPr>
            </w:pPr>
            <w:r w:rsidRPr="009722AB">
              <w:rPr>
                <w:rFonts w:cs="Arial"/>
                <w:b/>
                <w:bCs/>
                <w:sz w:val="20"/>
              </w:rPr>
              <w:t>Duration of response</w:t>
            </w:r>
            <w:r w:rsidRPr="009722AB">
              <w:rPr>
                <w:rFonts w:cs="Arial"/>
                <w:sz w:val="20"/>
                <w:vertAlign w:val="superscript"/>
              </w:rPr>
              <w:t xml:space="preserve"> </w:t>
            </w:r>
          </w:p>
        </w:tc>
        <w:tc>
          <w:tcPr>
            <w:tcW w:w="2790" w:type="dxa"/>
            <w:tcBorders>
              <w:top w:val="single" w:sz="4" w:space="0" w:color="auto"/>
              <w:bottom w:val="single" w:sz="4" w:space="0" w:color="auto"/>
            </w:tcBorders>
          </w:tcPr>
          <w:p w14:paraId="5AB4A45D" w14:textId="77777777" w:rsidR="00333C01" w:rsidRPr="009722AB" w:rsidRDefault="00333C01" w:rsidP="00CE4E28">
            <w:pPr>
              <w:keepNext/>
              <w:spacing w:after="0"/>
              <w:jc w:val="center"/>
              <w:rPr>
                <w:rFonts w:cs="Arial"/>
                <w:b/>
                <w:bCs/>
                <w:sz w:val="20"/>
              </w:rPr>
            </w:pPr>
            <w:r w:rsidRPr="009722AB">
              <w:rPr>
                <w:rFonts w:cs="Arial"/>
                <w:b/>
                <w:bCs/>
                <w:sz w:val="20"/>
              </w:rPr>
              <w:t xml:space="preserve">Median per IRF </w:t>
            </w:r>
          </w:p>
        </w:tc>
        <w:tc>
          <w:tcPr>
            <w:tcW w:w="2430" w:type="dxa"/>
            <w:tcBorders>
              <w:top w:val="single" w:sz="4" w:space="0" w:color="auto"/>
              <w:bottom w:val="single" w:sz="4" w:space="0" w:color="auto"/>
              <w:right w:val="single" w:sz="4" w:space="0" w:color="C0C0C0"/>
            </w:tcBorders>
            <w:noWrap/>
          </w:tcPr>
          <w:p w14:paraId="5F126890" w14:textId="77777777" w:rsidR="00333C01" w:rsidRPr="009722AB" w:rsidRDefault="00333C01" w:rsidP="00CE4E28">
            <w:pPr>
              <w:keepNext/>
              <w:spacing w:after="0"/>
              <w:jc w:val="center"/>
              <w:rPr>
                <w:rFonts w:cs="Arial"/>
                <w:b/>
                <w:bCs/>
                <w:sz w:val="20"/>
              </w:rPr>
            </w:pPr>
            <w:r w:rsidRPr="009722AB">
              <w:rPr>
                <w:rFonts w:cs="Arial"/>
                <w:b/>
                <w:bCs/>
                <w:sz w:val="20"/>
              </w:rPr>
              <w:t>95% CI</w:t>
            </w:r>
          </w:p>
        </w:tc>
      </w:tr>
      <w:tr w:rsidR="00333C01" w:rsidRPr="009722AB" w14:paraId="6B304A78" w14:textId="77777777" w:rsidTr="001F25D6">
        <w:trPr>
          <w:trHeight w:val="255"/>
          <w:jc w:val="center"/>
        </w:trPr>
        <w:tc>
          <w:tcPr>
            <w:tcW w:w="4111" w:type="dxa"/>
            <w:tcBorders>
              <w:top w:val="single" w:sz="4" w:space="0" w:color="auto"/>
              <w:left w:val="single" w:sz="4" w:space="0" w:color="auto"/>
            </w:tcBorders>
            <w:noWrap/>
          </w:tcPr>
          <w:p w14:paraId="68E79389" w14:textId="77777777" w:rsidR="00333C01" w:rsidRPr="002464AE" w:rsidRDefault="00333C01" w:rsidP="00CE4E28">
            <w:pPr>
              <w:keepNext/>
              <w:spacing w:after="0"/>
              <w:rPr>
                <w:rFonts w:cs="Arial"/>
                <w:sz w:val="20"/>
                <w:lang w:val="pt-BR"/>
              </w:rPr>
            </w:pPr>
            <w:r w:rsidRPr="00194235">
              <w:rPr>
                <w:rFonts w:cs="Arial"/>
                <w:sz w:val="20"/>
                <w:lang w:val="pt-BR"/>
              </w:rPr>
              <w:t xml:space="preserve">    </w:t>
            </w:r>
            <w:r w:rsidRPr="002464AE">
              <w:rPr>
                <w:rFonts w:cs="Arial"/>
                <w:sz w:val="20"/>
                <w:lang w:val="pt-BR"/>
              </w:rPr>
              <w:t>Objective response (CR + PR)</w:t>
            </w:r>
            <w:r w:rsidRPr="002464AE">
              <w:rPr>
                <w:rFonts w:cs="Arial"/>
                <w:bCs/>
                <w:sz w:val="20"/>
                <w:vertAlign w:val="superscript"/>
                <w:lang w:val="pt-BR"/>
              </w:rPr>
              <w:t>a</w:t>
            </w:r>
          </w:p>
        </w:tc>
        <w:tc>
          <w:tcPr>
            <w:tcW w:w="2790" w:type="dxa"/>
            <w:tcBorders>
              <w:top w:val="single" w:sz="4" w:space="0" w:color="auto"/>
            </w:tcBorders>
            <w:noWrap/>
          </w:tcPr>
          <w:p w14:paraId="1713CD55" w14:textId="77777777" w:rsidR="00333C01" w:rsidRPr="009722AB" w:rsidRDefault="00333C01" w:rsidP="00CE4E28">
            <w:pPr>
              <w:keepNext/>
              <w:spacing w:after="0"/>
              <w:jc w:val="center"/>
              <w:rPr>
                <w:rFonts w:cs="Arial"/>
                <w:sz w:val="20"/>
              </w:rPr>
            </w:pPr>
            <w:r w:rsidRPr="009722AB">
              <w:rPr>
                <w:rFonts w:cs="Arial"/>
                <w:sz w:val="20"/>
              </w:rPr>
              <w:t xml:space="preserve">13.2 </w:t>
            </w:r>
          </w:p>
        </w:tc>
        <w:tc>
          <w:tcPr>
            <w:tcW w:w="2430" w:type="dxa"/>
            <w:tcBorders>
              <w:top w:val="single" w:sz="4" w:space="0" w:color="auto"/>
              <w:right w:val="single" w:sz="4" w:space="0" w:color="C0C0C0"/>
            </w:tcBorders>
            <w:noWrap/>
          </w:tcPr>
          <w:p w14:paraId="6DB8F232" w14:textId="77777777" w:rsidR="00333C01" w:rsidRPr="009722AB" w:rsidRDefault="00333C01" w:rsidP="002F1A40">
            <w:pPr>
              <w:keepNext/>
              <w:spacing w:after="0"/>
              <w:jc w:val="center"/>
              <w:rPr>
                <w:rFonts w:cs="Arial"/>
                <w:sz w:val="20"/>
              </w:rPr>
            </w:pPr>
            <w:r w:rsidRPr="009722AB">
              <w:rPr>
                <w:rFonts w:cs="Arial"/>
                <w:sz w:val="20"/>
              </w:rPr>
              <w:t xml:space="preserve">5.7, </w:t>
            </w:r>
            <w:r w:rsidR="002F1A40" w:rsidRPr="002F1A40">
              <w:rPr>
                <w:rFonts w:cs="Arial"/>
                <w:sz w:val="20"/>
              </w:rPr>
              <w:t>26.3</w:t>
            </w:r>
            <w:r w:rsidRPr="009722AB">
              <w:rPr>
                <w:rFonts w:cs="Arial"/>
                <w:sz w:val="20"/>
              </w:rPr>
              <w:t xml:space="preserve"> </w:t>
            </w:r>
          </w:p>
        </w:tc>
      </w:tr>
      <w:tr w:rsidR="00333C01" w:rsidRPr="009722AB" w14:paraId="412E131A" w14:textId="77777777" w:rsidTr="001F25D6">
        <w:trPr>
          <w:trHeight w:val="255"/>
          <w:jc w:val="center"/>
        </w:trPr>
        <w:tc>
          <w:tcPr>
            <w:tcW w:w="4111" w:type="dxa"/>
            <w:tcBorders>
              <w:left w:val="single" w:sz="4" w:space="0" w:color="auto"/>
              <w:bottom w:val="single" w:sz="4" w:space="0" w:color="auto"/>
            </w:tcBorders>
            <w:noWrap/>
          </w:tcPr>
          <w:p w14:paraId="36A5C36C" w14:textId="77777777" w:rsidR="00333C01" w:rsidRPr="009722AB" w:rsidRDefault="00333C01" w:rsidP="00CE4E28">
            <w:pPr>
              <w:keepNext/>
              <w:spacing w:after="0"/>
              <w:rPr>
                <w:rFonts w:cs="Arial"/>
                <w:sz w:val="20"/>
              </w:rPr>
            </w:pPr>
            <w:r w:rsidRPr="009722AB">
              <w:rPr>
                <w:rFonts w:cs="Arial"/>
                <w:sz w:val="20"/>
              </w:rPr>
              <w:t xml:space="preserve">    Complete remission (CR)</w:t>
            </w:r>
          </w:p>
        </w:tc>
        <w:tc>
          <w:tcPr>
            <w:tcW w:w="2790" w:type="dxa"/>
            <w:tcBorders>
              <w:bottom w:val="single" w:sz="4" w:space="0" w:color="auto"/>
            </w:tcBorders>
            <w:noWrap/>
          </w:tcPr>
          <w:p w14:paraId="1046DA62" w14:textId="77777777" w:rsidR="00333C01" w:rsidRPr="009722AB" w:rsidRDefault="002F1A40" w:rsidP="00CE4E28">
            <w:pPr>
              <w:keepNext/>
              <w:spacing w:after="0"/>
              <w:jc w:val="center"/>
              <w:rPr>
                <w:rFonts w:cs="Arial"/>
                <w:sz w:val="20"/>
              </w:rPr>
            </w:pPr>
            <w:r>
              <w:rPr>
                <w:rFonts w:cs="Arial"/>
                <w:sz w:val="20"/>
              </w:rPr>
              <w:t>26.3</w:t>
            </w:r>
          </w:p>
        </w:tc>
        <w:tc>
          <w:tcPr>
            <w:tcW w:w="2430" w:type="dxa"/>
            <w:tcBorders>
              <w:bottom w:val="single" w:sz="4" w:space="0" w:color="auto"/>
              <w:right w:val="single" w:sz="4" w:space="0" w:color="C0C0C0"/>
            </w:tcBorders>
            <w:noWrap/>
          </w:tcPr>
          <w:p w14:paraId="09349468" w14:textId="77777777" w:rsidR="00333C01" w:rsidRPr="009722AB" w:rsidRDefault="00333C01" w:rsidP="002F1A40">
            <w:pPr>
              <w:keepNext/>
              <w:spacing w:after="0"/>
              <w:jc w:val="center"/>
              <w:rPr>
                <w:rFonts w:cs="Arial"/>
                <w:sz w:val="20"/>
              </w:rPr>
            </w:pPr>
            <w:r w:rsidRPr="009722AB">
              <w:rPr>
                <w:rFonts w:cs="Arial"/>
                <w:sz w:val="20"/>
              </w:rPr>
              <w:t>13.</w:t>
            </w:r>
            <w:r w:rsidR="002F1A40">
              <w:rPr>
                <w:rFonts w:cs="Arial"/>
                <w:sz w:val="20"/>
              </w:rPr>
              <w:t>2</w:t>
            </w:r>
            <w:r w:rsidRPr="009722AB">
              <w:rPr>
                <w:rFonts w:cs="Arial"/>
                <w:sz w:val="20"/>
              </w:rPr>
              <w:t xml:space="preserve">, </w:t>
            </w:r>
            <w:proofErr w:type="spellStart"/>
            <w:r w:rsidRPr="009722AB">
              <w:rPr>
                <w:rFonts w:cs="Arial"/>
                <w:sz w:val="20"/>
              </w:rPr>
              <w:t>NE</w:t>
            </w:r>
            <w:r w:rsidR="002F1A40" w:rsidRPr="002F1A40">
              <w:rPr>
                <w:rFonts w:cs="Arial"/>
                <w:sz w:val="20"/>
                <w:vertAlign w:val="superscript"/>
              </w:rPr>
              <w:t>b</w:t>
            </w:r>
            <w:proofErr w:type="spellEnd"/>
          </w:p>
        </w:tc>
      </w:tr>
      <w:tr w:rsidR="00333C01" w:rsidRPr="009722AB" w14:paraId="5C844E5C" w14:textId="77777777" w:rsidTr="001F25D6">
        <w:trPr>
          <w:trHeight w:val="295"/>
          <w:jc w:val="center"/>
        </w:trPr>
        <w:tc>
          <w:tcPr>
            <w:tcW w:w="4111" w:type="dxa"/>
            <w:tcBorders>
              <w:top w:val="single" w:sz="4" w:space="0" w:color="auto"/>
              <w:left w:val="single" w:sz="4" w:space="0" w:color="auto"/>
              <w:bottom w:val="single" w:sz="4" w:space="0" w:color="auto"/>
            </w:tcBorders>
          </w:tcPr>
          <w:p w14:paraId="1F9FA490" w14:textId="77777777" w:rsidR="00333C01" w:rsidRPr="009722AB" w:rsidRDefault="00333C01" w:rsidP="00CE4E28">
            <w:pPr>
              <w:keepNext/>
              <w:spacing w:after="0"/>
              <w:rPr>
                <w:rFonts w:eastAsia="MS Mincho" w:cs="Arial"/>
                <w:b/>
                <w:color w:val="000000"/>
                <w:sz w:val="20"/>
                <w:lang w:eastAsia="ja-JP"/>
              </w:rPr>
            </w:pPr>
            <w:r w:rsidRPr="009722AB">
              <w:rPr>
                <w:rFonts w:eastAsia="MS Mincho" w:cs="Arial"/>
                <w:b/>
                <w:color w:val="000000"/>
                <w:sz w:val="20"/>
                <w:lang w:eastAsia="ja-JP"/>
              </w:rPr>
              <w:t>Overall survival</w:t>
            </w:r>
            <w:r w:rsidRPr="009722AB">
              <w:rPr>
                <w:rFonts w:cs="Arial"/>
                <w:sz w:val="20"/>
                <w:vertAlign w:val="superscript"/>
              </w:rPr>
              <w:t xml:space="preserve"> </w:t>
            </w:r>
          </w:p>
        </w:tc>
        <w:tc>
          <w:tcPr>
            <w:tcW w:w="2790" w:type="dxa"/>
            <w:tcBorders>
              <w:top w:val="single" w:sz="4" w:space="0" w:color="auto"/>
              <w:bottom w:val="single" w:sz="4" w:space="0" w:color="auto"/>
            </w:tcBorders>
          </w:tcPr>
          <w:p w14:paraId="4A78F32A" w14:textId="77777777" w:rsidR="00333C01" w:rsidRPr="009722AB" w:rsidRDefault="00333C01" w:rsidP="00CE4E28">
            <w:pPr>
              <w:keepNext/>
              <w:spacing w:after="0"/>
              <w:jc w:val="center"/>
              <w:rPr>
                <w:rFonts w:cs="Arial"/>
                <w:b/>
                <w:sz w:val="20"/>
              </w:rPr>
            </w:pPr>
            <w:r w:rsidRPr="009722AB">
              <w:rPr>
                <w:rFonts w:cs="Arial"/>
                <w:b/>
                <w:sz w:val="20"/>
              </w:rPr>
              <w:t>Median</w:t>
            </w:r>
          </w:p>
        </w:tc>
        <w:tc>
          <w:tcPr>
            <w:tcW w:w="2430" w:type="dxa"/>
            <w:tcBorders>
              <w:top w:val="single" w:sz="4" w:space="0" w:color="auto"/>
              <w:bottom w:val="single" w:sz="4" w:space="0" w:color="auto"/>
              <w:right w:val="single" w:sz="4" w:space="0" w:color="C0C0C0"/>
            </w:tcBorders>
          </w:tcPr>
          <w:p w14:paraId="1D157DB5" w14:textId="77777777" w:rsidR="00333C01" w:rsidRPr="009722AB" w:rsidDel="00F4618A" w:rsidRDefault="00333C01" w:rsidP="00CE4E28">
            <w:pPr>
              <w:keepNext/>
              <w:spacing w:after="0"/>
              <w:jc w:val="center"/>
              <w:rPr>
                <w:rFonts w:cs="Arial"/>
                <w:b/>
                <w:sz w:val="20"/>
              </w:rPr>
            </w:pPr>
            <w:r w:rsidRPr="009722AB">
              <w:rPr>
                <w:rFonts w:cs="Arial"/>
                <w:b/>
                <w:sz w:val="20"/>
              </w:rPr>
              <w:t>95% CI</w:t>
            </w:r>
          </w:p>
        </w:tc>
      </w:tr>
      <w:tr w:rsidR="00333C01" w:rsidRPr="009722AB" w14:paraId="4D70CF50" w14:textId="77777777" w:rsidTr="001F25D6">
        <w:trPr>
          <w:trHeight w:val="349"/>
          <w:jc w:val="center"/>
        </w:trPr>
        <w:tc>
          <w:tcPr>
            <w:tcW w:w="4111" w:type="dxa"/>
            <w:tcBorders>
              <w:top w:val="single" w:sz="4" w:space="0" w:color="auto"/>
              <w:left w:val="single" w:sz="4" w:space="0" w:color="auto"/>
              <w:bottom w:val="single" w:sz="4" w:space="0" w:color="auto"/>
            </w:tcBorders>
          </w:tcPr>
          <w:p w14:paraId="5ABF15CF" w14:textId="77777777" w:rsidR="00333C01" w:rsidRPr="009722AB" w:rsidRDefault="00333C01" w:rsidP="00CE4E28">
            <w:pPr>
              <w:keepNext/>
              <w:spacing w:after="0"/>
              <w:ind w:firstLine="180"/>
              <w:rPr>
                <w:rFonts w:eastAsia="MS Mincho" w:cs="Arial"/>
                <w:color w:val="000000"/>
                <w:sz w:val="20"/>
                <w:lang w:eastAsia="ja-JP"/>
              </w:rPr>
            </w:pPr>
            <w:r w:rsidRPr="009722AB">
              <w:rPr>
                <w:rFonts w:eastAsia="MS Mincho" w:cs="Arial"/>
                <w:color w:val="000000"/>
                <w:sz w:val="20"/>
                <w:lang w:eastAsia="ja-JP"/>
              </w:rPr>
              <w:t>Median</w:t>
            </w:r>
          </w:p>
        </w:tc>
        <w:tc>
          <w:tcPr>
            <w:tcW w:w="2790" w:type="dxa"/>
            <w:tcBorders>
              <w:top w:val="single" w:sz="4" w:space="0" w:color="auto"/>
              <w:bottom w:val="single" w:sz="4" w:space="0" w:color="auto"/>
            </w:tcBorders>
          </w:tcPr>
          <w:p w14:paraId="6FB47FBC" w14:textId="77777777" w:rsidR="00333C01" w:rsidRPr="009722AB" w:rsidRDefault="00333C01" w:rsidP="00CE4E28">
            <w:pPr>
              <w:keepNext/>
              <w:spacing w:after="0"/>
              <w:jc w:val="center"/>
              <w:rPr>
                <w:rFonts w:cs="Arial"/>
                <w:sz w:val="20"/>
              </w:rPr>
            </w:pPr>
            <w:r w:rsidRPr="009722AB">
              <w:rPr>
                <w:rFonts w:cs="Arial"/>
                <w:sz w:val="20"/>
              </w:rPr>
              <w:t>Not reached</w:t>
            </w:r>
          </w:p>
        </w:tc>
        <w:tc>
          <w:tcPr>
            <w:tcW w:w="2430" w:type="dxa"/>
            <w:tcBorders>
              <w:top w:val="single" w:sz="4" w:space="0" w:color="auto"/>
              <w:bottom w:val="single" w:sz="4" w:space="0" w:color="auto"/>
              <w:right w:val="single" w:sz="4" w:space="0" w:color="C0C0C0"/>
            </w:tcBorders>
          </w:tcPr>
          <w:p w14:paraId="7A9551D2" w14:textId="77777777" w:rsidR="00333C01" w:rsidRPr="009722AB" w:rsidDel="00F4618A" w:rsidRDefault="00333C01" w:rsidP="00CE4E28">
            <w:pPr>
              <w:keepNext/>
              <w:spacing w:after="0"/>
              <w:jc w:val="center"/>
              <w:rPr>
                <w:rFonts w:cs="Arial"/>
                <w:sz w:val="20"/>
              </w:rPr>
            </w:pPr>
            <w:r w:rsidRPr="009722AB">
              <w:rPr>
                <w:rFonts w:cs="Arial"/>
                <w:sz w:val="20"/>
              </w:rPr>
              <w:t xml:space="preserve">21.3, </w:t>
            </w:r>
            <w:proofErr w:type="spellStart"/>
            <w:r w:rsidRPr="009722AB">
              <w:rPr>
                <w:rFonts w:cs="Arial"/>
                <w:sz w:val="20"/>
              </w:rPr>
              <w:t>NE</w:t>
            </w:r>
            <w:r w:rsidR="00AB08C5" w:rsidRPr="00AB08C5">
              <w:rPr>
                <w:rFonts w:cs="Arial"/>
                <w:sz w:val="20"/>
                <w:vertAlign w:val="superscript"/>
              </w:rPr>
              <w:t>b</w:t>
            </w:r>
            <w:proofErr w:type="spellEnd"/>
          </w:p>
        </w:tc>
      </w:tr>
    </w:tbl>
    <w:p w14:paraId="7BCE0ACC" w14:textId="77777777" w:rsidR="001F25D6" w:rsidRPr="009722AB" w:rsidRDefault="001F25D6" w:rsidP="000550D7">
      <w:pPr>
        <w:pStyle w:val="Paragraph"/>
        <w:keepNext/>
        <w:numPr>
          <w:ilvl w:val="0"/>
          <w:numId w:val="32"/>
        </w:numPr>
        <w:spacing w:after="0"/>
        <w:rPr>
          <w:rFonts w:ascii="Arial" w:hAnsi="Arial" w:cs="Arial"/>
          <w:sz w:val="20"/>
          <w:szCs w:val="20"/>
          <w:lang w:val="en-GB"/>
        </w:rPr>
      </w:pPr>
      <w:r w:rsidRPr="009722AB">
        <w:rPr>
          <w:rFonts w:ascii="Arial" w:hAnsi="Arial" w:cs="Arial"/>
          <w:sz w:val="20"/>
          <w:szCs w:val="20"/>
          <w:lang w:val="en-GB"/>
        </w:rPr>
        <w:t xml:space="preserve">The range of DOR was 0.1+ months to </w:t>
      </w:r>
      <w:r w:rsidR="002F1A40">
        <w:rPr>
          <w:rFonts w:ascii="Arial" w:hAnsi="Arial" w:cs="Arial"/>
          <w:sz w:val="20"/>
          <w:szCs w:val="20"/>
          <w:lang w:val="en-GB"/>
        </w:rPr>
        <w:t>39.1</w:t>
      </w:r>
      <w:r w:rsidRPr="009722AB">
        <w:rPr>
          <w:rFonts w:ascii="Arial" w:hAnsi="Arial" w:cs="Arial"/>
          <w:sz w:val="20"/>
          <w:szCs w:val="20"/>
          <w:lang w:val="en-GB"/>
        </w:rPr>
        <w:t xml:space="preserve">+ months and the median follow-up time from first dose for patients who achieved objective response (OR) per IRF was </w:t>
      </w:r>
      <w:r w:rsidR="002F1A40">
        <w:rPr>
          <w:rFonts w:ascii="Arial" w:hAnsi="Arial" w:cs="Arial"/>
          <w:sz w:val="20"/>
          <w:szCs w:val="20"/>
          <w:lang w:val="en-GB"/>
        </w:rPr>
        <w:t>15.5</w:t>
      </w:r>
      <w:r w:rsidRPr="009722AB">
        <w:rPr>
          <w:rFonts w:ascii="Arial" w:hAnsi="Arial" w:cs="Arial"/>
          <w:sz w:val="20"/>
          <w:szCs w:val="20"/>
          <w:lang w:val="en-GB"/>
        </w:rPr>
        <w:t xml:space="preserve"> months. </w:t>
      </w:r>
    </w:p>
    <w:p w14:paraId="2A81330A" w14:textId="77777777" w:rsidR="001F25D6" w:rsidRPr="009722AB" w:rsidRDefault="001F25D6" w:rsidP="000550D7">
      <w:pPr>
        <w:pStyle w:val="Paragraph"/>
        <w:keepNext/>
        <w:numPr>
          <w:ilvl w:val="0"/>
          <w:numId w:val="32"/>
        </w:numPr>
        <w:spacing w:after="0"/>
        <w:rPr>
          <w:rFonts w:ascii="Arial" w:hAnsi="Arial" w:cs="Arial"/>
          <w:sz w:val="20"/>
          <w:szCs w:val="20"/>
          <w:lang w:val="en-GB"/>
        </w:rPr>
      </w:pPr>
      <w:r w:rsidRPr="009722AB">
        <w:rPr>
          <w:rFonts w:ascii="Arial" w:hAnsi="Arial" w:cs="Arial"/>
          <w:sz w:val="20"/>
          <w:szCs w:val="20"/>
          <w:lang w:val="en-GB"/>
        </w:rPr>
        <w:t>Not estimable.</w:t>
      </w:r>
    </w:p>
    <w:p w14:paraId="398FD515" w14:textId="77777777" w:rsidR="00C81076" w:rsidRDefault="00C81076" w:rsidP="00C81076">
      <w:pPr>
        <w:spacing w:after="0"/>
      </w:pPr>
    </w:p>
    <w:p w14:paraId="5DEE6749" w14:textId="77777777" w:rsidR="007E4A90" w:rsidRDefault="001F25D6" w:rsidP="006333A4">
      <w:pPr>
        <w:spacing w:after="60"/>
        <w:rPr>
          <w:highlight w:val="yellow"/>
        </w:rPr>
      </w:pPr>
      <w:r>
        <w:t xml:space="preserve">Tumour reduction was achieved in 97% of patients. </w:t>
      </w:r>
    </w:p>
    <w:p w14:paraId="1DFD4180" w14:textId="77777777" w:rsidR="008E50F3" w:rsidRDefault="008E50F3" w:rsidP="006333A4">
      <w:pPr>
        <w:spacing w:after="60"/>
      </w:pPr>
      <w:r w:rsidRPr="008E50F3">
        <w:t xml:space="preserve">An exploratory intra-patient analysis showed that approximately 69% of the </w:t>
      </w:r>
      <w:proofErr w:type="spellStart"/>
      <w:r w:rsidRPr="008E50F3">
        <w:t>sALCL</w:t>
      </w:r>
      <w:proofErr w:type="spellEnd"/>
      <w:r w:rsidRPr="008E50F3">
        <w:t xml:space="preserve"> patients treated with ADCETRIS as part of the SG035-0004 clinical study experienced an improvement in clinical benefit as measured by longer progression free survival (PFS) compared with their most recent prior line of therapy.  </w:t>
      </w:r>
    </w:p>
    <w:p w14:paraId="17C68725" w14:textId="77777777" w:rsidR="00F64DC5" w:rsidRPr="00F64DC5" w:rsidRDefault="00F64DC5" w:rsidP="00F64DC5">
      <w:r w:rsidRPr="00F64DC5" w:rsidDel="00F31D80">
        <w:t>Of the 17 patients (29%) who had B symptoms at baseline, 14 patients (82%) experienced resolution of all B symptoms in a median time from initiation of ADCETRIS of 0.7 months.</w:t>
      </w:r>
    </w:p>
    <w:p w14:paraId="363B6066" w14:textId="77777777" w:rsidR="002A0365" w:rsidRDefault="002A0365" w:rsidP="006333A4">
      <w:pPr>
        <w:spacing w:after="120"/>
      </w:pPr>
      <w:r>
        <w:t xml:space="preserve">Study SGN35-006 (Retreatment study) </w:t>
      </w:r>
    </w:p>
    <w:p w14:paraId="1EEDE73F" w14:textId="77777777" w:rsidR="002A0365" w:rsidRDefault="002A0365" w:rsidP="002A0365">
      <w:r>
        <w:t xml:space="preserve">The efficacy of retreatment in patients who had previously responded (CR or PR) to treatment with ADCETRIS was evaluated in a phase 2, open-label, </w:t>
      </w:r>
      <w:r w:rsidR="00B05C5F">
        <w:t xml:space="preserve">multicentre </w:t>
      </w:r>
      <w:r>
        <w:t xml:space="preserve">trial. Seven patients with relapsed </w:t>
      </w:r>
      <w:proofErr w:type="spellStart"/>
      <w:r>
        <w:t>sALCL</w:t>
      </w:r>
      <w:proofErr w:type="spellEnd"/>
      <w:r>
        <w:t xml:space="preserve"> received a starting dose of 1.8 mg/kg and one patient received a starting dose of 1.2 mg/kg of ADCETRIS administered intravenously over 30 minutes every 3 weeks. The median number of cycles was 8.5 (range, 2 to 30 cycles). Of the 8 </w:t>
      </w:r>
      <w:proofErr w:type="spellStart"/>
      <w:r>
        <w:t>sALCL</w:t>
      </w:r>
      <w:proofErr w:type="spellEnd"/>
      <w:r>
        <w:t xml:space="preserve"> patients, 3 were retreated twice for a total of 11 retreatment experiences. Retreatment with ADCETRIS resulted in 6 CRs (55%) and 4 PRs (36%), for an ORR of 91%. The median duration of response was 8.8 and 12.3 months in patients who achieved OR (CR+PR) and CR, respectively.</w:t>
      </w:r>
    </w:p>
    <w:p w14:paraId="27CD2C96" w14:textId="77777777" w:rsidR="00F64DC5" w:rsidRPr="00AE2D5B" w:rsidRDefault="00F64DC5" w:rsidP="00F64DC5">
      <w:pPr>
        <w:rPr>
          <w:b/>
          <w:u w:val="single"/>
          <w:lang w:val="fr-FR"/>
        </w:rPr>
      </w:pPr>
      <w:proofErr w:type="spellStart"/>
      <w:r w:rsidRPr="00AE2D5B">
        <w:rPr>
          <w:b/>
          <w:u w:val="single"/>
          <w:lang w:val="fr-FR"/>
        </w:rPr>
        <w:t>Cutaneous</w:t>
      </w:r>
      <w:proofErr w:type="spellEnd"/>
      <w:r w:rsidRPr="00AE2D5B">
        <w:rPr>
          <w:b/>
          <w:u w:val="single"/>
          <w:lang w:val="fr-FR"/>
        </w:rPr>
        <w:t xml:space="preserve"> T-</w:t>
      </w:r>
      <w:proofErr w:type="spellStart"/>
      <w:r w:rsidRPr="00AE2D5B">
        <w:rPr>
          <w:b/>
          <w:u w:val="single"/>
          <w:lang w:val="fr-FR"/>
        </w:rPr>
        <w:t>cell</w:t>
      </w:r>
      <w:proofErr w:type="spellEnd"/>
      <w:r w:rsidRPr="00AE2D5B">
        <w:rPr>
          <w:b/>
          <w:u w:val="single"/>
          <w:lang w:val="fr-FR"/>
        </w:rPr>
        <w:t xml:space="preserve"> </w:t>
      </w:r>
      <w:proofErr w:type="spellStart"/>
      <w:r w:rsidRPr="00AE2D5B">
        <w:rPr>
          <w:b/>
          <w:u w:val="single"/>
          <w:lang w:val="fr-FR"/>
        </w:rPr>
        <w:t>lymphoma</w:t>
      </w:r>
      <w:proofErr w:type="spellEnd"/>
      <w:r w:rsidRPr="00AE2D5B">
        <w:rPr>
          <w:b/>
          <w:u w:val="single"/>
          <w:lang w:val="fr-FR"/>
        </w:rPr>
        <w:t xml:space="preserve"> (CTCL) </w:t>
      </w:r>
    </w:p>
    <w:p w14:paraId="05344206" w14:textId="77777777" w:rsidR="00F64DC5" w:rsidRPr="00F64DC5" w:rsidRDefault="007C1831" w:rsidP="006333A4">
      <w:pPr>
        <w:spacing w:after="60"/>
        <w:rPr>
          <w:i/>
        </w:rPr>
      </w:pPr>
      <w:r w:rsidRPr="007C1831">
        <w:rPr>
          <w:i/>
        </w:rPr>
        <w:t xml:space="preserve">Cutaneous T-cell Lymphoma </w:t>
      </w:r>
      <w:r>
        <w:rPr>
          <w:i/>
        </w:rPr>
        <w:t>(</w:t>
      </w:r>
      <w:r w:rsidR="00F64DC5" w:rsidRPr="00F64DC5">
        <w:rPr>
          <w:i/>
        </w:rPr>
        <w:t>Study C25001</w:t>
      </w:r>
      <w:r>
        <w:rPr>
          <w:i/>
        </w:rPr>
        <w:t>)</w:t>
      </w:r>
    </w:p>
    <w:p w14:paraId="40D59741" w14:textId="1E3506EE" w:rsidR="00F64DC5" w:rsidRDefault="00F64DC5" w:rsidP="00F64DC5">
      <w:r>
        <w:t>The efficacy and safety of ADCETRIS as a single agent was evaluated in a pivotal phase 3, open</w:t>
      </w:r>
      <w:r w:rsidR="00F16513">
        <w:noBreakHyphen/>
      </w:r>
      <w:r>
        <w:t>label, randomised, multicentre study in 128 patients with histologically confirmed CD30+ CTCL. Patients were stratified by disease subtype (mycosis fungoides [MF] or primary cutaneous anaplastic large cell lymphoma [</w:t>
      </w:r>
      <w:proofErr w:type="spellStart"/>
      <w:r>
        <w:t>pcALCL</w:t>
      </w:r>
      <w:proofErr w:type="spellEnd"/>
      <w:r>
        <w:t xml:space="preserve">]) and randomised 1:1 to receive either ADCETRIS or the physician’s choice of either methotrexate or bexarotene. Patients with </w:t>
      </w:r>
      <w:proofErr w:type="spellStart"/>
      <w:r>
        <w:t>pcALCL</w:t>
      </w:r>
      <w:proofErr w:type="spellEnd"/>
      <w:r>
        <w:t xml:space="preserve"> received either prior radiation therapy or at least 1 prior systemic therapy and patients with MF received at least 1 prior systemic therapy. Patients were treated with 1.8 mg/kg of ADCETRIS intravenously over 30 minutes every 3</w:t>
      </w:r>
      <w:r w:rsidR="006819D9">
        <w:t> </w:t>
      </w:r>
      <w:r>
        <w:t>weeks for up to 16 cycles or physician’s choice for up to 48 weeks. The median number of cycles was approximately 12 cycles in the ADCETRIS arm. In the physician’s choice arm, the median duration of treatment (number of cycles) for patients receiving bexarotene was approximately 16</w:t>
      </w:r>
      <w:r w:rsidR="00F16513">
        <w:t> </w:t>
      </w:r>
      <w:r w:rsidRPr="0085274E">
        <w:t xml:space="preserve">weeks (5.5 cycles) and 11 weeks (3 cycles) for patients receiving methotrexate. </w:t>
      </w:r>
      <w:r w:rsidR="00BB3E4E">
        <w:fldChar w:fldCharType="begin"/>
      </w:r>
      <w:r w:rsidR="00BB3E4E">
        <w:instrText xml:space="preserve"> REF _Ref147567275 \h </w:instrText>
      </w:r>
      <w:r w:rsidR="00BB3E4E">
        <w:fldChar w:fldCharType="separate"/>
      </w:r>
      <w:r w:rsidR="001E2FAC" w:rsidRPr="00BB3E4E">
        <w:rPr>
          <w:szCs w:val="22"/>
        </w:rPr>
        <w:t xml:space="preserve">Table </w:t>
      </w:r>
      <w:r w:rsidR="001E2FAC">
        <w:rPr>
          <w:noProof/>
          <w:szCs w:val="22"/>
        </w:rPr>
        <w:t>20</w:t>
      </w:r>
      <w:r w:rsidR="00BB3E4E">
        <w:fldChar w:fldCharType="end"/>
      </w:r>
      <w:r w:rsidR="00CA4F4E">
        <w:t xml:space="preserve"> </w:t>
      </w:r>
      <w:r w:rsidRPr="0085274E">
        <w:t>provides a summary of the baseline patient and disease characteristics.</w:t>
      </w:r>
    </w:p>
    <w:p w14:paraId="5D185F7E" w14:textId="115031A0" w:rsidR="00D14D07" w:rsidRPr="00BB3E4E" w:rsidRDefault="00BB3E4E" w:rsidP="008C2D23">
      <w:pPr>
        <w:pStyle w:val="Caption"/>
        <w:keepNext/>
        <w:spacing w:after="0"/>
        <w:rPr>
          <w:sz w:val="22"/>
          <w:szCs w:val="22"/>
        </w:rPr>
      </w:pPr>
      <w:bookmarkStart w:id="48" w:name="_Ref147567275"/>
      <w:r w:rsidRPr="00BB3E4E">
        <w:rPr>
          <w:sz w:val="22"/>
          <w:szCs w:val="22"/>
        </w:rPr>
        <w:lastRenderedPageBreak/>
        <w:t xml:space="preserve">Table </w:t>
      </w:r>
      <w:r w:rsidRPr="00BB3E4E">
        <w:rPr>
          <w:sz w:val="22"/>
          <w:szCs w:val="22"/>
        </w:rPr>
        <w:fldChar w:fldCharType="begin"/>
      </w:r>
      <w:r w:rsidRPr="00BB3E4E">
        <w:rPr>
          <w:sz w:val="22"/>
          <w:szCs w:val="22"/>
        </w:rPr>
        <w:instrText xml:space="preserve"> SEQ Table \* ARABIC </w:instrText>
      </w:r>
      <w:r w:rsidRPr="00BB3E4E">
        <w:rPr>
          <w:sz w:val="22"/>
          <w:szCs w:val="22"/>
        </w:rPr>
        <w:fldChar w:fldCharType="separate"/>
      </w:r>
      <w:r w:rsidR="001E2FAC">
        <w:rPr>
          <w:noProof/>
          <w:sz w:val="22"/>
          <w:szCs w:val="22"/>
        </w:rPr>
        <w:t>20</w:t>
      </w:r>
      <w:r w:rsidRPr="00BB3E4E">
        <w:rPr>
          <w:sz w:val="22"/>
          <w:szCs w:val="22"/>
        </w:rPr>
        <w:fldChar w:fldCharType="end"/>
      </w:r>
      <w:bookmarkEnd w:id="48"/>
      <w:r w:rsidRPr="00BB3E4E">
        <w:rPr>
          <w:sz w:val="22"/>
          <w:szCs w:val="22"/>
        </w:rPr>
        <w:t xml:space="preserve"> </w:t>
      </w:r>
      <w:r w:rsidRPr="00BB3E4E">
        <w:rPr>
          <w:sz w:val="22"/>
          <w:szCs w:val="22"/>
        </w:rPr>
        <w:tab/>
      </w:r>
      <w:r w:rsidR="00D14D07" w:rsidRPr="00BB3E4E">
        <w:rPr>
          <w:sz w:val="22"/>
          <w:szCs w:val="22"/>
        </w:rPr>
        <w:t xml:space="preserve">Summary of Baseline Patient and Disease Characteristics in the Phase 3 </w:t>
      </w:r>
      <w:r w:rsidR="00D14D07" w:rsidRPr="00BB3E4E">
        <w:rPr>
          <w:sz w:val="22"/>
          <w:szCs w:val="22"/>
        </w:rPr>
        <w:tab/>
      </w:r>
      <w:r w:rsidR="00D14D07" w:rsidRPr="00BB3E4E">
        <w:rPr>
          <w:sz w:val="22"/>
          <w:szCs w:val="22"/>
        </w:rPr>
        <w:tab/>
      </w:r>
      <w:r w:rsidR="00D14D07" w:rsidRPr="00BB3E4E">
        <w:rPr>
          <w:sz w:val="22"/>
          <w:szCs w:val="22"/>
        </w:rPr>
        <w:tab/>
        <w:t>CTCL Study (ITT Population)</w:t>
      </w:r>
    </w:p>
    <w:tbl>
      <w:tblPr>
        <w:tblW w:w="951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4132"/>
        <w:gridCol w:w="3119"/>
        <w:gridCol w:w="2268"/>
      </w:tblGrid>
      <w:tr w:rsidR="00D14D07" w:rsidRPr="009722AB" w14:paraId="62F68E7F" w14:textId="77777777" w:rsidTr="00D14D07">
        <w:trPr>
          <w:trHeight w:val="302"/>
          <w:jc w:val="center"/>
        </w:trPr>
        <w:tc>
          <w:tcPr>
            <w:tcW w:w="4132" w:type="dxa"/>
            <w:tcBorders>
              <w:top w:val="single" w:sz="4" w:space="0" w:color="auto"/>
              <w:left w:val="single" w:sz="4" w:space="0" w:color="auto"/>
              <w:bottom w:val="single" w:sz="4" w:space="0" w:color="auto"/>
            </w:tcBorders>
          </w:tcPr>
          <w:p w14:paraId="0B145E89" w14:textId="77777777" w:rsidR="00D14D07" w:rsidRPr="00F8330C" w:rsidRDefault="00D14D07" w:rsidP="00D14D07">
            <w:pPr>
              <w:keepNext/>
              <w:spacing w:after="0"/>
              <w:rPr>
                <w:rFonts w:cs="Arial"/>
                <w:b/>
                <w:bCs/>
                <w:sz w:val="20"/>
              </w:rPr>
            </w:pPr>
            <w:r w:rsidRPr="00F8330C">
              <w:rPr>
                <w:rFonts w:cs="Arial"/>
                <w:b/>
                <w:bCs/>
                <w:sz w:val="20"/>
              </w:rPr>
              <w:t>Patient characteristics</w:t>
            </w:r>
          </w:p>
        </w:tc>
        <w:tc>
          <w:tcPr>
            <w:tcW w:w="3119" w:type="dxa"/>
            <w:tcBorders>
              <w:top w:val="single" w:sz="4" w:space="0" w:color="auto"/>
              <w:bottom w:val="single" w:sz="4" w:space="0" w:color="auto"/>
              <w:right w:val="single" w:sz="4" w:space="0" w:color="auto"/>
            </w:tcBorders>
          </w:tcPr>
          <w:p w14:paraId="277B679E" w14:textId="77777777" w:rsidR="00D14D07" w:rsidRPr="00F8330C" w:rsidRDefault="00D14D07" w:rsidP="00D14D07">
            <w:pPr>
              <w:keepNext/>
              <w:spacing w:after="0"/>
              <w:jc w:val="center"/>
              <w:rPr>
                <w:rFonts w:cs="Arial"/>
                <w:b/>
                <w:bCs/>
                <w:sz w:val="20"/>
              </w:rPr>
            </w:pPr>
            <w:r w:rsidRPr="00F8330C">
              <w:rPr>
                <w:rFonts w:cs="Arial"/>
                <w:b/>
                <w:bCs/>
                <w:sz w:val="20"/>
              </w:rPr>
              <w:t>ADCETRIS</w:t>
            </w:r>
          </w:p>
          <w:p w14:paraId="4442D491" w14:textId="77777777" w:rsidR="00D14D07" w:rsidRPr="00F8330C" w:rsidRDefault="00D14D07" w:rsidP="00D14D07">
            <w:pPr>
              <w:keepNext/>
              <w:spacing w:after="0"/>
              <w:jc w:val="center"/>
              <w:rPr>
                <w:rFonts w:cs="Arial"/>
                <w:b/>
                <w:bCs/>
                <w:sz w:val="20"/>
              </w:rPr>
            </w:pPr>
            <w:r w:rsidRPr="00F8330C">
              <w:rPr>
                <w:rFonts w:cs="Arial"/>
                <w:b/>
                <w:bCs/>
                <w:sz w:val="20"/>
              </w:rPr>
              <w:t>N = 64</w:t>
            </w:r>
          </w:p>
        </w:tc>
        <w:tc>
          <w:tcPr>
            <w:tcW w:w="2268" w:type="dxa"/>
            <w:tcBorders>
              <w:top w:val="single" w:sz="4" w:space="0" w:color="auto"/>
              <w:bottom w:val="single" w:sz="4" w:space="0" w:color="auto"/>
              <w:right w:val="single" w:sz="4" w:space="0" w:color="auto"/>
            </w:tcBorders>
          </w:tcPr>
          <w:p w14:paraId="52E1930B" w14:textId="77777777" w:rsidR="00D14D07" w:rsidRPr="00F8330C" w:rsidRDefault="00D14D07" w:rsidP="00D14D07">
            <w:pPr>
              <w:keepNext/>
              <w:spacing w:after="0"/>
              <w:jc w:val="center"/>
              <w:rPr>
                <w:rFonts w:cs="Arial"/>
                <w:b/>
                <w:bCs/>
                <w:sz w:val="20"/>
              </w:rPr>
            </w:pPr>
            <w:r w:rsidRPr="00F8330C">
              <w:rPr>
                <w:rFonts w:cs="Arial"/>
                <w:b/>
                <w:bCs/>
                <w:sz w:val="20"/>
              </w:rPr>
              <w:t>Physician’s Choice (Methotrexate or Bexarotene)</w:t>
            </w:r>
          </w:p>
          <w:p w14:paraId="32D2FB11" w14:textId="77777777" w:rsidR="00D14D07" w:rsidRPr="00F8330C" w:rsidRDefault="00D14D07" w:rsidP="00D14D07">
            <w:pPr>
              <w:keepNext/>
              <w:spacing w:after="0"/>
              <w:jc w:val="center"/>
              <w:rPr>
                <w:rFonts w:cs="Arial"/>
                <w:b/>
                <w:bCs/>
                <w:sz w:val="20"/>
              </w:rPr>
            </w:pPr>
            <w:r w:rsidRPr="00F8330C">
              <w:rPr>
                <w:rFonts w:cs="Arial"/>
                <w:b/>
                <w:bCs/>
                <w:sz w:val="20"/>
              </w:rPr>
              <w:t>N= 64</w:t>
            </w:r>
          </w:p>
        </w:tc>
      </w:tr>
      <w:tr w:rsidR="00D14D07" w:rsidRPr="009722AB" w14:paraId="636F61DC" w14:textId="77777777" w:rsidTr="00D14D07">
        <w:trPr>
          <w:trHeight w:val="270"/>
          <w:jc w:val="center"/>
        </w:trPr>
        <w:tc>
          <w:tcPr>
            <w:tcW w:w="4132" w:type="dxa"/>
            <w:tcBorders>
              <w:top w:val="single" w:sz="4" w:space="0" w:color="auto"/>
              <w:left w:val="single" w:sz="4" w:space="0" w:color="auto"/>
              <w:bottom w:val="single" w:sz="2" w:space="0" w:color="FFFFFF"/>
            </w:tcBorders>
          </w:tcPr>
          <w:p w14:paraId="27C57761" w14:textId="77777777" w:rsidR="00D14D07" w:rsidRPr="00F8330C" w:rsidRDefault="00D14D07" w:rsidP="00D14D07">
            <w:pPr>
              <w:keepNext/>
              <w:spacing w:after="0"/>
              <w:ind w:left="62" w:firstLine="110"/>
              <w:rPr>
                <w:rFonts w:cs="Arial"/>
                <w:sz w:val="20"/>
              </w:rPr>
            </w:pPr>
            <w:r w:rsidRPr="00F8330C">
              <w:rPr>
                <w:rFonts w:cs="Arial"/>
                <w:sz w:val="20"/>
              </w:rPr>
              <w:t>Median age (range)</w:t>
            </w:r>
          </w:p>
        </w:tc>
        <w:tc>
          <w:tcPr>
            <w:tcW w:w="3119" w:type="dxa"/>
            <w:tcBorders>
              <w:top w:val="single" w:sz="4" w:space="0" w:color="auto"/>
              <w:bottom w:val="single" w:sz="2" w:space="0" w:color="FFFFFF"/>
              <w:right w:val="single" w:sz="4" w:space="0" w:color="auto"/>
            </w:tcBorders>
          </w:tcPr>
          <w:p w14:paraId="5D818486" w14:textId="77777777" w:rsidR="00D14D07" w:rsidRPr="00F8330C" w:rsidRDefault="00D14D07" w:rsidP="00D14D07">
            <w:pPr>
              <w:keepNext/>
              <w:spacing w:after="0"/>
              <w:jc w:val="center"/>
              <w:rPr>
                <w:rFonts w:cs="Arial"/>
                <w:sz w:val="20"/>
              </w:rPr>
            </w:pPr>
            <w:r w:rsidRPr="00F8330C">
              <w:rPr>
                <w:rFonts w:cs="Arial"/>
                <w:sz w:val="20"/>
              </w:rPr>
              <w:t>62 years (22-83)</w:t>
            </w:r>
          </w:p>
        </w:tc>
        <w:tc>
          <w:tcPr>
            <w:tcW w:w="2268" w:type="dxa"/>
            <w:tcBorders>
              <w:top w:val="single" w:sz="4" w:space="0" w:color="auto"/>
              <w:bottom w:val="single" w:sz="2" w:space="0" w:color="FFFFFF"/>
              <w:right w:val="single" w:sz="4" w:space="0" w:color="auto"/>
            </w:tcBorders>
          </w:tcPr>
          <w:p w14:paraId="4CC6030A" w14:textId="77777777" w:rsidR="00D14D07" w:rsidRPr="00F8330C" w:rsidRDefault="00D14D07" w:rsidP="00D14D07">
            <w:pPr>
              <w:keepNext/>
              <w:spacing w:after="0"/>
              <w:jc w:val="center"/>
              <w:rPr>
                <w:rFonts w:cs="Arial"/>
                <w:sz w:val="20"/>
              </w:rPr>
            </w:pPr>
            <w:r w:rsidRPr="00F8330C">
              <w:rPr>
                <w:rFonts w:cs="Arial"/>
                <w:sz w:val="20"/>
              </w:rPr>
              <w:t>58.5 years (22-83)</w:t>
            </w:r>
          </w:p>
        </w:tc>
      </w:tr>
      <w:tr w:rsidR="00D14D07" w:rsidRPr="009722AB" w14:paraId="59A55687" w14:textId="77777777" w:rsidTr="00D14D07">
        <w:trPr>
          <w:trHeight w:val="270"/>
          <w:jc w:val="center"/>
        </w:trPr>
        <w:tc>
          <w:tcPr>
            <w:tcW w:w="4132" w:type="dxa"/>
            <w:tcBorders>
              <w:top w:val="single" w:sz="2" w:space="0" w:color="FFFFFF"/>
              <w:left w:val="single" w:sz="4" w:space="0" w:color="auto"/>
              <w:bottom w:val="single" w:sz="2" w:space="0" w:color="FFFFFF"/>
            </w:tcBorders>
          </w:tcPr>
          <w:p w14:paraId="430A1CD9" w14:textId="77777777" w:rsidR="00D14D07" w:rsidRPr="00F8330C" w:rsidRDefault="00D14D07" w:rsidP="00D14D07">
            <w:pPr>
              <w:keepNext/>
              <w:spacing w:after="0"/>
              <w:ind w:firstLine="172"/>
              <w:rPr>
                <w:rFonts w:cs="Arial"/>
                <w:sz w:val="20"/>
              </w:rPr>
            </w:pPr>
            <w:r w:rsidRPr="00F8330C">
              <w:rPr>
                <w:rFonts w:cs="Arial"/>
                <w:sz w:val="20"/>
              </w:rPr>
              <w:t>Patients ≥ 65 years old n (%)</w:t>
            </w:r>
          </w:p>
          <w:p w14:paraId="76018832" w14:textId="77777777" w:rsidR="00D14D07" w:rsidRPr="00F8330C" w:rsidRDefault="00D14D07" w:rsidP="00D14D07">
            <w:pPr>
              <w:keepNext/>
              <w:spacing w:after="0"/>
              <w:ind w:firstLine="172"/>
              <w:rPr>
                <w:rFonts w:cs="Arial"/>
                <w:sz w:val="20"/>
              </w:rPr>
            </w:pPr>
            <w:r w:rsidRPr="00F8330C">
              <w:rPr>
                <w:rFonts w:cs="Arial"/>
                <w:sz w:val="20"/>
              </w:rPr>
              <w:t>Gender n (%)</w:t>
            </w:r>
          </w:p>
        </w:tc>
        <w:tc>
          <w:tcPr>
            <w:tcW w:w="3119" w:type="dxa"/>
            <w:tcBorders>
              <w:top w:val="single" w:sz="2" w:space="0" w:color="FFFFFF"/>
              <w:bottom w:val="single" w:sz="2" w:space="0" w:color="FFFFFF"/>
              <w:right w:val="single" w:sz="4" w:space="0" w:color="auto"/>
            </w:tcBorders>
          </w:tcPr>
          <w:p w14:paraId="33D2DE6D" w14:textId="77777777" w:rsidR="00D14D07" w:rsidRPr="00F8330C" w:rsidRDefault="00D14D07" w:rsidP="00D14D07">
            <w:pPr>
              <w:keepNext/>
              <w:spacing w:after="0"/>
              <w:jc w:val="center"/>
              <w:rPr>
                <w:rFonts w:cs="Arial"/>
                <w:sz w:val="20"/>
              </w:rPr>
            </w:pPr>
            <w:r w:rsidRPr="00F8330C">
              <w:rPr>
                <w:rFonts w:cs="Arial"/>
                <w:sz w:val="20"/>
              </w:rPr>
              <w:t>28 (44%)</w:t>
            </w:r>
          </w:p>
          <w:p w14:paraId="3BABC39B" w14:textId="77777777" w:rsidR="00D14D07" w:rsidRPr="00F8330C" w:rsidRDefault="00D14D07" w:rsidP="00D14D07">
            <w:pPr>
              <w:keepNext/>
              <w:spacing w:after="0"/>
              <w:jc w:val="center"/>
              <w:rPr>
                <w:rFonts w:cs="Arial"/>
                <w:sz w:val="20"/>
              </w:rPr>
            </w:pPr>
            <w:r w:rsidRPr="00F8330C">
              <w:rPr>
                <w:rFonts w:cs="Arial"/>
                <w:sz w:val="20"/>
              </w:rPr>
              <w:t>33M (52%)/31F (48%)</w:t>
            </w:r>
          </w:p>
        </w:tc>
        <w:tc>
          <w:tcPr>
            <w:tcW w:w="2268" w:type="dxa"/>
            <w:tcBorders>
              <w:top w:val="single" w:sz="2" w:space="0" w:color="FFFFFF"/>
              <w:bottom w:val="single" w:sz="2" w:space="0" w:color="FFFFFF"/>
              <w:right w:val="single" w:sz="4" w:space="0" w:color="auto"/>
            </w:tcBorders>
          </w:tcPr>
          <w:p w14:paraId="477BDA24" w14:textId="77777777" w:rsidR="00D14D07" w:rsidRPr="00F8330C" w:rsidRDefault="00D14D07" w:rsidP="00D14D07">
            <w:pPr>
              <w:keepNext/>
              <w:spacing w:after="0"/>
              <w:jc w:val="center"/>
              <w:rPr>
                <w:rFonts w:cs="Arial"/>
                <w:sz w:val="20"/>
              </w:rPr>
            </w:pPr>
            <w:r w:rsidRPr="00F8330C">
              <w:rPr>
                <w:rFonts w:cs="Arial"/>
                <w:sz w:val="20"/>
              </w:rPr>
              <w:t xml:space="preserve">24 </w:t>
            </w:r>
            <w:r w:rsidRPr="009722AB">
              <w:rPr>
                <w:rFonts w:cs="Arial"/>
                <w:sz w:val="20"/>
              </w:rPr>
              <w:t>(</w:t>
            </w:r>
            <w:r w:rsidRPr="00F8330C">
              <w:rPr>
                <w:rFonts w:cs="Arial"/>
                <w:sz w:val="20"/>
              </w:rPr>
              <w:t>38%)</w:t>
            </w:r>
          </w:p>
          <w:p w14:paraId="756C5FD5" w14:textId="77777777" w:rsidR="00D14D07" w:rsidRPr="00F8330C" w:rsidRDefault="00D14D07" w:rsidP="00D14D07">
            <w:pPr>
              <w:keepNext/>
              <w:spacing w:after="0"/>
              <w:jc w:val="center"/>
              <w:rPr>
                <w:rFonts w:cs="Arial"/>
                <w:sz w:val="20"/>
              </w:rPr>
            </w:pPr>
            <w:r w:rsidRPr="00F8330C">
              <w:rPr>
                <w:rFonts w:cs="Arial"/>
                <w:sz w:val="20"/>
              </w:rPr>
              <w:t>37M (58%)/27F (42%)</w:t>
            </w:r>
          </w:p>
        </w:tc>
      </w:tr>
      <w:tr w:rsidR="00D14D07" w:rsidRPr="009722AB" w14:paraId="2BEC1C60" w14:textId="77777777" w:rsidTr="00D14D07">
        <w:trPr>
          <w:trHeight w:val="255"/>
          <w:jc w:val="center"/>
        </w:trPr>
        <w:tc>
          <w:tcPr>
            <w:tcW w:w="4132" w:type="dxa"/>
            <w:tcBorders>
              <w:top w:val="single" w:sz="2" w:space="0" w:color="FFFFFF"/>
              <w:left w:val="single" w:sz="4" w:space="0" w:color="auto"/>
            </w:tcBorders>
          </w:tcPr>
          <w:p w14:paraId="36F56577" w14:textId="77777777" w:rsidR="00D14D07" w:rsidRPr="00F8330C" w:rsidRDefault="00D14D07" w:rsidP="00D14D07">
            <w:pPr>
              <w:keepNext/>
              <w:spacing w:after="0"/>
              <w:ind w:firstLine="172"/>
              <w:rPr>
                <w:rFonts w:cs="Arial"/>
                <w:sz w:val="20"/>
              </w:rPr>
            </w:pPr>
            <w:r w:rsidRPr="00F8330C">
              <w:rPr>
                <w:rFonts w:cs="Arial"/>
                <w:sz w:val="20"/>
              </w:rPr>
              <w:t>ECOG status n (%)</w:t>
            </w:r>
          </w:p>
        </w:tc>
        <w:tc>
          <w:tcPr>
            <w:tcW w:w="3119" w:type="dxa"/>
            <w:tcBorders>
              <w:top w:val="single" w:sz="2" w:space="0" w:color="FFFFFF"/>
              <w:right w:val="single" w:sz="4" w:space="0" w:color="auto"/>
            </w:tcBorders>
          </w:tcPr>
          <w:p w14:paraId="7F4259B2" w14:textId="77777777" w:rsidR="00D14D07" w:rsidRPr="00F8330C" w:rsidRDefault="00D14D07" w:rsidP="00D14D07">
            <w:pPr>
              <w:keepNext/>
              <w:spacing w:after="0"/>
              <w:jc w:val="center"/>
              <w:rPr>
                <w:rFonts w:cs="Arial"/>
                <w:sz w:val="20"/>
              </w:rPr>
            </w:pPr>
          </w:p>
        </w:tc>
        <w:tc>
          <w:tcPr>
            <w:tcW w:w="2268" w:type="dxa"/>
            <w:tcBorders>
              <w:top w:val="single" w:sz="2" w:space="0" w:color="FFFFFF"/>
              <w:right w:val="single" w:sz="4" w:space="0" w:color="auto"/>
            </w:tcBorders>
          </w:tcPr>
          <w:p w14:paraId="2F780F34" w14:textId="77777777" w:rsidR="00D14D07" w:rsidRPr="00F8330C" w:rsidRDefault="00D14D07" w:rsidP="00D14D07">
            <w:pPr>
              <w:keepNext/>
              <w:spacing w:after="0"/>
              <w:jc w:val="center"/>
              <w:rPr>
                <w:rFonts w:cs="Arial"/>
                <w:sz w:val="20"/>
              </w:rPr>
            </w:pPr>
          </w:p>
        </w:tc>
      </w:tr>
      <w:tr w:rsidR="00D14D07" w:rsidRPr="009722AB" w14:paraId="7174143E" w14:textId="77777777" w:rsidTr="00D14D07">
        <w:trPr>
          <w:trHeight w:val="255"/>
          <w:jc w:val="center"/>
        </w:trPr>
        <w:tc>
          <w:tcPr>
            <w:tcW w:w="4132" w:type="dxa"/>
            <w:tcBorders>
              <w:left w:val="single" w:sz="4" w:space="0" w:color="auto"/>
            </w:tcBorders>
          </w:tcPr>
          <w:p w14:paraId="1C096A97" w14:textId="77777777" w:rsidR="00D14D07" w:rsidRPr="00F8330C" w:rsidRDefault="00D14D07" w:rsidP="00D14D07">
            <w:pPr>
              <w:keepNext/>
              <w:spacing w:after="0"/>
              <w:ind w:left="392"/>
              <w:rPr>
                <w:rFonts w:cs="Arial"/>
                <w:sz w:val="20"/>
              </w:rPr>
            </w:pPr>
            <w:r w:rsidRPr="00F8330C">
              <w:rPr>
                <w:rFonts w:cs="Arial"/>
                <w:sz w:val="20"/>
              </w:rPr>
              <w:t>0</w:t>
            </w:r>
          </w:p>
        </w:tc>
        <w:tc>
          <w:tcPr>
            <w:tcW w:w="3119" w:type="dxa"/>
            <w:tcBorders>
              <w:right w:val="single" w:sz="4" w:space="0" w:color="auto"/>
            </w:tcBorders>
          </w:tcPr>
          <w:p w14:paraId="304AE2EC" w14:textId="77777777" w:rsidR="00D14D07" w:rsidRPr="00F8330C" w:rsidRDefault="00D14D07" w:rsidP="00D14D07">
            <w:pPr>
              <w:keepNext/>
              <w:spacing w:after="0"/>
              <w:jc w:val="center"/>
              <w:rPr>
                <w:rFonts w:cs="Arial"/>
                <w:sz w:val="20"/>
              </w:rPr>
            </w:pPr>
            <w:r w:rsidRPr="00F8330C">
              <w:rPr>
                <w:rFonts w:cs="Arial"/>
                <w:sz w:val="20"/>
              </w:rPr>
              <w:t>43 (67)</w:t>
            </w:r>
          </w:p>
        </w:tc>
        <w:tc>
          <w:tcPr>
            <w:tcW w:w="2268" w:type="dxa"/>
            <w:tcBorders>
              <w:right w:val="single" w:sz="4" w:space="0" w:color="auto"/>
            </w:tcBorders>
          </w:tcPr>
          <w:p w14:paraId="43F036D3" w14:textId="77777777" w:rsidR="00D14D07" w:rsidRPr="00F8330C" w:rsidRDefault="00D14D07" w:rsidP="00D14D07">
            <w:pPr>
              <w:keepNext/>
              <w:spacing w:after="0"/>
              <w:jc w:val="center"/>
              <w:rPr>
                <w:rFonts w:cs="Arial"/>
                <w:sz w:val="20"/>
              </w:rPr>
            </w:pPr>
            <w:r w:rsidRPr="00F8330C">
              <w:rPr>
                <w:rFonts w:cs="Arial"/>
                <w:sz w:val="20"/>
              </w:rPr>
              <w:t>46 (72)</w:t>
            </w:r>
          </w:p>
        </w:tc>
      </w:tr>
      <w:tr w:rsidR="00D14D07" w:rsidRPr="009722AB" w14:paraId="23294488" w14:textId="77777777" w:rsidTr="00D14D07">
        <w:trPr>
          <w:trHeight w:val="113"/>
          <w:jc w:val="center"/>
        </w:trPr>
        <w:tc>
          <w:tcPr>
            <w:tcW w:w="4132" w:type="dxa"/>
            <w:tcBorders>
              <w:left w:val="single" w:sz="4" w:space="0" w:color="auto"/>
              <w:bottom w:val="single" w:sz="4" w:space="0" w:color="auto"/>
            </w:tcBorders>
          </w:tcPr>
          <w:p w14:paraId="0D397554" w14:textId="77777777" w:rsidR="00D14D07" w:rsidRPr="00F8330C" w:rsidRDefault="00D14D07" w:rsidP="00D14D07">
            <w:pPr>
              <w:keepNext/>
              <w:spacing w:after="0"/>
              <w:ind w:left="392"/>
              <w:rPr>
                <w:rFonts w:cs="Arial"/>
                <w:sz w:val="20"/>
              </w:rPr>
            </w:pPr>
            <w:r w:rsidRPr="00F8330C">
              <w:rPr>
                <w:rFonts w:cs="Arial"/>
                <w:sz w:val="20"/>
              </w:rPr>
              <w:t>1</w:t>
            </w:r>
          </w:p>
          <w:p w14:paraId="7056D315" w14:textId="77777777" w:rsidR="00D14D07" w:rsidRPr="00F8330C" w:rsidRDefault="00D14D07" w:rsidP="00D14D07">
            <w:pPr>
              <w:keepNext/>
              <w:spacing w:after="0"/>
              <w:ind w:left="392"/>
              <w:rPr>
                <w:rFonts w:cs="Arial"/>
                <w:sz w:val="20"/>
              </w:rPr>
            </w:pPr>
            <w:r w:rsidRPr="00F8330C">
              <w:rPr>
                <w:rFonts w:cs="Arial"/>
                <w:sz w:val="20"/>
              </w:rPr>
              <w:t>2</w:t>
            </w:r>
          </w:p>
        </w:tc>
        <w:tc>
          <w:tcPr>
            <w:tcW w:w="3119" w:type="dxa"/>
            <w:tcBorders>
              <w:bottom w:val="single" w:sz="4" w:space="0" w:color="auto"/>
              <w:right w:val="single" w:sz="4" w:space="0" w:color="auto"/>
            </w:tcBorders>
          </w:tcPr>
          <w:p w14:paraId="4DECB5FA" w14:textId="77777777" w:rsidR="00D14D07" w:rsidRPr="00F8330C" w:rsidRDefault="00D14D07" w:rsidP="00D14D07">
            <w:pPr>
              <w:keepNext/>
              <w:spacing w:after="0"/>
              <w:jc w:val="center"/>
              <w:rPr>
                <w:rFonts w:cs="Arial"/>
                <w:sz w:val="20"/>
              </w:rPr>
            </w:pPr>
            <w:r w:rsidRPr="00F8330C">
              <w:rPr>
                <w:rFonts w:cs="Arial"/>
                <w:sz w:val="20"/>
              </w:rPr>
              <w:t>18 (28)</w:t>
            </w:r>
          </w:p>
          <w:p w14:paraId="0D0E20A6" w14:textId="77777777" w:rsidR="00D14D07" w:rsidRPr="00F8330C" w:rsidRDefault="00D14D07" w:rsidP="00D14D07">
            <w:pPr>
              <w:keepNext/>
              <w:spacing w:after="0"/>
              <w:jc w:val="center"/>
              <w:rPr>
                <w:rFonts w:cs="Arial"/>
                <w:sz w:val="20"/>
              </w:rPr>
            </w:pPr>
            <w:r w:rsidRPr="00F8330C">
              <w:rPr>
                <w:rFonts w:cs="Arial"/>
                <w:sz w:val="20"/>
              </w:rPr>
              <w:t>3 (5)</w:t>
            </w:r>
          </w:p>
        </w:tc>
        <w:tc>
          <w:tcPr>
            <w:tcW w:w="2268" w:type="dxa"/>
            <w:tcBorders>
              <w:bottom w:val="single" w:sz="4" w:space="0" w:color="auto"/>
              <w:right w:val="single" w:sz="4" w:space="0" w:color="auto"/>
            </w:tcBorders>
          </w:tcPr>
          <w:p w14:paraId="72073833" w14:textId="77777777" w:rsidR="00D14D07" w:rsidRPr="00F8330C" w:rsidRDefault="00D14D07" w:rsidP="00D14D07">
            <w:pPr>
              <w:keepNext/>
              <w:spacing w:after="0"/>
              <w:jc w:val="center"/>
              <w:rPr>
                <w:rFonts w:cs="Arial"/>
                <w:sz w:val="20"/>
              </w:rPr>
            </w:pPr>
            <w:r w:rsidRPr="00F8330C">
              <w:rPr>
                <w:rFonts w:cs="Arial"/>
                <w:sz w:val="20"/>
              </w:rPr>
              <w:t>16 (25)</w:t>
            </w:r>
          </w:p>
          <w:p w14:paraId="1A03E9B3" w14:textId="77777777" w:rsidR="00D14D07" w:rsidRPr="00F8330C" w:rsidRDefault="00D14D07" w:rsidP="00D14D07">
            <w:pPr>
              <w:keepNext/>
              <w:spacing w:after="0"/>
              <w:jc w:val="center"/>
              <w:rPr>
                <w:rFonts w:cs="Arial"/>
                <w:sz w:val="20"/>
              </w:rPr>
            </w:pPr>
            <w:r w:rsidRPr="00F8330C">
              <w:rPr>
                <w:rFonts w:cs="Arial"/>
                <w:sz w:val="20"/>
              </w:rPr>
              <w:t>2 (3)</w:t>
            </w:r>
          </w:p>
        </w:tc>
      </w:tr>
      <w:tr w:rsidR="00D14D07" w:rsidRPr="009722AB" w14:paraId="53EAC2C2" w14:textId="77777777" w:rsidTr="00D14D07">
        <w:trPr>
          <w:trHeight w:val="302"/>
          <w:jc w:val="center"/>
        </w:trPr>
        <w:tc>
          <w:tcPr>
            <w:tcW w:w="4132" w:type="dxa"/>
            <w:tcBorders>
              <w:top w:val="single" w:sz="4" w:space="0" w:color="auto"/>
              <w:left w:val="single" w:sz="4" w:space="0" w:color="auto"/>
              <w:bottom w:val="single" w:sz="4" w:space="0" w:color="auto"/>
            </w:tcBorders>
          </w:tcPr>
          <w:p w14:paraId="0136DA58" w14:textId="77777777" w:rsidR="00D14D07" w:rsidRPr="00F8330C" w:rsidRDefault="00D14D07" w:rsidP="00D14D07">
            <w:pPr>
              <w:keepNext/>
              <w:spacing w:after="0"/>
              <w:ind w:left="389" w:hanging="389"/>
              <w:rPr>
                <w:rFonts w:cs="Arial"/>
                <w:b/>
                <w:sz w:val="20"/>
              </w:rPr>
            </w:pPr>
            <w:r w:rsidRPr="00F8330C">
              <w:rPr>
                <w:rFonts w:cs="Arial"/>
                <w:b/>
                <w:sz w:val="20"/>
              </w:rPr>
              <w:t>Disease characteristics</w:t>
            </w:r>
          </w:p>
        </w:tc>
        <w:tc>
          <w:tcPr>
            <w:tcW w:w="3119" w:type="dxa"/>
            <w:tcBorders>
              <w:top w:val="single" w:sz="4" w:space="0" w:color="auto"/>
              <w:bottom w:val="single" w:sz="4" w:space="0" w:color="auto"/>
              <w:right w:val="single" w:sz="4" w:space="0" w:color="auto"/>
            </w:tcBorders>
          </w:tcPr>
          <w:p w14:paraId="306319A4" w14:textId="77777777" w:rsidR="00D14D07" w:rsidRPr="00F8330C" w:rsidRDefault="00D14D07" w:rsidP="00D14D07">
            <w:pPr>
              <w:keepNext/>
              <w:spacing w:after="0"/>
              <w:jc w:val="center"/>
              <w:rPr>
                <w:rFonts w:cs="Arial"/>
                <w:b/>
                <w:sz w:val="20"/>
              </w:rPr>
            </w:pPr>
          </w:p>
        </w:tc>
        <w:tc>
          <w:tcPr>
            <w:tcW w:w="2268" w:type="dxa"/>
            <w:tcBorders>
              <w:top w:val="single" w:sz="4" w:space="0" w:color="auto"/>
              <w:bottom w:val="single" w:sz="4" w:space="0" w:color="auto"/>
              <w:right w:val="single" w:sz="4" w:space="0" w:color="auto"/>
            </w:tcBorders>
          </w:tcPr>
          <w:p w14:paraId="64DB80D8" w14:textId="77777777" w:rsidR="00D14D07" w:rsidRPr="00F8330C" w:rsidRDefault="00D14D07" w:rsidP="00D14D07">
            <w:pPr>
              <w:keepNext/>
              <w:spacing w:after="0"/>
              <w:jc w:val="center"/>
              <w:rPr>
                <w:rFonts w:cs="Arial"/>
                <w:b/>
                <w:sz w:val="20"/>
              </w:rPr>
            </w:pPr>
          </w:p>
        </w:tc>
      </w:tr>
      <w:tr w:rsidR="00D14D07" w:rsidRPr="009722AB" w14:paraId="0ACAF425" w14:textId="77777777" w:rsidTr="00D14D07">
        <w:trPr>
          <w:trHeight w:val="160"/>
          <w:jc w:val="center"/>
        </w:trPr>
        <w:tc>
          <w:tcPr>
            <w:tcW w:w="4132" w:type="dxa"/>
            <w:tcBorders>
              <w:top w:val="single" w:sz="4" w:space="0" w:color="auto"/>
              <w:left w:val="single" w:sz="4" w:space="0" w:color="auto"/>
            </w:tcBorders>
          </w:tcPr>
          <w:p w14:paraId="703E7E5D" w14:textId="77777777" w:rsidR="00D14D07" w:rsidRPr="00F8330C" w:rsidRDefault="00D14D07" w:rsidP="00D14D07">
            <w:pPr>
              <w:keepNext/>
              <w:spacing w:after="0"/>
              <w:ind w:left="172"/>
              <w:rPr>
                <w:rFonts w:cs="Arial"/>
                <w:sz w:val="20"/>
              </w:rPr>
            </w:pPr>
            <w:r w:rsidRPr="00F8330C">
              <w:rPr>
                <w:rFonts w:cs="Arial"/>
                <w:sz w:val="20"/>
              </w:rPr>
              <w:t>Median number of prior therapies (range)</w:t>
            </w:r>
          </w:p>
        </w:tc>
        <w:tc>
          <w:tcPr>
            <w:tcW w:w="3119" w:type="dxa"/>
            <w:tcBorders>
              <w:top w:val="single" w:sz="4" w:space="0" w:color="auto"/>
              <w:right w:val="single" w:sz="4" w:space="0" w:color="auto"/>
            </w:tcBorders>
          </w:tcPr>
          <w:p w14:paraId="2882B996" w14:textId="77777777" w:rsidR="00D14D07" w:rsidRPr="00F8330C" w:rsidRDefault="00D14D07" w:rsidP="00D14D07">
            <w:pPr>
              <w:keepNext/>
              <w:spacing w:after="0"/>
              <w:jc w:val="center"/>
              <w:rPr>
                <w:rFonts w:cs="Arial"/>
                <w:sz w:val="20"/>
              </w:rPr>
            </w:pPr>
            <w:r w:rsidRPr="00F8330C">
              <w:rPr>
                <w:rFonts w:cs="Arial"/>
                <w:sz w:val="20"/>
              </w:rPr>
              <w:t>4 (0-13)</w:t>
            </w:r>
          </w:p>
        </w:tc>
        <w:tc>
          <w:tcPr>
            <w:tcW w:w="2268" w:type="dxa"/>
            <w:tcBorders>
              <w:top w:val="single" w:sz="4" w:space="0" w:color="auto"/>
              <w:right w:val="single" w:sz="4" w:space="0" w:color="auto"/>
            </w:tcBorders>
          </w:tcPr>
          <w:p w14:paraId="3A167673" w14:textId="77777777" w:rsidR="00D14D07" w:rsidRPr="00F8330C" w:rsidRDefault="00D14D07" w:rsidP="00D14D07">
            <w:pPr>
              <w:keepNext/>
              <w:spacing w:after="0"/>
              <w:jc w:val="center"/>
              <w:rPr>
                <w:rFonts w:cs="Arial"/>
                <w:sz w:val="20"/>
              </w:rPr>
            </w:pPr>
            <w:r w:rsidRPr="00F8330C">
              <w:rPr>
                <w:rFonts w:cs="Arial"/>
                <w:sz w:val="20"/>
              </w:rPr>
              <w:t>3.5 (1-15)</w:t>
            </w:r>
          </w:p>
        </w:tc>
      </w:tr>
      <w:tr w:rsidR="00D14D07" w:rsidRPr="009722AB" w14:paraId="592FA846" w14:textId="77777777" w:rsidTr="00D14D07">
        <w:trPr>
          <w:trHeight w:val="143"/>
          <w:jc w:val="center"/>
        </w:trPr>
        <w:tc>
          <w:tcPr>
            <w:tcW w:w="4132" w:type="dxa"/>
            <w:tcBorders>
              <w:top w:val="single" w:sz="2" w:space="0" w:color="FFFFFF"/>
              <w:left w:val="single" w:sz="4" w:space="0" w:color="auto"/>
              <w:bottom w:val="single" w:sz="2" w:space="0" w:color="FFFFFF"/>
            </w:tcBorders>
          </w:tcPr>
          <w:p w14:paraId="2704E52B" w14:textId="77777777" w:rsidR="00D14D07" w:rsidRPr="00F8330C" w:rsidRDefault="00D14D07" w:rsidP="00D14D07">
            <w:pPr>
              <w:keepNext/>
              <w:spacing w:after="0"/>
              <w:ind w:left="172"/>
              <w:rPr>
                <w:rFonts w:cs="Arial"/>
                <w:sz w:val="20"/>
              </w:rPr>
            </w:pPr>
            <w:r w:rsidRPr="00F8330C">
              <w:rPr>
                <w:rFonts w:cs="Arial"/>
                <w:sz w:val="20"/>
              </w:rPr>
              <w:t>Median number of skin-directed therapies (range)</w:t>
            </w:r>
          </w:p>
        </w:tc>
        <w:tc>
          <w:tcPr>
            <w:tcW w:w="3119" w:type="dxa"/>
            <w:tcBorders>
              <w:top w:val="single" w:sz="2" w:space="0" w:color="FFFFFF"/>
              <w:right w:val="single" w:sz="4" w:space="0" w:color="auto"/>
            </w:tcBorders>
          </w:tcPr>
          <w:p w14:paraId="01D85F2B" w14:textId="77777777" w:rsidR="00D14D07" w:rsidRPr="00F8330C" w:rsidRDefault="00D14D07" w:rsidP="00D14D07">
            <w:pPr>
              <w:keepNext/>
              <w:spacing w:after="0"/>
              <w:jc w:val="center"/>
              <w:rPr>
                <w:rFonts w:cs="Arial"/>
                <w:sz w:val="20"/>
              </w:rPr>
            </w:pPr>
            <w:r w:rsidRPr="00F8330C">
              <w:rPr>
                <w:rFonts w:cs="Arial"/>
                <w:sz w:val="20"/>
              </w:rPr>
              <w:t>1 (0-6)</w:t>
            </w:r>
          </w:p>
        </w:tc>
        <w:tc>
          <w:tcPr>
            <w:tcW w:w="2268" w:type="dxa"/>
            <w:tcBorders>
              <w:top w:val="single" w:sz="2" w:space="0" w:color="FFFFFF"/>
              <w:right w:val="single" w:sz="4" w:space="0" w:color="auto"/>
            </w:tcBorders>
          </w:tcPr>
          <w:p w14:paraId="64C79F1B" w14:textId="77777777" w:rsidR="00D14D07" w:rsidRPr="00F8330C" w:rsidRDefault="00D14D07" w:rsidP="00D14D07">
            <w:pPr>
              <w:keepNext/>
              <w:spacing w:after="0"/>
              <w:jc w:val="center"/>
              <w:rPr>
                <w:rFonts w:cs="Arial"/>
                <w:sz w:val="20"/>
              </w:rPr>
            </w:pPr>
            <w:r w:rsidRPr="00F8330C">
              <w:rPr>
                <w:rFonts w:cs="Arial"/>
                <w:sz w:val="20"/>
              </w:rPr>
              <w:t>1 (0-9)</w:t>
            </w:r>
          </w:p>
        </w:tc>
      </w:tr>
      <w:tr w:rsidR="00D14D07" w:rsidRPr="009722AB" w14:paraId="6837C1C6" w14:textId="77777777" w:rsidTr="00D14D07">
        <w:trPr>
          <w:trHeight w:val="128"/>
          <w:jc w:val="center"/>
        </w:trPr>
        <w:tc>
          <w:tcPr>
            <w:tcW w:w="4132" w:type="dxa"/>
            <w:tcBorders>
              <w:top w:val="single" w:sz="2" w:space="0" w:color="FFFFFF"/>
              <w:left w:val="single" w:sz="4" w:space="0" w:color="auto"/>
              <w:bottom w:val="single" w:sz="4" w:space="0" w:color="auto"/>
            </w:tcBorders>
          </w:tcPr>
          <w:p w14:paraId="145771A1" w14:textId="77777777" w:rsidR="00D14D07" w:rsidRPr="00F8330C" w:rsidRDefault="00D14D07" w:rsidP="00D14D07">
            <w:pPr>
              <w:keepNext/>
              <w:spacing w:after="0"/>
              <w:ind w:left="172"/>
              <w:rPr>
                <w:rFonts w:cs="Arial"/>
                <w:sz w:val="20"/>
              </w:rPr>
            </w:pPr>
            <w:r w:rsidRPr="00F8330C">
              <w:rPr>
                <w:rFonts w:cs="Arial"/>
                <w:sz w:val="20"/>
              </w:rPr>
              <w:t>Median number of systemic therapies (range)</w:t>
            </w:r>
          </w:p>
        </w:tc>
        <w:tc>
          <w:tcPr>
            <w:tcW w:w="3119" w:type="dxa"/>
            <w:tcBorders>
              <w:bottom w:val="single" w:sz="4" w:space="0" w:color="auto"/>
              <w:right w:val="single" w:sz="4" w:space="0" w:color="auto"/>
            </w:tcBorders>
          </w:tcPr>
          <w:p w14:paraId="79AEEC0D" w14:textId="77777777" w:rsidR="00D14D07" w:rsidRPr="00F8330C" w:rsidRDefault="00D14D07" w:rsidP="00D14D07">
            <w:pPr>
              <w:keepNext/>
              <w:spacing w:after="0"/>
              <w:jc w:val="center"/>
              <w:rPr>
                <w:rFonts w:cs="Arial"/>
                <w:sz w:val="20"/>
              </w:rPr>
            </w:pPr>
            <w:r w:rsidRPr="00F8330C">
              <w:rPr>
                <w:rFonts w:cs="Arial"/>
                <w:sz w:val="20"/>
              </w:rPr>
              <w:t>2 (0-11)</w:t>
            </w:r>
          </w:p>
        </w:tc>
        <w:tc>
          <w:tcPr>
            <w:tcW w:w="2268" w:type="dxa"/>
            <w:tcBorders>
              <w:bottom w:val="single" w:sz="4" w:space="0" w:color="auto"/>
              <w:right w:val="single" w:sz="4" w:space="0" w:color="auto"/>
            </w:tcBorders>
          </w:tcPr>
          <w:p w14:paraId="46A2A243" w14:textId="77777777" w:rsidR="00D14D07" w:rsidRPr="00F8330C" w:rsidRDefault="00D14D07" w:rsidP="00D14D07">
            <w:pPr>
              <w:keepNext/>
              <w:spacing w:after="0"/>
              <w:jc w:val="center"/>
              <w:rPr>
                <w:rFonts w:cs="Arial"/>
                <w:sz w:val="20"/>
              </w:rPr>
            </w:pPr>
            <w:r w:rsidRPr="00F8330C">
              <w:rPr>
                <w:rFonts w:cs="Arial"/>
                <w:sz w:val="20"/>
              </w:rPr>
              <w:t>2 (1-8)</w:t>
            </w:r>
          </w:p>
        </w:tc>
      </w:tr>
    </w:tbl>
    <w:p w14:paraId="3E11B62D" w14:textId="77777777" w:rsidR="00F64DC5" w:rsidRDefault="00F64DC5" w:rsidP="00CF7106">
      <w:pPr>
        <w:spacing w:after="0"/>
      </w:pPr>
    </w:p>
    <w:p w14:paraId="4886AFBE" w14:textId="60F918E1" w:rsidR="00F64DC5" w:rsidRPr="0085274E" w:rsidRDefault="00A135AE" w:rsidP="00F64DC5">
      <w:r w:rsidRPr="00A135AE">
        <w:t>The primary endpoint was objective response rate that lasts at least 4 months (ORR4) (duration from first response to last response ≥ 4 months), as determined by an independent review of the Global Response Score (GRS) consisting of skin evaluations (modified severity weighted assessment tool [</w:t>
      </w:r>
      <w:proofErr w:type="spellStart"/>
      <w:r w:rsidRPr="00A135AE">
        <w:t>mSWAT</w:t>
      </w:r>
      <w:proofErr w:type="spellEnd"/>
      <w:r w:rsidRPr="00A135AE">
        <w:t xml:space="preserve">] assessment), nodal and visceral radiographic assessment, and detection of circulating </w:t>
      </w:r>
      <w:proofErr w:type="spellStart"/>
      <w:r w:rsidRPr="0085274E">
        <w:t>Sézary</w:t>
      </w:r>
      <w:proofErr w:type="spellEnd"/>
      <w:r w:rsidRPr="0085274E">
        <w:t xml:space="preserve"> cells. The ORR4 was significantly higher in the ADCETRIS arm compared to the physician’s choice arm (56.3% vs 12.5%, p&lt;0.001). </w:t>
      </w:r>
      <w:r w:rsidR="00BB3E4E">
        <w:fldChar w:fldCharType="begin"/>
      </w:r>
      <w:r w:rsidR="00BB3E4E">
        <w:instrText xml:space="preserve"> REF _Ref147567331 \h </w:instrText>
      </w:r>
      <w:r w:rsidR="00BB3E4E">
        <w:fldChar w:fldCharType="separate"/>
      </w:r>
      <w:r w:rsidR="001E2FAC" w:rsidRPr="00BB3E4E">
        <w:rPr>
          <w:szCs w:val="22"/>
        </w:rPr>
        <w:t xml:space="preserve">Table </w:t>
      </w:r>
      <w:r w:rsidR="001E2FAC">
        <w:rPr>
          <w:noProof/>
          <w:szCs w:val="22"/>
        </w:rPr>
        <w:t>21</w:t>
      </w:r>
      <w:r w:rsidR="00BB3E4E">
        <w:fldChar w:fldCharType="end"/>
      </w:r>
      <w:r w:rsidR="00BB3E4E">
        <w:t xml:space="preserve"> </w:t>
      </w:r>
      <w:r w:rsidRPr="0085274E">
        <w:t>includes the results for ORR4 and other key secondary endpoints.</w:t>
      </w:r>
    </w:p>
    <w:p w14:paraId="235562F0" w14:textId="61779BB4" w:rsidR="00BB3E4E" w:rsidRDefault="00BB3E4E" w:rsidP="002B0A45">
      <w:pPr>
        <w:pStyle w:val="Caption"/>
        <w:keepNext/>
        <w:spacing w:after="0"/>
      </w:pPr>
    </w:p>
    <w:p w14:paraId="1DC151B4" w14:textId="1667627C" w:rsidR="00BB3E4E" w:rsidRPr="00BB3E4E" w:rsidRDefault="00BB3E4E" w:rsidP="008C2D23">
      <w:pPr>
        <w:pStyle w:val="Caption"/>
        <w:keepNext/>
        <w:spacing w:after="0"/>
        <w:rPr>
          <w:sz w:val="22"/>
          <w:szCs w:val="22"/>
        </w:rPr>
      </w:pPr>
      <w:bookmarkStart w:id="49" w:name="_Ref147567331"/>
      <w:r w:rsidRPr="00BB3E4E">
        <w:rPr>
          <w:sz w:val="22"/>
          <w:szCs w:val="22"/>
        </w:rPr>
        <w:t xml:space="preserve">Table </w:t>
      </w:r>
      <w:r w:rsidRPr="00BB3E4E">
        <w:rPr>
          <w:sz w:val="22"/>
          <w:szCs w:val="22"/>
        </w:rPr>
        <w:fldChar w:fldCharType="begin"/>
      </w:r>
      <w:r w:rsidRPr="00BB3E4E">
        <w:rPr>
          <w:sz w:val="22"/>
          <w:szCs w:val="22"/>
        </w:rPr>
        <w:instrText xml:space="preserve"> SEQ Table \* ARABIC </w:instrText>
      </w:r>
      <w:r w:rsidRPr="00BB3E4E">
        <w:rPr>
          <w:sz w:val="22"/>
          <w:szCs w:val="22"/>
        </w:rPr>
        <w:fldChar w:fldCharType="separate"/>
      </w:r>
      <w:r w:rsidR="001E2FAC">
        <w:rPr>
          <w:noProof/>
          <w:sz w:val="22"/>
          <w:szCs w:val="22"/>
        </w:rPr>
        <w:t>21</w:t>
      </w:r>
      <w:r w:rsidRPr="00BB3E4E">
        <w:rPr>
          <w:sz w:val="22"/>
          <w:szCs w:val="22"/>
        </w:rPr>
        <w:fldChar w:fldCharType="end"/>
      </w:r>
      <w:bookmarkEnd w:id="49"/>
      <w:r w:rsidRPr="00BB3E4E" w:rsidDel="00BB3E4E">
        <w:rPr>
          <w:sz w:val="22"/>
          <w:szCs w:val="22"/>
        </w:rPr>
        <w:t xml:space="preserve"> </w:t>
      </w:r>
      <w:r w:rsidRPr="00BB3E4E" w:rsidDel="00BB3E4E">
        <w:rPr>
          <w:sz w:val="22"/>
          <w:szCs w:val="22"/>
        </w:rPr>
        <w:tab/>
      </w:r>
      <w:r w:rsidRPr="00BB3E4E">
        <w:rPr>
          <w:sz w:val="22"/>
          <w:szCs w:val="22"/>
        </w:rPr>
        <w:t xml:space="preserve">Efficacy Results in CTCL Patients Treated with 1.8 mg/kg of ADCETRIS Every </w:t>
      </w:r>
      <w:r w:rsidRPr="00BB3E4E">
        <w:rPr>
          <w:sz w:val="22"/>
          <w:szCs w:val="22"/>
        </w:rPr>
        <w:tab/>
      </w:r>
      <w:r w:rsidRPr="00BB3E4E">
        <w:rPr>
          <w:sz w:val="22"/>
          <w:szCs w:val="22"/>
        </w:rPr>
        <w:tab/>
        <w:t>3 Weeks (ITT Population)</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69"/>
        <w:gridCol w:w="1842"/>
        <w:gridCol w:w="1985"/>
        <w:gridCol w:w="231"/>
        <w:gridCol w:w="2091"/>
      </w:tblGrid>
      <w:tr w:rsidR="00A135AE" w:rsidRPr="00D31348" w14:paraId="17291ABD" w14:textId="77777777" w:rsidTr="00A135AE">
        <w:trPr>
          <w:jc w:val="center"/>
        </w:trPr>
        <w:tc>
          <w:tcPr>
            <w:tcW w:w="3369" w:type="dxa"/>
            <w:tcBorders>
              <w:top w:val="single" w:sz="4" w:space="0" w:color="auto"/>
              <w:bottom w:val="single" w:sz="4" w:space="0" w:color="auto"/>
              <w:right w:val="nil"/>
            </w:tcBorders>
          </w:tcPr>
          <w:p w14:paraId="0E4375F8" w14:textId="77777777" w:rsidR="00A135AE" w:rsidRPr="00F8330C" w:rsidRDefault="00A135AE" w:rsidP="00A135AE">
            <w:pPr>
              <w:keepNext/>
              <w:keepLines/>
              <w:spacing w:after="0"/>
              <w:rPr>
                <w:rFonts w:cs="Arial"/>
                <w:b/>
                <w:sz w:val="20"/>
              </w:rPr>
            </w:pPr>
          </w:p>
          <w:p w14:paraId="4D11592D" w14:textId="77777777" w:rsidR="00A135AE" w:rsidRPr="00F8330C" w:rsidRDefault="00A135AE" w:rsidP="00A135AE">
            <w:pPr>
              <w:keepNext/>
              <w:keepLines/>
              <w:spacing w:after="0"/>
              <w:rPr>
                <w:rFonts w:cs="Arial"/>
                <w:b/>
                <w:sz w:val="20"/>
              </w:rPr>
            </w:pPr>
          </w:p>
          <w:p w14:paraId="2D96E206" w14:textId="77777777" w:rsidR="00A135AE" w:rsidRPr="00F8330C" w:rsidRDefault="00A135AE" w:rsidP="00A135AE">
            <w:pPr>
              <w:keepNext/>
              <w:keepLines/>
              <w:spacing w:after="0"/>
              <w:rPr>
                <w:rFonts w:cs="Arial"/>
                <w:b/>
                <w:sz w:val="20"/>
              </w:rPr>
            </w:pPr>
          </w:p>
          <w:p w14:paraId="1069CF62" w14:textId="77777777" w:rsidR="00A135AE" w:rsidRPr="00F8330C" w:rsidRDefault="00A135AE" w:rsidP="00A135AE">
            <w:pPr>
              <w:keepNext/>
              <w:keepLines/>
              <w:spacing w:after="0"/>
              <w:rPr>
                <w:rFonts w:cs="Arial"/>
                <w:b/>
                <w:sz w:val="20"/>
              </w:rPr>
            </w:pPr>
          </w:p>
        </w:tc>
        <w:tc>
          <w:tcPr>
            <w:tcW w:w="1842" w:type="dxa"/>
            <w:tcBorders>
              <w:top w:val="single" w:sz="4" w:space="0" w:color="auto"/>
              <w:left w:val="nil"/>
              <w:bottom w:val="single" w:sz="4" w:space="0" w:color="auto"/>
              <w:right w:val="nil"/>
            </w:tcBorders>
          </w:tcPr>
          <w:p w14:paraId="464595DA" w14:textId="77777777" w:rsidR="00A135AE" w:rsidRPr="00F8330C" w:rsidRDefault="00A135AE" w:rsidP="00A135AE">
            <w:pPr>
              <w:keepNext/>
              <w:keepLines/>
              <w:spacing w:after="0"/>
              <w:jc w:val="center"/>
              <w:rPr>
                <w:rFonts w:cs="Arial"/>
                <w:b/>
                <w:sz w:val="20"/>
              </w:rPr>
            </w:pPr>
            <w:r w:rsidRPr="00F8330C">
              <w:rPr>
                <w:rFonts w:cs="Arial"/>
                <w:b/>
                <w:sz w:val="20"/>
              </w:rPr>
              <w:t xml:space="preserve">ADCETRIS   </w:t>
            </w:r>
            <w:proofErr w:type="gramStart"/>
            <w:r w:rsidRPr="00F8330C">
              <w:rPr>
                <w:rFonts w:cs="Arial"/>
                <w:b/>
                <w:sz w:val="20"/>
              </w:rPr>
              <w:t xml:space="preserve">   (</w:t>
            </w:r>
            <w:proofErr w:type="gramEnd"/>
            <w:r w:rsidRPr="00F8330C">
              <w:rPr>
                <w:rFonts w:cs="Arial"/>
                <w:b/>
                <w:sz w:val="20"/>
              </w:rPr>
              <w:t>N=64)</w:t>
            </w:r>
          </w:p>
        </w:tc>
        <w:tc>
          <w:tcPr>
            <w:tcW w:w="1985" w:type="dxa"/>
            <w:tcBorders>
              <w:top w:val="single" w:sz="4" w:space="0" w:color="auto"/>
              <w:left w:val="nil"/>
              <w:bottom w:val="single" w:sz="4" w:space="0" w:color="auto"/>
              <w:right w:val="nil"/>
            </w:tcBorders>
          </w:tcPr>
          <w:p w14:paraId="7692AF53" w14:textId="77777777" w:rsidR="00A135AE" w:rsidRPr="00F8330C" w:rsidRDefault="00A135AE" w:rsidP="00A135AE">
            <w:pPr>
              <w:keepNext/>
              <w:keepLines/>
              <w:spacing w:after="0"/>
              <w:rPr>
                <w:rFonts w:cs="Arial"/>
                <w:b/>
                <w:sz w:val="20"/>
              </w:rPr>
            </w:pPr>
          </w:p>
        </w:tc>
        <w:tc>
          <w:tcPr>
            <w:tcW w:w="2322" w:type="dxa"/>
            <w:gridSpan w:val="2"/>
            <w:tcBorders>
              <w:top w:val="single" w:sz="4" w:space="0" w:color="auto"/>
              <w:left w:val="nil"/>
              <w:bottom w:val="single" w:sz="4" w:space="0" w:color="auto"/>
            </w:tcBorders>
          </w:tcPr>
          <w:p w14:paraId="745CE8E7" w14:textId="77777777" w:rsidR="00A135AE" w:rsidRPr="00F8330C" w:rsidRDefault="00A135AE" w:rsidP="00A135AE">
            <w:pPr>
              <w:keepNext/>
              <w:keepLines/>
              <w:spacing w:after="0"/>
              <w:jc w:val="center"/>
              <w:rPr>
                <w:rFonts w:cs="Arial"/>
                <w:b/>
                <w:sz w:val="20"/>
              </w:rPr>
            </w:pPr>
            <w:r>
              <w:rPr>
                <w:rFonts w:cs="Arial"/>
                <w:b/>
                <w:sz w:val="20"/>
              </w:rPr>
              <w:t>Physician’s Choice (Metho</w:t>
            </w:r>
            <w:r w:rsidRPr="00F8330C">
              <w:rPr>
                <w:rFonts w:cs="Arial"/>
                <w:b/>
                <w:sz w:val="20"/>
              </w:rPr>
              <w:t xml:space="preserve">trexate or Bexarotene) </w:t>
            </w:r>
          </w:p>
          <w:p w14:paraId="2B5FD989" w14:textId="77777777" w:rsidR="00A135AE" w:rsidRPr="00F8330C" w:rsidRDefault="00A135AE" w:rsidP="00A135AE">
            <w:pPr>
              <w:keepNext/>
              <w:keepLines/>
              <w:spacing w:after="0"/>
              <w:jc w:val="center"/>
              <w:rPr>
                <w:rFonts w:cs="Arial"/>
                <w:b/>
                <w:sz w:val="20"/>
              </w:rPr>
            </w:pPr>
            <w:r w:rsidRPr="00F8330C">
              <w:rPr>
                <w:rFonts w:cs="Arial"/>
                <w:b/>
                <w:sz w:val="20"/>
              </w:rPr>
              <w:t>N=64</w:t>
            </w:r>
          </w:p>
        </w:tc>
      </w:tr>
      <w:tr w:rsidR="00A135AE" w:rsidRPr="009722AB" w14:paraId="7E93BA07" w14:textId="77777777" w:rsidTr="00A135AE">
        <w:trPr>
          <w:jc w:val="center"/>
        </w:trPr>
        <w:tc>
          <w:tcPr>
            <w:tcW w:w="9518" w:type="dxa"/>
            <w:gridSpan w:val="5"/>
            <w:tcBorders>
              <w:top w:val="single" w:sz="4" w:space="0" w:color="auto"/>
              <w:bottom w:val="single" w:sz="4" w:space="0" w:color="auto"/>
            </w:tcBorders>
          </w:tcPr>
          <w:p w14:paraId="1EF38075" w14:textId="77777777" w:rsidR="00A135AE" w:rsidRPr="00F8330C" w:rsidRDefault="00A135AE" w:rsidP="00A135AE">
            <w:pPr>
              <w:keepNext/>
              <w:keepLines/>
              <w:spacing w:after="0"/>
              <w:rPr>
                <w:rFonts w:cs="Arial"/>
                <w:b/>
                <w:sz w:val="20"/>
              </w:rPr>
            </w:pPr>
            <w:r w:rsidRPr="00F8330C">
              <w:rPr>
                <w:rFonts w:cs="Arial"/>
                <w:b/>
                <w:sz w:val="20"/>
              </w:rPr>
              <w:t>Objective Response Rate lasting at least 4 months (ORR4) per IRF</w:t>
            </w:r>
          </w:p>
        </w:tc>
      </w:tr>
      <w:tr w:rsidR="00A135AE" w:rsidRPr="009722AB" w14:paraId="63F97DFE" w14:textId="77777777" w:rsidTr="00A135AE">
        <w:trPr>
          <w:jc w:val="center"/>
        </w:trPr>
        <w:tc>
          <w:tcPr>
            <w:tcW w:w="3369" w:type="dxa"/>
            <w:tcBorders>
              <w:top w:val="single" w:sz="4" w:space="0" w:color="auto"/>
              <w:bottom w:val="nil"/>
              <w:right w:val="nil"/>
            </w:tcBorders>
          </w:tcPr>
          <w:p w14:paraId="0454A139" w14:textId="77777777" w:rsidR="00A135AE" w:rsidRPr="00F8330C" w:rsidRDefault="00A135AE" w:rsidP="00A135AE">
            <w:pPr>
              <w:keepNext/>
              <w:keepLines/>
              <w:spacing w:after="0"/>
              <w:rPr>
                <w:rFonts w:cs="Arial"/>
                <w:sz w:val="20"/>
              </w:rPr>
            </w:pPr>
            <w:r w:rsidRPr="00F8330C">
              <w:rPr>
                <w:rFonts w:cs="Arial"/>
                <w:sz w:val="20"/>
              </w:rPr>
              <w:t>N (%)</w:t>
            </w:r>
          </w:p>
          <w:p w14:paraId="3DB9B2CB" w14:textId="77777777" w:rsidR="00A135AE" w:rsidRPr="00F8330C" w:rsidRDefault="00A135AE" w:rsidP="00A135AE">
            <w:pPr>
              <w:keepNext/>
              <w:keepLines/>
              <w:spacing w:after="0"/>
              <w:rPr>
                <w:rFonts w:cs="Arial"/>
                <w:sz w:val="20"/>
              </w:rPr>
            </w:pPr>
            <w:r w:rsidRPr="00F8330C">
              <w:rPr>
                <w:rFonts w:cs="Arial"/>
                <w:sz w:val="20"/>
              </w:rPr>
              <w:t>Percent Difference (95% CI)</w:t>
            </w:r>
          </w:p>
        </w:tc>
        <w:tc>
          <w:tcPr>
            <w:tcW w:w="1842" w:type="dxa"/>
            <w:tcBorders>
              <w:top w:val="single" w:sz="4" w:space="0" w:color="auto"/>
              <w:left w:val="nil"/>
              <w:bottom w:val="nil"/>
              <w:right w:val="nil"/>
            </w:tcBorders>
          </w:tcPr>
          <w:p w14:paraId="180CDA3C" w14:textId="77777777" w:rsidR="00A135AE" w:rsidRPr="00F8330C" w:rsidRDefault="00A135AE" w:rsidP="00A135AE">
            <w:pPr>
              <w:keepNext/>
              <w:keepLines/>
              <w:spacing w:after="0"/>
              <w:jc w:val="center"/>
              <w:rPr>
                <w:rFonts w:cs="Arial"/>
                <w:sz w:val="20"/>
              </w:rPr>
            </w:pPr>
            <w:r w:rsidRPr="00F8330C">
              <w:rPr>
                <w:rFonts w:cs="Arial"/>
                <w:sz w:val="20"/>
              </w:rPr>
              <w:t>36 (56.3)</w:t>
            </w:r>
          </w:p>
        </w:tc>
        <w:tc>
          <w:tcPr>
            <w:tcW w:w="2216" w:type="dxa"/>
            <w:gridSpan w:val="2"/>
            <w:tcBorders>
              <w:top w:val="single" w:sz="4" w:space="0" w:color="auto"/>
              <w:left w:val="nil"/>
              <w:bottom w:val="nil"/>
              <w:right w:val="nil"/>
            </w:tcBorders>
          </w:tcPr>
          <w:p w14:paraId="401CE406" w14:textId="77777777" w:rsidR="00A135AE" w:rsidRPr="00F8330C" w:rsidRDefault="00A135AE" w:rsidP="00A135AE">
            <w:pPr>
              <w:keepNext/>
              <w:keepLines/>
              <w:spacing w:after="0"/>
              <w:jc w:val="center"/>
              <w:rPr>
                <w:rFonts w:cs="Arial"/>
                <w:sz w:val="20"/>
              </w:rPr>
            </w:pPr>
          </w:p>
          <w:p w14:paraId="2F6484CF" w14:textId="77777777" w:rsidR="00A135AE" w:rsidRPr="00F8330C" w:rsidRDefault="00A135AE" w:rsidP="00A135AE">
            <w:pPr>
              <w:keepNext/>
              <w:keepLines/>
              <w:spacing w:after="0"/>
              <w:jc w:val="center"/>
              <w:rPr>
                <w:rFonts w:cs="Arial"/>
                <w:sz w:val="20"/>
              </w:rPr>
            </w:pPr>
            <w:r w:rsidRPr="00F8330C">
              <w:rPr>
                <w:rFonts w:cs="Arial"/>
                <w:sz w:val="20"/>
              </w:rPr>
              <w:t>43.8 (29.1, 58.4)</w:t>
            </w:r>
          </w:p>
        </w:tc>
        <w:tc>
          <w:tcPr>
            <w:tcW w:w="2091" w:type="dxa"/>
            <w:tcBorders>
              <w:top w:val="single" w:sz="4" w:space="0" w:color="auto"/>
              <w:left w:val="nil"/>
              <w:bottom w:val="nil"/>
            </w:tcBorders>
          </w:tcPr>
          <w:p w14:paraId="3E47CFBE" w14:textId="77777777" w:rsidR="00A135AE" w:rsidRPr="00F8330C" w:rsidRDefault="00A135AE" w:rsidP="00A135AE">
            <w:pPr>
              <w:keepNext/>
              <w:keepLines/>
              <w:spacing w:after="0"/>
              <w:jc w:val="center"/>
              <w:rPr>
                <w:rFonts w:cs="Arial"/>
                <w:sz w:val="20"/>
              </w:rPr>
            </w:pPr>
            <w:r w:rsidRPr="00F8330C">
              <w:rPr>
                <w:rFonts w:cs="Arial"/>
                <w:sz w:val="20"/>
              </w:rPr>
              <w:t>8 (12.5)</w:t>
            </w:r>
          </w:p>
        </w:tc>
      </w:tr>
      <w:tr w:rsidR="00A135AE" w:rsidRPr="009722AB" w14:paraId="10EFD46F" w14:textId="77777777" w:rsidTr="00A135AE">
        <w:trPr>
          <w:jc w:val="center"/>
        </w:trPr>
        <w:tc>
          <w:tcPr>
            <w:tcW w:w="3369" w:type="dxa"/>
            <w:tcBorders>
              <w:top w:val="nil"/>
              <w:bottom w:val="single" w:sz="4" w:space="0" w:color="auto"/>
              <w:right w:val="nil"/>
            </w:tcBorders>
          </w:tcPr>
          <w:p w14:paraId="75636E89" w14:textId="77777777" w:rsidR="00A135AE" w:rsidRPr="00F8330C" w:rsidRDefault="00A135AE" w:rsidP="00A135AE">
            <w:pPr>
              <w:keepNext/>
              <w:keepLines/>
              <w:spacing w:after="0"/>
              <w:rPr>
                <w:rFonts w:cs="Arial"/>
                <w:sz w:val="20"/>
              </w:rPr>
            </w:pPr>
            <w:r w:rsidRPr="00F8330C">
              <w:rPr>
                <w:rFonts w:cs="Arial"/>
                <w:sz w:val="20"/>
              </w:rPr>
              <w:t>p-value</w:t>
            </w:r>
          </w:p>
        </w:tc>
        <w:tc>
          <w:tcPr>
            <w:tcW w:w="1842" w:type="dxa"/>
            <w:tcBorders>
              <w:top w:val="nil"/>
              <w:left w:val="nil"/>
              <w:bottom w:val="single" w:sz="4" w:space="0" w:color="auto"/>
              <w:right w:val="nil"/>
            </w:tcBorders>
          </w:tcPr>
          <w:p w14:paraId="029461E1" w14:textId="77777777" w:rsidR="00A135AE" w:rsidRPr="00F8330C" w:rsidRDefault="00A135AE" w:rsidP="00A135AE">
            <w:pPr>
              <w:keepNext/>
              <w:keepLines/>
              <w:spacing w:after="0"/>
              <w:jc w:val="center"/>
              <w:rPr>
                <w:rFonts w:cs="Arial"/>
                <w:sz w:val="20"/>
              </w:rPr>
            </w:pPr>
          </w:p>
        </w:tc>
        <w:tc>
          <w:tcPr>
            <w:tcW w:w="2216" w:type="dxa"/>
            <w:gridSpan w:val="2"/>
            <w:tcBorders>
              <w:top w:val="nil"/>
              <w:left w:val="nil"/>
              <w:bottom w:val="single" w:sz="4" w:space="0" w:color="auto"/>
              <w:right w:val="nil"/>
            </w:tcBorders>
          </w:tcPr>
          <w:p w14:paraId="117B9BA1" w14:textId="77777777" w:rsidR="00A135AE" w:rsidRPr="00F8330C" w:rsidRDefault="00A135AE" w:rsidP="00A135AE">
            <w:pPr>
              <w:keepNext/>
              <w:keepLines/>
              <w:spacing w:after="0"/>
              <w:jc w:val="center"/>
              <w:rPr>
                <w:rFonts w:cs="Arial"/>
                <w:sz w:val="20"/>
              </w:rPr>
            </w:pPr>
            <w:r>
              <w:rPr>
                <w:rFonts w:cs="Arial"/>
                <w:sz w:val="20"/>
              </w:rPr>
              <w:t>&lt;0.</w:t>
            </w:r>
            <w:r w:rsidRPr="00F8330C">
              <w:rPr>
                <w:rFonts w:cs="Arial"/>
                <w:sz w:val="20"/>
              </w:rPr>
              <w:t>001</w:t>
            </w:r>
          </w:p>
        </w:tc>
        <w:tc>
          <w:tcPr>
            <w:tcW w:w="2091" w:type="dxa"/>
            <w:tcBorders>
              <w:top w:val="nil"/>
              <w:left w:val="nil"/>
              <w:bottom w:val="single" w:sz="4" w:space="0" w:color="auto"/>
            </w:tcBorders>
          </w:tcPr>
          <w:p w14:paraId="4E0E2D62" w14:textId="77777777" w:rsidR="00A135AE" w:rsidRPr="00F8330C" w:rsidRDefault="00A135AE" w:rsidP="00A135AE">
            <w:pPr>
              <w:keepNext/>
              <w:keepLines/>
              <w:spacing w:after="0"/>
              <w:jc w:val="center"/>
              <w:rPr>
                <w:rFonts w:cs="Arial"/>
                <w:sz w:val="20"/>
              </w:rPr>
            </w:pPr>
          </w:p>
        </w:tc>
      </w:tr>
      <w:tr w:rsidR="00A135AE" w:rsidRPr="009722AB" w14:paraId="563A6B0B" w14:textId="77777777" w:rsidTr="00A135AE">
        <w:trPr>
          <w:jc w:val="center"/>
        </w:trPr>
        <w:tc>
          <w:tcPr>
            <w:tcW w:w="9518" w:type="dxa"/>
            <w:gridSpan w:val="5"/>
            <w:tcBorders>
              <w:top w:val="single" w:sz="4" w:space="0" w:color="auto"/>
              <w:bottom w:val="single" w:sz="4" w:space="0" w:color="auto"/>
            </w:tcBorders>
          </w:tcPr>
          <w:p w14:paraId="5BB552E8" w14:textId="77777777" w:rsidR="00A135AE" w:rsidRPr="00F8330C" w:rsidRDefault="00A135AE" w:rsidP="00A135AE">
            <w:pPr>
              <w:keepNext/>
              <w:keepLines/>
              <w:spacing w:after="0"/>
              <w:rPr>
                <w:rFonts w:cs="Arial"/>
                <w:b/>
                <w:sz w:val="20"/>
              </w:rPr>
            </w:pPr>
            <w:r w:rsidRPr="00F8330C">
              <w:rPr>
                <w:rFonts w:cs="Arial"/>
                <w:b/>
                <w:sz w:val="20"/>
              </w:rPr>
              <w:t>Complete Response (CR) per IRF</w:t>
            </w:r>
          </w:p>
        </w:tc>
      </w:tr>
      <w:tr w:rsidR="00A135AE" w:rsidRPr="009722AB" w14:paraId="454C74BB" w14:textId="77777777" w:rsidTr="00A135AE">
        <w:trPr>
          <w:jc w:val="center"/>
        </w:trPr>
        <w:tc>
          <w:tcPr>
            <w:tcW w:w="3369" w:type="dxa"/>
            <w:tcBorders>
              <w:top w:val="single" w:sz="4" w:space="0" w:color="auto"/>
              <w:bottom w:val="nil"/>
              <w:right w:val="nil"/>
            </w:tcBorders>
          </w:tcPr>
          <w:p w14:paraId="1A2959E4" w14:textId="77777777" w:rsidR="00A135AE" w:rsidRPr="00F8330C" w:rsidRDefault="00A135AE" w:rsidP="00A135AE">
            <w:pPr>
              <w:keepNext/>
              <w:keepLines/>
              <w:spacing w:after="0"/>
              <w:rPr>
                <w:rFonts w:cs="Arial"/>
                <w:sz w:val="20"/>
              </w:rPr>
            </w:pPr>
            <w:r w:rsidRPr="00F8330C">
              <w:rPr>
                <w:rFonts w:cs="Arial"/>
                <w:sz w:val="20"/>
              </w:rPr>
              <w:t>N (%)</w:t>
            </w:r>
          </w:p>
          <w:p w14:paraId="3F6A51F3" w14:textId="77777777" w:rsidR="00A135AE" w:rsidRPr="00F8330C" w:rsidRDefault="00A135AE" w:rsidP="00A135AE">
            <w:pPr>
              <w:keepNext/>
              <w:keepLines/>
              <w:spacing w:after="0"/>
              <w:rPr>
                <w:rFonts w:cs="Arial"/>
                <w:sz w:val="20"/>
              </w:rPr>
            </w:pPr>
            <w:r w:rsidRPr="00F8330C">
              <w:rPr>
                <w:rFonts w:cs="Arial"/>
                <w:sz w:val="20"/>
              </w:rPr>
              <w:t>Percent Difference (95% CI)</w:t>
            </w:r>
          </w:p>
        </w:tc>
        <w:tc>
          <w:tcPr>
            <w:tcW w:w="1842" w:type="dxa"/>
            <w:tcBorders>
              <w:top w:val="single" w:sz="4" w:space="0" w:color="auto"/>
              <w:left w:val="nil"/>
              <w:bottom w:val="nil"/>
              <w:right w:val="nil"/>
            </w:tcBorders>
          </w:tcPr>
          <w:p w14:paraId="6CD6B41C" w14:textId="77777777" w:rsidR="00A135AE" w:rsidRPr="00F8330C" w:rsidRDefault="00A135AE" w:rsidP="00A135AE">
            <w:pPr>
              <w:keepNext/>
              <w:keepLines/>
              <w:spacing w:after="0"/>
              <w:jc w:val="center"/>
              <w:rPr>
                <w:rFonts w:cs="Arial"/>
                <w:sz w:val="20"/>
              </w:rPr>
            </w:pPr>
            <w:r w:rsidRPr="00F8330C">
              <w:rPr>
                <w:rFonts w:cs="Arial"/>
                <w:sz w:val="20"/>
              </w:rPr>
              <w:t>10 (15.6)</w:t>
            </w:r>
          </w:p>
        </w:tc>
        <w:tc>
          <w:tcPr>
            <w:tcW w:w="1985" w:type="dxa"/>
            <w:tcBorders>
              <w:top w:val="single" w:sz="4" w:space="0" w:color="auto"/>
              <w:left w:val="nil"/>
              <w:bottom w:val="nil"/>
              <w:right w:val="nil"/>
            </w:tcBorders>
          </w:tcPr>
          <w:p w14:paraId="03C89867" w14:textId="77777777" w:rsidR="00A135AE" w:rsidRPr="00F8330C" w:rsidRDefault="00A135AE" w:rsidP="00A135AE">
            <w:pPr>
              <w:keepNext/>
              <w:keepLines/>
              <w:spacing w:after="0"/>
              <w:jc w:val="center"/>
              <w:rPr>
                <w:rFonts w:cs="Arial"/>
                <w:sz w:val="20"/>
              </w:rPr>
            </w:pPr>
          </w:p>
          <w:p w14:paraId="418B4F35" w14:textId="77777777" w:rsidR="00A135AE" w:rsidRPr="00F8330C" w:rsidRDefault="00A135AE" w:rsidP="00A135AE">
            <w:pPr>
              <w:keepNext/>
              <w:keepLines/>
              <w:spacing w:after="0"/>
              <w:jc w:val="center"/>
              <w:rPr>
                <w:rFonts w:cs="Arial"/>
                <w:sz w:val="20"/>
              </w:rPr>
            </w:pPr>
            <w:r w:rsidRPr="00F8330C">
              <w:rPr>
                <w:rFonts w:cs="Arial"/>
                <w:sz w:val="20"/>
              </w:rPr>
              <w:t>14.1 (-4.0, 31.5)</w:t>
            </w:r>
          </w:p>
        </w:tc>
        <w:tc>
          <w:tcPr>
            <w:tcW w:w="2322" w:type="dxa"/>
            <w:gridSpan w:val="2"/>
            <w:tcBorders>
              <w:top w:val="single" w:sz="4" w:space="0" w:color="auto"/>
              <w:left w:val="nil"/>
              <w:bottom w:val="nil"/>
            </w:tcBorders>
          </w:tcPr>
          <w:p w14:paraId="186A690A" w14:textId="77777777" w:rsidR="00A135AE" w:rsidRPr="00F8330C" w:rsidRDefault="00A135AE" w:rsidP="00A135AE">
            <w:pPr>
              <w:keepNext/>
              <w:keepLines/>
              <w:spacing w:after="0"/>
              <w:jc w:val="center"/>
              <w:rPr>
                <w:rFonts w:cs="Arial"/>
                <w:sz w:val="20"/>
              </w:rPr>
            </w:pPr>
            <w:r w:rsidRPr="00F8330C">
              <w:rPr>
                <w:rFonts w:cs="Arial"/>
                <w:sz w:val="20"/>
              </w:rPr>
              <w:t>1 (1.6)</w:t>
            </w:r>
          </w:p>
        </w:tc>
      </w:tr>
      <w:tr w:rsidR="00A135AE" w:rsidRPr="009722AB" w14:paraId="1D63ACEE" w14:textId="77777777" w:rsidTr="00A135AE">
        <w:trPr>
          <w:trHeight w:val="80"/>
          <w:jc w:val="center"/>
        </w:trPr>
        <w:tc>
          <w:tcPr>
            <w:tcW w:w="3369" w:type="dxa"/>
            <w:tcBorders>
              <w:top w:val="nil"/>
              <w:bottom w:val="single" w:sz="4" w:space="0" w:color="auto"/>
              <w:right w:val="nil"/>
            </w:tcBorders>
          </w:tcPr>
          <w:p w14:paraId="21270A72" w14:textId="77777777" w:rsidR="00A135AE" w:rsidRPr="00F8330C" w:rsidRDefault="00A135AE" w:rsidP="00A135AE">
            <w:pPr>
              <w:keepNext/>
              <w:keepLines/>
              <w:spacing w:after="0"/>
              <w:rPr>
                <w:rFonts w:cs="Arial"/>
                <w:sz w:val="20"/>
                <w:vertAlign w:val="superscript"/>
              </w:rPr>
            </w:pPr>
            <w:r w:rsidRPr="00F8330C">
              <w:rPr>
                <w:rFonts w:cs="Arial"/>
                <w:sz w:val="20"/>
              </w:rPr>
              <w:t>Adjusted p-</w:t>
            </w:r>
            <w:proofErr w:type="spellStart"/>
            <w:r w:rsidRPr="00F8330C">
              <w:rPr>
                <w:rFonts w:cs="Arial"/>
                <w:sz w:val="20"/>
              </w:rPr>
              <w:t>value</w:t>
            </w:r>
            <w:r w:rsidRPr="00F8330C">
              <w:rPr>
                <w:rFonts w:cs="Arial"/>
                <w:sz w:val="20"/>
                <w:vertAlign w:val="superscript"/>
              </w:rPr>
              <w:t>a</w:t>
            </w:r>
            <w:proofErr w:type="spellEnd"/>
          </w:p>
        </w:tc>
        <w:tc>
          <w:tcPr>
            <w:tcW w:w="1842" w:type="dxa"/>
            <w:tcBorders>
              <w:top w:val="nil"/>
              <w:left w:val="nil"/>
              <w:bottom w:val="single" w:sz="4" w:space="0" w:color="auto"/>
              <w:right w:val="nil"/>
            </w:tcBorders>
          </w:tcPr>
          <w:p w14:paraId="71C86917" w14:textId="77777777" w:rsidR="00A135AE" w:rsidRPr="00F8330C" w:rsidRDefault="00A135AE" w:rsidP="00A135AE">
            <w:pPr>
              <w:keepNext/>
              <w:keepLines/>
              <w:spacing w:after="0"/>
              <w:jc w:val="center"/>
              <w:rPr>
                <w:rFonts w:cs="Arial"/>
                <w:sz w:val="20"/>
              </w:rPr>
            </w:pPr>
          </w:p>
        </w:tc>
        <w:tc>
          <w:tcPr>
            <w:tcW w:w="1985" w:type="dxa"/>
            <w:tcBorders>
              <w:top w:val="nil"/>
              <w:left w:val="nil"/>
              <w:bottom w:val="single" w:sz="4" w:space="0" w:color="auto"/>
              <w:right w:val="nil"/>
            </w:tcBorders>
          </w:tcPr>
          <w:p w14:paraId="3074819B" w14:textId="77777777" w:rsidR="00A135AE" w:rsidRPr="00F8330C" w:rsidRDefault="00A135AE" w:rsidP="00A135AE">
            <w:pPr>
              <w:keepNext/>
              <w:keepLines/>
              <w:spacing w:after="0"/>
              <w:jc w:val="center"/>
              <w:rPr>
                <w:rFonts w:cs="Arial"/>
                <w:sz w:val="20"/>
              </w:rPr>
            </w:pPr>
            <w:r w:rsidRPr="00F8330C">
              <w:rPr>
                <w:rFonts w:cs="Arial"/>
                <w:sz w:val="20"/>
              </w:rPr>
              <w:t>0.0046</w:t>
            </w:r>
          </w:p>
        </w:tc>
        <w:tc>
          <w:tcPr>
            <w:tcW w:w="2322" w:type="dxa"/>
            <w:gridSpan w:val="2"/>
            <w:tcBorders>
              <w:top w:val="nil"/>
              <w:left w:val="nil"/>
              <w:bottom w:val="single" w:sz="4" w:space="0" w:color="auto"/>
            </w:tcBorders>
          </w:tcPr>
          <w:p w14:paraId="009CE0AB" w14:textId="77777777" w:rsidR="00A135AE" w:rsidRPr="00F8330C" w:rsidRDefault="00A135AE" w:rsidP="00A135AE">
            <w:pPr>
              <w:keepNext/>
              <w:keepLines/>
              <w:spacing w:after="0"/>
              <w:jc w:val="center"/>
              <w:rPr>
                <w:rFonts w:cs="Arial"/>
                <w:sz w:val="20"/>
              </w:rPr>
            </w:pPr>
          </w:p>
        </w:tc>
      </w:tr>
      <w:tr w:rsidR="00A135AE" w:rsidRPr="009722AB" w14:paraId="2A60C03D" w14:textId="77777777" w:rsidTr="00A135AE">
        <w:trPr>
          <w:trHeight w:val="80"/>
          <w:jc w:val="center"/>
        </w:trPr>
        <w:tc>
          <w:tcPr>
            <w:tcW w:w="9518" w:type="dxa"/>
            <w:gridSpan w:val="5"/>
            <w:tcBorders>
              <w:top w:val="single" w:sz="4" w:space="0" w:color="auto"/>
              <w:bottom w:val="single" w:sz="4" w:space="0" w:color="auto"/>
            </w:tcBorders>
          </w:tcPr>
          <w:p w14:paraId="13EDF1C5" w14:textId="77777777" w:rsidR="00A135AE" w:rsidRPr="00F8330C" w:rsidRDefault="00A135AE" w:rsidP="00A135AE">
            <w:pPr>
              <w:keepNext/>
              <w:keepLines/>
              <w:spacing w:after="0"/>
              <w:rPr>
                <w:rFonts w:cs="Arial"/>
                <w:b/>
                <w:sz w:val="20"/>
              </w:rPr>
            </w:pPr>
            <w:r w:rsidRPr="00F8330C">
              <w:rPr>
                <w:rFonts w:cs="Arial"/>
                <w:b/>
                <w:sz w:val="20"/>
              </w:rPr>
              <w:t>Progression Free Survival (PFS) per IRF</w:t>
            </w:r>
          </w:p>
        </w:tc>
      </w:tr>
      <w:tr w:rsidR="00A135AE" w:rsidRPr="009722AB" w14:paraId="6EC4EAFE" w14:textId="77777777" w:rsidTr="00A135AE">
        <w:trPr>
          <w:trHeight w:val="80"/>
          <w:jc w:val="center"/>
        </w:trPr>
        <w:tc>
          <w:tcPr>
            <w:tcW w:w="3369" w:type="dxa"/>
            <w:tcBorders>
              <w:top w:val="single" w:sz="4" w:space="0" w:color="auto"/>
              <w:bottom w:val="nil"/>
              <w:right w:val="nil"/>
            </w:tcBorders>
          </w:tcPr>
          <w:p w14:paraId="5CBB9FB0" w14:textId="77777777" w:rsidR="00A135AE" w:rsidRPr="00F8330C" w:rsidRDefault="00A135AE" w:rsidP="00A135AE">
            <w:pPr>
              <w:keepNext/>
              <w:keepLines/>
              <w:spacing w:after="0"/>
              <w:rPr>
                <w:rFonts w:cs="Arial"/>
                <w:sz w:val="20"/>
              </w:rPr>
            </w:pPr>
            <w:r w:rsidRPr="00F8330C">
              <w:rPr>
                <w:rFonts w:cs="Arial"/>
                <w:sz w:val="20"/>
              </w:rPr>
              <w:t>Median (months)</w:t>
            </w:r>
          </w:p>
        </w:tc>
        <w:tc>
          <w:tcPr>
            <w:tcW w:w="1842" w:type="dxa"/>
            <w:tcBorders>
              <w:top w:val="single" w:sz="4" w:space="0" w:color="auto"/>
              <w:left w:val="nil"/>
              <w:bottom w:val="nil"/>
              <w:right w:val="nil"/>
            </w:tcBorders>
          </w:tcPr>
          <w:p w14:paraId="24EA1BFC" w14:textId="77777777" w:rsidR="00A135AE" w:rsidRPr="00F8330C" w:rsidRDefault="00A135AE" w:rsidP="00A135AE">
            <w:pPr>
              <w:keepNext/>
              <w:keepLines/>
              <w:spacing w:after="0"/>
              <w:jc w:val="center"/>
              <w:rPr>
                <w:rFonts w:cs="Arial"/>
                <w:sz w:val="20"/>
              </w:rPr>
            </w:pPr>
            <w:r w:rsidRPr="00F8330C">
              <w:rPr>
                <w:rFonts w:cs="Arial"/>
                <w:sz w:val="20"/>
              </w:rPr>
              <w:t>16.7</w:t>
            </w:r>
          </w:p>
        </w:tc>
        <w:tc>
          <w:tcPr>
            <w:tcW w:w="1985" w:type="dxa"/>
            <w:tcBorders>
              <w:top w:val="single" w:sz="4" w:space="0" w:color="auto"/>
              <w:left w:val="nil"/>
              <w:bottom w:val="nil"/>
              <w:right w:val="nil"/>
            </w:tcBorders>
          </w:tcPr>
          <w:p w14:paraId="44406A10" w14:textId="77777777" w:rsidR="00A135AE" w:rsidRPr="00F8330C" w:rsidRDefault="00A135AE" w:rsidP="00A135AE">
            <w:pPr>
              <w:keepNext/>
              <w:keepLines/>
              <w:spacing w:after="0"/>
              <w:jc w:val="center"/>
              <w:rPr>
                <w:rFonts w:cs="Arial"/>
                <w:sz w:val="20"/>
              </w:rPr>
            </w:pPr>
          </w:p>
        </w:tc>
        <w:tc>
          <w:tcPr>
            <w:tcW w:w="2322" w:type="dxa"/>
            <w:gridSpan w:val="2"/>
            <w:tcBorders>
              <w:top w:val="single" w:sz="4" w:space="0" w:color="auto"/>
              <w:left w:val="nil"/>
              <w:bottom w:val="nil"/>
            </w:tcBorders>
          </w:tcPr>
          <w:p w14:paraId="7631C7A5" w14:textId="77777777" w:rsidR="00A135AE" w:rsidRPr="00F8330C" w:rsidRDefault="00A135AE" w:rsidP="00A135AE">
            <w:pPr>
              <w:keepNext/>
              <w:keepLines/>
              <w:spacing w:after="0"/>
              <w:jc w:val="center"/>
              <w:rPr>
                <w:rFonts w:cs="Arial"/>
                <w:sz w:val="20"/>
              </w:rPr>
            </w:pPr>
            <w:r w:rsidRPr="00F8330C">
              <w:rPr>
                <w:rFonts w:cs="Arial"/>
                <w:sz w:val="20"/>
              </w:rPr>
              <w:t>3.5</w:t>
            </w:r>
          </w:p>
        </w:tc>
      </w:tr>
      <w:tr w:rsidR="00A135AE" w:rsidRPr="009722AB" w14:paraId="5AD96C97" w14:textId="77777777" w:rsidTr="00A135AE">
        <w:trPr>
          <w:trHeight w:val="80"/>
          <w:jc w:val="center"/>
        </w:trPr>
        <w:tc>
          <w:tcPr>
            <w:tcW w:w="3369" w:type="dxa"/>
            <w:tcBorders>
              <w:top w:val="nil"/>
              <w:bottom w:val="nil"/>
              <w:right w:val="nil"/>
            </w:tcBorders>
          </w:tcPr>
          <w:p w14:paraId="1377FB67" w14:textId="77777777" w:rsidR="00A135AE" w:rsidRPr="00F8330C" w:rsidRDefault="00A135AE" w:rsidP="00A135AE">
            <w:pPr>
              <w:keepNext/>
              <w:keepLines/>
              <w:spacing w:after="0"/>
              <w:rPr>
                <w:rFonts w:cs="Arial"/>
                <w:sz w:val="20"/>
              </w:rPr>
            </w:pPr>
            <w:r w:rsidRPr="00F8330C">
              <w:rPr>
                <w:rFonts w:cs="Arial"/>
                <w:sz w:val="20"/>
              </w:rPr>
              <w:t>Hazard Ratio</w:t>
            </w:r>
          </w:p>
        </w:tc>
        <w:tc>
          <w:tcPr>
            <w:tcW w:w="1842" w:type="dxa"/>
            <w:tcBorders>
              <w:top w:val="nil"/>
              <w:left w:val="nil"/>
              <w:bottom w:val="nil"/>
              <w:right w:val="nil"/>
            </w:tcBorders>
          </w:tcPr>
          <w:p w14:paraId="7CF44BE5" w14:textId="77777777" w:rsidR="00A135AE" w:rsidRPr="00F8330C" w:rsidRDefault="00A135AE" w:rsidP="00A135AE">
            <w:pPr>
              <w:keepNext/>
              <w:keepLines/>
              <w:spacing w:after="0"/>
              <w:jc w:val="center"/>
              <w:rPr>
                <w:rFonts w:cs="Arial"/>
                <w:sz w:val="20"/>
              </w:rPr>
            </w:pPr>
          </w:p>
        </w:tc>
        <w:tc>
          <w:tcPr>
            <w:tcW w:w="1985" w:type="dxa"/>
            <w:tcBorders>
              <w:top w:val="nil"/>
              <w:left w:val="nil"/>
              <w:bottom w:val="nil"/>
              <w:right w:val="nil"/>
            </w:tcBorders>
          </w:tcPr>
          <w:p w14:paraId="43109A36" w14:textId="77777777" w:rsidR="00A135AE" w:rsidRPr="00F8330C" w:rsidRDefault="00A135AE" w:rsidP="00A135AE">
            <w:pPr>
              <w:keepNext/>
              <w:keepLines/>
              <w:spacing w:after="0"/>
              <w:jc w:val="center"/>
              <w:rPr>
                <w:rFonts w:cs="Arial"/>
                <w:sz w:val="20"/>
              </w:rPr>
            </w:pPr>
            <w:r w:rsidRPr="00F8330C">
              <w:rPr>
                <w:rFonts w:cs="Arial"/>
                <w:sz w:val="20"/>
              </w:rPr>
              <w:t>0.270</w:t>
            </w:r>
          </w:p>
        </w:tc>
        <w:tc>
          <w:tcPr>
            <w:tcW w:w="2322" w:type="dxa"/>
            <w:gridSpan w:val="2"/>
            <w:tcBorders>
              <w:top w:val="nil"/>
              <w:left w:val="nil"/>
              <w:bottom w:val="nil"/>
            </w:tcBorders>
          </w:tcPr>
          <w:p w14:paraId="6EF8D392" w14:textId="77777777" w:rsidR="00A135AE" w:rsidRPr="00F8330C" w:rsidRDefault="00A135AE" w:rsidP="00A135AE">
            <w:pPr>
              <w:keepNext/>
              <w:keepLines/>
              <w:spacing w:after="0"/>
              <w:jc w:val="center"/>
              <w:rPr>
                <w:rFonts w:cs="Arial"/>
                <w:sz w:val="20"/>
              </w:rPr>
            </w:pPr>
          </w:p>
        </w:tc>
      </w:tr>
      <w:tr w:rsidR="00A135AE" w:rsidRPr="009722AB" w14:paraId="42CBDCAA" w14:textId="77777777" w:rsidTr="00A135AE">
        <w:trPr>
          <w:trHeight w:val="80"/>
          <w:jc w:val="center"/>
        </w:trPr>
        <w:tc>
          <w:tcPr>
            <w:tcW w:w="3369" w:type="dxa"/>
            <w:tcBorders>
              <w:top w:val="nil"/>
              <w:bottom w:val="nil"/>
              <w:right w:val="nil"/>
            </w:tcBorders>
          </w:tcPr>
          <w:p w14:paraId="6227D411" w14:textId="77777777" w:rsidR="00A135AE" w:rsidRPr="00F8330C" w:rsidRDefault="00A135AE" w:rsidP="00A135AE">
            <w:pPr>
              <w:keepNext/>
              <w:keepLines/>
              <w:spacing w:after="0"/>
              <w:rPr>
                <w:rFonts w:cs="Arial"/>
                <w:sz w:val="20"/>
              </w:rPr>
            </w:pPr>
            <w:r w:rsidRPr="00F8330C">
              <w:rPr>
                <w:rFonts w:cs="Arial"/>
                <w:sz w:val="20"/>
              </w:rPr>
              <w:t>95% CI</w:t>
            </w:r>
          </w:p>
        </w:tc>
        <w:tc>
          <w:tcPr>
            <w:tcW w:w="1842" w:type="dxa"/>
            <w:tcBorders>
              <w:top w:val="nil"/>
              <w:left w:val="nil"/>
              <w:bottom w:val="nil"/>
              <w:right w:val="nil"/>
            </w:tcBorders>
          </w:tcPr>
          <w:p w14:paraId="2CFF69A4" w14:textId="77777777" w:rsidR="00A135AE" w:rsidRPr="00F8330C" w:rsidRDefault="00A135AE" w:rsidP="00A135AE">
            <w:pPr>
              <w:keepNext/>
              <w:keepLines/>
              <w:spacing w:after="0"/>
              <w:jc w:val="center"/>
              <w:rPr>
                <w:rFonts w:cs="Arial"/>
                <w:sz w:val="20"/>
              </w:rPr>
            </w:pPr>
          </w:p>
        </w:tc>
        <w:tc>
          <w:tcPr>
            <w:tcW w:w="1985" w:type="dxa"/>
            <w:tcBorders>
              <w:top w:val="nil"/>
              <w:left w:val="nil"/>
              <w:bottom w:val="nil"/>
              <w:right w:val="nil"/>
            </w:tcBorders>
          </w:tcPr>
          <w:p w14:paraId="5D848DC5" w14:textId="77777777" w:rsidR="00A135AE" w:rsidRPr="00F8330C" w:rsidRDefault="00A135AE" w:rsidP="00A135AE">
            <w:pPr>
              <w:keepNext/>
              <w:keepLines/>
              <w:spacing w:after="0"/>
              <w:jc w:val="center"/>
              <w:rPr>
                <w:rFonts w:cs="Arial"/>
                <w:sz w:val="20"/>
              </w:rPr>
            </w:pPr>
            <w:r w:rsidRPr="00F8330C">
              <w:rPr>
                <w:rFonts w:cs="Arial"/>
                <w:sz w:val="20"/>
              </w:rPr>
              <w:t>(0.17, 0.43)</w:t>
            </w:r>
          </w:p>
        </w:tc>
        <w:tc>
          <w:tcPr>
            <w:tcW w:w="2322" w:type="dxa"/>
            <w:gridSpan w:val="2"/>
            <w:tcBorders>
              <w:top w:val="nil"/>
              <w:left w:val="nil"/>
              <w:bottom w:val="nil"/>
            </w:tcBorders>
          </w:tcPr>
          <w:p w14:paraId="413FAC90" w14:textId="77777777" w:rsidR="00A135AE" w:rsidRPr="00F8330C" w:rsidRDefault="00A135AE" w:rsidP="00A135AE">
            <w:pPr>
              <w:keepNext/>
              <w:keepLines/>
              <w:spacing w:after="0"/>
              <w:jc w:val="center"/>
              <w:rPr>
                <w:rFonts w:cs="Arial"/>
                <w:sz w:val="20"/>
              </w:rPr>
            </w:pPr>
          </w:p>
        </w:tc>
      </w:tr>
      <w:tr w:rsidR="00A135AE" w:rsidRPr="009722AB" w14:paraId="19B35407" w14:textId="77777777" w:rsidTr="00A135AE">
        <w:trPr>
          <w:trHeight w:val="80"/>
          <w:jc w:val="center"/>
        </w:trPr>
        <w:tc>
          <w:tcPr>
            <w:tcW w:w="3369" w:type="dxa"/>
            <w:tcBorders>
              <w:top w:val="nil"/>
              <w:bottom w:val="single" w:sz="4" w:space="0" w:color="auto"/>
              <w:right w:val="nil"/>
            </w:tcBorders>
          </w:tcPr>
          <w:p w14:paraId="21DD431F" w14:textId="77777777" w:rsidR="00A135AE" w:rsidRPr="00F8330C" w:rsidRDefault="00A135AE" w:rsidP="00A135AE">
            <w:pPr>
              <w:keepNext/>
              <w:keepLines/>
              <w:spacing w:after="0"/>
              <w:rPr>
                <w:rFonts w:cs="Arial"/>
                <w:sz w:val="20"/>
              </w:rPr>
            </w:pPr>
            <w:r w:rsidRPr="00F8330C">
              <w:rPr>
                <w:rFonts w:cs="Arial"/>
                <w:sz w:val="20"/>
              </w:rPr>
              <w:t>Adjusted p-</w:t>
            </w:r>
            <w:proofErr w:type="spellStart"/>
            <w:r w:rsidRPr="00F8330C">
              <w:rPr>
                <w:rFonts w:cs="Arial"/>
                <w:sz w:val="20"/>
              </w:rPr>
              <w:t>value</w:t>
            </w:r>
            <w:r w:rsidRPr="00F8330C">
              <w:rPr>
                <w:rFonts w:cs="Arial"/>
                <w:sz w:val="20"/>
                <w:vertAlign w:val="superscript"/>
              </w:rPr>
              <w:t>a</w:t>
            </w:r>
            <w:proofErr w:type="spellEnd"/>
          </w:p>
        </w:tc>
        <w:tc>
          <w:tcPr>
            <w:tcW w:w="1842" w:type="dxa"/>
            <w:tcBorders>
              <w:top w:val="nil"/>
              <w:left w:val="nil"/>
              <w:bottom w:val="single" w:sz="4" w:space="0" w:color="auto"/>
              <w:right w:val="nil"/>
            </w:tcBorders>
          </w:tcPr>
          <w:p w14:paraId="4064BC2D" w14:textId="77777777" w:rsidR="00A135AE" w:rsidRPr="00F8330C" w:rsidRDefault="00A135AE" w:rsidP="00A135AE">
            <w:pPr>
              <w:keepNext/>
              <w:keepLines/>
              <w:spacing w:after="0"/>
              <w:jc w:val="center"/>
              <w:rPr>
                <w:rFonts w:cs="Arial"/>
                <w:sz w:val="20"/>
              </w:rPr>
            </w:pPr>
          </w:p>
        </w:tc>
        <w:tc>
          <w:tcPr>
            <w:tcW w:w="1985" w:type="dxa"/>
            <w:tcBorders>
              <w:top w:val="nil"/>
              <w:left w:val="nil"/>
              <w:bottom w:val="single" w:sz="4" w:space="0" w:color="auto"/>
              <w:right w:val="nil"/>
            </w:tcBorders>
          </w:tcPr>
          <w:p w14:paraId="7393E1DC" w14:textId="77777777" w:rsidR="00A135AE" w:rsidRPr="00F8330C" w:rsidRDefault="00A135AE" w:rsidP="00A135AE">
            <w:pPr>
              <w:keepNext/>
              <w:keepLines/>
              <w:spacing w:after="0"/>
              <w:jc w:val="center"/>
              <w:rPr>
                <w:rFonts w:cs="Arial"/>
                <w:sz w:val="20"/>
              </w:rPr>
            </w:pPr>
            <w:r w:rsidRPr="00F8330C">
              <w:rPr>
                <w:rFonts w:cs="Arial"/>
                <w:sz w:val="20"/>
              </w:rPr>
              <w:t>&lt;0.001</w:t>
            </w:r>
          </w:p>
        </w:tc>
        <w:tc>
          <w:tcPr>
            <w:tcW w:w="2322" w:type="dxa"/>
            <w:gridSpan w:val="2"/>
            <w:tcBorders>
              <w:top w:val="nil"/>
              <w:left w:val="nil"/>
              <w:bottom w:val="single" w:sz="4" w:space="0" w:color="auto"/>
            </w:tcBorders>
          </w:tcPr>
          <w:p w14:paraId="0B4CBB1F" w14:textId="77777777" w:rsidR="00A135AE" w:rsidRPr="00F8330C" w:rsidRDefault="00A135AE" w:rsidP="00A135AE">
            <w:pPr>
              <w:keepNext/>
              <w:keepLines/>
              <w:spacing w:after="0"/>
              <w:jc w:val="center"/>
              <w:rPr>
                <w:rFonts w:cs="Arial"/>
                <w:sz w:val="20"/>
              </w:rPr>
            </w:pPr>
          </w:p>
        </w:tc>
      </w:tr>
      <w:tr w:rsidR="00A135AE" w:rsidRPr="009722AB" w14:paraId="3BAD3F56" w14:textId="77777777" w:rsidTr="00A135AE">
        <w:trPr>
          <w:jc w:val="center"/>
        </w:trPr>
        <w:tc>
          <w:tcPr>
            <w:tcW w:w="9518" w:type="dxa"/>
            <w:gridSpan w:val="5"/>
            <w:tcBorders>
              <w:top w:val="single" w:sz="4" w:space="0" w:color="auto"/>
              <w:bottom w:val="single" w:sz="4" w:space="0" w:color="auto"/>
            </w:tcBorders>
          </w:tcPr>
          <w:p w14:paraId="0FAB5A20" w14:textId="77777777" w:rsidR="00A135AE" w:rsidRPr="00F8330C" w:rsidRDefault="00A135AE" w:rsidP="00A135AE">
            <w:pPr>
              <w:keepNext/>
              <w:keepLines/>
              <w:spacing w:after="0"/>
              <w:rPr>
                <w:rFonts w:cs="Arial"/>
                <w:b/>
                <w:sz w:val="20"/>
              </w:rPr>
            </w:pPr>
            <w:r w:rsidRPr="00F8330C">
              <w:rPr>
                <w:rFonts w:cs="Arial"/>
                <w:b/>
                <w:sz w:val="20"/>
              </w:rPr>
              <w:t xml:space="preserve">Skindex-29 Symptom </w:t>
            </w:r>
            <w:proofErr w:type="spellStart"/>
            <w:r w:rsidRPr="00F8330C">
              <w:rPr>
                <w:rFonts w:cs="Arial"/>
                <w:b/>
                <w:sz w:val="20"/>
              </w:rPr>
              <w:t>Domain</w:t>
            </w:r>
            <w:r w:rsidRPr="00F8330C">
              <w:rPr>
                <w:rFonts w:cs="Arial"/>
                <w:b/>
                <w:sz w:val="20"/>
                <w:vertAlign w:val="superscript"/>
              </w:rPr>
              <w:t>b</w:t>
            </w:r>
            <w:proofErr w:type="spellEnd"/>
          </w:p>
        </w:tc>
      </w:tr>
      <w:tr w:rsidR="00A135AE" w:rsidRPr="009722AB" w14:paraId="0BAD3105" w14:textId="77777777" w:rsidTr="00A135AE">
        <w:trPr>
          <w:jc w:val="center"/>
        </w:trPr>
        <w:tc>
          <w:tcPr>
            <w:tcW w:w="3369" w:type="dxa"/>
            <w:tcBorders>
              <w:top w:val="single" w:sz="4" w:space="0" w:color="auto"/>
              <w:bottom w:val="nil"/>
              <w:right w:val="nil"/>
            </w:tcBorders>
          </w:tcPr>
          <w:p w14:paraId="0063AB8D" w14:textId="77777777" w:rsidR="00A135AE" w:rsidRPr="00F8330C" w:rsidRDefault="00A135AE" w:rsidP="00A135AE">
            <w:pPr>
              <w:keepNext/>
              <w:keepLines/>
              <w:spacing w:after="0"/>
              <w:jc w:val="left"/>
              <w:rPr>
                <w:rFonts w:cs="Arial"/>
                <w:sz w:val="20"/>
              </w:rPr>
            </w:pPr>
            <w:r w:rsidRPr="00F8330C">
              <w:rPr>
                <w:rFonts w:cs="Arial"/>
                <w:sz w:val="20"/>
              </w:rPr>
              <w:t>Mean maximum reduction from baseline in disease symptoms (points)</w:t>
            </w:r>
          </w:p>
        </w:tc>
        <w:tc>
          <w:tcPr>
            <w:tcW w:w="1842" w:type="dxa"/>
            <w:tcBorders>
              <w:top w:val="single" w:sz="4" w:space="0" w:color="auto"/>
              <w:left w:val="nil"/>
              <w:bottom w:val="nil"/>
              <w:right w:val="nil"/>
            </w:tcBorders>
          </w:tcPr>
          <w:p w14:paraId="0AB8E384" w14:textId="77777777" w:rsidR="00A135AE" w:rsidRPr="00F8330C" w:rsidRDefault="00A135AE" w:rsidP="00A135AE">
            <w:pPr>
              <w:keepNext/>
              <w:keepLines/>
              <w:spacing w:after="0"/>
              <w:jc w:val="center"/>
              <w:rPr>
                <w:rFonts w:cs="Arial"/>
                <w:sz w:val="20"/>
              </w:rPr>
            </w:pPr>
            <w:r w:rsidRPr="00F8330C">
              <w:rPr>
                <w:rFonts w:cs="Arial"/>
                <w:sz w:val="20"/>
              </w:rPr>
              <w:t>-27.96</w:t>
            </w:r>
          </w:p>
        </w:tc>
        <w:tc>
          <w:tcPr>
            <w:tcW w:w="1985" w:type="dxa"/>
            <w:tcBorders>
              <w:top w:val="single" w:sz="4" w:space="0" w:color="auto"/>
              <w:left w:val="nil"/>
              <w:bottom w:val="nil"/>
              <w:right w:val="nil"/>
            </w:tcBorders>
          </w:tcPr>
          <w:p w14:paraId="71FD07A2" w14:textId="77777777" w:rsidR="00A135AE" w:rsidRPr="00F8330C" w:rsidRDefault="00A135AE" w:rsidP="00A135AE">
            <w:pPr>
              <w:keepNext/>
              <w:keepLines/>
              <w:spacing w:after="0"/>
              <w:jc w:val="center"/>
              <w:rPr>
                <w:rFonts w:cs="Arial"/>
                <w:sz w:val="20"/>
              </w:rPr>
            </w:pPr>
          </w:p>
          <w:p w14:paraId="131AC16A" w14:textId="77777777" w:rsidR="00A135AE" w:rsidRPr="00F8330C" w:rsidRDefault="00A135AE" w:rsidP="00A135AE">
            <w:pPr>
              <w:keepNext/>
              <w:keepLines/>
              <w:spacing w:after="0"/>
              <w:jc w:val="center"/>
              <w:rPr>
                <w:rFonts w:cs="Arial"/>
                <w:sz w:val="20"/>
              </w:rPr>
            </w:pPr>
          </w:p>
          <w:p w14:paraId="047AB589" w14:textId="77777777" w:rsidR="00A135AE" w:rsidRPr="00F8330C" w:rsidRDefault="00A135AE" w:rsidP="00A135AE">
            <w:pPr>
              <w:keepNext/>
              <w:keepLines/>
              <w:spacing w:after="0"/>
              <w:jc w:val="center"/>
              <w:rPr>
                <w:rFonts w:cs="Arial"/>
                <w:sz w:val="20"/>
              </w:rPr>
            </w:pPr>
          </w:p>
        </w:tc>
        <w:tc>
          <w:tcPr>
            <w:tcW w:w="2322" w:type="dxa"/>
            <w:gridSpan w:val="2"/>
            <w:tcBorders>
              <w:top w:val="single" w:sz="4" w:space="0" w:color="auto"/>
              <w:left w:val="nil"/>
              <w:bottom w:val="nil"/>
            </w:tcBorders>
          </w:tcPr>
          <w:p w14:paraId="7292FAD2" w14:textId="77777777" w:rsidR="00A135AE" w:rsidRPr="00F8330C" w:rsidRDefault="00A135AE" w:rsidP="00A135AE">
            <w:pPr>
              <w:keepNext/>
              <w:keepLines/>
              <w:spacing w:after="0"/>
              <w:jc w:val="center"/>
              <w:rPr>
                <w:rFonts w:cs="Arial"/>
                <w:sz w:val="20"/>
              </w:rPr>
            </w:pPr>
            <w:r w:rsidRPr="00F8330C">
              <w:rPr>
                <w:rFonts w:cs="Arial"/>
                <w:sz w:val="20"/>
              </w:rPr>
              <w:t>-8.62</w:t>
            </w:r>
          </w:p>
        </w:tc>
      </w:tr>
      <w:tr w:rsidR="00A135AE" w:rsidRPr="009722AB" w14:paraId="6DF26ED4" w14:textId="77777777" w:rsidTr="00A135AE">
        <w:trPr>
          <w:jc w:val="center"/>
        </w:trPr>
        <w:tc>
          <w:tcPr>
            <w:tcW w:w="3369" w:type="dxa"/>
            <w:tcBorders>
              <w:top w:val="nil"/>
              <w:bottom w:val="nil"/>
              <w:right w:val="nil"/>
            </w:tcBorders>
          </w:tcPr>
          <w:p w14:paraId="0E3E417F" w14:textId="77777777" w:rsidR="00A135AE" w:rsidRPr="00F8330C" w:rsidRDefault="00A135AE" w:rsidP="00A135AE">
            <w:pPr>
              <w:keepNext/>
              <w:keepLines/>
              <w:spacing w:after="0"/>
              <w:jc w:val="left"/>
              <w:rPr>
                <w:rFonts w:cs="Arial"/>
                <w:sz w:val="20"/>
              </w:rPr>
            </w:pPr>
            <w:r w:rsidRPr="00F8330C">
              <w:rPr>
                <w:rFonts w:cs="Arial"/>
                <w:sz w:val="20"/>
              </w:rPr>
              <w:t>Difference in maximum reduction (95% CI)</w:t>
            </w:r>
          </w:p>
        </w:tc>
        <w:tc>
          <w:tcPr>
            <w:tcW w:w="1842" w:type="dxa"/>
            <w:tcBorders>
              <w:top w:val="nil"/>
              <w:left w:val="nil"/>
              <w:bottom w:val="nil"/>
              <w:right w:val="nil"/>
            </w:tcBorders>
          </w:tcPr>
          <w:p w14:paraId="05634CDA" w14:textId="77777777" w:rsidR="00A135AE" w:rsidRPr="00F8330C" w:rsidRDefault="00A135AE" w:rsidP="00A135AE">
            <w:pPr>
              <w:keepNext/>
              <w:keepLines/>
              <w:spacing w:after="0"/>
              <w:jc w:val="center"/>
              <w:rPr>
                <w:rFonts w:cs="Arial"/>
                <w:sz w:val="20"/>
              </w:rPr>
            </w:pPr>
          </w:p>
        </w:tc>
        <w:tc>
          <w:tcPr>
            <w:tcW w:w="1985" w:type="dxa"/>
            <w:tcBorders>
              <w:top w:val="nil"/>
              <w:left w:val="nil"/>
              <w:bottom w:val="nil"/>
              <w:right w:val="nil"/>
            </w:tcBorders>
          </w:tcPr>
          <w:p w14:paraId="4D880503" w14:textId="77777777" w:rsidR="00A135AE" w:rsidRPr="00F8330C" w:rsidRDefault="00A135AE" w:rsidP="00A135AE">
            <w:pPr>
              <w:keepNext/>
              <w:keepLines/>
              <w:spacing w:after="0"/>
              <w:jc w:val="center"/>
              <w:rPr>
                <w:rFonts w:cs="Arial"/>
                <w:sz w:val="20"/>
              </w:rPr>
            </w:pPr>
            <w:r w:rsidRPr="00F8330C">
              <w:rPr>
                <w:rFonts w:cs="Arial"/>
                <w:sz w:val="20"/>
              </w:rPr>
              <w:t>-18.9 (-26.6, -11.2)</w:t>
            </w:r>
          </w:p>
        </w:tc>
        <w:tc>
          <w:tcPr>
            <w:tcW w:w="2322" w:type="dxa"/>
            <w:gridSpan w:val="2"/>
            <w:tcBorders>
              <w:top w:val="nil"/>
              <w:left w:val="nil"/>
              <w:bottom w:val="nil"/>
            </w:tcBorders>
          </w:tcPr>
          <w:p w14:paraId="7635184E" w14:textId="77777777" w:rsidR="00A135AE" w:rsidRPr="00F8330C" w:rsidRDefault="00A135AE" w:rsidP="00A135AE">
            <w:pPr>
              <w:keepNext/>
              <w:keepLines/>
              <w:spacing w:after="0"/>
              <w:jc w:val="center"/>
              <w:rPr>
                <w:rFonts w:cs="Arial"/>
                <w:sz w:val="20"/>
              </w:rPr>
            </w:pPr>
          </w:p>
        </w:tc>
      </w:tr>
      <w:tr w:rsidR="00A135AE" w:rsidRPr="009722AB" w14:paraId="0ED33BFA" w14:textId="77777777" w:rsidTr="00A135AE">
        <w:trPr>
          <w:jc w:val="center"/>
        </w:trPr>
        <w:tc>
          <w:tcPr>
            <w:tcW w:w="3369" w:type="dxa"/>
            <w:tcBorders>
              <w:top w:val="nil"/>
              <w:bottom w:val="single" w:sz="4" w:space="0" w:color="auto"/>
              <w:right w:val="nil"/>
            </w:tcBorders>
          </w:tcPr>
          <w:p w14:paraId="0892BD05" w14:textId="77777777" w:rsidR="00A135AE" w:rsidRPr="00F8330C" w:rsidRDefault="00A135AE" w:rsidP="00A135AE">
            <w:pPr>
              <w:keepNext/>
              <w:keepLines/>
              <w:spacing w:after="0"/>
              <w:jc w:val="left"/>
              <w:rPr>
                <w:rFonts w:cs="Arial"/>
                <w:sz w:val="20"/>
                <w:vertAlign w:val="superscript"/>
              </w:rPr>
            </w:pPr>
            <w:r w:rsidRPr="00F8330C">
              <w:rPr>
                <w:rFonts w:cs="Arial"/>
                <w:sz w:val="20"/>
              </w:rPr>
              <w:t>Adjusted p-</w:t>
            </w:r>
            <w:proofErr w:type="spellStart"/>
            <w:r w:rsidRPr="00F8330C">
              <w:rPr>
                <w:rFonts w:cs="Arial"/>
                <w:sz w:val="20"/>
              </w:rPr>
              <w:t>value</w:t>
            </w:r>
            <w:r w:rsidRPr="00F8330C">
              <w:rPr>
                <w:rFonts w:cs="Arial"/>
                <w:sz w:val="20"/>
                <w:vertAlign w:val="superscript"/>
              </w:rPr>
              <w:t>a</w:t>
            </w:r>
            <w:proofErr w:type="spellEnd"/>
          </w:p>
        </w:tc>
        <w:tc>
          <w:tcPr>
            <w:tcW w:w="1842" w:type="dxa"/>
            <w:tcBorders>
              <w:top w:val="nil"/>
              <w:left w:val="nil"/>
              <w:bottom w:val="single" w:sz="4" w:space="0" w:color="auto"/>
              <w:right w:val="nil"/>
            </w:tcBorders>
          </w:tcPr>
          <w:p w14:paraId="006A21FE" w14:textId="77777777" w:rsidR="00A135AE" w:rsidRPr="00F8330C" w:rsidRDefault="00A135AE" w:rsidP="00A135AE">
            <w:pPr>
              <w:keepNext/>
              <w:keepLines/>
              <w:spacing w:after="0"/>
              <w:jc w:val="center"/>
              <w:rPr>
                <w:rFonts w:cs="Arial"/>
                <w:sz w:val="20"/>
              </w:rPr>
            </w:pPr>
          </w:p>
        </w:tc>
        <w:tc>
          <w:tcPr>
            <w:tcW w:w="1985" w:type="dxa"/>
            <w:tcBorders>
              <w:top w:val="nil"/>
              <w:left w:val="nil"/>
              <w:bottom w:val="single" w:sz="4" w:space="0" w:color="auto"/>
              <w:right w:val="nil"/>
            </w:tcBorders>
          </w:tcPr>
          <w:p w14:paraId="02A6B118" w14:textId="77777777" w:rsidR="00A135AE" w:rsidRPr="00F8330C" w:rsidRDefault="00A135AE" w:rsidP="00A135AE">
            <w:pPr>
              <w:keepNext/>
              <w:keepLines/>
              <w:spacing w:after="0"/>
              <w:jc w:val="center"/>
              <w:rPr>
                <w:rFonts w:cs="Arial"/>
                <w:sz w:val="20"/>
              </w:rPr>
            </w:pPr>
            <w:r>
              <w:rPr>
                <w:rFonts w:cs="Arial"/>
                <w:sz w:val="20"/>
              </w:rPr>
              <w:t>&lt;0.</w:t>
            </w:r>
            <w:r w:rsidRPr="00F8330C">
              <w:rPr>
                <w:rFonts w:cs="Arial"/>
                <w:sz w:val="20"/>
              </w:rPr>
              <w:t>001</w:t>
            </w:r>
          </w:p>
        </w:tc>
        <w:tc>
          <w:tcPr>
            <w:tcW w:w="2322" w:type="dxa"/>
            <w:gridSpan w:val="2"/>
            <w:tcBorders>
              <w:top w:val="nil"/>
              <w:left w:val="nil"/>
              <w:bottom w:val="single" w:sz="4" w:space="0" w:color="auto"/>
            </w:tcBorders>
          </w:tcPr>
          <w:p w14:paraId="4FE49274" w14:textId="77777777" w:rsidR="00A135AE" w:rsidRPr="00F8330C" w:rsidRDefault="00A135AE" w:rsidP="00A135AE">
            <w:pPr>
              <w:keepNext/>
              <w:keepLines/>
              <w:spacing w:after="0"/>
              <w:jc w:val="center"/>
              <w:rPr>
                <w:rFonts w:cs="Arial"/>
                <w:sz w:val="20"/>
              </w:rPr>
            </w:pPr>
          </w:p>
        </w:tc>
      </w:tr>
    </w:tbl>
    <w:p w14:paraId="58B0AA27" w14:textId="77777777" w:rsidR="00A135AE" w:rsidRPr="009722AB" w:rsidRDefault="00A135AE" w:rsidP="006333A4">
      <w:pPr>
        <w:keepNext/>
        <w:spacing w:after="0"/>
        <w:rPr>
          <w:rFonts w:cs="Arial"/>
          <w:sz w:val="16"/>
          <w:szCs w:val="16"/>
        </w:rPr>
      </w:pPr>
      <w:r w:rsidRPr="009722AB">
        <w:rPr>
          <w:rFonts w:cs="Arial"/>
          <w:szCs w:val="22"/>
          <w:vertAlign w:val="superscript"/>
        </w:rPr>
        <w:t>a</w:t>
      </w:r>
      <w:r w:rsidRPr="009722AB">
        <w:rPr>
          <w:rFonts w:cs="Arial"/>
          <w:sz w:val="16"/>
          <w:szCs w:val="16"/>
        </w:rPr>
        <w:t xml:space="preserve">   Calculated from a weighted Holm’s procedure</w:t>
      </w:r>
    </w:p>
    <w:p w14:paraId="0C7C8D30" w14:textId="77777777" w:rsidR="00A135AE" w:rsidRPr="009722AB" w:rsidRDefault="00A135AE" w:rsidP="006333A4">
      <w:pPr>
        <w:keepNext/>
        <w:spacing w:after="0"/>
        <w:rPr>
          <w:rFonts w:cs="Arial"/>
          <w:sz w:val="16"/>
          <w:szCs w:val="16"/>
        </w:rPr>
      </w:pPr>
      <w:r w:rsidRPr="00F8330C">
        <w:rPr>
          <w:rFonts w:cs="Arial"/>
          <w:sz w:val="16"/>
          <w:szCs w:val="16"/>
          <w:vertAlign w:val="superscript"/>
        </w:rPr>
        <w:t>b</w:t>
      </w:r>
      <w:r w:rsidRPr="009722AB">
        <w:rPr>
          <w:rFonts w:cs="Arial"/>
          <w:sz w:val="16"/>
          <w:szCs w:val="16"/>
        </w:rPr>
        <w:t xml:space="preserve">   Included the following components: skin hurts, skin condition burns or stings, skin itches, water bothers skin conditions (bathing, washing hands), skin is irritated, skin is sensitive and skin condition </w:t>
      </w:r>
      <w:proofErr w:type="gramStart"/>
      <w:r w:rsidRPr="009722AB">
        <w:rPr>
          <w:rFonts w:cs="Arial"/>
          <w:sz w:val="16"/>
          <w:szCs w:val="16"/>
        </w:rPr>
        <w:t>bleeds</w:t>
      </w:r>
      <w:proofErr w:type="gramEnd"/>
    </w:p>
    <w:p w14:paraId="214116F2" w14:textId="77777777" w:rsidR="006333A4" w:rsidRDefault="006333A4" w:rsidP="00AF1424"/>
    <w:p w14:paraId="591A17B5" w14:textId="77777777" w:rsidR="00AF1424" w:rsidRDefault="00AF1424" w:rsidP="006333A4">
      <w:pPr>
        <w:spacing w:after="60"/>
      </w:pPr>
      <w:r>
        <w:t xml:space="preserve">Pre-specified subgroup analyses of ORR4 per IRF were performed by patients’ CTCL subtype (MF, </w:t>
      </w:r>
      <w:proofErr w:type="spellStart"/>
      <w:r>
        <w:t>pcALCL</w:t>
      </w:r>
      <w:proofErr w:type="spellEnd"/>
      <w:r>
        <w:t xml:space="preserve">), physicians’ choice of treatment (methotrexate or bexarotene), baseline ECOG status, age, gender, and geographic region. The analyses showed a consistent trend towards benefit for patients who received ADCETRIS (56.3% ORR4) compared with patients who received physician’s choice (12.5% ORR4). A higher percentage of patients with MF or </w:t>
      </w:r>
      <w:proofErr w:type="spellStart"/>
      <w:r>
        <w:t>pcALCL</w:t>
      </w:r>
      <w:proofErr w:type="spellEnd"/>
      <w:r>
        <w:t xml:space="preserve"> who were treated with ADCETRIS achieved ORR4 compared with the same patient population treated with physician’s choice, with a difference of 39.8% (50% ADCETRIS vs. 10.2% physician’s choice) for MF and 55.0% (75% ADCCETRIS vs. 20.0% physician’s choice) for </w:t>
      </w:r>
      <w:proofErr w:type="spellStart"/>
      <w:r>
        <w:t>pcALCL</w:t>
      </w:r>
      <w:proofErr w:type="spellEnd"/>
      <w:r>
        <w:t>.</w:t>
      </w:r>
    </w:p>
    <w:p w14:paraId="590C53C4" w14:textId="77777777" w:rsidR="00A135AE" w:rsidRDefault="00AF1424" w:rsidP="00AF1424">
      <w:r>
        <w:t>Patient reported skin symptom burden was assessed using the symptom domain of Skindex-29 quality of life questionnaire. Symptom burden reduction from baseline was observed in both groups across the study duration, however significantly greater symptom burden reduction based on mean maximum reduction from baseline was observed in the ADCETRIS arm compared to the physician’s choice arm. The difference between the treatment arms for the maximum reduction from baseline (-</w:t>
      </w:r>
      <w:r w:rsidR="006819D9">
        <w:t> </w:t>
      </w:r>
      <w:r>
        <w:t>18.9) exceeded all the estimated minimal important difference (MID) thresholds, demonstrating a clinically meaningful response.</w:t>
      </w:r>
    </w:p>
    <w:p w14:paraId="48F67E50" w14:textId="77777777" w:rsidR="007E4EF4" w:rsidRPr="007E4EF4" w:rsidRDefault="007E4EF4" w:rsidP="000550D7">
      <w:pPr>
        <w:pStyle w:val="Heading1"/>
        <w:numPr>
          <w:ilvl w:val="1"/>
          <w:numId w:val="21"/>
        </w:numPr>
        <w:tabs>
          <w:tab w:val="left" w:pos="567"/>
        </w:tabs>
        <w:ind w:left="567" w:hanging="567"/>
      </w:pPr>
      <w:r w:rsidRPr="007E4EF4">
        <w:t xml:space="preserve">PHARMACOKINETIC PROPERTIES </w:t>
      </w:r>
    </w:p>
    <w:p w14:paraId="3358A36C" w14:textId="77777777" w:rsidR="007E4EF4" w:rsidRDefault="00306FA8" w:rsidP="007E4EF4">
      <w:pPr>
        <w:rPr>
          <w:highlight w:val="yellow"/>
        </w:rPr>
      </w:pPr>
      <w:r w:rsidRPr="00306FA8">
        <w:t xml:space="preserve">The pharmacokinetics of brentuximab </w:t>
      </w:r>
      <w:proofErr w:type="spellStart"/>
      <w:r w:rsidRPr="00306FA8">
        <w:t>vedotin</w:t>
      </w:r>
      <w:proofErr w:type="spellEnd"/>
      <w:r w:rsidRPr="00306FA8">
        <w:t xml:space="preserve"> were evaluated in phase 1 studies and in a population pharmacokinetic analysis of data from 314 patients. In all clinical trials, brentuximab </w:t>
      </w:r>
      <w:proofErr w:type="spellStart"/>
      <w:r w:rsidRPr="00306FA8">
        <w:t>vedotin</w:t>
      </w:r>
      <w:proofErr w:type="spellEnd"/>
      <w:r w:rsidRPr="00306FA8">
        <w:t xml:space="preserve"> was administered as an intravenous infusion.</w:t>
      </w:r>
      <w:r w:rsidR="007E4EF4" w:rsidRPr="007E4EF4">
        <w:rPr>
          <w:highlight w:val="yellow"/>
        </w:rPr>
        <w:t xml:space="preserve"> </w:t>
      </w:r>
    </w:p>
    <w:p w14:paraId="6A823056" w14:textId="77777777" w:rsidR="007E4EF4" w:rsidRDefault="007E4EF4" w:rsidP="007059A5">
      <w:pPr>
        <w:pStyle w:val="Heading2"/>
      </w:pPr>
      <w:r w:rsidRPr="007E4EF4">
        <w:lastRenderedPageBreak/>
        <w:t xml:space="preserve">Absorption </w:t>
      </w:r>
    </w:p>
    <w:p w14:paraId="1F8545BC" w14:textId="77777777" w:rsidR="0076314D" w:rsidRPr="006333A4" w:rsidRDefault="0076314D" w:rsidP="006333A4">
      <w:pPr>
        <w:spacing w:after="60"/>
        <w:rPr>
          <w:u w:val="single"/>
        </w:rPr>
      </w:pPr>
      <w:r w:rsidRPr="006333A4">
        <w:rPr>
          <w:u w:val="single"/>
        </w:rPr>
        <w:t>Monotherapy</w:t>
      </w:r>
    </w:p>
    <w:p w14:paraId="56D105C0" w14:textId="31604994" w:rsidR="00306FA8" w:rsidRDefault="00306FA8" w:rsidP="006333A4">
      <w:pPr>
        <w:spacing w:after="60"/>
      </w:pPr>
      <w:r>
        <w:t xml:space="preserve">Maximum concentrations of brentuximab </w:t>
      </w:r>
      <w:proofErr w:type="spellStart"/>
      <w:r>
        <w:t>vedotin</w:t>
      </w:r>
      <w:proofErr w:type="spellEnd"/>
      <w:r>
        <w:t xml:space="preserve"> ADC were typically observed at the end of infusion or the sampling timepoint closest to the end of infusion. A multi-exponential decline in ADC serum concentrations was observed with a terminal half-life of approximately 4 to 6 days. Exposures were approximately dose proportional. Minimal to no accumulation of ADC was observed with multiple doses at every </w:t>
      </w:r>
      <w:r w:rsidR="00A326D2">
        <w:t>3-week</w:t>
      </w:r>
      <w:r>
        <w:t xml:space="preserve"> schedule, consistent with the terminal half-life estimate. Typical </w:t>
      </w:r>
      <w:proofErr w:type="spellStart"/>
      <w:r>
        <w:t>Cmax</w:t>
      </w:r>
      <w:proofErr w:type="spellEnd"/>
      <w:r>
        <w:t xml:space="preserve"> and AUC of ADC after a single 1.8 mg/kg in a phase 1 study was approximately 31.98 </w:t>
      </w:r>
      <w:proofErr w:type="spellStart"/>
      <w:r>
        <w:t>μg</w:t>
      </w:r>
      <w:proofErr w:type="spellEnd"/>
      <w:r>
        <w:t>/mL and 79.41</w:t>
      </w:r>
      <w:r w:rsidR="006819D9">
        <w:t> </w:t>
      </w:r>
      <w:proofErr w:type="spellStart"/>
      <w:r>
        <w:t>μg</w:t>
      </w:r>
      <w:proofErr w:type="spellEnd"/>
      <w:r>
        <w:t>/mL x day respectively.</w:t>
      </w:r>
    </w:p>
    <w:p w14:paraId="2BD68964" w14:textId="77777777" w:rsidR="007E4EF4" w:rsidRDefault="00306FA8" w:rsidP="006333A4">
      <w:pPr>
        <w:spacing w:after="60"/>
      </w:pPr>
      <w:r>
        <w:t xml:space="preserve">MMAE is the major metabolite of brentuximab </w:t>
      </w:r>
      <w:proofErr w:type="spellStart"/>
      <w:r>
        <w:t>vedotin</w:t>
      </w:r>
      <w:proofErr w:type="spellEnd"/>
      <w:r>
        <w:t xml:space="preserve">. Median </w:t>
      </w:r>
      <w:proofErr w:type="spellStart"/>
      <w:r>
        <w:t>C</w:t>
      </w:r>
      <w:r w:rsidRPr="00306FA8">
        <w:rPr>
          <w:vertAlign w:val="subscript"/>
        </w:rPr>
        <w:t>max</w:t>
      </w:r>
      <w:proofErr w:type="spellEnd"/>
      <w:r>
        <w:t xml:space="preserve">, AUC and </w:t>
      </w:r>
      <w:proofErr w:type="spellStart"/>
      <w:r>
        <w:t>T</w:t>
      </w:r>
      <w:r w:rsidRPr="00306FA8">
        <w:rPr>
          <w:vertAlign w:val="subscript"/>
        </w:rPr>
        <w:t>max</w:t>
      </w:r>
      <w:proofErr w:type="spellEnd"/>
      <w:r>
        <w:t xml:space="preserve"> of MMAE after a single 1.8 mg/kg of the ADC in a phase 1 study was approximately 4.97 ng/mL, 37.03 ng/mL x day and 2.09 days respectively. MMAE exposures decreased after multiple doses of brentuximab </w:t>
      </w:r>
      <w:proofErr w:type="spellStart"/>
      <w:r>
        <w:t>vedotin</w:t>
      </w:r>
      <w:proofErr w:type="spellEnd"/>
      <w:r>
        <w:t xml:space="preserve"> with approximately 50% to 80% of the exposure of the first dose being observed at subsequent doses. In the first cycle, higher MMAE exposure was associated with an absolute decrease in neutrophil count.</w:t>
      </w:r>
    </w:p>
    <w:p w14:paraId="4D00E9C0" w14:textId="77777777" w:rsidR="004A0AAC" w:rsidRDefault="004A0AAC" w:rsidP="006333A4">
      <w:pPr>
        <w:spacing w:after="60"/>
      </w:pPr>
    </w:p>
    <w:p w14:paraId="606197B8" w14:textId="77777777" w:rsidR="0076314D" w:rsidRDefault="0076314D" w:rsidP="006333A4">
      <w:pPr>
        <w:spacing w:after="60"/>
        <w:rPr>
          <w:u w:val="single"/>
        </w:rPr>
      </w:pPr>
      <w:bookmarkStart w:id="50" w:name="_Hlk150257241"/>
      <w:r w:rsidRPr="006333A4">
        <w:rPr>
          <w:u w:val="single"/>
        </w:rPr>
        <w:t>Combination therapy</w:t>
      </w:r>
    </w:p>
    <w:p w14:paraId="7C650EA2" w14:textId="77777777" w:rsidR="001E51B8" w:rsidRPr="001E51B8" w:rsidRDefault="001E51B8" w:rsidP="00F33EDB">
      <w:pPr>
        <w:spacing w:after="0"/>
      </w:pPr>
      <w:bookmarkStart w:id="51" w:name="_Hlk150257259"/>
      <w:r w:rsidRPr="001E51B8">
        <w:t xml:space="preserve">The pharmacokinetics of ADCETRIS in combination with AVD were evaluated in a single phase </w:t>
      </w:r>
      <w:proofErr w:type="gramStart"/>
      <w:r w:rsidRPr="001E51B8">
        <w:t>3</w:t>
      </w:r>
      <w:proofErr w:type="gramEnd"/>
    </w:p>
    <w:p w14:paraId="4BEF4BF9" w14:textId="77777777" w:rsidR="001E51B8" w:rsidRPr="001E51B8" w:rsidRDefault="001E51B8" w:rsidP="00F33EDB">
      <w:pPr>
        <w:spacing w:after="0"/>
      </w:pPr>
      <w:r w:rsidRPr="001E51B8">
        <w:t>study in 661 patients. Population pharmacokinetic analysis indicated that the pharmacokinetics of</w:t>
      </w:r>
    </w:p>
    <w:p w14:paraId="3642683F" w14:textId="77777777" w:rsidR="001E51B8" w:rsidRDefault="001E51B8" w:rsidP="00F33EDB">
      <w:pPr>
        <w:spacing w:after="0"/>
      </w:pPr>
      <w:r w:rsidRPr="001E51B8">
        <w:t>ADCETRIS in combination with AVD were consistent to that in monotherapy.</w:t>
      </w:r>
    </w:p>
    <w:p w14:paraId="6D65DC6B" w14:textId="77777777" w:rsidR="001E51B8" w:rsidRPr="001E51B8" w:rsidRDefault="001E51B8" w:rsidP="00F33EDB">
      <w:pPr>
        <w:spacing w:after="0"/>
      </w:pPr>
    </w:p>
    <w:p w14:paraId="2CA61C18" w14:textId="77777777" w:rsidR="001E51B8" w:rsidRPr="001E51B8" w:rsidRDefault="001E51B8" w:rsidP="00F33EDB">
      <w:pPr>
        <w:spacing w:after="0"/>
      </w:pPr>
      <w:r w:rsidRPr="001E51B8">
        <w:t xml:space="preserve">After multiple-dose, IV infusion of 1.2 mg/kg brentuximab </w:t>
      </w:r>
      <w:proofErr w:type="spellStart"/>
      <w:r w:rsidRPr="001E51B8">
        <w:t>vedotin</w:t>
      </w:r>
      <w:proofErr w:type="spellEnd"/>
      <w:r w:rsidRPr="001E51B8">
        <w:t xml:space="preserve"> every two weeks, maximal serum</w:t>
      </w:r>
    </w:p>
    <w:p w14:paraId="7B908B13" w14:textId="77777777" w:rsidR="001E51B8" w:rsidRPr="001E51B8" w:rsidRDefault="001E51B8" w:rsidP="00F33EDB">
      <w:pPr>
        <w:spacing w:after="0"/>
      </w:pPr>
      <w:r w:rsidRPr="001E51B8">
        <w:t>concentrations of ADC were observed near the end of the infusion and elimination exhibited a</w:t>
      </w:r>
    </w:p>
    <w:p w14:paraId="53C64228" w14:textId="5331C2EA" w:rsidR="001E51B8" w:rsidRDefault="001E51B8" w:rsidP="00F33EDB">
      <w:pPr>
        <w:spacing w:after="0"/>
      </w:pPr>
      <w:r w:rsidRPr="001E51B8">
        <w:t>multi-exponential decline with a t</w:t>
      </w:r>
      <w:r w:rsidRPr="001E51B8">
        <w:rPr>
          <w:vertAlign w:val="subscript"/>
        </w:rPr>
        <w:t>1/2z</w:t>
      </w:r>
      <w:r w:rsidRPr="001E51B8">
        <w:t xml:space="preserve"> of approximately 4 to 5 days. Maximal plasma concentrations of</w:t>
      </w:r>
      <w:r>
        <w:t xml:space="preserve"> </w:t>
      </w:r>
      <w:r w:rsidRPr="001E51B8">
        <w:t>MMAE were observed approximately 2 days after the end of infusion, and exhibited a</w:t>
      </w:r>
      <w:r>
        <w:t xml:space="preserve"> </w:t>
      </w:r>
      <w:r w:rsidRPr="001E51B8">
        <w:t>mono-exponential decline with a t</w:t>
      </w:r>
      <w:r w:rsidRPr="001E51B8">
        <w:rPr>
          <w:vertAlign w:val="subscript"/>
        </w:rPr>
        <w:t>1/2z</w:t>
      </w:r>
      <w:r w:rsidRPr="001E51B8">
        <w:t xml:space="preserve"> of approximately 3 to 4 days.</w:t>
      </w:r>
    </w:p>
    <w:p w14:paraId="4720A7BA" w14:textId="77777777" w:rsidR="00BE0325" w:rsidRPr="001E51B8" w:rsidRDefault="00BE0325" w:rsidP="00F33EDB">
      <w:pPr>
        <w:spacing w:after="0"/>
      </w:pPr>
    </w:p>
    <w:p w14:paraId="77E4DA03" w14:textId="77777777" w:rsidR="001E51B8" w:rsidRPr="001E51B8" w:rsidRDefault="001E51B8" w:rsidP="00F33EDB">
      <w:pPr>
        <w:spacing w:after="0"/>
      </w:pPr>
      <w:r w:rsidRPr="001E51B8">
        <w:t xml:space="preserve">After multiple-dose, IV infusion of 1.2 mg/kg brentuximab </w:t>
      </w:r>
      <w:proofErr w:type="spellStart"/>
      <w:r w:rsidRPr="001E51B8">
        <w:t>vedotin</w:t>
      </w:r>
      <w:proofErr w:type="spellEnd"/>
      <w:r w:rsidRPr="001E51B8">
        <w:t xml:space="preserve"> every two weeks, steady-state</w:t>
      </w:r>
    </w:p>
    <w:p w14:paraId="395704BC" w14:textId="37516641" w:rsidR="001E51B8" w:rsidRDefault="001E51B8" w:rsidP="00F33EDB">
      <w:pPr>
        <w:spacing w:after="0"/>
      </w:pPr>
      <w:r w:rsidRPr="001E51B8">
        <w:t xml:space="preserve">trough concentrations of ADC and MMAE were achieved by Cycle 3. Once </w:t>
      </w:r>
      <w:proofErr w:type="gramStart"/>
      <w:r w:rsidRPr="001E51B8">
        <w:t>steady-state</w:t>
      </w:r>
      <w:proofErr w:type="gramEnd"/>
      <w:r w:rsidRPr="001E51B8">
        <w:t xml:space="preserve"> was achieved,</w:t>
      </w:r>
      <w:r w:rsidR="00BE0325">
        <w:t xml:space="preserve"> </w:t>
      </w:r>
      <w:r w:rsidRPr="001E51B8">
        <w:t>the PK of ADC did not appear to change with time. ADC accumulation (as assessed by AUC</w:t>
      </w:r>
      <w:r w:rsidRPr="00BE0325">
        <w:rPr>
          <w:vertAlign w:val="subscript"/>
        </w:rPr>
        <w:t>14D</w:t>
      </w:r>
      <w:r w:rsidR="00BE0325" w:rsidRPr="00BE0325">
        <w:rPr>
          <w:vertAlign w:val="subscript"/>
        </w:rPr>
        <w:t xml:space="preserve"> </w:t>
      </w:r>
      <w:r w:rsidRPr="001E51B8">
        <w:t>between Cycle 1 and Cycle 3) was 1.27-fold. The exposure of MMAE (as assessed by AUC</w:t>
      </w:r>
      <w:r w:rsidRPr="00BE0325">
        <w:rPr>
          <w:vertAlign w:val="subscript"/>
        </w:rPr>
        <w:t>14D</w:t>
      </w:r>
      <w:r w:rsidR="00BE0325">
        <w:rPr>
          <w:vertAlign w:val="subscript"/>
        </w:rPr>
        <w:t xml:space="preserve"> </w:t>
      </w:r>
      <w:r w:rsidRPr="001E51B8">
        <w:t>between Cycle 1 and Cycle 3) appeared to decrease with time by approximately 50%.</w:t>
      </w:r>
    </w:p>
    <w:bookmarkEnd w:id="50"/>
    <w:bookmarkEnd w:id="51"/>
    <w:p w14:paraId="4765728B" w14:textId="77777777" w:rsidR="00A470E4" w:rsidRDefault="00A470E4" w:rsidP="00306FA8">
      <w:pPr>
        <w:rPr>
          <w:lang w:val="en-GB"/>
        </w:rPr>
      </w:pPr>
    </w:p>
    <w:p w14:paraId="1B06583F" w14:textId="277ED2B0" w:rsidR="0076314D" w:rsidRPr="0076314D" w:rsidRDefault="0076314D" w:rsidP="00306FA8">
      <w:pPr>
        <w:rPr>
          <w:lang w:val="en-GB"/>
        </w:rPr>
      </w:pPr>
      <w:r w:rsidRPr="0076314D">
        <w:rPr>
          <w:lang w:val="en-GB"/>
        </w:rPr>
        <w:t>The pharmacokinetics of ADCETRIS in combination with CHP were evaluated in a single phase 3 study in 223 patients (SGN35</w:t>
      </w:r>
      <w:r w:rsidRPr="0076314D">
        <w:rPr>
          <w:lang w:val="en-GB"/>
        </w:rPr>
        <w:noBreakHyphen/>
        <w:t xml:space="preserve">014). After multiple-dose IV infusion of 1.8 mg/kg ADCETRIS every 3 weeks, the pharmacokinetics of ADC and MMAE were </w:t>
      </w:r>
      <w:proofErr w:type="gramStart"/>
      <w:r w:rsidRPr="0076314D">
        <w:rPr>
          <w:lang w:val="en-GB"/>
        </w:rPr>
        <w:t>similar to</w:t>
      </w:r>
      <w:proofErr w:type="gramEnd"/>
      <w:r w:rsidRPr="0076314D">
        <w:rPr>
          <w:lang w:val="en-GB"/>
        </w:rPr>
        <w:t xml:space="preserve"> those of monotherapy.</w:t>
      </w:r>
    </w:p>
    <w:p w14:paraId="5D7419AA" w14:textId="77777777" w:rsidR="00217334" w:rsidRPr="007E4EF4" w:rsidRDefault="007E4EF4" w:rsidP="007059A5">
      <w:pPr>
        <w:pStyle w:val="Heading2"/>
      </w:pPr>
      <w:r w:rsidRPr="007E4EF4">
        <w:t>Distribution</w:t>
      </w:r>
    </w:p>
    <w:p w14:paraId="4A09721D" w14:textId="77777777" w:rsidR="007E4EF4" w:rsidRDefault="00306FA8" w:rsidP="007E4EF4">
      <w:r w:rsidRPr="001238E1">
        <w:rPr>
          <w:i/>
        </w:rPr>
        <w:t>In vitro</w:t>
      </w:r>
      <w:r w:rsidRPr="001238E1">
        <w:t>, the binding of MMAE to human serum plasma proteins ranged from 68</w:t>
      </w:r>
      <w:r w:rsidR="00E265CE">
        <w:noBreakHyphen/>
      </w:r>
      <w:r w:rsidRPr="001238E1">
        <w:t>82%. MMAE is not</w:t>
      </w:r>
      <w:r w:rsidRPr="00306FA8">
        <w:t xml:space="preserve"> likely to displace or to be displaced by highly protein-bound medicines. </w:t>
      </w:r>
      <w:r w:rsidRPr="001238E1">
        <w:rPr>
          <w:i/>
        </w:rPr>
        <w:t>In vitro</w:t>
      </w:r>
      <w:r w:rsidRPr="00306FA8">
        <w:t>, MMAE was a substrate of P-</w:t>
      </w:r>
      <w:proofErr w:type="spellStart"/>
      <w:r w:rsidRPr="00306FA8">
        <w:t>gp</w:t>
      </w:r>
      <w:proofErr w:type="spellEnd"/>
      <w:r w:rsidRPr="00306FA8">
        <w:t xml:space="preserve"> and was not an inhibitor of P-</w:t>
      </w:r>
      <w:proofErr w:type="spellStart"/>
      <w:r w:rsidRPr="00306FA8">
        <w:t>gp</w:t>
      </w:r>
      <w:proofErr w:type="spellEnd"/>
      <w:r w:rsidRPr="00306FA8">
        <w:t xml:space="preserve"> at clinical concentrations.  In humans, the mean steady state volume of distribution was approximately 6</w:t>
      </w:r>
      <w:r w:rsidR="00E265CE">
        <w:noBreakHyphen/>
      </w:r>
      <w:r w:rsidRPr="00306FA8">
        <w:t>10 L for ADC. Based on population PK estimation the typical apparent volume of distribution of MMAE in the central compartment was 7.37</w:t>
      </w:r>
      <w:r w:rsidR="006819D9">
        <w:t> </w:t>
      </w:r>
      <w:r w:rsidRPr="00306FA8">
        <w:t>L and the typical apparent volume of distribution of MMAE in the peripheral compartment was 36.4 L.</w:t>
      </w:r>
    </w:p>
    <w:p w14:paraId="676B96D4" w14:textId="77777777" w:rsidR="007E4EF4" w:rsidRDefault="007E4EF4" w:rsidP="007059A5">
      <w:pPr>
        <w:pStyle w:val="Heading2"/>
      </w:pPr>
      <w:r>
        <w:t xml:space="preserve">Metabolism </w:t>
      </w:r>
    </w:p>
    <w:p w14:paraId="25862A1E" w14:textId="77777777" w:rsidR="007E4EF4" w:rsidRDefault="00306FA8" w:rsidP="007E4EF4">
      <w:r w:rsidRPr="00306FA8">
        <w:t xml:space="preserve">The antibody component of the ADC is expected to be catabolised as a protein with component amino acids recycled or eliminated. </w:t>
      </w:r>
      <w:r w:rsidRPr="001238E1">
        <w:rPr>
          <w:i/>
        </w:rPr>
        <w:t>In vivo</w:t>
      </w:r>
      <w:r w:rsidRPr="00306FA8">
        <w:t xml:space="preserve"> data in animals and humans suggest that only a small fraction of MMAE released from brentuximab </w:t>
      </w:r>
      <w:proofErr w:type="spellStart"/>
      <w:r w:rsidRPr="00306FA8">
        <w:t>vedotin</w:t>
      </w:r>
      <w:proofErr w:type="spellEnd"/>
      <w:r w:rsidRPr="00306FA8">
        <w:t xml:space="preserve"> is </w:t>
      </w:r>
      <w:r w:rsidR="00E75975" w:rsidRPr="00306FA8">
        <w:t>metaboli</w:t>
      </w:r>
      <w:r w:rsidR="00E75975">
        <w:t>s</w:t>
      </w:r>
      <w:r w:rsidR="00E75975" w:rsidRPr="00306FA8">
        <w:t>ed</w:t>
      </w:r>
      <w:r w:rsidRPr="00306FA8">
        <w:t xml:space="preserve">. The levels of MMAE </w:t>
      </w:r>
      <w:r w:rsidRPr="00306FA8">
        <w:lastRenderedPageBreak/>
        <w:t xml:space="preserve">metabolites have not been measured in human plasma. At least one metabolite of MMAE has been shown to be active </w:t>
      </w:r>
      <w:r w:rsidRPr="001238E1">
        <w:rPr>
          <w:i/>
        </w:rPr>
        <w:t>in vitro</w:t>
      </w:r>
      <w:r w:rsidRPr="00306FA8">
        <w:t xml:space="preserve">. MMAE is a substrate of CYP3A4 and possibly CYP2D6. </w:t>
      </w:r>
      <w:r w:rsidRPr="001238E1">
        <w:rPr>
          <w:i/>
        </w:rPr>
        <w:t>In vitro</w:t>
      </w:r>
      <w:r w:rsidRPr="00306FA8">
        <w:t xml:space="preserve"> data indicate that the MMAE metabolism that occurs is primarily via oxidation by CYP3A4/5. </w:t>
      </w:r>
      <w:r w:rsidRPr="001238E1">
        <w:rPr>
          <w:i/>
        </w:rPr>
        <w:t>In</w:t>
      </w:r>
      <w:r w:rsidR="001238E1">
        <w:rPr>
          <w:i/>
        </w:rPr>
        <w:t> </w:t>
      </w:r>
      <w:r w:rsidRPr="001238E1">
        <w:rPr>
          <w:i/>
        </w:rPr>
        <w:t>vitro</w:t>
      </w:r>
      <w:r w:rsidRPr="00306FA8">
        <w:t xml:space="preserve"> studies using human liver microsomes indicate that MMAE inhibits only CYP3A4/5 at concentrations much higher than was achieved during clinical application. MMAE does not inhibit other isoforms. MMAE did not induce any major CYP450 enzymes in primary cultures of human hepatocytes.</w:t>
      </w:r>
    </w:p>
    <w:p w14:paraId="270A9857" w14:textId="77777777" w:rsidR="007E4EF4" w:rsidRDefault="007E4EF4" w:rsidP="007059A5">
      <w:pPr>
        <w:pStyle w:val="Heading2"/>
      </w:pPr>
      <w:r>
        <w:t xml:space="preserve">Excretion </w:t>
      </w:r>
    </w:p>
    <w:p w14:paraId="5C831A78" w14:textId="77777777" w:rsidR="0019534B" w:rsidRDefault="0019534B" w:rsidP="006333A4">
      <w:pPr>
        <w:spacing w:after="60"/>
      </w:pPr>
      <w:r>
        <w:t xml:space="preserve">The ADC is eliminated by catabolism with a typical estimated CL and half-life of 1.457 L/day and </w:t>
      </w:r>
      <w:r w:rsidR="0070655B">
        <w:t>4</w:t>
      </w:r>
      <w:r w:rsidR="00E265CE">
        <w:noBreakHyphen/>
      </w:r>
      <w:r>
        <w:t>6</w:t>
      </w:r>
      <w:r w:rsidR="006819D9">
        <w:t> </w:t>
      </w:r>
      <w:r>
        <w:t>days respectively. The elimination of MMAE was limited by its rate of release from ADC, with a typical apparent CL and half-life of MMAE of 19.99 L/day and 3</w:t>
      </w:r>
      <w:r w:rsidR="00E265CE">
        <w:noBreakHyphen/>
      </w:r>
      <w:r>
        <w:t xml:space="preserve">4 days respectively. </w:t>
      </w:r>
    </w:p>
    <w:p w14:paraId="2C9B57C5" w14:textId="77777777" w:rsidR="007E4EF4" w:rsidRPr="001238E1" w:rsidRDefault="0019534B" w:rsidP="0019534B">
      <w:r>
        <w:t xml:space="preserve">An excretion study was undertaken in patients who received a dose of 1.8 mg/kg of brentuximab </w:t>
      </w:r>
      <w:proofErr w:type="spellStart"/>
      <w:r>
        <w:t>vedotin</w:t>
      </w:r>
      <w:proofErr w:type="spellEnd"/>
      <w:r>
        <w:t xml:space="preserve">. Approximately 24% of the total MMAE administered as part of the ADC during a brentuximab </w:t>
      </w:r>
      <w:proofErr w:type="spellStart"/>
      <w:r>
        <w:t>vedotin</w:t>
      </w:r>
      <w:proofErr w:type="spellEnd"/>
      <w:r>
        <w:t xml:space="preserve"> infusion was recovered in both urine and faeces over a </w:t>
      </w:r>
      <w:proofErr w:type="gramStart"/>
      <w:r>
        <w:t>1 week</w:t>
      </w:r>
      <w:proofErr w:type="gramEnd"/>
      <w:r>
        <w:t xml:space="preserve"> period. Of the recovered MMAE, approximately 72% was recovered in the faeces. A lesser amount of MMAE </w:t>
      </w:r>
      <w:r w:rsidRPr="001238E1">
        <w:t>(28%) was excreted in the urine.</w:t>
      </w:r>
    </w:p>
    <w:p w14:paraId="5E82E2CD" w14:textId="77777777" w:rsidR="004A3909" w:rsidRPr="001238E1" w:rsidRDefault="004A3909" w:rsidP="007059A5">
      <w:pPr>
        <w:pStyle w:val="Heading2"/>
      </w:pPr>
      <w:r w:rsidRPr="001238E1">
        <w:t>Pharmacokinetics in special populations</w:t>
      </w:r>
    </w:p>
    <w:p w14:paraId="5E43C230" w14:textId="77777777" w:rsidR="004A3909" w:rsidRPr="001238E1" w:rsidRDefault="004A3909" w:rsidP="004A3909">
      <w:r w:rsidRPr="001238E1">
        <w:t xml:space="preserve">Population PK analysis showed that baseline serum albumin concentration was a significant covariate of MMAE clearance. The analysis indicated that MMAE clearance was </w:t>
      </w:r>
      <w:r w:rsidR="00512DA5" w:rsidRPr="001238E1">
        <w:t>2</w:t>
      </w:r>
      <w:r w:rsidR="00512DA5">
        <w:noBreakHyphen/>
      </w:r>
      <w:r w:rsidRPr="001238E1">
        <w:t>fold lower in patients with low serum albumin concentrations &lt;3.0 g/dL compared with patients with serum albumin concentrations within the normal range.</w:t>
      </w:r>
    </w:p>
    <w:p w14:paraId="687DA4F8" w14:textId="77777777" w:rsidR="004A3909" w:rsidRPr="001238E1" w:rsidRDefault="004A3909" w:rsidP="006333A4">
      <w:pPr>
        <w:spacing w:after="60"/>
        <w:rPr>
          <w:i/>
        </w:rPr>
      </w:pPr>
      <w:r w:rsidRPr="001238E1">
        <w:rPr>
          <w:i/>
        </w:rPr>
        <w:t>Hepatic impairment</w:t>
      </w:r>
    </w:p>
    <w:p w14:paraId="372EAFC3" w14:textId="77777777" w:rsidR="004A3909" w:rsidRPr="001238E1" w:rsidRDefault="004A3909" w:rsidP="006333A4">
      <w:pPr>
        <w:spacing w:after="60"/>
      </w:pPr>
      <w:r w:rsidRPr="001238E1">
        <w:t>The liver is a major route of elimination of the unchanged active metabolite MMAE.</w:t>
      </w:r>
    </w:p>
    <w:p w14:paraId="15199460" w14:textId="77777777" w:rsidR="004A3909" w:rsidRPr="001238E1" w:rsidRDefault="004A3909" w:rsidP="004A3909">
      <w:r w:rsidRPr="001238E1">
        <w:t xml:space="preserve">A study evaluated the PK of brentuximab </w:t>
      </w:r>
      <w:proofErr w:type="spellStart"/>
      <w:r w:rsidRPr="001238E1">
        <w:t>vedotin</w:t>
      </w:r>
      <w:proofErr w:type="spellEnd"/>
      <w:r w:rsidRPr="001238E1">
        <w:t xml:space="preserve"> and MMAE after the administration of 1.2 mg/kg of ADCETRIS to patients with mild (Child-Pugh A; n=1), moderate (Child-Pugh B; n=5) and severe (Child-Pugh C; n=1) hepatic impairment. Compared to patients with normal hepatic function, MMAE exposure increased approximately 2.3-fold in patients with hepatic impairment (see </w:t>
      </w:r>
      <w:r w:rsidR="003A20A8">
        <w:t xml:space="preserve">4.2 </w:t>
      </w:r>
      <w:r w:rsidR="003A20A8" w:rsidRPr="001238E1">
        <w:t>Dos</w:t>
      </w:r>
      <w:r w:rsidR="003A20A8">
        <w:t>e</w:t>
      </w:r>
      <w:r w:rsidR="003A20A8" w:rsidRPr="001238E1">
        <w:t xml:space="preserve"> </w:t>
      </w:r>
      <w:r w:rsidRPr="001238E1">
        <w:t xml:space="preserve">and </w:t>
      </w:r>
      <w:r w:rsidR="003A20A8">
        <w:t xml:space="preserve">Method of </w:t>
      </w:r>
      <w:r w:rsidRPr="001238E1">
        <w:t>Administration’).</w:t>
      </w:r>
    </w:p>
    <w:p w14:paraId="115DD3C3" w14:textId="77777777" w:rsidR="004A3909" w:rsidRPr="001238E1" w:rsidRDefault="004A3909" w:rsidP="006333A4">
      <w:pPr>
        <w:spacing w:after="60"/>
        <w:rPr>
          <w:i/>
        </w:rPr>
      </w:pPr>
      <w:r w:rsidRPr="001238E1">
        <w:rPr>
          <w:i/>
        </w:rPr>
        <w:t>Renal impairment</w:t>
      </w:r>
    </w:p>
    <w:p w14:paraId="57918BBF" w14:textId="77777777" w:rsidR="004A3909" w:rsidRPr="001238E1" w:rsidRDefault="004A3909" w:rsidP="006333A4">
      <w:pPr>
        <w:spacing w:after="60"/>
      </w:pPr>
      <w:r w:rsidRPr="001238E1">
        <w:t>The kidney is a route of excretion of the unchanged active metabolite MMAE.</w:t>
      </w:r>
    </w:p>
    <w:p w14:paraId="05AB092A" w14:textId="77777777" w:rsidR="004A3909" w:rsidRPr="001238E1" w:rsidRDefault="004A3909" w:rsidP="004A3909">
      <w:r w:rsidRPr="001238E1">
        <w:t xml:space="preserve">A study evaluated the PK of brentuximab </w:t>
      </w:r>
      <w:proofErr w:type="spellStart"/>
      <w:r w:rsidRPr="001238E1">
        <w:t>vedotin</w:t>
      </w:r>
      <w:proofErr w:type="spellEnd"/>
      <w:r w:rsidRPr="001238E1">
        <w:t xml:space="preserve"> and MMAE after the administration of 1.2 mg/kg of ADCETRIS to patients with mild (n=4), moderate (n=3) and severe (n=3) renal impairment. Compared to patients with normal renal function, MMAE exposure increased approximately 1.9-fold in patients with severe renal impairment (creatinine clearance &lt; 30 ml/min) (see </w:t>
      </w:r>
      <w:r w:rsidR="003A20A8">
        <w:t xml:space="preserve">4.2 </w:t>
      </w:r>
      <w:r w:rsidRPr="001238E1">
        <w:t xml:space="preserve">Dose and </w:t>
      </w:r>
      <w:r w:rsidR="003A20A8">
        <w:t xml:space="preserve">Method of </w:t>
      </w:r>
      <w:r w:rsidRPr="001238E1">
        <w:t>Administration’).</w:t>
      </w:r>
    </w:p>
    <w:p w14:paraId="0D8B3D85" w14:textId="77777777" w:rsidR="004A3909" w:rsidRPr="001238E1" w:rsidRDefault="004A3909" w:rsidP="006333A4">
      <w:pPr>
        <w:spacing w:after="60"/>
        <w:rPr>
          <w:i/>
        </w:rPr>
      </w:pPr>
      <w:r w:rsidRPr="001238E1">
        <w:rPr>
          <w:i/>
        </w:rPr>
        <w:t xml:space="preserve">Elderly patients </w:t>
      </w:r>
    </w:p>
    <w:p w14:paraId="31C3BFB4" w14:textId="77777777" w:rsidR="004A3909" w:rsidRPr="001238E1" w:rsidRDefault="004A3909" w:rsidP="004A3909">
      <w:r w:rsidRPr="001238E1">
        <w:t xml:space="preserve">The population pharmacokinetics of brentuximab </w:t>
      </w:r>
      <w:proofErr w:type="spellStart"/>
      <w:r w:rsidRPr="001238E1">
        <w:t>vedotin</w:t>
      </w:r>
      <w:proofErr w:type="spellEnd"/>
      <w:r w:rsidRPr="001238E1">
        <w:t xml:space="preserve"> were examined from several studies, including data from 380 patients up to 87 years old. The influence of age on pharmacokinetics was investigated and it was not a significant covariate. The safety profile in elderly patients with CTCL was consistent with that of younger patients, therefore no dosage adjustment is recommended for patients aged 65 and older. </w:t>
      </w:r>
    </w:p>
    <w:p w14:paraId="3D9E328F" w14:textId="77777777" w:rsidR="004A3909" w:rsidRPr="001238E1" w:rsidRDefault="004A3909" w:rsidP="006333A4">
      <w:pPr>
        <w:spacing w:after="60"/>
        <w:rPr>
          <w:i/>
        </w:rPr>
      </w:pPr>
      <w:r w:rsidRPr="001238E1">
        <w:rPr>
          <w:i/>
        </w:rPr>
        <w:t>Paediatric population</w:t>
      </w:r>
    </w:p>
    <w:p w14:paraId="79066D70" w14:textId="77777777" w:rsidR="004A3909" w:rsidRDefault="004A3909" w:rsidP="004A3909">
      <w:r w:rsidRPr="001238E1">
        <w:t xml:space="preserve">Clinical studies of brentuximab </w:t>
      </w:r>
      <w:proofErr w:type="spellStart"/>
      <w:r w:rsidRPr="001238E1">
        <w:t>vedotin</w:t>
      </w:r>
      <w:proofErr w:type="spellEnd"/>
      <w:r w:rsidRPr="001238E1">
        <w:t xml:space="preserve"> did not include </w:t>
      </w:r>
      <w:proofErr w:type="gramStart"/>
      <w:r w:rsidRPr="001238E1">
        <w:t>sufficient numbers of</w:t>
      </w:r>
      <w:proofErr w:type="gramEnd"/>
      <w:r w:rsidRPr="001238E1">
        <w:t xml:space="preserve"> patients below 18 years of age to determine whether the PK profile differs from adult patients.</w:t>
      </w:r>
    </w:p>
    <w:p w14:paraId="06A16B8F" w14:textId="77777777" w:rsidR="007E4EF4" w:rsidRDefault="007E4EF4" w:rsidP="000550D7">
      <w:pPr>
        <w:pStyle w:val="Heading1"/>
        <w:numPr>
          <w:ilvl w:val="1"/>
          <w:numId w:val="21"/>
        </w:numPr>
        <w:tabs>
          <w:tab w:val="left" w:pos="567"/>
        </w:tabs>
        <w:ind w:left="567" w:hanging="567"/>
      </w:pPr>
      <w:r>
        <w:lastRenderedPageBreak/>
        <w:t xml:space="preserve">PRECLINICALSAFETY DATA </w:t>
      </w:r>
    </w:p>
    <w:p w14:paraId="79A808D0" w14:textId="77777777" w:rsidR="007E4EF4" w:rsidRDefault="007E4EF4" w:rsidP="007059A5">
      <w:pPr>
        <w:pStyle w:val="Heading2"/>
      </w:pPr>
      <w:r>
        <w:t xml:space="preserve">Genotoxicity </w:t>
      </w:r>
    </w:p>
    <w:p w14:paraId="3E6718C9" w14:textId="77777777" w:rsidR="00223ACB" w:rsidRDefault="00104115" w:rsidP="00223ACB">
      <w:r w:rsidRPr="00104115">
        <w:t xml:space="preserve">MMAE was genotoxic in the rat bone marrow micronucleus study through an </w:t>
      </w:r>
      <w:proofErr w:type="spellStart"/>
      <w:r w:rsidRPr="00104115">
        <w:t>aneugenic</w:t>
      </w:r>
      <w:proofErr w:type="spellEnd"/>
      <w:r w:rsidRPr="00104115">
        <w:t xml:space="preserve"> mechanism. This effect is consistent with the pharmacological effect of MMAE as a microtubule disrupting agent. MMAE was not mutagenic in the bacterial reverse mutation assay (</w:t>
      </w:r>
      <w:proofErr w:type="gramStart"/>
      <w:r w:rsidRPr="00104115">
        <w:t>Ames</w:t>
      </w:r>
      <w:proofErr w:type="gramEnd"/>
      <w:r w:rsidRPr="00104115">
        <w:t xml:space="preserve"> test) or the L5178Y mouse lymphoma forward mutation assay.</w:t>
      </w:r>
    </w:p>
    <w:p w14:paraId="142EAF5D" w14:textId="77777777" w:rsidR="007E4EF4" w:rsidRDefault="007E4EF4" w:rsidP="007059A5">
      <w:pPr>
        <w:pStyle w:val="Heading2"/>
      </w:pPr>
      <w:r>
        <w:t xml:space="preserve">Carcinogenicity </w:t>
      </w:r>
    </w:p>
    <w:p w14:paraId="5E0A3C2E" w14:textId="77777777" w:rsidR="00223ACB" w:rsidRDefault="00104115" w:rsidP="00223ACB">
      <w:r w:rsidRPr="00104115">
        <w:t xml:space="preserve">Carcinogenicity studies with brentuximab </w:t>
      </w:r>
      <w:proofErr w:type="spellStart"/>
      <w:r w:rsidRPr="00104115">
        <w:t>vedotin</w:t>
      </w:r>
      <w:proofErr w:type="spellEnd"/>
      <w:r w:rsidRPr="00104115">
        <w:t xml:space="preserve"> or MMAE have not been conducted.</w:t>
      </w:r>
    </w:p>
    <w:p w14:paraId="49B38FCB" w14:textId="77777777" w:rsidR="007E4EF4" w:rsidRDefault="007E4EF4" w:rsidP="000550D7">
      <w:pPr>
        <w:pStyle w:val="Heading1"/>
        <w:numPr>
          <w:ilvl w:val="0"/>
          <w:numId w:val="21"/>
        </w:numPr>
        <w:tabs>
          <w:tab w:val="left" w:pos="567"/>
        </w:tabs>
        <w:ind w:left="567" w:hanging="567"/>
      </w:pPr>
      <w:r>
        <w:t xml:space="preserve">PHARMACEUTICAL PARTICULARS </w:t>
      </w:r>
    </w:p>
    <w:p w14:paraId="08A04BD8" w14:textId="77777777" w:rsidR="007E4EF4" w:rsidRDefault="007E4EF4" w:rsidP="000550D7">
      <w:pPr>
        <w:pStyle w:val="Heading1"/>
        <w:numPr>
          <w:ilvl w:val="1"/>
          <w:numId w:val="21"/>
        </w:numPr>
        <w:tabs>
          <w:tab w:val="left" w:pos="567"/>
        </w:tabs>
        <w:ind w:left="567" w:hanging="567"/>
      </w:pPr>
      <w:r>
        <w:t xml:space="preserve">LIST OF EXCIPIENTS </w:t>
      </w:r>
    </w:p>
    <w:p w14:paraId="088A62EE" w14:textId="77777777" w:rsidR="00223ACB" w:rsidRDefault="00894BCC" w:rsidP="007E4EF4">
      <w:pPr>
        <w:rPr>
          <w:highlight w:val="yellow"/>
        </w:rPr>
      </w:pPr>
      <w:r w:rsidRPr="00894BCC">
        <w:t xml:space="preserve">The reconstituted product contains trehalose dihydrate, sodium citrate dihydrate, citric acid monohydrate, and polysorbate 80 and water for injection. </w:t>
      </w:r>
    </w:p>
    <w:p w14:paraId="4002068C" w14:textId="77777777" w:rsidR="007E4EF4" w:rsidRPr="00223ACB" w:rsidRDefault="007E4EF4" w:rsidP="000550D7">
      <w:pPr>
        <w:pStyle w:val="Heading1"/>
        <w:numPr>
          <w:ilvl w:val="1"/>
          <w:numId w:val="21"/>
        </w:numPr>
        <w:tabs>
          <w:tab w:val="left" w:pos="567"/>
        </w:tabs>
        <w:ind w:left="567" w:hanging="567"/>
      </w:pPr>
      <w:r w:rsidRPr="00223ACB">
        <w:t xml:space="preserve">INCOMPATIBILITIES </w:t>
      </w:r>
    </w:p>
    <w:p w14:paraId="28C20AA4" w14:textId="77777777" w:rsidR="0022143E" w:rsidRPr="00223ACB" w:rsidRDefault="0022143E" w:rsidP="0022143E">
      <w:r w:rsidRPr="0022143E">
        <w:t>Incompatibilities were either not assessed or not identified as part of the registration of this medicine.</w:t>
      </w:r>
    </w:p>
    <w:p w14:paraId="371F10FE" w14:textId="77777777" w:rsidR="00223ACB" w:rsidRDefault="007E4EF4" w:rsidP="000550D7">
      <w:pPr>
        <w:pStyle w:val="Heading1"/>
        <w:numPr>
          <w:ilvl w:val="1"/>
          <w:numId w:val="21"/>
        </w:numPr>
        <w:tabs>
          <w:tab w:val="left" w:pos="567"/>
        </w:tabs>
        <w:ind w:left="567" w:hanging="567"/>
      </w:pPr>
      <w:r>
        <w:t xml:space="preserve">SHELF LIFE </w:t>
      </w:r>
    </w:p>
    <w:p w14:paraId="3DDBAAD4" w14:textId="77777777" w:rsidR="00223ACB" w:rsidRDefault="00727D50" w:rsidP="007E4EF4">
      <w:r w:rsidRPr="00727D50">
        <w:t>In Australia, information on the shelf life can be found on the public summary of the Australian Register of Therapeutic Goods (ARTG). The expiry date can be found on the packaging.</w:t>
      </w:r>
    </w:p>
    <w:p w14:paraId="2F355697" w14:textId="77777777" w:rsidR="00336925" w:rsidRPr="0023081F" w:rsidRDefault="00336925" w:rsidP="006333A4">
      <w:pPr>
        <w:spacing w:after="60"/>
        <w:rPr>
          <w:i/>
        </w:rPr>
      </w:pPr>
      <w:r w:rsidRPr="0023081F">
        <w:rPr>
          <w:i/>
        </w:rPr>
        <w:t xml:space="preserve">After reconstitution </w:t>
      </w:r>
    </w:p>
    <w:p w14:paraId="2C47B4F3" w14:textId="77777777" w:rsidR="00223ACB" w:rsidRPr="00E05586" w:rsidRDefault="00336925" w:rsidP="007E4EF4">
      <w:r w:rsidRPr="00A25956">
        <w:t xml:space="preserve">After reconstitution/dilution, from a microbiological point of view, the product should be used immediately. However, </w:t>
      </w:r>
      <w:proofErr w:type="gramStart"/>
      <w:r w:rsidRPr="00A25956">
        <w:t>chemical</w:t>
      </w:r>
      <w:proofErr w:type="gramEnd"/>
      <w:r w:rsidRPr="00A25956">
        <w:t xml:space="preserve"> and physical in-use stability has been demonstrated for 24 hours at 2°C</w:t>
      </w:r>
      <w:r w:rsidRPr="00A25956">
        <w:noBreakHyphen/>
        <w:t>8°C.</w:t>
      </w:r>
    </w:p>
    <w:p w14:paraId="55F59CCD" w14:textId="77777777" w:rsidR="00223ACB" w:rsidRDefault="007E4EF4" w:rsidP="000550D7">
      <w:pPr>
        <w:pStyle w:val="Heading1"/>
        <w:numPr>
          <w:ilvl w:val="1"/>
          <w:numId w:val="21"/>
        </w:numPr>
        <w:tabs>
          <w:tab w:val="left" w:pos="567"/>
        </w:tabs>
        <w:ind w:left="567" w:hanging="567"/>
      </w:pPr>
      <w:r>
        <w:t xml:space="preserve">SPECIAL PRECAUTIONS FOR STORAGE </w:t>
      </w:r>
    </w:p>
    <w:p w14:paraId="4A8D4C19" w14:textId="77777777" w:rsidR="00223ACB" w:rsidRPr="00223ACB" w:rsidRDefault="00E05586" w:rsidP="007E4EF4">
      <w:pPr>
        <w:rPr>
          <w:highlight w:val="yellow"/>
        </w:rPr>
      </w:pPr>
      <w:r w:rsidRPr="00E05586">
        <w:t>Store ADCETRIS at 2°C</w:t>
      </w:r>
      <w:r w:rsidR="003A20A8">
        <w:t>-</w:t>
      </w:r>
      <w:r w:rsidRPr="00E05586">
        <w:t xml:space="preserve">8°C. Refrigerate. Do not freeze. Keep the vial in the original carton </w:t>
      </w:r>
      <w:proofErr w:type="gramStart"/>
      <w:r w:rsidRPr="00E05586">
        <w:t>in order to</w:t>
      </w:r>
      <w:proofErr w:type="gramEnd"/>
      <w:r w:rsidRPr="00E05586">
        <w:t xml:space="preserve"> protect from light. Do not use beyond the expiry date included on the carton/vial.</w:t>
      </w:r>
      <w:r w:rsidR="007E4EF4" w:rsidRPr="00223ACB">
        <w:rPr>
          <w:highlight w:val="yellow"/>
        </w:rPr>
        <w:t xml:space="preserve"> </w:t>
      </w:r>
    </w:p>
    <w:p w14:paraId="29AD3CF1" w14:textId="77777777" w:rsidR="00223ACB" w:rsidRDefault="007E4EF4" w:rsidP="000550D7">
      <w:pPr>
        <w:pStyle w:val="Heading1"/>
        <w:numPr>
          <w:ilvl w:val="1"/>
          <w:numId w:val="21"/>
        </w:numPr>
        <w:tabs>
          <w:tab w:val="left" w:pos="567"/>
        </w:tabs>
        <w:ind w:left="567" w:hanging="567"/>
      </w:pPr>
      <w:r>
        <w:t xml:space="preserve">NATURE AND CONTENTS OF CONTAINER </w:t>
      </w:r>
    </w:p>
    <w:p w14:paraId="7607A591" w14:textId="77777777" w:rsidR="00A048AF" w:rsidRPr="00A048AF" w:rsidRDefault="00E05586" w:rsidP="003301BE">
      <w:pPr>
        <w:rPr>
          <w:highlight w:val="yellow"/>
        </w:rPr>
      </w:pPr>
      <w:r w:rsidRPr="00E05586">
        <w:t xml:space="preserve">ADCETRIS is supplied in a glass vial with a butyl rubber stopper and an aluminium/plastic flip-off seal, containing 50 mg ADCETRIS as a white to off-white lyophilized cake or powder. Each pack of ADCETRIS contains 1 vial. </w:t>
      </w:r>
      <w:r w:rsidR="00A048AF" w:rsidRPr="00A048AF">
        <w:rPr>
          <w:highlight w:val="yellow"/>
        </w:rPr>
        <w:t xml:space="preserve"> </w:t>
      </w:r>
    </w:p>
    <w:p w14:paraId="1E679879" w14:textId="77777777" w:rsidR="00A048AF" w:rsidRDefault="00A048AF" w:rsidP="000550D7">
      <w:pPr>
        <w:pStyle w:val="Heading1"/>
        <w:numPr>
          <w:ilvl w:val="1"/>
          <w:numId w:val="21"/>
        </w:numPr>
        <w:tabs>
          <w:tab w:val="left" w:pos="567"/>
        </w:tabs>
        <w:ind w:left="567" w:hanging="567"/>
      </w:pPr>
      <w:r>
        <w:t xml:space="preserve">SPECIAL PRECAUTIONS FOR DISPOSAL </w:t>
      </w:r>
    </w:p>
    <w:p w14:paraId="075129E9" w14:textId="77777777" w:rsidR="00A048AF" w:rsidRPr="00A048AF" w:rsidRDefault="005D6382" w:rsidP="005D6382">
      <w:pPr>
        <w:rPr>
          <w:highlight w:val="yellow"/>
        </w:rPr>
      </w:pPr>
      <w:r>
        <w:t>ADCETRIS is for single use in one patient only.  Any unused product or waste material should be disposed of in accordance with local requirements.</w:t>
      </w:r>
      <w:r w:rsidR="00A048AF" w:rsidRPr="00A048AF">
        <w:rPr>
          <w:highlight w:val="yellow"/>
        </w:rPr>
        <w:t xml:space="preserve"> </w:t>
      </w:r>
    </w:p>
    <w:p w14:paraId="4FC17BDA" w14:textId="77777777" w:rsidR="00A048AF" w:rsidRDefault="00A048AF" w:rsidP="000550D7">
      <w:pPr>
        <w:pStyle w:val="Heading1"/>
        <w:numPr>
          <w:ilvl w:val="1"/>
          <w:numId w:val="21"/>
        </w:numPr>
        <w:tabs>
          <w:tab w:val="left" w:pos="567"/>
        </w:tabs>
        <w:ind w:left="567" w:hanging="567"/>
      </w:pPr>
      <w:r>
        <w:lastRenderedPageBreak/>
        <w:t xml:space="preserve">PHYSICOCHEMICAL PROPERTIES </w:t>
      </w:r>
    </w:p>
    <w:p w14:paraId="4CB93A7A" w14:textId="77777777" w:rsidR="00A048AF" w:rsidRDefault="00A048AF" w:rsidP="007059A5">
      <w:pPr>
        <w:pStyle w:val="Heading2"/>
      </w:pPr>
      <w:r>
        <w:t xml:space="preserve">Chemical structure </w:t>
      </w:r>
    </w:p>
    <w:p w14:paraId="790543D1" w14:textId="77777777" w:rsidR="000E0B9F" w:rsidRDefault="000E0B9F" w:rsidP="000E0B9F">
      <w:r>
        <w:t xml:space="preserve">ADCETRIS (brentuximab </w:t>
      </w:r>
      <w:proofErr w:type="spellStart"/>
      <w:r>
        <w:t>vedotin</w:t>
      </w:r>
      <w:proofErr w:type="spellEnd"/>
      <w:r>
        <w:t>) is a CD30-directed antibody-drug conjugate (ADC) consisting of three components: 1) the chimeric IgG1 antibody cAC10, specific for human CD30, 2) the microtubule disrupting agent MMAE, and 3) a protease-cleavable linker that covalently attaches MMAE to cAC10.</w:t>
      </w:r>
    </w:p>
    <w:p w14:paraId="5A079F89" w14:textId="77777777" w:rsidR="000E0B9F" w:rsidRDefault="00EB02D8" w:rsidP="000E0B9F">
      <w:pPr>
        <w:jc w:val="center"/>
      </w:pPr>
      <w:r w:rsidRPr="00EB02D8">
        <w:rPr>
          <w:rFonts w:cs="Arial"/>
          <w:noProof/>
          <w:lang w:eastAsia="en-AU"/>
        </w:rPr>
        <w:drawing>
          <wp:inline distT="0" distB="0" distL="0" distR="0" wp14:anchorId="01819D73" wp14:editId="687C0514">
            <wp:extent cx="5422900" cy="126301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900" cy="1263015"/>
                    </a:xfrm>
                    <a:prstGeom prst="rect">
                      <a:avLst/>
                    </a:prstGeom>
                    <a:noFill/>
                    <a:ln>
                      <a:noFill/>
                    </a:ln>
                  </pic:spPr>
                </pic:pic>
              </a:graphicData>
            </a:graphic>
          </wp:inline>
        </w:drawing>
      </w:r>
    </w:p>
    <w:p w14:paraId="71803949" w14:textId="77777777" w:rsidR="00A048AF" w:rsidRPr="00A048AF" w:rsidRDefault="000E0B9F" w:rsidP="000E0B9F">
      <w:pPr>
        <w:rPr>
          <w:highlight w:val="yellow"/>
        </w:rPr>
      </w:pPr>
      <w:r>
        <w:t xml:space="preserve">Brentuximab </w:t>
      </w:r>
      <w:proofErr w:type="spellStart"/>
      <w:r>
        <w:t>vedotin</w:t>
      </w:r>
      <w:proofErr w:type="spellEnd"/>
      <w:r>
        <w:t xml:space="preserve"> has an approximate molecular weight of 153 </w:t>
      </w:r>
      <w:proofErr w:type="spellStart"/>
      <w:r>
        <w:t>kDa</w:t>
      </w:r>
      <w:proofErr w:type="spellEnd"/>
      <w:r>
        <w:t xml:space="preserve">. Approximately 4 molecules of MMAE are attached to each antibody molecule. Brentuximab </w:t>
      </w:r>
      <w:proofErr w:type="spellStart"/>
      <w:r>
        <w:t>vedotin</w:t>
      </w:r>
      <w:proofErr w:type="spellEnd"/>
      <w:r>
        <w:t xml:space="preserve"> is produced by chemical conjugation of the antibody and small molecule components. The antibody is produced by mammalian (Chinese hamster ovary) cells, and the small molecule components are produced by chemical synthesis.</w:t>
      </w:r>
      <w:r w:rsidR="00A048AF" w:rsidRPr="00A048AF">
        <w:rPr>
          <w:highlight w:val="yellow"/>
        </w:rPr>
        <w:t xml:space="preserve"> </w:t>
      </w:r>
    </w:p>
    <w:p w14:paraId="5F22A2A6" w14:textId="77777777" w:rsidR="00A048AF" w:rsidRDefault="00A048AF" w:rsidP="007059A5">
      <w:pPr>
        <w:pStyle w:val="Heading2"/>
      </w:pPr>
      <w:r>
        <w:t xml:space="preserve">CAS number </w:t>
      </w:r>
    </w:p>
    <w:p w14:paraId="4EC6A155" w14:textId="77777777" w:rsidR="00A048AF" w:rsidRDefault="000E0B9F" w:rsidP="00A048AF">
      <w:pPr>
        <w:rPr>
          <w:highlight w:val="yellow"/>
        </w:rPr>
      </w:pPr>
      <w:r w:rsidRPr="000E0B9F">
        <w:t>914088-09-8</w:t>
      </w:r>
      <w:r w:rsidR="00A048AF" w:rsidRPr="00A048AF">
        <w:rPr>
          <w:highlight w:val="yellow"/>
        </w:rPr>
        <w:t xml:space="preserve"> </w:t>
      </w:r>
    </w:p>
    <w:p w14:paraId="35280A5A" w14:textId="77777777" w:rsidR="00DA29D8" w:rsidRDefault="00DA29D8" w:rsidP="000550D7">
      <w:pPr>
        <w:pStyle w:val="Heading1"/>
        <w:numPr>
          <w:ilvl w:val="0"/>
          <w:numId w:val="21"/>
        </w:numPr>
        <w:tabs>
          <w:tab w:val="left" w:pos="567"/>
        </w:tabs>
        <w:ind w:left="567" w:hanging="567"/>
      </w:pPr>
      <w:r>
        <w:t xml:space="preserve">PATIENT COUNSELLING INFORMATION </w:t>
      </w:r>
    </w:p>
    <w:p w14:paraId="5C21FBAE" w14:textId="77777777" w:rsidR="00DA29D8" w:rsidRDefault="00DA29D8" w:rsidP="006333A4">
      <w:pPr>
        <w:spacing w:after="60"/>
      </w:pPr>
      <w:r>
        <w:t>Patients should be provided with a copy of the Consumer Medicine Information (available at https://www.ebs.tga.gov.au/).</w:t>
      </w:r>
    </w:p>
    <w:p w14:paraId="1EC12C03" w14:textId="77777777" w:rsidR="00DA29D8" w:rsidRDefault="00DA29D8" w:rsidP="006333A4">
      <w:pPr>
        <w:spacing w:after="60"/>
      </w:pPr>
      <w:r>
        <w:t xml:space="preserve">Patients should be advised to contact their treating physician if they experience signs and symptoms of adverse reactions with the use ADCETRIS as described in the CMI. </w:t>
      </w:r>
    </w:p>
    <w:p w14:paraId="73C234D8" w14:textId="77777777" w:rsidR="00DA29D8" w:rsidRDefault="00DA29D8" w:rsidP="00DA29D8">
      <w:pPr>
        <w:rPr>
          <w:highlight w:val="yellow"/>
        </w:rPr>
      </w:pPr>
      <w:r>
        <w:t>Patients should be reminded to inform all treating healthcare professionals that they are receiving ADCETRIS.</w:t>
      </w:r>
    </w:p>
    <w:p w14:paraId="7C7246CA" w14:textId="77777777" w:rsidR="00A048AF" w:rsidRPr="00A048AF" w:rsidRDefault="00A048AF" w:rsidP="000550D7">
      <w:pPr>
        <w:pStyle w:val="Heading1"/>
        <w:numPr>
          <w:ilvl w:val="0"/>
          <w:numId w:val="21"/>
        </w:numPr>
        <w:tabs>
          <w:tab w:val="left" w:pos="567"/>
        </w:tabs>
        <w:ind w:left="567" w:hanging="567"/>
      </w:pPr>
      <w:r w:rsidRPr="00A048AF">
        <w:t xml:space="preserve">MEDICINE SCHEDULE (POISONS STANDARD) </w:t>
      </w:r>
    </w:p>
    <w:p w14:paraId="4712AB31" w14:textId="77777777" w:rsidR="00A048AF" w:rsidRDefault="007D4A1D" w:rsidP="00A048AF">
      <w:pPr>
        <w:rPr>
          <w:highlight w:val="yellow"/>
        </w:rPr>
      </w:pPr>
      <w:r>
        <w:rPr>
          <w:rFonts w:cs="Arial"/>
        </w:rPr>
        <w:t>Prescription Only Medicine (</w:t>
      </w:r>
      <w:r w:rsidRPr="007D4A1D">
        <w:t>Schedule 4</w:t>
      </w:r>
      <w:r>
        <w:t>)</w:t>
      </w:r>
      <w:r w:rsidR="00A048AF" w:rsidRPr="00A048AF">
        <w:rPr>
          <w:highlight w:val="yellow"/>
        </w:rPr>
        <w:t xml:space="preserve"> </w:t>
      </w:r>
    </w:p>
    <w:p w14:paraId="323E61BA" w14:textId="77777777" w:rsidR="00A048AF" w:rsidRPr="00A048AF" w:rsidRDefault="00A048AF" w:rsidP="000550D7">
      <w:pPr>
        <w:pStyle w:val="Heading1"/>
        <w:numPr>
          <w:ilvl w:val="0"/>
          <w:numId w:val="21"/>
        </w:numPr>
        <w:tabs>
          <w:tab w:val="left" w:pos="567"/>
        </w:tabs>
        <w:ind w:left="567" w:hanging="567"/>
      </w:pPr>
      <w:r w:rsidRPr="00A048AF">
        <w:t xml:space="preserve">SPONSOR </w:t>
      </w:r>
    </w:p>
    <w:p w14:paraId="1E37D7C4" w14:textId="77777777" w:rsidR="002F3EA9" w:rsidRPr="002F3EA9" w:rsidRDefault="002F3EA9" w:rsidP="002F3EA9">
      <w:pPr>
        <w:spacing w:after="0"/>
      </w:pPr>
      <w:r w:rsidRPr="002F3EA9">
        <w:t>Takeda Pharmaceuticals Australia Pty Ltd</w:t>
      </w:r>
    </w:p>
    <w:p w14:paraId="5F5D40B6" w14:textId="77777777" w:rsidR="002F3EA9" w:rsidRDefault="00B712AE" w:rsidP="002F3EA9">
      <w:pPr>
        <w:spacing w:after="0"/>
      </w:pPr>
      <w:r>
        <w:t xml:space="preserve">Level 39, </w:t>
      </w:r>
      <w:r w:rsidR="00070D9B">
        <w:t>225</w:t>
      </w:r>
      <w:r w:rsidR="003809BE">
        <w:t xml:space="preserve"> George Street</w:t>
      </w:r>
    </w:p>
    <w:p w14:paraId="17885D09" w14:textId="77777777" w:rsidR="003809BE" w:rsidRPr="002F3EA9" w:rsidRDefault="003809BE" w:rsidP="002F3EA9">
      <w:pPr>
        <w:spacing w:after="0"/>
      </w:pPr>
      <w:r>
        <w:t>Sydney NSW 200</w:t>
      </w:r>
      <w:r w:rsidR="006C3919">
        <w:t>0</w:t>
      </w:r>
    </w:p>
    <w:p w14:paraId="6565F0B8" w14:textId="77777777" w:rsidR="00C0307D" w:rsidRDefault="006B73F3" w:rsidP="002F3EA9">
      <w:pPr>
        <w:spacing w:after="0"/>
      </w:pPr>
      <w:r w:rsidRPr="006B73F3">
        <w:t xml:space="preserve">Ph: </w:t>
      </w:r>
      <w:r w:rsidR="00214B7C" w:rsidRPr="001324CB">
        <w:t>1800 012 612</w:t>
      </w:r>
    </w:p>
    <w:p w14:paraId="12D0A381" w14:textId="69877373" w:rsidR="002467C3" w:rsidRDefault="00593149" w:rsidP="002F3EA9">
      <w:pPr>
        <w:spacing w:after="0"/>
      </w:pPr>
      <w:hyperlink r:id="rId13" w:history="1">
        <w:r w:rsidR="00C0307D" w:rsidRPr="00A961CE">
          <w:rPr>
            <w:rStyle w:val="Hyperlink"/>
          </w:rPr>
          <w:t>www.takeda.com/en-au</w:t>
        </w:r>
      </w:hyperlink>
    </w:p>
    <w:p w14:paraId="691D4B7A" w14:textId="77777777" w:rsidR="002D35A3" w:rsidRDefault="002D35A3" w:rsidP="002F3EA9">
      <w:pPr>
        <w:spacing w:after="0"/>
      </w:pPr>
    </w:p>
    <w:p w14:paraId="23E56954" w14:textId="77777777" w:rsidR="009A7D32" w:rsidRDefault="009A7D32" w:rsidP="000550D7">
      <w:pPr>
        <w:pStyle w:val="Heading1"/>
        <w:numPr>
          <w:ilvl w:val="0"/>
          <w:numId w:val="21"/>
        </w:numPr>
        <w:tabs>
          <w:tab w:val="left" w:pos="567"/>
        </w:tabs>
        <w:ind w:left="567" w:hanging="567"/>
      </w:pPr>
      <w:r>
        <w:t xml:space="preserve">DATE OF FIRST APPROVAL </w:t>
      </w:r>
    </w:p>
    <w:p w14:paraId="33068579" w14:textId="77777777" w:rsidR="009A7D32" w:rsidRPr="009A7D32" w:rsidRDefault="007D4A1D" w:rsidP="009A7D32">
      <w:pPr>
        <w:rPr>
          <w:highlight w:val="yellow"/>
        </w:rPr>
      </w:pPr>
      <w:r w:rsidRPr="007D4A1D">
        <w:t>20 December 2013</w:t>
      </w:r>
      <w:r w:rsidR="009A7D32" w:rsidRPr="009A7D32">
        <w:rPr>
          <w:highlight w:val="yellow"/>
        </w:rPr>
        <w:t xml:space="preserve"> </w:t>
      </w:r>
    </w:p>
    <w:p w14:paraId="1C3B3126" w14:textId="77777777" w:rsidR="009A7D32" w:rsidRDefault="009A7D32" w:rsidP="000550D7">
      <w:pPr>
        <w:pStyle w:val="Heading1"/>
        <w:numPr>
          <w:ilvl w:val="0"/>
          <w:numId w:val="21"/>
        </w:numPr>
        <w:tabs>
          <w:tab w:val="left" w:pos="567"/>
        </w:tabs>
        <w:ind w:left="567" w:hanging="567"/>
      </w:pPr>
      <w:r>
        <w:lastRenderedPageBreak/>
        <w:t xml:space="preserve">DATE OF REVISION </w:t>
      </w:r>
    </w:p>
    <w:p w14:paraId="560FC82E" w14:textId="0E7BC3E1" w:rsidR="00857BED" w:rsidRPr="00857BED" w:rsidRDefault="00857BED" w:rsidP="003D65EB">
      <w:pPr>
        <w:rPr>
          <w:bCs/>
        </w:rPr>
      </w:pPr>
      <w:r>
        <w:rPr>
          <w:bCs/>
        </w:rPr>
        <w:t xml:space="preserve"> </w:t>
      </w:r>
      <w:r w:rsidR="00FB7C22">
        <w:rPr>
          <w:bCs/>
        </w:rPr>
        <w:t>9 January 2024</w:t>
      </w:r>
    </w:p>
    <w:p w14:paraId="527980C3" w14:textId="17DD5400" w:rsidR="009A7D32" w:rsidRPr="003D65EB" w:rsidRDefault="009A7D32" w:rsidP="003D65EB">
      <w:pPr>
        <w:rPr>
          <w:b/>
        </w:rPr>
      </w:pPr>
      <w:r w:rsidRPr="003D65EB">
        <w:rPr>
          <w:b/>
        </w:rPr>
        <w:t>Summary table of changes</w:t>
      </w:r>
    </w:p>
    <w:tbl>
      <w:tblPr>
        <w:tblStyle w:val="TableGrid"/>
        <w:tblW w:w="9634" w:type="dxa"/>
        <w:tblLook w:val="04A0" w:firstRow="1" w:lastRow="0" w:firstColumn="1" w:lastColumn="0" w:noHBand="0" w:noVBand="1"/>
      </w:tblPr>
      <w:tblGrid>
        <w:gridCol w:w="1354"/>
        <w:gridCol w:w="8280"/>
      </w:tblGrid>
      <w:tr w:rsidR="009A7D32" w:rsidRPr="009A7D32" w14:paraId="29164F2D" w14:textId="77777777" w:rsidTr="00857BED">
        <w:tc>
          <w:tcPr>
            <w:tcW w:w="1354" w:type="dxa"/>
            <w:tcBorders>
              <w:bottom w:val="single" w:sz="12" w:space="0" w:color="auto"/>
            </w:tcBorders>
          </w:tcPr>
          <w:p w14:paraId="1A4DA617" w14:textId="77777777" w:rsidR="009A7D32" w:rsidRPr="009A7D32" w:rsidRDefault="009A7D32" w:rsidP="009A7D32">
            <w:pPr>
              <w:rPr>
                <w:b/>
              </w:rPr>
            </w:pPr>
            <w:r w:rsidRPr="009A7D32">
              <w:rPr>
                <w:b/>
              </w:rPr>
              <w:t>Section changed</w:t>
            </w:r>
          </w:p>
        </w:tc>
        <w:tc>
          <w:tcPr>
            <w:tcW w:w="8274" w:type="dxa"/>
            <w:tcBorders>
              <w:bottom w:val="single" w:sz="12" w:space="0" w:color="auto"/>
            </w:tcBorders>
          </w:tcPr>
          <w:p w14:paraId="2FE96D64" w14:textId="77777777" w:rsidR="009A7D32" w:rsidRPr="009A7D32" w:rsidRDefault="009A7D32" w:rsidP="009A7D32">
            <w:pPr>
              <w:rPr>
                <w:b/>
              </w:rPr>
            </w:pPr>
            <w:r w:rsidRPr="009A7D32">
              <w:rPr>
                <w:b/>
              </w:rPr>
              <w:t>Summary of new information</w:t>
            </w:r>
          </w:p>
        </w:tc>
      </w:tr>
      <w:tr w:rsidR="00737D29" w14:paraId="44ABA7A1" w14:textId="77777777" w:rsidTr="00857BED">
        <w:tc>
          <w:tcPr>
            <w:tcW w:w="1354" w:type="dxa"/>
            <w:tcBorders>
              <w:top w:val="single" w:sz="12" w:space="0" w:color="auto"/>
              <w:bottom w:val="single" w:sz="12" w:space="0" w:color="auto"/>
            </w:tcBorders>
          </w:tcPr>
          <w:p w14:paraId="3AB8EE0A" w14:textId="24594CA4" w:rsidR="00737D29" w:rsidRDefault="00737D29" w:rsidP="00737D29">
            <w:pPr>
              <w:jc w:val="left"/>
            </w:pPr>
            <w:r>
              <w:t>4.1, 4.2, 4.5, 4.8</w:t>
            </w:r>
            <w:proofErr w:type="gramStart"/>
            <w:r>
              <w:t>,  5.1</w:t>
            </w:r>
            <w:proofErr w:type="gramEnd"/>
            <w:r>
              <w:t xml:space="preserve"> </w:t>
            </w:r>
          </w:p>
        </w:tc>
        <w:tc>
          <w:tcPr>
            <w:tcW w:w="8280" w:type="dxa"/>
            <w:tcBorders>
              <w:top w:val="single" w:sz="12" w:space="0" w:color="auto"/>
              <w:bottom w:val="single" w:sz="12" w:space="0" w:color="auto"/>
            </w:tcBorders>
          </w:tcPr>
          <w:p w14:paraId="6390CA3E" w14:textId="3FFEDE47" w:rsidR="00737D29" w:rsidRDefault="00737D29" w:rsidP="00737D29">
            <w:pPr>
              <w:jc w:val="left"/>
            </w:pPr>
            <w:r>
              <w:t xml:space="preserve">Update to include new indication and information relating to previously untreated </w:t>
            </w:r>
            <w:r w:rsidR="00032584" w:rsidRPr="00032584">
              <w:t>Stage III or Stage IV</w:t>
            </w:r>
            <w:r>
              <w:t xml:space="preserve"> HL</w:t>
            </w:r>
          </w:p>
        </w:tc>
      </w:tr>
      <w:tr w:rsidR="00737D29" w14:paraId="01BD7105" w14:textId="77777777" w:rsidTr="00857BED">
        <w:tc>
          <w:tcPr>
            <w:tcW w:w="1354" w:type="dxa"/>
            <w:tcBorders>
              <w:top w:val="single" w:sz="12" w:space="0" w:color="auto"/>
            </w:tcBorders>
          </w:tcPr>
          <w:p w14:paraId="32F0C261" w14:textId="0242FE57" w:rsidR="00737D29" w:rsidRDefault="00737D29" w:rsidP="00737D29">
            <w:pPr>
              <w:jc w:val="left"/>
            </w:pPr>
            <w:r>
              <w:t>4.6</w:t>
            </w:r>
          </w:p>
        </w:tc>
        <w:tc>
          <w:tcPr>
            <w:tcW w:w="8280" w:type="dxa"/>
            <w:tcBorders>
              <w:top w:val="single" w:sz="12" w:space="0" w:color="auto"/>
            </w:tcBorders>
          </w:tcPr>
          <w:p w14:paraId="595DE23F" w14:textId="108F85DA" w:rsidR="00737D29" w:rsidRDefault="00737D29" w:rsidP="00737D29">
            <w:pPr>
              <w:jc w:val="left"/>
            </w:pPr>
            <w:r w:rsidRPr="00737D29">
              <w:t xml:space="preserve">Updated safety information relating to ovarian toxicity, a potential class effect of MMAE-conjugated ADCs </w:t>
            </w:r>
          </w:p>
        </w:tc>
      </w:tr>
    </w:tbl>
    <w:p w14:paraId="084AB60A" w14:textId="77777777" w:rsidR="00F84474" w:rsidRDefault="00F84474" w:rsidP="00CE15DE">
      <w:pPr>
        <w:jc w:val="left"/>
      </w:pPr>
    </w:p>
    <w:p w14:paraId="35365C59" w14:textId="1EF7BD5D" w:rsidR="009A7D32" w:rsidRDefault="00F84474" w:rsidP="00CE15DE">
      <w:pPr>
        <w:jc w:val="left"/>
      </w:pPr>
      <w:r w:rsidRPr="00F84474">
        <w:t>ADCETRIS</w:t>
      </w:r>
      <w:r w:rsidRPr="00F84474">
        <w:rPr>
          <w:vertAlign w:val="superscript"/>
        </w:rPr>
        <w:t>®</w:t>
      </w:r>
      <w:r w:rsidRPr="00F84474">
        <w:t xml:space="preserve"> </w:t>
      </w:r>
      <w:r w:rsidR="00236F8C" w:rsidRPr="00236F8C">
        <w:t xml:space="preserve">and </w:t>
      </w:r>
      <w:bookmarkStart w:id="52" w:name="_Hlk119665011"/>
      <w:r w:rsidR="00236F8C" w:rsidRPr="00236F8C">
        <w:t>the ADCETRIS Logo are</w:t>
      </w:r>
      <w:bookmarkEnd w:id="52"/>
      <w:r w:rsidRPr="00F84474">
        <w:t xml:space="preserve"> registered trademark</w:t>
      </w:r>
      <w:r w:rsidR="00236F8C">
        <w:t>s</w:t>
      </w:r>
      <w:r w:rsidRPr="00F84474">
        <w:t xml:space="preserve"> of Millennium Pharmaceuticals, Inc., a Takeda Company</w:t>
      </w:r>
      <w:r w:rsidR="00236F8C">
        <w:t>.</w:t>
      </w:r>
    </w:p>
    <w:p w14:paraId="0F9984AF" w14:textId="21CEBA57" w:rsidR="00516720" w:rsidRPr="009A7D32" w:rsidRDefault="00516720" w:rsidP="00CE15DE">
      <w:pPr>
        <w:jc w:val="left"/>
      </w:pPr>
      <w:r w:rsidRPr="00516720">
        <w:t>TAKEDA</w:t>
      </w:r>
      <w:r>
        <w:t xml:space="preserve"> </w:t>
      </w:r>
      <w:r w:rsidRPr="00516720">
        <w:t>and the TAKEDA Logo are registered trademarks of Takeda Pharmaceutical Company Limited.</w:t>
      </w:r>
      <w:r w:rsidRPr="009A7D32">
        <w:t xml:space="preserve"> </w:t>
      </w:r>
    </w:p>
    <w:sectPr w:rsidR="00516720" w:rsidRPr="009A7D32" w:rsidSect="005B23D4">
      <w:headerReference w:type="default" r:id="rId14"/>
      <w:footerReference w:type="default" r:id="rId15"/>
      <w:pgSz w:w="11906" w:h="16838"/>
      <w:pgMar w:top="990" w:right="1134" w:bottom="1080"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95E1" w14:textId="77777777" w:rsidR="00956BB4" w:rsidRDefault="00956BB4">
      <w:r>
        <w:separator/>
      </w:r>
    </w:p>
  </w:endnote>
  <w:endnote w:type="continuationSeparator" w:id="0">
    <w:p w14:paraId="4DBDE16B" w14:textId="77777777" w:rsidR="00956BB4" w:rsidRDefault="00956BB4">
      <w:r>
        <w:continuationSeparator/>
      </w:r>
    </w:p>
  </w:endnote>
  <w:endnote w:type="continuationNotice" w:id="1">
    <w:p w14:paraId="5847C510" w14:textId="77777777" w:rsidR="00956BB4" w:rsidRDefault="00956B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B2"/>
    <w:family w:val="auto"/>
    <w:notTrueType/>
    <w:pitch w:val="default"/>
    <w:sig w:usb0="00002003" w:usb1="08070000" w:usb2="00000010" w:usb3="00000000" w:csb0="0002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3243"/>
      <w:gridCol w:w="3195"/>
      <w:gridCol w:w="3200"/>
    </w:tblGrid>
    <w:tr w:rsidR="00DE4B6E" w14:paraId="5836A00C" w14:textId="77777777">
      <w:tc>
        <w:tcPr>
          <w:tcW w:w="3382" w:type="dxa"/>
          <w:tcBorders>
            <w:top w:val="single" w:sz="4" w:space="0" w:color="auto"/>
          </w:tcBorders>
        </w:tcPr>
        <w:p w14:paraId="09E48E08" w14:textId="404EE5D5" w:rsidR="00DE4B6E" w:rsidRPr="00192371" w:rsidRDefault="00DE4B6E" w:rsidP="00B16D0E">
          <w:pPr>
            <w:pStyle w:val="Footer"/>
            <w:tabs>
              <w:tab w:val="right" w:pos="-1843"/>
              <w:tab w:val="center" w:pos="4962"/>
              <w:tab w:val="right" w:pos="9923"/>
              <w:tab w:val="right" w:pos="10632"/>
            </w:tabs>
            <w:jc w:val="left"/>
            <w:rPr>
              <w:rStyle w:val="PageNumber"/>
              <w:bCs/>
              <w:iCs/>
              <w:sz w:val="20"/>
              <w:lang w:val="fr-FR"/>
            </w:rPr>
          </w:pPr>
          <w:r>
            <w:rPr>
              <w:bCs/>
              <w:iCs/>
              <w:sz w:val="20"/>
              <w:lang w:val="fr-FR"/>
            </w:rPr>
            <w:t xml:space="preserve">ADCETRIS </w:t>
          </w:r>
          <w:r w:rsidR="006B70A0">
            <w:rPr>
              <w:bCs/>
              <w:iCs/>
              <w:sz w:val="20"/>
              <w:lang w:val="fr-FR"/>
            </w:rPr>
            <w:t>V 12.0</w:t>
          </w:r>
          <w:r w:rsidR="001F6B30">
            <w:rPr>
              <w:bCs/>
              <w:iCs/>
              <w:sz w:val="20"/>
              <w:lang w:val="fr-FR"/>
            </w:rPr>
            <w:t xml:space="preserve"> </w:t>
          </w:r>
          <w:r>
            <w:rPr>
              <w:bCs/>
              <w:iCs/>
              <w:sz w:val="20"/>
              <w:lang w:val="fr-FR"/>
            </w:rPr>
            <w:t>(</w:t>
          </w:r>
          <w:r w:rsidRPr="00192371">
            <w:rPr>
              <w:bCs/>
              <w:iCs/>
              <w:sz w:val="20"/>
              <w:lang w:val="fr-FR"/>
            </w:rPr>
            <w:t xml:space="preserve">CCDS </w:t>
          </w:r>
          <w:r w:rsidR="00EC4981">
            <w:rPr>
              <w:bCs/>
              <w:iCs/>
              <w:sz w:val="20"/>
              <w:lang w:val="fr-FR"/>
            </w:rPr>
            <w:t>V10</w:t>
          </w:r>
          <w:r>
            <w:rPr>
              <w:bCs/>
              <w:iCs/>
              <w:sz w:val="20"/>
              <w:lang w:val="fr-FR"/>
            </w:rPr>
            <w:t>)</w:t>
          </w:r>
        </w:p>
      </w:tc>
      <w:tc>
        <w:tcPr>
          <w:tcW w:w="3382" w:type="dxa"/>
          <w:tcBorders>
            <w:top w:val="single" w:sz="4" w:space="0" w:color="auto"/>
          </w:tcBorders>
        </w:tcPr>
        <w:p w14:paraId="20298F6B" w14:textId="77777777" w:rsidR="00DE4B6E" w:rsidRPr="00192371" w:rsidRDefault="00DE4B6E" w:rsidP="009B484A">
          <w:pPr>
            <w:pStyle w:val="Footer"/>
            <w:tabs>
              <w:tab w:val="right" w:pos="-1843"/>
              <w:tab w:val="center" w:pos="4962"/>
              <w:tab w:val="right" w:pos="9923"/>
              <w:tab w:val="right" w:pos="10632"/>
            </w:tabs>
            <w:jc w:val="center"/>
            <w:rPr>
              <w:rStyle w:val="PageNumber"/>
              <w:bCs/>
              <w:iCs/>
              <w:sz w:val="20"/>
              <w:lang w:val="fr-FR"/>
            </w:rPr>
          </w:pPr>
        </w:p>
      </w:tc>
      <w:tc>
        <w:tcPr>
          <w:tcW w:w="3382" w:type="dxa"/>
          <w:tcBorders>
            <w:top w:val="single" w:sz="4" w:space="0" w:color="auto"/>
          </w:tcBorders>
        </w:tcPr>
        <w:p w14:paraId="756FAC6C" w14:textId="77777777" w:rsidR="00DE4B6E" w:rsidRPr="00192371" w:rsidRDefault="00DE4B6E">
          <w:pPr>
            <w:pStyle w:val="Footer"/>
            <w:tabs>
              <w:tab w:val="right" w:pos="-1843"/>
              <w:tab w:val="center" w:pos="4962"/>
              <w:tab w:val="right" w:pos="9923"/>
              <w:tab w:val="right" w:pos="10632"/>
            </w:tabs>
            <w:jc w:val="right"/>
            <w:rPr>
              <w:rStyle w:val="PageNumber"/>
              <w:bCs/>
              <w:iCs/>
              <w:sz w:val="20"/>
            </w:rPr>
          </w:pPr>
          <w:r w:rsidRPr="00192371">
            <w:rPr>
              <w:rStyle w:val="PageNumber"/>
              <w:iCs/>
              <w:sz w:val="20"/>
            </w:rPr>
            <w:fldChar w:fldCharType="begin"/>
          </w:r>
          <w:r w:rsidRPr="00192371">
            <w:rPr>
              <w:rStyle w:val="PageNumber"/>
              <w:iCs/>
              <w:sz w:val="20"/>
            </w:rPr>
            <w:instrText xml:space="preserve"> PAGE </w:instrText>
          </w:r>
          <w:r w:rsidRPr="00192371">
            <w:rPr>
              <w:rStyle w:val="PageNumber"/>
              <w:iCs/>
              <w:sz w:val="20"/>
            </w:rPr>
            <w:fldChar w:fldCharType="separate"/>
          </w:r>
          <w:r w:rsidRPr="00192371">
            <w:rPr>
              <w:rStyle w:val="PageNumber"/>
              <w:iCs/>
              <w:noProof/>
              <w:sz w:val="20"/>
            </w:rPr>
            <w:t>3</w:t>
          </w:r>
          <w:r w:rsidRPr="00192371">
            <w:rPr>
              <w:rStyle w:val="PageNumber"/>
              <w:iCs/>
              <w:sz w:val="20"/>
            </w:rPr>
            <w:fldChar w:fldCharType="end"/>
          </w:r>
          <w:r w:rsidRPr="00192371">
            <w:rPr>
              <w:bCs/>
              <w:iCs/>
              <w:sz w:val="20"/>
            </w:rPr>
            <w:t xml:space="preserve"> </w:t>
          </w:r>
        </w:p>
      </w:tc>
    </w:tr>
  </w:tbl>
  <w:p w14:paraId="42A6CD18" w14:textId="77777777" w:rsidR="00DE4B6E" w:rsidRDefault="00DE4B6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E55B" w14:textId="77777777" w:rsidR="00956BB4" w:rsidRDefault="00956BB4">
      <w:r>
        <w:separator/>
      </w:r>
    </w:p>
  </w:footnote>
  <w:footnote w:type="continuationSeparator" w:id="0">
    <w:p w14:paraId="45584779" w14:textId="77777777" w:rsidR="00956BB4" w:rsidRDefault="00956BB4">
      <w:r>
        <w:continuationSeparator/>
      </w:r>
    </w:p>
  </w:footnote>
  <w:footnote w:type="continuationNotice" w:id="1">
    <w:p w14:paraId="25FC16B3" w14:textId="77777777" w:rsidR="00956BB4" w:rsidRDefault="00956B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39"/>
    </w:tblGrid>
    <w:tr w:rsidR="00685E71" w:rsidRPr="000B2145" w14:paraId="41A78CC2" w14:textId="77777777" w:rsidTr="003B69BB">
      <w:trPr>
        <w:trHeight w:val="977"/>
      </w:trPr>
      <w:tc>
        <w:tcPr>
          <w:tcW w:w="9039" w:type="dxa"/>
          <w:shd w:val="clear" w:color="auto" w:fill="E4F2E0"/>
        </w:tcPr>
        <w:p w14:paraId="21227321" w14:textId="333D471D" w:rsidR="00685E71" w:rsidRPr="00516D0F" w:rsidRDefault="00685E71" w:rsidP="003B69BB">
          <w:pPr>
            <w:pStyle w:val="Footer"/>
            <w:spacing w:before="120" w:after="120"/>
            <w:jc w:val="left"/>
            <w:rPr>
              <w:rFonts w:ascii="Arial" w:hAnsi="Arial" w:cs="Arial"/>
              <w:b/>
              <w:sz w:val="16"/>
              <w:szCs w:val="16"/>
            </w:rPr>
          </w:pPr>
          <w:r w:rsidRPr="00516D0F">
            <w:rPr>
              <w:rFonts w:ascii="Arial" w:hAnsi="Arial" w:cs="Arial"/>
              <w:b/>
              <w:sz w:val="16"/>
              <w:szCs w:val="16"/>
            </w:rPr>
            <w:t xml:space="preserve">Attachment </w:t>
          </w:r>
          <w:proofErr w:type="spellStart"/>
          <w:r w:rsidRPr="00516D0F">
            <w:rPr>
              <w:rFonts w:ascii="Arial" w:hAnsi="Arial" w:cs="Arial"/>
              <w:b/>
              <w:sz w:val="16"/>
              <w:szCs w:val="16"/>
            </w:rPr>
            <w:t>AusPAR</w:t>
          </w:r>
          <w:proofErr w:type="spellEnd"/>
          <w:r w:rsidRPr="00516D0F">
            <w:rPr>
              <w:rFonts w:ascii="Arial" w:hAnsi="Arial" w:cs="Arial"/>
              <w:b/>
              <w:sz w:val="16"/>
              <w:szCs w:val="16"/>
            </w:rPr>
            <w:t xml:space="preserve"> – ADCETRIS – brentuximab </w:t>
          </w:r>
          <w:proofErr w:type="spellStart"/>
          <w:r w:rsidRPr="00516D0F">
            <w:rPr>
              <w:rFonts w:ascii="Arial" w:hAnsi="Arial" w:cs="Arial"/>
              <w:b/>
              <w:sz w:val="16"/>
              <w:szCs w:val="16"/>
            </w:rPr>
            <w:t>vedotin</w:t>
          </w:r>
          <w:proofErr w:type="spellEnd"/>
          <w:r w:rsidRPr="00516D0F">
            <w:rPr>
              <w:rFonts w:ascii="Arial" w:hAnsi="Arial" w:cs="Arial"/>
              <w:b/>
              <w:sz w:val="16"/>
              <w:szCs w:val="16"/>
            </w:rPr>
            <w:t xml:space="preserve"> – Takeda Pharmaceuticals Australia Pty Ltd - </w:t>
          </w:r>
          <w:r w:rsidR="009B0139">
            <w:rPr>
              <w:rFonts w:ascii="Arial" w:hAnsi="Arial" w:cs="Arial"/>
              <w:b/>
              <w:sz w:val="16"/>
              <w:szCs w:val="16"/>
            </w:rPr>
            <w:br/>
          </w:r>
          <w:r w:rsidRPr="00516D0F">
            <w:rPr>
              <w:rFonts w:ascii="Arial" w:hAnsi="Arial" w:cs="Arial"/>
              <w:b/>
              <w:sz w:val="16"/>
              <w:szCs w:val="16"/>
            </w:rPr>
            <w:t>PM-2022-04918-1-6</w:t>
          </w:r>
          <w:r w:rsidR="009B0139">
            <w:rPr>
              <w:rFonts w:ascii="Arial" w:hAnsi="Arial" w:cs="Arial"/>
              <w:b/>
              <w:sz w:val="16"/>
              <w:szCs w:val="16"/>
            </w:rPr>
            <w:t xml:space="preserve"> -</w:t>
          </w:r>
          <w:r w:rsidRPr="00516D0F">
            <w:rPr>
              <w:rFonts w:ascii="Arial" w:hAnsi="Arial" w:cs="Arial"/>
              <w:b/>
              <w:sz w:val="16"/>
              <w:szCs w:val="16"/>
            </w:rPr>
            <w:t xml:space="preserve"> FINAL 7 May 2024. This is the Product Information that was approved with the submission described in this </w:t>
          </w:r>
          <w:proofErr w:type="spellStart"/>
          <w:r w:rsidRPr="00516D0F">
            <w:rPr>
              <w:rFonts w:ascii="Arial" w:hAnsi="Arial" w:cs="Arial"/>
              <w:b/>
              <w:sz w:val="16"/>
              <w:szCs w:val="16"/>
            </w:rPr>
            <w:t>AusPAR</w:t>
          </w:r>
          <w:proofErr w:type="spellEnd"/>
          <w:r w:rsidRPr="00516D0F">
            <w:rPr>
              <w:rFonts w:ascii="Arial" w:hAnsi="Arial" w:cs="Arial"/>
              <w:b/>
              <w:sz w:val="16"/>
              <w:szCs w:val="16"/>
            </w:rPr>
            <w:t>. It may have been superseded. For the most recent PI, please refer to the TGA website at &lt;</w:t>
          </w:r>
          <w:hyperlink r:id="rId1" w:history="1">
            <w:r w:rsidRPr="00516D0F">
              <w:rPr>
                <w:rStyle w:val="Hyperlink"/>
                <w:rFonts w:ascii="Arial" w:eastAsiaTheme="majorEastAsia" w:hAnsi="Arial" w:cs="Arial"/>
                <w:sz w:val="16"/>
                <w:szCs w:val="16"/>
              </w:rPr>
              <w:t>https://www.tga.gov.au/product-information-pi</w:t>
            </w:r>
          </w:hyperlink>
          <w:r w:rsidRPr="00516D0F">
            <w:rPr>
              <w:rFonts w:ascii="Arial" w:hAnsi="Arial" w:cs="Arial"/>
              <w:b/>
              <w:sz w:val="16"/>
              <w:szCs w:val="16"/>
              <w:u w:val="single"/>
            </w:rPr>
            <w:t>&gt;</w:t>
          </w:r>
        </w:p>
      </w:tc>
    </w:tr>
  </w:tbl>
  <w:p w14:paraId="21823CC1" w14:textId="77777777" w:rsidR="00A87E16" w:rsidRDefault="00A8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7B8E5E6"/>
    <w:lvl w:ilvl="0">
      <w:start w:val="1"/>
      <w:numFmt w:val="decimal"/>
      <w:pStyle w:val="ListBullet"/>
      <w:lvlText w:val="%1."/>
      <w:lvlJc w:val="left"/>
      <w:pPr>
        <w:tabs>
          <w:tab w:val="num" w:pos="360"/>
        </w:tabs>
        <w:ind w:left="360" w:hanging="360"/>
      </w:pPr>
      <w:rPr>
        <w:rFonts w:ascii="Arial" w:hAnsi="Arial" w:cs="Times New Roman" w:hint="default"/>
        <w:b w:val="0"/>
        <w:i w:val="0"/>
        <w:sz w:val="22"/>
      </w:rPr>
    </w:lvl>
  </w:abstractNum>
  <w:abstractNum w:abstractNumId="1" w15:restartNumberingAfterBreak="0">
    <w:nsid w:val="FFFFFF89"/>
    <w:multiLevelType w:val="singleLevel"/>
    <w:tmpl w:val="4C466B7A"/>
    <w:lvl w:ilvl="0">
      <w:start w:val="1"/>
      <w:numFmt w:val="bullet"/>
      <w:pStyle w:val="ListNumber"/>
      <w:lvlText w:val=""/>
      <w:lvlJc w:val="left"/>
      <w:pPr>
        <w:tabs>
          <w:tab w:val="num" w:pos="360"/>
        </w:tabs>
        <w:ind w:left="340" w:hanging="340"/>
      </w:pPr>
      <w:rPr>
        <w:rFonts w:ascii="Symbol" w:hAnsi="Symbol" w:hint="default"/>
      </w:rPr>
    </w:lvl>
  </w:abstractNum>
  <w:abstractNum w:abstractNumId="2" w15:restartNumberingAfterBreak="0">
    <w:nsid w:val="00BF3FBE"/>
    <w:multiLevelType w:val="multilevel"/>
    <w:tmpl w:val="821284A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1431B0C"/>
    <w:multiLevelType w:val="hybridMultilevel"/>
    <w:tmpl w:val="B2D422DA"/>
    <w:lvl w:ilvl="0" w:tplc="8D184958">
      <w:start w:val="1"/>
      <w:numFmt w:val="lowerLetter"/>
      <w:lvlText w:val="%1."/>
      <w:lvlJc w:val="left"/>
      <w:pPr>
        <w:tabs>
          <w:tab w:val="num" w:pos="360"/>
        </w:tabs>
        <w:ind w:left="360" w:hanging="360"/>
      </w:pPr>
      <w:rPr>
        <w:rFonts w:ascii="Times New Roman" w:hAnsi="Times New Roman" w:cs="Times New Roman" w:hint="default"/>
        <w:sz w:val="22"/>
        <w:szCs w:val="22"/>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3D401DE"/>
    <w:multiLevelType w:val="hybridMultilevel"/>
    <w:tmpl w:val="B2D422DA"/>
    <w:lvl w:ilvl="0" w:tplc="8D184958">
      <w:start w:val="1"/>
      <w:numFmt w:val="lowerLetter"/>
      <w:lvlText w:val="%1."/>
      <w:lvlJc w:val="left"/>
      <w:pPr>
        <w:tabs>
          <w:tab w:val="num" w:pos="360"/>
        </w:tabs>
        <w:ind w:left="360" w:hanging="360"/>
      </w:pPr>
      <w:rPr>
        <w:rFonts w:ascii="Times New Roman" w:hAnsi="Times New Roman" w:cs="Times New Roman" w:hint="default"/>
        <w:sz w:val="22"/>
        <w:szCs w:val="22"/>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AE6581"/>
    <w:multiLevelType w:val="hybridMultilevel"/>
    <w:tmpl w:val="1E24A75A"/>
    <w:lvl w:ilvl="0" w:tplc="DA68785C">
      <w:start w:val="1"/>
      <w:numFmt w:val="lowerLetter"/>
      <w:lvlText w:val="%1."/>
      <w:lvlJc w:val="left"/>
      <w:pPr>
        <w:tabs>
          <w:tab w:val="num" w:pos="360"/>
        </w:tabs>
        <w:ind w:left="360" w:hanging="360"/>
      </w:pPr>
      <w:rPr>
        <w:rFonts w:ascii="Times New Roman" w:hAnsi="Times New Roman" w:cs="Times New Roman" w:hint="default"/>
        <w:sz w:val="22"/>
        <w:szCs w:val="22"/>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7757BD"/>
    <w:multiLevelType w:val="hybridMultilevel"/>
    <w:tmpl w:val="7FB83B86"/>
    <w:lvl w:ilvl="0" w:tplc="77A42F30">
      <w:numFmt w:val="bullet"/>
      <w:lvlText w:val="•"/>
      <w:lvlJc w:val="left"/>
      <w:pPr>
        <w:ind w:left="720" w:hanging="360"/>
      </w:pPr>
      <w:rPr>
        <w:rFonts w:ascii="Arial" w:eastAsia="Times New Roman" w:hAnsi="Aria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22F13B1"/>
    <w:multiLevelType w:val="hybridMultilevel"/>
    <w:tmpl w:val="59AC881C"/>
    <w:lvl w:ilvl="0" w:tplc="8280C97C">
      <w:start w:val="1"/>
      <w:numFmt w:val="lowerLetter"/>
      <w:pStyle w:val="List2"/>
      <w:lvlText w:val="%1."/>
      <w:lvlJc w:val="left"/>
      <w:pPr>
        <w:tabs>
          <w:tab w:val="num" w:pos="360"/>
        </w:tabs>
        <w:ind w:left="340" w:hanging="340"/>
      </w:pPr>
      <w:rPr>
        <w:rFonts w:ascii="Arial" w:hAnsi="Arial" w:cs="Times New Roman" w:hint="default"/>
        <w:b w:val="0"/>
        <w:i w:val="0"/>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CE700F"/>
    <w:multiLevelType w:val="hybridMultilevel"/>
    <w:tmpl w:val="59B4B1E6"/>
    <w:lvl w:ilvl="0" w:tplc="199A8648">
      <w:start w:val="1"/>
      <w:numFmt w:val="lowerLetter"/>
      <w:lvlText w:val="%1."/>
      <w:lvlJc w:val="left"/>
      <w:pPr>
        <w:tabs>
          <w:tab w:val="num" w:pos="360"/>
        </w:tabs>
        <w:ind w:left="360" w:hanging="360"/>
      </w:pPr>
      <w:rPr>
        <w:rFonts w:ascii="Times New Roman" w:hAnsi="Times New Roman" w:cs="Times New Roman" w:hint="default"/>
        <w:sz w:val="22"/>
        <w:szCs w:val="22"/>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6042F0"/>
    <w:multiLevelType w:val="hybridMultilevel"/>
    <w:tmpl w:val="17289936"/>
    <w:lvl w:ilvl="0" w:tplc="53C07924">
      <w:start w:val="1"/>
      <w:numFmt w:val="lowerLetter"/>
      <w:lvlText w:val="%1."/>
      <w:lvlJc w:val="left"/>
      <w:pPr>
        <w:tabs>
          <w:tab w:val="num" w:pos="720"/>
        </w:tabs>
        <w:ind w:left="720" w:hanging="360"/>
      </w:pPr>
      <w:rPr>
        <w:rFonts w:ascii="Times New Roman" w:hAnsi="Times New Roman" w:cs="Times New Roman" w:hint="default"/>
        <w:sz w:val="22"/>
        <w:szCs w:val="22"/>
        <w:vertAlign w:val="superscrip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0364B8D"/>
    <w:multiLevelType w:val="hybridMultilevel"/>
    <w:tmpl w:val="BD6C682C"/>
    <w:lvl w:ilvl="0" w:tplc="FFFFFFFF">
      <w:start w:val="1"/>
      <w:numFmt w:val="lowerLetter"/>
      <w:lvlText w:val="%1."/>
      <w:lvlJc w:val="left"/>
      <w:pPr>
        <w:tabs>
          <w:tab w:val="num" w:pos="360"/>
        </w:tabs>
        <w:ind w:left="360" w:hanging="360"/>
      </w:pPr>
      <w:rPr>
        <w:rFonts w:ascii="Times New Roman" w:hAnsi="Times New Roman" w:cs="Times New Roman" w:hint="default"/>
        <w:sz w:val="1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3B0D0F68"/>
    <w:multiLevelType w:val="hybridMultilevel"/>
    <w:tmpl w:val="65A8790C"/>
    <w:lvl w:ilvl="0" w:tplc="04405612">
      <w:start w:val="1"/>
      <w:numFmt w:val="decimal"/>
      <w:pStyle w:val="List"/>
      <w:lvlText w:val="%1."/>
      <w:lvlJc w:val="left"/>
      <w:pPr>
        <w:tabs>
          <w:tab w:val="num" w:pos="360"/>
        </w:tabs>
        <w:ind w:left="340" w:hanging="34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A87659"/>
    <w:multiLevelType w:val="hybridMultilevel"/>
    <w:tmpl w:val="BD6C682C"/>
    <w:lvl w:ilvl="0" w:tplc="199A8648">
      <w:start w:val="1"/>
      <w:numFmt w:val="lowerLetter"/>
      <w:lvlText w:val="%1."/>
      <w:lvlJc w:val="left"/>
      <w:pPr>
        <w:tabs>
          <w:tab w:val="num" w:pos="360"/>
        </w:tabs>
        <w:ind w:left="360" w:hanging="360"/>
      </w:pPr>
      <w:rPr>
        <w:rFonts w:ascii="Times New Roman" w:hAnsi="Times New Roman" w:cs="Times New Roman" w:hint="default"/>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250BAC"/>
    <w:multiLevelType w:val="hybridMultilevel"/>
    <w:tmpl w:val="BD6C682C"/>
    <w:lvl w:ilvl="0" w:tplc="199A8648">
      <w:start w:val="1"/>
      <w:numFmt w:val="lowerLetter"/>
      <w:lvlText w:val="%1."/>
      <w:lvlJc w:val="left"/>
      <w:pPr>
        <w:tabs>
          <w:tab w:val="num" w:pos="360"/>
        </w:tabs>
        <w:ind w:left="360" w:hanging="360"/>
      </w:pPr>
      <w:rPr>
        <w:rFonts w:ascii="Times New Roman" w:hAnsi="Times New Roman" w:cs="Times New Roman" w:hint="default"/>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2A15A4"/>
    <w:multiLevelType w:val="hybridMultilevel"/>
    <w:tmpl w:val="DE4478A4"/>
    <w:lvl w:ilvl="0" w:tplc="BF3AB160">
      <w:start w:val="1"/>
      <w:numFmt w:val="lowerLetter"/>
      <w:lvlText w:val="%1."/>
      <w:lvlJc w:val="left"/>
      <w:pPr>
        <w:tabs>
          <w:tab w:val="num" w:pos="360"/>
        </w:tabs>
        <w:ind w:left="360" w:hanging="360"/>
      </w:pPr>
      <w:rPr>
        <w:rFonts w:ascii="Arial" w:eastAsia="Times New Roman" w:hAnsi="Arial" w:cs="Arial"/>
        <w:sz w:val="22"/>
        <w:szCs w:val="22"/>
        <w:vertAlign w:val="superscrip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9751770"/>
    <w:multiLevelType w:val="hybridMultilevel"/>
    <w:tmpl w:val="A686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CD44A7"/>
    <w:multiLevelType w:val="hybridMultilevel"/>
    <w:tmpl w:val="8994831A"/>
    <w:lvl w:ilvl="0" w:tplc="08AE5BD6">
      <w:start w:val="1"/>
      <w:numFmt w:val="lowerLetter"/>
      <w:lvlText w:val="%1."/>
      <w:lvlJc w:val="left"/>
      <w:pPr>
        <w:tabs>
          <w:tab w:val="num" w:pos="2340"/>
        </w:tabs>
        <w:ind w:left="2340" w:hanging="360"/>
      </w:pPr>
      <w:rPr>
        <w:rFonts w:ascii="Times New Roman" w:hAnsi="Times New Roman" w:cs="Times New Roman" w:hint="default"/>
        <w:b w:val="0"/>
        <w:i w:val="0"/>
        <w:sz w:val="22"/>
        <w:szCs w:val="22"/>
        <w:vertAlign w:val="superscrip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6090B43"/>
    <w:multiLevelType w:val="singleLevel"/>
    <w:tmpl w:val="4EAEEF5C"/>
    <w:lvl w:ilvl="0">
      <w:start w:val="1"/>
      <w:numFmt w:val="lowerLetter"/>
      <w:pStyle w:val="TableFootnoteLetter"/>
      <w:lvlText w:val="%1"/>
      <w:lvlJc w:val="left"/>
      <w:pPr>
        <w:tabs>
          <w:tab w:val="num" w:pos="360"/>
        </w:tabs>
        <w:ind w:left="360" w:hanging="360"/>
      </w:pPr>
      <w:rPr>
        <w:rFonts w:ascii="Times New Roman" w:hAnsi="Times New Roman" w:cs="Times New Roman" w:hint="default"/>
        <w:b w:val="0"/>
        <w:i w:val="0"/>
        <w:caps w:val="0"/>
        <w:strike w:val="0"/>
        <w:dstrike w:val="0"/>
        <w:vanish w:val="0"/>
        <w:color w:val="000000"/>
        <w:sz w:val="20"/>
        <w:szCs w:val="20"/>
        <w:u w:val="none"/>
        <w:vertAlign w:val="baseline"/>
      </w:rPr>
    </w:lvl>
  </w:abstractNum>
  <w:abstractNum w:abstractNumId="18" w15:restartNumberingAfterBreak="0">
    <w:nsid w:val="7A956C27"/>
    <w:multiLevelType w:val="hybridMultilevel"/>
    <w:tmpl w:val="B2D422DA"/>
    <w:lvl w:ilvl="0" w:tplc="FFFFFFFF">
      <w:start w:val="1"/>
      <w:numFmt w:val="lowerLetter"/>
      <w:lvlText w:val="%1."/>
      <w:lvlJc w:val="left"/>
      <w:pPr>
        <w:tabs>
          <w:tab w:val="num" w:pos="360"/>
        </w:tabs>
        <w:ind w:left="360" w:hanging="360"/>
      </w:pPr>
      <w:rPr>
        <w:rFonts w:ascii="Times New Roman" w:hAnsi="Times New Roman" w:cs="Times New Roman" w:hint="default"/>
        <w:sz w:val="22"/>
        <w:szCs w:val="22"/>
        <w:vertAlign w:val="superscrip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7CD13657"/>
    <w:multiLevelType w:val="hybridMultilevel"/>
    <w:tmpl w:val="BA5CE034"/>
    <w:lvl w:ilvl="0" w:tplc="353EE80C">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689066625">
    <w:abstractNumId w:val="1"/>
  </w:num>
  <w:num w:numId="2" w16cid:durableId="494884849">
    <w:abstractNumId w:val="0"/>
  </w:num>
  <w:num w:numId="3" w16cid:durableId="2002997295">
    <w:abstractNumId w:val="1"/>
  </w:num>
  <w:num w:numId="4" w16cid:durableId="2063943374">
    <w:abstractNumId w:val="0"/>
  </w:num>
  <w:num w:numId="5" w16cid:durableId="695472503">
    <w:abstractNumId w:val="1"/>
  </w:num>
  <w:num w:numId="6" w16cid:durableId="925843392">
    <w:abstractNumId w:val="0"/>
  </w:num>
  <w:num w:numId="7" w16cid:durableId="717631067">
    <w:abstractNumId w:val="1"/>
  </w:num>
  <w:num w:numId="8" w16cid:durableId="1090151831">
    <w:abstractNumId w:val="0"/>
  </w:num>
  <w:num w:numId="9" w16cid:durableId="1687487306">
    <w:abstractNumId w:val="1"/>
  </w:num>
  <w:num w:numId="10" w16cid:durableId="665864785">
    <w:abstractNumId w:val="0"/>
  </w:num>
  <w:num w:numId="11" w16cid:durableId="1968314296">
    <w:abstractNumId w:val="1"/>
  </w:num>
  <w:num w:numId="12" w16cid:durableId="1876692884">
    <w:abstractNumId w:val="0"/>
  </w:num>
  <w:num w:numId="13" w16cid:durableId="1821575394">
    <w:abstractNumId w:val="1"/>
  </w:num>
  <w:num w:numId="14" w16cid:durableId="1659571458">
    <w:abstractNumId w:val="0"/>
  </w:num>
  <w:num w:numId="15" w16cid:durableId="1476992483">
    <w:abstractNumId w:val="1"/>
  </w:num>
  <w:num w:numId="16" w16cid:durableId="1999461351">
    <w:abstractNumId w:val="0"/>
  </w:num>
  <w:num w:numId="17" w16cid:durableId="2074809712">
    <w:abstractNumId w:val="1"/>
  </w:num>
  <w:num w:numId="18" w16cid:durableId="1158501741">
    <w:abstractNumId w:val="0"/>
  </w:num>
  <w:num w:numId="19" w16cid:durableId="1553613055">
    <w:abstractNumId w:val="7"/>
  </w:num>
  <w:num w:numId="20" w16cid:durableId="1136877585">
    <w:abstractNumId w:val="11"/>
  </w:num>
  <w:num w:numId="21" w16cid:durableId="1743286866">
    <w:abstractNumId w:val="2"/>
  </w:num>
  <w:num w:numId="22" w16cid:durableId="444425229">
    <w:abstractNumId w:val="6"/>
  </w:num>
  <w:num w:numId="23" w16cid:durableId="239871987">
    <w:abstractNumId w:val="5"/>
  </w:num>
  <w:num w:numId="24" w16cid:durableId="1090468041">
    <w:abstractNumId w:val="4"/>
  </w:num>
  <w:num w:numId="25" w16cid:durableId="1836066796">
    <w:abstractNumId w:val="19"/>
  </w:num>
  <w:num w:numId="26" w16cid:durableId="612060686">
    <w:abstractNumId w:val="13"/>
  </w:num>
  <w:num w:numId="27" w16cid:durableId="713969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9786309">
    <w:abstractNumId w:val="16"/>
  </w:num>
  <w:num w:numId="29" w16cid:durableId="1730569080">
    <w:abstractNumId w:val="9"/>
  </w:num>
  <w:num w:numId="30" w16cid:durableId="1442609589">
    <w:abstractNumId w:val="15"/>
  </w:num>
  <w:num w:numId="31" w16cid:durableId="2126002488">
    <w:abstractNumId w:val="12"/>
  </w:num>
  <w:num w:numId="32" w16cid:durableId="1048139289">
    <w:abstractNumId w:val="3"/>
  </w:num>
  <w:num w:numId="33" w16cid:durableId="1173256846">
    <w:abstractNumId w:val="14"/>
  </w:num>
  <w:num w:numId="34" w16cid:durableId="1517964207">
    <w:abstractNumId w:val="17"/>
  </w:num>
  <w:num w:numId="35" w16cid:durableId="79645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5294611">
    <w:abstractNumId w:val="8"/>
  </w:num>
  <w:num w:numId="37" w16cid:durableId="123608791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F2"/>
    <w:rsid w:val="00001A8D"/>
    <w:rsid w:val="00001CDE"/>
    <w:rsid w:val="0000471B"/>
    <w:rsid w:val="00006E8B"/>
    <w:rsid w:val="000114C9"/>
    <w:rsid w:val="000148BC"/>
    <w:rsid w:val="000169EC"/>
    <w:rsid w:val="000206B8"/>
    <w:rsid w:val="00020816"/>
    <w:rsid w:val="00020A93"/>
    <w:rsid w:val="00020AAF"/>
    <w:rsid w:val="00023572"/>
    <w:rsid w:val="00024A4A"/>
    <w:rsid w:val="00025282"/>
    <w:rsid w:val="0002548B"/>
    <w:rsid w:val="00032584"/>
    <w:rsid w:val="00032BDC"/>
    <w:rsid w:val="00032CB6"/>
    <w:rsid w:val="00035220"/>
    <w:rsid w:val="0003558B"/>
    <w:rsid w:val="00035DC5"/>
    <w:rsid w:val="00036135"/>
    <w:rsid w:val="00040928"/>
    <w:rsid w:val="00044EA3"/>
    <w:rsid w:val="00050441"/>
    <w:rsid w:val="0005239C"/>
    <w:rsid w:val="000529D9"/>
    <w:rsid w:val="00052E6E"/>
    <w:rsid w:val="00054CF7"/>
    <w:rsid w:val="000550D7"/>
    <w:rsid w:val="0005603F"/>
    <w:rsid w:val="00056688"/>
    <w:rsid w:val="00057841"/>
    <w:rsid w:val="000624A5"/>
    <w:rsid w:val="00070D9B"/>
    <w:rsid w:val="00072CE1"/>
    <w:rsid w:val="00074CC2"/>
    <w:rsid w:val="00076772"/>
    <w:rsid w:val="00076A5D"/>
    <w:rsid w:val="0007725E"/>
    <w:rsid w:val="000804F8"/>
    <w:rsid w:val="000805B1"/>
    <w:rsid w:val="00080EEE"/>
    <w:rsid w:val="00080F0A"/>
    <w:rsid w:val="000820DB"/>
    <w:rsid w:val="00085364"/>
    <w:rsid w:val="000861A3"/>
    <w:rsid w:val="00090C53"/>
    <w:rsid w:val="0009107C"/>
    <w:rsid w:val="0009140E"/>
    <w:rsid w:val="00091D44"/>
    <w:rsid w:val="00093E0C"/>
    <w:rsid w:val="00097361"/>
    <w:rsid w:val="0009762E"/>
    <w:rsid w:val="000A3CA2"/>
    <w:rsid w:val="000A55BE"/>
    <w:rsid w:val="000A7A33"/>
    <w:rsid w:val="000B02A6"/>
    <w:rsid w:val="000B0E99"/>
    <w:rsid w:val="000B15A1"/>
    <w:rsid w:val="000B47D6"/>
    <w:rsid w:val="000B47ED"/>
    <w:rsid w:val="000C0D0D"/>
    <w:rsid w:val="000C39F5"/>
    <w:rsid w:val="000C586E"/>
    <w:rsid w:val="000C5880"/>
    <w:rsid w:val="000D1B1A"/>
    <w:rsid w:val="000D28C0"/>
    <w:rsid w:val="000D4EEA"/>
    <w:rsid w:val="000D4FA5"/>
    <w:rsid w:val="000D57F4"/>
    <w:rsid w:val="000E03B8"/>
    <w:rsid w:val="000E0B9F"/>
    <w:rsid w:val="000E0C23"/>
    <w:rsid w:val="000E0D0D"/>
    <w:rsid w:val="000E1A62"/>
    <w:rsid w:val="000E2E8C"/>
    <w:rsid w:val="000E355D"/>
    <w:rsid w:val="000E4C91"/>
    <w:rsid w:val="000F3732"/>
    <w:rsid w:val="000F4F3B"/>
    <w:rsid w:val="000F6F74"/>
    <w:rsid w:val="000F757A"/>
    <w:rsid w:val="001010FA"/>
    <w:rsid w:val="001036AD"/>
    <w:rsid w:val="00104115"/>
    <w:rsid w:val="001046B6"/>
    <w:rsid w:val="0010472D"/>
    <w:rsid w:val="00104E94"/>
    <w:rsid w:val="00105E1E"/>
    <w:rsid w:val="00105E46"/>
    <w:rsid w:val="00111128"/>
    <w:rsid w:val="00116D58"/>
    <w:rsid w:val="00116FD5"/>
    <w:rsid w:val="00120548"/>
    <w:rsid w:val="00122505"/>
    <w:rsid w:val="00122E07"/>
    <w:rsid w:val="001238E1"/>
    <w:rsid w:val="0012499F"/>
    <w:rsid w:val="001259CE"/>
    <w:rsid w:val="0012629D"/>
    <w:rsid w:val="001278CA"/>
    <w:rsid w:val="00127EC2"/>
    <w:rsid w:val="00130A86"/>
    <w:rsid w:val="00131207"/>
    <w:rsid w:val="00131246"/>
    <w:rsid w:val="00131B2B"/>
    <w:rsid w:val="00132422"/>
    <w:rsid w:val="001324CB"/>
    <w:rsid w:val="00133615"/>
    <w:rsid w:val="00133B60"/>
    <w:rsid w:val="00134A1C"/>
    <w:rsid w:val="00135C56"/>
    <w:rsid w:val="00140783"/>
    <w:rsid w:val="00141571"/>
    <w:rsid w:val="001449AE"/>
    <w:rsid w:val="001459E6"/>
    <w:rsid w:val="00145AE3"/>
    <w:rsid w:val="0014608E"/>
    <w:rsid w:val="00146162"/>
    <w:rsid w:val="0014646B"/>
    <w:rsid w:val="00147424"/>
    <w:rsid w:val="00150839"/>
    <w:rsid w:val="00151AE1"/>
    <w:rsid w:val="00153940"/>
    <w:rsid w:val="00154865"/>
    <w:rsid w:val="00155310"/>
    <w:rsid w:val="00160BB6"/>
    <w:rsid w:val="00160E17"/>
    <w:rsid w:val="001627FE"/>
    <w:rsid w:val="00171140"/>
    <w:rsid w:val="001724FD"/>
    <w:rsid w:val="0017382D"/>
    <w:rsid w:val="00174009"/>
    <w:rsid w:val="00175A57"/>
    <w:rsid w:val="00180E2A"/>
    <w:rsid w:val="00184722"/>
    <w:rsid w:val="00185808"/>
    <w:rsid w:val="00192371"/>
    <w:rsid w:val="00194235"/>
    <w:rsid w:val="0019503B"/>
    <w:rsid w:val="00195048"/>
    <w:rsid w:val="0019534B"/>
    <w:rsid w:val="00196493"/>
    <w:rsid w:val="001976E3"/>
    <w:rsid w:val="001976E6"/>
    <w:rsid w:val="001A1EAC"/>
    <w:rsid w:val="001A39D8"/>
    <w:rsid w:val="001A5607"/>
    <w:rsid w:val="001A7E7E"/>
    <w:rsid w:val="001A7FDA"/>
    <w:rsid w:val="001B13EC"/>
    <w:rsid w:val="001B309F"/>
    <w:rsid w:val="001B4B2C"/>
    <w:rsid w:val="001B7A25"/>
    <w:rsid w:val="001C150B"/>
    <w:rsid w:val="001C1B92"/>
    <w:rsid w:val="001C2783"/>
    <w:rsid w:val="001C27AD"/>
    <w:rsid w:val="001C2D43"/>
    <w:rsid w:val="001C4F05"/>
    <w:rsid w:val="001C532F"/>
    <w:rsid w:val="001C665B"/>
    <w:rsid w:val="001D0050"/>
    <w:rsid w:val="001D1A56"/>
    <w:rsid w:val="001D367E"/>
    <w:rsid w:val="001D446A"/>
    <w:rsid w:val="001D4842"/>
    <w:rsid w:val="001D4DC5"/>
    <w:rsid w:val="001D6DF3"/>
    <w:rsid w:val="001E08E5"/>
    <w:rsid w:val="001E27E8"/>
    <w:rsid w:val="001E2FAC"/>
    <w:rsid w:val="001E3E98"/>
    <w:rsid w:val="001E51B8"/>
    <w:rsid w:val="001E526E"/>
    <w:rsid w:val="001E7B2C"/>
    <w:rsid w:val="001F0ACF"/>
    <w:rsid w:val="001F25D6"/>
    <w:rsid w:val="001F2CE7"/>
    <w:rsid w:val="001F37A9"/>
    <w:rsid w:val="001F4385"/>
    <w:rsid w:val="001F4A93"/>
    <w:rsid w:val="001F5D0F"/>
    <w:rsid w:val="001F68FD"/>
    <w:rsid w:val="001F6B30"/>
    <w:rsid w:val="001F6DB7"/>
    <w:rsid w:val="00200331"/>
    <w:rsid w:val="0020288E"/>
    <w:rsid w:val="00203741"/>
    <w:rsid w:val="00204C3C"/>
    <w:rsid w:val="00206F4E"/>
    <w:rsid w:val="0020750C"/>
    <w:rsid w:val="002107C0"/>
    <w:rsid w:val="002137D2"/>
    <w:rsid w:val="00214B7C"/>
    <w:rsid w:val="00217334"/>
    <w:rsid w:val="00220230"/>
    <w:rsid w:val="0022143E"/>
    <w:rsid w:val="00221B36"/>
    <w:rsid w:val="00223882"/>
    <w:rsid w:val="00223ACB"/>
    <w:rsid w:val="00223ED7"/>
    <w:rsid w:val="002277E2"/>
    <w:rsid w:val="0023081F"/>
    <w:rsid w:val="00231426"/>
    <w:rsid w:val="00231F67"/>
    <w:rsid w:val="00234FA6"/>
    <w:rsid w:val="00236F8C"/>
    <w:rsid w:val="00237391"/>
    <w:rsid w:val="002403FD"/>
    <w:rsid w:val="002408B6"/>
    <w:rsid w:val="00244258"/>
    <w:rsid w:val="0024488E"/>
    <w:rsid w:val="0024497F"/>
    <w:rsid w:val="00245302"/>
    <w:rsid w:val="002464AE"/>
    <w:rsid w:val="002467C3"/>
    <w:rsid w:val="00246847"/>
    <w:rsid w:val="00247334"/>
    <w:rsid w:val="00252530"/>
    <w:rsid w:val="00252857"/>
    <w:rsid w:val="002529B1"/>
    <w:rsid w:val="00253A64"/>
    <w:rsid w:val="00253D29"/>
    <w:rsid w:val="00254F97"/>
    <w:rsid w:val="00255E49"/>
    <w:rsid w:val="00256852"/>
    <w:rsid w:val="00261389"/>
    <w:rsid w:val="00264A1B"/>
    <w:rsid w:val="002701F8"/>
    <w:rsid w:val="002738C2"/>
    <w:rsid w:val="002743CE"/>
    <w:rsid w:val="00274AC7"/>
    <w:rsid w:val="00275797"/>
    <w:rsid w:val="00277273"/>
    <w:rsid w:val="002810EC"/>
    <w:rsid w:val="00282437"/>
    <w:rsid w:val="002829EA"/>
    <w:rsid w:val="0028368D"/>
    <w:rsid w:val="0028481F"/>
    <w:rsid w:val="002914C7"/>
    <w:rsid w:val="00291692"/>
    <w:rsid w:val="00291CA4"/>
    <w:rsid w:val="00292141"/>
    <w:rsid w:val="002923F0"/>
    <w:rsid w:val="0029344A"/>
    <w:rsid w:val="00294238"/>
    <w:rsid w:val="002A0214"/>
    <w:rsid w:val="002A0365"/>
    <w:rsid w:val="002A1D82"/>
    <w:rsid w:val="002A338A"/>
    <w:rsid w:val="002A4A70"/>
    <w:rsid w:val="002A4D0A"/>
    <w:rsid w:val="002A5164"/>
    <w:rsid w:val="002A533D"/>
    <w:rsid w:val="002A6148"/>
    <w:rsid w:val="002A7B37"/>
    <w:rsid w:val="002B080B"/>
    <w:rsid w:val="002B09DC"/>
    <w:rsid w:val="002B0A45"/>
    <w:rsid w:val="002B0BC8"/>
    <w:rsid w:val="002B15B0"/>
    <w:rsid w:val="002B198E"/>
    <w:rsid w:val="002B321D"/>
    <w:rsid w:val="002B5714"/>
    <w:rsid w:val="002B5E39"/>
    <w:rsid w:val="002B608A"/>
    <w:rsid w:val="002B6862"/>
    <w:rsid w:val="002B77A3"/>
    <w:rsid w:val="002B7974"/>
    <w:rsid w:val="002C200F"/>
    <w:rsid w:val="002C2032"/>
    <w:rsid w:val="002C24E4"/>
    <w:rsid w:val="002C2D76"/>
    <w:rsid w:val="002C58CB"/>
    <w:rsid w:val="002D0085"/>
    <w:rsid w:val="002D0A9E"/>
    <w:rsid w:val="002D35A3"/>
    <w:rsid w:val="002E0E8C"/>
    <w:rsid w:val="002E2546"/>
    <w:rsid w:val="002E7CBB"/>
    <w:rsid w:val="002F0774"/>
    <w:rsid w:val="002F1A40"/>
    <w:rsid w:val="002F32F3"/>
    <w:rsid w:val="002F3EA9"/>
    <w:rsid w:val="002F696E"/>
    <w:rsid w:val="00300596"/>
    <w:rsid w:val="00300DF9"/>
    <w:rsid w:val="00301A11"/>
    <w:rsid w:val="00301D0F"/>
    <w:rsid w:val="0030385D"/>
    <w:rsid w:val="00305700"/>
    <w:rsid w:val="00306FA8"/>
    <w:rsid w:val="003103B3"/>
    <w:rsid w:val="0031051E"/>
    <w:rsid w:val="0031095A"/>
    <w:rsid w:val="00311EFA"/>
    <w:rsid w:val="003128CA"/>
    <w:rsid w:val="00312A97"/>
    <w:rsid w:val="00317FDB"/>
    <w:rsid w:val="00322CD5"/>
    <w:rsid w:val="0032507F"/>
    <w:rsid w:val="0032731D"/>
    <w:rsid w:val="003301BE"/>
    <w:rsid w:val="0033140D"/>
    <w:rsid w:val="00333C01"/>
    <w:rsid w:val="00334A27"/>
    <w:rsid w:val="00336925"/>
    <w:rsid w:val="00337817"/>
    <w:rsid w:val="00337E49"/>
    <w:rsid w:val="00340195"/>
    <w:rsid w:val="003408F3"/>
    <w:rsid w:val="0034518F"/>
    <w:rsid w:val="0034554C"/>
    <w:rsid w:val="003470C4"/>
    <w:rsid w:val="0035045E"/>
    <w:rsid w:val="0035063B"/>
    <w:rsid w:val="00351B7C"/>
    <w:rsid w:val="00354365"/>
    <w:rsid w:val="003544DA"/>
    <w:rsid w:val="0035475E"/>
    <w:rsid w:val="00354E52"/>
    <w:rsid w:val="00355160"/>
    <w:rsid w:val="00355415"/>
    <w:rsid w:val="00356418"/>
    <w:rsid w:val="00356D12"/>
    <w:rsid w:val="00361663"/>
    <w:rsid w:val="003619AF"/>
    <w:rsid w:val="003673A3"/>
    <w:rsid w:val="00370AD5"/>
    <w:rsid w:val="00370C1F"/>
    <w:rsid w:val="00372F36"/>
    <w:rsid w:val="003809BE"/>
    <w:rsid w:val="00380CFC"/>
    <w:rsid w:val="00381F50"/>
    <w:rsid w:val="0038251E"/>
    <w:rsid w:val="00383E62"/>
    <w:rsid w:val="00386008"/>
    <w:rsid w:val="003860F2"/>
    <w:rsid w:val="00386E22"/>
    <w:rsid w:val="00387C1B"/>
    <w:rsid w:val="00390808"/>
    <w:rsid w:val="00392FFE"/>
    <w:rsid w:val="003940C8"/>
    <w:rsid w:val="00396277"/>
    <w:rsid w:val="00397256"/>
    <w:rsid w:val="0039785F"/>
    <w:rsid w:val="003A0FBF"/>
    <w:rsid w:val="003A20A8"/>
    <w:rsid w:val="003A41A0"/>
    <w:rsid w:val="003A422A"/>
    <w:rsid w:val="003A562D"/>
    <w:rsid w:val="003A76EF"/>
    <w:rsid w:val="003B0989"/>
    <w:rsid w:val="003B3B37"/>
    <w:rsid w:val="003B3BE4"/>
    <w:rsid w:val="003B4F31"/>
    <w:rsid w:val="003B4F55"/>
    <w:rsid w:val="003B5432"/>
    <w:rsid w:val="003B69BB"/>
    <w:rsid w:val="003B6F50"/>
    <w:rsid w:val="003C1F27"/>
    <w:rsid w:val="003C3302"/>
    <w:rsid w:val="003C3426"/>
    <w:rsid w:val="003C4999"/>
    <w:rsid w:val="003C712B"/>
    <w:rsid w:val="003D09C8"/>
    <w:rsid w:val="003D4D6D"/>
    <w:rsid w:val="003D6151"/>
    <w:rsid w:val="003D65EB"/>
    <w:rsid w:val="003E268D"/>
    <w:rsid w:val="003E2D65"/>
    <w:rsid w:val="003E45D0"/>
    <w:rsid w:val="003E495E"/>
    <w:rsid w:val="003E6F75"/>
    <w:rsid w:val="003E733A"/>
    <w:rsid w:val="003F1759"/>
    <w:rsid w:val="003F680C"/>
    <w:rsid w:val="003F68E4"/>
    <w:rsid w:val="003F705D"/>
    <w:rsid w:val="003F71E9"/>
    <w:rsid w:val="003F7536"/>
    <w:rsid w:val="004043C5"/>
    <w:rsid w:val="00404D22"/>
    <w:rsid w:val="00405921"/>
    <w:rsid w:val="00405E7E"/>
    <w:rsid w:val="00406637"/>
    <w:rsid w:val="004072FC"/>
    <w:rsid w:val="0041175D"/>
    <w:rsid w:val="00416EEA"/>
    <w:rsid w:val="004177E6"/>
    <w:rsid w:val="004224DA"/>
    <w:rsid w:val="00423F6F"/>
    <w:rsid w:val="00425C46"/>
    <w:rsid w:val="00425DB4"/>
    <w:rsid w:val="00425F48"/>
    <w:rsid w:val="00430223"/>
    <w:rsid w:val="00431CE3"/>
    <w:rsid w:val="00435494"/>
    <w:rsid w:val="00437D24"/>
    <w:rsid w:val="00443311"/>
    <w:rsid w:val="00443B66"/>
    <w:rsid w:val="00444284"/>
    <w:rsid w:val="0044482D"/>
    <w:rsid w:val="00445573"/>
    <w:rsid w:val="00445DA5"/>
    <w:rsid w:val="00445DFE"/>
    <w:rsid w:val="0044655A"/>
    <w:rsid w:val="004476D3"/>
    <w:rsid w:val="00451166"/>
    <w:rsid w:val="0045408C"/>
    <w:rsid w:val="00454F51"/>
    <w:rsid w:val="004562B9"/>
    <w:rsid w:val="00456C6F"/>
    <w:rsid w:val="004627D7"/>
    <w:rsid w:val="00465B12"/>
    <w:rsid w:val="004662A3"/>
    <w:rsid w:val="00466621"/>
    <w:rsid w:val="0046691B"/>
    <w:rsid w:val="00466E49"/>
    <w:rsid w:val="00467EB1"/>
    <w:rsid w:val="00470CA6"/>
    <w:rsid w:val="004719A1"/>
    <w:rsid w:val="004727B1"/>
    <w:rsid w:val="004736EB"/>
    <w:rsid w:val="0047414D"/>
    <w:rsid w:val="00475121"/>
    <w:rsid w:val="004759A8"/>
    <w:rsid w:val="00475B9A"/>
    <w:rsid w:val="00476A50"/>
    <w:rsid w:val="0048019B"/>
    <w:rsid w:val="00483B33"/>
    <w:rsid w:val="004855F2"/>
    <w:rsid w:val="004921AB"/>
    <w:rsid w:val="00493E8E"/>
    <w:rsid w:val="004A0AAC"/>
    <w:rsid w:val="004A26A7"/>
    <w:rsid w:val="004A2B5A"/>
    <w:rsid w:val="004A3909"/>
    <w:rsid w:val="004A7D7F"/>
    <w:rsid w:val="004B0025"/>
    <w:rsid w:val="004B031E"/>
    <w:rsid w:val="004B14A7"/>
    <w:rsid w:val="004B6177"/>
    <w:rsid w:val="004B6E3E"/>
    <w:rsid w:val="004B7599"/>
    <w:rsid w:val="004C03A3"/>
    <w:rsid w:val="004C3084"/>
    <w:rsid w:val="004C607B"/>
    <w:rsid w:val="004C7786"/>
    <w:rsid w:val="004D0D9B"/>
    <w:rsid w:val="004D129C"/>
    <w:rsid w:val="004D382C"/>
    <w:rsid w:val="004D4C06"/>
    <w:rsid w:val="004D6145"/>
    <w:rsid w:val="004E1C66"/>
    <w:rsid w:val="004E46AC"/>
    <w:rsid w:val="004E4A48"/>
    <w:rsid w:val="004F0595"/>
    <w:rsid w:val="004F0898"/>
    <w:rsid w:val="004F389C"/>
    <w:rsid w:val="004F4EA3"/>
    <w:rsid w:val="004F6151"/>
    <w:rsid w:val="0050213F"/>
    <w:rsid w:val="00504139"/>
    <w:rsid w:val="005045A7"/>
    <w:rsid w:val="00504AA5"/>
    <w:rsid w:val="00507EDF"/>
    <w:rsid w:val="00510D30"/>
    <w:rsid w:val="00511224"/>
    <w:rsid w:val="0051291E"/>
    <w:rsid w:val="00512A98"/>
    <w:rsid w:val="00512AC4"/>
    <w:rsid w:val="00512DA5"/>
    <w:rsid w:val="00516303"/>
    <w:rsid w:val="00516720"/>
    <w:rsid w:val="00516D0F"/>
    <w:rsid w:val="0051784F"/>
    <w:rsid w:val="00522CD3"/>
    <w:rsid w:val="00524E04"/>
    <w:rsid w:val="00530A00"/>
    <w:rsid w:val="00531C29"/>
    <w:rsid w:val="00535448"/>
    <w:rsid w:val="00536DCB"/>
    <w:rsid w:val="00536DFE"/>
    <w:rsid w:val="005371C7"/>
    <w:rsid w:val="005410B6"/>
    <w:rsid w:val="00543193"/>
    <w:rsid w:val="005431D0"/>
    <w:rsid w:val="005439BA"/>
    <w:rsid w:val="00544F9E"/>
    <w:rsid w:val="005452B2"/>
    <w:rsid w:val="005466D0"/>
    <w:rsid w:val="00546F88"/>
    <w:rsid w:val="005479F3"/>
    <w:rsid w:val="00550D1C"/>
    <w:rsid w:val="005511EA"/>
    <w:rsid w:val="00551B93"/>
    <w:rsid w:val="00555AD8"/>
    <w:rsid w:val="00557CC6"/>
    <w:rsid w:val="005601B3"/>
    <w:rsid w:val="005603DA"/>
    <w:rsid w:val="00560419"/>
    <w:rsid w:val="0056480A"/>
    <w:rsid w:val="00566817"/>
    <w:rsid w:val="00567BE3"/>
    <w:rsid w:val="00567D2C"/>
    <w:rsid w:val="0057005C"/>
    <w:rsid w:val="00570314"/>
    <w:rsid w:val="00570C77"/>
    <w:rsid w:val="005720DC"/>
    <w:rsid w:val="005725F5"/>
    <w:rsid w:val="00576344"/>
    <w:rsid w:val="00576E3A"/>
    <w:rsid w:val="00577CA2"/>
    <w:rsid w:val="00580C6A"/>
    <w:rsid w:val="00580CC1"/>
    <w:rsid w:val="00580E49"/>
    <w:rsid w:val="00582CB7"/>
    <w:rsid w:val="005843AE"/>
    <w:rsid w:val="00584B54"/>
    <w:rsid w:val="00590FD7"/>
    <w:rsid w:val="005919FF"/>
    <w:rsid w:val="00593149"/>
    <w:rsid w:val="0059578F"/>
    <w:rsid w:val="00597204"/>
    <w:rsid w:val="005A08C6"/>
    <w:rsid w:val="005A242C"/>
    <w:rsid w:val="005A5B2D"/>
    <w:rsid w:val="005A6995"/>
    <w:rsid w:val="005B0168"/>
    <w:rsid w:val="005B0CEA"/>
    <w:rsid w:val="005B13E3"/>
    <w:rsid w:val="005B23D4"/>
    <w:rsid w:val="005B2D23"/>
    <w:rsid w:val="005B5C75"/>
    <w:rsid w:val="005B6A60"/>
    <w:rsid w:val="005C0667"/>
    <w:rsid w:val="005C1544"/>
    <w:rsid w:val="005C436C"/>
    <w:rsid w:val="005C5869"/>
    <w:rsid w:val="005D0750"/>
    <w:rsid w:val="005D0F2C"/>
    <w:rsid w:val="005D2376"/>
    <w:rsid w:val="005D2C8A"/>
    <w:rsid w:val="005D2D76"/>
    <w:rsid w:val="005D301D"/>
    <w:rsid w:val="005D4BF2"/>
    <w:rsid w:val="005D6382"/>
    <w:rsid w:val="005F33AD"/>
    <w:rsid w:val="005F4DA0"/>
    <w:rsid w:val="00601BC3"/>
    <w:rsid w:val="00605682"/>
    <w:rsid w:val="00605CE1"/>
    <w:rsid w:val="0060627B"/>
    <w:rsid w:val="0060729C"/>
    <w:rsid w:val="00607AE8"/>
    <w:rsid w:val="00607C85"/>
    <w:rsid w:val="00610724"/>
    <w:rsid w:val="0061083E"/>
    <w:rsid w:val="0061172F"/>
    <w:rsid w:val="00615883"/>
    <w:rsid w:val="00616436"/>
    <w:rsid w:val="0061728C"/>
    <w:rsid w:val="00617B9A"/>
    <w:rsid w:val="00617FB2"/>
    <w:rsid w:val="006233DD"/>
    <w:rsid w:val="006251C9"/>
    <w:rsid w:val="00625B0E"/>
    <w:rsid w:val="00626B0F"/>
    <w:rsid w:val="00627D68"/>
    <w:rsid w:val="006302B0"/>
    <w:rsid w:val="00632754"/>
    <w:rsid w:val="00632C39"/>
    <w:rsid w:val="006333A4"/>
    <w:rsid w:val="00637587"/>
    <w:rsid w:val="00637B32"/>
    <w:rsid w:val="00637BB7"/>
    <w:rsid w:val="00642278"/>
    <w:rsid w:val="006446FC"/>
    <w:rsid w:val="00646183"/>
    <w:rsid w:val="00646702"/>
    <w:rsid w:val="006467B9"/>
    <w:rsid w:val="0065363C"/>
    <w:rsid w:val="00655234"/>
    <w:rsid w:val="006559CA"/>
    <w:rsid w:val="00660538"/>
    <w:rsid w:val="00665468"/>
    <w:rsid w:val="0066754A"/>
    <w:rsid w:val="006678B0"/>
    <w:rsid w:val="00670FE0"/>
    <w:rsid w:val="00672A75"/>
    <w:rsid w:val="00673DCD"/>
    <w:rsid w:val="0068034C"/>
    <w:rsid w:val="006819D9"/>
    <w:rsid w:val="00681D16"/>
    <w:rsid w:val="0068244C"/>
    <w:rsid w:val="00683AC0"/>
    <w:rsid w:val="00684E25"/>
    <w:rsid w:val="006858EC"/>
    <w:rsid w:val="00685E71"/>
    <w:rsid w:val="00687E84"/>
    <w:rsid w:val="0069098E"/>
    <w:rsid w:val="0069382F"/>
    <w:rsid w:val="0069412F"/>
    <w:rsid w:val="00697A38"/>
    <w:rsid w:val="00697B8C"/>
    <w:rsid w:val="006A0C92"/>
    <w:rsid w:val="006A1066"/>
    <w:rsid w:val="006A475F"/>
    <w:rsid w:val="006A6236"/>
    <w:rsid w:val="006A6364"/>
    <w:rsid w:val="006B0EB2"/>
    <w:rsid w:val="006B11C1"/>
    <w:rsid w:val="006B225D"/>
    <w:rsid w:val="006B2C56"/>
    <w:rsid w:val="006B3208"/>
    <w:rsid w:val="006B70A0"/>
    <w:rsid w:val="006B73F3"/>
    <w:rsid w:val="006B7FAB"/>
    <w:rsid w:val="006C0316"/>
    <w:rsid w:val="006C06B7"/>
    <w:rsid w:val="006C3919"/>
    <w:rsid w:val="006C3C83"/>
    <w:rsid w:val="006C7D38"/>
    <w:rsid w:val="006D0A85"/>
    <w:rsid w:val="006D10DA"/>
    <w:rsid w:val="006D40F0"/>
    <w:rsid w:val="006D643C"/>
    <w:rsid w:val="006D6A1A"/>
    <w:rsid w:val="006D7D1C"/>
    <w:rsid w:val="006E0CF0"/>
    <w:rsid w:val="006E22FB"/>
    <w:rsid w:val="006E4168"/>
    <w:rsid w:val="006E756D"/>
    <w:rsid w:val="006F0DA7"/>
    <w:rsid w:val="006F1216"/>
    <w:rsid w:val="006F2AF9"/>
    <w:rsid w:val="00700D75"/>
    <w:rsid w:val="0070237D"/>
    <w:rsid w:val="007027EA"/>
    <w:rsid w:val="007035A8"/>
    <w:rsid w:val="00704940"/>
    <w:rsid w:val="007059A5"/>
    <w:rsid w:val="00705F70"/>
    <w:rsid w:val="0070655B"/>
    <w:rsid w:val="00706974"/>
    <w:rsid w:val="00706FDD"/>
    <w:rsid w:val="007072A2"/>
    <w:rsid w:val="00707FF9"/>
    <w:rsid w:val="0071068E"/>
    <w:rsid w:val="007119E7"/>
    <w:rsid w:val="007137E1"/>
    <w:rsid w:val="00717945"/>
    <w:rsid w:val="00722266"/>
    <w:rsid w:val="007222CE"/>
    <w:rsid w:val="00723752"/>
    <w:rsid w:val="00725ED0"/>
    <w:rsid w:val="0072620B"/>
    <w:rsid w:val="00727D50"/>
    <w:rsid w:val="00734594"/>
    <w:rsid w:val="00734679"/>
    <w:rsid w:val="00737D29"/>
    <w:rsid w:val="007434DC"/>
    <w:rsid w:val="007436C6"/>
    <w:rsid w:val="00744E6E"/>
    <w:rsid w:val="00746D3F"/>
    <w:rsid w:val="00750FBB"/>
    <w:rsid w:val="007512E8"/>
    <w:rsid w:val="0075209D"/>
    <w:rsid w:val="00752F5B"/>
    <w:rsid w:val="007543BF"/>
    <w:rsid w:val="007550AD"/>
    <w:rsid w:val="0075573C"/>
    <w:rsid w:val="007579CC"/>
    <w:rsid w:val="00761261"/>
    <w:rsid w:val="0076133E"/>
    <w:rsid w:val="00762E3A"/>
    <w:rsid w:val="0076314D"/>
    <w:rsid w:val="00765363"/>
    <w:rsid w:val="00766A7E"/>
    <w:rsid w:val="00767341"/>
    <w:rsid w:val="0077069E"/>
    <w:rsid w:val="00772099"/>
    <w:rsid w:val="0077619D"/>
    <w:rsid w:val="0078193A"/>
    <w:rsid w:val="00781B40"/>
    <w:rsid w:val="00782618"/>
    <w:rsid w:val="00782FB2"/>
    <w:rsid w:val="00784FDB"/>
    <w:rsid w:val="00785B77"/>
    <w:rsid w:val="0078608D"/>
    <w:rsid w:val="0078685D"/>
    <w:rsid w:val="0079133E"/>
    <w:rsid w:val="00791684"/>
    <w:rsid w:val="00793BE5"/>
    <w:rsid w:val="007A1934"/>
    <w:rsid w:val="007A2FD2"/>
    <w:rsid w:val="007A4E80"/>
    <w:rsid w:val="007A511E"/>
    <w:rsid w:val="007A7288"/>
    <w:rsid w:val="007B0966"/>
    <w:rsid w:val="007B0A5C"/>
    <w:rsid w:val="007B0BAC"/>
    <w:rsid w:val="007B0E24"/>
    <w:rsid w:val="007B0E3B"/>
    <w:rsid w:val="007B3034"/>
    <w:rsid w:val="007B39C8"/>
    <w:rsid w:val="007B3BB3"/>
    <w:rsid w:val="007B4E55"/>
    <w:rsid w:val="007B5DD3"/>
    <w:rsid w:val="007C051A"/>
    <w:rsid w:val="007C05CE"/>
    <w:rsid w:val="007C09F5"/>
    <w:rsid w:val="007C1831"/>
    <w:rsid w:val="007C5C12"/>
    <w:rsid w:val="007D2E26"/>
    <w:rsid w:val="007D307C"/>
    <w:rsid w:val="007D4A1D"/>
    <w:rsid w:val="007D67E7"/>
    <w:rsid w:val="007D6FB1"/>
    <w:rsid w:val="007D78FA"/>
    <w:rsid w:val="007E07A3"/>
    <w:rsid w:val="007E3157"/>
    <w:rsid w:val="007E35D5"/>
    <w:rsid w:val="007E4A90"/>
    <w:rsid w:val="007E4EF4"/>
    <w:rsid w:val="007E5BC2"/>
    <w:rsid w:val="007E6627"/>
    <w:rsid w:val="007E6E64"/>
    <w:rsid w:val="007F0060"/>
    <w:rsid w:val="007F10C4"/>
    <w:rsid w:val="007F1CA9"/>
    <w:rsid w:val="007F1D47"/>
    <w:rsid w:val="007F4B96"/>
    <w:rsid w:val="008014EA"/>
    <w:rsid w:val="0080169F"/>
    <w:rsid w:val="00802104"/>
    <w:rsid w:val="00802A0D"/>
    <w:rsid w:val="008038F1"/>
    <w:rsid w:val="00803C77"/>
    <w:rsid w:val="0080406C"/>
    <w:rsid w:val="0080650E"/>
    <w:rsid w:val="00813B1F"/>
    <w:rsid w:val="00813C96"/>
    <w:rsid w:val="00813F82"/>
    <w:rsid w:val="00816F02"/>
    <w:rsid w:val="00817C8A"/>
    <w:rsid w:val="00821BB6"/>
    <w:rsid w:val="00823B7A"/>
    <w:rsid w:val="00824715"/>
    <w:rsid w:val="00825ED6"/>
    <w:rsid w:val="00827ADE"/>
    <w:rsid w:val="0083111B"/>
    <w:rsid w:val="008324B4"/>
    <w:rsid w:val="008347E4"/>
    <w:rsid w:val="008407B5"/>
    <w:rsid w:val="00841FE7"/>
    <w:rsid w:val="0084302E"/>
    <w:rsid w:val="00843C08"/>
    <w:rsid w:val="00846CBD"/>
    <w:rsid w:val="00847303"/>
    <w:rsid w:val="00850CEE"/>
    <w:rsid w:val="0085274E"/>
    <w:rsid w:val="00852DEE"/>
    <w:rsid w:val="00853458"/>
    <w:rsid w:val="008543F8"/>
    <w:rsid w:val="008559ED"/>
    <w:rsid w:val="0085775C"/>
    <w:rsid w:val="00857BED"/>
    <w:rsid w:val="00860069"/>
    <w:rsid w:val="00860200"/>
    <w:rsid w:val="008636C7"/>
    <w:rsid w:val="00864CA9"/>
    <w:rsid w:val="00864CB2"/>
    <w:rsid w:val="00866D93"/>
    <w:rsid w:val="00867A42"/>
    <w:rsid w:val="008714E9"/>
    <w:rsid w:val="00872DC3"/>
    <w:rsid w:val="00874243"/>
    <w:rsid w:val="008750F5"/>
    <w:rsid w:val="008761B5"/>
    <w:rsid w:val="008819C1"/>
    <w:rsid w:val="00882895"/>
    <w:rsid w:val="00882D49"/>
    <w:rsid w:val="008846D7"/>
    <w:rsid w:val="008902BA"/>
    <w:rsid w:val="00891BAE"/>
    <w:rsid w:val="00894944"/>
    <w:rsid w:val="00894BCC"/>
    <w:rsid w:val="00896B7A"/>
    <w:rsid w:val="008A0843"/>
    <w:rsid w:val="008A26AB"/>
    <w:rsid w:val="008A2E67"/>
    <w:rsid w:val="008A72A9"/>
    <w:rsid w:val="008B3BF9"/>
    <w:rsid w:val="008B5083"/>
    <w:rsid w:val="008B5BB7"/>
    <w:rsid w:val="008B6780"/>
    <w:rsid w:val="008B7D4C"/>
    <w:rsid w:val="008C114C"/>
    <w:rsid w:val="008C2D23"/>
    <w:rsid w:val="008C4442"/>
    <w:rsid w:val="008C4DBA"/>
    <w:rsid w:val="008D0210"/>
    <w:rsid w:val="008D0543"/>
    <w:rsid w:val="008D2B9C"/>
    <w:rsid w:val="008D440A"/>
    <w:rsid w:val="008D46A7"/>
    <w:rsid w:val="008D4F9B"/>
    <w:rsid w:val="008D6CFC"/>
    <w:rsid w:val="008D6F6C"/>
    <w:rsid w:val="008D71DD"/>
    <w:rsid w:val="008D749D"/>
    <w:rsid w:val="008D78CA"/>
    <w:rsid w:val="008E3280"/>
    <w:rsid w:val="008E50F3"/>
    <w:rsid w:val="008E5B88"/>
    <w:rsid w:val="008E6AA7"/>
    <w:rsid w:val="008F05DD"/>
    <w:rsid w:val="008F1530"/>
    <w:rsid w:val="008F1BC0"/>
    <w:rsid w:val="008F2461"/>
    <w:rsid w:val="008F28BE"/>
    <w:rsid w:val="008F6E20"/>
    <w:rsid w:val="00902615"/>
    <w:rsid w:val="00907A26"/>
    <w:rsid w:val="009107CF"/>
    <w:rsid w:val="00911A6D"/>
    <w:rsid w:val="00913EA3"/>
    <w:rsid w:val="00914406"/>
    <w:rsid w:val="00915241"/>
    <w:rsid w:val="00916B73"/>
    <w:rsid w:val="00922CCD"/>
    <w:rsid w:val="00927B15"/>
    <w:rsid w:val="00930065"/>
    <w:rsid w:val="00931D46"/>
    <w:rsid w:val="00933A9A"/>
    <w:rsid w:val="009352E5"/>
    <w:rsid w:val="0093638E"/>
    <w:rsid w:val="009415F5"/>
    <w:rsid w:val="00941DE9"/>
    <w:rsid w:val="00943E2B"/>
    <w:rsid w:val="009501DA"/>
    <w:rsid w:val="00950F9B"/>
    <w:rsid w:val="00951572"/>
    <w:rsid w:val="009522FB"/>
    <w:rsid w:val="00952868"/>
    <w:rsid w:val="00952A57"/>
    <w:rsid w:val="00953F14"/>
    <w:rsid w:val="00954F37"/>
    <w:rsid w:val="009562A9"/>
    <w:rsid w:val="009565E3"/>
    <w:rsid w:val="00956BB4"/>
    <w:rsid w:val="00956E73"/>
    <w:rsid w:val="009618EA"/>
    <w:rsid w:val="009626E1"/>
    <w:rsid w:val="009722AB"/>
    <w:rsid w:val="00976027"/>
    <w:rsid w:val="00981862"/>
    <w:rsid w:val="00985271"/>
    <w:rsid w:val="00985993"/>
    <w:rsid w:val="0099251B"/>
    <w:rsid w:val="00992A4A"/>
    <w:rsid w:val="00993275"/>
    <w:rsid w:val="00994294"/>
    <w:rsid w:val="00995A8D"/>
    <w:rsid w:val="0099729D"/>
    <w:rsid w:val="009A14E3"/>
    <w:rsid w:val="009A3597"/>
    <w:rsid w:val="009A4360"/>
    <w:rsid w:val="009A4BAE"/>
    <w:rsid w:val="009A4BF9"/>
    <w:rsid w:val="009A4FC0"/>
    <w:rsid w:val="009A6DAF"/>
    <w:rsid w:val="009A74B3"/>
    <w:rsid w:val="009A7A91"/>
    <w:rsid w:val="009A7D32"/>
    <w:rsid w:val="009B0139"/>
    <w:rsid w:val="009B0590"/>
    <w:rsid w:val="009B0950"/>
    <w:rsid w:val="009B484A"/>
    <w:rsid w:val="009B5286"/>
    <w:rsid w:val="009B59F6"/>
    <w:rsid w:val="009C196B"/>
    <w:rsid w:val="009C24B2"/>
    <w:rsid w:val="009C3EC0"/>
    <w:rsid w:val="009C4A6B"/>
    <w:rsid w:val="009C5074"/>
    <w:rsid w:val="009C6360"/>
    <w:rsid w:val="009C73EF"/>
    <w:rsid w:val="009C74A1"/>
    <w:rsid w:val="009D06E0"/>
    <w:rsid w:val="009D1173"/>
    <w:rsid w:val="009D1B3F"/>
    <w:rsid w:val="009D1D5B"/>
    <w:rsid w:val="009D3048"/>
    <w:rsid w:val="009D46AE"/>
    <w:rsid w:val="009D5718"/>
    <w:rsid w:val="009D6368"/>
    <w:rsid w:val="009E09E5"/>
    <w:rsid w:val="009E0C4D"/>
    <w:rsid w:val="009E0D28"/>
    <w:rsid w:val="009E1E76"/>
    <w:rsid w:val="009E2DA5"/>
    <w:rsid w:val="009E3C14"/>
    <w:rsid w:val="009E5C61"/>
    <w:rsid w:val="009F0CB6"/>
    <w:rsid w:val="009F3B39"/>
    <w:rsid w:val="009F3E45"/>
    <w:rsid w:val="009F573B"/>
    <w:rsid w:val="009F5F2E"/>
    <w:rsid w:val="009F72DF"/>
    <w:rsid w:val="00A014BD"/>
    <w:rsid w:val="00A025F4"/>
    <w:rsid w:val="00A02615"/>
    <w:rsid w:val="00A038A7"/>
    <w:rsid w:val="00A03FF1"/>
    <w:rsid w:val="00A048AF"/>
    <w:rsid w:val="00A135AE"/>
    <w:rsid w:val="00A15105"/>
    <w:rsid w:val="00A152C2"/>
    <w:rsid w:val="00A201AB"/>
    <w:rsid w:val="00A2097B"/>
    <w:rsid w:val="00A253E0"/>
    <w:rsid w:val="00A25956"/>
    <w:rsid w:val="00A26A95"/>
    <w:rsid w:val="00A311AB"/>
    <w:rsid w:val="00A316ED"/>
    <w:rsid w:val="00A31BA4"/>
    <w:rsid w:val="00A326D2"/>
    <w:rsid w:val="00A32B41"/>
    <w:rsid w:val="00A32F6B"/>
    <w:rsid w:val="00A34119"/>
    <w:rsid w:val="00A342A1"/>
    <w:rsid w:val="00A37AAF"/>
    <w:rsid w:val="00A40689"/>
    <w:rsid w:val="00A40E72"/>
    <w:rsid w:val="00A4346C"/>
    <w:rsid w:val="00A448D1"/>
    <w:rsid w:val="00A45086"/>
    <w:rsid w:val="00A46FFA"/>
    <w:rsid w:val="00A470E4"/>
    <w:rsid w:val="00A50C0E"/>
    <w:rsid w:val="00A52199"/>
    <w:rsid w:val="00A60414"/>
    <w:rsid w:val="00A61228"/>
    <w:rsid w:val="00A62FBD"/>
    <w:rsid w:val="00A632D1"/>
    <w:rsid w:val="00A642FD"/>
    <w:rsid w:val="00A64671"/>
    <w:rsid w:val="00A65F5C"/>
    <w:rsid w:val="00A66FEC"/>
    <w:rsid w:val="00A670AB"/>
    <w:rsid w:val="00A740EE"/>
    <w:rsid w:val="00A746A2"/>
    <w:rsid w:val="00A75A77"/>
    <w:rsid w:val="00A80D43"/>
    <w:rsid w:val="00A81CB5"/>
    <w:rsid w:val="00A8298B"/>
    <w:rsid w:val="00A85F34"/>
    <w:rsid w:val="00A87E16"/>
    <w:rsid w:val="00A90781"/>
    <w:rsid w:val="00A90B9E"/>
    <w:rsid w:val="00A90ECE"/>
    <w:rsid w:val="00A910AD"/>
    <w:rsid w:val="00A914B7"/>
    <w:rsid w:val="00A961CE"/>
    <w:rsid w:val="00A961EB"/>
    <w:rsid w:val="00A97C3A"/>
    <w:rsid w:val="00AA33EC"/>
    <w:rsid w:val="00AA69E9"/>
    <w:rsid w:val="00AA6E0C"/>
    <w:rsid w:val="00AA757F"/>
    <w:rsid w:val="00AB08C5"/>
    <w:rsid w:val="00AB5B1D"/>
    <w:rsid w:val="00AB7625"/>
    <w:rsid w:val="00AB7F28"/>
    <w:rsid w:val="00AC0871"/>
    <w:rsid w:val="00AC5D93"/>
    <w:rsid w:val="00AC6E6F"/>
    <w:rsid w:val="00AD1CDF"/>
    <w:rsid w:val="00AD2DAE"/>
    <w:rsid w:val="00AD4BC4"/>
    <w:rsid w:val="00AD52E8"/>
    <w:rsid w:val="00AD7E0D"/>
    <w:rsid w:val="00AE0C08"/>
    <w:rsid w:val="00AE28B9"/>
    <w:rsid w:val="00AE2D5B"/>
    <w:rsid w:val="00AE3535"/>
    <w:rsid w:val="00AE391B"/>
    <w:rsid w:val="00AE3988"/>
    <w:rsid w:val="00AE3B9C"/>
    <w:rsid w:val="00AE54E5"/>
    <w:rsid w:val="00AE5A20"/>
    <w:rsid w:val="00AE65A3"/>
    <w:rsid w:val="00AF1424"/>
    <w:rsid w:val="00AF1CD0"/>
    <w:rsid w:val="00AF3F10"/>
    <w:rsid w:val="00AF5138"/>
    <w:rsid w:val="00B02384"/>
    <w:rsid w:val="00B04131"/>
    <w:rsid w:val="00B04738"/>
    <w:rsid w:val="00B05C5F"/>
    <w:rsid w:val="00B06452"/>
    <w:rsid w:val="00B06794"/>
    <w:rsid w:val="00B129F2"/>
    <w:rsid w:val="00B14410"/>
    <w:rsid w:val="00B145C4"/>
    <w:rsid w:val="00B16D0E"/>
    <w:rsid w:val="00B215F3"/>
    <w:rsid w:val="00B21AF4"/>
    <w:rsid w:val="00B22039"/>
    <w:rsid w:val="00B22A6F"/>
    <w:rsid w:val="00B2380E"/>
    <w:rsid w:val="00B26BCF"/>
    <w:rsid w:val="00B33C75"/>
    <w:rsid w:val="00B347B9"/>
    <w:rsid w:val="00B353D7"/>
    <w:rsid w:val="00B3558F"/>
    <w:rsid w:val="00B370D9"/>
    <w:rsid w:val="00B40EB3"/>
    <w:rsid w:val="00B444BF"/>
    <w:rsid w:val="00B447B7"/>
    <w:rsid w:val="00B4508D"/>
    <w:rsid w:val="00B532D6"/>
    <w:rsid w:val="00B533B1"/>
    <w:rsid w:val="00B53E19"/>
    <w:rsid w:val="00B541CE"/>
    <w:rsid w:val="00B550D0"/>
    <w:rsid w:val="00B55902"/>
    <w:rsid w:val="00B600B7"/>
    <w:rsid w:val="00B63382"/>
    <w:rsid w:val="00B6380C"/>
    <w:rsid w:val="00B65FDE"/>
    <w:rsid w:val="00B6669E"/>
    <w:rsid w:val="00B66CB7"/>
    <w:rsid w:val="00B70388"/>
    <w:rsid w:val="00B712AE"/>
    <w:rsid w:val="00B72C43"/>
    <w:rsid w:val="00B72E01"/>
    <w:rsid w:val="00B83259"/>
    <w:rsid w:val="00B8453B"/>
    <w:rsid w:val="00B8475F"/>
    <w:rsid w:val="00B84C56"/>
    <w:rsid w:val="00B84C6A"/>
    <w:rsid w:val="00B85FB5"/>
    <w:rsid w:val="00B86EBA"/>
    <w:rsid w:val="00B87667"/>
    <w:rsid w:val="00B90ED4"/>
    <w:rsid w:val="00B911FF"/>
    <w:rsid w:val="00B92874"/>
    <w:rsid w:val="00B933DC"/>
    <w:rsid w:val="00B94A5D"/>
    <w:rsid w:val="00B951E9"/>
    <w:rsid w:val="00B977B7"/>
    <w:rsid w:val="00B97E3E"/>
    <w:rsid w:val="00B97EFD"/>
    <w:rsid w:val="00BA2D3F"/>
    <w:rsid w:val="00BA495E"/>
    <w:rsid w:val="00BA4D14"/>
    <w:rsid w:val="00BA6292"/>
    <w:rsid w:val="00BA7841"/>
    <w:rsid w:val="00BA7A7D"/>
    <w:rsid w:val="00BB2561"/>
    <w:rsid w:val="00BB2F63"/>
    <w:rsid w:val="00BB3454"/>
    <w:rsid w:val="00BB3E4E"/>
    <w:rsid w:val="00BB47CC"/>
    <w:rsid w:val="00BB663E"/>
    <w:rsid w:val="00BC01C0"/>
    <w:rsid w:val="00BC350D"/>
    <w:rsid w:val="00BC4928"/>
    <w:rsid w:val="00BC5B55"/>
    <w:rsid w:val="00BC6217"/>
    <w:rsid w:val="00BC7451"/>
    <w:rsid w:val="00BC7885"/>
    <w:rsid w:val="00BD03B5"/>
    <w:rsid w:val="00BD171A"/>
    <w:rsid w:val="00BD1A01"/>
    <w:rsid w:val="00BD63A7"/>
    <w:rsid w:val="00BE0325"/>
    <w:rsid w:val="00BF1DE6"/>
    <w:rsid w:val="00BF4DC2"/>
    <w:rsid w:val="00BF5BC7"/>
    <w:rsid w:val="00BF617D"/>
    <w:rsid w:val="00BF7826"/>
    <w:rsid w:val="00BF7B0A"/>
    <w:rsid w:val="00C0097F"/>
    <w:rsid w:val="00C00C92"/>
    <w:rsid w:val="00C0307D"/>
    <w:rsid w:val="00C03C39"/>
    <w:rsid w:val="00C06DF9"/>
    <w:rsid w:val="00C0752F"/>
    <w:rsid w:val="00C10402"/>
    <w:rsid w:val="00C107F0"/>
    <w:rsid w:val="00C109DB"/>
    <w:rsid w:val="00C1253C"/>
    <w:rsid w:val="00C13812"/>
    <w:rsid w:val="00C17087"/>
    <w:rsid w:val="00C17B3F"/>
    <w:rsid w:val="00C212A5"/>
    <w:rsid w:val="00C2196F"/>
    <w:rsid w:val="00C254FD"/>
    <w:rsid w:val="00C266F7"/>
    <w:rsid w:val="00C2777B"/>
    <w:rsid w:val="00C3093A"/>
    <w:rsid w:val="00C35F69"/>
    <w:rsid w:val="00C36956"/>
    <w:rsid w:val="00C37A12"/>
    <w:rsid w:val="00C45ED6"/>
    <w:rsid w:val="00C46330"/>
    <w:rsid w:val="00C47255"/>
    <w:rsid w:val="00C50A40"/>
    <w:rsid w:val="00C52853"/>
    <w:rsid w:val="00C560EE"/>
    <w:rsid w:val="00C565D4"/>
    <w:rsid w:val="00C568F8"/>
    <w:rsid w:val="00C57EE5"/>
    <w:rsid w:val="00C60A90"/>
    <w:rsid w:val="00C61C48"/>
    <w:rsid w:val="00C62ADA"/>
    <w:rsid w:val="00C6324F"/>
    <w:rsid w:val="00C63524"/>
    <w:rsid w:val="00C6430E"/>
    <w:rsid w:val="00C64319"/>
    <w:rsid w:val="00C65475"/>
    <w:rsid w:val="00C65F35"/>
    <w:rsid w:val="00C66563"/>
    <w:rsid w:val="00C71F1B"/>
    <w:rsid w:val="00C72D65"/>
    <w:rsid w:val="00C72E27"/>
    <w:rsid w:val="00C73287"/>
    <w:rsid w:val="00C77DBE"/>
    <w:rsid w:val="00C77F39"/>
    <w:rsid w:val="00C81076"/>
    <w:rsid w:val="00C81674"/>
    <w:rsid w:val="00C81756"/>
    <w:rsid w:val="00C821D0"/>
    <w:rsid w:val="00C8385E"/>
    <w:rsid w:val="00C86C40"/>
    <w:rsid w:val="00C87EC4"/>
    <w:rsid w:val="00C92E2D"/>
    <w:rsid w:val="00C93F61"/>
    <w:rsid w:val="00C948E0"/>
    <w:rsid w:val="00C964C0"/>
    <w:rsid w:val="00C97F4E"/>
    <w:rsid w:val="00CA46CD"/>
    <w:rsid w:val="00CA4F4E"/>
    <w:rsid w:val="00CA51F2"/>
    <w:rsid w:val="00CA554E"/>
    <w:rsid w:val="00CA5551"/>
    <w:rsid w:val="00CA65BD"/>
    <w:rsid w:val="00CA707D"/>
    <w:rsid w:val="00CB2278"/>
    <w:rsid w:val="00CB304F"/>
    <w:rsid w:val="00CB58A7"/>
    <w:rsid w:val="00CB5A6A"/>
    <w:rsid w:val="00CB7026"/>
    <w:rsid w:val="00CB7DD7"/>
    <w:rsid w:val="00CC036A"/>
    <w:rsid w:val="00CC060B"/>
    <w:rsid w:val="00CC21C6"/>
    <w:rsid w:val="00CC2708"/>
    <w:rsid w:val="00CD01BB"/>
    <w:rsid w:val="00CD1184"/>
    <w:rsid w:val="00CD294D"/>
    <w:rsid w:val="00CD39DF"/>
    <w:rsid w:val="00CD4E9E"/>
    <w:rsid w:val="00CD6335"/>
    <w:rsid w:val="00CD67C7"/>
    <w:rsid w:val="00CE15DE"/>
    <w:rsid w:val="00CE4540"/>
    <w:rsid w:val="00CE4E28"/>
    <w:rsid w:val="00CE7708"/>
    <w:rsid w:val="00CF03E6"/>
    <w:rsid w:val="00CF0B91"/>
    <w:rsid w:val="00CF46AE"/>
    <w:rsid w:val="00CF4F7D"/>
    <w:rsid w:val="00CF7106"/>
    <w:rsid w:val="00D036ED"/>
    <w:rsid w:val="00D051BE"/>
    <w:rsid w:val="00D067DB"/>
    <w:rsid w:val="00D07C0C"/>
    <w:rsid w:val="00D10817"/>
    <w:rsid w:val="00D10BEE"/>
    <w:rsid w:val="00D11B8C"/>
    <w:rsid w:val="00D1377C"/>
    <w:rsid w:val="00D14D07"/>
    <w:rsid w:val="00D17240"/>
    <w:rsid w:val="00D24038"/>
    <w:rsid w:val="00D2406A"/>
    <w:rsid w:val="00D2611A"/>
    <w:rsid w:val="00D270DD"/>
    <w:rsid w:val="00D27BE5"/>
    <w:rsid w:val="00D31348"/>
    <w:rsid w:val="00D33CF9"/>
    <w:rsid w:val="00D35E1E"/>
    <w:rsid w:val="00D40E79"/>
    <w:rsid w:val="00D41FAD"/>
    <w:rsid w:val="00D45507"/>
    <w:rsid w:val="00D45BD0"/>
    <w:rsid w:val="00D460D1"/>
    <w:rsid w:val="00D51E06"/>
    <w:rsid w:val="00D52917"/>
    <w:rsid w:val="00D52AB7"/>
    <w:rsid w:val="00D564F7"/>
    <w:rsid w:val="00D62088"/>
    <w:rsid w:val="00D63B87"/>
    <w:rsid w:val="00D6517C"/>
    <w:rsid w:val="00D703BA"/>
    <w:rsid w:val="00D729AB"/>
    <w:rsid w:val="00D72E7B"/>
    <w:rsid w:val="00D74604"/>
    <w:rsid w:val="00D8476E"/>
    <w:rsid w:val="00D851F8"/>
    <w:rsid w:val="00D85A7F"/>
    <w:rsid w:val="00D85C31"/>
    <w:rsid w:val="00D914E5"/>
    <w:rsid w:val="00D915FE"/>
    <w:rsid w:val="00D920D0"/>
    <w:rsid w:val="00D9244B"/>
    <w:rsid w:val="00D94620"/>
    <w:rsid w:val="00D974C4"/>
    <w:rsid w:val="00DA229F"/>
    <w:rsid w:val="00DA29D8"/>
    <w:rsid w:val="00DA4B43"/>
    <w:rsid w:val="00DB0ADF"/>
    <w:rsid w:val="00DB21D7"/>
    <w:rsid w:val="00DB5C92"/>
    <w:rsid w:val="00DB68EA"/>
    <w:rsid w:val="00DB6F55"/>
    <w:rsid w:val="00DB7FC5"/>
    <w:rsid w:val="00DC0216"/>
    <w:rsid w:val="00DC2444"/>
    <w:rsid w:val="00DC50CC"/>
    <w:rsid w:val="00DC6DDF"/>
    <w:rsid w:val="00DD0345"/>
    <w:rsid w:val="00DD0BC5"/>
    <w:rsid w:val="00DD1298"/>
    <w:rsid w:val="00DD2080"/>
    <w:rsid w:val="00DD27E6"/>
    <w:rsid w:val="00DD3C32"/>
    <w:rsid w:val="00DD3D77"/>
    <w:rsid w:val="00DD613E"/>
    <w:rsid w:val="00DE02B2"/>
    <w:rsid w:val="00DE2803"/>
    <w:rsid w:val="00DE4B6E"/>
    <w:rsid w:val="00DE7CF5"/>
    <w:rsid w:val="00DF2684"/>
    <w:rsid w:val="00DF3098"/>
    <w:rsid w:val="00DF41F7"/>
    <w:rsid w:val="00DF4245"/>
    <w:rsid w:val="00DF628A"/>
    <w:rsid w:val="00E00875"/>
    <w:rsid w:val="00E02787"/>
    <w:rsid w:val="00E03BEA"/>
    <w:rsid w:val="00E03FBC"/>
    <w:rsid w:val="00E04D37"/>
    <w:rsid w:val="00E04ED0"/>
    <w:rsid w:val="00E05586"/>
    <w:rsid w:val="00E1249E"/>
    <w:rsid w:val="00E150AE"/>
    <w:rsid w:val="00E15ACB"/>
    <w:rsid w:val="00E201D4"/>
    <w:rsid w:val="00E23353"/>
    <w:rsid w:val="00E25068"/>
    <w:rsid w:val="00E265CE"/>
    <w:rsid w:val="00E27999"/>
    <w:rsid w:val="00E27A29"/>
    <w:rsid w:val="00E304B9"/>
    <w:rsid w:val="00E35E22"/>
    <w:rsid w:val="00E3767C"/>
    <w:rsid w:val="00E37DBE"/>
    <w:rsid w:val="00E40272"/>
    <w:rsid w:val="00E43082"/>
    <w:rsid w:val="00E460D8"/>
    <w:rsid w:val="00E462B9"/>
    <w:rsid w:val="00E4637F"/>
    <w:rsid w:val="00E55352"/>
    <w:rsid w:val="00E560A9"/>
    <w:rsid w:val="00E611D2"/>
    <w:rsid w:val="00E6505C"/>
    <w:rsid w:val="00E67A14"/>
    <w:rsid w:val="00E75975"/>
    <w:rsid w:val="00E76DF0"/>
    <w:rsid w:val="00E77AD8"/>
    <w:rsid w:val="00E803BB"/>
    <w:rsid w:val="00E80460"/>
    <w:rsid w:val="00E80A77"/>
    <w:rsid w:val="00E82047"/>
    <w:rsid w:val="00E83A9E"/>
    <w:rsid w:val="00E85A30"/>
    <w:rsid w:val="00E8644E"/>
    <w:rsid w:val="00E864D8"/>
    <w:rsid w:val="00E87230"/>
    <w:rsid w:val="00E87725"/>
    <w:rsid w:val="00E87970"/>
    <w:rsid w:val="00E90CF6"/>
    <w:rsid w:val="00E93431"/>
    <w:rsid w:val="00E945CF"/>
    <w:rsid w:val="00E94EE7"/>
    <w:rsid w:val="00E973F6"/>
    <w:rsid w:val="00E977D4"/>
    <w:rsid w:val="00EA2AAD"/>
    <w:rsid w:val="00EA2D83"/>
    <w:rsid w:val="00EA3C3D"/>
    <w:rsid w:val="00EA48B7"/>
    <w:rsid w:val="00EB0195"/>
    <w:rsid w:val="00EB02D8"/>
    <w:rsid w:val="00EB6C9E"/>
    <w:rsid w:val="00EB6DA8"/>
    <w:rsid w:val="00EB6E71"/>
    <w:rsid w:val="00EC09CB"/>
    <w:rsid w:val="00EC1E2B"/>
    <w:rsid w:val="00EC2118"/>
    <w:rsid w:val="00EC416E"/>
    <w:rsid w:val="00EC4981"/>
    <w:rsid w:val="00EC5800"/>
    <w:rsid w:val="00EC6F5F"/>
    <w:rsid w:val="00ED188D"/>
    <w:rsid w:val="00ED21B4"/>
    <w:rsid w:val="00ED2739"/>
    <w:rsid w:val="00EE02FC"/>
    <w:rsid w:val="00EE07E2"/>
    <w:rsid w:val="00EE0A3F"/>
    <w:rsid w:val="00EE6908"/>
    <w:rsid w:val="00EE76C6"/>
    <w:rsid w:val="00EF30DB"/>
    <w:rsid w:val="00EF34C6"/>
    <w:rsid w:val="00EF37EC"/>
    <w:rsid w:val="00EF38F2"/>
    <w:rsid w:val="00EF4860"/>
    <w:rsid w:val="00EF54FF"/>
    <w:rsid w:val="00EF5FAB"/>
    <w:rsid w:val="00EF6DA3"/>
    <w:rsid w:val="00F03BE8"/>
    <w:rsid w:val="00F052A9"/>
    <w:rsid w:val="00F112AD"/>
    <w:rsid w:val="00F11BDD"/>
    <w:rsid w:val="00F11CE3"/>
    <w:rsid w:val="00F121D3"/>
    <w:rsid w:val="00F13A1D"/>
    <w:rsid w:val="00F16451"/>
    <w:rsid w:val="00F16513"/>
    <w:rsid w:val="00F1712B"/>
    <w:rsid w:val="00F21391"/>
    <w:rsid w:val="00F22107"/>
    <w:rsid w:val="00F22E52"/>
    <w:rsid w:val="00F25229"/>
    <w:rsid w:val="00F25C91"/>
    <w:rsid w:val="00F30988"/>
    <w:rsid w:val="00F3137A"/>
    <w:rsid w:val="00F316AA"/>
    <w:rsid w:val="00F31D80"/>
    <w:rsid w:val="00F33044"/>
    <w:rsid w:val="00F330FC"/>
    <w:rsid w:val="00F33914"/>
    <w:rsid w:val="00F33EDB"/>
    <w:rsid w:val="00F425AA"/>
    <w:rsid w:val="00F42C6F"/>
    <w:rsid w:val="00F44F17"/>
    <w:rsid w:val="00F4528B"/>
    <w:rsid w:val="00F4618A"/>
    <w:rsid w:val="00F50936"/>
    <w:rsid w:val="00F50A99"/>
    <w:rsid w:val="00F51EFF"/>
    <w:rsid w:val="00F524C4"/>
    <w:rsid w:val="00F53BF9"/>
    <w:rsid w:val="00F54DF5"/>
    <w:rsid w:val="00F56D42"/>
    <w:rsid w:val="00F56EC8"/>
    <w:rsid w:val="00F573A0"/>
    <w:rsid w:val="00F578BF"/>
    <w:rsid w:val="00F60714"/>
    <w:rsid w:val="00F60862"/>
    <w:rsid w:val="00F614B0"/>
    <w:rsid w:val="00F6155A"/>
    <w:rsid w:val="00F61B1A"/>
    <w:rsid w:val="00F63C05"/>
    <w:rsid w:val="00F64DC5"/>
    <w:rsid w:val="00F65C05"/>
    <w:rsid w:val="00F7039B"/>
    <w:rsid w:val="00F709CD"/>
    <w:rsid w:val="00F73481"/>
    <w:rsid w:val="00F74B7B"/>
    <w:rsid w:val="00F74D8A"/>
    <w:rsid w:val="00F77628"/>
    <w:rsid w:val="00F8020C"/>
    <w:rsid w:val="00F804F5"/>
    <w:rsid w:val="00F80918"/>
    <w:rsid w:val="00F811EC"/>
    <w:rsid w:val="00F8129C"/>
    <w:rsid w:val="00F826F8"/>
    <w:rsid w:val="00F8330C"/>
    <w:rsid w:val="00F84474"/>
    <w:rsid w:val="00F85AD9"/>
    <w:rsid w:val="00F8623F"/>
    <w:rsid w:val="00F8692F"/>
    <w:rsid w:val="00F873D8"/>
    <w:rsid w:val="00F875D4"/>
    <w:rsid w:val="00F87803"/>
    <w:rsid w:val="00F91A42"/>
    <w:rsid w:val="00F92D27"/>
    <w:rsid w:val="00F93E78"/>
    <w:rsid w:val="00F94070"/>
    <w:rsid w:val="00F94FA5"/>
    <w:rsid w:val="00F9648D"/>
    <w:rsid w:val="00FA3868"/>
    <w:rsid w:val="00FA4A0C"/>
    <w:rsid w:val="00FA4BE6"/>
    <w:rsid w:val="00FB3D7A"/>
    <w:rsid w:val="00FB5455"/>
    <w:rsid w:val="00FB60FD"/>
    <w:rsid w:val="00FB63C0"/>
    <w:rsid w:val="00FB647A"/>
    <w:rsid w:val="00FB66E5"/>
    <w:rsid w:val="00FB6D06"/>
    <w:rsid w:val="00FB6FCE"/>
    <w:rsid w:val="00FB7C22"/>
    <w:rsid w:val="00FC1A30"/>
    <w:rsid w:val="00FC1D0D"/>
    <w:rsid w:val="00FC31F9"/>
    <w:rsid w:val="00FC32C1"/>
    <w:rsid w:val="00FC3382"/>
    <w:rsid w:val="00FC4C65"/>
    <w:rsid w:val="00FC503D"/>
    <w:rsid w:val="00FC61F6"/>
    <w:rsid w:val="00FC7778"/>
    <w:rsid w:val="00FD13D9"/>
    <w:rsid w:val="00FD1EEF"/>
    <w:rsid w:val="00FD26A9"/>
    <w:rsid w:val="00FD2AD9"/>
    <w:rsid w:val="00FD5032"/>
    <w:rsid w:val="00FD5681"/>
    <w:rsid w:val="00FD6544"/>
    <w:rsid w:val="00FE3AA5"/>
    <w:rsid w:val="00FE597B"/>
    <w:rsid w:val="00FE5F07"/>
    <w:rsid w:val="00FE639A"/>
    <w:rsid w:val="00FE6908"/>
    <w:rsid w:val="00FF1758"/>
    <w:rsid w:val="00FF2520"/>
    <w:rsid w:val="00FF2944"/>
    <w:rsid w:val="00FF37FB"/>
    <w:rsid w:val="00FF4B7F"/>
    <w:rsid w:val="00FF6828"/>
    <w:rsid w:val="00FF71A9"/>
    <w:rsid w:val="00FF79AE"/>
    <w:rsid w:val="5C89F5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E80949"/>
  <w14:defaultImageDpi w14:val="96"/>
  <w15:docId w15:val="{7380795F-E3FA-4E40-94A4-C3CEDCD5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iPriority="1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87EC4"/>
    <w:pPr>
      <w:spacing w:after="240"/>
      <w:jc w:val="both"/>
    </w:pPr>
    <w:rPr>
      <w:rFonts w:ascii="Arial" w:hAnsi="Arial"/>
      <w:sz w:val="22"/>
      <w:lang w:val="en-AU" w:eastAsia="en-US"/>
    </w:rPr>
  </w:style>
  <w:style w:type="paragraph" w:styleId="Heading1">
    <w:name w:val="heading 1"/>
    <w:basedOn w:val="Normal"/>
    <w:next w:val="Normal"/>
    <w:link w:val="Heading1Char"/>
    <w:uiPriority w:val="9"/>
    <w:qFormat/>
    <w:rsid w:val="008D4F9B"/>
    <w:pPr>
      <w:keepNext/>
      <w:spacing w:before="240"/>
      <w:outlineLvl w:val="0"/>
    </w:pPr>
    <w:rPr>
      <w:b/>
      <w:caps/>
      <w:sz w:val="24"/>
    </w:rPr>
  </w:style>
  <w:style w:type="paragraph" w:styleId="Heading2">
    <w:name w:val="heading 2"/>
    <w:basedOn w:val="Heading1"/>
    <w:next w:val="Normal"/>
    <w:link w:val="Heading2Char"/>
    <w:autoRedefine/>
    <w:uiPriority w:val="9"/>
    <w:qFormat/>
    <w:rsid w:val="007059A5"/>
    <w:pPr>
      <w:spacing w:after="60"/>
      <w:jc w:val="left"/>
      <w:outlineLvl w:val="1"/>
    </w:pPr>
    <w:rPr>
      <w:caps w:val="0"/>
      <w:sz w:val="22"/>
    </w:rPr>
  </w:style>
  <w:style w:type="paragraph" w:styleId="Heading3">
    <w:name w:val="heading 3"/>
    <w:aliases w:val="CMI Heading 3"/>
    <w:basedOn w:val="Heading2"/>
    <w:next w:val="Normal"/>
    <w:link w:val="Heading3Char"/>
    <w:uiPriority w:val="9"/>
    <w:qFormat/>
    <w:pPr>
      <w:outlineLvl w:val="2"/>
    </w:pPr>
    <w:rPr>
      <w:b w:val="0"/>
      <w:u w:val="single"/>
    </w:rPr>
  </w:style>
  <w:style w:type="paragraph" w:styleId="Heading4">
    <w:name w:val="heading 4"/>
    <w:basedOn w:val="Heading3"/>
    <w:next w:val="Normal"/>
    <w:link w:val="Heading4Char"/>
    <w:uiPriority w:val="9"/>
    <w:qFormat/>
    <w:pPr>
      <w:outlineLvl w:val="3"/>
    </w:pPr>
    <w:rPr>
      <w:rFonts w:cs="Arial"/>
      <w:i/>
      <w:u w:val="none"/>
    </w:rPr>
  </w:style>
  <w:style w:type="paragraph" w:styleId="Heading5">
    <w:name w:val="heading 5"/>
    <w:basedOn w:val="Normal"/>
    <w:next w:val="Normal"/>
    <w:link w:val="Heading5Char"/>
    <w:uiPriority w:val="9"/>
    <w:qFormat/>
    <w:pPr>
      <w:spacing w:before="240"/>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01BE"/>
    <w:rPr>
      <w:rFonts w:ascii="Arial" w:hAnsi="Arial" w:cs="Times New Roman"/>
      <w:b/>
      <w:caps/>
      <w:sz w:val="24"/>
      <w:lang w:val="en-AU" w:eastAsia="en-US"/>
    </w:rPr>
  </w:style>
  <w:style w:type="character" w:customStyle="1" w:styleId="Heading2Char">
    <w:name w:val="Heading 2 Char"/>
    <w:basedOn w:val="DefaultParagraphFont"/>
    <w:link w:val="Heading2"/>
    <w:uiPriority w:val="9"/>
    <w:locked/>
    <w:rsid w:val="007059A5"/>
    <w:rPr>
      <w:rFonts w:ascii="Arial" w:hAnsi="Arial"/>
      <w:b/>
      <w:sz w:val="22"/>
      <w:lang w:val="en-AU" w:eastAsia="en-US"/>
    </w:rPr>
  </w:style>
  <w:style w:type="character" w:customStyle="1" w:styleId="Heading3Char">
    <w:name w:val="Heading 3 Char"/>
    <w:aliases w:val="CMI Heading 3 Char"/>
    <w:basedOn w:val="DefaultParagraphFont"/>
    <w:link w:val="Heading3"/>
    <w:uiPriority w:val="9"/>
    <w:semiHidden/>
    <w:locked/>
    <w:rPr>
      <w:rFonts w:asciiTheme="majorHAnsi" w:eastAsiaTheme="majorEastAsia" w:hAnsiTheme="majorHAnsi" w:cs="Times New Roman"/>
      <w:b/>
      <w:bCs/>
      <w:sz w:val="26"/>
      <w:szCs w:val="26"/>
      <w:lang w:val="en-AU"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AU"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AU" w:eastAsia="en-US"/>
    </w:rPr>
  </w:style>
  <w:style w:type="paragraph" w:styleId="Title">
    <w:name w:val="Title"/>
    <w:basedOn w:val="Normal"/>
    <w:link w:val="TitleChar"/>
    <w:uiPriority w:val="10"/>
    <w:qFormat/>
    <w:rsid w:val="00CA46CD"/>
    <w:pPr>
      <w:spacing w:before="240"/>
      <w:jc w:val="center"/>
      <w:outlineLvl w:val="0"/>
    </w:pPr>
    <w:rPr>
      <w:rFonts w:cs="Arial"/>
      <w:b/>
      <w:bCs/>
      <w:caps/>
      <w:kern w:val="28"/>
      <w:sz w:val="28"/>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AU" w:eastAsia="en-US"/>
    </w:rPr>
  </w:style>
  <w:style w:type="paragraph" w:styleId="ListBullet">
    <w:name w:val="List Bullet"/>
    <w:basedOn w:val="Normal"/>
    <w:autoRedefine/>
    <w:uiPriority w:val="99"/>
    <w:pPr>
      <w:numPr>
        <w:numId w:val="2"/>
      </w:numPr>
      <w:ind w:left="340" w:hanging="340"/>
    </w:pPr>
  </w:style>
  <w:style w:type="paragraph" w:styleId="List">
    <w:name w:val="List"/>
    <w:basedOn w:val="Normal"/>
    <w:uiPriority w:val="99"/>
    <w:pPr>
      <w:keepNext/>
      <w:numPr>
        <w:numId w:val="20"/>
      </w:numPr>
      <w:jc w:val="left"/>
    </w:pPr>
  </w:style>
  <w:style w:type="paragraph" w:styleId="ListNumber">
    <w:name w:val="List Number"/>
    <w:basedOn w:val="Normal"/>
    <w:uiPriority w:val="99"/>
    <w:pPr>
      <w:keepNext/>
      <w:keepLines/>
      <w:numPr>
        <w:numId w:val="1"/>
      </w:numPr>
      <w:spacing w:after="120"/>
    </w:pPr>
  </w:style>
  <w:style w:type="paragraph" w:styleId="Subtitle">
    <w:name w:val="Subtitle"/>
    <w:basedOn w:val="Normal"/>
    <w:link w:val="SubtitleChar"/>
    <w:uiPriority w:val="11"/>
    <w:qFormat/>
    <w:rsid w:val="008D4F9B"/>
    <w:pPr>
      <w:jc w:val="center"/>
      <w:outlineLvl w:val="1"/>
    </w:pPr>
    <w:rPr>
      <w:rFonts w:cs="Arial"/>
      <w:b/>
      <w:caps/>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en-AU" w:eastAsia="en-US"/>
    </w:rPr>
  </w:style>
  <w:style w:type="paragraph" w:styleId="List2">
    <w:name w:val="List 2"/>
    <w:basedOn w:val="Normal"/>
    <w:uiPriority w:val="99"/>
    <w:pPr>
      <w:keepNext/>
      <w:keepLines/>
      <w:numPr>
        <w:numId w:val="19"/>
      </w:numPr>
    </w:p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en-AU" w:eastAsia="en-US"/>
    </w:rPr>
  </w:style>
  <w:style w:type="paragraph" w:styleId="Footer">
    <w:name w:val="footer"/>
    <w:basedOn w:val="Normal"/>
    <w:link w:val="FooterChar"/>
    <w:qFormat/>
    <w:pPr>
      <w:tabs>
        <w:tab w:val="right" w:pos="9639"/>
      </w:tabs>
    </w:pPr>
    <w:rPr>
      <w:rFonts w:ascii="Arial Narrow" w:hAnsi="Arial Narrow"/>
    </w:rPr>
  </w:style>
  <w:style w:type="character" w:customStyle="1" w:styleId="FooterChar">
    <w:name w:val="Footer Char"/>
    <w:basedOn w:val="DefaultParagraphFont"/>
    <w:link w:val="Footer"/>
    <w:locked/>
    <w:rPr>
      <w:rFonts w:ascii="Arial" w:hAnsi="Arial" w:cs="Times New Roman"/>
      <w:sz w:val="22"/>
      <w:lang w:val="en-AU" w:eastAsia="en-US"/>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ind w:left="720"/>
    </w:pPr>
    <w:rPr>
      <w:i/>
      <w:iCs/>
    </w:rPr>
  </w:style>
  <w:style w:type="character" w:customStyle="1" w:styleId="BodyTextIndentChar">
    <w:name w:val="Body Text Indent Char"/>
    <w:basedOn w:val="DefaultParagraphFont"/>
    <w:link w:val="BodyTextIndent"/>
    <w:uiPriority w:val="99"/>
    <w:semiHidden/>
    <w:locked/>
    <w:rPr>
      <w:rFonts w:ascii="Arial" w:hAnsi="Arial" w:cs="Times New Roman"/>
      <w:sz w:val="22"/>
      <w:lang w:val="en-AU" w:eastAsia="en-US"/>
    </w:rPr>
  </w:style>
  <w:style w:type="paragraph" w:customStyle="1" w:styleId="CMIExplanation">
    <w:name w:val="CMI Explanation"/>
    <w:basedOn w:val="Normal"/>
    <w:pPr>
      <w:spacing w:before="60"/>
      <w:jc w:val="left"/>
    </w:pPr>
    <w:rPr>
      <w:rFonts w:ascii="Times New Roman" w:hAnsi="Times New Roman"/>
      <w:sz w:val="20"/>
    </w:rPr>
  </w:style>
  <w:style w:type="paragraph" w:styleId="BodyText">
    <w:name w:val="Body Text"/>
    <w:basedOn w:val="Normal"/>
    <w:link w:val="BodyTextChar"/>
    <w:uiPriority w:val="99"/>
    <w:pPr>
      <w:jc w:val="left"/>
    </w:pPr>
  </w:style>
  <w:style w:type="character" w:customStyle="1" w:styleId="BodyTextChar">
    <w:name w:val="Body Text Char"/>
    <w:basedOn w:val="DefaultParagraphFont"/>
    <w:link w:val="BodyText"/>
    <w:uiPriority w:val="99"/>
    <w:semiHidden/>
    <w:locked/>
    <w:rPr>
      <w:rFonts w:ascii="Arial" w:hAnsi="Arial" w:cs="Times New Roman"/>
      <w:sz w:val="22"/>
      <w:lang w:val="en-AU" w:eastAsia="en-US"/>
    </w:rPr>
  </w:style>
  <w:style w:type="paragraph" w:styleId="NormalWeb">
    <w:name w:val="Normal (Web)"/>
    <w:basedOn w:val="Normal"/>
    <w:uiPriority w:val="99"/>
    <w:unhideWhenUsed/>
    <w:rsid w:val="00F56D42"/>
    <w:pPr>
      <w:spacing w:before="100" w:beforeAutospacing="1" w:after="100" w:afterAutospacing="1"/>
      <w:jc w:val="left"/>
    </w:pPr>
    <w:rPr>
      <w:rFonts w:ascii="Times New Roman" w:hAnsi="Times New Roman"/>
      <w:sz w:val="24"/>
      <w:szCs w:val="24"/>
      <w:lang w:eastAsia="en-AU"/>
    </w:rPr>
  </w:style>
  <w:style w:type="table" w:styleId="TableGrid">
    <w:name w:val="Table Grid"/>
    <w:basedOn w:val="TableNormal"/>
    <w:uiPriority w:val="59"/>
    <w:rsid w:val="009A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2505"/>
    <w:rPr>
      <w:rFonts w:cs="Times New Roman"/>
      <w:color w:val="0000FF"/>
      <w:u w:val="single"/>
    </w:rPr>
  </w:style>
  <w:style w:type="character" w:styleId="CommentReference">
    <w:name w:val="annotation reference"/>
    <w:basedOn w:val="DefaultParagraphFont"/>
    <w:uiPriority w:val="99"/>
    <w:rsid w:val="001A5607"/>
    <w:rPr>
      <w:rFonts w:cs="Times New Roman"/>
      <w:sz w:val="16"/>
      <w:szCs w:val="16"/>
    </w:rPr>
  </w:style>
  <w:style w:type="paragraph" w:styleId="CommentText">
    <w:name w:val="annotation text"/>
    <w:basedOn w:val="Normal"/>
    <w:link w:val="CommentTextChar"/>
    <w:uiPriority w:val="99"/>
    <w:rsid w:val="001A5607"/>
    <w:rPr>
      <w:sz w:val="20"/>
    </w:rPr>
  </w:style>
  <w:style w:type="character" w:customStyle="1" w:styleId="CommentTextChar">
    <w:name w:val="Comment Text Char"/>
    <w:basedOn w:val="DefaultParagraphFont"/>
    <w:link w:val="CommentText"/>
    <w:uiPriority w:val="99"/>
    <w:locked/>
    <w:rsid w:val="001A5607"/>
    <w:rPr>
      <w:rFonts w:ascii="Arial" w:hAnsi="Arial" w:cs="Times New Roman"/>
      <w:lang w:val="en-AU" w:eastAsia="en-US"/>
    </w:rPr>
  </w:style>
  <w:style w:type="paragraph" w:styleId="CommentSubject">
    <w:name w:val="annotation subject"/>
    <w:basedOn w:val="CommentText"/>
    <w:next w:val="CommentText"/>
    <w:link w:val="CommentSubjectChar"/>
    <w:uiPriority w:val="99"/>
    <w:rsid w:val="001A5607"/>
    <w:rPr>
      <w:b/>
      <w:bCs/>
    </w:rPr>
  </w:style>
  <w:style w:type="character" w:customStyle="1" w:styleId="CommentSubjectChar">
    <w:name w:val="Comment Subject Char"/>
    <w:basedOn w:val="CommentTextChar"/>
    <w:link w:val="CommentSubject"/>
    <w:uiPriority w:val="99"/>
    <w:locked/>
    <w:rsid w:val="001A5607"/>
    <w:rPr>
      <w:rFonts w:ascii="Arial" w:hAnsi="Arial" w:cs="Times New Roman"/>
      <w:b/>
      <w:bCs/>
      <w:lang w:val="en-AU" w:eastAsia="en-US"/>
    </w:rPr>
  </w:style>
  <w:style w:type="paragraph" w:styleId="BalloonText">
    <w:name w:val="Balloon Text"/>
    <w:basedOn w:val="Normal"/>
    <w:link w:val="BalloonTextChar"/>
    <w:uiPriority w:val="99"/>
    <w:rsid w:val="001A5607"/>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1A5607"/>
    <w:rPr>
      <w:rFonts w:ascii="Tahoma" w:hAnsi="Tahoma" w:cs="Tahoma"/>
      <w:sz w:val="16"/>
      <w:szCs w:val="16"/>
      <w:lang w:val="en-AU" w:eastAsia="en-US"/>
    </w:rPr>
  </w:style>
  <w:style w:type="paragraph" w:styleId="ListParagraph">
    <w:name w:val="List Paragraph"/>
    <w:basedOn w:val="Normal"/>
    <w:uiPriority w:val="34"/>
    <w:qFormat/>
    <w:rsid w:val="001C532F"/>
    <w:pPr>
      <w:tabs>
        <w:tab w:val="left" w:pos="567"/>
      </w:tabs>
      <w:spacing w:after="0" w:line="260" w:lineRule="exact"/>
      <w:ind w:left="720"/>
      <w:contextualSpacing/>
      <w:jc w:val="left"/>
    </w:pPr>
    <w:rPr>
      <w:rFonts w:ascii="Times New Roman" w:hAnsi="Times New Roman"/>
      <w:lang w:val="en-GB"/>
    </w:rPr>
  </w:style>
  <w:style w:type="paragraph" w:styleId="Caption">
    <w:name w:val="caption"/>
    <w:basedOn w:val="Normal"/>
    <w:next w:val="Normal"/>
    <w:uiPriority w:val="11"/>
    <w:unhideWhenUsed/>
    <w:qFormat/>
    <w:rsid w:val="00337817"/>
    <w:rPr>
      <w:b/>
      <w:bCs/>
      <w:sz w:val="20"/>
    </w:rPr>
  </w:style>
  <w:style w:type="paragraph" w:customStyle="1" w:styleId="Paragraph">
    <w:name w:val="Paragraph"/>
    <w:link w:val="ParagraphChar"/>
    <w:uiPriority w:val="5"/>
    <w:qFormat/>
    <w:rsid w:val="00337817"/>
    <w:pPr>
      <w:spacing w:after="240"/>
    </w:pPr>
    <w:rPr>
      <w:sz w:val="24"/>
      <w:szCs w:val="24"/>
      <w:lang w:val="en-US" w:eastAsia="en-US"/>
    </w:rPr>
  </w:style>
  <w:style w:type="character" w:customStyle="1" w:styleId="ParagraphChar">
    <w:name w:val="Paragraph Char"/>
    <w:link w:val="Paragraph"/>
    <w:uiPriority w:val="5"/>
    <w:locked/>
    <w:rsid w:val="00337817"/>
    <w:rPr>
      <w:sz w:val="24"/>
      <w:lang w:val="en-US" w:eastAsia="en-US"/>
    </w:rPr>
  </w:style>
  <w:style w:type="paragraph" w:customStyle="1" w:styleId="Default">
    <w:name w:val="Default"/>
    <w:rsid w:val="00F51EFF"/>
    <w:pPr>
      <w:autoSpaceDE w:val="0"/>
      <w:autoSpaceDN w:val="0"/>
      <w:adjustRightInd w:val="0"/>
    </w:pPr>
    <w:rPr>
      <w:rFonts w:ascii="Cambria" w:hAnsi="Cambria" w:cs="Cambria"/>
      <w:color w:val="000000"/>
      <w:sz w:val="24"/>
      <w:szCs w:val="24"/>
      <w:lang w:val="en-AU" w:eastAsia="en-US"/>
    </w:rPr>
  </w:style>
  <w:style w:type="paragraph" w:styleId="TableofFigures">
    <w:name w:val="table of figures"/>
    <w:basedOn w:val="Normal"/>
    <w:next w:val="Normal"/>
    <w:uiPriority w:val="99"/>
    <w:rsid w:val="00437D24"/>
    <w:pPr>
      <w:spacing w:after="0"/>
    </w:pPr>
  </w:style>
  <w:style w:type="paragraph" w:customStyle="1" w:styleId="TableFootnoteLetter">
    <w:name w:val="Table Footnote Letter"/>
    <w:rsid w:val="005A5B2D"/>
    <w:pPr>
      <w:numPr>
        <w:numId w:val="34"/>
      </w:numPr>
    </w:pPr>
    <w:rPr>
      <w:sz w:val="18"/>
      <w:lang w:val="en-US" w:eastAsia="en-US"/>
    </w:rPr>
  </w:style>
  <w:style w:type="paragraph" w:styleId="Revision">
    <w:name w:val="Revision"/>
    <w:hidden/>
    <w:uiPriority w:val="99"/>
    <w:semiHidden/>
    <w:rsid w:val="00843C08"/>
    <w:rPr>
      <w:rFonts w:ascii="Arial" w:hAnsi="Arial"/>
      <w:sz w:val="22"/>
      <w:lang w:val="en-AU" w:eastAsia="en-US"/>
    </w:rPr>
  </w:style>
  <w:style w:type="character" w:styleId="UnresolvedMention">
    <w:name w:val="Unresolved Mention"/>
    <w:basedOn w:val="DefaultParagraphFont"/>
    <w:uiPriority w:val="99"/>
    <w:semiHidden/>
    <w:unhideWhenUsed/>
    <w:rsid w:val="00813C96"/>
    <w:rPr>
      <w:rFonts w:cs="Times New Roman"/>
      <w:color w:val="605E5C"/>
      <w:shd w:val="clear" w:color="auto" w:fill="E1DFDD"/>
    </w:rPr>
  </w:style>
  <w:style w:type="paragraph" w:customStyle="1" w:styleId="TableParagraph">
    <w:name w:val="Table Paragraph"/>
    <w:basedOn w:val="Normal"/>
    <w:uiPriority w:val="1"/>
    <w:rsid w:val="00194235"/>
    <w:pPr>
      <w:autoSpaceDE w:val="0"/>
      <w:autoSpaceDN w:val="0"/>
      <w:spacing w:after="0" w:line="180" w:lineRule="exact"/>
      <w:jc w:val="left"/>
    </w:pPr>
    <w:rPr>
      <w:rFonts w:eastAsiaTheme="minorEastAsia" w:cs="Arial"/>
      <w:szCs w:val="22"/>
      <w:lang w:val="en-US"/>
    </w:rPr>
  </w:style>
  <w:style w:type="paragraph" w:customStyle="1" w:styleId="TableLeft">
    <w:name w:val="Table Left"/>
    <w:link w:val="TableLeftChar"/>
    <w:uiPriority w:val="11"/>
    <w:rsid w:val="00DD613E"/>
    <w:pPr>
      <w:tabs>
        <w:tab w:val="left" w:pos="360"/>
        <w:tab w:val="left" w:pos="720"/>
        <w:tab w:val="left" w:pos="1080"/>
        <w:tab w:val="left" w:pos="1440"/>
      </w:tabs>
      <w:spacing w:before="20" w:after="20"/>
    </w:pPr>
    <w:rPr>
      <w:lang w:val="en-US" w:eastAsia="en-US"/>
    </w:rPr>
  </w:style>
  <w:style w:type="paragraph" w:customStyle="1" w:styleId="TableCenter">
    <w:name w:val="Table Center"/>
    <w:basedOn w:val="TableLeft"/>
    <w:link w:val="TableCenterChar"/>
    <w:uiPriority w:val="11"/>
    <w:rsid w:val="00DD613E"/>
    <w:pPr>
      <w:jc w:val="center"/>
    </w:pPr>
  </w:style>
  <w:style w:type="paragraph" w:customStyle="1" w:styleId="TableFootnote">
    <w:name w:val="Table Footnote"/>
    <w:link w:val="TableFootnoteChar"/>
    <w:uiPriority w:val="13"/>
    <w:rsid w:val="00DD613E"/>
    <w:rPr>
      <w:sz w:val="18"/>
      <w:lang w:val="en-US" w:eastAsia="en-US"/>
    </w:rPr>
  </w:style>
  <w:style w:type="character" w:customStyle="1" w:styleId="TableLeftChar">
    <w:name w:val="Table Left Char"/>
    <w:link w:val="TableLeft"/>
    <w:uiPriority w:val="11"/>
    <w:locked/>
    <w:rsid w:val="00DD613E"/>
    <w:rPr>
      <w:rFonts w:eastAsia="Times New Roman"/>
      <w:lang w:val="en-US" w:eastAsia="en-US"/>
    </w:rPr>
  </w:style>
  <w:style w:type="character" w:customStyle="1" w:styleId="TableCenterChar">
    <w:name w:val="Table Center Char"/>
    <w:link w:val="TableCenter"/>
    <w:uiPriority w:val="11"/>
    <w:locked/>
    <w:rsid w:val="00DD613E"/>
    <w:rPr>
      <w:rFonts w:eastAsia="Times New Roman"/>
      <w:lang w:val="en-US" w:eastAsia="en-US"/>
    </w:rPr>
  </w:style>
  <w:style w:type="paragraph" w:customStyle="1" w:styleId="TableHeaderC">
    <w:name w:val="Table:Header C"/>
    <w:rsid w:val="00DD613E"/>
    <w:pPr>
      <w:keepNext/>
      <w:keepLines/>
      <w:widowControl w:val="0"/>
      <w:spacing w:after="60"/>
      <w:jc w:val="center"/>
    </w:pPr>
    <w:rPr>
      <w:rFonts w:eastAsia="MS Mincho"/>
      <w:b/>
      <w:bCs/>
      <w:lang w:val="en-US" w:eastAsia="en-US"/>
    </w:rPr>
  </w:style>
  <w:style w:type="character" w:customStyle="1" w:styleId="TableFootnoteChar">
    <w:name w:val="Table Footnote Char"/>
    <w:link w:val="TableFootnote"/>
    <w:uiPriority w:val="13"/>
    <w:locked/>
    <w:rsid w:val="00DD613E"/>
    <w:rPr>
      <w:sz w:val="18"/>
      <w:lang w:val="en-US" w:eastAsia="en-US"/>
    </w:rPr>
  </w:style>
  <w:style w:type="paragraph" w:styleId="Date">
    <w:name w:val="Date"/>
    <w:basedOn w:val="Normal"/>
    <w:next w:val="Normal"/>
    <w:link w:val="DateChar"/>
    <w:uiPriority w:val="99"/>
    <w:semiHidden/>
    <w:unhideWhenUsed/>
    <w:rsid w:val="00C0307D"/>
  </w:style>
  <w:style w:type="character" w:customStyle="1" w:styleId="DateChar">
    <w:name w:val="Date Char"/>
    <w:basedOn w:val="DefaultParagraphFont"/>
    <w:link w:val="Date"/>
    <w:uiPriority w:val="99"/>
    <w:semiHidden/>
    <w:locked/>
    <w:rsid w:val="00C0307D"/>
    <w:rPr>
      <w:rFonts w:ascii="Arial" w:hAnsi="Arial" w:cs="Times New Roman"/>
      <w:sz w:val="22"/>
      <w:lang w:val="en-AU" w:eastAsia="en-US"/>
    </w:rPr>
  </w:style>
  <w:style w:type="paragraph" w:customStyle="1" w:styleId="a">
    <w:basedOn w:val="Normal"/>
    <w:next w:val="CommentText"/>
    <w:link w:val="TekstopmerkingChar"/>
    <w:uiPriority w:val="99"/>
    <w:rsid w:val="00C87EC4"/>
    <w:pPr>
      <w:tabs>
        <w:tab w:val="left" w:pos="567"/>
      </w:tabs>
      <w:spacing w:after="0"/>
      <w:jc w:val="left"/>
    </w:pPr>
    <w:rPr>
      <w:rFonts w:ascii="Times New Roman" w:hAnsi="Times New Roman"/>
      <w:sz w:val="20"/>
      <w:lang w:val="en-GB"/>
    </w:rPr>
  </w:style>
  <w:style w:type="character" w:customStyle="1" w:styleId="TekstopmerkingChar">
    <w:name w:val="Tekst opmerking Char"/>
    <w:link w:val="a"/>
    <w:uiPriority w:val="99"/>
    <w:locked/>
    <w:rsid w:val="000D1B1A"/>
    <w:rPr>
      <w:lang w:eastAsia="en-US"/>
    </w:rPr>
  </w:style>
  <w:style w:type="character" w:styleId="Emphasis">
    <w:name w:val="Emphasis"/>
    <w:basedOn w:val="DefaultParagraphFont"/>
    <w:qFormat/>
    <w:rsid w:val="000D2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15226">
      <w:bodyDiv w:val="1"/>
      <w:marLeft w:val="0"/>
      <w:marRight w:val="0"/>
      <w:marTop w:val="0"/>
      <w:marBottom w:val="0"/>
      <w:divBdr>
        <w:top w:val="none" w:sz="0" w:space="0" w:color="auto"/>
        <w:left w:val="none" w:sz="0" w:space="0" w:color="auto"/>
        <w:bottom w:val="none" w:sz="0" w:space="0" w:color="auto"/>
        <w:right w:val="none" w:sz="0" w:space="0" w:color="auto"/>
      </w:divBdr>
    </w:div>
    <w:div w:id="882794351">
      <w:bodyDiv w:val="1"/>
      <w:marLeft w:val="0"/>
      <w:marRight w:val="0"/>
      <w:marTop w:val="0"/>
      <w:marBottom w:val="0"/>
      <w:divBdr>
        <w:top w:val="none" w:sz="0" w:space="0" w:color="auto"/>
        <w:left w:val="none" w:sz="0" w:space="0" w:color="auto"/>
        <w:bottom w:val="none" w:sz="0" w:space="0" w:color="auto"/>
        <w:right w:val="none" w:sz="0" w:space="0" w:color="auto"/>
      </w:divBdr>
    </w:div>
    <w:div w:id="1245841319">
      <w:marLeft w:val="0"/>
      <w:marRight w:val="0"/>
      <w:marTop w:val="0"/>
      <w:marBottom w:val="0"/>
      <w:divBdr>
        <w:top w:val="none" w:sz="0" w:space="0" w:color="auto"/>
        <w:left w:val="none" w:sz="0" w:space="0" w:color="auto"/>
        <w:bottom w:val="none" w:sz="0" w:space="0" w:color="auto"/>
        <w:right w:val="none" w:sz="0" w:space="0" w:color="auto"/>
      </w:divBdr>
    </w:div>
    <w:div w:id="1245841320">
      <w:marLeft w:val="0"/>
      <w:marRight w:val="0"/>
      <w:marTop w:val="0"/>
      <w:marBottom w:val="0"/>
      <w:divBdr>
        <w:top w:val="none" w:sz="0" w:space="0" w:color="auto"/>
        <w:left w:val="none" w:sz="0" w:space="0" w:color="auto"/>
        <w:bottom w:val="none" w:sz="0" w:space="0" w:color="auto"/>
        <w:right w:val="none" w:sz="0" w:space="0" w:color="auto"/>
      </w:divBdr>
    </w:div>
    <w:div w:id="1245841321">
      <w:marLeft w:val="0"/>
      <w:marRight w:val="0"/>
      <w:marTop w:val="0"/>
      <w:marBottom w:val="0"/>
      <w:divBdr>
        <w:top w:val="none" w:sz="0" w:space="0" w:color="auto"/>
        <w:left w:val="none" w:sz="0" w:space="0" w:color="auto"/>
        <w:bottom w:val="none" w:sz="0" w:space="0" w:color="auto"/>
        <w:right w:val="none" w:sz="0" w:space="0" w:color="auto"/>
      </w:divBdr>
    </w:div>
    <w:div w:id="1245841322">
      <w:marLeft w:val="0"/>
      <w:marRight w:val="0"/>
      <w:marTop w:val="0"/>
      <w:marBottom w:val="0"/>
      <w:divBdr>
        <w:top w:val="none" w:sz="0" w:space="0" w:color="auto"/>
        <w:left w:val="none" w:sz="0" w:space="0" w:color="auto"/>
        <w:bottom w:val="none" w:sz="0" w:space="0" w:color="auto"/>
        <w:right w:val="none" w:sz="0" w:space="0" w:color="auto"/>
      </w:divBdr>
    </w:div>
    <w:div w:id="1245841323">
      <w:marLeft w:val="0"/>
      <w:marRight w:val="0"/>
      <w:marTop w:val="0"/>
      <w:marBottom w:val="0"/>
      <w:divBdr>
        <w:top w:val="none" w:sz="0" w:space="0" w:color="auto"/>
        <w:left w:val="none" w:sz="0" w:space="0" w:color="auto"/>
        <w:bottom w:val="none" w:sz="0" w:space="0" w:color="auto"/>
        <w:right w:val="none" w:sz="0" w:space="0" w:color="auto"/>
      </w:divBdr>
    </w:div>
    <w:div w:id="1245841325">
      <w:marLeft w:val="0"/>
      <w:marRight w:val="0"/>
      <w:marTop w:val="0"/>
      <w:marBottom w:val="0"/>
      <w:divBdr>
        <w:top w:val="none" w:sz="0" w:space="0" w:color="auto"/>
        <w:left w:val="none" w:sz="0" w:space="0" w:color="auto"/>
        <w:bottom w:val="none" w:sz="0" w:space="0" w:color="auto"/>
        <w:right w:val="none" w:sz="0" w:space="0" w:color="auto"/>
      </w:divBdr>
    </w:div>
    <w:div w:id="1245841326">
      <w:marLeft w:val="0"/>
      <w:marRight w:val="0"/>
      <w:marTop w:val="0"/>
      <w:marBottom w:val="0"/>
      <w:divBdr>
        <w:top w:val="none" w:sz="0" w:space="0" w:color="auto"/>
        <w:left w:val="none" w:sz="0" w:space="0" w:color="auto"/>
        <w:bottom w:val="none" w:sz="0" w:space="0" w:color="auto"/>
        <w:right w:val="none" w:sz="0" w:space="0" w:color="auto"/>
      </w:divBdr>
    </w:div>
    <w:div w:id="1245841327">
      <w:marLeft w:val="0"/>
      <w:marRight w:val="0"/>
      <w:marTop w:val="0"/>
      <w:marBottom w:val="0"/>
      <w:divBdr>
        <w:top w:val="none" w:sz="0" w:space="0" w:color="auto"/>
        <w:left w:val="none" w:sz="0" w:space="0" w:color="auto"/>
        <w:bottom w:val="none" w:sz="0" w:space="0" w:color="auto"/>
        <w:right w:val="none" w:sz="0" w:space="0" w:color="auto"/>
      </w:divBdr>
    </w:div>
    <w:div w:id="1245841329">
      <w:marLeft w:val="0"/>
      <w:marRight w:val="0"/>
      <w:marTop w:val="0"/>
      <w:marBottom w:val="0"/>
      <w:divBdr>
        <w:top w:val="none" w:sz="0" w:space="0" w:color="auto"/>
        <w:left w:val="none" w:sz="0" w:space="0" w:color="auto"/>
        <w:bottom w:val="none" w:sz="0" w:space="0" w:color="auto"/>
        <w:right w:val="none" w:sz="0" w:space="0" w:color="auto"/>
      </w:divBdr>
    </w:div>
    <w:div w:id="1245841330">
      <w:marLeft w:val="0"/>
      <w:marRight w:val="0"/>
      <w:marTop w:val="0"/>
      <w:marBottom w:val="0"/>
      <w:divBdr>
        <w:top w:val="none" w:sz="0" w:space="0" w:color="auto"/>
        <w:left w:val="none" w:sz="0" w:space="0" w:color="auto"/>
        <w:bottom w:val="none" w:sz="0" w:space="0" w:color="auto"/>
        <w:right w:val="none" w:sz="0" w:space="0" w:color="auto"/>
      </w:divBdr>
      <w:divsChild>
        <w:div w:id="1245841346">
          <w:marLeft w:val="0"/>
          <w:marRight w:val="0"/>
          <w:marTop w:val="0"/>
          <w:marBottom w:val="0"/>
          <w:divBdr>
            <w:top w:val="none" w:sz="0" w:space="0" w:color="auto"/>
            <w:left w:val="none" w:sz="0" w:space="0" w:color="auto"/>
            <w:bottom w:val="none" w:sz="0" w:space="0" w:color="auto"/>
            <w:right w:val="none" w:sz="0" w:space="0" w:color="auto"/>
          </w:divBdr>
          <w:divsChild>
            <w:div w:id="1245841335">
              <w:marLeft w:val="0"/>
              <w:marRight w:val="0"/>
              <w:marTop w:val="0"/>
              <w:marBottom w:val="0"/>
              <w:divBdr>
                <w:top w:val="none" w:sz="0" w:space="0" w:color="auto"/>
                <w:left w:val="none" w:sz="0" w:space="0" w:color="auto"/>
                <w:bottom w:val="none" w:sz="0" w:space="0" w:color="auto"/>
                <w:right w:val="none" w:sz="0" w:space="0" w:color="auto"/>
              </w:divBdr>
              <w:divsChild>
                <w:div w:id="1245841328">
                  <w:marLeft w:val="720"/>
                  <w:marRight w:val="0"/>
                  <w:marTop w:val="100"/>
                  <w:marBottom w:val="100"/>
                  <w:divBdr>
                    <w:top w:val="none" w:sz="0" w:space="0" w:color="auto"/>
                    <w:left w:val="none" w:sz="0" w:space="0" w:color="auto"/>
                    <w:bottom w:val="none" w:sz="0" w:space="0" w:color="auto"/>
                    <w:right w:val="none" w:sz="0" w:space="0" w:color="auto"/>
                  </w:divBdr>
                </w:div>
                <w:div w:id="1245841349">
                  <w:marLeft w:val="720"/>
                  <w:marRight w:val="0"/>
                  <w:marTop w:val="100"/>
                  <w:marBottom w:val="100"/>
                  <w:divBdr>
                    <w:top w:val="none" w:sz="0" w:space="0" w:color="auto"/>
                    <w:left w:val="none" w:sz="0" w:space="0" w:color="auto"/>
                    <w:bottom w:val="none" w:sz="0" w:space="0" w:color="auto"/>
                    <w:right w:val="none" w:sz="0" w:space="0" w:color="auto"/>
                  </w:divBdr>
                </w:div>
                <w:div w:id="124584137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45841332">
      <w:marLeft w:val="0"/>
      <w:marRight w:val="0"/>
      <w:marTop w:val="0"/>
      <w:marBottom w:val="0"/>
      <w:divBdr>
        <w:top w:val="none" w:sz="0" w:space="0" w:color="auto"/>
        <w:left w:val="none" w:sz="0" w:space="0" w:color="auto"/>
        <w:bottom w:val="none" w:sz="0" w:space="0" w:color="auto"/>
        <w:right w:val="none" w:sz="0" w:space="0" w:color="auto"/>
      </w:divBdr>
    </w:div>
    <w:div w:id="1245841333">
      <w:marLeft w:val="0"/>
      <w:marRight w:val="0"/>
      <w:marTop w:val="0"/>
      <w:marBottom w:val="0"/>
      <w:divBdr>
        <w:top w:val="none" w:sz="0" w:space="0" w:color="auto"/>
        <w:left w:val="none" w:sz="0" w:space="0" w:color="auto"/>
        <w:bottom w:val="none" w:sz="0" w:space="0" w:color="auto"/>
        <w:right w:val="none" w:sz="0" w:space="0" w:color="auto"/>
      </w:divBdr>
    </w:div>
    <w:div w:id="1245841334">
      <w:marLeft w:val="0"/>
      <w:marRight w:val="0"/>
      <w:marTop w:val="0"/>
      <w:marBottom w:val="0"/>
      <w:divBdr>
        <w:top w:val="none" w:sz="0" w:space="0" w:color="auto"/>
        <w:left w:val="none" w:sz="0" w:space="0" w:color="auto"/>
        <w:bottom w:val="none" w:sz="0" w:space="0" w:color="auto"/>
        <w:right w:val="none" w:sz="0" w:space="0" w:color="auto"/>
      </w:divBdr>
    </w:div>
    <w:div w:id="1245841337">
      <w:marLeft w:val="0"/>
      <w:marRight w:val="0"/>
      <w:marTop w:val="0"/>
      <w:marBottom w:val="0"/>
      <w:divBdr>
        <w:top w:val="none" w:sz="0" w:space="0" w:color="auto"/>
        <w:left w:val="none" w:sz="0" w:space="0" w:color="auto"/>
        <w:bottom w:val="none" w:sz="0" w:space="0" w:color="auto"/>
        <w:right w:val="none" w:sz="0" w:space="0" w:color="auto"/>
      </w:divBdr>
      <w:divsChild>
        <w:div w:id="1245841338">
          <w:marLeft w:val="0"/>
          <w:marRight w:val="0"/>
          <w:marTop w:val="0"/>
          <w:marBottom w:val="0"/>
          <w:divBdr>
            <w:top w:val="none" w:sz="0" w:space="0" w:color="auto"/>
            <w:left w:val="none" w:sz="0" w:space="0" w:color="auto"/>
            <w:bottom w:val="none" w:sz="0" w:space="0" w:color="auto"/>
            <w:right w:val="none" w:sz="0" w:space="0" w:color="auto"/>
          </w:divBdr>
          <w:divsChild>
            <w:div w:id="12458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339">
      <w:marLeft w:val="0"/>
      <w:marRight w:val="0"/>
      <w:marTop w:val="0"/>
      <w:marBottom w:val="0"/>
      <w:divBdr>
        <w:top w:val="none" w:sz="0" w:space="0" w:color="auto"/>
        <w:left w:val="none" w:sz="0" w:space="0" w:color="auto"/>
        <w:bottom w:val="none" w:sz="0" w:space="0" w:color="auto"/>
        <w:right w:val="none" w:sz="0" w:space="0" w:color="auto"/>
      </w:divBdr>
    </w:div>
    <w:div w:id="1245841340">
      <w:marLeft w:val="0"/>
      <w:marRight w:val="0"/>
      <w:marTop w:val="0"/>
      <w:marBottom w:val="0"/>
      <w:divBdr>
        <w:top w:val="none" w:sz="0" w:space="0" w:color="auto"/>
        <w:left w:val="none" w:sz="0" w:space="0" w:color="auto"/>
        <w:bottom w:val="none" w:sz="0" w:space="0" w:color="auto"/>
        <w:right w:val="none" w:sz="0" w:space="0" w:color="auto"/>
      </w:divBdr>
    </w:div>
    <w:div w:id="1245841341">
      <w:marLeft w:val="0"/>
      <w:marRight w:val="0"/>
      <w:marTop w:val="0"/>
      <w:marBottom w:val="0"/>
      <w:divBdr>
        <w:top w:val="none" w:sz="0" w:space="0" w:color="auto"/>
        <w:left w:val="none" w:sz="0" w:space="0" w:color="auto"/>
        <w:bottom w:val="none" w:sz="0" w:space="0" w:color="auto"/>
        <w:right w:val="none" w:sz="0" w:space="0" w:color="auto"/>
      </w:divBdr>
    </w:div>
    <w:div w:id="1245841343">
      <w:marLeft w:val="0"/>
      <w:marRight w:val="0"/>
      <w:marTop w:val="0"/>
      <w:marBottom w:val="0"/>
      <w:divBdr>
        <w:top w:val="none" w:sz="0" w:space="0" w:color="auto"/>
        <w:left w:val="none" w:sz="0" w:space="0" w:color="auto"/>
        <w:bottom w:val="none" w:sz="0" w:space="0" w:color="auto"/>
        <w:right w:val="none" w:sz="0" w:space="0" w:color="auto"/>
      </w:divBdr>
    </w:div>
    <w:div w:id="1245841344">
      <w:marLeft w:val="0"/>
      <w:marRight w:val="0"/>
      <w:marTop w:val="0"/>
      <w:marBottom w:val="0"/>
      <w:divBdr>
        <w:top w:val="none" w:sz="0" w:space="0" w:color="auto"/>
        <w:left w:val="none" w:sz="0" w:space="0" w:color="auto"/>
        <w:bottom w:val="none" w:sz="0" w:space="0" w:color="auto"/>
        <w:right w:val="none" w:sz="0" w:space="0" w:color="auto"/>
      </w:divBdr>
    </w:div>
    <w:div w:id="1245841347">
      <w:marLeft w:val="0"/>
      <w:marRight w:val="0"/>
      <w:marTop w:val="0"/>
      <w:marBottom w:val="0"/>
      <w:divBdr>
        <w:top w:val="none" w:sz="0" w:space="0" w:color="auto"/>
        <w:left w:val="none" w:sz="0" w:space="0" w:color="auto"/>
        <w:bottom w:val="none" w:sz="0" w:space="0" w:color="auto"/>
        <w:right w:val="none" w:sz="0" w:space="0" w:color="auto"/>
      </w:divBdr>
    </w:div>
    <w:div w:id="1245841348">
      <w:marLeft w:val="0"/>
      <w:marRight w:val="0"/>
      <w:marTop w:val="0"/>
      <w:marBottom w:val="0"/>
      <w:divBdr>
        <w:top w:val="none" w:sz="0" w:space="0" w:color="auto"/>
        <w:left w:val="none" w:sz="0" w:space="0" w:color="auto"/>
        <w:bottom w:val="none" w:sz="0" w:space="0" w:color="auto"/>
        <w:right w:val="none" w:sz="0" w:space="0" w:color="auto"/>
      </w:divBdr>
    </w:div>
    <w:div w:id="1245841350">
      <w:marLeft w:val="0"/>
      <w:marRight w:val="0"/>
      <w:marTop w:val="0"/>
      <w:marBottom w:val="0"/>
      <w:divBdr>
        <w:top w:val="none" w:sz="0" w:space="0" w:color="auto"/>
        <w:left w:val="none" w:sz="0" w:space="0" w:color="auto"/>
        <w:bottom w:val="none" w:sz="0" w:space="0" w:color="auto"/>
        <w:right w:val="none" w:sz="0" w:space="0" w:color="auto"/>
      </w:divBdr>
    </w:div>
    <w:div w:id="1245841351">
      <w:marLeft w:val="0"/>
      <w:marRight w:val="0"/>
      <w:marTop w:val="0"/>
      <w:marBottom w:val="0"/>
      <w:divBdr>
        <w:top w:val="none" w:sz="0" w:space="0" w:color="auto"/>
        <w:left w:val="none" w:sz="0" w:space="0" w:color="auto"/>
        <w:bottom w:val="none" w:sz="0" w:space="0" w:color="auto"/>
        <w:right w:val="none" w:sz="0" w:space="0" w:color="auto"/>
      </w:divBdr>
      <w:divsChild>
        <w:div w:id="1245841336">
          <w:marLeft w:val="0"/>
          <w:marRight w:val="0"/>
          <w:marTop w:val="0"/>
          <w:marBottom w:val="0"/>
          <w:divBdr>
            <w:top w:val="none" w:sz="0" w:space="0" w:color="auto"/>
            <w:left w:val="none" w:sz="0" w:space="0" w:color="auto"/>
            <w:bottom w:val="none" w:sz="0" w:space="0" w:color="auto"/>
            <w:right w:val="none" w:sz="0" w:space="0" w:color="auto"/>
          </w:divBdr>
          <w:divsChild>
            <w:div w:id="12458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352">
      <w:marLeft w:val="0"/>
      <w:marRight w:val="0"/>
      <w:marTop w:val="0"/>
      <w:marBottom w:val="0"/>
      <w:divBdr>
        <w:top w:val="none" w:sz="0" w:space="0" w:color="auto"/>
        <w:left w:val="none" w:sz="0" w:space="0" w:color="auto"/>
        <w:bottom w:val="none" w:sz="0" w:space="0" w:color="auto"/>
        <w:right w:val="none" w:sz="0" w:space="0" w:color="auto"/>
      </w:divBdr>
      <w:divsChild>
        <w:div w:id="1245841374">
          <w:marLeft w:val="0"/>
          <w:marRight w:val="0"/>
          <w:marTop w:val="0"/>
          <w:marBottom w:val="0"/>
          <w:divBdr>
            <w:top w:val="none" w:sz="0" w:space="0" w:color="auto"/>
            <w:left w:val="none" w:sz="0" w:space="0" w:color="auto"/>
            <w:bottom w:val="none" w:sz="0" w:space="0" w:color="auto"/>
            <w:right w:val="none" w:sz="0" w:space="0" w:color="auto"/>
          </w:divBdr>
          <w:divsChild>
            <w:div w:id="12458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353">
      <w:marLeft w:val="0"/>
      <w:marRight w:val="0"/>
      <w:marTop w:val="0"/>
      <w:marBottom w:val="0"/>
      <w:divBdr>
        <w:top w:val="none" w:sz="0" w:space="0" w:color="auto"/>
        <w:left w:val="none" w:sz="0" w:space="0" w:color="auto"/>
        <w:bottom w:val="none" w:sz="0" w:space="0" w:color="auto"/>
        <w:right w:val="none" w:sz="0" w:space="0" w:color="auto"/>
      </w:divBdr>
    </w:div>
    <w:div w:id="1245841354">
      <w:marLeft w:val="0"/>
      <w:marRight w:val="0"/>
      <w:marTop w:val="0"/>
      <w:marBottom w:val="0"/>
      <w:divBdr>
        <w:top w:val="none" w:sz="0" w:space="0" w:color="auto"/>
        <w:left w:val="none" w:sz="0" w:space="0" w:color="auto"/>
        <w:bottom w:val="none" w:sz="0" w:space="0" w:color="auto"/>
        <w:right w:val="none" w:sz="0" w:space="0" w:color="auto"/>
      </w:divBdr>
    </w:div>
    <w:div w:id="1245841355">
      <w:marLeft w:val="0"/>
      <w:marRight w:val="0"/>
      <w:marTop w:val="0"/>
      <w:marBottom w:val="0"/>
      <w:divBdr>
        <w:top w:val="none" w:sz="0" w:space="0" w:color="auto"/>
        <w:left w:val="none" w:sz="0" w:space="0" w:color="auto"/>
        <w:bottom w:val="none" w:sz="0" w:space="0" w:color="auto"/>
        <w:right w:val="none" w:sz="0" w:space="0" w:color="auto"/>
      </w:divBdr>
    </w:div>
    <w:div w:id="1245841356">
      <w:marLeft w:val="0"/>
      <w:marRight w:val="0"/>
      <w:marTop w:val="0"/>
      <w:marBottom w:val="0"/>
      <w:divBdr>
        <w:top w:val="none" w:sz="0" w:space="0" w:color="auto"/>
        <w:left w:val="none" w:sz="0" w:space="0" w:color="auto"/>
        <w:bottom w:val="none" w:sz="0" w:space="0" w:color="auto"/>
        <w:right w:val="none" w:sz="0" w:space="0" w:color="auto"/>
      </w:divBdr>
      <w:divsChild>
        <w:div w:id="1245841363">
          <w:marLeft w:val="0"/>
          <w:marRight w:val="0"/>
          <w:marTop w:val="0"/>
          <w:marBottom w:val="0"/>
          <w:divBdr>
            <w:top w:val="none" w:sz="0" w:space="0" w:color="auto"/>
            <w:left w:val="none" w:sz="0" w:space="0" w:color="auto"/>
            <w:bottom w:val="none" w:sz="0" w:space="0" w:color="auto"/>
            <w:right w:val="none" w:sz="0" w:space="0" w:color="auto"/>
          </w:divBdr>
          <w:divsChild>
            <w:div w:id="12458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357">
      <w:marLeft w:val="0"/>
      <w:marRight w:val="0"/>
      <w:marTop w:val="0"/>
      <w:marBottom w:val="0"/>
      <w:divBdr>
        <w:top w:val="none" w:sz="0" w:space="0" w:color="auto"/>
        <w:left w:val="none" w:sz="0" w:space="0" w:color="auto"/>
        <w:bottom w:val="none" w:sz="0" w:space="0" w:color="auto"/>
        <w:right w:val="none" w:sz="0" w:space="0" w:color="auto"/>
      </w:divBdr>
    </w:div>
    <w:div w:id="1245841359">
      <w:marLeft w:val="0"/>
      <w:marRight w:val="0"/>
      <w:marTop w:val="0"/>
      <w:marBottom w:val="0"/>
      <w:divBdr>
        <w:top w:val="none" w:sz="0" w:space="0" w:color="auto"/>
        <w:left w:val="none" w:sz="0" w:space="0" w:color="auto"/>
        <w:bottom w:val="none" w:sz="0" w:space="0" w:color="auto"/>
        <w:right w:val="none" w:sz="0" w:space="0" w:color="auto"/>
      </w:divBdr>
    </w:div>
    <w:div w:id="1245841360">
      <w:marLeft w:val="0"/>
      <w:marRight w:val="0"/>
      <w:marTop w:val="0"/>
      <w:marBottom w:val="0"/>
      <w:divBdr>
        <w:top w:val="none" w:sz="0" w:space="0" w:color="auto"/>
        <w:left w:val="none" w:sz="0" w:space="0" w:color="auto"/>
        <w:bottom w:val="none" w:sz="0" w:space="0" w:color="auto"/>
        <w:right w:val="none" w:sz="0" w:space="0" w:color="auto"/>
      </w:divBdr>
      <w:divsChild>
        <w:div w:id="1245841367">
          <w:marLeft w:val="0"/>
          <w:marRight w:val="0"/>
          <w:marTop w:val="0"/>
          <w:marBottom w:val="0"/>
          <w:divBdr>
            <w:top w:val="none" w:sz="0" w:space="0" w:color="auto"/>
            <w:left w:val="none" w:sz="0" w:space="0" w:color="auto"/>
            <w:bottom w:val="none" w:sz="0" w:space="0" w:color="auto"/>
            <w:right w:val="none" w:sz="0" w:space="0" w:color="auto"/>
          </w:divBdr>
          <w:divsChild>
            <w:div w:id="12458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361">
      <w:marLeft w:val="0"/>
      <w:marRight w:val="0"/>
      <w:marTop w:val="0"/>
      <w:marBottom w:val="0"/>
      <w:divBdr>
        <w:top w:val="none" w:sz="0" w:space="0" w:color="auto"/>
        <w:left w:val="none" w:sz="0" w:space="0" w:color="auto"/>
        <w:bottom w:val="none" w:sz="0" w:space="0" w:color="auto"/>
        <w:right w:val="none" w:sz="0" w:space="0" w:color="auto"/>
      </w:divBdr>
    </w:div>
    <w:div w:id="1245841362">
      <w:marLeft w:val="0"/>
      <w:marRight w:val="0"/>
      <w:marTop w:val="0"/>
      <w:marBottom w:val="0"/>
      <w:divBdr>
        <w:top w:val="none" w:sz="0" w:space="0" w:color="auto"/>
        <w:left w:val="none" w:sz="0" w:space="0" w:color="auto"/>
        <w:bottom w:val="none" w:sz="0" w:space="0" w:color="auto"/>
        <w:right w:val="none" w:sz="0" w:space="0" w:color="auto"/>
      </w:divBdr>
    </w:div>
    <w:div w:id="1245841364">
      <w:marLeft w:val="0"/>
      <w:marRight w:val="0"/>
      <w:marTop w:val="0"/>
      <w:marBottom w:val="0"/>
      <w:divBdr>
        <w:top w:val="none" w:sz="0" w:space="0" w:color="auto"/>
        <w:left w:val="none" w:sz="0" w:space="0" w:color="auto"/>
        <w:bottom w:val="none" w:sz="0" w:space="0" w:color="auto"/>
        <w:right w:val="none" w:sz="0" w:space="0" w:color="auto"/>
      </w:divBdr>
    </w:div>
    <w:div w:id="1245841365">
      <w:marLeft w:val="0"/>
      <w:marRight w:val="0"/>
      <w:marTop w:val="0"/>
      <w:marBottom w:val="0"/>
      <w:divBdr>
        <w:top w:val="none" w:sz="0" w:space="0" w:color="auto"/>
        <w:left w:val="none" w:sz="0" w:space="0" w:color="auto"/>
        <w:bottom w:val="none" w:sz="0" w:space="0" w:color="auto"/>
        <w:right w:val="none" w:sz="0" w:space="0" w:color="auto"/>
      </w:divBdr>
    </w:div>
    <w:div w:id="1245841366">
      <w:marLeft w:val="0"/>
      <w:marRight w:val="0"/>
      <w:marTop w:val="0"/>
      <w:marBottom w:val="0"/>
      <w:divBdr>
        <w:top w:val="none" w:sz="0" w:space="0" w:color="auto"/>
        <w:left w:val="none" w:sz="0" w:space="0" w:color="auto"/>
        <w:bottom w:val="none" w:sz="0" w:space="0" w:color="auto"/>
        <w:right w:val="none" w:sz="0" w:space="0" w:color="auto"/>
      </w:divBdr>
    </w:div>
    <w:div w:id="1245841368">
      <w:marLeft w:val="0"/>
      <w:marRight w:val="0"/>
      <w:marTop w:val="0"/>
      <w:marBottom w:val="0"/>
      <w:divBdr>
        <w:top w:val="none" w:sz="0" w:space="0" w:color="auto"/>
        <w:left w:val="none" w:sz="0" w:space="0" w:color="auto"/>
        <w:bottom w:val="none" w:sz="0" w:space="0" w:color="auto"/>
        <w:right w:val="none" w:sz="0" w:space="0" w:color="auto"/>
      </w:divBdr>
      <w:divsChild>
        <w:div w:id="1245841377">
          <w:marLeft w:val="0"/>
          <w:marRight w:val="0"/>
          <w:marTop w:val="0"/>
          <w:marBottom w:val="0"/>
          <w:divBdr>
            <w:top w:val="none" w:sz="0" w:space="0" w:color="auto"/>
            <w:left w:val="none" w:sz="0" w:space="0" w:color="auto"/>
            <w:bottom w:val="none" w:sz="0" w:space="0" w:color="auto"/>
            <w:right w:val="none" w:sz="0" w:space="0" w:color="auto"/>
          </w:divBdr>
          <w:divsChild>
            <w:div w:id="12458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369">
      <w:marLeft w:val="0"/>
      <w:marRight w:val="0"/>
      <w:marTop w:val="0"/>
      <w:marBottom w:val="0"/>
      <w:divBdr>
        <w:top w:val="none" w:sz="0" w:space="0" w:color="auto"/>
        <w:left w:val="none" w:sz="0" w:space="0" w:color="auto"/>
        <w:bottom w:val="none" w:sz="0" w:space="0" w:color="auto"/>
        <w:right w:val="none" w:sz="0" w:space="0" w:color="auto"/>
      </w:divBdr>
    </w:div>
    <w:div w:id="1245841371">
      <w:marLeft w:val="0"/>
      <w:marRight w:val="0"/>
      <w:marTop w:val="0"/>
      <w:marBottom w:val="0"/>
      <w:divBdr>
        <w:top w:val="none" w:sz="0" w:space="0" w:color="auto"/>
        <w:left w:val="none" w:sz="0" w:space="0" w:color="auto"/>
        <w:bottom w:val="none" w:sz="0" w:space="0" w:color="auto"/>
        <w:right w:val="none" w:sz="0" w:space="0" w:color="auto"/>
      </w:divBdr>
    </w:div>
    <w:div w:id="1245841372">
      <w:marLeft w:val="0"/>
      <w:marRight w:val="0"/>
      <w:marTop w:val="0"/>
      <w:marBottom w:val="0"/>
      <w:divBdr>
        <w:top w:val="none" w:sz="0" w:space="0" w:color="auto"/>
        <w:left w:val="none" w:sz="0" w:space="0" w:color="auto"/>
        <w:bottom w:val="none" w:sz="0" w:space="0" w:color="auto"/>
        <w:right w:val="none" w:sz="0" w:space="0" w:color="auto"/>
      </w:divBdr>
    </w:div>
    <w:div w:id="1245841375">
      <w:marLeft w:val="0"/>
      <w:marRight w:val="0"/>
      <w:marTop w:val="0"/>
      <w:marBottom w:val="0"/>
      <w:divBdr>
        <w:top w:val="none" w:sz="0" w:space="0" w:color="auto"/>
        <w:left w:val="none" w:sz="0" w:space="0" w:color="auto"/>
        <w:bottom w:val="none" w:sz="0" w:space="0" w:color="auto"/>
        <w:right w:val="none" w:sz="0" w:space="0" w:color="auto"/>
      </w:divBdr>
    </w:div>
    <w:div w:id="1245841376">
      <w:marLeft w:val="0"/>
      <w:marRight w:val="0"/>
      <w:marTop w:val="0"/>
      <w:marBottom w:val="0"/>
      <w:divBdr>
        <w:top w:val="none" w:sz="0" w:space="0" w:color="auto"/>
        <w:left w:val="none" w:sz="0" w:space="0" w:color="auto"/>
        <w:bottom w:val="none" w:sz="0" w:space="0" w:color="auto"/>
        <w:right w:val="none" w:sz="0" w:space="0" w:color="auto"/>
      </w:divBdr>
    </w:div>
    <w:div w:id="1245841378">
      <w:marLeft w:val="0"/>
      <w:marRight w:val="0"/>
      <w:marTop w:val="0"/>
      <w:marBottom w:val="0"/>
      <w:divBdr>
        <w:top w:val="none" w:sz="0" w:space="0" w:color="auto"/>
        <w:left w:val="none" w:sz="0" w:space="0" w:color="auto"/>
        <w:bottom w:val="none" w:sz="0" w:space="0" w:color="auto"/>
        <w:right w:val="none" w:sz="0" w:space="0" w:color="auto"/>
      </w:divBdr>
    </w:div>
    <w:div w:id="12458413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keda.com/en-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b8674b-ae8a-4434-956f-895f4d4198ad" xsi:nil="true"/>
    <lcf76f155ced4ddcb4097134ff3c332f xmlns="3df95d23-41db-460c-b105-cf57e1e472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E019D0395B22468AF005862697DE1F" ma:contentTypeVersion="18" ma:contentTypeDescription="Create a new document." ma:contentTypeScope="" ma:versionID="a9dfba9e6bb2db3e43803d808a7fba18">
  <xsd:schema xmlns:xsd="http://www.w3.org/2001/XMLSchema" xmlns:xs="http://www.w3.org/2001/XMLSchema" xmlns:p="http://schemas.microsoft.com/office/2006/metadata/properties" xmlns:ns2="45b8674b-ae8a-4434-956f-895f4d4198ad" xmlns:ns3="3df95d23-41db-460c-b105-cf57e1e472b3" targetNamespace="http://schemas.microsoft.com/office/2006/metadata/properties" ma:root="true" ma:fieldsID="503d0b9dedc749d03dfc89bda683d620" ns2:_="" ns3:_="">
    <xsd:import namespace="45b8674b-ae8a-4434-956f-895f4d4198ad"/>
    <xsd:import namespace="3df95d23-41db-460c-b105-cf57e1e472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8674b-ae8a-4434-956f-895f4d4198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af7376b-3ffb-4618-a464-916fee6db6b9}" ma:internalName="TaxCatchAll" ma:showField="CatchAllData" ma:web="45b8674b-ae8a-4434-956f-895f4d4198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f95d23-41db-460c-b105-cf57e1e472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2114-0ECD-4A6E-A95F-AD18B1C55CA2}">
  <ds:schemaRefs>
    <ds:schemaRef ds:uri="http://purl.org/dc/terms/"/>
    <ds:schemaRef ds:uri="http://schemas.microsoft.com/office/2006/documentManagement/types"/>
    <ds:schemaRef ds:uri="3df95d23-41db-460c-b105-cf57e1e472b3"/>
    <ds:schemaRef ds:uri="45b8674b-ae8a-4434-956f-895f4d4198ad"/>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5E1A504-A1D5-4A4E-A575-20FB1930CFEE}">
  <ds:schemaRefs>
    <ds:schemaRef ds:uri="http://schemas.microsoft.com/sharepoint/v3/contenttype/forms"/>
  </ds:schemaRefs>
</ds:datastoreItem>
</file>

<file path=customXml/itemProps3.xml><?xml version="1.0" encoding="utf-8"?>
<ds:datastoreItem xmlns:ds="http://schemas.openxmlformats.org/officeDocument/2006/customXml" ds:itemID="{F0D954DF-3748-4A2E-87C4-803ABA56C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8674b-ae8a-4434-956f-895f4d4198ad"/>
    <ds:schemaRef ds:uri="3df95d23-41db-460c-b105-cf57e1e47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34F4E-919A-4511-ADDB-1B8E94B2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43</Pages>
  <Words>15056</Words>
  <Characters>85787</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AusPAR Attachment: Product Information for ADCETRIS</vt:lpstr>
    </vt:vector>
  </TitlesOfParts>
  <Company>Nycomed GmbH</Company>
  <LinksUpToDate>false</LinksUpToDate>
  <CharactersWithSpaces>100642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Product Information for ADCETRIS</dc:title>
  <dc:subject/>
  <dc:creator>Takeda Pharmaceuticals Australia Pty Ltd</dc:creator>
  <cp:keywords/>
  <dc:description/>
  <cp:lastModifiedBy>PETKOVIC, Emily</cp:lastModifiedBy>
  <cp:revision>38</cp:revision>
  <cp:lastPrinted>2023-10-04T15:19:00Z</cp:lastPrinted>
  <dcterms:created xsi:type="dcterms:W3CDTF">2024-05-29T06:52:00Z</dcterms:created>
  <dcterms:modified xsi:type="dcterms:W3CDTF">2024-05-30T00:25:00Z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0x01010091E019D0395B22468AF005862697DE1F</vt:lpwstr>
  </property>
  <property fmtid="{D5CDD505-2E9C-101B-9397-08002B2CF9AE}" pid="3" name="MediaServiceImageTags">
    <vt:lpwstr/>
  </property>
</Properties>
</file>