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A99D9EC" w:rsidR="00F02AEC" w:rsidRPr="00215D48" w:rsidRDefault="00346EC2" w:rsidP="007452E8">
            <w:pPr>
              <w:pStyle w:val="Title"/>
            </w:pPr>
            <w:r w:rsidRPr="00346EC2">
              <w:t xml:space="preserve">Australian Public Assessment Report for </w:t>
            </w:r>
            <w:r w:rsidR="00D27153" w:rsidRPr="006176E3">
              <w:t>I</w:t>
            </w:r>
            <w:r w:rsidR="00D27153">
              <w:t>defirix</w:t>
            </w:r>
          </w:p>
        </w:tc>
      </w:tr>
      <w:tr w:rsidR="00F02AEC" w:rsidRPr="00215D48" w14:paraId="318A40A3" w14:textId="77777777" w:rsidTr="00346EC2">
        <w:trPr>
          <w:trHeight w:val="995"/>
        </w:trPr>
        <w:tc>
          <w:tcPr>
            <w:tcW w:w="8720" w:type="dxa"/>
          </w:tcPr>
          <w:p w14:paraId="1AA7C701" w14:textId="287B0122" w:rsidR="00F02AEC" w:rsidRPr="00215D48" w:rsidRDefault="00346EC2" w:rsidP="007452E8">
            <w:pPr>
              <w:pStyle w:val="Subtitle"/>
              <w:ind w:left="0"/>
            </w:pPr>
            <w:r w:rsidRPr="00346EC2">
              <w:t xml:space="preserve">Active ingredient: </w:t>
            </w:r>
            <w:r w:rsidR="00D27153">
              <w:t>I</w:t>
            </w:r>
            <w:r w:rsidR="00D27153" w:rsidRPr="006176E3">
              <w:t>mlifidase</w:t>
            </w:r>
          </w:p>
        </w:tc>
      </w:tr>
      <w:tr w:rsidR="00346EC2" w:rsidRPr="00215D48" w14:paraId="362CCAE4" w14:textId="77777777" w:rsidTr="007452E8">
        <w:trPr>
          <w:trHeight w:val="1916"/>
        </w:trPr>
        <w:tc>
          <w:tcPr>
            <w:tcW w:w="8720" w:type="dxa"/>
          </w:tcPr>
          <w:p w14:paraId="709C45C0" w14:textId="6139002A" w:rsidR="00346EC2" w:rsidRPr="00215D48" w:rsidRDefault="00346EC2" w:rsidP="007452E8">
            <w:pPr>
              <w:pStyle w:val="Subtitle"/>
              <w:ind w:left="0"/>
            </w:pPr>
            <w:r w:rsidRPr="00346EC2">
              <w:t xml:space="preserve">Sponsor: </w:t>
            </w:r>
            <w:r w:rsidR="00D27153" w:rsidRPr="00D27153">
              <w:t>Hansa Biopharma</w:t>
            </w:r>
          </w:p>
        </w:tc>
      </w:tr>
      <w:tr w:rsidR="00F02AEC" w:rsidRPr="00215D48" w14:paraId="37F2AA1F" w14:textId="77777777" w:rsidTr="007452E8">
        <w:tc>
          <w:tcPr>
            <w:tcW w:w="8720" w:type="dxa"/>
          </w:tcPr>
          <w:p w14:paraId="1FDE8DCD" w14:textId="00FA8F47" w:rsidR="00F02AEC" w:rsidRPr="00215D48" w:rsidRDefault="00F75FE9" w:rsidP="007452E8">
            <w:pPr>
              <w:pStyle w:val="Date"/>
            </w:pPr>
            <w:r>
              <w:t xml:space="preserve">May </w:t>
            </w:r>
            <w:r w:rsidR="00D27153">
              <w:t>202</w:t>
            </w:r>
            <w:r w:rsidR="003F5A59">
              <w:t>4</w:t>
            </w:r>
          </w:p>
        </w:tc>
      </w:tr>
    </w:tbl>
    <w:p w14:paraId="73752706" w14:textId="77777777" w:rsidR="00F02AEC" w:rsidRPr="00215D48" w:rsidRDefault="00F02AEC" w:rsidP="007452E8">
      <w:pPr>
        <w:pStyle w:val="ListBullet"/>
        <w:numPr>
          <w:ilvl w:val="0"/>
          <w:numId w:val="0"/>
        </w:numPr>
        <w:sectPr w:rsidR="00F02AEC" w:rsidRPr="00215D48" w:rsidSect="006313C2">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01C08909"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4087A7A2"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2080D6D" w:rsidR="00175CD8" w:rsidRPr="00346EC2" w:rsidRDefault="00F02AEC" w:rsidP="00346EC2">
      <w:pPr>
        <w:pStyle w:val="LegalCopy"/>
        <w:rPr>
          <w:rFonts w:cs="Arial"/>
        </w:rPr>
      </w:pPr>
      <w:r w:rsidRPr="00215D48">
        <w:rPr>
          <w:rFonts w:cs="Arial"/>
        </w:rPr>
        <w:t>© Commonwealth of Australia 20</w:t>
      </w:r>
      <w:r>
        <w:rPr>
          <w:rFonts w:cs="Arial"/>
        </w:rPr>
        <w:t>2</w:t>
      </w:r>
      <w:r w:rsidR="00E66038">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6720424" w14:textId="4F246C7F" w:rsidR="001D2AD9"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6143700" w:history="1">
            <w:r w:rsidR="001D2AD9" w:rsidRPr="00905C07">
              <w:rPr>
                <w:rStyle w:val="Hyperlink"/>
                <w:noProof/>
              </w:rPr>
              <w:t>List of abbreviations</w:t>
            </w:r>
            <w:r w:rsidR="001D2AD9">
              <w:rPr>
                <w:noProof/>
                <w:webHidden/>
              </w:rPr>
              <w:tab/>
            </w:r>
            <w:r w:rsidR="001D2AD9">
              <w:rPr>
                <w:noProof/>
                <w:webHidden/>
              </w:rPr>
              <w:fldChar w:fldCharType="begin"/>
            </w:r>
            <w:r w:rsidR="001D2AD9">
              <w:rPr>
                <w:noProof/>
                <w:webHidden/>
              </w:rPr>
              <w:instrText xml:space="preserve"> PAGEREF _Toc166143700 \h </w:instrText>
            </w:r>
            <w:r w:rsidR="001D2AD9">
              <w:rPr>
                <w:noProof/>
                <w:webHidden/>
              </w:rPr>
            </w:r>
            <w:r w:rsidR="001D2AD9">
              <w:rPr>
                <w:noProof/>
                <w:webHidden/>
              </w:rPr>
              <w:fldChar w:fldCharType="separate"/>
            </w:r>
            <w:r w:rsidR="001D2AD9">
              <w:rPr>
                <w:noProof/>
                <w:webHidden/>
              </w:rPr>
              <w:t>4</w:t>
            </w:r>
            <w:r w:rsidR="001D2AD9">
              <w:rPr>
                <w:noProof/>
                <w:webHidden/>
              </w:rPr>
              <w:fldChar w:fldCharType="end"/>
            </w:r>
          </w:hyperlink>
        </w:p>
        <w:p w14:paraId="1F15A342" w14:textId="584448B3" w:rsidR="001D2AD9" w:rsidRDefault="0060640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6143701" w:history="1">
            <w:r w:rsidR="001D2AD9" w:rsidRPr="00905C07">
              <w:rPr>
                <w:rStyle w:val="Hyperlink"/>
                <w:noProof/>
              </w:rPr>
              <w:t>Product submission</w:t>
            </w:r>
            <w:r w:rsidR="001D2AD9">
              <w:rPr>
                <w:noProof/>
                <w:webHidden/>
              </w:rPr>
              <w:tab/>
            </w:r>
            <w:r w:rsidR="001D2AD9">
              <w:rPr>
                <w:noProof/>
                <w:webHidden/>
              </w:rPr>
              <w:fldChar w:fldCharType="begin"/>
            </w:r>
            <w:r w:rsidR="001D2AD9">
              <w:rPr>
                <w:noProof/>
                <w:webHidden/>
              </w:rPr>
              <w:instrText xml:space="preserve"> PAGEREF _Toc166143701 \h </w:instrText>
            </w:r>
            <w:r w:rsidR="001D2AD9">
              <w:rPr>
                <w:noProof/>
                <w:webHidden/>
              </w:rPr>
            </w:r>
            <w:r w:rsidR="001D2AD9">
              <w:rPr>
                <w:noProof/>
                <w:webHidden/>
              </w:rPr>
              <w:fldChar w:fldCharType="separate"/>
            </w:r>
            <w:r w:rsidR="001D2AD9">
              <w:rPr>
                <w:noProof/>
                <w:webHidden/>
              </w:rPr>
              <w:t>6</w:t>
            </w:r>
            <w:r w:rsidR="001D2AD9">
              <w:rPr>
                <w:noProof/>
                <w:webHidden/>
              </w:rPr>
              <w:fldChar w:fldCharType="end"/>
            </w:r>
          </w:hyperlink>
        </w:p>
        <w:p w14:paraId="1C24EE13" w14:textId="3B28D2CC"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02" w:history="1">
            <w:r w:rsidR="001D2AD9" w:rsidRPr="00905C07">
              <w:rPr>
                <w:rStyle w:val="Hyperlink"/>
                <w:noProof/>
                <w:lang w:eastAsia="en-AU"/>
              </w:rPr>
              <w:t>Submission details</w:t>
            </w:r>
            <w:r w:rsidR="001D2AD9">
              <w:rPr>
                <w:noProof/>
                <w:webHidden/>
              </w:rPr>
              <w:tab/>
            </w:r>
            <w:r w:rsidR="001D2AD9">
              <w:rPr>
                <w:noProof/>
                <w:webHidden/>
              </w:rPr>
              <w:fldChar w:fldCharType="begin"/>
            </w:r>
            <w:r w:rsidR="001D2AD9">
              <w:rPr>
                <w:noProof/>
                <w:webHidden/>
              </w:rPr>
              <w:instrText xml:space="preserve"> PAGEREF _Toc166143702 \h </w:instrText>
            </w:r>
            <w:r w:rsidR="001D2AD9">
              <w:rPr>
                <w:noProof/>
                <w:webHidden/>
              </w:rPr>
            </w:r>
            <w:r w:rsidR="001D2AD9">
              <w:rPr>
                <w:noProof/>
                <w:webHidden/>
              </w:rPr>
              <w:fldChar w:fldCharType="separate"/>
            </w:r>
            <w:r w:rsidR="001D2AD9">
              <w:rPr>
                <w:noProof/>
                <w:webHidden/>
              </w:rPr>
              <w:t>6</w:t>
            </w:r>
            <w:r w:rsidR="001D2AD9">
              <w:rPr>
                <w:noProof/>
                <w:webHidden/>
              </w:rPr>
              <w:fldChar w:fldCharType="end"/>
            </w:r>
          </w:hyperlink>
        </w:p>
        <w:p w14:paraId="4FCE133C" w14:textId="132D56AB"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03" w:history="1">
            <w:r w:rsidR="001D2AD9" w:rsidRPr="00905C07">
              <w:rPr>
                <w:rStyle w:val="Hyperlink"/>
                <w:noProof/>
              </w:rPr>
              <w:t>Product background</w:t>
            </w:r>
            <w:r w:rsidR="001D2AD9">
              <w:rPr>
                <w:noProof/>
                <w:webHidden/>
              </w:rPr>
              <w:tab/>
            </w:r>
            <w:r w:rsidR="001D2AD9">
              <w:rPr>
                <w:noProof/>
                <w:webHidden/>
              </w:rPr>
              <w:fldChar w:fldCharType="begin"/>
            </w:r>
            <w:r w:rsidR="001D2AD9">
              <w:rPr>
                <w:noProof/>
                <w:webHidden/>
              </w:rPr>
              <w:instrText xml:space="preserve"> PAGEREF _Toc166143703 \h </w:instrText>
            </w:r>
            <w:r w:rsidR="001D2AD9">
              <w:rPr>
                <w:noProof/>
                <w:webHidden/>
              </w:rPr>
            </w:r>
            <w:r w:rsidR="001D2AD9">
              <w:rPr>
                <w:noProof/>
                <w:webHidden/>
              </w:rPr>
              <w:fldChar w:fldCharType="separate"/>
            </w:r>
            <w:r w:rsidR="001D2AD9">
              <w:rPr>
                <w:noProof/>
                <w:webHidden/>
              </w:rPr>
              <w:t>7</w:t>
            </w:r>
            <w:r w:rsidR="001D2AD9">
              <w:rPr>
                <w:noProof/>
                <w:webHidden/>
              </w:rPr>
              <w:fldChar w:fldCharType="end"/>
            </w:r>
          </w:hyperlink>
        </w:p>
        <w:p w14:paraId="2FC4D7D0" w14:textId="6C0B20F4"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04" w:history="1">
            <w:r w:rsidR="001D2AD9" w:rsidRPr="00905C07">
              <w:rPr>
                <w:rStyle w:val="Hyperlink"/>
                <w:noProof/>
              </w:rPr>
              <w:t>Regulatory status</w:t>
            </w:r>
            <w:r w:rsidR="001D2AD9">
              <w:rPr>
                <w:noProof/>
                <w:webHidden/>
              </w:rPr>
              <w:tab/>
            </w:r>
            <w:r w:rsidR="001D2AD9">
              <w:rPr>
                <w:noProof/>
                <w:webHidden/>
              </w:rPr>
              <w:fldChar w:fldCharType="begin"/>
            </w:r>
            <w:r w:rsidR="001D2AD9">
              <w:rPr>
                <w:noProof/>
                <w:webHidden/>
              </w:rPr>
              <w:instrText xml:space="preserve"> PAGEREF _Toc166143704 \h </w:instrText>
            </w:r>
            <w:r w:rsidR="001D2AD9">
              <w:rPr>
                <w:noProof/>
                <w:webHidden/>
              </w:rPr>
            </w:r>
            <w:r w:rsidR="001D2AD9">
              <w:rPr>
                <w:noProof/>
                <w:webHidden/>
              </w:rPr>
              <w:fldChar w:fldCharType="separate"/>
            </w:r>
            <w:r w:rsidR="001D2AD9">
              <w:rPr>
                <w:noProof/>
                <w:webHidden/>
              </w:rPr>
              <w:t>8</w:t>
            </w:r>
            <w:r w:rsidR="001D2AD9">
              <w:rPr>
                <w:noProof/>
                <w:webHidden/>
              </w:rPr>
              <w:fldChar w:fldCharType="end"/>
            </w:r>
          </w:hyperlink>
        </w:p>
        <w:p w14:paraId="2D98196F" w14:textId="2A51A710"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05" w:history="1">
            <w:r w:rsidR="001D2AD9" w:rsidRPr="00905C07">
              <w:rPr>
                <w:rStyle w:val="Hyperlink"/>
                <w:noProof/>
              </w:rPr>
              <w:t>Product Information</w:t>
            </w:r>
            <w:r w:rsidR="001D2AD9">
              <w:rPr>
                <w:noProof/>
                <w:webHidden/>
              </w:rPr>
              <w:tab/>
            </w:r>
            <w:r w:rsidR="001D2AD9">
              <w:rPr>
                <w:noProof/>
                <w:webHidden/>
              </w:rPr>
              <w:fldChar w:fldCharType="begin"/>
            </w:r>
            <w:r w:rsidR="001D2AD9">
              <w:rPr>
                <w:noProof/>
                <w:webHidden/>
              </w:rPr>
              <w:instrText xml:space="preserve"> PAGEREF _Toc166143705 \h </w:instrText>
            </w:r>
            <w:r w:rsidR="001D2AD9">
              <w:rPr>
                <w:noProof/>
                <w:webHidden/>
              </w:rPr>
            </w:r>
            <w:r w:rsidR="001D2AD9">
              <w:rPr>
                <w:noProof/>
                <w:webHidden/>
              </w:rPr>
              <w:fldChar w:fldCharType="separate"/>
            </w:r>
            <w:r w:rsidR="001D2AD9">
              <w:rPr>
                <w:noProof/>
                <w:webHidden/>
              </w:rPr>
              <w:t>10</w:t>
            </w:r>
            <w:r w:rsidR="001D2AD9">
              <w:rPr>
                <w:noProof/>
                <w:webHidden/>
              </w:rPr>
              <w:fldChar w:fldCharType="end"/>
            </w:r>
          </w:hyperlink>
        </w:p>
        <w:p w14:paraId="3F148D1E" w14:textId="339177F8" w:rsidR="001D2AD9" w:rsidRDefault="0060640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6143706" w:history="1">
            <w:r w:rsidR="001D2AD9" w:rsidRPr="00905C07">
              <w:rPr>
                <w:rStyle w:val="Hyperlink"/>
                <w:noProof/>
              </w:rPr>
              <w:t>Registration timeline</w:t>
            </w:r>
            <w:r w:rsidR="001D2AD9">
              <w:rPr>
                <w:noProof/>
                <w:webHidden/>
              </w:rPr>
              <w:tab/>
            </w:r>
            <w:r w:rsidR="001D2AD9">
              <w:rPr>
                <w:noProof/>
                <w:webHidden/>
              </w:rPr>
              <w:fldChar w:fldCharType="begin"/>
            </w:r>
            <w:r w:rsidR="001D2AD9">
              <w:rPr>
                <w:noProof/>
                <w:webHidden/>
              </w:rPr>
              <w:instrText xml:space="preserve"> PAGEREF _Toc166143706 \h </w:instrText>
            </w:r>
            <w:r w:rsidR="001D2AD9">
              <w:rPr>
                <w:noProof/>
                <w:webHidden/>
              </w:rPr>
            </w:r>
            <w:r w:rsidR="001D2AD9">
              <w:rPr>
                <w:noProof/>
                <w:webHidden/>
              </w:rPr>
              <w:fldChar w:fldCharType="separate"/>
            </w:r>
            <w:r w:rsidR="001D2AD9">
              <w:rPr>
                <w:noProof/>
                <w:webHidden/>
              </w:rPr>
              <w:t>10</w:t>
            </w:r>
            <w:r w:rsidR="001D2AD9">
              <w:rPr>
                <w:noProof/>
                <w:webHidden/>
              </w:rPr>
              <w:fldChar w:fldCharType="end"/>
            </w:r>
          </w:hyperlink>
        </w:p>
        <w:p w14:paraId="127690EB" w14:textId="1288938E" w:rsidR="001D2AD9" w:rsidRDefault="0060640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6143707" w:history="1">
            <w:r w:rsidR="001D2AD9" w:rsidRPr="00905C07">
              <w:rPr>
                <w:rStyle w:val="Hyperlink"/>
                <w:noProof/>
              </w:rPr>
              <w:t>Submission overview and risk/benefit assessment</w:t>
            </w:r>
            <w:r w:rsidR="001D2AD9">
              <w:rPr>
                <w:noProof/>
                <w:webHidden/>
              </w:rPr>
              <w:tab/>
            </w:r>
            <w:r w:rsidR="001D2AD9">
              <w:rPr>
                <w:noProof/>
                <w:webHidden/>
              </w:rPr>
              <w:fldChar w:fldCharType="begin"/>
            </w:r>
            <w:r w:rsidR="001D2AD9">
              <w:rPr>
                <w:noProof/>
                <w:webHidden/>
              </w:rPr>
              <w:instrText xml:space="preserve"> PAGEREF _Toc166143707 \h </w:instrText>
            </w:r>
            <w:r w:rsidR="001D2AD9">
              <w:rPr>
                <w:noProof/>
                <w:webHidden/>
              </w:rPr>
            </w:r>
            <w:r w:rsidR="001D2AD9">
              <w:rPr>
                <w:noProof/>
                <w:webHidden/>
              </w:rPr>
              <w:fldChar w:fldCharType="separate"/>
            </w:r>
            <w:r w:rsidR="001D2AD9">
              <w:rPr>
                <w:noProof/>
                <w:webHidden/>
              </w:rPr>
              <w:t>10</w:t>
            </w:r>
            <w:r w:rsidR="001D2AD9">
              <w:rPr>
                <w:noProof/>
                <w:webHidden/>
              </w:rPr>
              <w:fldChar w:fldCharType="end"/>
            </w:r>
          </w:hyperlink>
        </w:p>
        <w:p w14:paraId="69A232C1" w14:textId="0ADAFF70"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08" w:history="1">
            <w:r w:rsidR="001D2AD9" w:rsidRPr="00905C07">
              <w:rPr>
                <w:rStyle w:val="Hyperlink"/>
                <w:noProof/>
              </w:rPr>
              <w:t>Quality</w:t>
            </w:r>
            <w:r w:rsidR="001D2AD9">
              <w:rPr>
                <w:noProof/>
                <w:webHidden/>
              </w:rPr>
              <w:tab/>
            </w:r>
            <w:r w:rsidR="001D2AD9">
              <w:rPr>
                <w:noProof/>
                <w:webHidden/>
              </w:rPr>
              <w:fldChar w:fldCharType="begin"/>
            </w:r>
            <w:r w:rsidR="001D2AD9">
              <w:rPr>
                <w:noProof/>
                <w:webHidden/>
              </w:rPr>
              <w:instrText xml:space="preserve"> PAGEREF _Toc166143708 \h </w:instrText>
            </w:r>
            <w:r w:rsidR="001D2AD9">
              <w:rPr>
                <w:noProof/>
                <w:webHidden/>
              </w:rPr>
            </w:r>
            <w:r w:rsidR="001D2AD9">
              <w:rPr>
                <w:noProof/>
                <w:webHidden/>
              </w:rPr>
              <w:fldChar w:fldCharType="separate"/>
            </w:r>
            <w:r w:rsidR="001D2AD9">
              <w:rPr>
                <w:noProof/>
                <w:webHidden/>
              </w:rPr>
              <w:t>11</w:t>
            </w:r>
            <w:r w:rsidR="001D2AD9">
              <w:rPr>
                <w:noProof/>
                <w:webHidden/>
              </w:rPr>
              <w:fldChar w:fldCharType="end"/>
            </w:r>
          </w:hyperlink>
        </w:p>
        <w:p w14:paraId="0E81F679" w14:textId="3F12C5B8"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09" w:history="1">
            <w:r w:rsidR="001D2AD9" w:rsidRPr="00905C07">
              <w:rPr>
                <w:rStyle w:val="Hyperlink"/>
                <w:noProof/>
              </w:rPr>
              <w:t>Nonclinical</w:t>
            </w:r>
            <w:r w:rsidR="001D2AD9">
              <w:rPr>
                <w:noProof/>
                <w:webHidden/>
              </w:rPr>
              <w:tab/>
            </w:r>
            <w:r w:rsidR="001D2AD9">
              <w:rPr>
                <w:noProof/>
                <w:webHidden/>
              </w:rPr>
              <w:fldChar w:fldCharType="begin"/>
            </w:r>
            <w:r w:rsidR="001D2AD9">
              <w:rPr>
                <w:noProof/>
                <w:webHidden/>
              </w:rPr>
              <w:instrText xml:space="preserve"> PAGEREF _Toc166143709 \h </w:instrText>
            </w:r>
            <w:r w:rsidR="001D2AD9">
              <w:rPr>
                <w:noProof/>
                <w:webHidden/>
              </w:rPr>
            </w:r>
            <w:r w:rsidR="001D2AD9">
              <w:rPr>
                <w:noProof/>
                <w:webHidden/>
              </w:rPr>
              <w:fldChar w:fldCharType="separate"/>
            </w:r>
            <w:r w:rsidR="001D2AD9">
              <w:rPr>
                <w:noProof/>
                <w:webHidden/>
              </w:rPr>
              <w:t>14</w:t>
            </w:r>
            <w:r w:rsidR="001D2AD9">
              <w:rPr>
                <w:noProof/>
                <w:webHidden/>
              </w:rPr>
              <w:fldChar w:fldCharType="end"/>
            </w:r>
          </w:hyperlink>
        </w:p>
        <w:p w14:paraId="2AD94A10" w14:textId="30A21B9D"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10" w:history="1">
            <w:r w:rsidR="001D2AD9" w:rsidRPr="00905C07">
              <w:rPr>
                <w:rStyle w:val="Hyperlink"/>
                <w:noProof/>
              </w:rPr>
              <w:t>Clinical</w:t>
            </w:r>
            <w:r w:rsidR="001D2AD9">
              <w:rPr>
                <w:noProof/>
                <w:webHidden/>
              </w:rPr>
              <w:tab/>
            </w:r>
            <w:r w:rsidR="001D2AD9">
              <w:rPr>
                <w:noProof/>
                <w:webHidden/>
              </w:rPr>
              <w:fldChar w:fldCharType="begin"/>
            </w:r>
            <w:r w:rsidR="001D2AD9">
              <w:rPr>
                <w:noProof/>
                <w:webHidden/>
              </w:rPr>
              <w:instrText xml:space="preserve"> PAGEREF _Toc166143710 \h </w:instrText>
            </w:r>
            <w:r w:rsidR="001D2AD9">
              <w:rPr>
                <w:noProof/>
                <w:webHidden/>
              </w:rPr>
            </w:r>
            <w:r w:rsidR="001D2AD9">
              <w:rPr>
                <w:noProof/>
                <w:webHidden/>
              </w:rPr>
              <w:fldChar w:fldCharType="separate"/>
            </w:r>
            <w:r w:rsidR="001D2AD9">
              <w:rPr>
                <w:noProof/>
                <w:webHidden/>
              </w:rPr>
              <w:t>15</w:t>
            </w:r>
            <w:r w:rsidR="001D2AD9">
              <w:rPr>
                <w:noProof/>
                <w:webHidden/>
              </w:rPr>
              <w:fldChar w:fldCharType="end"/>
            </w:r>
          </w:hyperlink>
        </w:p>
        <w:p w14:paraId="6CFB13F0" w14:textId="34EFB956"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11" w:history="1">
            <w:r w:rsidR="001D2AD9" w:rsidRPr="00905C07">
              <w:rPr>
                <w:rStyle w:val="Hyperlink"/>
                <w:noProof/>
              </w:rPr>
              <w:t>Summary of clinical studies</w:t>
            </w:r>
            <w:r w:rsidR="001D2AD9">
              <w:rPr>
                <w:noProof/>
                <w:webHidden/>
              </w:rPr>
              <w:tab/>
            </w:r>
            <w:r w:rsidR="001D2AD9">
              <w:rPr>
                <w:noProof/>
                <w:webHidden/>
              </w:rPr>
              <w:fldChar w:fldCharType="begin"/>
            </w:r>
            <w:r w:rsidR="001D2AD9">
              <w:rPr>
                <w:noProof/>
                <w:webHidden/>
              </w:rPr>
              <w:instrText xml:space="preserve"> PAGEREF _Toc166143711 \h </w:instrText>
            </w:r>
            <w:r w:rsidR="001D2AD9">
              <w:rPr>
                <w:noProof/>
                <w:webHidden/>
              </w:rPr>
            </w:r>
            <w:r w:rsidR="001D2AD9">
              <w:rPr>
                <w:noProof/>
                <w:webHidden/>
              </w:rPr>
              <w:fldChar w:fldCharType="separate"/>
            </w:r>
            <w:r w:rsidR="001D2AD9">
              <w:rPr>
                <w:noProof/>
                <w:webHidden/>
              </w:rPr>
              <w:t>15</w:t>
            </w:r>
            <w:r w:rsidR="001D2AD9">
              <w:rPr>
                <w:noProof/>
                <w:webHidden/>
              </w:rPr>
              <w:fldChar w:fldCharType="end"/>
            </w:r>
          </w:hyperlink>
        </w:p>
        <w:p w14:paraId="7738CD01" w14:textId="3CB99F59"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12" w:history="1">
            <w:r w:rsidR="001D2AD9" w:rsidRPr="00905C07">
              <w:rPr>
                <w:rStyle w:val="Hyperlink"/>
                <w:noProof/>
              </w:rPr>
              <w:t>Pharmacology</w:t>
            </w:r>
            <w:r w:rsidR="001D2AD9">
              <w:rPr>
                <w:noProof/>
                <w:webHidden/>
              </w:rPr>
              <w:tab/>
            </w:r>
            <w:r w:rsidR="001D2AD9">
              <w:rPr>
                <w:noProof/>
                <w:webHidden/>
              </w:rPr>
              <w:fldChar w:fldCharType="begin"/>
            </w:r>
            <w:r w:rsidR="001D2AD9">
              <w:rPr>
                <w:noProof/>
                <w:webHidden/>
              </w:rPr>
              <w:instrText xml:space="preserve"> PAGEREF _Toc166143712 \h </w:instrText>
            </w:r>
            <w:r w:rsidR="001D2AD9">
              <w:rPr>
                <w:noProof/>
                <w:webHidden/>
              </w:rPr>
            </w:r>
            <w:r w:rsidR="001D2AD9">
              <w:rPr>
                <w:noProof/>
                <w:webHidden/>
              </w:rPr>
              <w:fldChar w:fldCharType="separate"/>
            </w:r>
            <w:r w:rsidR="001D2AD9">
              <w:rPr>
                <w:noProof/>
                <w:webHidden/>
              </w:rPr>
              <w:t>15</w:t>
            </w:r>
            <w:r w:rsidR="001D2AD9">
              <w:rPr>
                <w:noProof/>
                <w:webHidden/>
              </w:rPr>
              <w:fldChar w:fldCharType="end"/>
            </w:r>
          </w:hyperlink>
        </w:p>
        <w:p w14:paraId="591D9214" w14:textId="261A23D0"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13" w:history="1">
            <w:r w:rsidR="001D2AD9" w:rsidRPr="00905C07">
              <w:rPr>
                <w:rStyle w:val="Hyperlink"/>
                <w:noProof/>
              </w:rPr>
              <w:t>Efficacy</w:t>
            </w:r>
            <w:r w:rsidR="001D2AD9">
              <w:rPr>
                <w:noProof/>
                <w:webHidden/>
              </w:rPr>
              <w:tab/>
            </w:r>
            <w:r w:rsidR="001D2AD9">
              <w:rPr>
                <w:noProof/>
                <w:webHidden/>
              </w:rPr>
              <w:fldChar w:fldCharType="begin"/>
            </w:r>
            <w:r w:rsidR="001D2AD9">
              <w:rPr>
                <w:noProof/>
                <w:webHidden/>
              </w:rPr>
              <w:instrText xml:space="preserve"> PAGEREF _Toc166143713 \h </w:instrText>
            </w:r>
            <w:r w:rsidR="001D2AD9">
              <w:rPr>
                <w:noProof/>
                <w:webHidden/>
              </w:rPr>
            </w:r>
            <w:r w:rsidR="001D2AD9">
              <w:rPr>
                <w:noProof/>
                <w:webHidden/>
              </w:rPr>
              <w:fldChar w:fldCharType="separate"/>
            </w:r>
            <w:r w:rsidR="001D2AD9">
              <w:rPr>
                <w:noProof/>
                <w:webHidden/>
              </w:rPr>
              <w:t>20</w:t>
            </w:r>
            <w:r w:rsidR="001D2AD9">
              <w:rPr>
                <w:noProof/>
                <w:webHidden/>
              </w:rPr>
              <w:fldChar w:fldCharType="end"/>
            </w:r>
          </w:hyperlink>
        </w:p>
        <w:p w14:paraId="5E79E6B3" w14:textId="2FD14AA4"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14" w:history="1">
            <w:r w:rsidR="001D2AD9" w:rsidRPr="00905C07">
              <w:rPr>
                <w:rStyle w:val="Hyperlink"/>
                <w:noProof/>
              </w:rPr>
              <w:t>Safety</w:t>
            </w:r>
            <w:r w:rsidR="001D2AD9">
              <w:rPr>
                <w:noProof/>
                <w:webHidden/>
              </w:rPr>
              <w:tab/>
            </w:r>
            <w:r w:rsidR="001D2AD9">
              <w:rPr>
                <w:noProof/>
                <w:webHidden/>
              </w:rPr>
              <w:fldChar w:fldCharType="begin"/>
            </w:r>
            <w:r w:rsidR="001D2AD9">
              <w:rPr>
                <w:noProof/>
                <w:webHidden/>
              </w:rPr>
              <w:instrText xml:space="preserve"> PAGEREF _Toc166143714 \h </w:instrText>
            </w:r>
            <w:r w:rsidR="001D2AD9">
              <w:rPr>
                <w:noProof/>
                <w:webHidden/>
              </w:rPr>
            </w:r>
            <w:r w:rsidR="001D2AD9">
              <w:rPr>
                <w:noProof/>
                <w:webHidden/>
              </w:rPr>
              <w:fldChar w:fldCharType="separate"/>
            </w:r>
            <w:r w:rsidR="001D2AD9">
              <w:rPr>
                <w:noProof/>
                <w:webHidden/>
              </w:rPr>
              <w:t>33</w:t>
            </w:r>
            <w:r w:rsidR="001D2AD9">
              <w:rPr>
                <w:noProof/>
                <w:webHidden/>
              </w:rPr>
              <w:fldChar w:fldCharType="end"/>
            </w:r>
          </w:hyperlink>
        </w:p>
        <w:p w14:paraId="05944E47" w14:textId="243EFF5E"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15" w:history="1">
            <w:r w:rsidR="001D2AD9" w:rsidRPr="00905C07">
              <w:rPr>
                <w:rStyle w:val="Hyperlink"/>
                <w:noProof/>
                <w:lang w:eastAsia="en-AU"/>
              </w:rPr>
              <w:t>Risk management plan</w:t>
            </w:r>
            <w:r w:rsidR="001D2AD9">
              <w:rPr>
                <w:noProof/>
                <w:webHidden/>
              </w:rPr>
              <w:tab/>
            </w:r>
            <w:r w:rsidR="001D2AD9">
              <w:rPr>
                <w:noProof/>
                <w:webHidden/>
              </w:rPr>
              <w:fldChar w:fldCharType="begin"/>
            </w:r>
            <w:r w:rsidR="001D2AD9">
              <w:rPr>
                <w:noProof/>
                <w:webHidden/>
              </w:rPr>
              <w:instrText xml:space="preserve"> PAGEREF _Toc166143715 \h </w:instrText>
            </w:r>
            <w:r w:rsidR="001D2AD9">
              <w:rPr>
                <w:noProof/>
                <w:webHidden/>
              </w:rPr>
            </w:r>
            <w:r w:rsidR="001D2AD9">
              <w:rPr>
                <w:noProof/>
                <w:webHidden/>
              </w:rPr>
              <w:fldChar w:fldCharType="separate"/>
            </w:r>
            <w:r w:rsidR="001D2AD9">
              <w:rPr>
                <w:noProof/>
                <w:webHidden/>
              </w:rPr>
              <w:t>38</w:t>
            </w:r>
            <w:r w:rsidR="001D2AD9">
              <w:rPr>
                <w:noProof/>
                <w:webHidden/>
              </w:rPr>
              <w:fldChar w:fldCharType="end"/>
            </w:r>
          </w:hyperlink>
        </w:p>
        <w:p w14:paraId="258BA6D4" w14:textId="6324E3DF"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16" w:history="1">
            <w:r w:rsidR="001D2AD9" w:rsidRPr="00905C07">
              <w:rPr>
                <w:rStyle w:val="Hyperlink"/>
                <w:noProof/>
              </w:rPr>
              <w:t>Pharmacovigilance plan</w:t>
            </w:r>
            <w:r w:rsidR="001D2AD9">
              <w:rPr>
                <w:noProof/>
                <w:webHidden/>
              </w:rPr>
              <w:tab/>
            </w:r>
            <w:r w:rsidR="001D2AD9">
              <w:rPr>
                <w:noProof/>
                <w:webHidden/>
              </w:rPr>
              <w:fldChar w:fldCharType="begin"/>
            </w:r>
            <w:r w:rsidR="001D2AD9">
              <w:rPr>
                <w:noProof/>
                <w:webHidden/>
              </w:rPr>
              <w:instrText xml:space="preserve"> PAGEREF _Toc166143716 \h </w:instrText>
            </w:r>
            <w:r w:rsidR="001D2AD9">
              <w:rPr>
                <w:noProof/>
                <w:webHidden/>
              </w:rPr>
            </w:r>
            <w:r w:rsidR="001D2AD9">
              <w:rPr>
                <w:noProof/>
                <w:webHidden/>
              </w:rPr>
              <w:fldChar w:fldCharType="separate"/>
            </w:r>
            <w:r w:rsidR="001D2AD9">
              <w:rPr>
                <w:noProof/>
                <w:webHidden/>
              </w:rPr>
              <w:t>39</w:t>
            </w:r>
            <w:r w:rsidR="001D2AD9">
              <w:rPr>
                <w:noProof/>
                <w:webHidden/>
              </w:rPr>
              <w:fldChar w:fldCharType="end"/>
            </w:r>
          </w:hyperlink>
        </w:p>
        <w:p w14:paraId="798BCCDB" w14:textId="49E74AE2"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17" w:history="1">
            <w:r w:rsidR="001D2AD9" w:rsidRPr="00905C07">
              <w:rPr>
                <w:rStyle w:val="Hyperlink"/>
                <w:noProof/>
              </w:rPr>
              <w:t>Risk minimisation plan</w:t>
            </w:r>
            <w:r w:rsidR="001D2AD9">
              <w:rPr>
                <w:noProof/>
                <w:webHidden/>
              </w:rPr>
              <w:tab/>
            </w:r>
            <w:r w:rsidR="001D2AD9">
              <w:rPr>
                <w:noProof/>
                <w:webHidden/>
              </w:rPr>
              <w:fldChar w:fldCharType="begin"/>
            </w:r>
            <w:r w:rsidR="001D2AD9">
              <w:rPr>
                <w:noProof/>
                <w:webHidden/>
              </w:rPr>
              <w:instrText xml:space="preserve"> PAGEREF _Toc166143717 \h </w:instrText>
            </w:r>
            <w:r w:rsidR="001D2AD9">
              <w:rPr>
                <w:noProof/>
                <w:webHidden/>
              </w:rPr>
            </w:r>
            <w:r w:rsidR="001D2AD9">
              <w:rPr>
                <w:noProof/>
                <w:webHidden/>
              </w:rPr>
              <w:fldChar w:fldCharType="separate"/>
            </w:r>
            <w:r w:rsidR="001D2AD9">
              <w:rPr>
                <w:noProof/>
                <w:webHidden/>
              </w:rPr>
              <w:t>39</w:t>
            </w:r>
            <w:r w:rsidR="001D2AD9">
              <w:rPr>
                <w:noProof/>
                <w:webHidden/>
              </w:rPr>
              <w:fldChar w:fldCharType="end"/>
            </w:r>
          </w:hyperlink>
        </w:p>
        <w:p w14:paraId="033EF675" w14:textId="2482A033"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18" w:history="1">
            <w:r w:rsidR="001D2AD9" w:rsidRPr="00905C07">
              <w:rPr>
                <w:rStyle w:val="Hyperlink"/>
                <w:noProof/>
              </w:rPr>
              <w:t>Recommended wording for conditions of registration</w:t>
            </w:r>
            <w:r w:rsidR="001D2AD9">
              <w:rPr>
                <w:noProof/>
                <w:webHidden/>
              </w:rPr>
              <w:tab/>
            </w:r>
            <w:r w:rsidR="001D2AD9">
              <w:rPr>
                <w:noProof/>
                <w:webHidden/>
              </w:rPr>
              <w:fldChar w:fldCharType="begin"/>
            </w:r>
            <w:r w:rsidR="001D2AD9">
              <w:rPr>
                <w:noProof/>
                <w:webHidden/>
              </w:rPr>
              <w:instrText xml:space="preserve"> PAGEREF _Toc166143718 \h </w:instrText>
            </w:r>
            <w:r w:rsidR="001D2AD9">
              <w:rPr>
                <w:noProof/>
                <w:webHidden/>
              </w:rPr>
            </w:r>
            <w:r w:rsidR="001D2AD9">
              <w:rPr>
                <w:noProof/>
                <w:webHidden/>
              </w:rPr>
              <w:fldChar w:fldCharType="separate"/>
            </w:r>
            <w:r w:rsidR="001D2AD9">
              <w:rPr>
                <w:noProof/>
                <w:webHidden/>
              </w:rPr>
              <w:t>39</w:t>
            </w:r>
            <w:r w:rsidR="001D2AD9">
              <w:rPr>
                <w:noProof/>
                <w:webHidden/>
              </w:rPr>
              <w:fldChar w:fldCharType="end"/>
            </w:r>
          </w:hyperlink>
        </w:p>
        <w:p w14:paraId="21819496" w14:textId="1BE90618"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19" w:history="1">
            <w:r w:rsidR="001D2AD9" w:rsidRPr="00905C07">
              <w:rPr>
                <w:rStyle w:val="Hyperlink"/>
                <w:noProof/>
              </w:rPr>
              <w:t>Risk-benefit analysis</w:t>
            </w:r>
            <w:r w:rsidR="001D2AD9">
              <w:rPr>
                <w:noProof/>
                <w:webHidden/>
              </w:rPr>
              <w:tab/>
            </w:r>
            <w:r w:rsidR="001D2AD9">
              <w:rPr>
                <w:noProof/>
                <w:webHidden/>
              </w:rPr>
              <w:fldChar w:fldCharType="begin"/>
            </w:r>
            <w:r w:rsidR="001D2AD9">
              <w:rPr>
                <w:noProof/>
                <w:webHidden/>
              </w:rPr>
              <w:instrText xml:space="preserve"> PAGEREF _Toc166143719 \h </w:instrText>
            </w:r>
            <w:r w:rsidR="001D2AD9">
              <w:rPr>
                <w:noProof/>
                <w:webHidden/>
              </w:rPr>
            </w:r>
            <w:r w:rsidR="001D2AD9">
              <w:rPr>
                <w:noProof/>
                <w:webHidden/>
              </w:rPr>
              <w:fldChar w:fldCharType="separate"/>
            </w:r>
            <w:r w:rsidR="001D2AD9">
              <w:rPr>
                <w:noProof/>
                <w:webHidden/>
              </w:rPr>
              <w:t>40</w:t>
            </w:r>
            <w:r w:rsidR="001D2AD9">
              <w:rPr>
                <w:noProof/>
                <w:webHidden/>
              </w:rPr>
              <w:fldChar w:fldCharType="end"/>
            </w:r>
          </w:hyperlink>
        </w:p>
        <w:p w14:paraId="032E0D2C" w14:textId="7D534C31"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20" w:history="1">
            <w:r w:rsidR="001D2AD9" w:rsidRPr="00905C07">
              <w:rPr>
                <w:rStyle w:val="Hyperlink"/>
                <w:noProof/>
              </w:rPr>
              <w:t>Delegate’s considerations</w:t>
            </w:r>
            <w:r w:rsidR="001D2AD9">
              <w:rPr>
                <w:noProof/>
                <w:webHidden/>
              </w:rPr>
              <w:tab/>
            </w:r>
            <w:r w:rsidR="001D2AD9">
              <w:rPr>
                <w:noProof/>
                <w:webHidden/>
              </w:rPr>
              <w:fldChar w:fldCharType="begin"/>
            </w:r>
            <w:r w:rsidR="001D2AD9">
              <w:rPr>
                <w:noProof/>
                <w:webHidden/>
              </w:rPr>
              <w:instrText xml:space="preserve"> PAGEREF _Toc166143720 \h </w:instrText>
            </w:r>
            <w:r w:rsidR="001D2AD9">
              <w:rPr>
                <w:noProof/>
                <w:webHidden/>
              </w:rPr>
            </w:r>
            <w:r w:rsidR="001D2AD9">
              <w:rPr>
                <w:noProof/>
                <w:webHidden/>
              </w:rPr>
              <w:fldChar w:fldCharType="separate"/>
            </w:r>
            <w:r w:rsidR="001D2AD9">
              <w:rPr>
                <w:noProof/>
                <w:webHidden/>
              </w:rPr>
              <w:t>40</w:t>
            </w:r>
            <w:r w:rsidR="001D2AD9">
              <w:rPr>
                <w:noProof/>
                <w:webHidden/>
              </w:rPr>
              <w:fldChar w:fldCharType="end"/>
            </w:r>
          </w:hyperlink>
        </w:p>
        <w:p w14:paraId="18BC10D3" w14:textId="3A663600"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21" w:history="1">
            <w:r w:rsidR="001D2AD9" w:rsidRPr="00905C07">
              <w:rPr>
                <w:rStyle w:val="Hyperlink"/>
                <w:noProof/>
              </w:rPr>
              <w:t>Safety</w:t>
            </w:r>
            <w:r w:rsidR="001D2AD9">
              <w:rPr>
                <w:noProof/>
                <w:webHidden/>
              </w:rPr>
              <w:tab/>
            </w:r>
            <w:r w:rsidR="001D2AD9">
              <w:rPr>
                <w:noProof/>
                <w:webHidden/>
              </w:rPr>
              <w:fldChar w:fldCharType="begin"/>
            </w:r>
            <w:r w:rsidR="001D2AD9">
              <w:rPr>
                <w:noProof/>
                <w:webHidden/>
              </w:rPr>
              <w:instrText xml:space="preserve"> PAGEREF _Toc166143721 \h </w:instrText>
            </w:r>
            <w:r w:rsidR="001D2AD9">
              <w:rPr>
                <w:noProof/>
                <w:webHidden/>
              </w:rPr>
            </w:r>
            <w:r w:rsidR="001D2AD9">
              <w:rPr>
                <w:noProof/>
                <w:webHidden/>
              </w:rPr>
              <w:fldChar w:fldCharType="separate"/>
            </w:r>
            <w:r w:rsidR="001D2AD9">
              <w:rPr>
                <w:noProof/>
                <w:webHidden/>
              </w:rPr>
              <w:t>43</w:t>
            </w:r>
            <w:r w:rsidR="001D2AD9">
              <w:rPr>
                <w:noProof/>
                <w:webHidden/>
              </w:rPr>
              <w:fldChar w:fldCharType="end"/>
            </w:r>
          </w:hyperlink>
        </w:p>
        <w:p w14:paraId="01DE3F35" w14:textId="6DAB6EDE"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22" w:history="1">
            <w:r w:rsidR="001D2AD9" w:rsidRPr="00905C07">
              <w:rPr>
                <w:rStyle w:val="Hyperlink"/>
                <w:noProof/>
              </w:rPr>
              <w:t>Proposed action</w:t>
            </w:r>
            <w:r w:rsidR="001D2AD9">
              <w:rPr>
                <w:noProof/>
                <w:webHidden/>
              </w:rPr>
              <w:tab/>
            </w:r>
            <w:r w:rsidR="001D2AD9">
              <w:rPr>
                <w:noProof/>
                <w:webHidden/>
              </w:rPr>
              <w:fldChar w:fldCharType="begin"/>
            </w:r>
            <w:r w:rsidR="001D2AD9">
              <w:rPr>
                <w:noProof/>
                <w:webHidden/>
              </w:rPr>
              <w:instrText xml:space="preserve"> PAGEREF _Toc166143722 \h </w:instrText>
            </w:r>
            <w:r w:rsidR="001D2AD9">
              <w:rPr>
                <w:noProof/>
                <w:webHidden/>
              </w:rPr>
            </w:r>
            <w:r w:rsidR="001D2AD9">
              <w:rPr>
                <w:noProof/>
                <w:webHidden/>
              </w:rPr>
              <w:fldChar w:fldCharType="separate"/>
            </w:r>
            <w:r w:rsidR="001D2AD9">
              <w:rPr>
                <w:noProof/>
                <w:webHidden/>
              </w:rPr>
              <w:t>44</w:t>
            </w:r>
            <w:r w:rsidR="001D2AD9">
              <w:rPr>
                <w:noProof/>
                <w:webHidden/>
              </w:rPr>
              <w:fldChar w:fldCharType="end"/>
            </w:r>
          </w:hyperlink>
        </w:p>
        <w:p w14:paraId="462B827C" w14:textId="0FF8DC1F"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23" w:history="1">
            <w:r w:rsidR="001D2AD9" w:rsidRPr="00905C07">
              <w:rPr>
                <w:rStyle w:val="Hyperlink"/>
                <w:noProof/>
              </w:rPr>
              <w:t>Advisory Committee considerations</w:t>
            </w:r>
            <w:r w:rsidR="001D2AD9">
              <w:rPr>
                <w:noProof/>
                <w:webHidden/>
              </w:rPr>
              <w:tab/>
            </w:r>
            <w:r w:rsidR="001D2AD9">
              <w:rPr>
                <w:noProof/>
                <w:webHidden/>
              </w:rPr>
              <w:fldChar w:fldCharType="begin"/>
            </w:r>
            <w:r w:rsidR="001D2AD9">
              <w:rPr>
                <w:noProof/>
                <w:webHidden/>
              </w:rPr>
              <w:instrText xml:space="preserve"> PAGEREF _Toc166143723 \h </w:instrText>
            </w:r>
            <w:r w:rsidR="001D2AD9">
              <w:rPr>
                <w:noProof/>
                <w:webHidden/>
              </w:rPr>
            </w:r>
            <w:r w:rsidR="001D2AD9">
              <w:rPr>
                <w:noProof/>
                <w:webHidden/>
              </w:rPr>
              <w:fldChar w:fldCharType="separate"/>
            </w:r>
            <w:r w:rsidR="001D2AD9">
              <w:rPr>
                <w:noProof/>
                <w:webHidden/>
              </w:rPr>
              <w:t>45</w:t>
            </w:r>
            <w:r w:rsidR="001D2AD9">
              <w:rPr>
                <w:noProof/>
                <w:webHidden/>
              </w:rPr>
              <w:fldChar w:fldCharType="end"/>
            </w:r>
          </w:hyperlink>
        </w:p>
        <w:p w14:paraId="0E39ABAA" w14:textId="5C9CF255"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24" w:history="1">
            <w:r w:rsidR="001D2AD9" w:rsidRPr="00905C07">
              <w:rPr>
                <w:rStyle w:val="Hyperlink"/>
                <w:noProof/>
              </w:rPr>
              <w:t>Delegate decision</w:t>
            </w:r>
            <w:r w:rsidR="001D2AD9">
              <w:rPr>
                <w:noProof/>
                <w:webHidden/>
              </w:rPr>
              <w:tab/>
            </w:r>
            <w:r w:rsidR="001D2AD9">
              <w:rPr>
                <w:noProof/>
                <w:webHidden/>
              </w:rPr>
              <w:fldChar w:fldCharType="begin"/>
            </w:r>
            <w:r w:rsidR="001D2AD9">
              <w:rPr>
                <w:noProof/>
                <w:webHidden/>
              </w:rPr>
              <w:instrText xml:space="preserve"> PAGEREF _Toc166143724 \h </w:instrText>
            </w:r>
            <w:r w:rsidR="001D2AD9">
              <w:rPr>
                <w:noProof/>
                <w:webHidden/>
              </w:rPr>
            </w:r>
            <w:r w:rsidR="001D2AD9">
              <w:rPr>
                <w:noProof/>
                <w:webHidden/>
              </w:rPr>
              <w:fldChar w:fldCharType="separate"/>
            </w:r>
            <w:r w:rsidR="001D2AD9">
              <w:rPr>
                <w:noProof/>
                <w:webHidden/>
              </w:rPr>
              <w:t>46</w:t>
            </w:r>
            <w:r w:rsidR="001D2AD9">
              <w:rPr>
                <w:noProof/>
                <w:webHidden/>
              </w:rPr>
              <w:fldChar w:fldCharType="end"/>
            </w:r>
          </w:hyperlink>
        </w:p>
        <w:p w14:paraId="557B505B" w14:textId="21C13681"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25" w:history="1">
            <w:r w:rsidR="001D2AD9" w:rsidRPr="00905C07">
              <w:rPr>
                <w:rStyle w:val="Hyperlink"/>
                <w:noProof/>
              </w:rPr>
              <w:t>Indication</w:t>
            </w:r>
            <w:r w:rsidR="001D2AD9">
              <w:rPr>
                <w:noProof/>
                <w:webHidden/>
              </w:rPr>
              <w:tab/>
            </w:r>
            <w:r w:rsidR="001D2AD9">
              <w:rPr>
                <w:noProof/>
                <w:webHidden/>
              </w:rPr>
              <w:fldChar w:fldCharType="begin"/>
            </w:r>
            <w:r w:rsidR="001D2AD9">
              <w:rPr>
                <w:noProof/>
                <w:webHidden/>
              </w:rPr>
              <w:instrText xml:space="preserve"> PAGEREF _Toc166143725 \h </w:instrText>
            </w:r>
            <w:r w:rsidR="001D2AD9">
              <w:rPr>
                <w:noProof/>
                <w:webHidden/>
              </w:rPr>
            </w:r>
            <w:r w:rsidR="001D2AD9">
              <w:rPr>
                <w:noProof/>
                <w:webHidden/>
              </w:rPr>
              <w:fldChar w:fldCharType="separate"/>
            </w:r>
            <w:r w:rsidR="001D2AD9">
              <w:rPr>
                <w:noProof/>
                <w:webHidden/>
              </w:rPr>
              <w:t>46</w:t>
            </w:r>
            <w:r w:rsidR="001D2AD9">
              <w:rPr>
                <w:noProof/>
                <w:webHidden/>
              </w:rPr>
              <w:fldChar w:fldCharType="end"/>
            </w:r>
          </w:hyperlink>
        </w:p>
        <w:p w14:paraId="76C6845A" w14:textId="0C220AEB" w:rsidR="001D2AD9" w:rsidRDefault="00606403">
          <w:pPr>
            <w:pStyle w:val="TOC3"/>
            <w:rPr>
              <w:rFonts w:asciiTheme="minorHAnsi" w:eastAsiaTheme="minorEastAsia" w:hAnsiTheme="minorHAnsi" w:cstheme="minorBidi"/>
              <w:b w:val="0"/>
              <w:noProof/>
              <w:color w:val="auto"/>
              <w:kern w:val="2"/>
              <w:szCs w:val="22"/>
              <w:lang w:eastAsia="en-AU"/>
              <w14:ligatures w14:val="standardContextual"/>
            </w:rPr>
          </w:pPr>
          <w:hyperlink w:anchor="_Toc166143726" w:history="1">
            <w:r w:rsidR="001D2AD9" w:rsidRPr="00905C07">
              <w:rPr>
                <w:rStyle w:val="Hyperlink"/>
                <w:noProof/>
              </w:rPr>
              <w:t>Conditions of registration</w:t>
            </w:r>
            <w:r w:rsidR="001D2AD9">
              <w:rPr>
                <w:noProof/>
                <w:webHidden/>
              </w:rPr>
              <w:tab/>
            </w:r>
            <w:r w:rsidR="001D2AD9">
              <w:rPr>
                <w:noProof/>
                <w:webHidden/>
              </w:rPr>
              <w:fldChar w:fldCharType="begin"/>
            </w:r>
            <w:r w:rsidR="001D2AD9">
              <w:rPr>
                <w:noProof/>
                <w:webHidden/>
              </w:rPr>
              <w:instrText xml:space="preserve"> PAGEREF _Toc166143726 \h </w:instrText>
            </w:r>
            <w:r w:rsidR="001D2AD9">
              <w:rPr>
                <w:noProof/>
                <w:webHidden/>
              </w:rPr>
            </w:r>
            <w:r w:rsidR="001D2AD9">
              <w:rPr>
                <w:noProof/>
                <w:webHidden/>
              </w:rPr>
              <w:fldChar w:fldCharType="separate"/>
            </w:r>
            <w:r w:rsidR="001D2AD9">
              <w:rPr>
                <w:noProof/>
                <w:webHidden/>
              </w:rPr>
              <w:t>47</w:t>
            </w:r>
            <w:r w:rsidR="001D2AD9">
              <w:rPr>
                <w:noProof/>
                <w:webHidden/>
              </w:rPr>
              <w:fldChar w:fldCharType="end"/>
            </w:r>
          </w:hyperlink>
        </w:p>
        <w:p w14:paraId="38D073F8" w14:textId="06074EE4" w:rsidR="001D2AD9" w:rsidRDefault="0060640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6143727" w:history="1">
            <w:r w:rsidR="001D2AD9" w:rsidRPr="00905C07">
              <w:rPr>
                <w:rStyle w:val="Hyperlink"/>
                <w:noProof/>
              </w:rPr>
              <w:t>Outcome</w:t>
            </w:r>
            <w:r w:rsidR="001D2AD9">
              <w:rPr>
                <w:noProof/>
                <w:webHidden/>
              </w:rPr>
              <w:tab/>
            </w:r>
            <w:r w:rsidR="001D2AD9">
              <w:rPr>
                <w:noProof/>
                <w:webHidden/>
              </w:rPr>
              <w:fldChar w:fldCharType="begin"/>
            </w:r>
            <w:r w:rsidR="001D2AD9">
              <w:rPr>
                <w:noProof/>
                <w:webHidden/>
              </w:rPr>
              <w:instrText xml:space="preserve"> PAGEREF _Toc166143727 \h </w:instrText>
            </w:r>
            <w:r w:rsidR="001D2AD9">
              <w:rPr>
                <w:noProof/>
                <w:webHidden/>
              </w:rPr>
            </w:r>
            <w:r w:rsidR="001D2AD9">
              <w:rPr>
                <w:noProof/>
                <w:webHidden/>
              </w:rPr>
              <w:fldChar w:fldCharType="separate"/>
            </w:r>
            <w:r w:rsidR="001D2AD9">
              <w:rPr>
                <w:noProof/>
                <w:webHidden/>
              </w:rPr>
              <w:t>48</w:t>
            </w:r>
            <w:r w:rsidR="001D2AD9">
              <w:rPr>
                <w:noProof/>
                <w:webHidden/>
              </w:rPr>
              <w:fldChar w:fldCharType="end"/>
            </w:r>
          </w:hyperlink>
        </w:p>
        <w:p w14:paraId="2FFDD3ED" w14:textId="17CD5832" w:rsidR="001D2AD9" w:rsidRDefault="00606403">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6143728" w:history="1">
            <w:r w:rsidR="001D2AD9" w:rsidRPr="00905C07">
              <w:rPr>
                <w:rStyle w:val="Hyperlink"/>
                <w:noProof/>
              </w:rPr>
              <w:t>Specific conditions of registration applying to these goods</w:t>
            </w:r>
            <w:r w:rsidR="001D2AD9">
              <w:rPr>
                <w:noProof/>
                <w:webHidden/>
              </w:rPr>
              <w:tab/>
            </w:r>
            <w:r w:rsidR="001D2AD9">
              <w:rPr>
                <w:noProof/>
                <w:webHidden/>
              </w:rPr>
              <w:fldChar w:fldCharType="begin"/>
            </w:r>
            <w:r w:rsidR="001D2AD9">
              <w:rPr>
                <w:noProof/>
                <w:webHidden/>
              </w:rPr>
              <w:instrText xml:space="preserve"> PAGEREF _Toc166143728 \h </w:instrText>
            </w:r>
            <w:r w:rsidR="001D2AD9">
              <w:rPr>
                <w:noProof/>
                <w:webHidden/>
              </w:rPr>
            </w:r>
            <w:r w:rsidR="001D2AD9">
              <w:rPr>
                <w:noProof/>
                <w:webHidden/>
              </w:rPr>
              <w:fldChar w:fldCharType="separate"/>
            </w:r>
            <w:r w:rsidR="001D2AD9">
              <w:rPr>
                <w:noProof/>
                <w:webHidden/>
              </w:rPr>
              <w:t>48</w:t>
            </w:r>
            <w:r w:rsidR="001D2AD9">
              <w:rPr>
                <w:noProof/>
                <w:webHidden/>
              </w:rPr>
              <w:fldChar w:fldCharType="end"/>
            </w:r>
          </w:hyperlink>
        </w:p>
        <w:p w14:paraId="37B7F4FA" w14:textId="0684B1FF" w:rsidR="001D2AD9" w:rsidRDefault="00606403">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6143729" w:history="1">
            <w:r w:rsidR="001D2AD9" w:rsidRPr="00905C07">
              <w:rPr>
                <w:rStyle w:val="Hyperlink"/>
                <w:noProof/>
              </w:rPr>
              <w:t>Attachment 1. Product Information</w:t>
            </w:r>
            <w:r w:rsidR="001D2AD9">
              <w:rPr>
                <w:noProof/>
                <w:webHidden/>
              </w:rPr>
              <w:tab/>
            </w:r>
            <w:r w:rsidR="001D2AD9">
              <w:rPr>
                <w:noProof/>
                <w:webHidden/>
              </w:rPr>
              <w:fldChar w:fldCharType="begin"/>
            </w:r>
            <w:r w:rsidR="001D2AD9">
              <w:rPr>
                <w:noProof/>
                <w:webHidden/>
              </w:rPr>
              <w:instrText xml:space="preserve"> PAGEREF _Toc166143729 \h </w:instrText>
            </w:r>
            <w:r w:rsidR="001D2AD9">
              <w:rPr>
                <w:noProof/>
                <w:webHidden/>
              </w:rPr>
            </w:r>
            <w:r w:rsidR="001D2AD9">
              <w:rPr>
                <w:noProof/>
                <w:webHidden/>
              </w:rPr>
              <w:fldChar w:fldCharType="separate"/>
            </w:r>
            <w:r w:rsidR="001D2AD9">
              <w:rPr>
                <w:noProof/>
                <w:webHidden/>
              </w:rPr>
              <w:t>49</w:t>
            </w:r>
            <w:r w:rsidR="001D2AD9">
              <w:rPr>
                <w:noProof/>
                <w:webHidden/>
              </w:rPr>
              <w:fldChar w:fldCharType="end"/>
            </w:r>
          </w:hyperlink>
        </w:p>
        <w:p w14:paraId="77659F2D" w14:textId="273DF868"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1B2FF512" w:rsidR="00324B33" w:rsidRPr="00BD718B" w:rsidRDefault="00324B33" w:rsidP="00BD718B">
      <w:pPr>
        <w:pStyle w:val="Heading2"/>
      </w:pPr>
      <w:bookmarkStart w:id="0" w:name="_Toc98931917"/>
      <w:bookmarkStart w:id="1" w:name="_Toc103679287"/>
      <w:bookmarkStart w:id="2" w:name="_Toc166143700"/>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F866FA" w:rsidRPr="00D01DDB" w14:paraId="3FD7245C" w14:textId="77777777" w:rsidTr="004D45FE">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FB01CC2" w14:textId="77777777" w:rsidR="00F866FA" w:rsidRPr="00D01DDB" w:rsidRDefault="00F866FA" w:rsidP="004D45FE">
            <w:pPr>
              <w:rPr>
                <w:szCs w:val="22"/>
              </w:rPr>
            </w:pPr>
            <w:r w:rsidRPr="00D01DDB">
              <w:rPr>
                <w:szCs w:val="22"/>
              </w:rPr>
              <w:t>Abbreviation</w:t>
            </w:r>
          </w:p>
        </w:tc>
        <w:tc>
          <w:tcPr>
            <w:tcW w:w="3800" w:type="pct"/>
          </w:tcPr>
          <w:p w14:paraId="024C2FEC" w14:textId="77777777" w:rsidR="00F866FA" w:rsidRPr="00D01DDB" w:rsidRDefault="00F866FA" w:rsidP="004D45FE">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F866FA" w:rsidRPr="00D01DDB" w14:paraId="1438395C"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9ABD09" w14:textId="77777777" w:rsidR="00F866FA" w:rsidRPr="00D01DDB" w:rsidRDefault="00F866FA" w:rsidP="004D45FE">
            <w:pPr>
              <w:rPr>
                <w:szCs w:val="22"/>
              </w:rPr>
            </w:pPr>
            <w:r w:rsidRPr="00D01DDB">
              <w:rPr>
                <w:szCs w:val="22"/>
              </w:rPr>
              <w:t>ACM</w:t>
            </w:r>
          </w:p>
        </w:tc>
        <w:tc>
          <w:tcPr>
            <w:tcW w:w="3800" w:type="pct"/>
          </w:tcPr>
          <w:p w14:paraId="3A52C40F"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F866FA" w:rsidRPr="00D01DDB" w14:paraId="765B381B"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FD43F4" w14:textId="77777777" w:rsidR="00F866FA" w:rsidRDefault="00F866FA" w:rsidP="004D45FE">
            <w:pPr>
              <w:rPr>
                <w:szCs w:val="22"/>
              </w:rPr>
            </w:pPr>
            <w:r>
              <w:rPr>
                <w:szCs w:val="22"/>
              </w:rPr>
              <w:t>ADA</w:t>
            </w:r>
          </w:p>
        </w:tc>
        <w:tc>
          <w:tcPr>
            <w:tcW w:w="3800" w:type="pct"/>
          </w:tcPr>
          <w:p w14:paraId="4E24D70F"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Anti-drug antibody</w:t>
            </w:r>
          </w:p>
        </w:tc>
      </w:tr>
      <w:tr w:rsidR="00F866FA" w:rsidRPr="00D01DDB" w14:paraId="2003EB42"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8465F6" w14:textId="77777777" w:rsidR="00F866FA" w:rsidRDefault="00F866FA" w:rsidP="004D45FE">
            <w:pPr>
              <w:rPr>
                <w:szCs w:val="22"/>
              </w:rPr>
            </w:pPr>
            <w:r>
              <w:rPr>
                <w:szCs w:val="22"/>
              </w:rPr>
              <w:t>AE</w:t>
            </w:r>
          </w:p>
        </w:tc>
        <w:tc>
          <w:tcPr>
            <w:tcW w:w="3800" w:type="pct"/>
          </w:tcPr>
          <w:p w14:paraId="0648557A"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p>
        </w:tc>
      </w:tr>
      <w:tr w:rsidR="00F866FA" w:rsidRPr="00D01DDB" w14:paraId="036C62B9"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6516D2" w14:textId="77777777" w:rsidR="00F866FA" w:rsidRDefault="00F866FA" w:rsidP="004D45FE">
            <w:pPr>
              <w:rPr>
                <w:szCs w:val="22"/>
              </w:rPr>
            </w:pPr>
            <w:r>
              <w:rPr>
                <w:szCs w:val="22"/>
              </w:rPr>
              <w:t>AESI</w:t>
            </w:r>
          </w:p>
        </w:tc>
        <w:tc>
          <w:tcPr>
            <w:tcW w:w="3800" w:type="pct"/>
          </w:tcPr>
          <w:p w14:paraId="2E2959F2"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F771A9">
              <w:t>Adverse events of special interest</w:t>
            </w:r>
          </w:p>
        </w:tc>
      </w:tr>
      <w:tr w:rsidR="00F866FA" w:rsidRPr="00D01DDB" w14:paraId="003A360F"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140375" w14:textId="77777777" w:rsidR="00F866FA" w:rsidRDefault="00F866FA" w:rsidP="004D45FE">
            <w:pPr>
              <w:rPr>
                <w:szCs w:val="22"/>
              </w:rPr>
            </w:pPr>
            <w:r>
              <w:rPr>
                <w:szCs w:val="22"/>
              </w:rPr>
              <w:t>AMR</w:t>
            </w:r>
          </w:p>
        </w:tc>
        <w:tc>
          <w:tcPr>
            <w:tcW w:w="3800" w:type="pct"/>
          </w:tcPr>
          <w:p w14:paraId="4AD59ECF"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D835C6">
              <w:rPr>
                <w:szCs w:val="22"/>
              </w:rPr>
              <w:t>ntibody-mediated rejection</w:t>
            </w:r>
          </w:p>
        </w:tc>
      </w:tr>
      <w:tr w:rsidR="00F866FA" w:rsidRPr="00D01DDB" w14:paraId="28DFCAA1"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387C2B" w14:textId="77777777" w:rsidR="00F866FA" w:rsidRPr="00D01DDB" w:rsidRDefault="00F866FA" w:rsidP="004D45FE">
            <w:pPr>
              <w:rPr>
                <w:szCs w:val="22"/>
              </w:rPr>
            </w:pPr>
            <w:r w:rsidRPr="00D01DDB">
              <w:rPr>
                <w:szCs w:val="22"/>
              </w:rPr>
              <w:t>ARTG</w:t>
            </w:r>
          </w:p>
        </w:tc>
        <w:tc>
          <w:tcPr>
            <w:tcW w:w="3800" w:type="pct"/>
          </w:tcPr>
          <w:p w14:paraId="16006999"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F866FA" w:rsidRPr="00D01DDB" w14:paraId="30D3EE43"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6D573C" w14:textId="77777777" w:rsidR="00F866FA" w:rsidRPr="00D01DDB" w:rsidRDefault="00F866FA" w:rsidP="004D45FE">
            <w:pPr>
              <w:rPr>
                <w:szCs w:val="22"/>
              </w:rPr>
            </w:pPr>
            <w:r w:rsidRPr="00D01DDB">
              <w:rPr>
                <w:szCs w:val="22"/>
              </w:rPr>
              <w:t>ASA</w:t>
            </w:r>
          </w:p>
        </w:tc>
        <w:tc>
          <w:tcPr>
            <w:tcW w:w="3800" w:type="pct"/>
          </w:tcPr>
          <w:p w14:paraId="79B85CFA"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F866FA" w:rsidRPr="00D01DDB" w14:paraId="169CC307"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685B87" w14:textId="77777777" w:rsidR="00F866FA" w:rsidRDefault="00F866FA" w:rsidP="004D45FE">
            <w:pPr>
              <w:rPr>
                <w:szCs w:val="22"/>
              </w:rPr>
            </w:pPr>
            <w:r>
              <w:rPr>
                <w:szCs w:val="22"/>
              </w:rPr>
              <w:t>BCR</w:t>
            </w:r>
          </w:p>
        </w:tc>
        <w:tc>
          <w:tcPr>
            <w:tcW w:w="3800" w:type="pct"/>
          </w:tcPr>
          <w:p w14:paraId="378C260E"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B-cell receptor</w:t>
            </w:r>
          </w:p>
        </w:tc>
      </w:tr>
      <w:tr w:rsidR="00F866FA" w:rsidRPr="00D01DDB" w14:paraId="39A5EDE8"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F29227" w14:textId="77777777" w:rsidR="00F866FA" w:rsidRDefault="00F866FA" w:rsidP="004D45FE">
            <w:pPr>
              <w:rPr>
                <w:szCs w:val="22"/>
              </w:rPr>
            </w:pPr>
            <w:r>
              <w:rPr>
                <w:szCs w:val="22"/>
              </w:rPr>
              <w:t>BMI</w:t>
            </w:r>
          </w:p>
        </w:tc>
        <w:tc>
          <w:tcPr>
            <w:tcW w:w="3800" w:type="pct"/>
          </w:tcPr>
          <w:p w14:paraId="72DD94E4"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Body mass index</w:t>
            </w:r>
          </w:p>
        </w:tc>
      </w:tr>
      <w:tr w:rsidR="00F866FA" w:rsidRPr="00D01DDB" w14:paraId="4B4873B7"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A4B985" w14:textId="77777777" w:rsidR="00F866FA" w:rsidRPr="00D01DDB" w:rsidRDefault="00F866FA" w:rsidP="004D45FE">
            <w:pPr>
              <w:rPr>
                <w:szCs w:val="22"/>
              </w:rPr>
            </w:pPr>
            <w:r>
              <w:rPr>
                <w:szCs w:val="22"/>
              </w:rPr>
              <w:t>CDC</w:t>
            </w:r>
          </w:p>
        </w:tc>
        <w:tc>
          <w:tcPr>
            <w:tcW w:w="3800" w:type="pct"/>
          </w:tcPr>
          <w:p w14:paraId="236DEDCC"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C</w:t>
            </w:r>
            <w:r w:rsidRPr="00EF147A">
              <w:t>omplement-dependent cytotoxicity</w:t>
            </w:r>
          </w:p>
        </w:tc>
      </w:tr>
      <w:tr w:rsidR="00F866FA" w:rsidRPr="00D01DDB" w14:paraId="782E9DB5"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8C0DB2" w14:textId="77777777" w:rsidR="00F866FA" w:rsidRPr="00D01DDB" w:rsidRDefault="00F866FA" w:rsidP="004D45FE">
            <w:pPr>
              <w:rPr>
                <w:szCs w:val="22"/>
              </w:rPr>
            </w:pPr>
            <w:r>
              <w:rPr>
                <w:szCs w:val="22"/>
              </w:rPr>
              <w:t>CDCXM</w:t>
            </w:r>
          </w:p>
        </w:tc>
        <w:tc>
          <w:tcPr>
            <w:tcW w:w="3800" w:type="pct"/>
          </w:tcPr>
          <w:p w14:paraId="58F633D0" w14:textId="7B7D6003"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C</w:t>
            </w:r>
            <w:r w:rsidRPr="00EF147A">
              <w:t>omplement-dependent</w:t>
            </w:r>
            <w:r>
              <w:t xml:space="preserve"> cy</w:t>
            </w:r>
            <w:r w:rsidR="00F15FF8">
              <w:t>to</w:t>
            </w:r>
            <w:r>
              <w:t>toxicity cross match</w:t>
            </w:r>
          </w:p>
        </w:tc>
      </w:tr>
      <w:tr w:rsidR="00F866FA" w:rsidRPr="00D01DDB" w14:paraId="138AB053"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651F38" w14:textId="77777777" w:rsidR="00F866FA" w:rsidRDefault="00F866FA" w:rsidP="004D45FE">
            <w:pPr>
              <w:rPr>
                <w:szCs w:val="22"/>
              </w:rPr>
            </w:pPr>
            <w:r>
              <w:rPr>
                <w:szCs w:val="22"/>
              </w:rPr>
              <w:t>CKD</w:t>
            </w:r>
          </w:p>
        </w:tc>
        <w:tc>
          <w:tcPr>
            <w:tcW w:w="3800" w:type="pct"/>
          </w:tcPr>
          <w:p w14:paraId="556B6190"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Chronic kidney disease</w:t>
            </w:r>
          </w:p>
        </w:tc>
      </w:tr>
      <w:tr w:rsidR="00F866FA" w:rsidRPr="00D01DDB" w14:paraId="564FA95A"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9B1FEA" w14:textId="77777777" w:rsidR="00F866FA" w:rsidRDefault="00F866FA" w:rsidP="004D45FE">
            <w:pPr>
              <w:rPr>
                <w:szCs w:val="22"/>
              </w:rPr>
            </w:pPr>
            <w:r>
              <w:rPr>
                <w:szCs w:val="22"/>
              </w:rPr>
              <w:t>C</w:t>
            </w:r>
            <w:r w:rsidRPr="008D1B06">
              <w:rPr>
                <w:szCs w:val="22"/>
                <w:vertAlign w:val="subscript"/>
              </w:rPr>
              <w:t>max</w:t>
            </w:r>
          </w:p>
        </w:tc>
        <w:tc>
          <w:tcPr>
            <w:tcW w:w="3800" w:type="pct"/>
          </w:tcPr>
          <w:p w14:paraId="3C2443F4"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Maximum concentration</w:t>
            </w:r>
          </w:p>
        </w:tc>
      </w:tr>
      <w:tr w:rsidR="00F866FA" w:rsidRPr="00D01DDB" w14:paraId="6B4839B6"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20C700" w14:textId="77777777" w:rsidR="00F866FA" w:rsidRPr="00D01DDB" w:rsidRDefault="00F866FA" w:rsidP="004D45FE">
            <w:pPr>
              <w:rPr>
                <w:szCs w:val="22"/>
              </w:rPr>
            </w:pPr>
            <w:r w:rsidRPr="00D01DDB">
              <w:rPr>
                <w:szCs w:val="22"/>
              </w:rPr>
              <w:t>CMI</w:t>
            </w:r>
          </w:p>
        </w:tc>
        <w:tc>
          <w:tcPr>
            <w:tcW w:w="3800" w:type="pct"/>
          </w:tcPr>
          <w:p w14:paraId="097F14A8"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F866FA" w:rsidRPr="00D01DDB" w14:paraId="1FA10B65"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DADC4C" w14:textId="77777777" w:rsidR="00F866FA" w:rsidRPr="00D01DDB" w:rsidRDefault="00F866FA" w:rsidP="004D45FE">
            <w:pPr>
              <w:rPr>
                <w:szCs w:val="22"/>
              </w:rPr>
            </w:pPr>
            <w:r>
              <w:rPr>
                <w:szCs w:val="22"/>
              </w:rPr>
              <w:t>cPRA</w:t>
            </w:r>
          </w:p>
        </w:tc>
        <w:tc>
          <w:tcPr>
            <w:tcW w:w="3800" w:type="pct"/>
          </w:tcPr>
          <w:p w14:paraId="03424015"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C</w:t>
            </w:r>
            <w:r w:rsidRPr="00EF147A">
              <w:t>alculated panel reactive antibody</w:t>
            </w:r>
          </w:p>
        </w:tc>
      </w:tr>
      <w:tr w:rsidR="00F866FA" w:rsidRPr="00D01DDB" w14:paraId="6D15F451"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3EEA27" w14:textId="77777777" w:rsidR="00F866FA" w:rsidRDefault="00F866FA" w:rsidP="004D45FE">
            <w:pPr>
              <w:rPr>
                <w:szCs w:val="22"/>
              </w:rPr>
            </w:pPr>
            <w:r>
              <w:rPr>
                <w:szCs w:val="22"/>
              </w:rPr>
              <w:t>CV</w:t>
            </w:r>
          </w:p>
        </w:tc>
        <w:tc>
          <w:tcPr>
            <w:tcW w:w="3800" w:type="pct"/>
          </w:tcPr>
          <w:p w14:paraId="08A99717"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C</w:t>
            </w:r>
            <w:r w:rsidRPr="006648A3">
              <w:t>oefficient of variation</w:t>
            </w:r>
          </w:p>
        </w:tc>
      </w:tr>
      <w:tr w:rsidR="00F866FA" w:rsidRPr="00D01DDB" w14:paraId="5410BFAA"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4AC106" w14:textId="77777777" w:rsidR="00F866FA" w:rsidRPr="00D01DDB" w:rsidRDefault="00F866FA" w:rsidP="004D45FE">
            <w:pPr>
              <w:rPr>
                <w:szCs w:val="22"/>
              </w:rPr>
            </w:pPr>
            <w:r>
              <w:rPr>
                <w:szCs w:val="22"/>
              </w:rPr>
              <w:t>CXM</w:t>
            </w:r>
          </w:p>
        </w:tc>
        <w:tc>
          <w:tcPr>
            <w:tcW w:w="3800" w:type="pct"/>
          </w:tcPr>
          <w:p w14:paraId="14DBEC9B"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Cross match</w:t>
            </w:r>
          </w:p>
        </w:tc>
      </w:tr>
      <w:tr w:rsidR="00F866FA" w:rsidRPr="00D01DDB" w14:paraId="1EDC0FBC"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95AFEE" w14:textId="77777777" w:rsidR="00F866FA" w:rsidRPr="00D01DDB" w:rsidRDefault="00F866FA" w:rsidP="004D45FE">
            <w:pPr>
              <w:rPr>
                <w:szCs w:val="22"/>
              </w:rPr>
            </w:pPr>
            <w:r w:rsidRPr="00D01DDB">
              <w:rPr>
                <w:szCs w:val="22"/>
              </w:rPr>
              <w:t>DLP</w:t>
            </w:r>
          </w:p>
        </w:tc>
        <w:tc>
          <w:tcPr>
            <w:tcW w:w="3800" w:type="pct"/>
          </w:tcPr>
          <w:p w14:paraId="068B08C5"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F866FA" w:rsidRPr="00D01DDB" w14:paraId="307F1A21"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54728A" w14:textId="77777777" w:rsidR="00F866FA" w:rsidRDefault="00F866FA" w:rsidP="004D45FE">
            <w:pPr>
              <w:rPr>
                <w:szCs w:val="22"/>
              </w:rPr>
            </w:pPr>
            <w:r>
              <w:rPr>
                <w:szCs w:val="22"/>
              </w:rPr>
              <w:t>DSA</w:t>
            </w:r>
          </w:p>
        </w:tc>
        <w:tc>
          <w:tcPr>
            <w:tcW w:w="3800" w:type="pct"/>
          </w:tcPr>
          <w:p w14:paraId="71BB10C4"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E4287">
              <w:t>Donor specific antibod</w:t>
            </w:r>
            <w:r>
              <w:t>y</w:t>
            </w:r>
          </w:p>
        </w:tc>
      </w:tr>
      <w:tr w:rsidR="00F866FA" w:rsidRPr="00D01DDB" w14:paraId="5E07D8EF"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1A1F42" w14:textId="77777777" w:rsidR="00F866FA" w:rsidRDefault="00F866FA" w:rsidP="004D45FE">
            <w:pPr>
              <w:rPr>
                <w:szCs w:val="22"/>
              </w:rPr>
            </w:pPr>
            <w:r>
              <w:rPr>
                <w:szCs w:val="22"/>
              </w:rPr>
              <w:t>ESRD</w:t>
            </w:r>
          </w:p>
        </w:tc>
        <w:tc>
          <w:tcPr>
            <w:tcW w:w="3800" w:type="pct"/>
          </w:tcPr>
          <w:p w14:paraId="602DF473"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E</w:t>
            </w:r>
            <w:r w:rsidRPr="002B0603">
              <w:t>nd-stage renal disease</w:t>
            </w:r>
          </w:p>
        </w:tc>
      </w:tr>
      <w:tr w:rsidR="00CC671F" w:rsidRPr="00D01DDB" w14:paraId="435E6922"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E9A113" w14:textId="09A36A8E" w:rsidR="00CC671F" w:rsidRDefault="00CC671F" w:rsidP="004D45FE">
            <w:pPr>
              <w:rPr>
                <w:szCs w:val="22"/>
              </w:rPr>
            </w:pPr>
            <w:r>
              <w:rPr>
                <w:szCs w:val="22"/>
              </w:rPr>
              <w:t>EU</w:t>
            </w:r>
          </w:p>
        </w:tc>
        <w:tc>
          <w:tcPr>
            <w:tcW w:w="3800" w:type="pct"/>
          </w:tcPr>
          <w:p w14:paraId="44D53BA8" w14:textId="23029D27" w:rsidR="00CC671F" w:rsidRDefault="00CC671F" w:rsidP="004D45FE">
            <w:pPr>
              <w:cnfStyle w:val="000000000000" w:firstRow="0" w:lastRow="0" w:firstColumn="0" w:lastColumn="0" w:oddVBand="0" w:evenVBand="0" w:oddHBand="0" w:evenHBand="0" w:firstRowFirstColumn="0" w:firstRowLastColumn="0" w:lastRowFirstColumn="0" w:lastRowLastColumn="0"/>
            </w:pPr>
            <w:r>
              <w:t>European Union</w:t>
            </w:r>
          </w:p>
        </w:tc>
      </w:tr>
      <w:tr w:rsidR="00F866FA" w:rsidRPr="00D01DDB" w14:paraId="7D2C4084"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1A3E02" w14:textId="77777777" w:rsidR="00F866FA" w:rsidRPr="00D01DDB" w:rsidRDefault="00F866FA" w:rsidP="004D45FE">
            <w:pPr>
              <w:rPr>
                <w:szCs w:val="22"/>
              </w:rPr>
            </w:pPr>
            <w:r>
              <w:rPr>
                <w:szCs w:val="22"/>
              </w:rPr>
              <w:t>FCXM</w:t>
            </w:r>
          </w:p>
        </w:tc>
        <w:tc>
          <w:tcPr>
            <w:tcW w:w="3800" w:type="pct"/>
          </w:tcPr>
          <w:p w14:paraId="7FC9D639"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F</w:t>
            </w:r>
            <w:r w:rsidRPr="00EF147A">
              <w:t>low cytometry</w:t>
            </w:r>
            <w:r>
              <w:t xml:space="preserve"> cross match</w:t>
            </w:r>
          </w:p>
        </w:tc>
      </w:tr>
      <w:tr w:rsidR="00F866FA" w:rsidRPr="00D01DDB" w14:paraId="61F1E333"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B3F2E1" w14:textId="77777777" w:rsidR="00F866FA" w:rsidRPr="00D01DDB" w:rsidRDefault="00F866FA" w:rsidP="004D45FE">
            <w:pPr>
              <w:rPr>
                <w:szCs w:val="22"/>
              </w:rPr>
            </w:pPr>
            <w:r>
              <w:rPr>
                <w:szCs w:val="22"/>
              </w:rPr>
              <w:t>HLA</w:t>
            </w:r>
          </w:p>
        </w:tc>
        <w:tc>
          <w:tcPr>
            <w:tcW w:w="3800" w:type="pct"/>
          </w:tcPr>
          <w:p w14:paraId="03795D03"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Human leukocyte antigen</w:t>
            </w:r>
          </w:p>
        </w:tc>
      </w:tr>
      <w:tr w:rsidR="00F866FA" w:rsidRPr="00D01DDB" w14:paraId="63637FF9"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A614B0" w14:textId="77777777" w:rsidR="00F866FA" w:rsidRPr="00D01DDB" w:rsidRDefault="00F866FA" w:rsidP="004D45FE">
            <w:pPr>
              <w:rPr>
                <w:szCs w:val="22"/>
              </w:rPr>
            </w:pPr>
            <w:r>
              <w:rPr>
                <w:szCs w:val="22"/>
              </w:rPr>
              <w:t>HUT</w:t>
            </w:r>
          </w:p>
        </w:tc>
        <w:tc>
          <w:tcPr>
            <w:tcW w:w="3800" w:type="pct"/>
          </w:tcPr>
          <w:p w14:paraId="597472C3"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H</w:t>
            </w:r>
            <w:r w:rsidRPr="00EF147A">
              <w:t>ighly unlikely to be transplanted</w:t>
            </w:r>
          </w:p>
        </w:tc>
      </w:tr>
      <w:tr w:rsidR="00F866FA" w:rsidRPr="00D01DDB" w14:paraId="4F1AEC3C"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1EFEDC" w14:textId="77777777" w:rsidR="00F866FA" w:rsidRPr="00D01DDB" w:rsidRDefault="00F866FA" w:rsidP="004D45FE">
            <w:pPr>
              <w:rPr>
                <w:szCs w:val="22"/>
              </w:rPr>
            </w:pPr>
            <w:r>
              <w:rPr>
                <w:szCs w:val="22"/>
              </w:rPr>
              <w:t>IgG</w:t>
            </w:r>
          </w:p>
        </w:tc>
        <w:tc>
          <w:tcPr>
            <w:tcW w:w="3800" w:type="pct"/>
          </w:tcPr>
          <w:p w14:paraId="3C2413DD"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Immunoglobulin G</w:t>
            </w:r>
          </w:p>
        </w:tc>
      </w:tr>
      <w:tr w:rsidR="00F866FA" w:rsidRPr="00D01DDB" w14:paraId="088F6AB7"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E5A9AA" w14:textId="77777777" w:rsidR="00F866FA" w:rsidRPr="00D01DDB" w:rsidRDefault="00F866FA" w:rsidP="004D45FE">
            <w:pPr>
              <w:rPr>
                <w:szCs w:val="22"/>
              </w:rPr>
            </w:pPr>
            <w:r w:rsidRPr="00EF147A">
              <w:t>IVIg</w:t>
            </w:r>
          </w:p>
        </w:tc>
        <w:tc>
          <w:tcPr>
            <w:tcW w:w="3800" w:type="pct"/>
          </w:tcPr>
          <w:p w14:paraId="43AABFDD"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I</w:t>
            </w:r>
            <w:r w:rsidRPr="000179FA">
              <w:t>ntravenous immunoglobulin</w:t>
            </w:r>
          </w:p>
        </w:tc>
      </w:tr>
      <w:tr w:rsidR="00F866FA" w:rsidRPr="00D01DDB" w14:paraId="498C2D67"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FD9167" w14:textId="77777777" w:rsidR="00F866FA" w:rsidRPr="00D01DDB" w:rsidRDefault="00F866FA" w:rsidP="004D45FE">
            <w:pPr>
              <w:rPr>
                <w:szCs w:val="22"/>
              </w:rPr>
            </w:pPr>
            <w:r>
              <w:rPr>
                <w:szCs w:val="22"/>
              </w:rPr>
              <w:t>MFI</w:t>
            </w:r>
          </w:p>
        </w:tc>
        <w:tc>
          <w:tcPr>
            <w:tcW w:w="3800" w:type="pct"/>
          </w:tcPr>
          <w:p w14:paraId="1ABFC242"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M</w:t>
            </w:r>
            <w:r w:rsidRPr="00EF147A">
              <w:t>ean fluorescence intensity</w:t>
            </w:r>
          </w:p>
        </w:tc>
      </w:tr>
      <w:tr w:rsidR="00F866FA" w:rsidRPr="00D01DDB" w14:paraId="7392FCA6"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B69C14" w14:textId="77777777" w:rsidR="00F866FA" w:rsidRDefault="00F866FA" w:rsidP="004D45FE">
            <w:pPr>
              <w:rPr>
                <w:szCs w:val="22"/>
              </w:rPr>
            </w:pPr>
            <w:r>
              <w:rPr>
                <w:szCs w:val="22"/>
              </w:rPr>
              <w:t>PD</w:t>
            </w:r>
          </w:p>
        </w:tc>
        <w:tc>
          <w:tcPr>
            <w:tcW w:w="3800" w:type="pct"/>
          </w:tcPr>
          <w:p w14:paraId="758E6A5A"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Pharmacodynamic(s)</w:t>
            </w:r>
          </w:p>
        </w:tc>
      </w:tr>
      <w:tr w:rsidR="00F866FA" w:rsidRPr="00D01DDB" w14:paraId="5A19C9C5"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F3532E" w14:textId="77777777" w:rsidR="00F866FA" w:rsidRPr="00D01DDB" w:rsidRDefault="00F866FA" w:rsidP="004D45FE">
            <w:pPr>
              <w:rPr>
                <w:szCs w:val="22"/>
              </w:rPr>
            </w:pPr>
            <w:r>
              <w:rPr>
                <w:szCs w:val="22"/>
              </w:rPr>
              <w:t xml:space="preserve">Ph. </w:t>
            </w:r>
            <w:proofErr w:type="spellStart"/>
            <w:r>
              <w:rPr>
                <w:szCs w:val="22"/>
              </w:rPr>
              <w:t>Eur</w:t>
            </w:r>
            <w:proofErr w:type="spellEnd"/>
          </w:p>
        </w:tc>
        <w:tc>
          <w:tcPr>
            <w:tcW w:w="3800" w:type="pct"/>
          </w:tcPr>
          <w:p w14:paraId="59CAF4AF"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8D1B06">
              <w:rPr>
                <w:szCs w:val="22"/>
              </w:rPr>
              <w:t>European Pharmacopoeia</w:t>
            </w:r>
          </w:p>
        </w:tc>
      </w:tr>
      <w:tr w:rsidR="00F866FA" w:rsidRPr="00D01DDB" w14:paraId="7C5F6258"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5E6F7F" w14:textId="77777777" w:rsidR="00F866FA" w:rsidRPr="00D01DDB" w:rsidRDefault="00F866FA" w:rsidP="004D45FE">
            <w:pPr>
              <w:rPr>
                <w:szCs w:val="22"/>
              </w:rPr>
            </w:pPr>
            <w:r w:rsidRPr="00D01DDB">
              <w:rPr>
                <w:szCs w:val="22"/>
              </w:rPr>
              <w:t>PI</w:t>
            </w:r>
          </w:p>
        </w:tc>
        <w:tc>
          <w:tcPr>
            <w:tcW w:w="3800" w:type="pct"/>
          </w:tcPr>
          <w:p w14:paraId="03E82851"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F866FA" w:rsidRPr="00D01DDB" w14:paraId="6A49F783"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4CCFA3" w14:textId="77777777" w:rsidR="00F866FA" w:rsidRDefault="00F866FA" w:rsidP="004D45FE">
            <w:pPr>
              <w:rPr>
                <w:szCs w:val="22"/>
              </w:rPr>
            </w:pPr>
            <w:r>
              <w:rPr>
                <w:szCs w:val="22"/>
              </w:rPr>
              <w:t>PK</w:t>
            </w:r>
          </w:p>
        </w:tc>
        <w:tc>
          <w:tcPr>
            <w:tcW w:w="3800" w:type="pct"/>
          </w:tcPr>
          <w:p w14:paraId="07C6A238"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F866FA" w:rsidRPr="00D01DDB" w14:paraId="5148D41C"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A94D22" w14:textId="77777777" w:rsidR="00F866FA" w:rsidRDefault="00F866FA" w:rsidP="004D45FE">
            <w:pPr>
              <w:rPr>
                <w:szCs w:val="22"/>
              </w:rPr>
            </w:pPr>
            <w:r>
              <w:rPr>
                <w:szCs w:val="22"/>
              </w:rPr>
              <w:t>PRA</w:t>
            </w:r>
          </w:p>
        </w:tc>
        <w:tc>
          <w:tcPr>
            <w:tcW w:w="3800" w:type="pct"/>
          </w:tcPr>
          <w:p w14:paraId="2400E473"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P</w:t>
            </w:r>
            <w:r w:rsidRPr="00D83DB7">
              <w:t>anel reactive antibody</w:t>
            </w:r>
          </w:p>
        </w:tc>
      </w:tr>
      <w:tr w:rsidR="00F866FA" w:rsidRPr="00D01DDB" w14:paraId="25C951A5"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FE292F" w14:textId="77777777" w:rsidR="00F866FA" w:rsidRPr="00D01DDB" w:rsidRDefault="00F866FA" w:rsidP="004D45FE">
            <w:pPr>
              <w:rPr>
                <w:szCs w:val="22"/>
              </w:rPr>
            </w:pPr>
            <w:r w:rsidRPr="00D01DDB">
              <w:rPr>
                <w:szCs w:val="22"/>
              </w:rPr>
              <w:lastRenderedPageBreak/>
              <w:t>PSUR</w:t>
            </w:r>
          </w:p>
        </w:tc>
        <w:tc>
          <w:tcPr>
            <w:tcW w:w="3800" w:type="pct"/>
          </w:tcPr>
          <w:p w14:paraId="3E7EE94F"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F866FA" w:rsidRPr="00D01DDB" w14:paraId="2B2D6CC1"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4DE788" w14:textId="77777777" w:rsidR="00F866FA" w:rsidRPr="00D01DDB" w:rsidRDefault="00F866FA" w:rsidP="004D45FE">
            <w:pPr>
              <w:rPr>
                <w:szCs w:val="22"/>
              </w:rPr>
            </w:pPr>
            <w:r w:rsidRPr="00D01DDB">
              <w:rPr>
                <w:szCs w:val="22"/>
              </w:rPr>
              <w:t>RMP</w:t>
            </w:r>
          </w:p>
        </w:tc>
        <w:tc>
          <w:tcPr>
            <w:tcW w:w="3800" w:type="pct"/>
          </w:tcPr>
          <w:p w14:paraId="42B815E9"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F866FA" w:rsidRPr="00D01DDB" w14:paraId="5A777AB0"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B1EB2E" w14:textId="77777777" w:rsidR="00F866FA" w:rsidRDefault="00F866FA" w:rsidP="004D45FE">
            <w:pPr>
              <w:rPr>
                <w:szCs w:val="22"/>
              </w:rPr>
            </w:pPr>
            <w:r>
              <w:rPr>
                <w:szCs w:val="22"/>
              </w:rPr>
              <w:t>SAB</w:t>
            </w:r>
          </w:p>
        </w:tc>
        <w:tc>
          <w:tcPr>
            <w:tcW w:w="3800" w:type="pct"/>
          </w:tcPr>
          <w:p w14:paraId="2C97E6A1"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Single antigen bead</w:t>
            </w:r>
          </w:p>
        </w:tc>
      </w:tr>
      <w:tr w:rsidR="00F866FA" w:rsidRPr="00D01DDB" w14:paraId="71FF8056"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AAA7BA" w14:textId="77777777" w:rsidR="00F866FA" w:rsidRDefault="00F866FA" w:rsidP="004D45FE">
            <w:pPr>
              <w:rPr>
                <w:szCs w:val="22"/>
              </w:rPr>
            </w:pPr>
            <w:r>
              <w:rPr>
                <w:szCs w:val="22"/>
              </w:rPr>
              <w:t>SAE</w:t>
            </w:r>
          </w:p>
        </w:tc>
        <w:tc>
          <w:tcPr>
            <w:tcW w:w="3800" w:type="pct"/>
          </w:tcPr>
          <w:p w14:paraId="11F152BB"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Serious adverse event</w:t>
            </w:r>
          </w:p>
        </w:tc>
      </w:tr>
      <w:tr w:rsidR="00F866FA" w:rsidRPr="00D01DDB" w14:paraId="6329DC48"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EB4A1E" w14:textId="77777777" w:rsidR="00F866FA" w:rsidRDefault="00F866FA" w:rsidP="004D45FE">
            <w:pPr>
              <w:rPr>
                <w:szCs w:val="22"/>
              </w:rPr>
            </w:pPr>
            <w:proofErr w:type="spellStart"/>
            <w:r>
              <w:rPr>
                <w:szCs w:val="22"/>
              </w:rPr>
              <w:t>scIgG</w:t>
            </w:r>
            <w:proofErr w:type="spellEnd"/>
          </w:p>
        </w:tc>
        <w:tc>
          <w:tcPr>
            <w:tcW w:w="3800" w:type="pct"/>
          </w:tcPr>
          <w:p w14:paraId="6A8749DF"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Single chain IgG</w:t>
            </w:r>
          </w:p>
        </w:tc>
      </w:tr>
      <w:tr w:rsidR="00F866FA" w:rsidRPr="00D01DDB" w14:paraId="2DB38EBD"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F4A20D" w14:textId="77777777" w:rsidR="00F866FA" w:rsidRDefault="00F866FA" w:rsidP="004D45FE">
            <w:pPr>
              <w:rPr>
                <w:szCs w:val="22"/>
              </w:rPr>
            </w:pPr>
            <w:r>
              <w:t>t½</w:t>
            </w:r>
          </w:p>
        </w:tc>
        <w:tc>
          <w:tcPr>
            <w:tcW w:w="3800" w:type="pct"/>
          </w:tcPr>
          <w:p w14:paraId="5EF9BC24"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Pr>
                <w:szCs w:val="22"/>
              </w:rPr>
              <w:t>Half life</w:t>
            </w:r>
          </w:p>
        </w:tc>
      </w:tr>
      <w:tr w:rsidR="00F866FA" w:rsidRPr="00D01DDB" w14:paraId="2B1B8488"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77C472" w14:textId="77777777" w:rsidR="00F866FA" w:rsidRDefault="00F866FA" w:rsidP="004D45FE">
            <w:pPr>
              <w:rPr>
                <w:szCs w:val="22"/>
              </w:rPr>
            </w:pPr>
            <w:r>
              <w:rPr>
                <w:szCs w:val="22"/>
              </w:rPr>
              <w:t>TEAE</w:t>
            </w:r>
          </w:p>
        </w:tc>
        <w:tc>
          <w:tcPr>
            <w:tcW w:w="3800" w:type="pct"/>
          </w:tcPr>
          <w:p w14:paraId="79B836CE"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T</w:t>
            </w:r>
            <w:r w:rsidRPr="00F771A9">
              <w:t>reatment related adverse event</w:t>
            </w:r>
          </w:p>
        </w:tc>
      </w:tr>
      <w:tr w:rsidR="00F866FA" w:rsidRPr="00D01DDB" w14:paraId="66BA3AF6"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B82D72" w14:textId="77777777" w:rsidR="00F866FA" w:rsidRPr="00D01DDB" w:rsidRDefault="00F866FA" w:rsidP="004D45FE">
            <w:pPr>
              <w:rPr>
                <w:szCs w:val="22"/>
              </w:rPr>
            </w:pPr>
            <w:r w:rsidRPr="00D01DDB">
              <w:rPr>
                <w:szCs w:val="22"/>
              </w:rPr>
              <w:t>TGA</w:t>
            </w:r>
          </w:p>
        </w:tc>
        <w:tc>
          <w:tcPr>
            <w:tcW w:w="3800" w:type="pct"/>
          </w:tcPr>
          <w:p w14:paraId="09B458AB" w14:textId="77777777" w:rsidR="00F866FA" w:rsidRPr="00D01DDB"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F866FA" w:rsidRPr="00D01DDB" w14:paraId="01CDB094"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74DAF8" w14:textId="77777777" w:rsidR="00F866FA" w:rsidRDefault="00F866FA" w:rsidP="004D45FE">
            <w:pPr>
              <w:rPr>
                <w:szCs w:val="22"/>
              </w:rPr>
            </w:pPr>
            <w:proofErr w:type="spellStart"/>
            <w:r>
              <w:rPr>
                <w:szCs w:val="22"/>
              </w:rPr>
              <w:t>Vc</w:t>
            </w:r>
            <w:proofErr w:type="spellEnd"/>
          </w:p>
        </w:tc>
        <w:tc>
          <w:tcPr>
            <w:tcW w:w="3800" w:type="pct"/>
          </w:tcPr>
          <w:p w14:paraId="4B010946"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Central volume of distribution</w:t>
            </w:r>
          </w:p>
        </w:tc>
      </w:tr>
      <w:tr w:rsidR="00F866FA" w:rsidRPr="00D01DDB" w14:paraId="07EF2EE7"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FBD1B1" w14:textId="77777777" w:rsidR="00F866FA" w:rsidRDefault="00F866FA" w:rsidP="004D45FE">
            <w:pPr>
              <w:rPr>
                <w:szCs w:val="22"/>
              </w:rPr>
            </w:pPr>
            <w:proofErr w:type="spellStart"/>
            <w:r>
              <w:rPr>
                <w:szCs w:val="22"/>
              </w:rPr>
              <w:t>Vp</w:t>
            </w:r>
            <w:proofErr w:type="spellEnd"/>
          </w:p>
        </w:tc>
        <w:tc>
          <w:tcPr>
            <w:tcW w:w="3800" w:type="pct"/>
          </w:tcPr>
          <w:p w14:paraId="39A8486C"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Volume of distribution</w:t>
            </w:r>
          </w:p>
        </w:tc>
      </w:tr>
      <w:tr w:rsidR="00F866FA" w:rsidRPr="00D01DDB" w14:paraId="5333F317" w14:textId="77777777" w:rsidTr="004D45FE">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E71B52" w14:textId="77777777" w:rsidR="00F866FA" w:rsidRDefault="00F866FA" w:rsidP="004D45FE">
            <w:pPr>
              <w:rPr>
                <w:szCs w:val="22"/>
              </w:rPr>
            </w:pPr>
            <w:proofErr w:type="spellStart"/>
            <w:r>
              <w:rPr>
                <w:szCs w:val="22"/>
              </w:rPr>
              <w:t>Vz</w:t>
            </w:r>
            <w:proofErr w:type="spellEnd"/>
          </w:p>
        </w:tc>
        <w:tc>
          <w:tcPr>
            <w:tcW w:w="3800" w:type="pct"/>
          </w:tcPr>
          <w:p w14:paraId="26101CF7" w14:textId="77777777" w:rsidR="00F866FA" w:rsidRDefault="00F866FA" w:rsidP="004D45FE">
            <w:pPr>
              <w:cnfStyle w:val="000000000000" w:firstRow="0" w:lastRow="0" w:firstColumn="0" w:lastColumn="0" w:oddVBand="0" w:evenVBand="0" w:oddHBand="0" w:evenHBand="0" w:firstRowFirstColumn="0" w:firstRowLastColumn="0" w:lastRowFirstColumn="0" w:lastRowLastColumn="0"/>
              <w:rPr>
                <w:szCs w:val="22"/>
              </w:rPr>
            </w:pPr>
            <w:r>
              <w:t>Volume of distribution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66143701"/>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66143702"/>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3C4028C4" w:rsidR="00324B33" w:rsidRPr="00BD5DBD" w:rsidRDefault="00324B33" w:rsidP="007452E8">
            <w:pPr>
              <w:rPr>
                <w:szCs w:val="22"/>
              </w:rPr>
            </w:pPr>
            <w:bookmarkStart w:id="11" w:name="_Hlk167347670"/>
            <w:r w:rsidRPr="00BD5DBD">
              <w:rPr>
                <w:szCs w:val="22"/>
              </w:rPr>
              <w:t xml:space="preserve">New </w:t>
            </w:r>
            <w:r w:rsidR="00BD718B">
              <w:rPr>
                <w:szCs w:val="22"/>
              </w:rPr>
              <w:t>biological</w:t>
            </w:r>
            <w:r w:rsidRPr="00BD5DBD">
              <w:rPr>
                <w:szCs w:val="22"/>
              </w:rPr>
              <w:t xml:space="preserve"> entity</w:t>
            </w:r>
            <w:bookmarkEnd w:id="11"/>
          </w:p>
        </w:tc>
      </w:tr>
      <w:tr w:rsidR="00324B33" w:rsidRPr="00BD5DBD" w14:paraId="13482B61" w14:textId="77777777" w:rsidTr="00F865A7">
        <w:tc>
          <w:tcPr>
            <w:tcW w:w="1577" w:type="pct"/>
          </w:tcPr>
          <w:p w14:paraId="2C427FCF" w14:textId="1F7D7429" w:rsidR="00324B33" w:rsidRPr="00BD5DBD" w:rsidRDefault="00324B33" w:rsidP="007452E8">
            <w:pPr>
              <w:rPr>
                <w:i/>
                <w:szCs w:val="22"/>
              </w:rPr>
            </w:pPr>
            <w:r w:rsidRPr="00BD5DBD">
              <w:rPr>
                <w:i/>
                <w:szCs w:val="22"/>
              </w:rPr>
              <w:t>Product name:</w:t>
            </w:r>
          </w:p>
        </w:tc>
        <w:tc>
          <w:tcPr>
            <w:tcW w:w="3423" w:type="pct"/>
          </w:tcPr>
          <w:p w14:paraId="0E2DEF76" w14:textId="377913D7" w:rsidR="00324B33" w:rsidRPr="00BD5DBD" w:rsidRDefault="00BD718B" w:rsidP="007452E8">
            <w:pPr>
              <w:rPr>
                <w:szCs w:val="22"/>
              </w:rPr>
            </w:pPr>
            <w:r>
              <w:rPr>
                <w:szCs w:val="22"/>
              </w:rPr>
              <w:t>Idefirix</w:t>
            </w:r>
          </w:p>
        </w:tc>
      </w:tr>
      <w:tr w:rsidR="00324B33" w:rsidRPr="00BD5DBD" w14:paraId="01255B5B" w14:textId="77777777" w:rsidTr="00F865A7">
        <w:tc>
          <w:tcPr>
            <w:tcW w:w="1577" w:type="pct"/>
          </w:tcPr>
          <w:p w14:paraId="52B4F3D7" w14:textId="7391F6F9" w:rsidR="00324B33" w:rsidRPr="00BD5DBD" w:rsidRDefault="00324B33" w:rsidP="007452E8">
            <w:pPr>
              <w:rPr>
                <w:i/>
                <w:szCs w:val="22"/>
              </w:rPr>
            </w:pPr>
            <w:r w:rsidRPr="00BD5DBD">
              <w:rPr>
                <w:i/>
                <w:szCs w:val="22"/>
              </w:rPr>
              <w:t>Active ingredient:</w:t>
            </w:r>
          </w:p>
        </w:tc>
        <w:tc>
          <w:tcPr>
            <w:tcW w:w="3423" w:type="pct"/>
          </w:tcPr>
          <w:p w14:paraId="02FB6383" w14:textId="409E5B77" w:rsidR="00324B33" w:rsidRPr="00BD5DBD" w:rsidRDefault="00BD718B" w:rsidP="007452E8">
            <w:pPr>
              <w:rPr>
                <w:szCs w:val="22"/>
              </w:rPr>
            </w:pPr>
            <w:r>
              <w:rPr>
                <w:szCs w:val="22"/>
              </w:rPr>
              <w:t>Imlifidase</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EC96997" w:rsidR="00324B33" w:rsidRPr="00BD5DBD" w:rsidRDefault="00324B33" w:rsidP="007452E8">
            <w:pPr>
              <w:rPr>
                <w:szCs w:val="22"/>
              </w:rPr>
            </w:pPr>
            <w:r w:rsidRPr="00BD5DBD">
              <w:rPr>
                <w:szCs w:val="22"/>
              </w:rPr>
              <w:t xml:space="preserve">Approved </w:t>
            </w:r>
            <w:bookmarkStart w:id="12" w:name="_Hlk167347678"/>
            <w:r w:rsidRPr="00BD5DBD">
              <w:rPr>
                <w:szCs w:val="22"/>
              </w:rPr>
              <w:t>for provisional registration</w:t>
            </w:r>
            <w:bookmarkEnd w:id="12"/>
          </w:p>
        </w:tc>
      </w:tr>
      <w:tr w:rsidR="00AE1947" w:rsidRPr="00BD5DBD" w14:paraId="32B72632" w14:textId="77777777" w:rsidTr="00F865A7">
        <w:tc>
          <w:tcPr>
            <w:tcW w:w="1577" w:type="pct"/>
          </w:tcPr>
          <w:p w14:paraId="332A5CD5" w14:textId="3548BBB5" w:rsidR="00AE1947" w:rsidRPr="00BD718B" w:rsidRDefault="00AE1947" w:rsidP="00BD718B">
            <w:pPr>
              <w:rPr>
                <w:i/>
                <w:szCs w:val="22"/>
              </w:rPr>
            </w:pPr>
            <w:r w:rsidRPr="00BD5DBD">
              <w:rPr>
                <w:i/>
                <w:szCs w:val="22"/>
              </w:rPr>
              <w:t>Date of decision:</w:t>
            </w:r>
          </w:p>
        </w:tc>
        <w:tc>
          <w:tcPr>
            <w:tcW w:w="3423" w:type="pct"/>
          </w:tcPr>
          <w:p w14:paraId="7B381CD6" w14:textId="7EA1A222" w:rsidR="00AE1947" w:rsidRPr="00BD5DBD" w:rsidRDefault="00BD718B" w:rsidP="00602658">
            <w:pPr>
              <w:rPr>
                <w:szCs w:val="22"/>
              </w:rPr>
            </w:pPr>
            <w:r>
              <w:rPr>
                <w:szCs w:val="22"/>
              </w:rPr>
              <w:t>7 July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B00A618" w:rsidR="00324B33" w:rsidRPr="00BD5DBD" w:rsidRDefault="00BD718B" w:rsidP="007452E8">
            <w:pPr>
              <w:rPr>
                <w:szCs w:val="22"/>
              </w:rPr>
            </w:pPr>
            <w:r>
              <w:rPr>
                <w:szCs w:val="22"/>
              </w:rPr>
              <w:t>10 July 2023</w:t>
            </w:r>
          </w:p>
        </w:tc>
      </w:tr>
      <w:tr w:rsidR="00324B33" w:rsidRPr="00BD5DBD" w14:paraId="547E08D7" w14:textId="77777777" w:rsidTr="00F865A7">
        <w:tc>
          <w:tcPr>
            <w:tcW w:w="1577" w:type="pct"/>
          </w:tcPr>
          <w:p w14:paraId="5030EF30" w14:textId="0767A0DB" w:rsidR="00324B33" w:rsidRPr="00BD5DBD" w:rsidRDefault="00324B33" w:rsidP="007452E8">
            <w:pPr>
              <w:rPr>
                <w:i/>
                <w:szCs w:val="22"/>
              </w:rPr>
            </w:pPr>
            <w:r w:rsidRPr="00BD5DBD">
              <w:rPr>
                <w:i/>
                <w:szCs w:val="22"/>
              </w:rPr>
              <w:t>ARTG number:</w:t>
            </w:r>
          </w:p>
        </w:tc>
        <w:tc>
          <w:tcPr>
            <w:tcW w:w="3423" w:type="pct"/>
          </w:tcPr>
          <w:p w14:paraId="0054E912" w14:textId="1A2DC4BB" w:rsidR="00324B33" w:rsidRPr="00BD5DBD" w:rsidRDefault="00BD718B" w:rsidP="007452E8">
            <w:pPr>
              <w:rPr>
                <w:szCs w:val="22"/>
              </w:rPr>
            </w:pPr>
            <w:r>
              <w:rPr>
                <w:szCs w:val="22"/>
              </w:rPr>
              <w:t>391413</w:t>
            </w:r>
          </w:p>
        </w:tc>
      </w:tr>
      <w:tr w:rsidR="00324B33" w:rsidRPr="00BD5DBD" w14:paraId="7618393F" w14:textId="77777777" w:rsidTr="00F865A7">
        <w:tc>
          <w:tcPr>
            <w:tcW w:w="1577" w:type="pct"/>
          </w:tcPr>
          <w:p w14:paraId="6C24CEB6" w14:textId="05978A50"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7D7A191B" w:rsidR="00324B33" w:rsidRPr="00BD5DBD" w:rsidRDefault="00324B33" w:rsidP="007452E8">
            <w:pPr>
              <w:rPr>
                <w:szCs w:val="22"/>
              </w:rPr>
            </w:pPr>
            <w:r w:rsidRPr="00BD5DBD">
              <w:rPr>
                <w:szCs w:val="22"/>
              </w:rPr>
              <w:t>Yes</w:t>
            </w:r>
          </w:p>
          <w:p w14:paraId="6FF3C6A2" w14:textId="50220F41" w:rsidR="00324B33" w:rsidRPr="00BD5DBD" w:rsidRDefault="00324B33" w:rsidP="007452E8">
            <w:pPr>
              <w:rPr>
                <w:szCs w:val="22"/>
              </w:rPr>
            </w:pPr>
            <w:r w:rsidRPr="00BD5DBD">
              <w:rPr>
                <w:szCs w:val="22"/>
              </w:rPr>
              <w:t>As a provisionally registered product, this medicine will remain in the Black Triangle Scheme for the duration of its provisional registration</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5957DE6E" w14:textId="77777777" w:rsidR="00BD718B" w:rsidRPr="00BD718B" w:rsidRDefault="00BD718B" w:rsidP="00BD718B">
            <w:pPr>
              <w:rPr>
                <w:szCs w:val="22"/>
              </w:rPr>
            </w:pPr>
            <w:r w:rsidRPr="00BD718B">
              <w:rPr>
                <w:szCs w:val="22"/>
              </w:rPr>
              <w:t>Hansa Biopharma (Australia) Pty Ltd</w:t>
            </w:r>
          </w:p>
          <w:p w14:paraId="68DD94B0" w14:textId="216B77D1" w:rsidR="00324B33" w:rsidRPr="00BD5DBD" w:rsidRDefault="00BD718B" w:rsidP="00BD718B">
            <w:pPr>
              <w:rPr>
                <w:szCs w:val="22"/>
              </w:rPr>
            </w:pPr>
            <w:r w:rsidRPr="00BD718B">
              <w:rPr>
                <w:szCs w:val="22"/>
              </w:rPr>
              <w:t>Level 19, 181 William Street, Melbourne</w:t>
            </w:r>
          </w:p>
        </w:tc>
      </w:tr>
      <w:tr w:rsidR="00324B33" w:rsidRPr="00BD5DBD" w14:paraId="5322B989" w14:textId="77777777" w:rsidTr="00F865A7">
        <w:tc>
          <w:tcPr>
            <w:tcW w:w="1577" w:type="pct"/>
          </w:tcPr>
          <w:p w14:paraId="24F217E3" w14:textId="5D2BC4CF" w:rsidR="00324B33" w:rsidRPr="00BD5DBD" w:rsidRDefault="00324B33" w:rsidP="007452E8">
            <w:pPr>
              <w:rPr>
                <w:i/>
                <w:szCs w:val="22"/>
              </w:rPr>
            </w:pPr>
            <w:r w:rsidRPr="00BD5DBD">
              <w:rPr>
                <w:i/>
                <w:szCs w:val="22"/>
              </w:rPr>
              <w:t>Dose form:</w:t>
            </w:r>
          </w:p>
        </w:tc>
        <w:tc>
          <w:tcPr>
            <w:tcW w:w="3423" w:type="pct"/>
          </w:tcPr>
          <w:p w14:paraId="768B254C" w14:textId="7BF7DABA" w:rsidR="00324B33" w:rsidRPr="00BD5DBD" w:rsidRDefault="00862C80" w:rsidP="007452E8">
            <w:pPr>
              <w:rPr>
                <w:szCs w:val="22"/>
              </w:rPr>
            </w:pPr>
            <w:r>
              <w:rPr>
                <w:sz w:val="23"/>
                <w:szCs w:val="23"/>
              </w:rPr>
              <w:t>Powder for concentrate for solution for infusion</w:t>
            </w:r>
          </w:p>
        </w:tc>
      </w:tr>
      <w:tr w:rsidR="00324B33" w:rsidRPr="00BD5DBD" w14:paraId="115243E6" w14:textId="77777777" w:rsidTr="00F865A7">
        <w:tc>
          <w:tcPr>
            <w:tcW w:w="1577" w:type="pct"/>
          </w:tcPr>
          <w:p w14:paraId="7634B062" w14:textId="7A594364" w:rsidR="00324B33" w:rsidRPr="00BD5DBD" w:rsidRDefault="00324B33" w:rsidP="007452E8">
            <w:pPr>
              <w:rPr>
                <w:i/>
                <w:szCs w:val="22"/>
              </w:rPr>
            </w:pPr>
            <w:r w:rsidRPr="00BD5DBD">
              <w:rPr>
                <w:i/>
                <w:szCs w:val="22"/>
              </w:rPr>
              <w:t>Strength:</w:t>
            </w:r>
          </w:p>
        </w:tc>
        <w:tc>
          <w:tcPr>
            <w:tcW w:w="3423" w:type="pct"/>
          </w:tcPr>
          <w:p w14:paraId="5E5F83DB" w14:textId="3C0A9550" w:rsidR="00324B33" w:rsidRPr="00BD5DBD" w:rsidRDefault="00862C80" w:rsidP="007452E8">
            <w:pPr>
              <w:rPr>
                <w:szCs w:val="22"/>
              </w:rPr>
            </w:pPr>
            <w:r>
              <w:rPr>
                <w:szCs w:val="22"/>
              </w:rPr>
              <w:t>11 mg</w:t>
            </w:r>
          </w:p>
        </w:tc>
      </w:tr>
      <w:tr w:rsidR="00324B33" w:rsidRPr="00BD5DBD" w14:paraId="34B07BA6" w14:textId="77777777" w:rsidTr="00F865A7">
        <w:tc>
          <w:tcPr>
            <w:tcW w:w="1577" w:type="pct"/>
          </w:tcPr>
          <w:p w14:paraId="1C039224" w14:textId="5F741D8E" w:rsidR="00324B33" w:rsidRPr="00BD5DBD" w:rsidRDefault="00324B33" w:rsidP="007452E8">
            <w:pPr>
              <w:rPr>
                <w:i/>
                <w:szCs w:val="22"/>
              </w:rPr>
            </w:pPr>
            <w:r w:rsidRPr="00BD5DBD">
              <w:rPr>
                <w:i/>
                <w:szCs w:val="22"/>
              </w:rPr>
              <w:t>Container:</w:t>
            </w:r>
          </w:p>
        </w:tc>
        <w:tc>
          <w:tcPr>
            <w:tcW w:w="3423" w:type="pct"/>
          </w:tcPr>
          <w:p w14:paraId="500A42C6" w14:textId="54C449B4" w:rsidR="00324B33" w:rsidRPr="00BD5DBD" w:rsidRDefault="00862C80" w:rsidP="007452E8">
            <w:pPr>
              <w:rPr>
                <w:szCs w:val="22"/>
              </w:rPr>
            </w:pPr>
            <w:r>
              <w:rPr>
                <w:szCs w:val="22"/>
              </w:rPr>
              <w:t>Vial</w:t>
            </w:r>
          </w:p>
        </w:tc>
      </w:tr>
      <w:tr w:rsidR="00324B33" w:rsidRPr="00BD5DBD" w14:paraId="176B6773" w14:textId="77777777" w:rsidTr="00F865A7">
        <w:tc>
          <w:tcPr>
            <w:tcW w:w="1577" w:type="pct"/>
          </w:tcPr>
          <w:p w14:paraId="71846159" w14:textId="215C2936" w:rsidR="00324B33" w:rsidRPr="00BD5DBD" w:rsidRDefault="00324B33" w:rsidP="007452E8">
            <w:pPr>
              <w:rPr>
                <w:i/>
                <w:szCs w:val="22"/>
              </w:rPr>
            </w:pPr>
            <w:r w:rsidRPr="00BD5DBD">
              <w:rPr>
                <w:i/>
                <w:szCs w:val="22"/>
              </w:rPr>
              <w:t>Pack size:</w:t>
            </w:r>
          </w:p>
        </w:tc>
        <w:tc>
          <w:tcPr>
            <w:tcW w:w="3423" w:type="pct"/>
          </w:tcPr>
          <w:p w14:paraId="7E978F8F" w14:textId="2EDC162A" w:rsidR="00324B33" w:rsidRPr="00BD5DBD" w:rsidRDefault="00862C80" w:rsidP="007452E8">
            <w:pPr>
              <w:rPr>
                <w:szCs w:val="22"/>
              </w:rPr>
            </w:pPr>
            <w:r>
              <w:rPr>
                <w:szCs w:val="22"/>
              </w:rPr>
              <w:t>1 or 2 vials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24A5C5AD" w14:textId="72AC895E" w:rsidR="00862C80" w:rsidRPr="00862C80" w:rsidRDefault="00862C80" w:rsidP="00862C80">
            <w:pPr>
              <w:rPr>
                <w:i/>
                <w:iCs/>
                <w:szCs w:val="22"/>
              </w:rPr>
            </w:pPr>
            <w:r w:rsidRPr="00862C80">
              <w:rPr>
                <w:i/>
                <w:iCs/>
                <w:szCs w:val="22"/>
              </w:rPr>
              <w:t xml:space="preserve">Idefirix has </w:t>
            </w:r>
            <w:r w:rsidRPr="003F5A59">
              <w:rPr>
                <w:b/>
                <w:bCs/>
                <w:i/>
                <w:iCs/>
                <w:szCs w:val="22"/>
              </w:rPr>
              <w:t>provisional</w:t>
            </w:r>
            <w:r w:rsidRPr="00862C80">
              <w:rPr>
                <w:i/>
                <w:iCs/>
                <w:szCs w:val="22"/>
              </w:rPr>
              <w:t xml:space="preserve"> approval for the desensitisation treatment of highly sensitised adult kidney transplant candidates prior to kidney transplantation from a donor against whom there is a positive cross-match (see Section 5.1 Pharmacodynamic properties, Clinical trials). The use of Idefirix should be reserved for patients who are otherwise unlikely to receive a kidney transplant.</w:t>
            </w:r>
          </w:p>
          <w:p w14:paraId="6E143E2E" w14:textId="069D36DF" w:rsidR="00324B33" w:rsidRPr="00BD5DBD" w:rsidRDefault="00862C80" w:rsidP="00862C80">
            <w:pPr>
              <w:rPr>
                <w:szCs w:val="22"/>
              </w:rPr>
            </w:pPr>
            <w:r w:rsidRPr="00862C80">
              <w:rPr>
                <w:i/>
                <w:iCs/>
                <w:szCs w:val="22"/>
              </w:rPr>
              <w:t>The decision to approve this medicine has been made based on limited data. More comprehensive evidence is required to be submitted.</w:t>
            </w:r>
          </w:p>
        </w:tc>
      </w:tr>
      <w:tr w:rsidR="00324B33" w:rsidRPr="00BD5DBD" w14:paraId="5AFDEED3" w14:textId="77777777" w:rsidTr="00F865A7">
        <w:tc>
          <w:tcPr>
            <w:tcW w:w="1577" w:type="pct"/>
          </w:tcPr>
          <w:p w14:paraId="03884BD1" w14:textId="5A806AF7" w:rsidR="00324B33" w:rsidRPr="00BD5DBD" w:rsidRDefault="00324B33" w:rsidP="007452E8">
            <w:pPr>
              <w:rPr>
                <w:i/>
                <w:szCs w:val="22"/>
              </w:rPr>
            </w:pPr>
            <w:r w:rsidRPr="00BD5DBD">
              <w:rPr>
                <w:i/>
                <w:szCs w:val="22"/>
              </w:rPr>
              <w:t>Rout</w:t>
            </w:r>
            <w:r w:rsidR="00862C80">
              <w:rPr>
                <w:i/>
                <w:szCs w:val="22"/>
              </w:rPr>
              <w:t>e</w:t>
            </w:r>
            <w:r w:rsidRPr="00BD5DBD">
              <w:rPr>
                <w:i/>
                <w:szCs w:val="22"/>
              </w:rPr>
              <w:t xml:space="preserve"> of administration:</w:t>
            </w:r>
          </w:p>
        </w:tc>
        <w:tc>
          <w:tcPr>
            <w:tcW w:w="3423" w:type="pct"/>
          </w:tcPr>
          <w:p w14:paraId="1ED1357E" w14:textId="33B90AD5" w:rsidR="00324B33" w:rsidRPr="00BD5DBD" w:rsidRDefault="00862C80" w:rsidP="007452E8">
            <w:pPr>
              <w:rPr>
                <w:szCs w:val="22"/>
              </w:rPr>
            </w:pPr>
            <w:r>
              <w:t>Intravenous infusion</w:t>
            </w:r>
          </w:p>
        </w:tc>
      </w:tr>
      <w:tr w:rsidR="00324B33" w:rsidRPr="00BD5DBD" w14:paraId="70D7E9FA" w14:textId="77777777" w:rsidTr="00F865A7">
        <w:tc>
          <w:tcPr>
            <w:tcW w:w="1577" w:type="pct"/>
          </w:tcPr>
          <w:p w14:paraId="5ABFFC80" w14:textId="16BEA2E8" w:rsidR="00EF147A" w:rsidRPr="001747E8" w:rsidRDefault="00324B33" w:rsidP="001747E8">
            <w:pPr>
              <w:rPr>
                <w:i/>
                <w:szCs w:val="22"/>
              </w:rPr>
            </w:pPr>
            <w:r w:rsidRPr="00BD5DBD">
              <w:rPr>
                <w:i/>
                <w:szCs w:val="22"/>
              </w:rPr>
              <w:t>Dosage:</w:t>
            </w:r>
          </w:p>
        </w:tc>
        <w:tc>
          <w:tcPr>
            <w:tcW w:w="3423" w:type="pct"/>
          </w:tcPr>
          <w:p w14:paraId="2DA38C01" w14:textId="5899A8F5" w:rsidR="00862C80" w:rsidRPr="00467272" w:rsidRDefault="00862C80" w:rsidP="00467272">
            <w:r w:rsidRPr="00467272">
              <w:t>Treatment should be prescribed and supervised by specialist physicians experienced in the management of immunosuppressive therapy and of sensitised renal transplant patients.</w:t>
            </w:r>
          </w:p>
          <w:p w14:paraId="1246B144" w14:textId="763EC4D2" w:rsidR="00324B33" w:rsidRPr="00467272" w:rsidRDefault="00862C80" w:rsidP="00467272">
            <w:r w:rsidRPr="00467272">
              <w:t xml:space="preserve">The dose is based on patient body weight (kg). The recommended dose is 0.25 mg/kg administered as a single dose preferably within 24 hours before transplantation. One dose is adequate for crossmatch conversion in the majority of patients </w:t>
            </w:r>
            <w:r w:rsidRPr="00467272">
              <w:lastRenderedPageBreak/>
              <w:t>but, if needed, a second dose can be administered within 24 hours after the first dose.</w:t>
            </w:r>
          </w:p>
          <w:p w14:paraId="3D0B2D5C" w14:textId="77777777" w:rsidR="00324B33" w:rsidRPr="00BD5DBD" w:rsidRDefault="00324B33" w:rsidP="00467272">
            <w:pPr>
              <w:rPr>
                <w:szCs w:val="22"/>
              </w:rPr>
            </w:pPr>
            <w:r w:rsidRPr="00467272">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5A532A08" w14:textId="77777777" w:rsidR="00EF147A" w:rsidRPr="00EF147A" w:rsidRDefault="00EF147A" w:rsidP="00EF147A">
            <w:pPr>
              <w:rPr>
                <w:szCs w:val="22"/>
              </w:rPr>
            </w:pPr>
            <w:r w:rsidRPr="00EF147A">
              <w:rPr>
                <w:szCs w:val="22"/>
              </w:rPr>
              <w:t>Category B2</w:t>
            </w:r>
          </w:p>
          <w:p w14:paraId="3005D3C6" w14:textId="495B8922" w:rsidR="00EF147A" w:rsidRPr="00EF147A" w:rsidRDefault="00EF147A" w:rsidP="00EF147A">
            <w:pPr>
              <w:rPr>
                <w:szCs w:val="22"/>
              </w:rPr>
            </w:pPr>
            <w:r w:rsidRPr="00EF147A">
              <w:rPr>
                <w:szCs w:val="22"/>
              </w:rPr>
              <w:t>Drugs which have been taken by only a limited number of pregnant women and women of childbearing age, without an increase in the frequency of malformation or other direct or indirect harmful effects on the human fetus having been observed.</w:t>
            </w:r>
          </w:p>
          <w:p w14:paraId="5E2AA3D6" w14:textId="358C6C12" w:rsidR="00324B33" w:rsidRPr="00BD5DBD" w:rsidRDefault="00EF147A" w:rsidP="00EF147A">
            <w:pPr>
              <w:rPr>
                <w:szCs w:val="22"/>
              </w:rPr>
            </w:pPr>
            <w:r w:rsidRPr="00EF147A">
              <w:rPr>
                <w:szCs w:val="22"/>
              </w:rPr>
              <w:t xml:space="preserve">Studies in animals are inadequate or may be lacking, but available data show no evidence of an increased occurrence of fetal damage. </w:t>
            </w:r>
            <w:r w:rsidR="00324B33"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3" w:name="_Toc247691503"/>
      <w:bookmarkStart w:id="14" w:name="_Toc314842484"/>
      <w:bookmarkStart w:id="15" w:name="_Toc103679290"/>
      <w:bookmarkStart w:id="16" w:name="_Toc166143703"/>
      <w:r>
        <w:t>Product background</w:t>
      </w:r>
      <w:bookmarkEnd w:id="13"/>
      <w:bookmarkEnd w:id="14"/>
      <w:bookmarkEnd w:id="15"/>
      <w:bookmarkEnd w:id="16"/>
    </w:p>
    <w:p w14:paraId="56B27CF2" w14:textId="01228596" w:rsidR="00324B33" w:rsidRPr="00BD5DBD" w:rsidRDefault="00324B33" w:rsidP="00324B33">
      <w:pPr>
        <w:rPr>
          <w:szCs w:val="22"/>
        </w:rPr>
      </w:pPr>
      <w:r w:rsidRPr="00BD5DBD">
        <w:rPr>
          <w:szCs w:val="22"/>
        </w:rPr>
        <w:t xml:space="preserve">This AusPAR describes the submission by </w:t>
      </w:r>
      <w:r w:rsidR="00EF147A">
        <w:rPr>
          <w:szCs w:val="22"/>
        </w:rPr>
        <w:t>Hansa Biopharma (Australia) Pty Ltd</w:t>
      </w:r>
      <w:r w:rsidRPr="00BD5DBD">
        <w:rPr>
          <w:szCs w:val="22"/>
        </w:rPr>
        <w:t xml:space="preserve"> (the sponsor) to register </w:t>
      </w:r>
      <w:r w:rsidR="00EF147A">
        <w:t>Idefirix (i</w:t>
      </w:r>
      <w:r w:rsidR="00EF147A" w:rsidRPr="00D27153">
        <w:t>mlifidase</w:t>
      </w:r>
      <w:r w:rsidRPr="00BD5DBD">
        <w:rPr>
          <w:szCs w:val="22"/>
        </w:rPr>
        <w:t xml:space="preserve">) </w:t>
      </w:r>
      <w:r w:rsidR="00EF147A">
        <w:rPr>
          <w:szCs w:val="22"/>
        </w:rPr>
        <w:t>11 mg</w:t>
      </w:r>
      <w:r w:rsidRPr="00BD5DBD">
        <w:rPr>
          <w:szCs w:val="22"/>
        </w:rPr>
        <w:t xml:space="preserve">, </w:t>
      </w:r>
      <w:r w:rsidR="00EF147A">
        <w:rPr>
          <w:sz w:val="23"/>
          <w:szCs w:val="23"/>
        </w:rPr>
        <w:t>powder for concentrate for solution for infusion</w:t>
      </w:r>
      <w:r w:rsidR="00D62877" w:rsidRPr="00BD5DBD">
        <w:rPr>
          <w:szCs w:val="22"/>
        </w:rPr>
        <w:t xml:space="preserve">, </w:t>
      </w:r>
      <w:r w:rsidR="00EF147A">
        <w:rPr>
          <w:szCs w:val="22"/>
        </w:rPr>
        <w:t>vial</w:t>
      </w:r>
      <w:r w:rsidRPr="00BD5DBD">
        <w:rPr>
          <w:szCs w:val="22"/>
        </w:rPr>
        <w:t xml:space="preserve"> for the following proposed indication:</w:t>
      </w:r>
      <w:r w:rsidR="00D63760" w:rsidRPr="00BD5DBD">
        <w:rPr>
          <w:rStyle w:val="FootnoteReference"/>
          <w:szCs w:val="22"/>
        </w:rPr>
        <w:footnoteReference w:id="2"/>
      </w:r>
    </w:p>
    <w:p w14:paraId="2520D27E" w14:textId="6429149E" w:rsidR="00EF147A" w:rsidRPr="00EF147A" w:rsidRDefault="00EF147A" w:rsidP="00EF147A">
      <w:pPr>
        <w:ind w:left="720"/>
        <w:rPr>
          <w:i/>
          <w:iCs/>
        </w:rPr>
      </w:pPr>
      <w:r w:rsidRPr="00EF147A">
        <w:rPr>
          <w:i/>
          <w:iCs/>
        </w:rPr>
        <w:t>Idefirix is indicated for desensitisation treatment of highly sensitised adult kidney patients with a positive cross match against an available donor prior to kidney transplantation. The use of Idefirix should be reserved for patients who are unlikely to be otherwise transplanted.</w:t>
      </w:r>
    </w:p>
    <w:p w14:paraId="42072087" w14:textId="7B8E0B9D" w:rsidR="00EF147A" w:rsidRPr="00EF147A" w:rsidRDefault="00EF147A" w:rsidP="00EF147A">
      <w:r w:rsidRPr="00EF147A">
        <w:t>Renal failure requiring renal replacement therapy is an important cause of morbidity and mortality in Australia. In Australia in 2020, 27,684 patients received renal replacement therapy (overall prevalence of 1078</w:t>
      </w:r>
      <w:r>
        <w:t xml:space="preserve"> per one </w:t>
      </w:r>
      <w:r w:rsidRPr="00EF147A">
        <w:t>million). In 2020, 885 renal transplants were performed (34</w:t>
      </w:r>
      <w:r>
        <w:t xml:space="preserve"> per one </w:t>
      </w:r>
      <w:r w:rsidRPr="00EF147A">
        <w:t>million) of which 181 were living donor transplants.</w:t>
      </w:r>
    </w:p>
    <w:p w14:paraId="2677C13F" w14:textId="4C7AFF90" w:rsidR="00EF147A" w:rsidRPr="00EF147A" w:rsidRDefault="00EF147A" w:rsidP="00EF147A">
      <w:r w:rsidRPr="00EF147A">
        <w:t xml:space="preserve">Sensitisation to human leukocyte antigens </w:t>
      </w:r>
      <w:r>
        <w:t>(</w:t>
      </w:r>
      <w:r w:rsidRPr="00EF147A">
        <w:t>HLA</w:t>
      </w:r>
      <w:r>
        <w:t>)</w:t>
      </w:r>
      <w:r w:rsidRPr="00EF147A">
        <w:t xml:space="preserve"> is a barrier to renal transplantation due of a greatly increased risk of graft rejection. The degree of sensitisation is typically measured using a panel of T-cell lymphocytes representing the donor population using a complement-dependent cytotoxicity (CDC) assay to determine the donor pool proportion to which the transplant candidate is expected to be CDC cross-match incompatible. Highly sensitised patients are less likely to receive a transplant due to difficulties in finding a suitably matched donor. ‘Highly sensitised’ is defined as a calculated panel reactive antibody (cPRA) value </w:t>
      </w:r>
      <w:r>
        <w:t xml:space="preserve">of at least </w:t>
      </w:r>
      <w:r w:rsidRPr="00EF147A">
        <w:t>80% and includes up to 28% of patients on the transplantation waitlist.</w:t>
      </w:r>
    </w:p>
    <w:p w14:paraId="5B3D5E6F" w14:textId="5CB697A8" w:rsidR="00EF147A" w:rsidRPr="00EF147A" w:rsidRDefault="00EF147A" w:rsidP="00EF147A">
      <w:r w:rsidRPr="00EF147A">
        <w:t>There is a further relevant subgroup of patients who were considered to be highly unlikely to be transplanted without imlifidase treatment (</w:t>
      </w:r>
      <w:r>
        <w:t>for example</w:t>
      </w:r>
      <w:r w:rsidRPr="00EF147A">
        <w:t xml:space="preserve">, associated with unsuccessful </w:t>
      </w:r>
      <w:r w:rsidRPr="00EF147A">
        <w:lastRenderedPageBreak/>
        <w:t>desensitisation, or highly unlikely effective desensitisation). This patient group may not have had an opportunity to be seriously considered for a transplant due to the reduced likelihood of success.</w:t>
      </w:r>
    </w:p>
    <w:p w14:paraId="5C5CAC47" w14:textId="6E1944EE" w:rsidR="00EF147A" w:rsidRPr="00EF147A" w:rsidRDefault="00EF147A" w:rsidP="00EF147A">
      <w:r w:rsidRPr="00EF147A">
        <w:t xml:space="preserve">The sponsor used the following </w:t>
      </w:r>
      <w:r>
        <w:t>three</w:t>
      </w:r>
      <w:r w:rsidRPr="00EF147A">
        <w:t xml:space="preserve"> criteria to identify highly unlikely to be transplanted (HUT) patients:</w:t>
      </w:r>
    </w:p>
    <w:p w14:paraId="6A4A0578" w14:textId="67EBCAC5" w:rsidR="00EF147A" w:rsidRPr="00EF147A" w:rsidRDefault="00EF147A" w:rsidP="00EF147A">
      <w:pPr>
        <w:pStyle w:val="ListBullet"/>
      </w:pPr>
      <w:r>
        <w:t>C</w:t>
      </w:r>
      <w:r w:rsidRPr="00EF147A">
        <w:t xml:space="preserve">alculated panel reactive antibody of </w:t>
      </w:r>
      <w:r>
        <w:t xml:space="preserve">at least </w:t>
      </w:r>
      <w:r w:rsidRPr="00EF147A">
        <w:t xml:space="preserve">95% based on a mean fluorescence intensity (MFI) cut-off of 3000, or a historical peak PRA of </w:t>
      </w:r>
      <w:r>
        <w:t xml:space="preserve">at least </w:t>
      </w:r>
      <w:r w:rsidRPr="00EF147A">
        <w:t>95%</w:t>
      </w:r>
      <w:r w:rsidR="00E06785">
        <w:t>.</w:t>
      </w:r>
    </w:p>
    <w:p w14:paraId="34C0B917" w14:textId="5BCED8C8" w:rsidR="00EF147A" w:rsidRPr="00EF147A" w:rsidRDefault="00EF147A" w:rsidP="00EF147A">
      <w:pPr>
        <w:pStyle w:val="ListBullet"/>
      </w:pPr>
      <w:r w:rsidRPr="00EF147A">
        <w:t xml:space="preserve">Deceased </w:t>
      </w:r>
      <w:r w:rsidR="007E0286">
        <w:t xml:space="preserve">and living </w:t>
      </w:r>
      <w:r w:rsidRPr="00EF147A">
        <w:t>donor transplantation</w:t>
      </w:r>
      <w:r w:rsidR="00E06785">
        <w:t>.</w:t>
      </w:r>
    </w:p>
    <w:p w14:paraId="608981CB" w14:textId="295F5C1B" w:rsidR="00EF147A" w:rsidRPr="00EF147A" w:rsidRDefault="00EF147A" w:rsidP="00EF147A">
      <w:pPr>
        <w:pStyle w:val="ListBullet"/>
      </w:pPr>
      <w:r w:rsidRPr="00EF147A">
        <w:t xml:space="preserve">Positive </w:t>
      </w:r>
      <w:r>
        <w:t>cross match (</w:t>
      </w:r>
      <w:r w:rsidR="00D83DB7">
        <w:t>C</w:t>
      </w:r>
      <w:r w:rsidRPr="00EF147A">
        <w:t>XM</w:t>
      </w:r>
      <w:r>
        <w:t>)</w:t>
      </w:r>
      <w:r w:rsidRPr="00EF147A">
        <w:t xml:space="preserve"> (determined by CDC (CDCXM) or flow cytometry </w:t>
      </w:r>
      <w:r w:rsidR="002B5560">
        <w:t>cross match</w:t>
      </w:r>
      <w:r w:rsidRPr="00EF147A">
        <w:t xml:space="preserve"> (FCXM test) towards the available graft immediately prior to imlifidase treatment and transplantation</w:t>
      </w:r>
      <w:r w:rsidR="00E06785">
        <w:t>.</w:t>
      </w:r>
    </w:p>
    <w:p w14:paraId="16452BCE" w14:textId="7E4EB9FA" w:rsidR="00EF147A" w:rsidRPr="00EF147A" w:rsidRDefault="00EF147A" w:rsidP="00EF147A">
      <w:r w:rsidRPr="00EF147A">
        <w:t xml:space="preserve">This group is likely to be the main target population for imlifidase. In the </w:t>
      </w:r>
      <w:r>
        <w:t>P</w:t>
      </w:r>
      <w:r w:rsidRPr="00EF147A">
        <w:t xml:space="preserve">hase </w:t>
      </w:r>
      <w:r>
        <w:t>II</w:t>
      </w:r>
      <w:r w:rsidRPr="00EF147A">
        <w:t xml:space="preserve"> clinical trial program, </w:t>
      </w:r>
      <w:r w:rsidR="00CB405C">
        <w:t xml:space="preserve">30 </w:t>
      </w:r>
      <w:r w:rsidRPr="00EF147A">
        <w:t>out of the 46 transplanted patients were classified as HUT patients. Compared to the general transplant population, the</w:t>
      </w:r>
      <w:r w:rsidR="00355C3D">
        <w:t>y</w:t>
      </w:r>
      <w:r w:rsidR="00F923FA">
        <w:t xml:space="preserve"> </w:t>
      </w:r>
      <w:r w:rsidRPr="00EF147A">
        <w:t>typically suffer from risk factors for shorter graft survival.</w:t>
      </w:r>
    </w:p>
    <w:p w14:paraId="168C54AA" w14:textId="0E1F6E2C" w:rsidR="00EF147A" w:rsidRPr="00EF147A" w:rsidRDefault="00EF147A" w:rsidP="00EF147A">
      <w:r w:rsidRPr="00EF147A">
        <w:t xml:space="preserve">The current management options include (alone or in combination according to the local standard of care): plasma exchange, </w:t>
      </w:r>
      <w:r w:rsidR="002B5560">
        <w:t>i</w:t>
      </w:r>
      <w:r w:rsidR="000179FA" w:rsidRPr="000179FA">
        <w:t xml:space="preserve">ntravenous immunoglobulin </w:t>
      </w:r>
      <w:r w:rsidR="000179FA">
        <w:t>(</w:t>
      </w:r>
      <w:r w:rsidRPr="00EF147A">
        <w:t>IVIg</w:t>
      </w:r>
      <w:r w:rsidR="000179FA">
        <w:t>)</w:t>
      </w:r>
      <w:r w:rsidRPr="00EF147A">
        <w:t xml:space="preserve">, </w:t>
      </w:r>
      <w:r>
        <w:t>a</w:t>
      </w:r>
      <w:r w:rsidRPr="00EF147A">
        <w:t>nti-CD20 antibodies (</w:t>
      </w:r>
      <w:r>
        <w:t>for example</w:t>
      </w:r>
      <w:r w:rsidRPr="00EF147A">
        <w:t>, rituximab), complement blockers (</w:t>
      </w:r>
      <w:r>
        <w:t>for example</w:t>
      </w:r>
      <w:r w:rsidRPr="00EF147A">
        <w:t>, eculizumab), or waiting for a more immunologically compatible organ offer.</w:t>
      </w:r>
    </w:p>
    <w:p w14:paraId="0D615854" w14:textId="77777777" w:rsidR="00324B33" w:rsidRPr="003F31A2" w:rsidRDefault="00324B33" w:rsidP="00324B33">
      <w:pPr>
        <w:pStyle w:val="Heading3"/>
      </w:pPr>
      <w:bookmarkStart w:id="17" w:name="_Toc314842485"/>
      <w:bookmarkStart w:id="18" w:name="_Toc247691504"/>
      <w:bookmarkStart w:id="19" w:name="_Toc103679291"/>
      <w:bookmarkStart w:id="20" w:name="_Toc166143704"/>
      <w:r>
        <w:t>Regulatory status</w:t>
      </w:r>
      <w:bookmarkEnd w:id="17"/>
      <w:bookmarkEnd w:id="18"/>
      <w:bookmarkEnd w:id="19"/>
      <w:bookmarkEnd w:id="20"/>
    </w:p>
    <w:p w14:paraId="6A8633FA" w14:textId="1BD8296D" w:rsidR="00324B33" w:rsidRPr="00BD5DBD"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 for Australian regulatory purposes.</w:t>
      </w:r>
    </w:p>
    <w:p w14:paraId="3D0989C0" w14:textId="00C10CE3" w:rsidR="00324B33" w:rsidRDefault="00324B33" w:rsidP="00324B33">
      <w:pPr>
        <w:rPr>
          <w:szCs w:val="22"/>
        </w:rPr>
      </w:pPr>
      <w:r w:rsidRPr="00CC671F">
        <w:rPr>
          <w:szCs w:val="22"/>
        </w:rPr>
        <w:t xml:space="preserve">This product received </w:t>
      </w:r>
      <w:hyperlink r:id="rId19" w:history="1">
        <w:r w:rsidRPr="00CC671F">
          <w:rPr>
            <w:rStyle w:val="Hyperlink"/>
            <w:szCs w:val="22"/>
          </w:rPr>
          <w:t>orphan drug designation</w:t>
        </w:r>
      </w:hyperlink>
      <w:r w:rsidRPr="00CC671F">
        <w:rPr>
          <w:szCs w:val="22"/>
        </w:rPr>
        <w:t xml:space="preserve"> on </w:t>
      </w:r>
      <w:r w:rsidR="00CC671F">
        <w:rPr>
          <w:szCs w:val="22"/>
        </w:rPr>
        <w:t>9 May 2022</w:t>
      </w:r>
      <w:r w:rsidRPr="00CC671F">
        <w:rPr>
          <w:szCs w:val="22"/>
        </w:rPr>
        <w:t xml:space="preserve"> for the following indication:</w:t>
      </w:r>
    </w:p>
    <w:p w14:paraId="0918052F" w14:textId="593B9B76" w:rsidR="00CC671F" w:rsidRPr="00CC671F" w:rsidRDefault="00CC671F" w:rsidP="00CC671F">
      <w:pPr>
        <w:ind w:left="720"/>
        <w:rPr>
          <w:i/>
          <w:iCs/>
          <w:szCs w:val="22"/>
        </w:rPr>
      </w:pPr>
      <w:r w:rsidRPr="00CC671F">
        <w:rPr>
          <w:i/>
          <w:iCs/>
          <w:szCs w:val="22"/>
        </w:rPr>
        <w:t>Idefirix is indicated for desensitisation treatment of highly sensitised adult kidney patients with a positive cross match against an available donor prior to kidney transplantation. The use of Idefirix should be reserved for patients who are unlikely to be otherwise transplanted.</w:t>
      </w:r>
    </w:p>
    <w:p w14:paraId="715B7D2A" w14:textId="79F11B5C" w:rsidR="00324B33" w:rsidRPr="00BD5DBD" w:rsidRDefault="00324B33" w:rsidP="00324B33">
      <w:pPr>
        <w:rPr>
          <w:szCs w:val="22"/>
        </w:rPr>
      </w:pPr>
      <w:r w:rsidRPr="00CC671F">
        <w:rPr>
          <w:szCs w:val="22"/>
        </w:rPr>
        <w:t xml:space="preserve">At the time the TGA considered this submission, a similar submission had been approved in </w:t>
      </w:r>
      <w:r w:rsidR="00CC671F" w:rsidRPr="00CC671F">
        <w:rPr>
          <w:szCs w:val="22"/>
        </w:rPr>
        <w:t>European Union</w:t>
      </w:r>
      <w:r w:rsidR="00CC671F">
        <w:rPr>
          <w:szCs w:val="22"/>
        </w:rPr>
        <w:t xml:space="preserve"> (EU)</w:t>
      </w:r>
      <w:r w:rsidR="00CC671F" w:rsidRPr="00CC671F">
        <w:rPr>
          <w:szCs w:val="22"/>
        </w:rPr>
        <w:t xml:space="preserve"> </w:t>
      </w:r>
      <w:r w:rsidRPr="00CC671F">
        <w:rPr>
          <w:szCs w:val="22"/>
        </w:rPr>
        <w:t xml:space="preserve">on </w:t>
      </w:r>
      <w:r w:rsidR="00CC671F" w:rsidRPr="00CC671F">
        <w:rPr>
          <w:szCs w:val="22"/>
        </w:rPr>
        <w:t xml:space="preserve">25 August 2020, United Kingdom on </w:t>
      </w:r>
      <w:r w:rsidR="001E5BFF">
        <w:rPr>
          <w:szCs w:val="22"/>
        </w:rPr>
        <w:t>25 August 2020</w:t>
      </w:r>
      <w:r w:rsidR="004C407C">
        <w:rPr>
          <w:szCs w:val="22"/>
        </w:rPr>
        <w:t xml:space="preserve"> (National license</w:t>
      </w:r>
      <w:r w:rsidR="001D3058">
        <w:rPr>
          <w:szCs w:val="22"/>
        </w:rPr>
        <w:t xml:space="preserve"> </w:t>
      </w:r>
      <w:r w:rsidR="00CC671F" w:rsidRPr="00CC671F">
        <w:rPr>
          <w:szCs w:val="22"/>
        </w:rPr>
        <w:t>1 January 2021</w:t>
      </w:r>
      <w:r w:rsidR="001D3058">
        <w:rPr>
          <w:szCs w:val="22"/>
        </w:rPr>
        <w:t>, exit from EU)</w:t>
      </w:r>
      <w:r w:rsidR="00CC671F" w:rsidRPr="00CC671F">
        <w:rPr>
          <w:szCs w:val="22"/>
        </w:rPr>
        <w:t xml:space="preserve">, Israel on 21 March 2022 and Switzerland on </w:t>
      </w:r>
      <w:r w:rsidR="00323E32">
        <w:rPr>
          <w:szCs w:val="22"/>
        </w:rPr>
        <w:t>6</w:t>
      </w:r>
      <w:r w:rsidR="00CC671F" w:rsidRPr="00CC671F">
        <w:rPr>
          <w:szCs w:val="22"/>
        </w:rPr>
        <w:t xml:space="preserve"> May 2022</w:t>
      </w:r>
      <w:r w:rsidRPr="00CC671F">
        <w:rPr>
          <w:szCs w:val="22"/>
        </w:rPr>
        <w:t>.</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3757B5B7" w:rsidR="00324B33" w:rsidRDefault="00324B33" w:rsidP="00E66038">
      <w:pPr>
        <w:pStyle w:val="TableTitle"/>
      </w:pPr>
      <w:bookmarkStart w:id="21" w:name="_Ref99705479"/>
      <w:r>
        <w:lastRenderedPageBreak/>
        <w:t xml:space="preserve">Table </w:t>
      </w:r>
      <w:fldSimple w:instr=" SEQ Table \* ARABIC ">
        <w:r w:rsidR="00755A69">
          <w:rPr>
            <w:noProof/>
          </w:rPr>
          <w:t>1</w:t>
        </w:r>
      </w:fldSimple>
      <w:bookmarkEnd w:id="21"/>
      <w:r>
        <w:t>: International regulatory status</w:t>
      </w:r>
    </w:p>
    <w:tbl>
      <w:tblPr>
        <w:tblStyle w:val="TableTGAblue2023"/>
        <w:tblW w:w="5000" w:type="pct"/>
        <w:jc w:val="center"/>
        <w:tblLook w:val="04A0" w:firstRow="1" w:lastRow="0" w:firstColumn="1" w:lastColumn="0" w:noHBand="0" w:noVBand="1"/>
      </w:tblPr>
      <w:tblGrid>
        <w:gridCol w:w="1837"/>
        <w:gridCol w:w="1845"/>
        <w:gridCol w:w="2125"/>
        <w:gridCol w:w="3253"/>
      </w:tblGrid>
      <w:tr w:rsidR="00324B33" w:rsidRPr="00F65C99" w14:paraId="405E5D78" w14:textId="16839333" w:rsidTr="00F65C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F65C99" w:rsidRDefault="00324B33" w:rsidP="00E66038">
            <w:r w:rsidRPr="00F65C99">
              <w:t>Region</w:t>
            </w:r>
          </w:p>
        </w:tc>
        <w:tc>
          <w:tcPr>
            <w:tcW w:w="1018" w:type="pct"/>
          </w:tcPr>
          <w:p w14:paraId="778C35C7" w14:textId="52D23C85" w:rsidR="00324B33" w:rsidRPr="00F65C99" w:rsidRDefault="00324B33" w:rsidP="00E66038">
            <w:pPr>
              <w:cnfStyle w:val="100000000000" w:firstRow="1" w:lastRow="0" w:firstColumn="0" w:lastColumn="0" w:oddVBand="0" w:evenVBand="0" w:oddHBand="0" w:evenHBand="0" w:firstRowFirstColumn="0" w:firstRowLastColumn="0" w:lastRowFirstColumn="0" w:lastRowLastColumn="0"/>
            </w:pPr>
            <w:r w:rsidRPr="00F65C99">
              <w:t>Submission date</w:t>
            </w:r>
          </w:p>
        </w:tc>
        <w:tc>
          <w:tcPr>
            <w:tcW w:w="1173" w:type="pct"/>
          </w:tcPr>
          <w:p w14:paraId="58F81584" w14:textId="66689ABF" w:rsidR="00324B33" w:rsidRPr="00F65C99" w:rsidRDefault="00324B33" w:rsidP="00E66038">
            <w:pPr>
              <w:cnfStyle w:val="100000000000" w:firstRow="1" w:lastRow="0" w:firstColumn="0" w:lastColumn="0" w:oddVBand="0" w:evenVBand="0" w:oddHBand="0" w:evenHBand="0" w:firstRowFirstColumn="0" w:firstRowLastColumn="0" w:lastRowFirstColumn="0" w:lastRowLastColumn="0"/>
            </w:pPr>
            <w:r w:rsidRPr="00F65C99">
              <w:t>Status</w:t>
            </w:r>
          </w:p>
        </w:tc>
        <w:tc>
          <w:tcPr>
            <w:tcW w:w="1795" w:type="pct"/>
          </w:tcPr>
          <w:p w14:paraId="50B2D435" w14:textId="560588D2" w:rsidR="00324B33" w:rsidRPr="00F65C99" w:rsidRDefault="00324B33" w:rsidP="00E66038">
            <w:pPr>
              <w:cnfStyle w:val="100000000000" w:firstRow="1" w:lastRow="0" w:firstColumn="0" w:lastColumn="0" w:oddVBand="0" w:evenVBand="0" w:oddHBand="0" w:evenHBand="0" w:firstRowFirstColumn="0" w:firstRowLastColumn="0" w:lastRowFirstColumn="0" w:lastRowLastColumn="0"/>
            </w:pPr>
            <w:r w:rsidRPr="00F65C99">
              <w:t>Approved indications</w:t>
            </w:r>
          </w:p>
        </w:tc>
      </w:tr>
      <w:tr w:rsidR="00324B33" w:rsidRPr="00F65C99" w14:paraId="38D24E86" w14:textId="77777777" w:rsidTr="00F65C99">
        <w:trPr>
          <w:jc w:val="center"/>
        </w:trPr>
        <w:tc>
          <w:tcPr>
            <w:cnfStyle w:val="001000000000" w:firstRow="0" w:lastRow="0" w:firstColumn="1" w:lastColumn="0" w:oddVBand="0" w:evenVBand="0" w:oddHBand="0" w:evenHBand="0" w:firstRowFirstColumn="0" w:firstRowLastColumn="0" w:lastRowFirstColumn="0" w:lastRowLastColumn="0"/>
            <w:tcW w:w="1014" w:type="pct"/>
          </w:tcPr>
          <w:p w14:paraId="4C540DE5" w14:textId="51F207FC" w:rsidR="00324B33" w:rsidRPr="00F65C99" w:rsidRDefault="006430EA" w:rsidP="00E66038">
            <w:r w:rsidRPr="00F65C99">
              <w:t>Europe</w:t>
            </w:r>
            <w:r w:rsidR="00076B9A" w:rsidRPr="00F65C99">
              <w:t>an</w:t>
            </w:r>
            <w:r w:rsidR="00CC671F" w:rsidRPr="00F65C99">
              <w:t xml:space="preserve"> Union</w:t>
            </w:r>
            <w:r w:rsidR="0090509B" w:rsidRPr="00F65C99">
              <w:t xml:space="preserve"> (EU)</w:t>
            </w:r>
          </w:p>
        </w:tc>
        <w:tc>
          <w:tcPr>
            <w:tcW w:w="1018" w:type="pct"/>
          </w:tcPr>
          <w:p w14:paraId="4FA5DDA9" w14:textId="0E73FEBE" w:rsidR="00324B33" w:rsidRPr="00F65C99" w:rsidRDefault="006430EA" w:rsidP="00E66038">
            <w:pPr>
              <w:cnfStyle w:val="000000000000" w:firstRow="0" w:lastRow="0" w:firstColumn="0" w:lastColumn="0" w:oddVBand="0" w:evenVBand="0" w:oddHBand="0" w:evenHBand="0" w:firstRowFirstColumn="0" w:firstRowLastColumn="0" w:lastRowFirstColumn="0" w:lastRowLastColumn="0"/>
            </w:pPr>
            <w:r w:rsidRPr="00F65C99">
              <w:t>5 February 2019</w:t>
            </w:r>
          </w:p>
        </w:tc>
        <w:tc>
          <w:tcPr>
            <w:tcW w:w="1173" w:type="pct"/>
          </w:tcPr>
          <w:p w14:paraId="29358393" w14:textId="03E37E5D" w:rsidR="00324B33" w:rsidRPr="00F65C99" w:rsidRDefault="00324B33" w:rsidP="00E66038">
            <w:pPr>
              <w:cnfStyle w:val="000000000000" w:firstRow="0" w:lastRow="0" w:firstColumn="0" w:lastColumn="0" w:oddVBand="0" w:evenVBand="0" w:oddHBand="0" w:evenHBand="0" w:firstRowFirstColumn="0" w:firstRowLastColumn="0" w:lastRowFirstColumn="0" w:lastRowLastColumn="0"/>
            </w:pPr>
            <w:r w:rsidRPr="00F65C99">
              <w:t xml:space="preserve">Approved on </w:t>
            </w:r>
            <w:r w:rsidR="006430EA" w:rsidRPr="00F65C99">
              <w:t>25 August 2020</w:t>
            </w:r>
          </w:p>
        </w:tc>
        <w:tc>
          <w:tcPr>
            <w:tcW w:w="1795" w:type="pct"/>
          </w:tcPr>
          <w:p w14:paraId="05055674" w14:textId="30B84F78" w:rsidR="00324B33" w:rsidRPr="00F65C99" w:rsidRDefault="006430EA" w:rsidP="00E66038">
            <w:pPr>
              <w:cnfStyle w:val="000000000000" w:firstRow="0" w:lastRow="0" w:firstColumn="0" w:lastColumn="0" w:oddVBand="0" w:evenVBand="0" w:oddHBand="0" w:evenHBand="0" w:firstRowFirstColumn="0" w:firstRowLastColumn="0" w:lastRowFirstColumn="0" w:lastRowLastColumn="0"/>
              <w:rPr>
                <w:i/>
                <w:iCs/>
              </w:rPr>
            </w:pPr>
            <w:r w:rsidRPr="00F65C99">
              <w:rPr>
                <w:i/>
                <w:iCs/>
              </w:rPr>
              <w:t>Idefirix is indicated for desensitisation treatment of highly sensitised adult kidney transplant patients with positive crossmatch against an available deceased donor. The use of Idefirix should be reserved for patients unlikely to be transplanted under the available kidney allocation system including prioritisation programmes for highly sensitised patients</w:t>
            </w:r>
          </w:p>
        </w:tc>
      </w:tr>
      <w:tr w:rsidR="00324B33" w:rsidRPr="00F65C99" w14:paraId="18B6E2AA" w14:textId="7783D66F" w:rsidTr="00F65C99">
        <w:trPr>
          <w:jc w:val="center"/>
        </w:trPr>
        <w:tc>
          <w:tcPr>
            <w:cnfStyle w:val="001000000000" w:firstRow="0" w:lastRow="0" w:firstColumn="1" w:lastColumn="0" w:oddVBand="0" w:evenVBand="0" w:oddHBand="0" w:evenHBand="0" w:firstRowFirstColumn="0" w:firstRowLastColumn="0" w:lastRowFirstColumn="0" w:lastRowLastColumn="0"/>
            <w:tcW w:w="1014" w:type="pct"/>
          </w:tcPr>
          <w:p w14:paraId="7F348960" w14:textId="4AF2BF69" w:rsidR="00324B33" w:rsidRPr="00F65C99" w:rsidRDefault="006430EA" w:rsidP="00E66038">
            <w:r w:rsidRPr="00F65C99">
              <w:t>United Kingdom</w:t>
            </w:r>
          </w:p>
        </w:tc>
        <w:tc>
          <w:tcPr>
            <w:tcW w:w="1018" w:type="pct"/>
          </w:tcPr>
          <w:p w14:paraId="1D871E57" w14:textId="5DB941D4" w:rsidR="00324B33" w:rsidRPr="00F65C99" w:rsidRDefault="006430EA" w:rsidP="00E66038">
            <w:pPr>
              <w:cnfStyle w:val="000000000000" w:firstRow="0" w:lastRow="0" w:firstColumn="0" w:lastColumn="0" w:oddVBand="0" w:evenVBand="0" w:oddHBand="0" w:evenHBand="0" w:firstRowFirstColumn="0" w:firstRowLastColumn="0" w:lastRowFirstColumn="0" w:lastRowLastColumn="0"/>
            </w:pPr>
            <w:r w:rsidRPr="00F65C99">
              <w:t>5 February 2019</w:t>
            </w:r>
          </w:p>
        </w:tc>
        <w:tc>
          <w:tcPr>
            <w:tcW w:w="1173" w:type="pct"/>
          </w:tcPr>
          <w:p w14:paraId="63A3A9D3" w14:textId="49A6CF98" w:rsidR="00324B33" w:rsidRPr="00F65C99" w:rsidRDefault="006430EA" w:rsidP="00E66038">
            <w:pPr>
              <w:cnfStyle w:val="000000000000" w:firstRow="0" w:lastRow="0" w:firstColumn="0" w:lastColumn="0" w:oddVBand="0" w:evenVBand="0" w:oddHBand="0" w:evenHBand="0" w:firstRowFirstColumn="0" w:firstRowLastColumn="0" w:lastRowFirstColumn="0" w:lastRowLastColumn="0"/>
            </w:pPr>
            <w:r w:rsidRPr="00F65C99">
              <w:t>Approved on 1 January 2021</w:t>
            </w:r>
            <w:r w:rsidR="003A7B83" w:rsidRPr="00F65C99">
              <w:t xml:space="preserve"> (</w:t>
            </w:r>
            <w:r w:rsidR="00172894" w:rsidRPr="00F65C99">
              <w:t>national license</w:t>
            </w:r>
            <w:r w:rsidR="0090509B" w:rsidRPr="00F65C99">
              <w:t>: due to exit from EU)</w:t>
            </w:r>
          </w:p>
        </w:tc>
        <w:tc>
          <w:tcPr>
            <w:tcW w:w="1795" w:type="pct"/>
          </w:tcPr>
          <w:p w14:paraId="17C650B8" w14:textId="49B2CF5A" w:rsidR="00324B33" w:rsidRPr="00F65C99" w:rsidRDefault="006430EA" w:rsidP="00E66038">
            <w:pPr>
              <w:cnfStyle w:val="000000000000" w:firstRow="0" w:lastRow="0" w:firstColumn="0" w:lastColumn="0" w:oddVBand="0" w:evenVBand="0" w:oddHBand="0" w:evenHBand="0" w:firstRowFirstColumn="0" w:firstRowLastColumn="0" w:lastRowFirstColumn="0" w:lastRowLastColumn="0"/>
              <w:rPr>
                <w:i/>
                <w:iCs/>
              </w:rPr>
            </w:pPr>
            <w:r w:rsidRPr="00F65C99">
              <w:rPr>
                <w:i/>
                <w:iCs/>
              </w:rPr>
              <w:t>Idefirix is indicated for desensitisation treatment of highly sensitised adult kidney transplant patients with positive crossmatch against an available deceased donor. The use of Idefirix should be reserved for patients unlikely to be transplanted under the available kidney allocation system including prioritisation programmes for highly sensitised patients.</w:t>
            </w:r>
          </w:p>
        </w:tc>
      </w:tr>
      <w:tr w:rsidR="006E4DF1" w:rsidRPr="00F65C99" w14:paraId="36858F2A" w14:textId="77777777" w:rsidTr="00F65C99">
        <w:trPr>
          <w:jc w:val="center"/>
        </w:trPr>
        <w:tc>
          <w:tcPr>
            <w:cnfStyle w:val="001000000000" w:firstRow="0" w:lastRow="0" w:firstColumn="1" w:lastColumn="0" w:oddVBand="0" w:evenVBand="0" w:oddHBand="0" w:evenHBand="0" w:firstRowFirstColumn="0" w:firstRowLastColumn="0" w:lastRowFirstColumn="0" w:lastRowLastColumn="0"/>
            <w:tcW w:w="1014" w:type="pct"/>
          </w:tcPr>
          <w:p w14:paraId="02917ABD" w14:textId="2FD12EB5" w:rsidR="006E4DF1" w:rsidRPr="00F65C99" w:rsidRDefault="002B5560" w:rsidP="00E66038">
            <w:r w:rsidRPr="00F65C99">
              <w:t>Israel</w:t>
            </w:r>
          </w:p>
        </w:tc>
        <w:tc>
          <w:tcPr>
            <w:tcW w:w="1018" w:type="pct"/>
          </w:tcPr>
          <w:p w14:paraId="221E67DF" w14:textId="2C8FFA40" w:rsidR="006E4DF1" w:rsidRPr="00F65C99" w:rsidRDefault="006E4DF1" w:rsidP="00E66038">
            <w:pPr>
              <w:cnfStyle w:val="000000000000" w:firstRow="0" w:lastRow="0" w:firstColumn="0" w:lastColumn="0" w:oddVBand="0" w:evenVBand="0" w:oddHBand="0" w:evenHBand="0" w:firstRowFirstColumn="0" w:firstRowLastColumn="0" w:lastRowFirstColumn="0" w:lastRowLastColumn="0"/>
            </w:pPr>
            <w:r w:rsidRPr="00F65C99">
              <w:t>5 July 2021</w:t>
            </w:r>
          </w:p>
        </w:tc>
        <w:tc>
          <w:tcPr>
            <w:tcW w:w="1173" w:type="pct"/>
          </w:tcPr>
          <w:p w14:paraId="0383AD3C" w14:textId="377220CD" w:rsidR="006E4DF1" w:rsidRPr="00F65C99" w:rsidRDefault="006E4DF1" w:rsidP="00E66038">
            <w:pPr>
              <w:cnfStyle w:val="000000000000" w:firstRow="0" w:lastRow="0" w:firstColumn="0" w:lastColumn="0" w:oddVBand="0" w:evenVBand="0" w:oddHBand="0" w:evenHBand="0" w:firstRowFirstColumn="0" w:firstRowLastColumn="0" w:lastRowFirstColumn="0" w:lastRowLastColumn="0"/>
            </w:pPr>
            <w:r w:rsidRPr="00F65C99">
              <w:t>Approved on 21 March 2022</w:t>
            </w:r>
          </w:p>
        </w:tc>
        <w:tc>
          <w:tcPr>
            <w:tcW w:w="1795" w:type="pct"/>
          </w:tcPr>
          <w:p w14:paraId="6D998B65" w14:textId="03DD88AB" w:rsidR="006E4DF1" w:rsidRPr="00F65C99" w:rsidRDefault="006E4DF1" w:rsidP="00E66038">
            <w:pPr>
              <w:cnfStyle w:val="000000000000" w:firstRow="0" w:lastRow="0" w:firstColumn="0" w:lastColumn="0" w:oddVBand="0" w:evenVBand="0" w:oddHBand="0" w:evenHBand="0" w:firstRowFirstColumn="0" w:firstRowLastColumn="0" w:lastRowFirstColumn="0" w:lastRowLastColumn="0"/>
              <w:rPr>
                <w:i/>
                <w:iCs/>
              </w:rPr>
            </w:pPr>
            <w:r w:rsidRPr="00F65C99">
              <w:rPr>
                <w:i/>
                <w:iCs/>
              </w:rPr>
              <w:t>Idefirix is indicated for desensitisation treatment of highly sensitised adult kidney transplant patients with positive crossmatch against an available deceased donor. The use of Idefirix should be reserved for patients unlikely to be transplanted under the available kidney allocation system including prioritisation programmes for highly sensitised patients.</w:t>
            </w:r>
          </w:p>
        </w:tc>
      </w:tr>
      <w:tr w:rsidR="006E4DF1" w:rsidRPr="00F65C99" w14:paraId="72F4E3DB" w14:textId="77777777" w:rsidTr="00F65C99">
        <w:trPr>
          <w:jc w:val="center"/>
        </w:trPr>
        <w:tc>
          <w:tcPr>
            <w:cnfStyle w:val="001000000000" w:firstRow="0" w:lastRow="0" w:firstColumn="1" w:lastColumn="0" w:oddVBand="0" w:evenVBand="0" w:oddHBand="0" w:evenHBand="0" w:firstRowFirstColumn="0" w:firstRowLastColumn="0" w:lastRowFirstColumn="0" w:lastRowLastColumn="0"/>
            <w:tcW w:w="1014" w:type="pct"/>
          </w:tcPr>
          <w:p w14:paraId="14554382" w14:textId="639F6AD2" w:rsidR="006E4DF1" w:rsidRPr="00F65C99" w:rsidRDefault="006E4DF1" w:rsidP="00E66038">
            <w:r w:rsidRPr="00F65C99">
              <w:lastRenderedPageBreak/>
              <w:t>Switzerland</w:t>
            </w:r>
          </w:p>
        </w:tc>
        <w:tc>
          <w:tcPr>
            <w:tcW w:w="1018" w:type="pct"/>
          </w:tcPr>
          <w:p w14:paraId="260B8421" w14:textId="6FD49A58" w:rsidR="006E4DF1" w:rsidRPr="00F65C99" w:rsidRDefault="006E4DF1" w:rsidP="00E66038">
            <w:pPr>
              <w:cnfStyle w:val="000000000000" w:firstRow="0" w:lastRow="0" w:firstColumn="0" w:lastColumn="0" w:oddVBand="0" w:evenVBand="0" w:oddHBand="0" w:evenHBand="0" w:firstRowFirstColumn="0" w:firstRowLastColumn="0" w:lastRowFirstColumn="0" w:lastRowLastColumn="0"/>
            </w:pPr>
            <w:r w:rsidRPr="00F65C99">
              <w:t>5 July 2021</w:t>
            </w:r>
          </w:p>
        </w:tc>
        <w:tc>
          <w:tcPr>
            <w:tcW w:w="1173" w:type="pct"/>
          </w:tcPr>
          <w:p w14:paraId="22D8BEC8" w14:textId="254159CA" w:rsidR="006E4DF1" w:rsidRPr="00F65C99" w:rsidRDefault="006E4DF1" w:rsidP="00E66038">
            <w:pPr>
              <w:cnfStyle w:val="000000000000" w:firstRow="0" w:lastRow="0" w:firstColumn="0" w:lastColumn="0" w:oddVBand="0" w:evenVBand="0" w:oddHBand="0" w:evenHBand="0" w:firstRowFirstColumn="0" w:firstRowLastColumn="0" w:lastRowFirstColumn="0" w:lastRowLastColumn="0"/>
            </w:pPr>
            <w:r w:rsidRPr="00F65C99">
              <w:t xml:space="preserve">Approved on </w:t>
            </w:r>
            <w:r w:rsidR="00524472" w:rsidRPr="00F65C99">
              <w:t>6</w:t>
            </w:r>
            <w:r w:rsidRPr="00F65C99">
              <w:t xml:space="preserve"> May 2022</w:t>
            </w:r>
          </w:p>
        </w:tc>
        <w:tc>
          <w:tcPr>
            <w:tcW w:w="1795" w:type="pct"/>
          </w:tcPr>
          <w:p w14:paraId="701BBB7F" w14:textId="162D2397" w:rsidR="006E4DF1" w:rsidRPr="00F65C99" w:rsidRDefault="006E4DF1" w:rsidP="00E66038">
            <w:pPr>
              <w:cnfStyle w:val="000000000000" w:firstRow="0" w:lastRow="0" w:firstColumn="0" w:lastColumn="0" w:oddVBand="0" w:evenVBand="0" w:oddHBand="0" w:evenHBand="0" w:firstRowFirstColumn="0" w:firstRowLastColumn="0" w:lastRowFirstColumn="0" w:lastRowLastColumn="0"/>
              <w:rPr>
                <w:i/>
                <w:iCs/>
              </w:rPr>
            </w:pPr>
            <w:r w:rsidRPr="00F65C99">
              <w:rPr>
                <w:i/>
                <w:iCs/>
              </w:rPr>
              <w:t>Idefirix can be used before a kidney transplant for rapid and temporary inactivation of immunoglobulin G (IgG) in adult patients with positive crossmatch against an available deceased donor. The use of Idefirix should be reserved for patients unlikely to be transplanted under the available kidney allocation system including prioritisation programmes for highly sensitised patients.</w:t>
            </w:r>
          </w:p>
        </w:tc>
      </w:tr>
    </w:tbl>
    <w:p w14:paraId="4DDA5155" w14:textId="5F0D78C5" w:rsidR="006E4DF1" w:rsidRPr="006E4DF1" w:rsidRDefault="006E4DF1" w:rsidP="006E4DF1">
      <w:pPr>
        <w:spacing w:before="120"/>
      </w:pPr>
      <w:r>
        <w:t>The Delegate</w:t>
      </w:r>
      <w:r w:rsidRPr="006E4DF1">
        <w:t xml:space="preserve"> noted that the indications in the </w:t>
      </w:r>
      <w:r w:rsidR="00CC671F">
        <w:t>EU</w:t>
      </w:r>
      <w:r w:rsidRPr="006E4DF1">
        <w:t>, Switzerland, and Israel are restricted to deceased donors, and do not include living donors.</w:t>
      </w:r>
    </w:p>
    <w:p w14:paraId="56170D8F" w14:textId="0F6A5F40" w:rsidR="00324B33" w:rsidRPr="0098350E" w:rsidRDefault="006E4DF1" w:rsidP="006E4DF1">
      <w:pPr>
        <w:spacing w:before="120"/>
      </w:pPr>
      <w:r>
        <w:t xml:space="preserve">The Delegate noted that </w:t>
      </w:r>
      <w:r w:rsidRPr="006E4DF1">
        <w:t xml:space="preserve">the </w:t>
      </w:r>
      <w:r>
        <w:t>s</w:t>
      </w:r>
      <w:r w:rsidRPr="006E4DF1">
        <w:t>ponsor</w:t>
      </w:r>
      <w:r>
        <w:t xml:space="preserve"> has</w:t>
      </w:r>
      <w:r w:rsidRPr="006E4DF1">
        <w:t xml:space="preserve"> stated that no regulatory agency has refused to approve the product for the proposed indication on safety grounds.</w:t>
      </w:r>
    </w:p>
    <w:p w14:paraId="064CCADF" w14:textId="77777777" w:rsidR="00324B33" w:rsidRDefault="00324B33" w:rsidP="00324B33">
      <w:pPr>
        <w:pStyle w:val="Heading3"/>
      </w:pPr>
      <w:bookmarkStart w:id="22" w:name="_Toc103679292"/>
      <w:bookmarkStart w:id="23" w:name="_Toc166143705"/>
      <w:r>
        <w:t>Product Information</w:t>
      </w:r>
      <w:bookmarkEnd w:id="22"/>
      <w:bookmarkEnd w:id="23"/>
    </w:p>
    <w:p w14:paraId="4B0F7D57" w14:textId="117F5C29" w:rsidR="00324B33" w:rsidRPr="00BD5DBD" w:rsidRDefault="00324B33" w:rsidP="00324B33">
      <w:pPr>
        <w:rPr>
          <w:szCs w:val="22"/>
        </w:rPr>
      </w:pPr>
      <w:bookmarkStart w:id="24" w:name="_Toc504480011"/>
      <w:r w:rsidRPr="00BD5DBD">
        <w:rPr>
          <w:szCs w:val="22"/>
        </w:rPr>
        <w:t xml:space="preserve">The </w:t>
      </w:r>
      <w:hyperlink r:id="rId20" w:history="1">
        <w:r w:rsidRPr="00BD5DBD">
          <w:rPr>
            <w:rStyle w:val="Hyperlink"/>
            <w:szCs w:val="22"/>
          </w:rPr>
          <w:t>Product Information</w:t>
        </w:r>
      </w:hyperlink>
      <w:r w:rsidRPr="00BD5DBD">
        <w:rPr>
          <w:szCs w:val="22"/>
        </w:rPr>
        <w:t xml:space="preserve"> (</w:t>
      </w:r>
      <w:hyperlink r:id="rId21"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2"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3" w:history="1">
        <w:r w:rsidRPr="00BD5DBD">
          <w:rPr>
            <w:rStyle w:val="Hyperlink"/>
            <w:szCs w:val="22"/>
          </w:rPr>
          <w:t>PI/CMI search facility.</w:t>
        </w:r>
      </w:hyperlink>
    </w:p>
    <w:p w14:paraId="6D92589C" w14:textId="77777777" w:rsidR="00324B33" w:rsidRDefault="00324B33" w:rsidP="00324B33">
      <w:pPr>
        <w:pStyle w:val="Heading2"/>
      </w:pPr>
      <w:bookmarkStart w:id="25" w:name="_Toc103679293"/>
      <w:bookmarkStart w:id="26" w:name="_Toc166143706"/>
      <w:r>
        <w:t>Registration timeline</w:t>
      </w:r>
      <w:bookmarkEnd w:id="24"/>
      <w:bookmarkEnd w:id="25"/>
      <w:bookmarkEnd w:id="26"/>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B885475" w14:textId="238A5239" w:rsidR="00535DFE" w:rsidRPr="00BD5DBD" w:rsidRDefault="00535DFE" w:rsidP="00324B33">
      <w:pPr>
        <w:rPr>
          <w:szCs w:val="22"/>
        </w:rPr>
      </w:pPr>
      <w:r w:rsidRPr="00BD5DBD">
        <w:rPr>
          <w:szCs w:val="22"/>
        </w:rPr>
        <w:t xml:space="preserve">This submission was evaluated under the </w:t>
      </w:r>
      <w:hyperlink r:id="rId24" w:history="1">
        <w:r w:rsidRPr="00BD5DBD">
          <w:rPr>
            <w:rStyle w:val="Hyperlink"/>
            <w:szCs w:val="22"/>
          </w:rPr>
          <w:t>provisional registration process</w:t>
        </w:r>
      </w:hyperlink>
      <w:r w:rsidRPr="00BD5DBD">
        <w:rPr>
          <w:szCs w:val="22"/>
        </w:rPr>
        <w:t>.</w:t>
      </w:r>
    </w:p>
    <w:p w14:paraId="44628C5F" w14:textId="7F17CD4E" w:rsidR="00324B33" w:rsidRDefault="00324B33" w:rsidP="00E66038">
      <w:pPr>
        <w:pStyle w:val="TableTitle"/>
      </w:pPr>
      <w:r>
        <w:t xml:space="preserve">Table </w:t>
      </w:r>
      <w:r w:rsidR="0013528C">
        <w:fldChar w:fldCharType="begin"/>
      </w:r>
      <w:r w:rsidR="0013528C">
        <w:rPr>
          <w:b w:val="0"/>
        </w:rPr>
        <w:instrText xml:space="preserve"> SEQ Table \* ARABIC </w:instrText>
      </w:r>
      <w:r w:rsidR="0013528C">
        <w:fldChar w:fldCharType="separate"/>
      </w:r>
      <w:r w:rsidR="00755A69">
        <w:rPr>
          <w:b w:val="0"/>
          <w:noProof/>
        </w:rPr>
        <w:t>2</w:t>
      </w:r>
      <w:r w:rsidR="0013528C">
        <w:rPr>
          <w:noProof/>
        </w:rPr>
        <w:fldChar w:fldCharType="end"/>
      </w:r>
      <w:r>
        <w:t>:</w:t>
      </w:r>
      <w:r w:rsidRPr="006A58A8">
        <w:t xml:space="preserve"> Timeline for Submission PM-20</w:t>
      </w:r>
      <w:r>
        <w:t>2</w:t>
      </w:r>
      <w:r w:rsidR="00544375">
        <w:t>2</w:t>
      </w:r>
      <w:r w:rsidRPr="006A58A8">
        <w:t>-</w:t>
      </w:r>
      <w:r w:rsidR="00544375">
        <w:t>02499</w:t>
      </w:r>
      <w:r w:rsidRPr="006A58A8">
        <w:t>-1-</w:t>
      </w:r>
      <w:r w:rsidR="00544375">
        <w:t>2</w:t>
      </w:r>
    </w:p>
    <w:tbl>
      <w:tblPr>
        <w:tblStyle w:val="TableTGAblue2023"/>
        <w:tblW w:w="8642" w:type="dxa"/>
        <w:tblLook w:val="04A0" w:firstRow="1" w:lastRow="0" w:firstColumn="1" w:lastColumn="0" w:noHBand="0" w:noVBand="1"/>
      </w:tblPr>
      <w:tblGrid>
        <w:gridCol w:w="6091"/>
        <w:gridCol w:w="2551"/>
      </w:tblGrid>
      <w:tr w:rsidR="00324B33" w:rsidRPr="00D01DDB" w14:paraId="6C59BE9C" w14:textId="77777777" w:rsidTr="00E66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1106CC1E" w14:textId="4A1D28E9" w:rsidR="00324B33" w:rsidRPr="00544375" w:rsidRDefault="00324B33" w:rsidP="00544375">
            <w:r w:rsidRPr="00544375">
              <w:t>Designation (Orphan)</w:t>
            </w:r>
          </w:p>
        </w:tc>
        <w:tc>
          <w:tcPr>
            <w:tcW w:w="2551" w:type="dxa"/>
          </w:tcPr>
          <w:p w14:paraId="4CD143CF" w14:textId="0E002E40"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May 2022</w:t>
            </w:r>
          </w:p>
        </w:tc>
      </w:tr>
      <w:tr w:rsidR="00324B33" w:rsidRPr="00D01DDB" w14:paraId="0556FE3C"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49DFA3AA" w14:textId="5BD76213" w:rsidR="00324B33" w:rsidRPr="00544375" w:rsidRDefault="00324B33" w:rsidP="00544375">
            <w:r w:rsidRPr="00544375">
              <w:t>Determination (Provisional)</w:t>
            </w:r>
          </w:p>
        </w:tc>
        <w:tc>
          <w:tcPr>
            <w:tcW w:w="2551" w:type="dxa"/>
          </w:tcPr>
          <w:p w14:paraId="239696E3" w14:textId="255095C4"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9 May 2022</w:t>
            </w:r>
          </w:p>
        </w:tc>
      </w:tr>
      <w:tr w:rsidR="00324B33" w:rsidRPr="00D01DDB" w14:paraId="23610C53"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551" w:type="dxa"/>
          </w:tcPr>
          <w:p w14:paraId="2963D9D8" w14:textId="3A8DDFDB"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August 2022</w:t>
            </w:r>
          </w:p>
        </w:tc>
      </w:tr>
      <w:tr w:rsidR="00324B33" w:rsidRPr="00D01DDB" w14:paraId="53437815"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4C037D4E" w14:textId="2B0CE255" w:rsidR="00324B33" w:rsidRPr="00D01DDB" w:rsidRDefault="00324B33" w:rsidP="00324B33">
            <w:pPr>
              <w:rPr>
                <w:szCs w:val="22"/>
              </w:rPr>
            </w:pPr>
            <w:r w:rsidRPr="00D01DDB">
              <w:rPr>
                <w:szCs w:val="22"/>
              </w:rPr>
              <w:t>First round evaluation completed</w:t>
            </w:r>
          </w:p>
        </w:tc>
        <w:tc>
          <w:tcPr>
            <w:tcW w:w="2551" w:type="dxa"/>
          </w:tcPr>
          <w:p w14:paraId="3CEAFAAB" w14:textId="718FE680"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December 2022</w:t>
            </w:r>
          </w:p>
        </w:tc>
      </w:tr>
      <w:tr w:rsidR="00324B33" w:rsidRPr="00D01DDB" w14:paraId="60DA57CC"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2551" w:type="dxa"/>
          </w:tcPr>
          <w:p w14:paraId="68A577C1" w14:textId="195A4717"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2023</w:t>
            </w:r>
          </w:p>
        </w:tc>
      </w:tr>
      <w:tr w:rsidR="00324B33" w:rsidRPr="00D01DDB" w14:paraId="767E33A4"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4AFC5B50" w14:textId="2BCC6A3E" w:rsidR="00324B33" w:rsidRPr="00D01DDB" w:rsidRDefault="00324B33" w:rsidP="00324B33">
            <w:pPr>
              <w:rPr>
                <w:szCs w:val="22"/>
              </w:rPr>
            </w:pPr>
            <w:r w:rsidRPr="00D01DDB">
              <w:rPr>
                <w:szCs w:val="22"/>
              </w:rPr>
              <w:t>Second round evaluation completed</w:t>
            </w:r>
          </w:p>
        </w:tc>
        <w:tc>
          <w:tcPr>
            <w:tcW w:w="2551" w:type="dxa"/>
          </w:tcPr>
          <w:p w14:paraId="4E47DF62" w14:textId="03C848EF"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April 2023</w:t>
            </w:r>
          </w:p>
        </w:tc>
      </w:tr>
      <w:tr w:rsidR="00324B33" w:rsidRPr="00D01DDB" w14:paraId="302FCB45"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716E9DC1" w14:textId="3B34C91B" w:rsidR="00324B33" w:rsidRPr="00D01DDB" w:rsidRDefault="00324B33" w:rsidP="00324B33">
            <w:pPr>
              <w:rPr>
                <w:szCs w:val="22"/>
              </w:rPr>
            </w:pPr>
            <w:r w:rsidRPr="00544375">
              <w:rPr>
                <w:color w:val="auto"/>
                <w:szCs w:val="22"/>
              </w:rPr>
              <w:lastRenderedPageBreak/>
              <w:t>Delegate’s Overall benefit-risk assessment and request for Advisory Committee advice</w:t>
            </w:r>
          </w:p>
        </w:tc>
        <w:tc>
          <w:tcPr>
            <w:tcW w:w="2551" w:type="dxa"/>
          </w:tcPr>
          <w:p w14:paraId="3BA6EF79" w14:textId="72B33743"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May 2023</w:t>
            </w:r>
          </w:p>
        </w:tc>
      </w:tr>
      <w:tr w:rsidR="00324B33" w:rsidRPr="00D01DDB" w14:paraId="5832EBC8"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720592DE" w14:textId="1F72CD22" w:rsidR="00324B33" w:rsidRPr="00D01DDB" w:rsidRDefault="00324B33" w:rsidP="00324B33">
            <w:pPr>
              <w:rPr>
                <w:szCs w:val="22"/>
              </w:rPr>
            </w:pPr>
            <w:r w:rsidRPr="00D01DDB">
              <w:rPr>
                <w:szCs w:val="22"/>
              </w:rPr>
              <w:t>Sponsor’s pre-Advisory Committee response</w:t>
            </w:r>
          </w:p>
        </w:tc>
        <w:tc>
          <w:tcPr>
            <w:tcW w:w="2551" w:type="dxa"/>
          </w:tcPr>
          <w:p w14:paraId="5AE04841" w14:textId="18753A9F"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May 2023</w:t>
            </w:r>
          </w:p>
        </w:tc>
      </w:tr>
      <w:tr w:rsidR="00324B33" w:rsidRPr="00D01DDB" w14:paraId="5754F7AC"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789DE187" w14:textId="123446EE" w:rsidR="00324B33" w:rsidRPr="00D01DDB" w:rsidRDefault="00324B33" w:rsidP="00324B33">
            <w:pPr>
              <w:rPr>
                <w:szCs w:val="22"/>
              </w:rPr>
            </w:pPr>
            <w:r w:rsidRPr="00D01DDB">
              <w:rPr>
                <w:szCs w:val="22"/>
              </w:rPr>
              <w:t>Advisory Committee meeting</w:t>
            </w:r>
          </w:p>
        </w:tc>
        <w:tc>
          <w:tcPr>
            <w:tcW w:w="2551" w:type="dxa"/>
          </w:tcPr>
          <w:p w14:paraId="5BE1EDE7" w14:textId="2293D331"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and 2 June 2023</w:t>
            </w:r>
          </w:p>
        </w:tc>
      </w:tr>
      <w:tr w:rsidR="00324B33" w:rsidRPr="00D01DDB" w14:paraId="6E5D32FE"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D01DDB" w:rsidRDefault="00324B33" w:rsidP="00324B33">
            <w:pPr>
              <w:rPr>
                <w:szCs w:val="22"/>
              </w:rPr>
            </w:pPr>
            <w:r w:rsidRPr="00D01DDB">
              <w:rPr>
                <w:szCs w:val="22"/>
              </w:rPr>
              <w:t>Registration decision (Outcome)</w:t>
            </w:r>
          </w:p>
        </w:tc>
        <w:tc>
          <w:tcPr>
            <w:tcW w:w="2551" w:type="dxa"/>
          </w:tcPr>
          <w:p w14:paraId="62987ABD" w14:textId="453E4748"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July 2023</w:t>
            </w:r>
          </w:p>
        </w:tc>
      </w:tr>
      <w:tr w:rsidR="00324B33" w:rsidRPr="00D01DDB" w14:paraId="6DDCDDA4"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192FD19D" w14:textId="7D5F96C5" w:rsidR="00324B33" w:rsidRPr="00D01DDB" w:rsidRDefault="0013132F" w:rsidP="00324B33">
            <w:pPr>
              <w:rPr>
                <w:szCs w:val="22"/>
              </w:rPr>
            </w:pPr>
            <w:r>
              <w:t>Administrative activities and registration on the ARTG completed</w:t>
            </w:r>
          </w:p>
        </w:tc>
        <w:tc>
          <w:tcPr>
            <w:tcW w:w="2551" w:type="dxa"/>
          </w:tcPr>
          <w:p w14:paraId="5A8923FD" w14:textId="4EB350CE"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 July 2023</w:t>
            </w:r>
          </w:p>
        </w:tc>
      </w:tr>
      <w:tr w:rsidR="00324B33" w:rsidRPr="00D01DDB" w14:paraId="56D922E2" w14:textId="77777777" w:rsidTr="00E66038">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2551" w:type="dxa"/>
          </w:tcPr>
          <w:p w14:paraId="5BAF9FA1" w14:textId="36164A07" w:rsidR="00324B33" w:rsidRPr="00D01DDB" w:rsidRDefault="0054437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189</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27" w:name="_Toc196046504"/>
      <w:bookmarkStart w:id="28" w:name="_Toc247691527"/>
      <w:bookmarkStart w:id="29" w:name="_Toc314842510"/>
      <w:bookmarkStart w:id="30" w:name="_Toc103679294"/>
      <w:bookmarkStart w:id="31" w:name="_Toc16614370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7"/>
      <w:bookmarkEnd w:id="28"/>
      <w:bookmarkEnd w:id="29"/>
      <w:bookmarkEnd w:id="30"/>
      <w:bookmarkEnd w:id="31"/>
    </w:p>
    <w:p w14:paraId="540151FC" w14:textId="77777777" w:rsidR="00C22214" w:rsidRPr="00BD5DBD" w:rsidRDefault="00C22214" w:rsidP="00BD5DBD">
      <w:pPr>
        <w:rPr>
          <w:szCs w:val="22"/>
        </w:rPr>
      </w:pPr>
      <w:bookmarkStart w:id="32" w:name="_Toc247691528"/>
      <w:bookmarkStart w:id="33" w:name="_Toc314842511"/>
      <w:r w:rsidRPr="00BD5DBD">
        <w:rPr>
          <w:szCs w:val="22"/>
        </w:rPr>
        <w:t>A summary of the TGA’s assessment for this submission is provided below.</w:t>
      </w:r>
    </w:p>
    <w:p w14:paraId="37F5A1C0" w14:textId="1968A99B" w:rsidR="00C22214" w:rsidRDefault="00C22214" w:rsidP="00C22214">
      <w:pPr>
        <w:pStyle w:val="Heading3"/>
      </w:pPr>
      <w:bookmarkStart w:id="34" w:name="_Toc103679295"/>
      <w:bookmarkStart w:id="35" w:name="_Toc166143708"/>
      <w:r>
        <w:t>Quality</w:t>
      </w:r>
      <w:bookmarkEnd w:id="32"/>
      <w:bookmarkEnd w:id="33"/>
      <w:bookmarkEnd w:id="34"/>
      <w:bookmarkEnd w:id="35"/>
    </w:p>
    <w:p w14:paraId="5F3F5C39" w14:textId="577E6B88" w:rsidR="00023AA9" w:rsidRPr="00023AA9" w:rsidRDefault="00023AA9" w:rsidP="00DB2744">
      <w:pPr>
        <w:pStyle w:val="Heading5"/>
      </w:pPr>
      <w:r>
        <w:t>Structure</w:t>
      </w:r>
    </w:p>
    <w:p w14:paraId="7C514715" w14:textId="7FB1D40C" w:rsidR="006E4DF1" w:rsidRPr="006E4DF1" w:rsidRDefault="006E4DF1" w:rsidP="006E4DF1">
      <w:r>
        <w:t xml:space="preserve">Idefirix </w:t>
      </w:r>
      <w:r w:rsidRPr="006E4DF1">
        <w:t xml:space="preserve">consists of </w:t>
      </w:r>
      <w:r w:rsidR="00F7359E">
        <w:t xml:space="preserve"> the </w:t>
      </w:r>
      <w:proofErr w:type="spellStart"/>
      <w:r w:rsidRPr="006E4DF1">
        <w:t>IdeS</w:t>
      </w:r>
      <w:proofErr w:type="spellEnd"/>
      <w:r w:rsidRPr="006E4DF1">
        <w:t xml:space="preserve"> molecule (</w:t>
      </w:r>
      <w:proofErr w:type="spellStart"/>
      <w:r w:rsidRPr="006E4DF1">
        <w:t>imlifidase</w:t>
      </w:r>
      <w:proofErr w:type="spellEnd"/>
      <w:r w:rsidRPr="006E4DF1">
        <w:t>)</w:t>
      </w:r>
      <w:r w:rsidR="00C052D7">
        <w:t xml:space="preserve"> based on </w:t>
      </w:r>
      <w:proofErr w:type="spellStart"/>
      <w:r w:rsidR="00C052D7">
        <w:t>IdeS</w:t>
      </w:r>
      <w:proofErr w:type="spellEnd"/>
      <w:r w:rsidR="00C052D7">
        <w:t xml:space="preserve"> gene sequenc</w:t>
      </w:r>
      <w:r w:rsidR="00F7359E">
        <w:t>e</w:t>
      </w:r>
      <w:r w:rsidRPr="006E4DF1">
        <w:t xml:space="preserve">. Imlifidase is expressed in </w:t>
      </w:r>
      <w:r w:rsidRPr="006E4DF1">
        <w:rPr>
          <w:i/>
          <w:iCs/>
        </w:rPr>
        <w:t>Escherichia coli</w:t>
      </w:r>
      <w:r w:rsidR="00BE0034">
        <w:rPr>
          <w:i/>
          <w:iCs/>
        </w:rPr>
        <w:t>.</w:t>
      </w:r>
      <w:r w:rsidRPr="006E4DF1">
        <w:t xml:space="preserve"> </w:t>
      </w:r>
    </w:p>
    <w:p w14:paraId="5520FDB8" w14:textId="77777777" w:rsidR="006E4DF1" w:rsidRPr="006E4DF1" w:rsidRDefault="006E4DF1" w:rsidP="006E4DF1">
      <w:r w:rsidRPr="006E4DF1">
        <w:t>The theoretical molecular mass of imlifidase (35071 Da) is based on the amino acid sequence deduced from the coding DNA sequence. The molecular mass has been verified by mass spectrometry.</w:t>
      </w:r>
    </w:p>
    <w:p w14:paraId="6DB256E1" w14:textId="77777777" w:rsidR="006E4DF1" w:rsidRPr="006E4DF1" w:rsidRDefault="006E4DF1" w:rsidP="006E4DF1">
      <w:r w:rsidRPr="006E4DF1">
        <w:t>Imlifidase does not undergo post-translational modifications, is non-glycosylated and contains no signal peptide.</w:t>
      </w:r>
    </w:p>
    <w:p w14:paraId="6DBBEA2D" w14:textId="3E3D6BFA" w:rsidR="00F866FA" w:rsidRDefault="006E4DF1" w:rsidP="006E4DF1">
      <w:r w:rsidRPr="006E4DF1">
        <w:t>Imlifidase is a monomeric protein and folded into two distinct domains to form a functional enzyme with a cysteine residue in a catalytic triad at the active site. This cysteine residue is crucial for the activity of imlifidase. The protein structure is shown in</w:t>
      </w:r>
      <w:r w:rsidR="00023AA9">
        <w:t xml:space="preserve"> </w:t>
      </w:r>
      <w:r w:rsidR="00023AA9">
        <w:fldChar w:fldCharType="begin"/>
      </w:r>
      <w:r w:rsidR="00023AA9">
        <w:instrText xml:space="preserve"> REF _Ref148606938 \h </w:instrText>
      </w:r>
      <w:r w:rsidR="00023AA9">
        <w:fldChar w:fldCharType="separate"/>
      </w:r>
      <w:r w:rsidR="00755A69" w:rsidRPr="00023AA9">
        <w:t xml:space="preserve">Figure </w:t>
      </w:r>
      <w:r w:rsidR="00755A69">
        <w:rPr>
          <w:noProof/>
        </w:rPr>
        <w:t>1</w:t>
      </w:r>
      <w:r w:rsidR="00023AA9">
        <w:fldChar w:fldCharType="end"/>
      </w:r>
      <w:r w:rsidR="00023AA9">
        <w:t>.</w:t>
      </w:r>
    </w:p>
    <w:p w14:paraId="6F49C761" w14:textId="2CF3455B" w:rsidR="006E4DF1" w:rsidRDefault="00023AA9" w:rsidP="00E66038">
      <w:pPr>
        <w:pStyle w:val="FigureTitle"/>
      </w:pPr>
      <w:bookmarkStart w:id="36" w:name="_Ref148606938"/>
      <w:r w:rsidRPr="00023AA9">
        <w:t xml:space="preserve">Figure </w:t>
      </w:r>
      <w:fldSimple w:instr=" SEQ Figure \* ARABIC ">
        <w:r w:rsidR="00755A69">
          <w:rPr>
            <w:noProof/>
          </w:rPr>
          <w:t>1</w:t>
        </w:r>
      </w:fldSimple>
      <w:bookmarkEnd w:id="36"/>
      <w:r w:rsidRPr="00023AA9">
        <w:t xml:space="preserve">: Protein structure of </w:t>
      </w:r>
      <w:r w:rsidR="00F65C99" w:rsidRPr="00023AA9">
        <w:t>imlifidase.</w:t>
      </w:r>
    </w:p>
    <w:p w14:paraId="11138BD6" w14:textId="429ABCA4" w:rsidR="00023AA9" w:rsidRDefault="00023AA9" w:rsidP="00E66038">
      <w:r w:rsidRPr="005822CE">
        <w:rPr>
          <w:noProof/>
        </w:rPr>
        <w:drawing>
          <wp:inline distT="0" distB="0" distL="0" distR="0" wp14:anchorId="7420BE72" wp14:editId="48E1B2D2">
            <wp:extent cx="2536466" cy="1991072"/>
            <wp:effectExtent l="0" t="0" r="0" b="9525"/>
            <wp:docPr id="52" name="Picture 52" descr="Protein structure of imlifid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rotein structure of imlifidas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224" t="21306" r="10982" b="2427"/>
                    <a:stretch/>
                  </pic:blipFill>
                  <pic:spPr bwMode="auto">
                    <a:xfrm>
                      <a:off x="0" y="0"/>
                      <a:ext cx="2547849" cy="2000008"/>
                    </a:xfrm>
                    <a:prstGeom prst="rect">
                      <a:avLst/>
                    </a:prstGeom>
                    <a:noFill/>
                    <a:ln>
                      <a:noFill/>
                    </a:ln>
                    <a:extLst>
                      <a:ext uri="{53640926-AAD7-44D8-BBD7-CCE9431645EC}">
                        <a14:shadowObscured xmlns:a14="http://schemas.microsoft.com/office/drawing/2010/main"/>
                      </a:ext>
                    </a:extLst>
                  </pic:spPr>
                </pic:pic>
              </a:graphicData>
            </a:graphic>
          </wp:inline>
        </w:drawing>
      </w:r>
    </w:p>
    <w:p w14:paraId="0A22CAFD" w14:textId="7C124979" w:rsidR="00023AA9" w:rsidRPr="00023AA9" w:rsidRDefault="00023AA9" w:rsidP="007C41BE">
      <w:pPr>
        <w:pStyle w:val="Heading5"/>
      </w:pPr>
      <w:r w:rsidRPr="00023AA9">
        <w:lastRenderedPageBreak/>
        <w:t xml:space="preserve">Drug substance – </w:t>
      </w:r>
      <w:r w:rsidR="002B5560">
        <w:t>s</w:t>
      </w:r>
      <w:r w:rsidRPr="00023AA9">
        <w:t>tability</w:t>
      </w:r>
    </w:p>
    <w:p w14:paraId="73D1F26C" w14:textId="4D75BC44" w:rsidR="00023AA9" w:rsidRPr="00023AA9" w:rsidRDefault="00023AA9" w:rsidP="00023AA9">
      <w:r w:rsidRPr="00023AA9">
        <w:t>The real time data submitted support a shelf life of 24 months when stored at -80°C</w:t>
      </w:r>
      <w:r>
        <w:t xml:space="preserve"> or lower.</w:t>
      </w:r>
    </w:p>
    <w:p w14:paraId="584E0102" w14:textId="54A1E019" w:rsidR="00023AA9" w:rsidRPr="0007564D" w:rsidRDefault="00023AA9" w:rsidP="007C41BE">
      <w:pPr>
        <w:pStyle w:val="Heading5"/>
        <w:rPr>
          <w:lang w:eastAsia="ja-JP"/>
        </w:rPr>
      </w:pPr>
      <w:r w:rsidRPr="0007564D">
        <w:rPr>
          <w:lang w:eastAsia="ja-JP"/>
        </w:rPr>
        <w:t xml:space="preserve">Drug product – </w:t>
      </w:r>
      <w:r w:rsidR="002B5560">
        <w:rPr>
          <w:lang w:eastAsia="ja-JP"/>
        </w:rPr>
        <w:t>s</w:t>
      </w:r>
      <w:r w:rsidRPr="0007564D">
        <w:rPr>
          <w:lang w:eastAsia="ja-JP"/>
        </w:rPr>
        <w:t xml:space="preserve">olution for injection – </w:t>
      </w:r>
      <w:r w:rsidR="002B5560">
        <w:rPr>
          <w:lang w:eastAsia="ja-JP"/>
        </w:rPr>
        <w:t>c</w:t>
      </w:r>
      <w:r w:rsidRPr="0007564D">
        <w:rPr>
          <w:lang w:eastAsia="ja-JP"/>
        </w:rPr>
        <w:t>omponents/excipients</w:t>
      </w:r>
    </w:p>
    <w:p w14:paraId="43899998" w14:textId="6464C3D9" w:rsidR="00023AA9" w:rsidRPr="00023AA9" w:rsidRDefault="00E540AD" w:rsidP="00023AA9">
      <w:r>
        <w:t xml:space="preserve">The drug substance is imlifidase. </w:t>
      </w:r>
      <w:r w:rsidR="00023AA9" w:rsidRPr="00023AA9">
        <w:t>All excipients are pharmacopeial, non-novel, and are not of human or animal origi</w:t>
      </w:r>
      <w:r w:rsidR="002652C3">
        <w:t xml:space="preserve">n </w:t>
      </w:r>
      <w:r w:rsidR="002652C3">
        <w:fldChar w:fldCharType="begin"/>
      </w:r>
      <w:r w:rsidR="002652C3">
        <w:instrText xml:space="preserve"> REF _Ref148607203 \h </w:instrText>
      </w:r>
      <w:r w:rsidR="00606403">
        <w:fldChar w:fldCharType="separate"/>
      </w:r>
      <w:r w:rsidR="002652C3">
        <w:fldChar w:fldCharType="end"/>
      </w:r>
      <w:r w:rsidR="002652C3">
        <w:t>.</w:t>
      </w:r>
      <w:r w:rsidR="2952B2BA">
        <w:t xml:space="preserve"> </w:t>
      </w:r>
      <w:r w:rsidR="00CF333A">
        <w:t>The excip</w:t>
      </w:r>
      <w:r w:rsidR="00655262">
        <w:t>ients are m</w:t>
      </w:r>
      <w:r w:rsidR="2952B2BA">
        <w:t xml:space="preserve">annitol, </w:t>
      </w:r>
      <w:r w:rsidR="00655262">
        <w:t>p</w:t>
      </w:r>
      <w:r w:rsidR="2952B2BA">
        <w:t>olysorbate 80, Trom</w:t>
      </w:r>
      <w:r w:rsidR="2AB30D49">
        <w:t>etamol</w:t>
      </w:r>
      <w:r w:rsidR="1CC3A3DD">
        <w:t xml:space="preserve"> (Tris [hydroxymethyl] aminomethane), </w:t>
      </w:r>
      <w:r w:rsidR="00C03BD1">
        <w:t>d</w:t>
      </w:r>
      <w:r w:rsidR="1CC3A3DD">
        <w:t xml:space="preserve">isodium edetate dihydrate, </w:t>
      </w:r>
      <w:r w:rsidR="00C03BD1">
        <w:t>h</w:t>
      </w:r>
      <w:r w:rsidR="1CC3A3DD">
        <w:t>ydrochloric acid 0.1N</w:t>
      </w:r>
      <w:r w:rsidR="00ED1DAA">
        <w:t xml:space="preserve"> and nitrogen</w:t>
      </w:r>
      <w:r w:rsidR="008613E7">
        <w:t>.</w:t>
      </w:r>
    </w:p>
    <w:p w14:paraId="10D63D54" w14:textId="0A1FF2E1" w:rsidR="00023AA9" w:rsidRPr="003D26D7" w:rsidRDefault="00023AA9" w:rsidP="007C41BE">
      <w:pPr>
        <w:pStyle w:val="Heading5"/>
        <w:rPr>
          <w:lang w:eastAsia="ja-JP"/>
        </w:rPr>
      </w:pPr>
      <w:r w:rsidRPr="003D26D7">
        <w:rPr>
          <w:lang w:eastAsia="ja-JP"/>
        </w:rPr>
        <w:t xml:space="preserve">Drug product – </w:t>
      </w:r>
      <w:r w:rsidR="002B5560">
        <w:rPr>
          <w:lang w:eastAsia="ja-JP"/>
        </w:rPr>
        <w:t>s</w:t>
      </w:r>
      <w:r w:rsidRPr="003D26D7">
        <w:rPr>
          <w:lang w:eastAsia="ja-JP"/>
        </w:rPr>
        <w:t xml:space="preserve">olution for injection – </w:t>
      </w:r>
      <w:r w:rsidR="002B5560">
        <w:rPr>
          <w:lang w:eastAsia="ja-JP"/>
        </w:rPr>
        <w:t>c</w:t>
      </w:r>
      <w:r w:rsidRPr="003D26D7">
        <w:rPr>
          <w:lang w:eastAsia="ja-JP"/>
        </w:rPr>
        <w:t>ontainer</w:t>
      </w:r>
    </w:p>
    <w:p w14:paraId="1BEB0621" w14:textId="1F4315BB" w:rsidR="00023AA9" w:rsidRDefault="00023AA9" w:rsidP="00023AA9">
      <w:r w:rsidRPr="00023AA9">
        <w:t xml:space="preserve">The container closure is considered suitable for its intended use as demonstrated by compatibility and stability studies. The Biomaterials and Engineering Section evaluator has no objections to the registration of Idefirix </w:t>
      </w:r>
      <w:r w:rsidR="002B5560">
        <w:t>(</w:t>
      </w:r>
      <w:r w:rsidRPr="00023AA9">
        <w:t>imlifidase</w:t>
      </w:r>
      <w:r w:rsidR="002B5560">
        <w:t>)</w:t>
      </w:r>
      <w:r w:rsidRPr="00023AA9">
        <w:t xml:space="preserve"> in relation to container safety.</w:t>
      </w:r>
    </w:p>
    <w:p w14:paraId="48A04F89" w14:textId="248A8A91" w:rsidR="00023AA9" w:rsidRPr="00EC6CC1" w:rsidRDefault="00023AA9" w:rsidP="007C41BE">
      <w:pPr>
        <w:pStyle w:val="Heading5"/>
        <w:rPr>
          <w:lang w:eastAsia="ja-JP"/>
        </w:rPr>
      </w:pPr>
      <w:r w:rsidRPr="00EC6CC1">
        <w:rPr>
          <w:lang w:eastAsia="ja-JP"/>
        </w:rPr>
        <w:t xml:space="preserve">Drug product – </w:t>
      </w:r>
      <w:r w:rsidR="002B5560">
        <w:rPr>
          <w:lang w:eastAsia="ja-JP"/>
        </w:rPr>
        <w:t>s</w:t>
      </w:r>
      <w:r w:rsidRPr="00EC6CC1">
        <w:rPr>
          <w:lang w:eastAsia="ja-JP"/>
        </w:rPr>
        <w:t xml:space="preserve">olution for injection – </w:t>
      </w:r>
      <w:r w:rsidR="002B5560">
        <w:rPr>
          <w:lang w:eastAsia="ja-JP"/>
        </w:rPr>
        <w:t>s</w:t>
      </w:r>
      <w:r w:rsidRPr="00EC6CC1">
        <w:rPr>
          <w:lang w:eastAsia="ja-JP"/>
        </w:rPr>
        <w:t>tability</w:t>
      </w:r>
    </w:p>
    <w:p w14:paraId="491804A6" w14:textId="4AD4E6D1" w:rsidR="00023AA9" w:rsidRPr="00EC6CC1" w:rsidRDefault="00023AA9" w:rsidP="00023AA9">
      <w:pPr>
        <w:spacing w:line="240" w:lineRule="auto"/>
        <w:rPr>
          <w:lang w:eastAsia="ja-JP"/>
        </w:rPr>
      </w:pPr>
      <w:r w:rsidRPr="00EC6CC1">
        <w:rPr>
          <w:lang w:eastAsia="ja-JP"/>
        </w:rPr>
        <w:t>Following evaluation, the recommended storage condition is 18 months when stored at 2</w:t>
      </w:r>
      <w:r w:rsidR="002652C3">
        <w:rPr>
          <w:lang w:eastAsia="ja-JP"/>
        </w:rPr>
        <w:t xml:space="preserve"> to </w:t>
      </w:r>
      <w:r w:rsidRPr="00EC6CC1">
        <w:rPr>
          <w:lang w:eastAsia="ja-JP"/>
        </w:rPr>
        <w:t>8°C.</w:t>
      </w:r>
    </w:p>
    <w:p w14:paraId="397731E4" w14:textId="2381CB53" w:rsidR="00023AA9" w:rsidRPr="003D26D7" w:rsidRDefault="00023AA9" w:rsidP="00023AA9">
      <w:pPr>
        <w:spacing w:line="240" w:lineRule="auto"/>
        <w:rPr>
          <w:lang w:eastAsia="ja-JP"/>
        </w:rPr>
      </w:pPr>
      <w:r w:rsidRPr="00EC6CC1">
        <w:rPr>
          <w:lang w:eastAsia="ja-JP"/>
        </w:rPr>
        <w:t>The recommended shelf life and storage conditions for the opened/reconstituted/diluted product are 24 hours when stored at 2</w:t>
      </w:r>
      <w:r w:rsidR="002652C3">
        <w:rPr>
          <w:lang w:eastAsia="ja-JP"/>
        </w:rPr>
        <w:t xml:space="preserve"> to </w:t>
      </w:r>
      <w:r w:rsidRPr="00EC6CC1">
        <w:rPr>
          <w:lang w:eastAsia="ja-JP"/>
        </w:rPr>
        <w:t xml:space="preserve">8°C of which up to </w:t>
      </w:r>
      <w:r w:rsidR="002B5560">
        <w:rPr>
          <w:lang w:eastAsia="ja-JP"/>
        </w:rPr>
        <w:t>four</w:t>
      </w:r>
      <w:r w:rsidRPr="00EC6CC1">
        <w:rPr>
          <w:lang w:eastAsia="ja-JP"/>
        </w:rPr>
        <w:t xml:space="preserve"> hours may be at ambient temperature (25 ±</w:t>
      </w:r>
      <w:r w:rsidR="002B5560">
        <w:rPr>
          <w:lang w:eastAsia="ja-JP"/>
        </w:rPr>
        <w:t xml:space="preserve"> </w:t>
      </w:r>
      <w:r w:rsidRPr="00EC6CC1">
        <w:rPr>
          <w:lang w:eastAsia="ja-JP"/>
        </w:rPr>
        <w:t>2°C)</w:t>
      </w:r>
      <w:r>
        <w:rPr>
          <w:lang w:eastAsia="ja-JP"/>
        </w:rPr>
        <w:t xml:space="preserve">. </w:t>
      </w:r>
      <w:r w:rsidRPr="00EC6CC1">
        <w:rPr>
          <w:lang w:eastAsia="ja-JP"/>
        </w:rPr>
        <w:t>The product is not photostable.</w:t>
      </w:r>
    </w:p>
    <w:p w14:paraId="7AF4B475" w14:textId="77777777" w:rsidR="00023AA9" w:rsidRDefault="00023AA9" w:rsidP="007C41BE">
      <w:pPr>
        <w:pStyle w:val="Heading5"/>
        <w:rPr>
          <w:lang w:eastAsia="ja-JP"/>
        </w:rPr>
      </w:pPr>
      <w:r>
        <w:rPr>
          <w:lang w:eastAsia="ja-JP"/>
        </w:rPr>
        <w:t>Infectious disease safety</w:t>
      </w:r>
    </w:p>
    <w:p w14:paraId="18BBEE5B" w14:textId="6E6EDB83" w:rsidR="00023AA9" w:rsidRDefault="00023AA9" w:rsidP="00023AA9">
      <w:pPr>
        <w:spacing w:line="240" w:lineRule="auto"/>
        <w:rPr>
          <w:lang w:eastAsia="ja-JP"/>
        </w:rPr>
      </w:pPr>
      <w:r w:rsidRPr="004332C7">
        <w:rPr>
          <w:lang w:eastAsia="ja-JP"/>
        </w:rPr>
        <w:t>Sufficient evidence has been provided to demonstrate that the risks related to adventitious agents in the manufacturing of I</w:t>
      </w:r>
      <w:r w:rsidR="002652C3">
        <w:rPr>
          <w:lang w:eastAsia="ja-JP"/>
        </w:rPr>
        <w:t xml:space="preserve">defirix </w:t>
      </w:r>
      <w:r w:rsidRPr="004332C7">
        <w:rPr>
          <w:lang w:eastAsia="ja-JP"/>
        </w:rPr>
        <w:t>(imlifidase) have been managed to an acceptable level.</w:t>
      </w:r>
    </w:p>
    <w:p w14:paraId="7CB3EAA7" w14:textId="77777777" w:rsidR="00023AA9" w:rsidRDefault="00023AA9" w:rsidP="007C41BE">
      <w:pPr>
        <w:pStyle w:val="Heading5"/>
        <w:rPr>
          <w:lang w:eastAsia="ja-JP"/>
        </w:rPr>
      </w:pPr>
      <w:r>
        <w:rPr>
          <w:lang w:eastAsia="ja-JP"/>
        </w:rPr>
        <w:t>Endotoxin evaluation</w:t>
      </w:r>
    </w:p>
    <w:p w14:paraId="1D3E0174" w14:textId="28D6E456" w:rsidR="00023AA9" w:rsidRPr="003D26D7" w:rsidRDefault="00023AA9" w:rsidP="00023AA9">
      <w:pPr>
        <w:spacing w:line="240" w:lineRule="auto"/>
        <w:rPr>
          <w:lang w:eastAsia="ja-JP"/>
        </w:rPr>
      </w:pPr>
      <w:r>
        <w:rPr>
          <w:lang w:eastAsia="ja-JP"/>
        </w:rPr>
        <w:t>The sponsor claims that c</w:t>
      </w:r>
      <w:r w:rsidRPr="00B64400">
        <w:rPr>
          <w:lang w:eastAsia="ja-JP"/>
        </w:rPr>
        <w:t xml:space="preserve">ompendial methods </w:t>
      </w:r>
      <w:r>
        <w:rPr>
          <w:lang w:eastAsia="ja-JP"/>
        </w:rPr>
        <w:t>according to</w:t>
      </w:r>
      <w:r w:rsidRPr="00B64400">
        <w:rPr>
          <w:lang w:eastAsia="ja-JP"/>
        </w:rPr>
        <w:t xml:space="preserve"> the referenced monograph</w:t>
      </w:r>
      <w:r>
        <w:rPr>
          <w:lang w:eastAsia="ja-JP"/>
        </w:rPr>
        <w:t xml:space="preserve"> were followed,</w:t>
      </w:r>
      <w:r w:rsidRPr="00B64400">
        <w:rPr>
          <w:lang w:eastAsia="ja-JP"/>
        </w:rPr>
        <w:t xml:space="preserve"> </w:t>
      </w:r>
      <w:r>
        <w:rPr>
          <w:lang w:eastAsia="ja-JP"/>
        </w:rPr>
        <w:t>i</w:t>
      </w:r>
      <w:r w:rsidRPr="00B64400">
        <w:rPr>
          <w:lang w:eastAsia="ja-JP"/>
        </w:rPr>
        <w:t>nclud</w:t>
      </w:r>
      <w:r>
        <w:rPr>
          <w:lang w:eastAsia="ja-JP"/>
        </w:rPr>
        <w:t>ing</w:t>
      </w:r>
      <w:r w:rsidRPr="00B64400">
        <w:rPr>
          <w:lang w:eastAsia="ja-JP"/>
        </w:rPr>
        <w:t xml:space="preserve"> the Bacterial Endotoxin Test, which references </w:t>
      </w:r>
      <w:r w:rsidR="00AD1739" w:rsidRPr="00AD1739">
        <w:rPr>
          <w:lang w:eastAsia="ja-JP"/>
        </w:rPr>
        <w:t xml:space="preserve">European Pharmacopoeia </w:t>
      </w:r>
      <w:r w:rsidR="00AD1739">
        <w:rPr>
          <w:lang w:eastAsia="ja-JP"/>
        </w:rPr>
        <w:t>(</w:t>
      </w:r>
      <w:r w:rsidRPr="00B64400">
        <w:rPr>
          <w:lang w:eastAsia="ja-JP"/>
        </w:rPr>
        <w:t xml:space="preserve">Ph. </w:t>
      </w:r>
      <w:proofErr w:type="spellStart"/>
      <w:r w:rsidRPr="00B64400">
        <w:rPr>
          <w:lang w:eastAsia="ja-JP"/>
        </w:rPr>
        <w:t>Eur</w:t>
      </w:r>
      <w:proofErr w:type="spellEnd"/>
      <w:r w:rsidR="00AD1739">
        <w:rPr>
          <w:lang w:eastAsia="ja-JP"/>
        </w:rPr>
        <w:t>)</w:t>
      </w:r>
      <w:r w:rsidRPr="00B64400">
        <w:rPr>
          <w:lang w:eastAsia="ja-JP"/>
        </w:rPr>
        <w:t>. 2.6.14 &amp; USP &lt;85&gt;</w:t>
      </w:r>
      <w:r>
        <w:rPr>
          <w:lang w:eastAsia="ja-JP"/>
        </w:rPr>
        <w:t>.</w:t>
      </w:r>
      <w:r w:rsidR="002B5560">
        <w:rPr>
          <w:rStyle w:val="FootnoteReference"/>
          <w:lang w:eastAsia="ja-JP"/>
        </w:rPr>
        <w:footnoteReference w:id="3"/>
      </w:r>
      <w:r>
        <w:rPr>
          <w:lang w:eastAsia="ja-JP"/>
        </w:rPr>
        <w:t xml:space="preserve"> </w:t>
      </w:r>
      <w:r w:rsidRPr="00B64400">
        <w:rPr>
          <w:lang w:eastAsia="ja-JP"/>
        </w:rPr>
        <w:t>Assay qualification data</w:t>
      </w:r>
      <w:r>
        <w:rPr>
          <w:lang w:eastAsia="ja-JP"/>
        </w:rPr>
        <w:t xml:space="preserve"> should also have been provided.</w:t>
      </w:r>
    </w:p>
    <w:p w14:paraId="6ECA917C" w14:textId="77777777" w:rsidR="00023AA9" w:rsidRPr="00EC6CC1" w:rsidRDefault="00023AA9" w:rsidP="007C41BE">
      <w:pPr>
        <w:pStyle w:val="Heading5"/>
        <w:rPr>
          <w:lang w:eastAsia="ja-JP"/>
        </w:rPr>
      </w:pPr>
      <w:r w:rsidRPr="00EC6CC1">
        <w:rPr>
          <w:lang w:eastAsia="ja-JP"/>
        </w:rPr>
        <w:t xml:space="preserve">Summary and </w:t>
      </w:r>
      <w:r w:rsidRPr="002050AC">
        <w:t>conclusion</w:t>
      </w:r>
    </w:p>
    <w:p w14:paraId="6C3C33C9" w14:textId="0B749E6E" w:rsidR="00023AA9" w:rsidRDefault="00023AA9" w:rsidP="00023AA9">
      <w:pPr>
        <w:spacing w:line="240" w:lineRule="auto"/>
        <w:rPr>
          <w:lang w:eastAsia="ja-JP"/>
        </w:rPr>
      </w:pPr>
      <w:r w:rsidRPr="00EC6CC1">
        <w:rPr>
          <w:lang w:eastAsia="ja-JP"/>
        </w:rPr>
        <w:t>There are no objections on quality grounds to the approval of Idefirix (imlifidase)</w:t>
      </w:r>
      <w:r>
        <w:rPr>
          <w:lang w:eastAsia="ja-JP"/>
        </w:rPr>
        <w:t>.</w:t>
      </w:r>
    </w:p>
    <w:p w14:paraId="5C9B9C08" w14:textId="2F7D39DC" w:rsidR="00023AA9" w:rsidRPr="00EC6CC1" w:rsidRDefault="00023AA9" w:rsidP="00023AA9">
      <w:pPr>
        <w:spacing w:line="240" w:lineRule="auto"/>
        <w:rPr>
          <w:lang w:eastAsia="ja-JP"/>
        </w:rPr>
      </w:pPr>
      <w:r w:rsidRPr="00EC6CC1">
        <w:rPr>
          <w:lang w:eastAsia="ja-JP"/>
        </w:rPr>
        <w:t xml:space="preserve">The finished product </w:t>
      </w:r>
      <w:r w:rsidR="00AD1739">
        <w:rPr>
          <w:lang w:eastAsia="ja-JP"/>
        </w:rPr>
        <w:t>q</w:t>
      </w:r>
      <w:r w:rsidRPr="00EC6CC1">
        <w:rPr>
          <w:lang w:eastAsia="ja-JP"/>
        </w:rPr>
        <w:t xml:space="preserve">uality </w:t>
      </w:r>
      <w:r w:rsidR="00AD1739">
        <w:rPr>
          <w:lang w:eastAsia="ja-JP"/>
        </w:rPr>
        <w:t>c</w:t>
      </w:r>
      <w:r w:rsidRPr="00EC6CC1">
        <w:rPr>
          <w:lang w:eastAsia="ja-JP"/>
        </w:rPr>
        <w:t>ontrol for batch release includes identity, potency, purity, impurities, sterility (Ph. Eur.), bacterial endotoxin (Ph. Eur.) and several other general tests.</w:t>
      </w:r>
    </w:p>
    <w:p w14:paraId="58BDBC0A" w14:textId="46AAFA57" w:rsidR="00023AA9" w:rsidRPr="00EC6CC1" w:rsidRDefault="00023AA9" w:rsidP="00023AA9">
      <w:pPr>
        <w:spacing w:line="240" w:lineRule="auto"/>
        <w:rPr>
          <w:lang w:eastAsia="ja-JP"/>
        </w:rPr>
      </w:pPr>
      <w:r w:rsidRPr="00EC6CC1">
        <w:rPr>
          <w:lang w:eastAsia="ja-JP"/>
        </w:rPr>
        <w:t xml:space="preserve">The quality of this product is considered to be acceptable when </w:t>
      </w:r>
      <w:r w:rsidR="006F2A24" w:rsidRPr="006F2A24">
        <w:rPr>
          <w:lang w:eastAsia="ja-JP"/>
        </w:rPr>
        <w:t>used in accordance with the conditions defined in</w:t>
      </w:r>
      <w:r w:rsidR="006F2A24">
        <w:rPr>
          <w:lang w:eastAsia="ja-JP"/>
        </w:rPr>
        <w:t xml:space="preserve"> the Product Information (PI), Consumer Medicines Information</w:t>
      </w:r>
      <w:r w:rsidR="006F2A24" w:rsidRPr="006F2A24">
        <w:rPr>
          <w:lang w:eastAsia="ja-JP"/>
        </w:rPr>
        <w:t xml:space="preserve"> </w:t>
      </w:r>
      <w:r w:rsidR="006F2A24">
        <w:rPr>
          <w:lang w:eastAsia="ja-JP"/>
        </w:rPr>
        <w:t>(</w:t>
      </w:r>
      <w:r w:rsidR="00AD1739">
        <w:rPr>
          <w:lang w:eastAsia="ja-JP"/>
        </w:rPr>
        <w:t>CMI</w:t>
      </w:r>
      <w:r w:rsidR="006F2A24">
        <w:rPr>
          <w:lang w:eastAsia="ja-JP"/>
        </w:rPr>
        <w:t>)</w:t>
      </w:r>
      <w:r w:rsidRPr="00EC6CC1">
        <w:rPr>
          <w:lang w:eastAsia="ja-JP"/>
        </w:rPr>
        <w:t xml:space="preserve"> and the Australian Register of Therapeutic Goods (ARTG)</w:t>
      </w:r>
      <w:r w:rsidR="006F2A24">
        <w:rPr>
          <w:lang w:eastAsia="ja-JP"/>
        </w:rPr>
        <w:t>.</w:t>
      </w:r>
    </w:p>
    <w:p w14:paraId="01E3C35F" w14:textId="77777777" w:rsidR="00023AA9" w:rsidRPr="00EC2362" w:rsidRDefault="00023AA9" w:rsidP="00023AA9">
      <w:pPr>
        <w:spacing w:line="240" w:lineRule="auto"/>
        <w:rPr>
          <w:lang w:eastAsia="ja-JP"/>
        </w:rPr>
      </w:pPr>
      <w:r w:rsidRPr="00EC6CC1">
        <w:rPr>
          <w:lang w:eastAsia="ja-JP"/>
        </w:rPr>
        <w:t xml:space="preserve">Physicochemical and biological aspects relevant to the uniform clinical performance of the product have been investigated and are controlled in a satisfactory way. Information on development, manufacture and control of the active substance and finished product has been presented in a satisfactory manner. The results of tests carried out indicate consistency and uniformity of important product quality characteristics, and these in turn lead to the conclusion that the product should have a satisfactory and uniform performance in clinical use. From </w:t>
      </w:r>
      <w:r w:rsidRPr="00EC6CC1">
        <w:rPr>
          <w:lang w:eastAsia="ja-JP"/>
        </w:rPr>
        <w:lastRenderedPageBreak/>
        <w:t>quality perspective, compliance with Therapeutic Goods Legislation and relevant TG Orders as well as consistency with relevant guidelines and the ARGPM has been demonstrated.</w:t>
      </w:r>
    </w:p>
    <w:p w14:paraId="4543B2C0" w14:textId="4C47E63A" w:rsidR="00023AA9" w:rsidRDefault="002050AC" w:rsidP="007C41BE">
      <w:pPr>
        <w:pStyle w:val="Heading5"/>
      </w:pPr>
      <w:r>
        <w:t>Proposed wording for conditions of registration</w:t>
      </w:r>
    </w:p>
    <w:p w14:paraId="5F8BC3E0" w14:textId="77777777" w:rsidR="002050AC" w:rsidRPr="002050AC" w:rsidRDefault="002050AC" w:rsidP="002050AC">
      <w:pPr>
        <w:pStyle w:val="ListBullet"/>
      </w:pPr>
      <w:r w:rsidRPr="002050AC">
        <w:t>Laboratory testing &amp; compliance with Certified Product Details (CPD)</w:t>
      </w:r>
    </w:p>
    <w:p w14:paraId="0FE651F4" w14:textId="4F4AA227" w:rsidR="002050AC" w:rsidRPr="002050AC" w:rsidRDefault="002050AC" w:rsidP="002050AC">
      <w:pPr>
        <w:pStyle w:val="ListBullet2"/>
      </w:pPr>
      <w:proofErr w:type="spellStart"/>
      <w:r w:rsidRPr="002050AC">
        <w:t>i</w:t>
      </w:r>
      <w:proofErr w:type="spellEnd"/>
      <w:r w:rsidRPr="002050AC">
        <w:t>. All batches of Idefirix (imlifidase) supplied in Australia must comply with the product details and specifications approved during evaluation and detailed in the Certified Product Details (CPD).</w:t>
      </w:r>
    </w:p>
    <w:p w14:paraId="11E2AE7F" w14:textId="119EF865" w:rsidR="002050AC" w:rsidRPr="002050AC" w:rsidRDefault="002050AC" w:rsidP="001747E8">
      <w:pPr>
        <w:pStyle w:val="ListBullet2"/>
      </w:pPr>
      <w:r w:rsidRPr="002050AC">
        <w:t xml:space="preserve">ii. When requested by the TGA, the </w:t>
      </w:r>
      <w:r w:rsidR="001747E8">
        <w:t>s</w:t>
      </w:r>
      <w:r w:rsidRPr="002050AC">
        <w:t>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39FDD9DC" w14:textId="77777777" w:rsidR="002050AC" w:rsidRDefault="002050AC" w:rsidP="002050AC">
      <w:pPr>
        <w:pStyle w:val="ListBullet"/>
      </w:pPr>
      <w:r w:rsidRPr="002050AC">
        <w:t>Certified Product Details</w:t>
      </w:r>
    </w:p>
    <w:p w14:paraId="542F8CA1" w14:textId="77777777" w:rsidR="002050AC" w:rsidRDefault="002050AC" w:rsidP="002050AC">
      <w:pPr>
        <w:pStyle w:val="ListBullet"/>
        <w:numPr>
          <w:ilvl w:val="0"/>
          <w:numId w:val="0"/>
        </w:numPr>
        <w:ind w:left="360"/>
      </w:pPr>
      <w:r w:rsidRPr="002050AC">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6A5ECC0E" w14:textId="3D25D1B7" w:rsidR="002050AC" w:rsidRDefault="002050AC" w:rsidP="002050AC">
      <w:pPr>
        <w:pStyle w:val="ListBullet"/>
        <w:numPr>
          <w:ilvl w:val="0"/>
          <w:numId w:val="0"/>
        </w:numPr>
        <w:ind w:left="360"/>
      </w:pPr>
      <w:r w:rsidRPr="002050AC">
        <w:t>A template for preparation of CPD for biological prescription medicines can be obtained from the TGA website</w:t>
      </w:r>
    </w:p>
    <w:p w14:paraId="7D947116" w14:textId="6ED61C3E" w:rsidR="002050AC" w:rsidRDefault="002050AC" w:rsidP="002050AC">
      <w:pPr>
        <w:pStyle w:val="ListBullet"/>
        <w:numPr>
          <w:ilvl w:val="0"/>
          <w:numId w:val="0"/>
        </w:numPr>
        <w:ind w:left="360"/>
      </w:pPr>
      <w:r w:rsidRPr="002050AC">
        <w:t xml:space="preserve">[for the form] </w:t>
      </w:r>
      <w:hyperlink r:id="rId26" w:history="1">
        <w:r w:rsidRPr="002050AC">
          <w:rPr>
            <w:rStyle w:val="Hyperlink"/>
          </w:rPr>
          <w:t>https://www.tga.gov.au/form/certified-product-details-cpd-biological-prescription-medicines</w:t>
        </w:r>
      </w:hyperlink>
    </w:p>
    <w:p w14:paraId="7D5815D5" w14:textId="0545F435" w:rsidR="002050AC" w:rsidRPr="002050AC" w:rsidRDefault="002050AC" w:rsidP="002050AC">
      <w:pPr>
        <w:pStyle w:val="ListBullet"/>
        <w:numPr>
          <w:ilvl w:val="0"/>
          <w:numId w:val="0"/>
        </w:numPr>
        <w:ind w:left="360"/>
      </w:pPr>
      <w:r w:rsidRPr="002050AC">
        <w:t xml:space="preserve">[for the CPD guidance] </w:t>
      </w:r>
      <w:hyperlink r:id="rId27" w:history="1">
        <w:r w:rsidRPr="002050AC">
          <w:rPr>
            <w:rStyle w:val="Hyperlink"/>
          </w:rPr>
          <w:t>https://www.tga.gov.au/guidance-7-certified-product-details</w:t>
        </w:r>
      </w:hyperlink>
    </w:p>
    <w:p w14:paraId="2BE90AAE" w14:textId="77777777" w:rsidR="00C22214" w:rsidRDefault="00C22214" w:rsidP="00C22214">
      <w:pPr>
        <w:pStyle w:val="Heading3"/>
      </w:pPr>
      <w:bookmarkStart w:id="37" w:name="_Toc314842512"/>
      <w:bookmarkStart w:id="38" w:name="_Toc103679296"/>
      <w:bookmarkStart w:id="39" w:name="_Toc166143709"/>
      <w:r>
        <w:t>Nonclinical</w:t>
      </w:r>
      <w:bookmarkEnd w:id="37"/>
      <w:bookmarkEnd w:id="38"/>
      <w:bookmarkEnd w:id="39"/>
    </w:p>
    <w:p w14:paraId="1950BE67" w14:textId="04F5135C" w:rsidR="002050AC" w:rsidRPr="002050AC" w:rsidRDefault="002050AC" w:rsidP="002050AC">
      <w:bookmarkStart w:id="40" w:name="_Toc247691530"/>
      <w:bookmarkStart w:id="41" w:name="_Toc314842513"/>
      <w:bookmarkStart w:id="42" w:name="_Toc103679297"/>
      <w:r w:rsidRPr="002050AC">
        <w:t>The submitted nonclinical dossier was largely in accordance with the relevant ICH guideline for the nonclinical assessment of biological medicines (ICH S6).</w:t>
      </w:r>
      <w:r w:rsidR="00AD1739">
        <w:rPr>
          <w:rStyle w:val="FootnoteReference"/>
        </w:rPr>
        <w:footnoteReference w:id="4"/>
      </w:r>
      <w:r w:rsidRPr="002050AC">
        <w:t xml:space="preserve"> The overall quality of the nonclinical dossier was satisfactory.</w:t>
      </w:r>
    </w:p>
    <w:p w14:paraId="49A525D2" w14:textId="7A95E394" w:rsidR="002050AC" w:rsidRPr="002050AC" w:rsidRDefault="002050AC" w:rsidP="002050AC">
      <w:r w:rsidRPr="002050AC">
        <w:rPr>
          <w:i/>
          <w:iCs/>
        </w:rPr>
        <w:t>In vitro</w:t>
      </w:r>
      <w:r w:rsidRPr="002050AC">
        <w:t xml:space="preserve">, imlifidase cleaved all human </w:t>
      </w:r>
      <w:r w:rsidR="004B7EE5">
        <w:t>immunoglobulin G (</w:t>
      </w:r>
      <w:r w:rsidRPr="002050AC">
        <w:t>IgG</w:t>
      </w:r>
      <w:r w:rsidR="004B7EE5">
        <w:t>)</w:t>
      </w:r>
      <w:r w:rsidRPr="002050AC">
        <w:t xml:space="preserve"> subclasses (IgG1, IgG2, IgG3 and IgG4) within the nanomolar range. The presence of pre-existing anti-imlifidase antibodies did not appear to significantly alter imlifidase efficacy. </w:t>
      </w:r>
      <w:r w:rsidRPr="002050AC">
        <w:rPr>
          <w:i/>
          <w:iCs/>
        </w:rPr>
        <w:t>In vivo</w:t>
      </w:r>
      <w:r w:rsidRPr="002050AC">
        <w:t xml:space="preserve">, imlifidase cleaved rabbit IgG’s within 6 </w:t>
      </w:r>
      <w:proofErr w:type="gramStart"/>
      <w:r w:rsidRPr="002050AC">
        <w:t>h</w:t>
      </w:r>
      <w:r>
        <w:t>our</w:t>
      </w:r>
      <w:proofErr w:type="gramEnd"/>
      <w:r w:rsidRPr="002050AC">
        <w:t xml:space="preserve"> to 24 h</w:t>
      </w:r>
      <w:r>
        <w:t xml:space="preserve">our </w:t>
      </w:r>
      <w:r w:rsidRPr="002050AC">
        <w:t xml:space="preserve">post-dose at subclinical doses (based on </w:t>
      </w:r>
      <w:r w:rsidR="00AD1739">
        <w:t>maximum concentration [</w:t>
      </w:r>
      <w:r w:rsidRPr="002050AC">
        <w:t>C</w:t>
      </w:r>
      <w:r w:rsidRPr="002050AC">
        <w:rPr>
          <w:vertAlign w:val="subscript"/>
        </w:rPr>
        <w:t>max</w:t>
      </w:r>
      <w:r w:rsidR="00AD1739">
        <w:t>])</w:t>
      </w:r>
      <w:r w:rsidRPr="002050AC">
        <w:t xml:space="preserve">, thus, supporting the proposed clinical dosing regimen. Only a small proportion of dog IgG was cleaved by imlifidase into F(ab’)2, Fc and </w:t>
      </w:r>
      <w:r w:rsidR="00AD1739">
        <w:t>single chain IgG (</w:t>
      </w:r>
      <w:proofErr w:type="spellStart"/>
      <w:r w:rsidRPr="002050AC">
        <w:t>scIgG</w:t>
      </w:r>
      <w:proofErr w:type="spellEnd"/>
      <w:r w:rsidR="00AD1739">
        <w:t>)</w:t>
      </w:r>
      <w:r w:rsidRPr="002050AC">
        <w:t>.</w:t>
      </w:r>
    </w:p>
    <w:p w14:paraId="5FA8D02A" w14:textId="77777777" w:rsidR="002050AC" w:rsidRPr="002050AC" w:rsidRDefault="002050AC" w:rsidP="002050AC">
      <w:r w:rsidRPr="002050AC">
        <w:t>Imlifidase also cleaved IgG-type of B-cell receptor (BCR) with an efficacy comparable to cleavage of IgG in serum. However, the cleaved IgG-BCR is rapidly replaced by an intact IgG-BCR on the cell surface. While the cleavage of IgG-type BCR can result in silencing of memory B-cells, the effect appears to be temporary.</w:t>
      </w:r>
    </w:p>
    <w:p w14:paraId="6A46C428" w14:textId="77777777" w:rsidR="002050AC" w:rsidRPr="002050AC" w:rsidRDefault="002050AC" w:rsidP="002050AC">
      <w:r w:rsidRPr="002050AC">
        <w:lastRenderedPageBreak/>
        <w:t>At clinically relevant concentrations, imlifidase cleaves monoclonal and polyclonal antibodies and fusion proteins approved as therapeutics. Thus, the exposures of antibody and fusion protein therapies are likely to be affected adversely by the concurrent administration of imlifidase.</w:t>
      </w:r>
    </w:p>
    <w:p w14:paraId="37E017C3" w14:textId="79B1BC81" w:rsidR="002050AC" w:rsidRPr="002050AC" w:rsidRDefault="002050AC" w:rsidP="002050AC">
      <w:r w:rsidRPr="002050AC">
        <w:t>No dedicated safety pharmacology studies were conducted. Cardiovascular and respiratory safety pharmacology endpoints tested in the dog repeat dose toxicity studies revealed no noteworthy findings at doses up to 40-fold clinical exposure (</w:t>
      </w:r>
      <w:r w:rsidR="00AD1739">
        <w:t>b</w:t>
      </w:r>
      <w:r w:rsidRPr="002050AC">
        <w:t>ased on C</w:t>
      </w:r>
      <w:r w:rsidRPr="002050AC">
        <w:rPr>
          <w:vertAlign w:val="subscript"/>
        </w:rPr>
        <w:t>max</w:t>
      </w:r>
      <w:r w:rsidRPr="002050AC">
        <w:t>). C</w:t>
      </w:r>
      <w:r w:rsidR="00AD1739">
        <w:t xml:space="preserve">entral </w:t>
      </w:r>
      <w:r w:rsidR="00AD1739" w:rsidRPr="00AD1739">
        <w:t>nervous</w:t>
      </w:r>
      <w:r w:rsidR="00AD1739">
        <w:t xml:space="preserve"> system </w:t>
      </w:r>
      <w:r w:rsidRPr="002050AC">
        <w:t>effects are not expected given the large molecular weight and hydrophilicity of imlifidase.</w:t>
      </w:r>
    </w:p>
    <w:p w14:paraId="2AFC5687" w14:textId="0A40CE7C" w:rsidR="002050AC" w:rsidRPr="002050AC" w:rsidRDefault="002050AC" w:rsidP="002050AC">
      <w:r w:rsidRPr="002050AC">
        <w:t xml:space="preserve">The pharmacokinetic profile in rabbits and dogs was sufficiently similar to that of humans despite the low activity of imlifidase to dog IgG. </w:t>
      </w:r>
      <w:r w:rsidR="000A012D">
        <w:t>Lower</w:t>
      </w:r>
      <w:r w:rsidRPr="002050AC">
        <w:t xml:space="preserve"> elimination half-life of imlifidase was observed with rabbit and dog cf. human. The distribution volume of imlifidase in humans was broadly comparable to the investigated species. No dedicated metabolism and/or excretion studies were performed, which is acceptable.</w:t>
      </w:r>
    </w:p>
    <w:p w14:paraId="2D9045D9" w14:textId="008B6263" w:rsidR="002050AC" w:rsidRPr="002050AC" w:rsidRDefault="002050AC" w:rsidP="002050AC">
      <w:r w:rsidRPr="002050AC">
        <w:t xml:space="preserve">Imlifidase had a low order of acute </w:t>
      </w:r>
      <w:r w:rsidR="00AD1739">
        <w:t>intravenous</w:t>
      </w:r>
      <w:r w:rsidRPr="002050AC">
        <w:t xml:space="preserve"> toxicity in rabbits and dogs.</w:t>
      </w:r>
    </w:p>
    <w:p w14:paraId="12D45047" w14:textId="0A81E1FC" w:rsidR="002050AC" w:rsidRPr="002050AC" w:rsidRDefault="002050AC" w:rsidP="002050AC">
      <w:r w:rsidRPr="002050AC">
        <w:t xml:space="preserve">Repeat-dose toxicity studies by the </w:t>
      </w:r>
      <w:r w:rsidR="00AD1739">
        <w:t>intravenous</w:t>
      </w:r>
      <w:r w:rsidRPr="002050AC">
        <w:t xml:space="preserve"> route were conducted in rabbit (2- and 4-weeks) and dog (2- and 3-weeks). Target organs for toxicity were the lungs (rabbit: reversible alveolar macrophages and minimal to moderate peri-/arteritis in multiple organs), heart (rabbit: myocardial degeneration with minimal to moderate focal inflammatory cell infiltrations), spleen (rabbit: increased spleen weight and cellularity) and tubular basophilia (dog), with immunotoxicity at least in part, contributing to the observed toxicities. </w:t>
      </w:r>
      <w:r w:rsidR="00D80C91">
        <w:t>Myocardial degeneration</w:t>
      </w:r>
      <w:r w:rsidR="00D80C91" w:rsidRPr="002050AC">
        <w:t xml:space="preserve"> </w:t>
      </w:r>
      <w:r w:rsidRPr="002050AC">
        <w:t xml:space="preserve">changes were minimal to slight and </w:t>
      </w:r>
      <w:r w:rsidR="000E1F10">
        <w:t>were</w:t>
      </w:r>
      <w:r w:rsidRPr="002050AC">
        <w:t xml:space="preserve"> not seen after </w:t>
      </w:r>
      <w:r w:rsidR="002B1C80">
        <w:t>two</w:t>
      </w:r>
      <w:r w:rsidRPr="002050AC">
        <w:t xml:space="preserve"> weekly doses or after </w:t>
      </w:r>
      <w:r w:rsidR="002B1C80">
        <w:t>four</w:t>
      </w:r>
      <w:r w:rsidRPr="002050AC">
        <w:t xml:space="preserve"> weeks of recovery.</w:t>
      </w:r>
    </w:p>
    <w:p w14:paraId="76188157" w14:textId="77777777" w:rsidR="002050AC" w:rsidRPr="002050AC" w:rsidRDefault="002050AC" w:rsidP="002050AC">
      <w:r w:rsidRPr="002050AC">
        <w:t xml:space="preserve">No genotoxicity or carcinogenicity studies were conducted in line with the guidance for a biotechnology-derived pharmaceutical. </w:t>
      </w:r>
    </w:p>
    <w:p w14:paraId="2526E6BC" w14:textId="77777777" w:rsidR="002050AC" w:rsidRPr="002050AC" w:rsidRDefault="002050AC" w:rsidP="002050AC">
      <w:r w:rsidRPr="002050AC">
        <w:t>No imlifidase-related local tolerance issues were identified with the clinical strength formulation.</w:t>
      </w:r>
    </w:p>
    <w:p w14:paraId="061E9090" w14:textId="77777777" w:rsidR="002050AC" w:rsidRPr="00EB69F1" w:rsidRDefault="002050AC" w:rsidP="007C41BE">
      <w:pPr>
        <w:pStyle w:val="Heading5"/>
      </w:pPr>
      <w:bookmarkStart w:id="43" w:name="_Toc294861479"/>
      <w:bookmarkStart w:id="44" w:name="_Toc295290862"/>
      <w:bookmarkStart w:id="45" w:name="_Toc84411251"/>
      <w:r w:rsidRPr="009935DF">
        <w:t xml:space="preserve">Conclusions </w:t>
      </w:r>
      <w:r w:rsidRPr="00EB69F1">
        <w:t>and recommendation</w:t>
      </w:r>
      <w:bookmarkEnd w:id="43"/>
      <w:bookmarkEnd w:id="44"/>
      <w:bookmarkEnd w:id="45"/>
      <w:r>
        <w:t>s</w:t>
      </w:r>
    </w:p>
    <w:p w14:paraId="5D9C9264" w14:textId="04C670EC" w:rsidR="002050AC" w:rsidRPr="00D47B42" w:rsidRDefault="002050AC" w:rsidP="002050AC">
      <w:pPr>
        <w:pStyle w:val="Bulletpoint"/>
        <w:numPr>
          <w:ilvl w:val="0"/>
          <w:numId w:val="0"/>
        </w:numPr>
        <w:spacing w:line="240" w:lineRule="auto"/>
        <w:rPr>
          <w:color w:val="000000" w:themeColor="text1"/>
          <w:kern w:val="2"/>
        </w:rPr>
      </w:pPr>
      <w:r w:rsidRPr="00713DFF">
        <w:rPr>
          <w:color w:val="000000" w:themeColor="text1"/>
          <w:kern w:val="2"/>
        </w:rPr>
        <w:t>There are no nonclinical objections to registration.</w:t>
      </w:r>
    </w:p>
    <w:p w14:paraId="5AA8FB5D" w14:textId="77777777" w:rsidR="002050AC" w:rsidRPr="007C41BE" w:rsidRDefault="002050AC" w:rsidP="007C41BE">
      <w:pPr>
        <w:pStyle w:val="Heading5"/>
      </w:pPr>
      <w:r w:rsidRPr="007C41BE">
        <w:t>Pregnancy category</w:t>
      </w:r>
    </w:p>
    <w:p w14:paraId="066C3A8C" w14:textId="4856DB97" w:rsidR="002050AC" w:rsidRDefault="002050AC" w:rsidP="002050AC">
      <w:pPr>
        <w:pStyle w:val="Bulletpoint"/>
        <w:numPr>
          <w:ilvl w:val="0"/>
          <w:numId w:val="0"/>
        </w:numPr>
        <w:spacing w:after="160" w:line="240" w:lineRule="auto"/>
        <w:rPr>
          <w:color w:val="000000" w:themeColor="text1"/>
          <w:kern w:val="2"/>
          <w:szCs w:val="20"/>
        </w:rPr>
      </w:pPr>
      <w:r w:rsidRPr="00194B0B">
        <w:rPr>
          <w:color w:val="000000" w:themeColor="text1"/>
          <w:kern w:val="2"/>
        </w:rPr>
        <w:t xml:space="preserve">No fertility studies were conducted. While no imlifidase-related adverse histopathological findings were noted in male reproductive organs in repeat-dose toxicity </w:t>
      </w:r>
      <w:r w:rsidRPr="00836D83">
        <w:rPr>
          <w:color w:val="000000" w:themeColor="text1"/>
          <w:kern w:val="2"/>
        </w:rPr>
        <w:t>studies in rabbits</w:t>
      </w:r>
      <w:r w:rsidRPr="00194B0B">
        <w:rPr>
          <w:color w:val="000000" w:themeColor="text1"/>
          <w:kern w:val="2"/>
        </w:rPr>
        <w:t xml:space="preserve">, </w:t>
      </w:r>
      <w:r w:rsidRPr="00402832">
        <w:rPr>
          <w:color w:val="000000" w:themeColor="text1"/>
          <w:kern w:val="2"/>
        </w:rPr>
        <w:t xml:space="preserve">hyperaemic uterus and oviducts, and potential bleeding (observed as black spots) in the ovaries was observed in female rabbits dosed daily with imlifidase. No </w:t>
      </w:r>
      <w:r w:rsidRPr="00402832">
        <w:rPr>
          <w:color w:val="000000" w:themeColor="text1"/>
          <w:kern w:val="2"/>
          <w:szCs w:val="20"/>
        </w:rPr>
        <w:t xml:space="preserve">noteworthy changes in embryofetal development parameters were noted in </w:t>
      </w:r>
      <w:r w:rsidRPr="00702E43">
        <w:rPr>
          <w:color w:val="000000" w:themeColor="text1"/>
          <w:kern w:val="2"/>
          <w:szCs w:val="20"/>
        </w:rPr>
        <w:t>rabbit</w:t>
      </w:r>
      <w:r w:rsidRPr="00402832">
        <w:rPr>
          <w:color w:val="000000" w:themeColor="text1"/>
          <w:kern w:val="2"/>
          <w:szCs w:val="20"/>
        </w:rPr>
        <w:t xml:space="preserve"> at subclinical safety exposure margins.</w:t>
      </w:r>
    </w:p>
    <w:p w14:paraId="54051A1A" w14:textId="3092C62A" w:rsidR="002050AC" w:rsidRPr="002050AC" w:rsidRDefault="002050AC" w:rsidP="002050AC">
      <w:pPr>
        <w:pStyle w:val="Bulletpoint"/>
        <w:numPr>
          <w:ilvl w:val="0"/>
          <w:numId w:val="0"/>
        </w:numPr>
        <w:spacing w:after="160" w:line="240" w:lineRule="auto"/>
        <w:rPr>
          <w:color w:val="000000" w:themeColor="text1"/>
          <w:kern w:val="2"/>
        </w:rPr>
      </w:pPr>
      <w:r>
        <w:rPr>
          <w:color w:val="000000" w:themeColor="text1"/>
          <w:kern w:val="2"/>
          <w:szCs w:val="20"/>
        </w:rPr>
        <w:t>Pregnancy category B2 is appropriate.</w:t>
      </w:r>
      <w:r w:rsidR="00AD1739">
        <w:rPr>
          <w:rStyle w:val="FootnoteReference"/>
          <w:color w:val="000000" w:themeColor="text1"/>
          <w:kern w:val="2"/>
          <w:szCs w:val="20"/>
        </w:rPr>
        <w:footnoteReference w:id="5"/>
      </w:r>
    </w:p>
    <w:p w14:paraId="35B580A5" w14:textId="69B9BE44" w:rsidR="00C22214" w:rsidRDefault="00C22214" w:rsidP="008804CF">
      <w:pPr>
        <w:pStyle w:val="Heading3"/>
      </w:pPr>
      <w:bookmarkStart w:id="46" w:name="_Toc166143710"/>
      <w:r>
        <w:lastRenderedPageBreak/>
        <w:t>Clinical</w:t>
      </w:r>
      <w:bookmarkEnd w:id="40"/>
      <w:bookmarkEnd w:id="41"/>
      <w:bookmarkEnd w:id="42"/>
      <w:bookmarkEnd w:id="46"/>
    </w:p>
    <w:p w14:paraId="32B0DEDA" w14:textId="77777777" w:rsidR="00C22214" w:rsidRPr="00433318" w:rsidRDefault="00C22214" w:rsidP="00433318">
      <w:pPr>
        <w:pStyle w:val="Heading4"/>
      </w:pPr>
      <w:bookmarkStart w:id="47" w:name="_Toc98931928"/>
      <w:bookmarkStart w:id="48" w:name="_Toc166143711"/>
      <w:r>
        <w:t>Summary of clinical studies</w:t>
      </w:r>
      <w:bookmarkEnd w:id="47"/>
      <w:bookmarkEnd w:id="48"/>
    </w:p>
    <w:p w14:paraId="46622364" w14:textId="760C0B02" w:rsidR="00C22214" w:rsidRPr="00BD5DBD" w:rsidRDefault="00C22214" w:rsidP="00C22214">
      <w:pPr>
        <w:rPr>
          <w:szCs w:val="22"/>
        </w:rPr>
      </w:pPr>
      <w:r w:rsidRPr="00BD5DBD">
        <w:rPr>
          <w:szCs w:val="22"/>
        </w:rPr>
        <w:t>The clinical dossier consisted of</w:t>
      </w:r>
      <w:r w:rsidR="007357B9" w:rsidRPr="00BD5DBD">
        <w:rPr>
          <w:szCs w:val="22"/>
        </w:rPr>
        <w:t>:</w:t>
      </w:r>
    </w:p>
    <w:p w14:paraId="2F58E54C" w14:textId="77777777" w:rsidR="00293BE0" w:rsidRDefault="00293BE0" w:rsidP="00E66038">
      <w:pPr>
        <w:pStyle w:val="ListBullet"/>
        <w:rPr>
          <w:lang w:eastAsia="ja-JP"/>
        </w:rPr>
      </w:pPr>
      <w:r>
        <w:t>Two</w:t>
      </w:r>
      <w:r w:rsidR="00C22214" w:rsidRPr="00BD5DBD">
        <w:t xml:space="preserve"> Phase I studies</w:t>
      </w:r>
      <w:r w:rsidRPr="00293BE0">
        <w:rPr>
          <w:lang w:eastAsia="ja-JP"/>
        </w:rPr>
        <w:t xml:space="preserve"> </w:t>
      </w:r>
    </w:p>
    <w:p w14:paraId="50FCAAF3" w14:textId="78A6BACB" w:rsidR="00293BE0" w:rsidRDefault="00293BE0" w:rsidP="00293BE0">
      <w:pPr>
        <w:pStyle w:val="ListBullet2"/>
        <w:rPr>
          <w:lang w:eastAsia="ja-JP"/>
        </w:rPr>
      </w:pPr>
      <w:r>
        <w:rPr>
          <w:lang w:eastAsia="ja-JP"/>
        </w:rPr>
        <w:t>Study 11-HMedIdeS-01</w:t>
      </w:r>
    </w:p>
    <w:p w14:paraId="3DF49722" w14:textId="3A6A6668" w:rsidR="00C22214" w:rsidRPr="00293BE0" w:rsidRDefault="00293BE0" w:rsidP="00293BE0">
      <w:pPr>
        <w:pStyle w:val="ListBullet2"/>
        <w:rPr>
          <w:lang w:eastAsia="ja-JP"/>
        </w:rPr>
      </w:pPr>
      <w:r>
        <w:rPr>
          <w:lang w:eastAsia="ja-JP"/>
        </w:rPr>
        <w:t>Study 18-HMedIdeS-15</w:t>
      </w:r>
    </w:p>
    <w:p w14:paraId="6B56CB17" w14:textId="1EC5832D" w:rsidR="00C22214" w:rsidRDefault="00293BE0" w:rsidP="00E66038">
      <w:pPr>
        <w:pStyle w:val="ListBullet"/>
      </w:pPr>
      <w:r>
        <w:t xml:space="preserve">Four </w:t>
      </w:r>
      <w:r w:rsidR="00C22214" w:rsidRPr="00BD5DBD">
        <w:t>Phase II studies</w:t>
      </w:r>
    </w:p>
    <w:p w14:paraId="070DA4F2" w14:textId="77777777" w:rsidR="00293BE0" w:rsidRDefault="00293BE0" w:rsidP="00293BE0">
      <w:pPr>
        <w:pStyle w:val="ListBullet2"/>
        <w:rPr>
          <w:lang w:eastAsia="ja-JP"/>
        </w:rPr>
      </w:pPr>
      <w:r>
        <w:rPr>
          <w:lang w:eastAsia="ja-JP"/>
        </w:rPr>
        <w:t>Study 13-HMedIdeS-02</w:t>
      </w:r>
    </w:p>
    <w:p w14:paraId="317D9B20" w14:textId="77777777" w:rsidR="00293BE0" w:rsidRDefault="00293BE0" w:rsidP="00293BE0">
      <w:pPr>
        <w:pStyle w:val="ListBullet2"/>
        <w:rPr>
          <w:lang w:eastAsia="ja-JP"/>
        </w:rPr>
      </w:pPr>
      <w:r>
        <w:rPr>
          <w:lang w:eastAsia="ja-JP"/>
        </w:rPr>
        <w:t>Study 13-HMedIdeS-03</w:t>
      </w:r>
    </w:p>
    <w:p w14:paraId="3AB4F1D8" w14:textId="77777777" w:rsidR="00293BE0" w:rsidRDefault="00293BE0" w:rsidP="00293BE0">
      <w:pPr>
        <w:pStyle w:val="ListBullet2"/>
        <w:rPr>
          <w:lang w:eastAsia="ja-JP"/>
        </w:rPr>
      </w:pPr>
      <w:r>
        <w:rPr>
          <w:lang w:eastAsia="ja-JP"/>
        </w:rPr>
        <w:t>Study 14-HMedIdeS-04</w:t>
      </w:r>
    </w:p>
    <w:p w14:paraId="4AAEAF6E" w14:textId="77777777" w:rsidR="00293BE0" w:rsidRDefault="00293BE0" w:rsidP="00293BE0">
      <w:pPr>
        <w:pStyle w:val="ListBullet2"/>
        <w:rPr>
          <w:lang w:eastAsia="ja-JP"/>
        </w:rPr>
      </w:pPr>
      <w:r>
        <w:rPr>
          <w:lang w:eastAsia="ja-JP"/>
        </w:rPr>
        <w:t>Study 15-HMedIdeS-06</w:t>
      </w:r>
    </w:p>
    <w:p w14:paraId="2A8CDF23" w14:textId="0AAEE56D" w:rsidR="00293BE0" w:rsidRDefault="00293BE0" w:rsidP="00E66038">
      <w:pPr>
        <w:pStyle w:val="ListBullet"/>
        <w:rPr>
          <w:lang w:eastAsia="ja-JP"/>
        </w:rPr>
      </w:pPr>
      <w:r>
        <w:rPr>
          <w:lang w:eastAsia="ja-JP"/>
        </w:rPr>
        <w:t>Two follow-on studies:</w:t>
      </w:r>
    </w:p>
    <w:p w14:paraId="795902D3" w14:textId="77777777" w:rsidR="00293BE0" w:rsidRDefault="00293BE0" w:rsidP="00293BE0">
      <w:pPr>
        <w:pStyle w:val="ListBullet2"/>
        <w:rPr>
          <w:lang w:eastAsia="ja-JP"/>
        </w:rPr>
      </w:pPr>
      <w:r>
        <w:rPr>
          <w:lang w:eastAsia="ja-JP"/>
        </w:rPr>
        <w:t>Study 17-HMedIdeS-13</w:t>
      </w:r>
    </w:p>
    <w:p w14:paraId="36426612" w14:textId="53A0332F" w:rsidR="00293BE0" w:rsidRPr="00293BE0" w:rsidRDefault="00293BE0" w:rsidP="00293BE0">
      <w:pPr>
        <w:pStyle w:val="ListBullet2"/>
        <w:rPr>
          <w:lang w:eastAsia="ja-JP"/>
        </w:rPr>
      </w:pPr>
      <w:r>
        <w:t xml:space="preserve">Study </w:t>
      </w:r>
      <w:r w:rsidRPr="00DF08A0">
        <w:t>17-HMedIdeS-14</w:t>
      </w:r>
    </w:p>
    <w:p w14:paraId="4AA5F59B" w14:textId="77777777" w:rsidR="00293BE0" w:rsidRPr="00293BE0" w:rsidRDefault="00293BE0" w:rsidP="00293BE0">
      <w:pPr>
        <w:pStyle w:val="Heading4"/>
      </w:pPr>
      <w:bookmarkStart w:id="49" w:name="_Toc166143712"/>
      <w:r w:rsidRPr="00293BE0">
        <w:t>Pharmacology</w:t>
      </w:r>
      <w:bookmarkEnd w:id="49"/>
    </w:p>
    <w:p w14:paraId="5BCC0FD4" w14:textId="68CB846D" w:rsidR="00293BE0" w:rsidRPr="00293BE0" w:rsidRDefault="00293BE0" w:rsidP="00293BE0">
      <w:pPr>
        <w:pStyle w:val="Heading5"/>
      </w:pPr>
      <w:r w:rsidRPr="00293BE0">
        <w:t>Pharmacokinetics</w:t>
      </w:r>
    </w:p>
    <w:p w14:paraId="3E880DA9" w14:textId="16141423" w:rsidR="00293BE0" w:rsidRPr="00903BA7" w:rsidRDefault="00293BE0" w:rsidP="00293BE0">
      <w:pPr>
        <w:spacing w:line="240" w:lineRule="auto"/>
      </w:pPr>
      <w:r>
        <w:t>There were two formulations used in the development program. The pharmacokinetics (PK) profile of imlifidase was similar for the two intravenous formulations (Process 1 and Process 2), but formal bioequivalence testing was not performed.</w:t>
      </w:r>
    </w:p>
    <w:p w14:paraId="0480D77A" w14:textId="77777777" w:rsidR="00293BE0" w:rsidRPr="00293BE0" w:rsidRDefault="00293BE0" w:rsidP="004B7EE5">
      <w:pPr>
        <w:pStyle w:val="Heading6"/>
      </w:pPr>
      <w:r w:rsidRPr="00293BE0">
        <w:t>Absorption</w:t>
      </w:r>
    </w:p>
    <w:p w14:paraId="5DD716F2" w14:textId="0C5CD104" w:rsidR="00293BE0" w:rsidRDefault="00AD1739" w:rsidP="00293BE0">
      <w:pPr>
        <w:spacing w:line="240" w:lineRule="auto"/>
      </w:pPr>
      <w:r>
        <w:rPr>
          <w:szCs w:val="22"/>
        </w:rPr>
        <w:t>Imlifidase</w:t>
      </w:r>
      <w:r w:rsidR="00293BE0">
        <w:t xml:space="preserve"> is administered by intravenous infusion. In Study 01, the semi-log plot of plasma concentration versus time indicates a two-compartment model, that is a redistribution phase.</w:t>
      </w:r>
    </w:p>
    <w:p w14:paraId="1F982186" w14:textId="1DAAB8EE" w:rsidR="00293BE0" w:rsidRDefault="00293BE0" w:rsidP="00293BE0">
      <w:pPr>
        <w:spacing w:line="240" w:lineRule="auto"/>
      </w:pPr>
      <w:r>
        <w:t>Studies 01 and 15 were conducted in health</w:t>
      </w:r>
      <w:r w:rsidR="0051436E">
        <w:t>y</w:t>
      </w:r>
      <w:r>
        <w:t xml:space="preserve"> male volunteers. Studies 02, 03, 04, and 06 were conducted in the target population. The PK parameters for the 0.12 mg/kg and 0.24 mg/kg dose levels are summarised </w:t>
      </w:r>
      <w:r w:rsidR="00461D02">
        <w:t xml:space="preserve">in </w:t>
      </w:r>
      <w:r w:rsidR="00461D02">
        <w:fldChar w:fldCharType="begin"/>
      </w:r>
      <w:r w:rsidR="00461D02">
        <w:instrText xml:space="preserve"> REF _Ref148610560 \h </w:instrText>
      </w:r>
      <w:r w:rsidR="00461D02">
        <w:fldChar w:fldCharType="separate"/>
      </w:r>
      <w:r w:rsidR="00755A69" w:rsidRPr="00461D02">
        <w:t xml:space="preserve">Table </w:t>
      </w:r>
      <w:r w:rsidR="00755A69">
        <w:rPr>
          <w:noProof/>
        </w:rPr>
        <w:t>4</w:t>
      </w:r>
      <w:r w:rsidR="00461D02">
        <w:fldChar w:fldCharType="end"/>
      </w:r>
      <w:r w:rsidR="00461D02">
        <w:t xml:space="preserve"> (</w:t>
      </w:r>
      <w:r>
        <w:t xml:space="preserve">Study 01), and for the 0.24 mg/kg and 0.25 mg/kg doses </w:t>
      </w:r>
      <w:r w:rsidR="00461D02">
        <w:t xml:space="preserve">in </w:t>
      </w:r>
      <w:r w:rsidR="00461D02">
        <w:fldChar w:fldCharType="begin"/>
      </w:r>
      <w:r w:rsidR="00461D02">
        <w:instrText xml:space="preserve"> REF _Ref148610571 \h </w:instrText>
      </w:r>
      <w:r w:rsidR="00461D02">
        <w:fldChar w:fldCharType="separate"/>
      </w:r>
      <w:r w:rsidR="00755A69" w:rsidRPr="00461D02">
        <w:t xml:space="preserve">Table </w:t>
      </w:r>
      <w:r w:rsidR="00755A69">
        <w:rPr>
          <w:noProof/>
        </w:rPr>
        <w:t>5</w:t>
      </w:r>
      <w:r w:rsidR="00461D02">
        <w:fldChar w:fldCharType="end"/>
      </w:r>
      <w:r w:rsidR="00461D02">
        <w:t xml:space="preserve"> </w:t>
      </w:r>
      <w:r>
        <w:t>(all studies with PK data).</w:t>
      </w:r>
    </w:p>
    <w:p w14:paraId="65FD8A0D" w14:textId="22C51854" w:rsidR="00293BE0" w:rsidRDefault="00461D02" w:rsidP="00E66038">
      <w:pPr>
        <w:pStyle w:val="TableTitle"/>
      </w:pPr>
      <w:bookmarkStart w:id="50" w:name="_Ref148610560"/>
      <w:r w:rsidRPr="00461D02">
        <w:lastRenderedPageBreak/>
        <w:t xml:space="preserve">Table </w:t>
      </w:r>
      <w:fldSimple w:instr=" SEQ Table \* ARABIC ">
        <w:r w:rsidR="00755A69">
          <w:rPr>
            <w:noProof/>
          </w:rPr>
          <w:t>4</w:t>
        </w:r>
      </w:fldSimple>
      <w:bookmarkEnd w:id="50"/>
      <w:r>
        <w:t xml:space="preserve">: </w:t>
      </w:r>
      <w:r w:rsidRPr="00461D02">
        <w:t>Study 01. PK parameters of imlifidase after a single IV infusion (0.12 mg/kg and 0.24 mg/kg)</w:t>
      </w:r>
    </w:p>
    <w:p w14:paraId="7E82C993" w14:textId="468C8A37" w:rsidR="00461D02" w:rsidRPr="00461D02" w:rsidRDefault="00461D02" w:rsidP="00E66038">
      <w:r w:rsidRPr="00DA2DF7">
        <w:rPr>
          <w:noProof/>
          <w:lang w:eastAsia="ja-JP"/>
        </w:rPr>
        <w:drawing>
          <wp:inline distT="0" distB="0" distL="0" distR="0" wp14:anchorId="189F430A" wp14:editId="657DD55B">
            <wp:extent cx="4945712" cy="4275581"/>
            <wp:effectExtent l="0" t="0" r="7620" b="0"/>
            <wp:docPr id="41" name="Picture 41" descr="Study 01. PK parameters of imlifidase after a single IV infusion (0.12 mg/kg and 0.24 m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udy 01. PK parameters of imlifidase after a single IV infusion (0.12 mg/kg and 0.24 mg/k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6869" cy="4285226"/>
                    </a:xfrm>
                    <a:prstGeom prst="rect">
                      <a:avLst/>
                    </a:prstGeom>
                    <a:noFill/>
                    <a:ln>
                      <a:noFill/>
                    </a:ln>
                  </pic:spPr>
                </pic:pic>
              </a:graphicData>
            </a:graphic>
          </wp:inline>
        </w:drawing>
      </w:r>
    </w:p>
    <w:p w14:paraId="384C1961" w14:textId="0311E4BC" w:rsidR="00461D02" w:rsidRPr="004420A0" w:rsidRDefault="00461D02" w:rsidP="00E66038">
      <w:pPr>
        <w:pStyle w:val="TableTitle"/>
      </w:pPr>
      <w:bookmarkStart w:id="51" w:name="_Ref148610571"/>
      <w:r w:rsidRPr="004420A0">
        <w:t xml:space="preserve">Table </w:t>
      </w:r>
      <w:fldSimple w:instr=" SEQ Table \* ARABIC ">
        <w:r w:rsidR="00755A69" w:rsidRPr="004420A0">
          <w:rPr>
            <w:noProof/>
          </w:rPr>
          <w:t>5</w:t>
        </w:r>
      </w:fldSimple>
      <w:bookmarkEnd w:id="51"/>
      <w:r w:rsidRPr="004420A0">
        <w:t>: Summary of PK parameters of imlifidase after a single IV infusion</w:t>
      </w:r>
      <w:r w:rsidR="004420A0" w:rsidRPr="004420A0">
        <w:t xml:space="preserve"> </w:t>
      </w:r>
      <w:r w:rsidR="004420A0" w:rsidRPr="004420A0">
        <w:rPr>
          <w:rFonts w:ascii="TimesNewRomanPS-BoldMT" w:hAnsi="TimesNewRomanPS-BoldMT" w:cs="TimesNewRomanPS-BoldMT"/>
          <w:sz w:val="24"/>
          <w:szCs w:val="24"/>
        </w:rPr>
        <w:t>to healthy men and patients with CKD</w:t>
      </w:r>
      <w:r w:rsidRPr="004420A0">
        <w:t xml:space="preserve"> (0.24 or 0.25 mg/kg)</w:t>
      </w:r>
    </w:p>
    <w:p w14:paraId="38690C49" w14:textId="3A3859BC" w:rsidR="00461D02" w:rsidRDefault="00461D02" w:rsidP="00E66038">
      <w:r w:rsidRPr="009B6C31">
        <w:rPr>
          <w:noProof/>
        </w:rPr>
        <w:drawing>
          <wp:inline distT="0" distB="0" distL="0" distR="0" wp14:anchorId="45D53752" wp14:editId="21A116AB">
            <wp:extent cx="5759450" cy="3446342"/>
            <wp:effectExtent l="0" t="0" r="0" b="1905"/>
            <wp:docPr id="49" name="Picture 49" descr="Summary of PK parameters of imlifidase after a single IV infusion (0.24 or 0.25 m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ummary of PK parameters of imlifidase after a single IV infusion (0.24 or 0.25 mg/k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446342"/>
                    </a:xfrm>
                    <a:prstGeom prst="rect">
                      <a:avLst/>
                    </a:prstGeom>
                    <a:noFill/>
                    <a:ln>
                      <a:noFill/>
                    </a:ln>
                  </pic:spPr>
                </pic:pic>
              </a:graphicData>
            </a:graphic>
          </wp:inline>
        </w:drawing>
      </w:r>
    </w:p>
    <w:p w14:paraId="3284C34E" w14:textId="77777777" w:rsidR="00461D02" w:rsidRDefault="00461D02" w:rsidP="004B7EE5">
      <w:pPr>
        <w:pStyle w:val="Heading6"/>
      </w:pPr>
      <w:r>
        <w:lastRenderedPageBreak/>
        <w:t>Distribution</w:t>
      </w:r>
    </w:p>
    <w:p w14:paraId="2A4565BF" w14:textId="41FF45BD" w:rsidR="00461D02" w:rsidRDefault="00461D02" w:rsidP="00461D02">
      <w:r>
        <w:t>Healthy volunteers: In Study 01, the semi-log plot of plasma concentration v</w:t>
      </w:r>
      <w:r w:rsidR="00165C90">
        <w:t>ersus</w:t>
      </w:r>
      <w:r>
        <w:t xml:space="preserve"> time indicates a two-compartment model, that is a redistribution phase. The </w:t>
      </w:r>
      <w:r w:rsidR="00B7465E">
        <w:t>geometric mean</w:t>
      </w:r>
      <w:r>
        <w:t xml:space="preserve"> (</w:t>
      </w:r>
      <w:r w:rsidR="00B7465E">
        <w:t>%CV)</w:t>
      </w:r>
      <w:r>
        <w:t xml:space="preserve"> </w:t>
      </w:r>
      <w:r w:rsidR="006648A3">
        <w:t>volume of distribution (</w:t>
      </w:r>
      <w:proofErr w:type="spellStart"/>
      <w:r>
        <w:t>Vz</w:t>
      </w:r>
      <w:proofErr w:type="spellEnd"/>
      <w:r w:rsidR="006648A3">
        <w:t>)</w:t>
      </w:r>
      <w:r>
        <w:t xml:space="preserve"> was 0.</w:t>
      </w:r>
      <w:r w:rsidR="00B7465E">
        <w:t>19</w:t>
      </w:r>
      <w:r>
        <w:t xml:space="preserve"> (</w:t>
      </w:r>
      <w:r w:rsidR="00B7465E">
        <w:t>38</w:t>
      </w:r>
      <w:r>
        <w:t>) L/kg. In Study 15, following an intravenous dose of 0.25</w:t>
      </w:r>
      <w:r w:rsidR="006648A3">
        <w:t> </w:t>
      </w:r>
      <w:r>
        <w:t>mg/kg, the geometric mean (</w:t>
      </w:r>
      <w:r w:rsidR="00A95030">
        <w:t>%CV</w:t>
      </w:r>
      <w:r>
        <w:t xml:space="preserve">) </w:t>
      </w:r>
      <w:proofErr w:type="spellStart"/>
      <w:r>
        <w:t>Vz</w:t>
      </w:r>
      <w:proofErr w:type="spellEnd"/>
      <w:r>
        <w:t xml:space="preserve"> was 0.20 (67%) L/kg.</w:t>
      </w:r>
    </w:p>
    <w:p w14:paraId="435D2521" w14:textId="02694056" w:rsidR="00461D02" w:rsidRDefault="00461D02" w:rsidP="00461D02">
      <w:r>
        <w:t xml:space="preserve">Target group: In the target population, </w:t>
      </w:r>
      <w:r w:rsidR="00B7465E">
        <w:t xml:space="preserve">geometric </w:t>
      </w:r>
      <w:r>
        <w:t xml:space="preserve">mean </w:t>
      </w:r>
      <w:r w:rsidR="00B7465E">
        <w:t>(%CV)</w:t>
      </w:r>
      <w:r>
        <w:t xml:space="preserve"> </w:t>
      </w:r>
      <w:proofErr w:type="spellStart"/>
      <w:r>
        <w:t>Vz</w:t>
      </w:r>
      <w:proofErr w:type="spellEnd"/>
      <w:r>
        <w:t xml:space="preserve"> values were 0.09</w:t>
      </w:r>
      <w:r w:rsidR="006648A3">
        <w:t> </w:t>
      </w:r>
      <w:r>
        <w:t>(</w:t>
      </w:r>
      <w:r w:rsidR="00B7465E">
        <w:t>20</w:t>
      </w:r>
      <w:r>
        <w:t>)</w:t>
      </w:r>
      <w:r w:rsidR="00DF4EB5">
        <w:t> </w:t>
      </w:r>
      <w:r>
        <w:t>L/kg (Study 02), 0.1</w:t>
      </w:r>
      <w:r w:rsidR="00495711">
        <w:t>5</w:t>
      </w:r>
      <w:r>
        <w:t xml:space="preserve"> (</w:t>
      </w:r>
      <w:r w:rsidR="00495711">
        <w:t>53</w:t>
      </w:r>
      <w:r>
        <w:t>) L/kg (Study 03</w:t>
      </w:r>
      <w:r w:rsidR="005829D8">
        <w:t>)</w:t>
      </w:r>
      <w:r w:rsidR="0041556E">
        <w:t xml:space="preserve">, 0.17 (74) L/kg (Study 04) and </w:t>
      </w:r>
      <w:r>
        <w:t>0.</w:t>
      </w:r>
      <w:r w:rsidR="0041556E">
        <w:t>19</w:t>
      </w:r>
      <w:r>
        <w:t xml:space="preserve"> (</w:t>
      </w:r>
      <w:r w:rsidR="0041556E">
        <w:t>27</w:t>
      </w:r>
      <w:r>
        <w:t>) L/kg (Study 06)</w:t>
      </w:r>
      <w:r w:rsidR="007E6D6B">
        <w:t>.</w:t>
      </w:r>
    </w:p>
    <w:p w14:paraId="67664D89" w14:textId="77777777" w:rsidR="00461D02" w:rsidRDefault="00461D02" w:rsidP="004B7EE5">
      <w:pPr>
        <w:pStyle w:val="Heading6"/>
      </w:pPr>
      <w:r>
        <w:t>Metabolism</w:t>
      </w:r>
    </w:p>
    <w:p w14:paraId="5AB965D9" w14:textId="7121A34C" w:rsidR="00461D02" w:rsidRDefault="00DF4EB5" w:rsidP="00461D02">
      <w:r>
        <w:t>The Delegate noted that n</w:t>
      </w:r>
      <w:r w:rsidR="00461D02">
        <w:t>o metabolism studies were submitted.</w:t>
      </w:r>
    </w:p>
    <w:p w14:paraId="158510F3" w14:textId="77777777" w:rsidR="00461D02" w:rsidRDefault="00461D02" w:rsidP="004B7EE5">
      <w:pPr>
        <w:pStyle w:val="Heading6"/>
      </w:pPr>
      <w:r>
        <w:t>Excretion and elimination</w:t>
      </w:r>
    </w:p>
    <w:p w14:paraId="2CE7E8F6" w14:textId="5EB60CC8" w:rsidR="00461D02" w:rsidRDefault="003C43A4" w:rsidP="00461D02">
      <w:r>
        <w:t>D</w:t>
      </w:r>
      <w:r w:rsidR="00461D02">
        <w:t>istribution</w:t>
      </w:r>
      <w:r w:rsidR="00DF4EB5">
        <w:t xml:space="preserve"> half</w:t>
      </w:r>
      <w:r w:rsidR="00DA0AA7">
        <w:t>-</w:t>
      </w:r>
      <w:r w:rsidR="00DF4EB5">
        <w:t>life (</w:t>
      </w:r>
      <w:r w:rsidR="00461D02">
        <w:t>t½</w:t>
      </w:r>
      <w:r>
        <w:t>; harmonic mean</w:t>
      </w:r>
      <w:r w:rsidR="00DF4EB5">
        <w:t>)</w:t>
      </w:r>
      <w:r w:rsidR="00461D02">
        <w:t xml:space="preserve">: </w:t>
      </w:r>
      <w:r w:rsidR="00AA4602">
        <w:t>2.7</w:t>
      </w:r>
      <w:r w:rsidR="00461D02">
        <w:t xml:space="preserve"> h</w:t>
      </w:r>
      <w:r w:rsidR="00DF4EB5">
        <w:t>ours</w:t>
      </w:r>
      <w:r w:rsidR="00461D02">
        <w:t xml:space="preserve"> (Study 01), </w:t>
      </w:r>
      <w:r w:rsidR="00BC1538">
        <w:t xml:space="preserve">1.8 </w:t>
      </w:r>
      <w:r w:rsidR="00461D02">
        <w:t>h</w:t>
      </w:r>
      <w:r w:rsidR="00DF4EB5">
        <w:t>ours</w:t>
      </w:r>
      <w:r w:rsidR="00461D02">
        <w:t xml:space="preserve"> (Study 15)</w:t>
      </w:r>
      <w:r w:rsidR="00DF4EB5">
        <w:t>.</w:t>
      </w:r>
    </w:p>
    <w:p w14:paraId="57E0DF10" w14:textId="29A48DC1" w:rsidR="00461D02" w:rsidRDefault="003C43A4" w:rsidP="00461D02">
      <w:r>
        <w:t>E</w:t>
      </w:r>
      <w:r w:rsidR="00461D02">
        <w:t>limination</w:t>
      </w:r>
      <w:r w:rsidR="00DF4EB5">
        <w:t xml:space="preserve"> </w:t>
      </w:r>
      <w:r w:rsidR="00461D02">
        <w:t>t½ (</w:t>
      </w:r>
      <w:r w:rsidR="00BC1538">
        <w:t>harmonic mean</w:t>
      </w:r>
      <w:r w:rsidR="00461D02">
        <w:t>): 1</w:t>
      </w:r>
      <w:r w:rsidR="00016503">
        <w:t>07</w:t>
      </w:r>
      <w:r w:rsidR="00461D02">
        <w:t xml:space="preserve"> (70 to 15</w:t>
      </w:r>
      <w:r w:rsidR="007D71E8">
        <w:t>3</w:t>
      </w:r>
      <w:r w:rsidR="00461D02">
        <w:t xml:space="preserve">) hours (Study 01), </w:t>
      </w:r>
      <w:r w:rsidR="00F23D70">
        <w:t>89</w:t>
      </w:r>
      <w:r w:rsidR="00461D02">
        <w:t xml:space="preserve"> (7 to 238) h</w:t>
      </w:r>
      <w:r w:rsidR="006648A3">
        <w:t>ours</w:t>
      </w:r>
      <w:r w:rsidR="00461D02">
        <w:t xml:space="preserve"> (Study 15), </w:t>
      </w:r>
      <w:r w:rsidR="0034480B">
        <w:t>89</w:t>
      </w:r>
      <w:r w:rsidR="00461D02">
        <w:t xml:space="preserve"> (4</w:t>
      </w:r>
      <w:r w:rsidR="008B1E95">
        <w:t>9</w:t>
      </w:r>
      <w:r w:rsidR="00461D02">
        <w:t xml:space="preserve"> to 297) hours (Study 02), </w:t>
      </w:r>
      <w:r w:rsidR="00074D36">
        <w:t>74</w:t>
      </w:r>
      <w:r w:rsidR="00461D02">
        <w:t xml:space="preserve"> (</w:t>
      </w:r>
      <w:r w:rsidR="00A60D6D">
        <w:t>52 to</w:t>
      </w:r>
      <w:r w:rsidR="00C35E78">
        <w:t xml:space="preserve"> </w:t>
      </w:r>
      <w:r w:rsidR="00A60D6D">
        <w:t>94</w:t>
      </w:r>
      <w:r w:rsidR="00461D02">
        <w:t>) h</w:t>
      </w:r>
      <w:r w:rsidR="006648A3">
        <w:t>ours</w:t>
      </w:r>
      <w:r w:rsidR="00461D02">
        <w:t xml:space="preserve"> (Study 03 - 0.25</w:t>
      </w:r>
      <w:r w:rsidR="006648A3">
        <w:t> </w:t>
      </w:r>
      <w:r w:rsidR="00461D02">
        <w:t xml:space="preserve">mg/kg group), and </w:t>
      </w:r>
      <w:r w:rsidR="00123386">
        <w:t>93</w:t>
      </w:r>
      <w:r w:rsidR="00461D02">
        <w:t xml:space="preserve"> (</w:t>
      </w:r>
      <w:r w:rsidR="00123386">
        <w:t>49 to 171</w:t>
      </w:r>
      <w:r w:rsidR="00461D02">
        <w:t>) h</w:t>
      </w:r>
      <w:r w:rsidR="006648A3">
        <w:t>ours</w:t>
      </w:r>
      <w:r w:rsidR="00461D02">
        <w:t xml:space="preserve"> (Study 03 - 0.50 mg/kg group).</w:t>
      </w:r>
    </w:p>
    <w:p w14:paraId="68DA3D68" w14:textId="0C411B54" w:rsidR="00461D02" w:rsidRDefault="00461D02" w:rsidP="00461D02">
      <w:r>
        <w:t>Mean</w:t>
      </w:r>
      <w:r w:rsidR="004603BC">
        <w:t xml:space="preserve"> </w:t>
      </w:r>
      <w:r w:rsidR="00A0125D">
        <w:t>(</w:t>
      </w:r>
      <w:r w:rsidR="004603BC">
        <w:t>arithmetic</w:t>
      </w:r>
      <w:r w:rsidR="00A0125D">
        <w:t>)</w:t>
      </w:r>
      <w:r>
        <w:t xml:space="preserve"> (</w:t>
      </w:r>
      <w:r w:rsidR="006648A3">
        <w:t>standard deviation</w:t>
      </w:r>
      <w:r>
        <w:t xml:space="preserve">) </w:t>
      </w:r>
      <w:r w:rsidR="006648A3">
        <w:t>clearance</w:t>
      </w:r>
      <w:r>
        <w:t>: 1.</w:t>
      </w:r>
      <w:r w:rsidR="00E314EB">
        <w:t>1</w:t>
      </w:r>
      <w:r>
        <w:t xml:space="preserve"> (0.</w:t>
      </w:r>
      <w:r w:rsidR="009927AD">
        <w:t>38</w:t>
      </w:r>
      <w:r>
        <w:t>) mL/kg/h (Study 01), 0.86 (0.39) mL/h/kg (Study</w:t>
      </w:r>
      <w:r w:rsidR="006648A3">
        <w:t> </w:t>
      </w:r>
      <w:r>
        <w:t>02), 1.68 (1.18) mL/h/kg (Study 03 - 0.25 mg/kg group), 1.21 (0.76) mL/h/kg (Study</w:t>
      </w:r>
      <w:r w:rsidR="006648A3">
        <w:t> </w:t>
      </w:r>
      <w:r>
        <w:t>03</w:t>
      </w:r>
      <w:r w:rsidR="006648A3">
        <w:t> </w:t>
      </w:r>
      <w:r>
        <w:t>- 0.50 mg/kg group), and 1.75 (0.81) mL/h/kg (Study 06).</w:t>
      </w:r>
    </w:p>
    <w:p w14:paraId="17729B65" w14:textId="38C21086" w:rsidR="00461D02" w:rsidRDefault="00461D02" w:rsidP="00461D02">
      <w:r>
        <w:t>Geometric mean (</w:t>
      </w:r>
      <w:r w:rsidR="006648A3" w:rsidRPr="006648A3">
        <w:t>coefficient of variation</w:t>
      </w:r>
      <w:r w:rsidR="006648A3">
        <w:t xml:space="preserve"> [CV</w:t>
      </w:r>
      <w:r>
        <w:t>%</w:t>
      </w:r>
      <w:r w:rsidR="006648A3">
        <w:t>]</w:t>
      </w:r>
      <w:r>
        <w:t xml:space="preserve">) </w:t>
      </w:r>
      <w:r w:rsidR="006648A3">
        <w:t>clearance</w:t>
      </w:r>
      <w:r>
        <w:t>: 1.8 (82%) mL/h/kg (Study 15), and 1.5</w:t>
      </w:r>
      <w:r w:rsidR="006648A3">
        <w:t> </w:t>
      </w:r>
      <w:r>
        <w:t>(</w:t>
      </w:r>
      <w:r w:rsidR="00F428AE">
        <w:t>9</w:t>
      </w:r>
      <w:r>
        <w:t>4%) mL/h/kg (Study 4).</w:t>
      </w:r>
    </w:p>
    <w:p w14:paraId="22C038A7" w14:textId="77777777" w:rsidR="00461D02" w:rsidRDefault="00461D02" w:rsidP="004B7EE5">
      <w:pPr>
        <w:pStyle w:val="Heading6"/>
      </w:pPr>
      <w:r>
        <w:t xml:space="preserve">Dose </w:t>
      </w:r>
      <w:r w:rsidRPr="004B7EE5">
        <w:t>proportionality</w:t>
      </w:r>
    </w:p>
    <w:p w14:paraId="434A12AB" w14:textId="7A26D2BD" w:rsidR="00461D02" w:rsidRDefault="00461D02" w:rsidP="00461D02">
      <w:r>
        <w:t xml:space="preserve">Healthy volunteers: In Study 01, </w:t>
      </w:r>
      <w:r w:rsidR="001343DE">
        <w:t xml:space="preserve">exposure </w:t>
      </w:r>
      <w:proofErr w:type="gramStart"/>
      <w:r>
        <w:t>were</w:t>
      </w:r>
      <w:proofErr w:type="gramEnd"/>
      <w:r>
        <w:t xml:space="preserve"> dose-proportional in the dose range 0.010 to 0.24 mg/kg.</w:t>
      </w:r>
    </w:p>
    <w:p w14:paraId="0BBB0636" w14:textId="5AE47BD4" w:rsidR="00461D02" w:rsidRDefault="00461D02" w:rsidP="00461D02">
      <w:r>
        <w:t xml:space="preserve">Target group: In Study 03, </w:t>
      </w:r>
      <w:r w:rsidR="001343DE">
        <w:t xml:space="preserve">exposure </w:t>
      </w:r>
      <w:proofErr w:type="gramStart"/>
      <w:r>
        <w:t>were</w:t>
      </w:r>
      <w:proofErr w:type="gramEnd"/>
      <w:r>
        <w:t xml:space="preserve"> dose proportional in the dose range studied. </w:t>
      </w:r>
    </w:p>
    <w:p w14:paraId="20EA0229" w14:textId="77777777" w:rsidR="00461D02" w:rsidRDefault="00461D02" w:rsidP="004B7EE5">
      <w:pPr>
        <w:pStyle w:val="Heading6"/>
      </w:pPr>
      <w:r>
        <w:t>Accumulation</w:t>
      </w:r>
    </w:p>
    <w:p w14:paraId="4C61AFBE" w14:textId="350EA75F" w:rsidR="00461D02" w:rsidRDefault="004B7EE5" w:rsidP="00461D02">
      <w:r>
        <w:t>The Delegate noted that n</w:t>
      </w:r>
      <w:r w:rsidR="00461D02">
        <w:t>o mass balance studies were submitted.</w:t>
      </w:r>
    </w:p>
    <w:p w14:paraId="5A9FE57D" w14:textId="0E37BC69" w:rsidR="00461D02" w:rsidRDefault="00461D02" w:rsidP="004B7EE5">
      <w:pPr>
        <w:pStyle w:val="Heading6"/>
      </w:pPr>
      <w:r>
        <w:t>Target population</w:t>
      </w:r>
    </w:p>
    <w:p w14:paraId="4333C19B" w14:textId="77777777" w:rsidR="00461D02" w:rsidRDefault="00461D02" w:rsidP="00461D02">
      <w:r>
        <w:t>The PK parameters in the healthy volunteers were similar to those in patients prior, and undergoing, renal transplantation.</w:t>
      </w:r>
    </w:p>
    <w:p w14:paraId="33971EF1" w14:textId="13E3DC59" w:rsidR="00461D02" w:rsidRDefault="00461D02" w:rsidP="004B7EE5">
      <w:pPr>
        <w:pStyle w:val="Heading5"/>
      </w:pPr>
      <w:r>
        <w:t xml:space="preserve">Population </w:t>
      </w:r>
      <w:r w:rsidR="004B7EE5">
        <w:t>pharmacokinetics</w:t>
      </w:r>
    </w:p>
    <w:p w14:paraId="478ACFE7" w14:textId="78FB5D4A" w:rsidR="00461D02" w:rsidRDefault="004B7EE5" w:rsidP="00461D02">
      <w:r>
        <w:t xml:space="preserve">Source: </w:t>
      </w:r>
      <w:r w:rsidR="00461D02">
        <w:t xml:space="preserve">Clinical pharmacokinetic data from Phase </w:t>
      </w:r>
      <w:r>
        <w:t>I</w:t>
      </w:r>
      <w:r w:rsidR="00461D02">
        <w:t xml:space="preserve"> </w:t>
      </w:r>
      <w:r>
        <w:t>S</w:t>
      </w:r>
      <w:r w:rsidR="00461D02">
        <w:t xml:space="preserve">tudies 01 and 15, and Phase </w:t>
      </w:r>
      <w:r>
        <w:t>II</w:t>
      </w:r>
      <w:r w:rsidR="00461D02">
        <w:t xml:space="preserve"> </w:t>
      </w:r>
      <w:r>
        <w:t>S</w:t>
      </w:r>
      <w:r w:rsidR="00461D02">
        <w:t>tudies 02, 03, 04 and 06 provided the source data for a population pharmacokinetic and PK</w:t>
      </w:r>
      <w:r>
        <w:t>/pharmacodynamics (</w:t>
      </w:r>
      <w:r w:rsidR="00461D02">
        <w:t>PD</w:t>
      </w:r>
      <w:r>
        <w:t>)</w:t>
      </w:r>
      <w:r w:rsidR="00461D02">
        <w:t xml:space="preserve"> modelling of imlifidase (27 healthy subjects and 52 patients with </w:t>
      </w:r>
      <w:r>
        <w:t>chronic kidney disease (</w:t>
      </w:r>
      <w:r w:rsidR="00461D02">
        <w:t>CKD</w:t>
      </w:r>
      <w:r>
        <w:t>)</w:t>
      </w:r>
      <w:r w:rsidR="00461D02">
        <w:t xml:space="preserve"> with 734 PK and 810 PD observations).</w:t>
      </w:r>
    </w:p>
    <w:p w14:paraId="3356AE48" w14:textId="39C23204" w:rsidR="00461D02" w:rsidRDefault="00461D02" w:rsidP="00461D02">
      <w:r>
        <w:t xml:space="preserve">Methods: Imlifidase and IgG concentration-time data were analysed using non-linear mixed effects modelling with residual variability and inter-individual variability models. Specific covariates with a potential impact on imlifidase PK were examined: pre-existing </w:t>
      </w:r>
      <w:r w:rsidR="004B7EE5">
        <w:t>anti-drug antibody (</w:t>
      </w:r>
      <w:r>
        <w:t>ADA</w:t>
      </w:r>
      <w:r w:rsidR="004B7EE5">
        <w:t>)</w:t>
      </w:r>
      <w:r>
        <w:t xml:space="preserve"> concentration, study related differences, and patient weight.</w:t>
      </w:r>
    </w:p>
    <w:p w14:paraId="1F68C013" w14:textId="2B0AD23A" w:rsidR="00461D02" w:rsidRDefault="00461D02" w:rsidP="00461D02">
      <w:r>
        <w:t xml:space="preserve">Results: Imlifidase PK in both healthy subjects and patients with CKD were well described by a </w:t>
      </w:r>
      <w:r w:rsidR="004B7EE5">
        <w:t xml:space="preserve">two </w:t>
      </w:r>
      <w:r>
        <w:t>compartment</w:t>
      </w:r>
      <w:r w:rsidR="004B7EE5">
        <w:t>s</w:t>
      </w:r>
      <w:r>
        <w:t xml:space="preserve"> model, with linear elimination and a proportional residual error model.</w:t>
      </w:r>
    </w:p>
    <w:p w14:paraId="109D4A0F" w14:textId="461641ED" w:rsidR="00461D02" w:rsidRDefault="00461D02" w:rsidP="00461D02">
      <w:r>
        <w:lastRenderedPageBreak/>
        <w:t>Estimates included a clearance of 0.0976 L/h (CV</w:t>
      </w:r>
      <w:r w:rsidR="006648A3">
        <w:t xml:space="preserve"> </w:t>
      </w:r>
      <w:r>
        <w:t>=</w:t>
      </w:r>
      <w:r w:rsidR="006648A3">
        <w:t xml:space="preserve"> </w:t>
      </w:r>
      <w:r>
        <w:t>48%), central volume of distribution (</w:t>
      </w:r>
      <w:proofErr w:type="spellStart"/>
      <w:r>
        <w:t>Vc</w:t>
      </w:r>
      <w:proofErr w:type="spellEnd"/>
      <w:r>
        <w:t>) of 3.5 L (CV</w:t>
      </w:r>
      <w:r w:rsidR="004B7EE5">
        <w:t xml:space="preserve"> </w:t>
      </w:r>
      <w:r>
        <w:t>=</w:t>
      </w:r>
      <w:r w:rsidR="004B7EE5">
        <w:t xml:space="preserve"> </w:t>
      </w:r>
      <w:r>
        <w:t>24%), intercompartmental clearance of 0.179 L/h (CV</w:t>
      </w:r>
      <w:r w:rsidR="004B7EE5">
        <w:t xml:space="preserve"> </w:t>
      </w:r>
      <w:r>
        <w:t>=</w:t>
      </w:r>
      <w:r w:rsidR="004B7EE5">
        <w:t xml:space="preserve"> </w:t>
      </w:r>
      <w:r>
        <w:t>52%), and peripheral volume of distribution (</w:t>
      </w:r>
      <w:proofErr w:type="spellStart"/>
      <w:r>
        <w:t>Vp</w:t>
      </w:r>
      <w:proofErr w:type="spellEnd"/>
      <w:r>
        <w:t>) of 6.1 L (CV</w:t>
      </w:r>
      <w:r w:rsidR="004B7EE5">
        <w:t xml:space="preserve"> </w:t>
      </w:r>
      <w:r>
        <w:t>=</w:t>
      </w:r>
      <w:r w:rsidR="004B7EE5">
        <w:t xml:space="preserve"> </w:t>
      </w:r>
      <w:r>
        <w:t>93%).</w:t>
      </w:r>
      <w:r w:rsidR="006648A3" w:rsidRPr="006648A3">
        <w:t xml:space="preserve"> </w:t>
      </w:r>
      <w:r w:rsidR="006648A3">
        <w:t xml:space="preserve">Inter-individual variability </w:t>
      </w:r>
      <w:r>
        <w:t xml:space="preserve">was estimated as independent random effects, except for a significant covariance between CL and </w:t>
      </w:r>
      <w:proofErr w:type="spellStart"/>
      <w:r>
        <w:t>Vp</w:t>
      </w:r>
      <w:proofErr w:type="spellEnd"/>
      <w:r>
        <w:t xml:space="preserve"> (CV</w:t>
      </w:r>
      <w:r w:rsidR="004B7EE5">
        <w:t xml:space="preserve"> </w:t>
      </w:r>
      <w:r>
        <w:t>=</w:t>
      </w:r>
      <w:r w:rsidR="004B7EE5">
        <w:t xml:space="preserve"> </w:t>
      </w:r>
      <w:r>
        <w:t>54%).</w:t>
      </w:r>
    </w:p>
    <w:p w14:paraId="7D2EDAEA" w14:textId="421E4058" w:rsidR="00461D02" w:rsidRDefault="00461D02" w:rsidP="00461D02">
      <w:r>
        <w:t>In the final model (Run 330), the estimated exponent for the following significant covariate relationships were:</w:t>
      </w:r>
    </w:p>
    <w:p w14:paraId="09914F6D" w14:textId="5ECA9C7F" w:rsidR="00461D02" w:rsidRDefault="00461D02" w:rsidP="004B7EE5">
      <w:pPr>
        <w:pStyle w:val="ListBullet"/>
      </w:pPr>
      <w:r>
        <w:t xml:space="preserve">Pre-dose ADA relationship with </w:t>
      </w:r>
      <w:r w:rsidR="006648A3">
        <w:t>clearance</w:t>
      </w:r>
      <w:r>
        <w:t xml:space="preserve">: –0.158 (decreased </w:t>
      </w:r>
      <w:r w:rsidR="006648A3">
        <w:t>clearance</w:t>
      </w:r>
      <w:r>
        <w:t xml:space="preserve"> with higher pre-dose ADA)</w:t>
      </w:r>
    </w:p>
    <w:p w14:paraId="26A0CB5C" w14:textId="14B534BE" w:rsidR="00461D02" w:rsidRDefault="00461D02" w:rsidP="004B7EE5">
      <w:pPr>
        <w:pStyle w:val="ListBullet"/>
      </w:pPr>
      <w:r>
        <w:t xml:space="preserve">Body weight relationship with </w:t>
      </w:r>
      <w:proofErr w:type="spellStart"/>
      <w:r>
        <w:t>Vc</w:t>
      </w:r>
      <w:proofErr w:type="spellEnd"/>
      <w:r>
        <w:t xml:space="preserve">: 0.427 (increased </w:t>
      </w:r>
      <w:proofErr w:type="spellStart"/>
      <w:r>
        <w:t>Vc</w:t>
      </w:r>
      <w:proofErr w:type="spellEnd"/>
      <w:r>
        <w:t xml:space="preserve"> with higher body weight)</w:t>
      </w:r>
    </w:p>
    <w:p w14:paraId="01A65C32" w14:textId="06B509C2" w:rsidR="00461D02" w:rsidRDefault="00461D02" w:rsidP="00461D02">
      <w:r>
        <w:t>However, the population PK</w:t>
      </w:r>
      <w:r w:rsidR="004B7EE5">
        <w:t>/</w:t>
      </w:r>
      <w:r>
        <w:t>PD modelling did not suggest a clinically significant effect between pre-dose ADA levels and the PD effect of imlifidase at the proposed dose.</w:t>
      </w:r>
    </w:p>
    <w:p w14:paraId="662BA07C" w14:textId="3E1E16D8" w:rsidR="00461D02" w:rsidRDefault="00461D02" w:rsidP="004B7EE5">
      <w:pPr>
        <w:pStyle w:val="Heading5"/>
      </w:pPr>
      <w:r>
        <w:t>Pharmacodynamics</w:t>
      </w:r>
    </w:p>
    <w:p w14:paraId="32B8A956" w14:textId="77777777" w:rsidR="00461D02" w:rsidRDefault="00461D02" w:rsidP="004B7EE5">
      <w:pPr>
        <w:pStyle w:val="Heading6"/>
      </w:pPr>
      <w:r>
        <w:t>Mechanism of action</w:t>
      </w:r>
    </w:p>
    <w:p w14:paraId="714529F2" w14:textId="4B989EDE" w:rsidR="00461D02" w:rsidRDefault="00461D02" w:rsidP="00461D02">
      <w:r>
        <w:t xml:space="preserve">Imlifidase is a cysteine protease derived from the IgG-degrading enzyme of </w:t>
      </w:r>
      <w:r w:rsidRPr="004B7EE5">
        <w:rPr>
          <w:i/>
          <w:iCs/>
        </w:rPr>
        <w:t>Streptococcus pyogenes</w:t>
      </w:r>
      <w:r>
        <w:t xml:space="preserve"> that cleaves the heavy chains of all human IgG subclasses but no other immunoglobulins.</w:t>
      </w:r>
    </w:p>
    <w:p w14:paraId="056723BA" w14:textId="77777777" w:rsidR="00461D02" w:rsidRDefault="00461D02" w:rsidP="004B7EE5">
      <w:pPr>
        <w:pStyle w:val="Heading6"/>
      </w:pPr>
      <w:r>
        <w:t>Primary pharmacodynamic effects</w:t>
      </w:r>
    </w:p>
    <w:p w14:paraId="1ED75059" w14:textId="7EE8FBE9" w:rsidR="00461D02" w:rsidRDefault="00461D02" w:rsidP="00461D02">
      <w:r>
        <w:t>I</w:t>
      </w:r>
      <w:r w:rsidR="004B7EE5">
        <w:t>ntravenous</w:t>
      </w:r>
      <w:r>
        <w:t xml:space="preserve"> imlifidase administration induced rapid IgG cleavage in healthy males and in the CKD target population</w:t>
      </w:r>
      <w:r w:rsidR="0037419B">
        <w:t xml:space="preserve"> (</w:t>
      </w:r>
      <w:r w:rsidR="0037419B">
        <w:fldChar w:fldCharType="begin"/>
      </w:r>
      <w:r w:rsidR="0037419B">
        <w:instrText xml:space="preserve"> REF _Ref148612398 \h </w:instrText>
      </w:r>
      <w:r w:rsidR="0037419B">
        <w:fldChar w:fldCharType="separate"/>
      </w:r>
      <w:r w:rsidR="00755A69" w:rsidRPr="0037419B">
        <w:t xml:space="preserve">Table </w:t>
      </w:r>
      <w:r w:rsidR="00755A69">
        <w:rPr>
          <w:noProof/>
        </w:rPr>
        <w:t>6</w:t>
      </w:r>
      <w:r w:rsidR="0037419B">
        <w:fldChar w:fldCharType="end"/>
      </w:r>
      <w:r w:rsidR="0037419B">
        <w:t>)</w:t>
      </w:r>
      <w:r>
        <w:t xml:space="preserve">. The maximum effect on IgG concentration was reached within </w:t>
      </w:r>
      <w:r w:rsidR="004B7EE5">
        <w:t>six</w:t>
      </w:r>
      <w:r>
        <w:t xml:space="preserve"> hours in Studies 02 and 03, and within 24 hours in Studies 04 and 06. The small amounts of IgG detected typically constituted </w:t>
      </w:r>
      <w:proofErr w:type="spellStart"/>
      <w:r w:rsidR="0037419B">
        <w:t>scIgG</w:t>
      </w:r>
      <w:proofErr w:type="spellEnd"/>
      <w:r>
        <w:t>. The depletion of IgG was reversible (not all recovered to pre-transplant levels; see time course description below), and the IgG levels started to increase 4 to 7 days after administration of 0.24/0.25 mg/kg.</w:t>
      </w:r>
    </w:p>
    <w:p w14:paraId="6CB563F2" w14:textId="2D85C310" w:rsidR="0037419B" w:rsidRDefault="0037419B" w:rsidP="00E66038">
      <w:pPr>
        <w:pStyle w:val="TableTitle"/>
      </w:pPr>
      <w:bookmarkStart w:id="52" w:name="_Ref148612398"/>
      <w:r w:rsidRPr="0037419B">
        <w:lastRenderedPageBreak/>
        <w:t xml:space="preserve">Table </w:t>
      </w:r>
      <w:fldSimple w:instr=" SEQ Table \* ARABIC ">
        <w:r w:rsidR="00755A69">
          <w:rPr>
            <w:noProof/>
          </w:rPr>
          <w:t>6</w:t>
        </w:r>
      </w:fldSimple>
      <w:bookmarkEnd w:id="52"/>
      <w:r>
        <w:t xml:space="preserve">: </w:t>
      </w:r>
      <w:r w:rsidRPr="0037419B">
        <w:t>Percentage reduction of IgG</w:t>
      </w:r>
      <w:r>
        <w:t xml:space="preserve"> plus single chain I</w:t>
      </w:r>
      <w:r w:rsidRPr="0037419B">
        <w:t xml:space="preserve">gG from </w:t>
      </w:r>
      <w:r>
        <w:t>B</w:t>
      </w:r>
      <w:r w:rsidRPr="0037419B">
        <w:t xml:space="preserve">aseline by time in response to a single </w:t>
      </w:r>
      <w:r>
        <w:t>intravenous</w:t>
      </w:r>
      <w:r w:rsidRPr="0037419B">
        <w:t xml:space="preserve"> infusion of imlifidase to healthy subjects and patients with </w:t>
      </w:r>
      <w:r>
        <w:t>chronic kidney disease</w:t>
      </w:r>
    </w:p>
    <w:p w14:paraId="2AB34D32" w14:textId="61C95234" w:rsidR="0037419B" w:rsidRDefault="0037419B" w:rsidP="0037419B">
      <w:r w:rsidRPr="00100997">
        <w:rPr>
          <w:noProof/>
          <w:lang w:eastAsia="ja-JP"/>
        </w:rPr>
        <w:drawing>
          <wp:inline distT="0" distB="0" distL="0" distR="0" wp14:anchorId="37B3A8D9" wp14:editId="098E0E56">
            <wp:extent cx="5565913" cy="3651821"/>
            <wp:effectExtent l="0" t="0" r="0" b="6350"/>
            <wp:docPr id="50" name="Picture 50" descr="Percentage reduction of IgG plus single chain IgG from Baseline by time in response to a single intravenous infusion of imlifidase to healthy subjects and patients with chronic kidney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ercentage reduction of IgG plus single chain IgG from Baseline by time in response to a single intravenous infusion of imlifidase to healthy subjects and patients with chronic kidney disea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1392" cy="3655416"/>
                    </a:xfrm>
                    <a:prstGeom prst="rect">
                      <a:avLst/>
                    </a:prstGeom>
                    <a:noFill/>
                    <a:ln>
                      <a:noFill/>
                    </a:ln>
                  </pic:spPr>
                </pic:pic>
              </a:graphicData>
            </a:graphic>
          </wp:inline>
        </w:drawing>
      </w:r>
    </w:p>
    <w:p w14:paraId="32208393" w14:textId="77777777" w:rsidR="0037419B" w:rsidRPr="0037419B" w:rsidRDefault="0037419B" w:rsidP="0012646F">
      <w:pPr>
        <w:pStyle w:val="Heading6"/>
      </w:pPr>
      <w:r w:rsidRPr="0037419B">
        <w:t>Secondary pharmacodynamic effects</w:t>
      </w:r>
    </w:p>
    <w:p w14:paraId="2464728C" w14:textId="61ABCFF6" w:rsidR="0037419B" w:rsidRPr="0037419B" w:rsidRDefault="0037419B" w:rsidP="0037419B">
      <w:r w:rsidRPr="0037419B">
        <w:t>In Study 01, there was no long-term effect on anti-tetanus IgG or anti-CMV IgG. The MFI from the CD19 positive cells stained for F(ab’)2 (</w:t>
      </w:r>
      <w:r w:rsidR="0012646F">
        <w:t>that is</w:t>
      </w:r>
      <w:r w:rsidRPr="0037419B">
        <w:t xml:space="preserve"> IgG-BCR) was reduced both by the 0.12 mg/kg and the 0.24 mg/kg dose levels. All the volunteers gradually regained CD19</w:t>
      </w:r>
      <w:r w:rsidRPr="0081584E">
        <w:rPr>
          <w:vertAlign w:val="superscript"/>
        </w:rPr>
        <w:t>+</w:t>
      </w:r>
      <w:r w:rsidRPr="0037419B">
        <w:t xml:space="preserve"> cells with an intact BCR during follow</w:t>
      </w:r>
      <w:r w:rsidR="0081584E">
        <w:t xml:space="preserve"> </w:t>
      </w:r>
      <w:r w:rsidRPr="0037419B">
        <w:t>up.</w:t>
      </w:r>
    </w:p>
    <w:p w14:paraId="3C8B3E06" w14:textId="77777777" w:rsidR="0037419B" w:rsidRPr="0081584E" w:rsidRDefault="0037419B" w:rsidP="0081584E">
      <w:pPr>
        <w:pStyle w:val="Heading6"/>
      </w:pPr>
      <w:r w:rsidRPr="0081584E">
        <w:t>Time course of pharmacodynamic effects</w:t>
      </w:r>
    </w:p>
    <w:p w14:paraId="44D74BDD" w14:textId="4C85ADEF" w:rsidR="0037419B" w:rsidRPr="0037419B" w:rsidRDefault="0037419B" w:rsidP="0037419B">
      <w:r w:rsidRPr="0037419B">
        <w:t>In Study 01, the maximal effect was achieved 2 to 6 hours after dosing in all four volunteers. F(ab’)2 and Fc were at the lowest concentrations between one and seven days after dosing. IgG concentrations were beginning to recover 1 to 2 weeks after dosing.</w:t>
      </w:r>
    </w:p>
    <w:p w14:paraId="12863567" w14:textId="381A0C90" w:rsidR="0037419B" w:rsidRPr="0037419B" w:rsidRDefault="0037419B" w:rsidP="0037419B">
      <w:r w:rsidRPr="0037419B">
        <w:t xml:space="preserve">In Study 03, in patients undergoing renal transplant, time to recovery of IgG was analysed in four patients. The six other patients did not have recovery of IgG to pre-transplant levels. In two patients in the 0.25 mg/kg group the time to recovery was 122 days and 160 days. In two patients in the 0.5 mg/kg group, time to recovery was 22 days and 63 days. The median (range) time to 80% recovery of </w:t>
      </w:r>
      <w:r w:rsidR="0081584E">
        <w:t>single antigen bead</w:t>
      </w:r>
      <w:r w:rsidRPr="0037419B">
        <w:t>-HLA antibodies was 68 (29 to 181) days in the 0.25</w:t>
      </w:r>
      <w:r w:rsidR="0081584E">
        <w:t> </w:t>
      </w:r>
      <w:r w:rsidRPr="0037419B">
        <w:t>mg/kg group and 15 (8 to 62) days in the 0.5 mg/kg group.</w:t>
      </w:r>
    </w:p>
    <w:p w14:paraId="41BB7B46" w14:textId="77777777" w:rsidR="0037419B" w:rsidRPr="0037419B" w:rsidRDefault="0037419B" w:rsidP="0037419B">
      <w:r w:rsidRPr="0037419B">
        <w:t>The PD of imlifidase has been adequately characterised in the proposed usage. This has been explored at different dose levels and the time course of effect has been described.</w:t>
      </w:r>
    </w:p>
    <w:p w14:paraId="5074F183" w14:textId="77777777" w:rsidR="0037419B" w:rsidRPr="0037419B" w:rsidRDefault="0037419B" w:rsidP="0081584E">
      <w:pPr>
        <w:pStyle w:val="Heading6"/>
      </w:pPr>
      <w:r w:rsidRPr="0037419B">
        <w:t>Dosage selection for the pivotal studies</w:t>
      </w:r>
    </w:p>
    <w:p w14:paraId="31621A90" w14:textId="77777777" w:rsidR="0037419B" w:rsidRPr="0037419B" w:rsidRDefault="0037419B" w:rsidP="0037419B">
      <w:r w:rsidRPr="0037419B">
        <w:t xml:space="preserve">A dose range from 0.12 mg/kg to 0.5 mg/kg was explored. The response was inadequate at the 0.12 mg/kg dose level, but adequate in the 0.25 mg/kg to 0.5 mg/kg dose range. There was no clinically significant response difference between the 0.25 mg/kg and 0.50 mg/kg dose levels. The proposed dosing and administration are to administer 0.25 mg/kg as a single dose and then </w:t>
      </w:r>
      <w:r w:rsidRPr="0037419B">
        <w:lastRenderedPageBreak/>
        <w:t>confirm cross-match conversion from positive to negative before transplantation. If necessary, a second dose of 0.25 mg/kg can be administered within 24 hours. This proposed dosing regimen is supported by the data submitted in the dossier.</w:t>
      </w:r>
    </w:p>
    <w:p w14:paraId="1BA1D657" w14:textId="77777777" w:rsidR="0037419B" w:rsidRPr="0037419B" w:rsidRDefault="0037419B" w:rsidP="0081584E">
      <w:pPr>
        <w:pStyle w:val="Heading4"/>
      </w:pPr>
      <w:bookmarkStart w:id="53" w:name="_Toc166143713"/>
      <w:r w:rsidRPr="0037419B">
        <w:t>Efficacy</w:t>
      </w:r>
      <w:bookmarkEnd w:id="53"/>
    </w:p>
    <w:p w14:paraId="2AA87AC8" w14:textId="50991E3F" w:rsidR="0037419B" w:rsidRPr="0037419B" w:rsidRDefault="0037419B" w:rsidP="0037419B">
      <w:r w:rsidRPr="0037419B">
        <w:t>There were five completed studies with efficacy data</w:t>
      </w:r>
      <w:r w:rsidR="0081584E">
        <w:t>, f</w:t>
      </w:r>
      <w:r w:rsidRPr="0037419B">
        <w:t xml:space="preserve">our Phase </w:t>
      </w:r>
      <w:r w:rsidR="0081584E">
        <w:t>II</w:t>
      </w:r>
      <w:r w:rsidRPr="0037419B">
        <w:t xml:space="preserve"> studies and one follow-on study. The four Phase </w:t>
      </w:r>
      <w:r w:rsidR="0081584E">
        <w:t>II</w:t>
      </w:r>
      <w:r w:rsidRPr="0037419B">
        <w:t xml:space="preserve"> studies were:</w:t>
      </w:r>
    </w:p>
    <w:p w14:paraId="1C7B26D2" w14:textId="2EF59575" w:rsidR="0037419B" w:rsidRPr="0037419B" w:rsidRDefault="0037419B" w:rsidP="0081584E">
      <w:pPr>
        <w:pStyle w:val="ListBullet"/>
      </w:pPr>
      <w:r w:rsidRPr="0037419B">
        <w:t xml:space="preserve">Study 06 (15-HMedIdeS-06) (main Phase </w:t>
      </w:r>
      <w:r w:rsidR="0081584E">
        <w:t>II</w:t>
      </w:r>
      <w:r w:rsidRPr="0037419B">
        <w:t xml:space="preserve"> study)</w:t>
      </w:r>
    </w:p>
    <w:p w14:paraId="3B8D09CD" w14:textId="4D94E88C" w:rsidR="0037419B" w:rsidRPr="0037419B" w:rsidRDefault="0037419B" w:rsidP="0081584E">
      <w:pPr>
        <w:pStyle w:val="ListBullet"/>
      </w:pPr>
      <w:r w:rsidRPr="0037419B">
        <w:t xml:space="preserve">Study 04 (14-HMedIdeS-04) (main supportive Phase </w:t>
      </w:r>
      <w:r w:rsidR="0081584E">
        <w:t>II</w:t>
      </w:r>
      <w:r w:rsidRPr="0037419B">
        <w:t xml:space="preserve"> study)</w:t>
      </w:r>
    </w:p>
    <w:p w14:paraId="2CBDCA33" w14:textId="77777777" w:rsidR="0037419B" w:rsidRPr="0037419B" w:rsidRDefault="0037419B" w:rsidP="0081584E">
      <w:pPr>
        <w:pStyle w:val="ListBullet"/>
      </w:pPr>
      <w:r w:rsidRPr="0037419B">
        <w:t>Study 03 (13-HMedIdeS-03) (safety and dose-finding study with efficacy endpoints)</w:t>
      </w:r>
    </w:p>
    <w:p w14:paraId="0802E05F" w14:textId="77777777" w:rsidR="0037419B" w:rsidRPr="0037419B" w:rsidRDefault="0037419B" w:rsidP="0081584E">
      <w:pPr>
        <w:pStyle w:val="ListBullet"/>
      </w:pPr>
      <w:r w:rsidRPr="0037419B">
        <w:t>Study 02 (13-HMedIdeS-02) (safety and dose-finding study with efficacy endpoints)</w:t>
      </w:r>
    </w:p>
    <w:p w14:paraId="716647D1" w14:textId="77777777" w:rsidR="0037419B" w:rsidRPr="0037419B" w:rsidRDefault="0037419B" w:rsidP="0037419B">
      <w:r w:rsidRPr="0037419B">
        <w:t>Additional supportive data were provided from the following:</w:t>
      </w:r>
    </w:p>
    <w:p w14:paraId="7BDE1CAD" w14:textId="77777777" w:rsidR="0037419B" w:rsidRPr="0037419B" w:rsidRDefault="0037419B" w:rsidP="0081584E">
      <w:pPr>
        <w:pStyle w:val="ListBullet"/>
      </w:pPr>
      <w:r w:rsidRPr="0037419B">
        <w:t>Study 13 (17-HMedIdeS-13) (retrospective follow-on study with patients from Studies 02 and 03)</w:t>
      </w:r>
    </w:p>
    <w:p w14:paraId="12FF0D84" w14:textId="10CC2309" w:rsidR="0037419B" w:rsidRPr="0037419B" w:rsidRDefault="0037419B" w:rsidP="0081584E">
      <w:pPr>
        <w:pStyle w:val="ListBullet"/>
      </w:pPr>
      <w:r w:rsidRPr="0037419B">
        <w:t>Study 14 (17-HMedIdeS-14) (</w:t>
      </w:r>
      <w:r w:rsidR="00A007E4">
        <w:t xml:space="preserve">ongoing </w:t>
      </w:r>
      <w:r w:rsidRPr="0037419B">
        <w:t>follow-on study with patients from Studies 02, 03, 04, and 06)</w:t>
      </w:r>
    </w:p>
    <w:p w14:paraId="762F35DB" w14:textId="257EBC83" w:rsidR="0081584E" w:rsidRDefault="0081584E" w:rsidP="0081584E">
      <w:pPr>
        <w:pStyle w:val="Heading5"/>
      </w:pPr>
      <w:r>
        <w:t>Study 06 (</w:t>
      </w:r>
      <w:r w:rsidRPr="0078566C">
        <w:t>15-HMedIdeS-06</w:t>
      </w:r>
      <w:r>
        <w:t>)</w:t>
      </w:r>
    </w:p>
    <w:p w14:paraId="34D00B85" w14:textId="42E2C7DF" w:rsidR="0037419B" w:rsidRPr="0037419B" w:rsidRDefault="0081584E" w:rsidP="0037419B">
      <w:r>
        <w:t>Study 06 is an op</w:t>
      </w:r>
      <w:r w:rsidR="0037419B" w:rsidRPr="0037419B">
        <w:t xml:space="preserve">en-label, single arm (no comparator), multicentre Phase </w:t>
      </w:r>
      <w:r>
        <w:t>II</w:t>
      </w:r>
      <w:r w:rsidR="0037419B" w:rsidRPr="0037419B">
        <w:t xml:space="preserve"> study to evaluate the efficacy of imlifidase prior to renal transplantation in 19 adult men and women (aged 18 to 70</w:t>
      </w:r>
      <w:r w:rsidR="00D83DB7">
        <w:t xml:space="preserve"> </w:t>
      </w:r>
      <w:r w:rsidR="0037419B" w:rsidRPr="0037419B">
        <w:t>y</w:t>
      </w:r>
      <w:r w:rsidR="00D83DB7">
        <w:t>ears of age</w:t>
      </w:r>
      <w:r w:rsidR="0037419B" w:rsidRPr="0037419B">
        <w:t xml:space="preserve">) with a positive </w:t>
      </w:r>
      <w:r w:rsidR="00D83DB7">
        <w:t>CXM</w:t>
      </w:r>
      <w:r w:rsidR="0037419B" w:rsidRPr="0037419B">
        <w:t xml:space="preserve"> test. The study was conducted from September 2016 to July 2018 at </w:t>
      </w:r>
      <w:r w:rsidR="00D83DB7">
        <w:t>five</w:t>
      </w:r>
      <w:r w:rsidR="0037419B" w:rsidRPr="0037419B">
        <w:t xml:space="preserve"> sites in </w:t>
      </w:r>
      <w:r w:rsidR="00D83DB7">
        <w:t>three</w:t>
      </w:r>
      <w:r w:rsidR="0037419B" w:rsidRPr="0037419B">
        <w:t xml:space="preserve"> countries.</w:t>
      </w:r>
    </w:p>
    <w:p w14:paraId="16DE49D2" w14:textId="6A1805FE" w:rsidR="0037419B" w:rsidRPr="0037419B" w:rsidRDefault="00D83DB7" w:rsidP="0037419B">
      <w:r>
        <w:t>The p</w:t>
      </w:r>
      <w:r w:rsidR="0037419B" w:rsidRPr="0037419B">
        <w:t>rimary efficacy objective</w:t>
      </w:r>
      <w:r>
        <w:t xml:space="preserve"> was</w:t>
      </w:r>
      <w:r w:rsidR="0037419B" w:rsidRPr="0037419B">
        <w:t xml:space="preserve"> to assess the efficacy of imlifidase in creating a negative CXM test.</w:t>
      </w:r>
      <w:r>
        <w:t xml:space="preserve"> The o</w:t>
      </w:r>
      <w:r w:rsidR="0037419B" w:rsidRPr="0037419B">
        <w:t>ther objectives</w:t>
      </w:r>
      <w:r>
        <w:t xml:space="preserve"> were to assess </w:t>
      </w:r>
      <w:r w:rsidR="0037419B" w:rsidRPr="0037419B">
        <w:t>other efficacy, safety, PK, and PD objectives.</w:t>
      </w:r>
    </w:p>
    <w:p w14:paraId="03637DF2" w14:textId="1E4B062E" w:rsidR="0037419B" w:rsidRDefault="00D83DB7" w:rsidP="00E66038">
      <w:pPr>
        <w:pStyle w:val="FigureTitle"/>
        <w:rPr>
          <w:rFonts w:asciiTheme="minorHAnsi" w:hAnsiTheme="minorHAnsi" w:cs="TimesNewRoman"/>
        </w:rPr>
      </w:pPr>
      <w:r w:rsidRPr="00D83DB7">
        <w:t xml:space="preserve">Figure </w:t>
      </w:r>
      <w:fldSimple w:instr=" SEQ Figure \* ARABIC ">
        <w:r w:rsidR="00755A69">
          <w:rPr>
            <w:noProof/>
          </w:rPr>
          <w:t>2</w:t>
        </w:r>
      </w:fldSimple>
      <w:r w:rsidRPr="00D83DB7">
        <w:t>:</w:t>
      </w:r>
      <w:r>
        <w:t xml:space="preserve"> </w:t>
      </w:r>
      <w:r w:rsidRPr="009A09B9">
        <w:rPr>
          <w:rFonts w:asciiTheme="minorHAnsi" w:hAnsiTheme="minorHAnsi" w:cs="TimesNewRoman"/>
        </w:rPr>
        <w:t>Stud</w:t>
      </w:r>
      <w:r>
        <w:rPr>
          <w:rFonts w:asciiTheme="minorHAnsi" w:hAnsiTheme="minorHAnsi" w:cs="TimesNewRoman"/>
        </w:rPr>
        <w:t xml:space="preserve">y 06. </w:t>
      </w:r>
      <w:r w:rsidRPr="009A09B9">
        <w:rPr>
          <w:rFonts w:asciiTheme="minorHAnsi" w:hAnsiTheme="minorHAnsi" w:cs="TimesNewRoman"/>
        </w:rPr>
        <w:t>Study design schema</w:t>
      </w:r>
    </w:p>
    <w:p w14:paraId="608479D0" w14:textId="3EF4CBB8" w:rsidR="00D83DB7" w:rsidRDefault="00D83DB7" w:rsidP="00061AFB">
      <w:r w:rsidRPr="00663B85">
        <w:rPr>
          <w:noProof/>
        </w:rPr>
        <w:drawing>
          <wp:inline distT="0" distB="0" distL="0" distR="0" wp14:anchorId="551FEEA5" wp14:editId="5E8AFAC5">
            <wp:extent cx="4719955" cy="1793875"/>
            <wp:effectExtent l="0" t="0" r="4445" b="0"/>
            <wp:docPr id="25" name="Picture 25" descr="Study 06. Study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06. Study design sche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9955" cy="1793875"/>
                    </a:xfrm>
                    <a:prstGeom prst="rect">
                      <a:avLst/>
                    </a:prstGeom>
                    <a:noFill/>
                    <a:ln>
                      <a:noFill/>
                    </a:ln>
                  </pic:spPr>
                </pic:pic>
              </a:graphicData>
            </a:graphic>
          </wp:inline>
        </w:drawing>
      </w:r>
    </w:p>
    <w:p w14:paraId="641613BB" w14:textId="60B4236F" w:rsidR="00D83DB7" w:rsidRPr="00D83DB7" w:rsidRDefault="00D83DB7" w:rsidP="00D83DB7">
      <w:r w:rsidRPr="00D83DB7">
        <w:t>Inclusion criteria</w:t>
      </w:r>
      <w:r w:rsidR="000179FA">
        <w:t xml:space="preserve"> includes m</w:t>
      </w:r>
      <w:r w:rsidRPr="00D83DB7">
        <w:t xml:space="preserve">ale or female aged 18 to 70 years at the time of screening; </w:t>
      </w:r>
      <w:r w:rsidR="000179FA">
        <w:t>p</w:t>
      </w:r>
      <w:r w:rsidRPr="00D83DB7">
        <w:t xml:space="preserve">atients on the kidney transplant waiting list who had previously undergone desensitisation unsuccessfully or in whom effective desensitisation was highly unlikely. </w:t>
      </w:r>
      <w:r w:rsidR="000179FA">
        <w:t>P</w:t>
      </w:r>
      <w:r w:rsidRPr="00D83DB7">
        <w:t xml:space="preserve">atients in Sweden required an anti-HLA antibody status with panel reactive antibody (PRA) </w:t>
      </w:r>
      <w:r w:rsidR="000179FA">
        <w:t xml:space="preserve">of at least </w:t>
      </w:r>
      <w:r w:rsidRPr="00D83DB7">
        <w:t xml:space="preserve">80%; patients in France required a </w:t>
      </w:r>
      <w:r w:rsidR="006648A3">
        <w:t>d</w:t>
      </w:r>
      <w:r w:rsidR="006648A3" w:rsidRPr="00DE4287">
        <w:t>onor specific antibody (DSA)</w:t>
      </w:r>
      <w:r w:rsidRPr="00D83DB7">
        <w:t xml:space="preserve"> with </w:t>
      </w:r>
      <w:proofErr w:type="gramStart"/>
      <w:r w:rsidRPr="00D83DB7">
        <w:t>a</w:t>
      </w:r>
      <w:proofErr w:type="gramEnd"/>
      <w:r w:rsidRPr="00D83DB7">
        <w:t xml:space="preserve"> MFI value </w:t>
      </w:r>
      <w:r w:rsidR="000179FA">
        <w:t xml:space="preserve">of at least </w:t>
      </w:r>
      <w:r w:rsidRPr="00D83DB7">
        <w:t>3000 and a positive cross-match.</w:t>
      </w:r>
    </w:p>
    <w:p w14:paraId="3DFFDC5A" w14:textId="121E8EB1" w:rsidR="00D83DB7" w:rsidRPr="00D83DB7" w:rsidRDefault="00D83DB7" w:rsidP="00D83DB7">
      <w:r w:rsidRPr="00D83DB7">
        <w:t>Exclusion criteria included</w:t>
      </w:r>
      <w:r w:rsidR="000179FA">
        <w:t xml:space="preserve"> p</w:t>
      </w:r>
      <w:r w:rsidRPr="00D83DB7">
        <w:t>revious treatment with imlifidase, or high dose IVIg treatment (2</w:t>
      </w:r>
      <w:r w:rsidR="000179FA">
        <w:t> </w:t>
      </w:r>
      <w:r w:rsidRPr="00D83DB7">
        <w:t xml:space="preserve">g/kg body weight) within 28 days prior to imlifidase treatment; lactating or pregnant </w:t>
      </w:r>
      <w:r w:rsidRPr="00D83DB7">
        <w:lastRenderedPageBreak/>
        <w:t xml:space="preserve">females; HIV-positive patients; </w:t>
      </w:r>
      <w:r w:rsidR="000179FA">
        <w:t>p</w:t>
      </w:r>
      <w:r w:rsidRPr="00D83DB7">
        <w:t>atients who had a live donor and tested positive for ImmunoCAP anti-imlifidase IgE.</w:t>
      </w:r>
    </w:p>
    <w:p w14:paraId="1BB5465C" w14:textId="4EECFD69" w:rsidR="00D83DB7" w:rsidRPr="00D83DB7" w:rsidRDefault="00D83DB7" w:rsidP="00D83DB7">
      <w:r w:rsidRPr="00D83DB7">
        <w:t>Treatments</w:t>
      </w:r>
      <w:r w:rsidR="000179FA">
        <w:t xml:space="preserve"> include i</w:t>
      </w:r>
      <w:r w:rsidRPr="00D83DB7">
        <w:t xml:space="preserve">mlifidase 0.25 mg/kg administered by </w:t>
      </w:r>
      <w:r w:rsidR="000179FA">
        <w:t>intravenous</w:t>
      </w:r>
      <w:r w:rsidRPr="00D83DB7">
        <w:t xml:space="preserve"> infusion over 15</w:t>
      </w:r>
      <w:r w:rsidR="000179FA">
        <w:t> </w:t>
      </w:r>
      <w:r w:rsidRPr="00D83DB7">
        <w:t xml:space="preserve">minutes, as a single dose, but if considered safe and the desired effect was not achieved (negative CXM test) after the first dose, an additional dose could be given within </w:t>
      </w:r>
      <w:r w:rsidR="000179FA">
        <w:t>two</w:t>
      </w:r>
      <w:r w:rsidRPr="00D83DB7">
        <w:t xml:space="preserve"> days.</w:t>
      </w:r>
    </w:p>
    <w:p w14:paraId="1458ECD9" w14:textId="60D1D2D1" w:rsidR="00D83DB7" w:rsidRPr="00D83DB7" w:rsidRDefault="00D83DB7" w:rsidP="00D83DB7">
      <w:r w:rsidRPr="00D83DB7">
        <w:t>Prior to imlifidase administration, the patients were pre-treated with glucocorticoids and antihistamines. In addition, the patients were treated with IVIg (on Days 6 to 8), rituximab (anti</w:t>
      </w:r>
      <w:r w:rsidR="000179FA">
        <w:noBreakHyphen/>
      </w:r>
      <w:r w:rsidRPr="00D83DB7">
        <w:t xml:space="preserve">CD20 antibody, </w:t>
      </w:r>
      <w:r w:rsidR="000179FA">
        <w:t>nine</w:t>
      </w:r>
      <w:r w:rsidRPr="00D83DB7">
        <w:t xml:space="preserve"> days after imlifidase), prophylactic antibiotics, immunosuppressing agents and, if indicated, with anti-thymocyte globulin derived from horse or alemtuzumab (anti-CD52 antibody).</w:t>
      </w:r>
    </w:p>
    <w:p w14:paraId="328307DD" w14:textId="1E9C17B8" w:rsidR="00D83DB7" w:rsidRPr="00D83DB7" w:rsidRDefault="00D83DB7" w:rsidP="00D83DB7">
      <w:r w:rsidRPr="00D83DB7">
        <w:t xml:space="preserve">Baseline characteristics: 21 patients were screened, 19 included in the study, with 16 completing the study. 3 patients withdrew: one due to AE, one withdrew themselves and one due to </w:t>
      </w:r>
      <w:r w:rsidR="002B0603">
        <w:t>‘</w:t>
      </w:r>
      <w:r w:rsidRPr="00D83DB7">
        <w:t>other</w:t>
      </w:r>
      <w:r w:rsidR="002B0603">
        <w:t>’</w:t>
      </w:r>
      <w:r w:rsidRPr="00D83DB7">
        <w:t xml:space="preserve"> reason. Baseline patient demographics and disease characteristics are shown in</w:t>
      </w:r>
      <w:r w:rsidR="002B0603">
        <w:t xml:space="preserve"> </w:t>
      </w:r>
      <w:r w:rsidR="002B0603">
        <w:fldChar w:fldCharType="begin"/>
      </w:r>
      <w:r w:rsidR="002B0603">
        <w:instrText xml:space="preserve"> REF _Ref148703229 \h </w:instrText>
      </w:r>
      <w:r w:rsidR="002B0603">
        <w:fldChar w:fldCharType="separate"/>
      </w:r>
      <w:r w:rsidR="00755A69" w:rsidRPr="007157EB">
        <w:t xml:space="preserve">Table </w:t>
      </w:r>
      <w:r w:rsidR="00755A69">
        <w:rPr>
          <w:noProof/>
        </w:rPr>
        <w:t>10</w:t>
      </w:r>
      <w:r w:rsidR="002B0603">
        <w:fldChar w:fldCharType="end"/>
      </w:r>
      <w:r w:rsidRPr="00D83DB7">
        <w:t>.</w:t>
      </w:r>
    </w:p>
    <w:p w14:paraId="67D18A9D" w14:textId="77777777" w:rsidR="00D83DB7" w:rsidRPr="00D83DB7" w:rsidRDefault="00D83DB7" w:rsidP="00D83DB7">
      <w:pPr>
        <w:pStyle w:val="Heading6"/>
      </w:pPr>
      <w:r w:rsidRPr="00D83DB7">
        <w:t>Magnitude of the treatment effect and its clinical significance</w:t>
      </w:r>
    </w:p>
    <w:p w14:paraId="6CBFA75D" w14:textId="34BCD132" w:rsidR="00D83DB7" w:rsidRPr="00D83DB7" w:rsidRDefault="00D83DB7" w:rsidP="00D83DB7">
      <w:r w:rsidRPr="00D83DB7">
        <w:t>Primary efficacy endpoint: Proportion of patients converting from a positive CXM to a negative CXM within 24 hours after imlifidase dosing (met if at least one assay was positive at pre-dose and the last assay within 24 hours post-dose was negative)</w:t>
      </w:r>
      <w:r w:rsidR="00CD5AF3">
        <w:t xml:space="preserve"> (</w:t>
      </w:r>
      <w:r w:rsidR="00CD5AF3">
        <w:fldChar w:fldCharType="begin"/>
      </w:r>
      <w:r w:rsidR="00CD5AF3">
        <w:instrText xml:space="preserve"> REF _Ref148628523 \h </w:instrText>
      </w:r>
      <w:r w:rsidR="00CD5AF3">
        <w:fldChar w:fldCharType="separate"/>
      </w:r>
      <w:r w:rsidR="00755A69" w:rsidRPr="00CD5AF3">
        <w:t xml:space="preserve">Table </w:t>
      </w:r>
      <w:r w:rsidR="00755A69">
        <w:rPr>
          <w:noProof/>
        </w:rPr>
        <w:t>7</w:t>
      </w:r>
      <w:r w:rsidR="00CD5AF3">
        <w:fldChar w:fldCharType="end"/>
      </w:r>
      <w:r w:rsidR="00CD5AF3">
        <w:t xml:space="preserve"> and </w:t>
      </w:r>
      <w:r w:rsidR="00CD5AF3">
        <w:fldChar w:fldCharType="begin"/>
      </w:r>
      <w:r w:rsidR="00CD5AF3">
        <w:instrText xml:space="preserve"> REF _Ref148628529 \h </w:instrText>
      </w:r>
      <w:r w:rsidR="00CD5AF3">
        <w:fldChar w:fldCharType="separate"/>
      </w:r>
      <w:r w:rsidR="00755A69" w:rsidRPr="00CD5AF3">
        <w:t xml:space="preserve">Table </w:t>
      </w:r>
      <w:r w:rsidR="00755A69">
        <w:rPr>
          <w:noProof/>
        </w:rPr>
        <w:t>8</w:t>
      </w:r>
      <w:r w:rsidR="00CD5AF3">
        <w:fldChar w:fldCharType="end"/>
      </w:r>
      <w:r w:rsidR="00CD5AF3">
        <w:t>).</w:t>
      </w:r>
    </w:p>
    <w:p w14:paraId="0F847E12" w14:textId="15B84BB0" w:rsidR="00D83DB7" w:rsidRPr="00D83DB7" w:rsidRDefault="00D83DB7" w:rsidP="00D83DB7">
      <w:r w:rsidRPr="00D83DB7">
        <w:t>17</w:t>
      </w:r>
      <w:r w:rsidR="00BB0922">
        <w:t xml:space="preserve"> </w:t>
      </w:r>
      <w:r w:rsidR="00CD5AF3">
        <w:t xml:space="preserve">out of </w:t>
      </w:r>
      <w:r w:rsidRPr="00D83DB7">
        <w:t>19 patients (89.5%) (</w:t>
      </w:r>
      <w:r w:rsidR="00CD5AF3">
        <w:t>full analysis set</w:t>
      </w:r>
      <w:r w:rsidRPr="00D83DB7">
        <w:t>) converted from a positive to a negative CXM, while 2</w:t>
      </w:r>
      <w:r w:rsidR="00CD5AF3">
        <w:t xml:space="preserve"> out of </w:t>
      </w:r>
      <w:r w:rsidRPr="00D83DB7">
        <w:t>19 patients (10.5%) did not.</w:t>
      </w:r>
    </w:p>
    <w:p w14:paraId="5038399E" w14:textId="7B0263B6" w:rsidR="00D83DB7" w:rsidRDefault="00CD5AF3" w:rsidP="00CD5AF3">
      <w:pPr>
        <w:pStyle w:val="TableTitle"/>
      </w:pPr>
      <w:bookmarkStart w:id="54" w:name="_Ref148628523"/>
      <w:r w:rsidRPr="00CD5AF3">
        <w:t xml:space="preserve">Table </w:t>
      </w:r>
      <w:fldSimple w:instr=" SEQ Table \* ARABIC ">
        <w:r w:rsidR="00755A69">
          <w:rPr>
            <w:noProof/>
          </w:rPr>
          <w:t>7</w:t>
        </w:r>
      </w:fldSimple>
      <w:bookmarkEnd w:id="54"/>
      <w:r>
        <w:t>:</w:t>
      </w:r>
      <w:r w:rsidRPr="00CD5AF3">
        <w:t xml:space="preserve"> </w:t>
      </w:r>
      <w:r>
        <w:t>Study 06 Primary endpoint: s</w:t>
      </w:r>
      <w:r w:rsidRPr="00943E03">
        <w:t xml:space="preserve">ummary of </w:t>
      </w:r>
      <w:r w:rsidR="002B0603">
        <w:t>cross match</w:t>
      </w:r>
      <w:r w:rsidRPr="00943E03">
        <w:t xml:space="preserve"> response</w:t>
      </w:r>
      <w:r>
        <w:t xml:space="preserve"> </w:t>
      </w:r>
      <w:r w:rsidRPr="00943E03">
        <w:t>(</w:t>
      </w:r>
      <w:r>
        <w:t>full analysis set</w:t>
      </w:r>
      <w:r w:rsidRPr="00943E03">
        <w:t>)</w:t>
      </w:r>
    </w:p>
    <w:p w14:paraId="3F8E0FE9" w14:textId="2A6ADC2D" w:rsidR="00CD5AF3" w:rsidRPr="00CD5AF3" w:rsidRDefault="00CD5AF3" w:rsidP="00CD5AF3">
      <w:r w:rsidRPr="004D54E4">
        <w:rPr>
          <w:noProof/>
        </w:rPr>
        <w:drawing>
          <wp:inline distT="0" distB="0" distL="0" distR="0" wp14:anchorId="608D842F" wp14:editId="07324784">
            <wp:extent cx="3168650" cy="1094990"/>
            <wp:effectExtent l="0" t="0" r="0" b="0"/>
            <wp:docPr id="26" name="Picture 26" descr="Study 06 Primary endpoint: summary of cross match respon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06 Primary endpoint: summary of cross match response (full analysis s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2509" cy="1099779"/>
                    </a:xfrm>
                    <a:prstGeom prst="rect">
                      <a:avLst/>
                    </a:prstGeom>
                    <a:noFill/>
                    <a:ln>
                      <a:noFill/>
                    </a:ln>
                  </pic:spPr>
                </pic:pic>
              </a:graphicData>
            </a:graphic>
          </wp:inline>
        </w:drawing>
      </w:r>
    </w:p>
    <w:p w14:paraId="492E9410" w14:textId="16807E2F" w:rsidR="00CD5AF3" w:rsidRDefault="00CD5AF3" w:rsidP="00E66038">
      <w:pPr>
        <w:pStyle w:val="TableTitle"/>
      </w:pPr>
      <w:bookmarkStart w:id="55" w:name="_Ref148628529"/>
      <w:r w:rsidRPr="00CD5AF3">
        <w:t xml:space="preserve">Table </w:t>
      </w:r>
      <w:fldSimple w:instr=" SEQ Table \* ARABIC ">
        <w:r w:rsidR="00755A69">
          <w:rPr>
            <w:noProof/>
          </w:rPr>
          <w:t>8</w:t>
        </w:r>
      </w:fldSimple>
      <w:bookmarkEnd w:id="55"/>
      <w:r>
        <w:t xml:space="preserve">: </w:t>
      </w:r>
      <w:r w:rsidRPr="00790E42">
        <w:t xml:space="preserve">Study 06 Primary endpoint: </w:t>
      </w:r>
      <w:r w:rsidR="002B0603">
        <w:t>F</w:t>
      </w:r>
      <w:r w:rsidR="002B0603" w:rsidRPr="00EF147A">
        <w:t>low cytometry</w:t>
      </w:r>
      <w:r w:rsidR="002B0603">
        <w:t xml:space="preserve"> cross match</w:t>
      </w:r>
      <w:r w:rsidRPr="00943E03">
        <w:t xml:space="preserve"> and </w:t>
      </w:r>
      <w:r w:rsidR="002B0603">
        <w:t>c</w:t>
      </w:r>
      <w:r w:rsidR="002B0603" w:rsidRPr="00EF147A">
        <w:t>omplement-dependent</w:t>
      </w:r>
      <w:r w:rsidR="002B0603">
        <w:t xml:space="preserve"> </w:t>
      </w:r>
      <w:r w:rsidR="002B0603" w:rsidRPr="002A7B1D">
        <w:t>cyto</w:t>
      </w:r>
      <w:r w:rsidR="005501FF" w:rsidRPr="002A7B1D">
        <w:t>to</w:t>
      </w:r>
      <w:r w:rsidR="002B0603" w:rsidRPr="002A7B1D">
        <w:t>xicity</w:t>
      </w:r>
      <w:r w:rsidR="002B0603">
        <w:t xml:space="preserve"> cross match</w:t>
      </w:r>
      <w:r w:rsidRPr="00943E03">
        <w:t xml:space="preserve"> pre-dose and 24 hours post-dose</w:t>
      </w:r>
      <w:r>
        <w:t xml:space="preserve"> </w:t>
      </w:r>
      <w:r w:rsidRPr="00790E42">
        <w:t>(</w:t>
      </w:r>
      <w:r>
        <w:t>full analysis set</w:t>
      </w:r>
      <w:r w:rsidRPr="00790E42">
        <w:t>)</w:t>
      </w:r>
    </w:p>
    <w:p w14:paraId="16FC19E4" w14:textId="37CB36CA" w:rsidR="00CD5AF3" w:rsidRDefault="00CD5AF3" w:rsidP="00E66038">
      <w:r w:rsidRPr="00D65985">
        <w:rPr>
          <w:noProof/>
        </w:rPr>
        <w:drawing>
          <wp:inline distT="0" distB="0" distL="0" distR="0" wp14:anchorId="091D1A34" wp14:editId="6E5C45A1">
            <wp:extent cx="5731510" cy="1558925"/>
            <wp:effectExtent l="0" t="0" r="2540" b="3175"/>
            <wp:docPr id="27" name="Picture 27" descr="Study 06 Primary endpoint: Flow cytometry cross match and complement-dependent cytoxicity cross match pre-dose and 24 hours post-do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tudy 06 Primary endpoint: Flow cytometry cross match and complement-dependent cytoxicity cross match pre-dose and 24 hours post-dose (full analysis s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558925"/>
                    </a:xfrm>
                    <a:prstGeom prst="rect">
                      <a:avLst/>
                    </a:prstGeom>
                    <a:noFill/>
                    <a:ln>
                      <a:noFill/>
                    </a:ln>
                  </pic:spPr>
                </pic:pic>
              </a:graphicData>
            </a:graphic>
          </wp:inline>
        </w:drawing>
      </w:r>
    </w:p>
    <w:p w14:paraId="6A1A70CF" w14:textId="64E81837" w:rsidR="00DE4287" w:rsidRPr="00DE4287" w:rsidRDefault="00DE4287" w:rsidP="00DE4287">
      <w:r w:rsidRPr="00DE4287">
        <w:t>Secondary endpoints</w:t>
      </w:r>
      <w:r>
        <w:t xml:space="preserve"> include</w:t>
      </w:r>
      <w:r w:rsidRPr="00DE4287">
        <w:t>:</w:t>
      </w:r>
    </w:p>
    <w:p w14:paraId="1366ACF0" w14:textId="09F8277A" w:rsidR="00DE4287" w:rsidRPr="00DE4287" w:rsidRDefault="00DE4287" w:rsidP="00DE4287">
      <w:pPr>
        <w:pStyle w:val="ListBullet"/>
      </w:pPr>
      <w:r w:rsidRPr="00DE4287">
        <w:t>Donor specific antibodies:</w:t>
      </w:r>
    </w:p>
    <w:p w14:paraId="650530B4" w14:textId="2728F6B6" w:rsidR="00DE4287" w:rsidRPr="00DE4287" w:rsidRDefault="00DE4287" w:rsidP="00DE4287">
      <w:pPr>
        <w:pStyle w:val="ListBullet2"/>
      </w:pPr>
      <w:r w:rsidRPr="00DE4287">
        <w:t xml:space="preserve">All patients had at least one HLA mismatch DSA at </w:t>
      </w:r>
      <w:r w:rsidR="002B0603">
        <w:t>B</w:t>
      </w:r>
      <w:r w:rsidRPr="00DE4287">
        <w:t>aseline (highest number for an individual patient: 12 mismatches). 17</w:t>
      </w:r>
      <w:r w:rsidR="002B0603">
        <w:t xml:space="preserve"> out of </w:t>
      </w:r>
      <w:r w:rsidRPr="00DE4287">
        <w:t>18 patients had at least one DSA with MFI</w:t>
      </w:r>
      <w:r w:rsidR="002B0603">
        <w:t> </w:t>
      </w:r>
      <w:r w:rsidRPr="00DE4287">
        <w:t>&gt;</w:t>
      </w:r>
      <w:r w:rsidR="002B0603">
        <w:t> </w:t>
      </w:r>
      <w:r w:rsidRPr="00DE4287">
        <w:t>3000 at pre-dose.</w:t>
      </w:r>
    </w:p>
    <w:p w14:paraId="132A481A" w14:textId="77777777" w:rsidR="00DE4287" w:rsidRPr="00DE4287" w:rsidRDefault="00DE4287" w:rsidP="00DE4287">
      <w:pPr>
        <w:pStyle w:val="ListBullet2"/>
      </w:pPr>
      <w:r w:rsidRPr="00DE4287">
        <w:t>After dosing DSAs declined rapidly, reaching the lowest level at between 6 and 96 hours and started to increase again at Day 3 to 14.</w:t>
      </w:r>
    </w:p>
    <w:p w14:paraId="581CD7B3" w14:textId="698D647A" w:rsidR="00DE4287" w:rsidRPr="00DE4287" w:rsidRDefault="00DE4287" w:rsidP="00DE4287">
      <w:pPr>
        <w:pStyle w:val="ListBullet2"/>
      </w:pPr>
      <w:r w:rsidRPr="00DE4287">
        <w:lastRenderedPageBreak/>
        <w:t>11 patients had all DSAs &lt;</w:t>
      </w:r>
      <w:r w:rsidR="002B0603">
        <w:t xml:space="preserve"> </w:t>
      </w:r>
      <w:r w:rsidRPr="00DE4287">
        <w:t>3000 MFI after 2 hours of dosing, 4 patients after 6 hours, one patient at hour 48, one patient at hour 96, and one at Day 90.</w:t>
      </w:r>
    </w:p>
    <w:p w14:paraId="658BC817" w14:textId="65FE1014" w:rsidR="00DE4287" w:rsidRPr="00DE4287" w:rsidRDefault="00DE4287" w:rsidP="00DE4287">
      <w:pPr>
        <w:pStyle w:val="ListBullet"/>
      </w:pPr>
      <w:r w:rsidRPr="00DE4287">
        <w:t xml:space="preserve">Time to negative CDC and </w:t>
      </w:r>
      <w:r w:rsidR="002B0603">
        <w:t>flow cytometry</w:t>
      </w:r>
      <w:r w:rsidRPr="00DE4287">
        <w:t xml:space="preserve"> CXM tests: could not be calculated due to missing time data.</w:t>
      </w:r>
    </w:p>
    <w:p w14:paraId="3E8800EF" w14:textId="29E9E149" w:rsidR="00DE4287" w:rsidRPr="00DE4287" w:rsidRDefault="00DE4287" w:rsidP="00DE4287">
      <w:pPr>
        <w:pStyle w:val="ListBullet"/>
      </w:pPr>
      <w:r w:rsidRPr="00DE4287">
        <w:t>Kidney function (up to 180 days post treatment)</w:t>
      </w:r>
      <w:r>
        <w:t>:</w:t>
      </w:r>
    </w:p>
    <w:p w14:paraId="02989DDB" w14:textId="4CD4BEBA" w:rsidR="00DE4287" w:rsidRPr="00DE4287" w:rsidRDefault="00DE4287" w:rsidP="00DE4287">
      <w:pPr>
        <w:pStyle w:val="ListBullet2"/>
      </w:pPr>
      <w:r w:rsidRPr="00DE4287">
        <w:t>16</w:t>
      </w:r>
      <w:r w:rsidR="002B0603">
        <w:t xml:space="preserve"> out of </w:t>
      </w:r>
      <w:r w:rsidRPr="00DE4287">
        <w:t>18 transplant patients had a functional kidney at the end of the study and were not dependent on dialysis.</w:t>
      </w:r>
    </w:p>
    <w:p w14:paraId="33EC838C" w14:textId="77777777" w:rsidR="00DE4287" w:rsidRPr="00DE4287" w:rsidRDefault="00DE4287" w:rsidP="00DE4287">
      <w:pPr>
        <w:pStyle w:val="ListBullet2"/>
      </w:pPr>
      <w:r w:rsidRPr="00DE4287">
        <w:t>Regarding patients with a functional kidney after 6 months:</w:t>
      </w:r>
    </w:p>
    <w:p w14:paraId="137F530D" w14:textId="5EBBAE7F" w:rsidR="00DE4287" w:rsidRPr="00DE4287" w:rsidRDefault="00DE4287" w:rsidP="00DE4287">
      <w:pPr>
        <w:pStyle w:val="ListBullet3"/>
      </w:pPr>
      <w:r w:rsidRPr="00DE4287">
        <w:t>4</w:t>
      </w:r>
      <w:r w:rsidR="002B0603">
        <w:t xml:space="preserve"> out of </w:t>
      </w:r>
      <w:r w:rsidRPr="00DE4287">
        <w:t>16 had an eGFR &gt;</w:t>
      </w:r>
      <w:r w:rsidR="002B0603">
        <w:t xml:space="preserve"> </w:t>
      </w:r>
      <w:r w:rsidRPr="00DE4287">
        <w:t>60 mL/min/1.73 m</w:t>
      </w:r>
      <w:r w:rsidRPr="002B0603">
        <w:rPr>
          <w:vertAlign w:val="superscript"/>
        </w:rPr>
        <w:t>2</w:t>
      </w:r>
    </w:p>
    <w:p w14:paraId="16A1E541" w14:textId="62698700" w:rsidR="00DE4287" w:rsidRPr="00DE4287" w:rsidRDefault="00DE4287" w:rsidP="00DE4287">
      <w:pPr>
        <w:pStyle w:val="ListBullet3"/>
      </w:pPr>
      <w:r w:rsidRPr="00DE4287">
        <w:t>11</w:t>
      </w:r>
      <w:r w:rsidR="002B0603">
        <w:t xml:space="preserve"> out of </w:t>
      </w:r>
      <w:r w:rsidRPr="00DE4287">
        <w:t>16 had an eGFR of 30</w:t>
      </w:r>
      <w:r w:rsidR="002B0603">
        <w:t xml:space="preserve"> - </w:t>
      </w:r>
      <w:r w:rsidRPr="00DE4287">
        <w:t>59 mL/min/1.73 m</w:t>
      </w:r>
      <w:r w:rsidRPr="002B0603">
        <w:rPr>
          <w:vertAlign w:val="superscript"/>
        </w:rPr>
        <w:t>2</w:t>
      </w:r>
    </w:p>
    <w:p w14:paraId="5BE4A5AF" w14:textId="0A12A9FC" w:rsidR="00DE4287" w:rsidRPr="00DE4287" w:rsidRDefault="004D124A" w:rsidP="00DE4287">
      <w:pPr>
        <w:pStyle w:val="ListBullet3"/>
      </w:pPr>
      <w:r>
        <w:t xml:space="preserve">2 </w:t>
      </w:r>
      <w:r w:rsidR="002B0603">
        <w:t xml:space="preserve">out of </w:t>
      </w:r>
      <w:r w:rsidR="00DE4287" w:rsidRPr="00DE4287">
        <w:t>16 had an eGFR of &lt;</w:t>
      </w:r>
      <w:r w:rsidR="002B0603">
        <w:t xml:space="preserve"> </w:t>
      </w:r>
      <w:r w:rsidR="00DE4287" w:rsidRPr="00DE4287">
        <w:t>30 mL/min/1.73 m</w:t>
      </w:r>
      <w:r w:rsidR="00DE4287" w:rsidRPr="002B0603">
        <w:rPr>
          <w:vertAlign w:val="superscript"/>
        </w:rPr>
        <w:t>2</w:t>
      </w:r>
    </w:p>
    <w:p w14:paraId="575FA6AF" w14:textId="0470C5B3" w:rsidR="00DE4287" w:rsidRPr="00256BB2" w:rsidRDefault="00DE4287" w:rsidP="00256BB2">
      <w:pPr>
        <w:pStyle w:val="Heading5"/>
      </w:pPr>
      <w:bookmarkStart w:id="56" w:name="_Ref133930249"/>
      <w:r w:rsidRPr="00256BB2">
        <w:t>Study 04 (14-HMedIdeS-04)</w:t>
      </w:r>
      <w:bookmarkEnd w:id="56"/>
    </w:p>
    <w:p w14:paraId="57BF260E" w14:textId="090FEB76" w:rsidR="00DE4287" w:rsidRPr="002B0603" w:rsidRDefault="00704157" w:rsidP="002B0603">
      <w:r w:rsidRPr="002B0603">
        <w:t>Study 04 is an o</w:t>
      </w:r>
      <w:r w:rsidR="00DE4287" w:rsidRPr="002B0603">
        <w:t>pen</w:t>
      </w:r>
      <w:r w:rsidR="002B0603" w:rsidRPr="002B0603">
        <w:t xml:space="preserve"> </w:t>
      </w:r>
      <w:r w:rsidR="00DE4287" w:rsidRPr="002B0603">
        <w:t>label, single arm (no comparator), single</w:t>
      </w:r>
      <w:r w:rsidR="002B0603" w:rsidRPr="002B0603">
        <w:t xml:space="preserve"> </w:t>
      </w:r>
      <w:r w:rsidR="00DE4287" w:rsidRPr="002B0603">
        <w:t xml:space="preserve">centre Phase </w:t>
      </w:r>
      <w:r w:rsidRPr="002B0603">
        <w:t>I</w:t>
      </w:r>
      <w:r w:rsidR="00DE4287" w:rsidRPr="002B0603">
        <w:t>/</w:t>
      </w:r>
      <w:r w:rsidRPr="002B0603">
        <w:t>II</w:t>
      </w:r>
      <w:r w:rsidR="00DE4287" w:rsidRPr="002B0603">
        <w:t xml:space="preserve"> study to evaluate efficacy, safety and tolerability of imlifidase prior to renal transplantation in 17 adult men and women (aged 18 to 70</w:t>
      </w:r>
      <w:r w:rsidRPr="002B0603">
        <w:t xml:space="preserve"> years of age</w:t>
      </w:r>
      <w:r w:rsidR="00DE4287" w:rsidRPr="002B0603">
        <w:t xml:space="preserve">) with end-stage renal disease (ESRD) and a positive CXM test. This </w:t>
      </w:r>
      <w:r w:rsidR="008D415E">
        <w:t>180</w:t>
      </w:r>
      <w:r w:rsidR="00DE4287" w:rsidRPr="002B0603">
        <w:t>-day</w:t>
      </w:r>
      <w:r w:rsidR="00301EFB">
        <w:t>s</w:t>
      </w:r>
      <w:r w:rsidR="00DE4287" w:rsidRPr="002B0603">
        <w:t xml:space="preserve"> study was conducted from June 2015 to June 2017 at one site.</w:t>
      </w:r>
    </w:p>
    <w:p w14:paraId="5B23DDB2" w14:textId="6959AD6A" w:rsidR="00DE4287" w:rsidRPr="002B0603" w:rsidRDefault="00DE4287" w:rsidP="002B0603">
      <w:r w:rsidRPr="002B0603">
        <w:t>Primary efficacy objectiv</w:t>
      </w:r>
      <w:r w:rsidR="000E2FE9" w:rsidRPr="002B0603">
        <w:t>e includes a</w:t>
      </w:r>
      <w:r w:rsidRPr="002B0603">
        <w:t>ssessment of the efficacy of imlifidase in eliminating DSAs in DSA- and flow cytometry CMX positive, highly sensitised patients.</w:t>
      </w:r>
    </w:p>
    <w:p w14:paraId="0A01A925" w14:textId="1A5B23A3" w:rsidR="00CD5AF3" w:rsidRDefault="00DE4287" w:rsidP="00DE4287">
      <w:r w:rsidRPr="000E2FE9">
        <w:t>Other objectives</w:t>
      </w:r>
      <w:r w:rsidR="000E2FE9">
        <w:t xml:space="preserve"> include </w:t>
      </w:r>
      <w:r w:rsidRPr="00324481">
        <w:t>other efficacy, safety, PK, and PD objectives.</w:t>
      </w:r>
    </w:p>
    <w:p w14:paraId="3572E04F" w14:textId="646D837A" w:rsidR="000E2FE9" w:rsidRDefault="000E2FE9" w:rsidP="00E66038">
      <w:pPr>
        <w:pStyle w:val="TableTitle"/>
      </w:pPr>
      <w:r w:rsidRPr="000E2FE9">
        <w:t xml:space="preserve">Table </w:t>
      </w:r>
      <w:fldSimple w:instr=" SEQ Table \* ARABIC ">
        <w:r w:rsidR="00755A69">
          <w:rPr>
            <w:noProof/>
          </w:rPr>
          <w:t>9</w:t>
        </w:r>
      </w:fldSimple>
      <w:r w:rsidRPr="000E2FE9">
        <w:t>:</w:t>
      </w:r>
      <w:r w:rsidRPr="000E2FE9">
        <w:rPr>
          <w:rFonts w:asciiTheme="minorHAnsi" w:hAnsiTheme="minorHAnsi" w:cs="TimesNewRoman"/>
        </w:rPr>
        <w:t xml:space="preserve"> </w:t>
      </w:r>
      <w:r w:rsidRPr="00B55404">
        <w:rPr>
          <w:rFonts w:asciiTheme="minorHAnsi" w:eastAsiaTheme="minorHAnsi" w:hAnsiTheme="minorHAnsi" w:cs="TimesNewRoman"/>
        </w:rPr>
        <w:t>Study 04</w:t>
      </w:r>
      <w:r>
        <w:rPr>
          <w:rFonts w:asciiTheme="minorHAnsi" w:hAnsiTheme="minorHAnsi" w:cs="TimesNewRoman"/>
        </w:rPr>
        <w:t xml:space="preserve"> </w:t>
      </w:r>
      <w:r w:rsidRPr="00B55404">
        <w:rPr>
          <w:rFonts w:asciiTheme="minorHAnsi" w:eastAsiaTheme="minorHAnsi" w:hAnsiTheme="minorHAnsi" w:cs="TimesNewRoman"/>
        </w:rPr>
        <w:t>design schema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71"/>
        <w:gridCol w:w="2929"/>
        <w:gridCol w:w="1320"/>
      </w:tblGrid>
      <w:tr w:rsidR="00B0097F" w:rsidRPr="00E66038" w14:paraId="03FD0477" w14:textId="77777777" w:rsidTr="00E66038">
        <w:tc>
          <w:tcPr>
            <w:tcW w:w="1668" w:type="dxa"/>
            <w:tcBorders>
              <w:top w:val="single" w:sz="4" w:space="0" w:color="auto"/>
              <w:left w:val="single" w:sz="4" w:space="0" w:color="auto"/>
            </w:tcBorders>
            <w:vAlign w:val="center"/>
          </w:tcPr>
          <w:p w14:paraId="0DEAF8C9" w14:textId="77777777" w:rsidR="00E66038" w:rsidRPr="00E66038" w:rsidRDefault="00B0097F" w:rsidP="00E66038">
            <w:pPr>
              <w:spacing w:before="120" w:line="240" w:lineRule="auto"/>
              <w:rPr>
                <w:bCs/>
                <w:sz w:val="20"/>
              </w:rPr>
            </w:pPr>
            <w:r w:rsidRPr="00E66038">
              <w:rPr>
                <w:bCs/>
                <w:sz w:val="20"/>
              </w:rPr>
              <w:t>Screening</w:t>
            </w:r>
          </w:p>
          <w:p w14:paraId="4FA2AA39" w14:textId="0A570061" w:rsidR="00B0097F" w:rsidRPr="00E66038" w:rsidRDefault="00B0097F" w:rsidP="00E66038">
            <w:pPr>
              <w:spacing w:before="120" w:line="240" w:lineRule="auto"/>
              <w:rPr>
                <w:b/>
                <w:sz w:val="20"/>
              </w:rPr>
            </w:pPr>
            <w:r w:rsidRPr="00E66038">
              <w:rPr>
                <w:sz w:val="20"/>
              </w:rPr>
              <w:t>From signing informed consent to Day 0</w:t>
            </w:r>
          </w:p>
        </w:tc>
        <w:tc>
          <w:tcPr>
            <w:tcW w:w="1871" w:type="dxa"/>
            <w:tcBorders>
              <w:top w:val="single" w:sz="4" w:space="0" w:color="auto"/>
            </w:tcBorders>
            <w:vAlign w:val="center"/>
          </w:tcPr>
          <w:p w14:paraId="10788122" w14:textId="77777777" w:rsidR="00E66038" w:rsidRDefault="00B0097F" w:rsidP="00E66038">
            <w:pPr>
              <w:spacing w:before="120" w:line="240" w:lineRule="auto"/>
              <w:rPr>
                <w:b/>
                <w:sz w:val="20"/>
              </w:rPr>
            </w:pPr>
            <w:r w:rsidRPr="00E66038">
              <w:rPr>
                <w:b/>
                <w:sz w:val="20"/>
              </w:rPr>
              <w:t>Treatment period</w:t>
            </w:r>
            <w:r w:rsidR="00E66038">
              <w:rPr>
                <w:b/>
                <w:sz w:val="20"/>
              </w:rPr>
              <w:t xml:space="preserve"> </w:t>
            </w:r>
          </w:p>
          <w:p w14:paraId="15A4BBC1" w14:textId="6ECB8349" w:rsidR="00B0097F" w:rsidRPr="00E66038" w:rsidRDefault="00B0097F" w:rsidP="00E66038">
            <w:pPr>
              <w:spacing w:before="120" w:line="240" w:lineRule="auto"/>
              <w:rPr>
                <w:b/>
                <w:sz w:val="20"/>
              </w:rPr>
            </w:pPr>
            <w:r w:rsidRPr="00E66038">
              <w:rPr>
                <w:b/>
                <w:sz w:val="20"/>
              </w:rPr>
              <w:t>Days 1-7</w:t>
            </w:r>
          </w:p>
        </w:tc>
        <w:tc>
          <w:tcPr>
            <w:tcW w:w="2929" w:type="dxa"/>
            <w:tcBorders>
              <w:top w:val="single" w:sz="4" w:space="0" w:color="auto"/>
            </w:tcBorders>
            <w:vAlign w:val="center"/>
          </w:tcPr>
          <w:p w14:paraId="6BC39EC5" w14:textId="77777777" w:rsidR="00B0097F" w:rsidRPr="00E66038" w:rsidRDefault="00B0097F" w:rsidP="00E66038">
            <w:pPr>
              <w:spacing w:before="120" w:line="240" w:lineRule="auto"/>
              <w:rPr>
                <w:b/>
                <w:sz w:val="20"/>
              </w:rPr>
            </w:pPr>
            <w:r w:rsidRPr="00E66038">
              <w:rPr>
                <w:b/>
                <w:sz w:val="20"/>
              </w:rPr>
              <w:t>Observation period</w:t>
            </w:r>
          </w:p>
          <w:p w14:paraId="4AAEEC98" w14:textId="77777777" w:rsidR="00B0097F" w:rsidRPr="00E66038" w:rsidRDefault="00B0097F" w:rsidP="00E66038">
            <w:pPr>
              <w:spacing w:before="120" w:line="240" w:lineRule="auto"/>
              <w:rPr>
                <w:b/>
                <w:sz w:val="20"/>
              </w:rPr>
            </w:pPr>
            <w:r w:rsidRPr="00E66038">
              <w:rPr>
                <w:b/>
                <w:sz w:val="20"/>
              </w:rPr>
              <w:t>Days 8-28</w:t>
            </w:r>
          </w:p>
        </w:tc>
        <w:tc>
          <w:tcPr>
            <w:tcW w:w="1320" w:type="dxa"/>
            <w:tcBorders>
              <w:top w:val="single" w:sz="4" w:space="0" w:color="auto"/>
              <w:right w:val="single" w:sz="4" w:space="0" w:color="auto"/>
            </w:tcBorders>
            <w:vAlign w:val="center"/>
          </w:tcPr>
          <w:p w14:paraId="33B754F7" w14:textId="7993B0A8" w:rsidR="00B0097F" w:rsidRPr="00E66038" w:rsidRDefault="00B0097F" w:rsidP="00E66038">
            <w:pPr>
              <w:spacing w:before="120" w:line="240" w:lineRule="auto"/>
              <w:rPr>
                <w:b/>
                <w:sz w:val="20"/>
              </w:rPr>
            </w:pPr>
            <w:r w:rsidRPr="00E66038">
              <w:rPr>
                <w:b/>
                <w:sz w:val="20"/>
              </w:rPr>
              <w:t>Follow up End of trial</w:t>
            </w:r>
          </w:p>
          <w:p w14:paraId="1B436817" w14:textId="77777777" w:rsidR="00B0097F" w:rsidRPr="00E66038" w:rsidRDefault="00B0097F" w:rsidP="00E66038">
            <w:pPr>
              <w:spacing w:before="120" w:line="240" w:lineRule="auto"/>
              <w:rPr>
                <w:b/>
                <w:sz w:val="20"/>
              </w:rPr>
            </w:pPr>
            <w:r w:rsidRPr="00E66038">
              <w:rPr>
                <w:b/>
                <w:sz w:val="20"/>
              </w:rPr>
              <w:t>Day 180</w:t>
            </w:r>
          </w:p>
        </w:tc>
      </w:tr>
      <w:tr w:rsidR="00B0097F" w:rsidRPr="00E66038" w14:paraId="71957CF0" w14:textId="77777777" w:rsidTr="00E66038">
        <w:tc>
          <w:tcPr>
            <w:tcW w:w="1668" w:type="dxa"/>
            <w:tcBorders>
              <w:left w:val="single" w:sz="4" w:space="0" w:color="auto"/>
            </w:tcBorders>
            <w:vAlign w:val="center"/>
          </w:tcPr>
          <w:p w14:paraId="1CA0EEFF" w14:textId="77777777" w:rsidR="00B0097F" w:rsidRPr="00E66038" w:rsidRDefault="00B0097F" w:rsidP="00E66038">
            <w:pPr>
              <w:spacing w:before="120" w:line="240" w:lineRule="auto"/>
              <w:rPr>
                <w:sz w:val="20"/>
              </w:rPr>
            </w:pPr>
            <w:r w:rsidRPr="00E66038">
              <w:rPr>
                <w:sz w:val="20"/>
              </w:rPr>
              <w:t>Eligibility</w:t>
            </w:r>
          </w:p>
        </w:tc>
        <w:tc>
          <w:tcPr>
            <w:tcW w:w="1871" w:type="dxa"/>
            <w:vAlign w:val="center"/>
          </w:tcPr>
          <w:p w14:paraId="64FD7517" w14:textId="77777777" w:rsidR="00B0097F" w:rsidRPr="00E66038" w:rsidRDefault="00B0097F" w:rsidP="00E66038">
            <w:pPr>
              <w:spacing w:before="120" w:line="240" w:lineRule="auto"/>
              <w:rPr>
                <w:sz w:val="20"/>
              </w:rPr>
            </w:pPr>
            <w:r w:rsidRPr="00E66038">
              <w:rPr>
                <w:sz w:val="20"/>
              </w:rPr>
              <w:t>IMP administration</w:t>
            </w:r>
            <w:r w:rsidRPr="00E66038">
              <w:rPr>
                <w:sz w:val="20"/>
              </w:rPr>
              <w:br/>
              <w:t>Transplantation</w:t>
            </w:r>
            <w:r w:rsidRPr="00E66038">
              <w:rPr>
                <w:sz w:val="20"/>
              </w:rPr>
              <w:br/>
              <w:t>Observation and assessments</w:t>
            </w:r>
          </w:p>
        </w:tc>
        <w:tc>
          <w:tcPr>
            <w:tcW w:w="2929" w:type="dxa"/>
            <w:vAlign w:val="center"/>
          </w:tcPr>
          <w:p w14:paraId="6A81E5FE" w14:textId="77777777" w:rsidR="00B0097F" w:rsidRPr="00E66038" w:rsidRDefault="00B0097F" w:rsidP="00E66038">
            <w:pPr>
              <w:spacing w:before="120" w:line="240" w:lineRule="auto"/>
              <w:rPr>
                <w:sz w:val="20"/>
              </w:rPr>
            </w:pPr>
            <w:r w:rsidRPr="00E66038">
              <w:rPr>
                <w:sz w:val="20"/>
              </w:rPr>
              <w:t>Observation and assessments</w:t>
            </w:r>
          </w:p>
        </w:tc>
        <w:tc>
          <w:tcPr>
            <w:tcW w:w="1320" w:type="dxa"/>
            <w:tcBorders>
              <w:right w:val="single" w:sz="4" w:space="0" w:color="auto"/>
            </w:tcBorders>
            <w:vAlign w:val="center"/>
          </w:tcPr>
          <w:p w14:paraId="14613E08" w14:textId="77777777" w:rsidR="00B0097F" w:rsidRPr="00E66038" w:rsidRDefault="00B0097F" w:rsidP="00E66038">
            <w:pPr>
              <w:spacing w:before="120" w:line="240" w:lineRule="auto"/>
              <w:rPr>
                <w:sz w:val="20"/>
              </w:rPr>
            </w:pPr>
            <w:r w:rsidRPr="00E66038">
              <w:rPr>
                <w:sz w:val="20"/>
              </w:rPr>
              <w:t>Follow-up assessments</w:t>
            </w:r>
          </w:p>
        </w:tc>
      </w:tr>
    </w:tbl>
    <w:p w14:paraId="7A0E67E6" w14:textId="232FCAC2" w:rsidR="000E2FE9" w:rsidRPr="00256BB2" w:rsidRDefault="000E2FE9" w:rsidP="00E66038">
      <w:pPr>
        <w:spacing w:before="120"/>
      </w:pPr>
      <w:r w:rsidRPr="00256BB2">
        <w:t>Inclusion criteria</w:t>
      </w:r>
      <w:r w:rsidR="00256BB2" w:rsidRPr="00256BB2">
        <w:t xml:space="preserve"> includes m</w:t>
      </w:r>
      <w:r w:rsidRPr="00256BB2">
        <w:t xml:space="preserve">ale or female aged 18 to 70 years at the time of screening; </w:t>
      </w:r>
      <w:r w:rsidR="00256BB2" w:rsidRPr="00256BB2">
        <w:t>e</w:t>
      </w:r>
      <w:r w:rsidRPr="00256BB2">
        <w:t xml:space="preserve">nd-stage renal disease awaiting transplantation on the UNOS list; no known contraindications for therapy with IVIg 10%, rituximab, plasmapheresis or </w:t>
      </w:r>
      <w:r w:rsidR="001747E8">
        <w:t>imlifidase</w:t>
      </w:r>
      <w:r w:rsidRPr="00256BB2">
        <w:t xml:space="preserve">; </w:t>
      </w:r>
      <w:bookmarkStart w:id="57" w:name="_Hlk133917964"/>
      <w:r w:rsidRPr="00256BB2">
        <w:t>cPRA</w:t>
      </w:r>
      <w:bookmarkEnd w:id="57"/>
      <w:r w:rsidR="00256BB2" w:rsidRPr="00256BB2">
        <w:t xml:space="preserve"> </w:t>
      </w:r>
      <w:r w:rsidRPr="00256BB2">
        <w:t xml:space="preserve">&gt; 50% demonstrated on </w:t>
      </w:r>
      <w:r w:rsidR="00256BB2" w:rsidRPr="00256BB2">
        <w:t>three</w:t>
      </w:r>
      <w:r w:rsidRPr="00256BB2">
        <w:t xml:space="preserve"> consecutive samples, patient highly-HLA sensitized and a candidate for </w:t>
      </w:r>
      <w:r w:rsidR="002B5560">
        <w:t>d</w:t>
      </w:r>
      <w:r w:rsidR="002B5560" w:rsidRPr="00EF147A">
        <w:t>eceased donor</w:t>
      </w:r>
      <w:r w:rsidRPr="00256BB2">
        <w:t xml:space="preserve"> transplantation after desensitisation; at transplant, patient must have a donor-specific DSA/CMX+ non-HLA identical donor; pre-transplant vaccination with </w:t>
      </w:r>
      <w:r w:rsidRPr="00256BB2">
        <w:rPr>
          <w:i/>
          <w:iCs/>
        </w:rPr>
        <w:t>Streptococcus pneumoniae</w:t>
      </w:r>
      <w:r w:rsidRPr="00256BB2">
        <w:t xml:space="preserve"> and </w:t>
      </w:r>
      <w:r w:rsidRPr="00256BB2">
        <w:rPr>
          <w:i/>
          <w:iCs/>
        </w:rPr>
        <w:t>Neisseria meningitides</w:t>
      </w:r>
      <w:r w:rsidRPr="00256BB2">
        <w:t>.</w:t>
      </w:r>
    </w:p>
    <w:p w14:paraId="15B4DBA4" w14:textId="42C8C936" w:rsidR="000E2FE9" w:rsidRPr="002B0603" w:rsidRDefault="000E2FE9" w:rsidP="002B0603">
      <w:r w:rsidRPr="007157EB">
        <w:t>Exclu</w:t>
      </w:r>
      <w:r w:rsidRPr="002B0603">
        <w:t>sion criteria included</w:t>
      </w:r>
      <w:r w:rsidR="00256BB2" w:rsidRPr="002B0603">
        <w:t xml:space="preserve"> the</w:t>
      </w:r>
      <w:r w:rsidRPr="002B0603">
        <w:t xml:space="preserve"> </w:t>
      </w:r>
      <w:r w:rsidR="00256BB2" w:rsidRPr="002B0603">
        <w:t>u</w:t>
      </w:r>
      <w:r w:rsidRPr="002B0603">
        <w:t xml:space="preserve">se of IVIg within </w:t>
      </w:r>
      <w:r w:rsidR="00256BB2" w:rsidRPr="002B0603">
        <w:t>seven</w:t>
      </w:r>
      <w:r w:rsidRPr="002B0603">
        <w:t xml:space="preserve"> days prior to planned </w:t>
      </w:r>
      <w:r w:rsidR="00AA4403">
        <w:t xml:space="preserve">imlifidase </w:t>
      </w:r>
      <w:r w:rsidRPr="002B0603">
        <w:t xml:space="preserve">administration; use of investigational agents within </w:t>
      </w:r>
      <w:r w:rsidR="002B0603">
        <w:t>four</w:t>
      </w:r>
      <w:r w:rsidRPr="002B0603">
        <w:t xml:space="preserve"> weeks of participation; recipients of </w:t>
      </w:r>
      <w:r w:rsidR="002B0603">
        <w:t>e</w:t>
      </w:r>
      <w:r w:rsidRPr="002B0603">
        <w:t xml:space="preserve">xtended </w:t>
      </w:r>
      <w:r w:rsidR="002B0603">
        <w:t>c</w:t>
      </w:r>
      <w:r w:rsidRPr="002B0603">
        <w:t xml:space="preserve">riteria </w:t>
      </w:r>
      <w:r w:rsidR="002B0603">
        <w:t>d</w:t>
      </w:r>
      <w:r w:rsidRPr="002B0603">
        <w:t xml:space="preserve">onors or </w:t>
      </w:r>
      <w:r w:rsidR="002B0603">
        <w:t>l</w:t>
      </w:r>
      <w:r w:rsidRPr="002B0603">
        <w:t xml:space="preserve">iving </w:t>
      </w:r>
      <w:r w:rsidR="002B0603">
        <w:t>d</w:t>
      </w:r>
      <w:r w:rsidRPr="002B0603">
        <w:t>onors.</w:t>
      </w:r>
    </w:p>
    <w:p w14:paraId="565AEA6F" w14:textId="5292B411" w:rsidR="000E2FE9" w:rsidRPr="002B0603" w:rsidRDefault="000E2FE9" w:rsidP="002B0603">
      <w:r w:rsidRPr="002B0603">
        <w:t>Treatments</w:t>
      </w:r>
      <w:r w:rsidR="00256BB2" w:rsidRPr="002B0603">
        <w:t xml:space="preserve">: </w:t>
      </w:r>
      <w:r w:rsidRPr="002B0603">
        <w:t>Imlifidase 0.24 mg/kg, administered by IV infusion over 15 minutes, as a single dose (no second dose).</w:t>
      </w:r>
    </w:p>
    <w:p w14:paraId="78E08594" w14:textId="50FAA79C" w:rsidR="000E2FE9" w:rsidRPr="002B0603" w:rsidRDefault="000E2FE9" w:rsidP="002B0603">
      <w:r w:rsidRPr="002B0603">
        <w:lastRenderedPageBreak/>
        <w:t>Non-investigational treatments: Premedication: methylprednisolone 40</w:t>
      </w:r>
      <w:r w:rsidR="002B0603">
        <w:t> </w:t>
      </w:r>
      <w:r w:rsidRPr="002B0603">
        <w:t xml:space="preserve">mg </w:t>
      </w:r>
      <w:r w:rsidR="002B0603">
        <w:t>intravenously</w:t>
      </w:r>
      <w:r w:rsidRPr="002B0603">
        <w:t>, acetaminophen 650</w:t>
      </w:r>
      <w:r w:rsidR="002B0603">
        <w:t> </w:t>
      </w:r>
      <w:r w:rsidRPr="002B0603">
        <w:t xml:space="preserve">mg </w:t>
      </w:r>
      <w:r w:rsidR="002B0603">
        <w:t>orally</w:t>
      </w:r>
      <w:r w:rsidRPr="002B0603">
        <w:t>, diphenhydramine 150</w:t>
      </w:r>
      <w:r w:rsidR="002B0603">
        <w:t> </w:t>
      </w:r>
      <w:r w:rsidRPr="002B0603">
        <w:t xml:space="preserve">mg </w:t>
      </w:r>
      <w:r w:rsidR="002B0603">
        <w:t>orally</w:t>
      </w:r>
      <w:r w:rsidRPr="002B0603">
        <w:t xml:space="preserve">. Prophylaxis: </w:t>
      </w:r>
      <w:r w:rsidR="002B0603">
        <w:t>intravenous</w:t>
      </w:r>
      <w:r w:rsidRPr="002B0603">
        <w:t xml:space="preserve"> ganciclovir (while inpatient) and valganciclovir (while outpatient) for </w:t>
      </w:r>
      <w:r w:rsidR="002B0603">
        <w:t>six</w:t>
      </w:r>
      <w:r w:rsidRPr="002B0603">
        <w:t xml:space="preserve"> months, fluconazole 100</w:t>
      </w:r>
      <w:r w:rsidR="002B0603">
        <w:t> </w:t>
      </w:r>
      <w:r w:rsidRPr="002B0603">
        <w:t xml:space="preserve">mg daily for </w:t>
      </w:r>
      <w:r w:rsidR="002B0603">
        <w:t>one</w:t>
      </w:r>
      <w:r w:rsidRPr="002B0603">
        <w:t xml:space="preserve"> month for fungal prophylaxis, trimethoprim 80 mg and sulfamethoxazole 400</w:t>
      </w:r>
      <w:r w:rsidR="002B0603">
        <w:t> </w:t>
      </w:r>
      <w:r w:rsidRPr="002B0603">
        <w:t xml:space="preserve">mg daily for 12 months for </w:t>
      </w:r>
      <w:r w:rsidRPr="003F5A59">
        <w:rPr>
          <w:i/>
          <w:iCs/>
        </w:rPr>
        <w:t xml:space="preserve">Pneumocystis </w:t>
      </w:r>
      <w:proofErr w:type="spellStart"/>
      <w:r w:rsidRPr="003F5A59">
        <w:rPr>
          <w:i/>
          <w:iCs/>
        </w:rPr>
        <w:t>jirovecii</w:t>
      </w:r>
      <w:proofErr w:type="spellEnd"/>
      <w:r w:rsidRPr="002B0603">
        <w:t xml:space="preserve"> pneumonia and bacterial prophylaxis. </w:t>
      </w:r>
      <w:r w:rsidR="000A470F">
        <w:t>Patients received</w:t>
      </w:r>
      <w:r w:rsidR="002477EC">
        <w:t xml:space="preserve"> prophylactic antibiotics (ciprofloxacin</w:t>
      </w:r>
      <w:r w:rsidR="00011162">
        <w:t>)</w:t>
      </w:r>
      <w:r w:rsidR="002477EC">
        <w:t xml:space="preserve"> and</w:t>
      </w:r>
      <w:r w:rsidR="00011162">
        <w:t xml:space="preserve"> </w:t>
      </w:r>
      <w:r w:rsidRPr="002B0603">
        <w:t>alemtuzumab (</w:t>
      </w:r>
      <w:proofErr w:type="spellStart"/>
      <w:r w:rsidRPr="002B0603">
        <w:t>Campath</w:t>
      </w:r>
      <w:proofErr w:type="spellEnd"/>
      <w:r w:rsidRPr="002B0603">
        <w:t>) 30</w:t>
      </w:r>
      <w:r w:rsidR="002B0603">
        <w:t> </w:t>
      </w:r>
      <w:r w:rsidRPr="002B0603">
        <w:t>mg 4 days post</w:t>
      </w:r>
      <w:r w:rsidR="00316C82">
        <w:t>-transplant</w:t>
      </w:r>
      <w:r w:rsidR="00115267">
        <w:t>.</w:t>
      </w:r>
      <w:r w:rsidR="00BD11F7">
        <w:t xml:space="preserve"> </w:t>
      </w:r>
      <w:r w:rsidR="00115267">
        <w:t>In addition,</w:t>
      </w:r>
      <w:r w:rsidRPr="002B0603">
        <w:t xml:space="preserve"> </w:t>
      </w:r>
      <w:r w:rsidR="003F1BBF">
        <w:t>high</w:t>
      </w:r>
      <w:r w:rsidR="00273058">
        <w:t xml:space="preserve"> dose corticosteroids </w:t>
      </w:r>
      <w:proofErr w:type="gramStart"/>
      <w:r w:rsidR="00273058">
        <w:t>was</w:t>
      </w:r>
      <w:proofErr w:type="gramEnd"/>
      <w:r w:rsidR="00273058">
        <w:t xml:space="preserve"> administered on Days 1-4, </w:t>
      </w:r>
      <w:r w:rsidRPr="002B0603">
        <w:t>and IVIg 7</w:t>
      </w:r>
      <w:r w:rsidR="002B0603">
        <w:t xml:space="preserve"> to </w:t>
      </w:r>
      <w:r w:rsidRPr="002B0603">
        <w:t>14 days post</w:t>
      </w:r>
      <w:r w:rsidR="00515C7F">
        <w:t>-transplant</w:t>
      </w:r>
      <w:r w:rsidRPr="002B0603">
        <w:t>.</w:t>
      </w:r>
    </w:p>
    <w:p w14:paraId="58717620" w14:textId="12769337" w:rsidR="000E2FE9" w:rsidRPr="002B0603" w:rsidRDefault="000E2FE9" w:rsidP="002B0603">
      <w:r w:rsidRPr="002B0603">
        <w:t>Baseline characteristics: 17 patients were included in the study and 15 (88%) completed. One patient withdrew and one was lost to follow-up</w:t>
      </w:r>
      <w:r w:rsidR="007157EB" w:rsidRPr="002B0603">
        <w:t>.</w:t>
      </w:r>
      <w:r w:rsidRPr="002B0603">
        <w:t xml:space="preserve"> Baseline patient demographics and disease characteristics are shown in</w:t>
      </w:r>
      <w:r w:rsidR="007157EB" w:rsidRPr="002B0603">
        <w:t xml:space="preserve"> </w:t>
      </w:r>
      <w:r w:rsidR="007157EB" w:rsidRPr="002B0603">
        <w:fldChar w:fldCharType="begin"/>
      </w:r>
      <w:r w:rsidR="007157EB" w:rsidRPr="002B0603">
        <w:instrText xml:space="preserve"> REF _Ref148703229 \h </w:instrText>
      </w:r>
      <w:r w:rsidR="002B0603">
        <w:instrText xml:space="preserve"> \* MERGEFORMAT </w:instrText>
      </w:r>
      <w:r w:rsidR="007157EB" w:rsidRPr="002B0603">
        <w:fldChar w:fldCharType="separate"/>
      </w:r>
      <w:r w:rsidR="00755A69" w:rsidRPr="007157EB">
        <w:t xml:space="preserve">Table </w:t>
      </w:r>
      <w:r w:rsidR="00755A69">
        <w:t>10</w:t>
      </w:r>
      <w:r w:rsidR="007157EB" w:rsidRPr="002B0603">
        <w:fldChar w:fldCharType="end"/>
      </w:r>
      <w:r w:rsidR="007157EB" w:rsidRPr="002B0603">
        <w:t>.</w:t>
      </w:r>
    </w:p>
    <w:p w14:paraId="18324F9A" w14:textId="0296D9C5" w:rsidR="007157EB" w:rsidRDefault="007157EB" w:rsidP="0089459E">
      <w:pPr>
        <w:pStyle w:val="TableTitle"/>
      </w:pPr>
      <w:bookmarkStart w:id="58" w:name="_Ref148703229"/>
      <w:r w:rsidRPr="007157EB">
        <w:t xml:space="preserve">Table </w:t>
      </w:r>
      <w:fldSimple w:instr=" SEQ Table \* ARABIC ">
        <w:r w:rsidR="00755A69">
          <w:rPr>
            <w:noProof/>
          </w:rPr>
          <w:t>10</w:t>
        </w:r>
      </w:fldSimple>
      <w:bookmarkEnd w:id="58"/>
      <w:r>
        <w:t xml:space="preserve">: </w:t>
      </w:r>
      <w:r w:rsidRPr="00630037">
        <w:rPr>
          <w:lang w:eastAsia="ja-JP"/>
        </w:rPr>
        <w:t xml:space="preserve">Studies 02, 03, 04, and 06. </w:t>
      </w:r>
      <w:r w:rsidRPr="00C93682">
        <w:rPr>
          <w:lang w:eastAsia="ja-JP"/>
        </w:rPr>
        <w:t>Demographics and baseline characteristics of transplanted patients</w:t>
      </w:r>
    </w:p>
    <w:p w14:paraId="16B4FD3E" w14:textId="3863F756" w:rsidR="007157EB" w:rsidRPr="007157EB" w:rsidRDefault="007157EB" w:rsidP="0089459E">
      <w:r w:rsidRPr="00C93682">
        <w:rPr>
          <w:noProof/>
          <w:lang w:eastAsia="ja-JP"/>
        </w:rPr>
        <w:drawing>
          <wp:inline distT="0" distB="0" distL="0" distR="0" wp14:anchorId="6E14607A" wp14:editId="2F40D0C0">
            <wp:extent cx="5653377" cy="6037773"/>
            <wp:effectExtent l="0" t="0" r="5080" b="1270"/>
            <wp:docPr id="36" name="Picture 36" descr="Studies 02, 03, 04, and 06. Demographics and baseline characteristics of transplan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udies 02, 03, 04, and 06. Demographics and baseline characteristics of transplanted pati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0566" cy="6045451"/>
                    </a:xfrm>
                    <a:prstGeom prst="rect">
                      <a:avLst/>
                    </a:prstGeom>
                    <a:noFill/>
                    <a:ln>
                      <a:noFill/>
                    </a:ln>
                  </pic:spPr>
                </pic:pic>
              </a:graphicData>
            </a:graphic>
          </wp:inline>
        </w:drawing>
      </w:r>
    </w:p>
    <w:p w14:paraId="13CD911B" w14:textId="77777777" w:rsidR="000E2FE9" w:rsidRPr="00256BB2" w:rsidRDefault="000E2FE9" w:rsidP="00256BB2">
      <w:pPr>
        <w:pStyle w:val="Heading6"/>
      </w:pPr>
      <w:r w:rsidRPr="00256BB2">
        <w:lastRenderedPageBreak/>
        <w:t>Magnitude of the treatment effect and its clinical significance</w:t>
      </w:r>
    </w:p>
    <w:p w14:paraId="5044665D" w14:textId="11C8D4C5" w:rsidR="000E2FE9" w:rsidRPr="00256BB2" w:rsidRDefault="000E2FE9" w:rsidP="00256BB2">
      <w:r w:rsidRPr="00256BB2">
        <w:t>Primary efficacy endpoints</w:t>
      </w:r>
      <w:r w:rsidR="00256BB2">
        <w:t xml:space="preserve"> include</w:t>
      </w:r>
      <w:r w:rsidR="00165C90">
        <w:t>:</w:t>
      </w:r>
    </w:p>
    <w:p w14:paraId="6B17E868" w14:textId="354DDC7B" w:rsidR="000E2FE9" w:rsidRPr="00256BB2" w:rsidRDefault="000E2FE9" w:rsidP="00256BB2">
      <w:pPr>
        <w:pStyle w:val="ListBullet"/>
      </w:pPr>
      <w:r w:rsidRPr="00256BB2">
        <w:t>Donor specific antibodies:</w:t>
      </w:r>
    </w:p>
    <w:p w14:paraId="0F3BC9D5" w14:textId="51F8579E" w:rsidR="000E2FE9" w:rsidRDefault="000E2FE9" w:rsidP="00256BB2">
      <w:pPr>
        <w:pStyle w:val="ListBullet2"/>
      </w:pPr>
      <w:r w:rsidRPr="00F04E0C">
        <w:t>DSAs were defined as antibodies directed against donor HLA measured in the single antigen bead (SAB)-HLA assay and with an MFI value &gt;</w:t>
      </w:r>
      <w:r w:rsidR="00256BB2">
        <w:t xml:space="preserve"> </w:t>
      </w:r>
      <w:r w:rsidRPr="00F04E0C">
        <w:t>2000.</w:t>
      </w:r>
    </w:p>
    <w:p w14:paraId="03BAA129" w14:textId="12F504A7" w:rsidR="000E2FE9" w:rsidRDefault="000E2FE9" w:rsidP="00256BB2">
      <w:pPr>
        <w:pStyle w:val="ListBullet2"/>
      </w:pPr>
      <w:r w:rsidRPr="00F04E0C">
        <w:t xml:space="preserve">All the MFI values decreased at </w:t>
      </w:r>
      <w:proofErr w:type="gramStart"/>
      <w:r w:rsidRPr="00F04E0C">
        <w:t>6 and 24 hours</w:t>
      </w:r>
      <w:proofErr w:type="gramEnd"/>
      <w:r w:rsidRPr="00F04E0C">
        <w:t xml:space="preserve"> post-dose and were &lt;</w:t>
      </w:r>
      <w:r w:rsidR="00256BB2">
        <w:t xml:space="preserve"> </w:t>
      </w:r>
      <w:r w:rsidRPr="00F04E0C">
        <w:t>2000</w:t>
      </w:r>
      <w:r w:rsidR="00D42F96">
        <w:t xml:space="preserve"> in all </w:t>
      </w:r>
      <w:r w:rsidRPr="00F04E0C">
        <w:t xml:space="preserve">except one patient. </w:t>
      </w:r>
    </w:p>
    <w:p w14:paraId="29C55EE3" w14:textId="57B0881B" w:rsidR="000E2FE9" w:rsidRPr="00F04E0C" w:rsidRDefault="000E2FE9" w:rsidP="00256BB2">
      <w:pPr>
        <w:pStyle w:val="ListBullet"/>
      </w:pPr>
      <w:r w:rsidRPr="00F04E0C">
        <w:t>Incidence of allograft rejections</w:t>
      </w:r>
      <w:r>
        <w:t xml:space="preserve">: </w:t>
      </w:r>
    </w:p>
    <w:p w14:paraId="13D5FEC3" w14:textId="77777777" w:rsidR="000E2FE9" w:rsidRDefault="000E2FE9" w:rsidP="00256BB2">
      <w:pPr>
        <w:pStyle w:val="ListBullet2"/>
      </w:pPr>
      <w:r w:rsidRPr="00F04E0C">
        <w:t>One patient suffered a hyperacute antibody-mediated rejection of the kidney, which was considered as being IgM and/or IgA mediated. No intact IgG was detected at the time of the rejection.</w:t>
      </w:r>
    </w:p>
    <w:p w14:paraId="139B3F95" w14:textId="55801E8D" w:rsidR="000E2FE9" w:rsidRPr="008D7BB5" w:rsidRDefault="000E2FE9" w:rsidP="00256BB2">
      <w:pPr>
        <w:pStyle w:val="ListBullet"/>
      </w:pPr>
      <w:r w:rsidRPr="008D7BB5">
        <w:t xml:space="preserve">Kidney function (up to </w:t>
      </w:r>
      <w:r w:rsidR="00C82D34">
        <w:t>180</w:t>
      </w:r>
      <w:r w:rsidRPr="008D7BB5">
        <w:t xml:space="preserve"> days follow</w:t>
      </w:r>
      <w:r w:rsidR="007E1335">
        <w:t>-</w:t>
      </w:r>
      <w:r w:rsidRPr="008D7BB5">
        <w:t>up):</w:t>
      </w:r>
    </w:p>
    <w:p w14:paraId="45E2E835" w14:textId="6412CDBC" w:rsidR="000E2FE9" w:rsidRDefault="000E2FE9" w:rsidP="00256BB2">
      <w:pPr>
        <w:pStyle w:val="ListBullet2"/>
      </w:pPr>
      <w:r>
        <w:t xml:space="preserve">Renal function improved significantly post-transplant, except in the patient with the graft rejection. At </w:t>
      </w:r>
      <w:r w:rsidR="002B0603">
        <w:t>end of study</w:t>
      </w:r>
      <w:r>
        <w:t>, 9 (56%) patients had an eGFR ≥</w:t>
      </w:r>
      <w:r w:rsidR="00256BB2">
        <w:t xml:space="preserve"> </w:t>
      </w:r>
      <w:r>
        <w:t>60 mL/min/1.73 m</w:t>
      </w:r>
      <w:r w:rsidRPr="00F04E0C">
        <w:rPr>
          <w:vertAlign w:val="superscript"/>
        </w:rPr>
        <w:t>2</w:t>
      </w:r>
      <w:r>
        <w:t>, 6 (38%) had 30 to 59 mL/min/1.73 m</w:t>
      </w:r>
      <w:r w:rsidRPr="00F04E0C">
        <w:rPr>
          <w:vertAlign w:val="superscript"/>
        </w:rPr>
        <w:t>2</w:t>
      </w:r>
      <w:r>
        <w:t>, and one &lt;</w:t>
      </w:r>
      <w:r w:rsidR="00256BB2">
        <w:t xml:space="preserve"> </w:t>
      </w:r>
      <w:r>
        <w:t>30 mL/min/1.73 m</w:t>
      </w:r>
      <w:r w:rsidRPr="00F04E0C">
        <w:rPr>
          <w:vertAlign w:val="superscript"/>
        </w:rPr>
        <w:t>2</w:t>
      </w:r>
      <w:r>
        <w:t>.</w:t>
      </w:r>
    </w:p>
    <w:p w14:paraId="2CF3121F" w14:textId="320F19E6" w:rsidR="000E2FE9" w:rsidRDefault="000E2FE9" w:rsidP="00256BB2">
      <w:pPr>
        <w:pStyle w:val="ListBullet2"/>
      </w:pPr>
      <w:r>
        <w:t xml:space="preserve">Proteinuria (generally mild to moderate) was observed in 77% of the patients one week after treatment and </w:t>
      </w:r>
      <w:proofErr w:type="gramStart"/>
      <w:r>
        <w:t>transplantation, but</w:t>
      </w:r>
      <w:proofErr w:type="gramEnd"/>
      <w:r>
        <w:t xml:space="preserve"> decreased subsequently and affected </w:t>
      </w:r>
      <w:r w:rsidR="002B0603">
        <w:t>three</w:t>
      </w:r>
      <w:r>
        <w:t xml:space="preserve"> (19%) of the patients one month after transplantation.</w:t>
      </w:r>
    </w:p>
    <w:p w14:paraId="040AF313" w14:textId="05B32853" w:rsidR="000E2FE9" w:rsidRPr="00256BB2" w:rsidRDefault="000E2FE9" w:rsidP="00256BB2">
      <w:pPr>
        <w:pStyle w:val="ListBullet"/>
      </w:pPr>
      <w:r w:rsidRPr="00256BB2">
        <w:t>Renal biopsy evaluation (at Day 180): suffering from missing data (9</w:t>
      </w:r>
      <w:r w:rsidR="00256BB2">
        <w:t xml:space="preserve"> out of </w:t>
      </w:r>
      <w:r w:rsidRPr="00256BB2">
        <w:t>17 missing)</w:t>
      </w:r>
    </w:p>
    <w:p w14:paraId="4FBF486F" w14:textId="55D1C9C7" w:rsidR="000E2FE9" w:rsidRDefault="000E2FE9" w:rsidP="00256BB2">
      <w:pPr>
        <w:pStyle w:val="ListBullet2"/>
      </w:pPr>
      <w:r>
        <w:t>Signs of active a</w:t>
      </w:r>
      <w:r w:rsidRPr="006920B1">
        <w:t>ntibody mediated rejection</w:t>
      </w:r>
      <w:r>
        <w:t xml:space="preserve"> in one (6%) patient and signs of subclinical </w:t>
      </w:r>
      <w:r w:rsidR="002B0603">
        <w:t>active a</w:t>
      </w:r>
      <w:r w:rsidR="002B0603" w:rsidRPr="006920B1">
        <w:t xml:space="preserve">ntibody mediated rejection </w:t>
      </w:r>
      <w:r>
        <w:t>in one other (6%) patient.</w:t>
      </w:r>
    </w:p>
    <w:p w14:paraId="784A9D7E" w14:textId="0A6CA90F" w:rsidR="000E2FE9" w:rsidRPr="0078566C" w:rsidRDefault="000E2FE9" w:rsidP="000E2FE9">
      <w:pPr>
        <w:pStyle w:val="Heading5"/>
        <w:spacing w:line="240" w:lineRule="auto"/>
      </w:pPr>
      <w:bookmarkStart w:id="59" w:name="_Ref133930255"/>
      <w:r w:rsidRPr="0078566C">
        <w:t xml:space="preserve">Study </w:t>
      </w:r>
      <w:r>
        <w:t>03 (</w:t>
      </w:r>
      <w:r w:rsidRPr="0078566C">
        <w:t>13-HMedIdeS-03</w:t>
      </w:r>
      <w:bookmarkEnd w:id="59"/>
      <w:r w:rsidR="002B0603">
        <w:t>)</w:t>
      </w:r>
    </w:p>
    <w:p w14:paraId="5A7DA3A8" w14:textId="75B17755" w:rsidR="000E2FE9" w:rsidRPr="002B0603" w:rsidRDefault="007157EB" w:rsidP="002B0603">
      <w:r w:rsidRPr="002B0603">
        <w:t>Study 03 is an o</w:t>
      </w:r>
      <w:r w:rsidR="000E2FE9" w:rsidRPr="002B0603">
        <w:t>pen</w:t>
      </w:r>
      <w:r w:rsidR="002B0603">
        <w:t xml:space="preserve"> </w:t>
      </w:r>
      <w:r w:rsidR="000E2FE9" w:rsidRPr="002B0603">
        <w:t>label, single arm (no comparator), ascending dose, dose</w:t>
      </w:r>
      <w:r w:rsidR="002B0603">
        <w:t xml:space="preserve"> </w:t>
      </w:r>
      <w:r w:rsidR="000E2FE9" w:rsidRPr="002B0603">
        <w:t xml:space="preserve">finding Phase </w:t>
      </w:r>
      <w:r w:rsidRPr="002B0603">
        <w:t>II</w:t>
      </w:r>
      <w:r w:rsidR="000E2FE9" w:rsidRPr="002B0603">
        <w:t xml:space="preserve"> study to evaluate safety, tolerability, efficacy and PK of imlifidase in renal transplantation in 10 adult men and women (aged 18</w:t>
      </w:r>
      <w:r w:rsidRPr="002B0603">
        <w:t xml:space="preserve"> years</w:t>
      </w:r>
      <w:r w:rsidR="000E2FE9" w:rsidRPr="002B0603">
        <w:t xml:space="preserve"> or above) with CKD with dialysis and relevant antibodies.</w:t>
      </w:r>
    </w:p>
    <w:p w14:paraId="20FC3E3F" w14:textId="424213B2" w:rsidR="000E2FE9" w:rsidRPr="002B0603" w:rsidRDefault="000E2FE9" w:rsidP="002B0603">
      <w:r w:rsidRPr="002B0603">
        <w:t>The study was conducted at two sites in Sweden from June 2015 to October 2016.</w:t>
      </w:r>
    </w:p>
    <w:p w14:paraId="07ECC50A" w14:textId="628E3A53" w:rsidR="000E2FE9" w:rsidRPr="002B0603" w:rsidRDefault="000E2FE9" w:rsidP="002B0603">
      <w:r w:rsidRPr="002B0603">
        <w:t xml:space="preserve">Primary objective </w:t>
      </w:r>
      <w:r w:rsidR="007157EB" w:rsidRPr="002B0603">
        <w:t xml:space="preserve">includes </w:t>
      </w:r>
      <w:r w:rsidRPr="002B0603">
        <w:t>evaluat</w:t>
      </w:r>
      <w:r w:rsidR="007157EB" w:rsidRPr="002B0603">
        <w:t>ion of</w:t>
      </w:r>
      <w:r w:rsidRPr="002B0603">
        <w:t xml:space="preserve"> safety and tolerability of imlifidase until </w:t>
      </w:r>
      <w:r w:rsidR="002B0603">
        <w:t>six</w:t>
      </w:r>
      <w:r w:rsidRPr="002B0603">
        <w:t xml:space="preserve"> months after dosing.</w:t>
      </w:r>
    </w:p>
    <w:p w14:paraId="214FD56B" w14:textId="4B746B1D" w:rsidR="000E2FE9" w:rsidRPr="002B0603" w:rsidRDefault="000E2FE9" w:rsidP="002B0603">
      <w:r w:rsidRPr="002B0603">
        <w:t>Main efficacy objective</w:t>
      </w:r>
      <w:r w:rsidR="007157EB" w:rsidRPr="002B0603">
        <w:t xml:space="preserve"> is t</w:t>
      </w:r>
      <w:r w:rsidRPr="002B0603">
        <w:t xml:space="preserve">o find an </w:t>
      </w:r>
      <w:r w:rsidR="001747E8">
        <w:t>imlifidase</w:t>
      </w:r>
      <w:r w:rsidRPr="002B0603">
        <w:t xml:space="preserve"> dose which in the majority of the patients resulted in </w:t>
      </w:r>
      <w:r w:rsidR="002B0603">
        <w:t>HLA</w:t>
      </w:r>
      <w:r w:rsidRPr="002B0603">
        <w:t xml:space="preserve"> antibody levels acceptable for transplantation, within 24 hours from dosing.</w:t>
      </w:r>
    </w:p>
    <w:p w14:paraId="0EBB39F9" w14:textId="0B31C8E0" w:rsidR="000E2FE9" w:rsidRPr="002B0603" w:rsidRDefault="000E2FE9" w:rsidP="002B0603">
      <w:r w:rsidRPr="002B0603">
        <w:t>Other objectives</w:t>
      </w:r>
      <w:r w:rsidR="007157EB" w:rsidRPr="002B0603">
        <w:t xml:space="preserve"> include </w:t>
      </w:r>
      <w:r w:rsidRPr="002B0603">
        <w:t>other efficacy, safety, PK, and PD objectives.</w:t>
      </w:r>
    </w:p>
    <w:p w14:paraId="3FABBF9A" w14:textId="1C8EF54B" w:rsidR="000E2FE9" w:rsidRPr="002B0603" w:rsidRDefault="000E2FE9" w:rsidP="002B0603">
      <w:r w:rsidRPr="002B0603">
        <w:t xml:space="preserve">Inclusion criteria included </w:t>
      </w:r>
      <w:r w:rsidR="007157EB" w:rsidRPr="002B0603">
        <w:t>a</w:t>
      </w:r>
      <w:r w:rsidRPr="002B0603">
        <w:t>ge 18 years or above; CKD and in dialysis with preformed anti-HLA antibodies (non-DSA, DSA or both), negative T-CDC CXM and at least one antibody MFI &gt;</w:t>
      </w:r>
      <w:r w:rsidR="002B0603">
        <w:t> </w:t>
      </w:r>
      <w:r w:rsidRPr="002B0603">
        <w:t xml:space="preserve">3000; Available </w:t>
      </w:r>
      <w:r w:rsidR="002B0603">
        <w:t xml:space="preserve">blood type </w:t>
      </w:r>
      <w:r w:rsidRPr="002B0603">
        <w:t>ABO-compatible donor (living or deceased donor).</w:t>
      </w:r>
    </w:p>
    <w:p w14:paraId="3AE24EFD" w14:textId="051ED6B0" w:rsidR="000E2FE9" w:rsidRPr="002B0603" w:rsidRDefault="000E2FE9" w:rsidP="002B0603">
      <w:r w:rsidRPr="002B0603">
        <w:t>Exclusion criteria included</w:t>
      </w:r>
      <w:r w:rsidR="007157EB" w:rsidRPr="002B0603">
        <w:t xml:space="preserve"> p</w:t>
      </w:r>
      <w:r w:rsidRPr="002B0603">
        <w:t xml:space="preserve">atients who had received cell transplantation or cell therapy within 5 years prior to </w:t>
      </w:r>
      <w:r w:rsidR="001747E8">
        <w:t>imlifidase</w:t>
      </w:r>
      <w:r w:rsidRPr="002B0603">
        <w:t xml:space="preserve"> dosing; Patients treated with biological therapies based on antibodies within at least </w:t>
      </w:r>
      <w:r w:rsidR="007157EB" w:rsidRPr="002B0603">
        <w:t>five</w:t>
      </w:r>
      <w:r w:rsidRPr="002B0603">
        <w:t xml:space="preserve"> t½ of that drug; hypogammaglobulinaemia (total p-IgG &lt;</w:t>
      </w:r>
      <w:r w:rsidR="007157EB" w:rsidRPr="002B0603">
        <w:t xml:space="preserve"> </w:t>
      </w:r>
      <w:r w:rsidRPr="002B0603">
        <w:t xml:space="preserve">3 g/L); Treatment with rituximab or cyclophosphamide within </w:t>
      </w:r>
      <w:r w:rsidR="007157EB" w:rsidRPr="002B0603">
        <w:t>six</w:t>
      </w:r>
      <w:r w:rsidRPr="002B0603">
        <w:t xml:space="preserve"> months before screening.</w:t>
      </w:r>
    </w:p>
    <w:p w14:paraId="16FD03CC" w14:textId="5BE125BC" w:rsidR="000E2FE9" w:rsidRPr="002B0603" w:rsidRDefault="000E2FE9" w:rsidP="002B0603">
      <w:r w:rsidRPr="002B0603">
        <w:t>Treatments</w:t>
      </w:r>
      <w:r w:rsidR="007157EB" w:rsidRPr="002B0603">
        <w:t xml:space="preserve"> included</w:t>
      </w:r>
      <w:r w:rsidRPr="002B0603">
        <w:t xml:space="preserve"> </w:t>
      </w:r>
      <w:r w:rsidR="007157EB" w:rsidRPr="002B0603">
        <w:t>i</w:t>
      </w:r>
      <w:r w:rsidRPr="002B0603">
        <w:t xml:space="preserve">mlifidase 0.25 mg/kg or 0.50 mg/kg, administered by </w:t>
      </w:r>
      <w:r w:rsidR="007157EB" w:rsidRPr="002B0603">
        <w:t>intravenous</w:t>
      </w:r>
      <w:r w:rsidRPr="002B0603">
        <w:t xml:space="preserve"> infusion, as a single dose (no second dose). Timing: day of transplantation (patient with a </w:t>
      </w:r>
      <w:r w:rsidRPr="002B0603">
        <w:lastRenderedPageBreak/>
        <w:t>deceased donor) or day before transplantation (patients with a living donor). Planned 1.0 mg/kg and 2.0 mg/kg doses were in the protocol, but not used.</w:t>
      </w:r>
    </w:p>
    <w:p w14:paraId="03877251" w14:textId="2F20DD8B" w:rsidR="000E2FE9" w:rsidRPr="002B0603" w:rsidRDefault="000E2FE9" w:rsidP="002B0603">
      <w:r w:rsidRPr="002B0603">
        <w:t>Non-investigational treatments</w:t>
      </w:r>
      <w:r w:rsidR="007157EB" w:rsidRPr="002B0603">
        <w:t xml:space="preserve"> included i</w:t>
      </w:r>
      <w:r w:rsidRPr="002B0603">
        <w:t xml:space="preserve">nduction therapy given according to clinical practice at each site. If indicated, </w:t>
      </w:r>
      <w:r w:rsidR="006648A3" w:rsidRPr="002B0603">
        <w:t>anti-thymocyte globulin derived from horse</w:t>
      </w:r>
      <w:r w:rsidRPr="002B0603">
        <w:t xml:space="preserve"> was given since rabbit </w:t>
      </w:r>
      <w:r w:rsidR="000F0DAC">
        <w:t>a</w:t>
      </w:r>
      <w:r w:rsidR="000F0DAC" w:rsidRPr="000F0DAC">
        <w:t>nti-thymocyte globulin</w:t>
      </w:r>
      <w:r w:rsidRPr="002B0603">
        <w:t xml:space="preserve"> is cleaved by </w:t>
      </w:r>
      <w:r w:rsidR="001747E8">
        <w:t>imlifidase</w:t>
      </w:r>
      <w:r w:rsidRPr="002B0603">
        <w:t>. Premedication</w:t>
      </w:r>
      <w:r w:rsidR="007157EB" w:rsidRPr="002B0603">
        <w:t xml:space="preserve"> of </w:t>
      </w:r>
      <w:r w:rsidRPr="002B0603">
        <w:t>methylprednisolone 250</w:t>
      </w:r>
      <w:r w:rsidR="000F0DAC">
        <w:t> </w:t>
      </w:r>
      <w:r w:rsidRPr="002B0603">
        <w:t xml:space="preserve">mg </w:t>
      </w:r>
      <w:r w:rsidR="007157EB" w:rsidRPr="002B0603">
        <w:t>intravenous</w:t>
      </w:r>
      <w:r w:rsidRPr="002B0603">
        <w:t xml:space="preserve"> and 10</w:t>
      </w:r>
      <w:r w:rsidR="000F0DAC">
        <w:t> </w:t>
      </w:r>
      <w:r w:rsidRPr="002B0603">
        <w:t xml:space="preserve">mg oral loratadine before each </w:t>
      </w:r>
      <w:r w:rsidR="001747E8">
        <w:t>imlifidase</w:t>
      </w:r>
      <w:r w:rsidRPr="002B0603">
        <w:t xml:space="preserve"> infusion. Prophylaxis</w:t>
      </w:r>
      <w:r w:rsidR="007157EB" w:rsidRPr="002B0603">
        <w:t xml:space="preserve"> of </w:t>
      </w:r>
      <w:r w:rsidRPr="002B0603">
        <w:t>1</w:t>
      </w:r>
      <w:r w:rsidR="000F0DAC">
        <w:t> </w:t>
      </w:r>
      <w:r w:rsidRPr="002B0603">
        <w:t xml:space="preserve">g phenoxymethylpenicillin </w:t>
      </w:r>
      <w:r w:rsidR="007157EB" w:rsidRPr="002B0603">
        <w:t>once per day</w:t>
      </w:r>
      <w:r w:rsidRPr="002B0603">
        <w:t xml:space="preserve">, single dose of cefuroxime prior to transplantation, trimethoprim </w:t>
      </w:r>
      <w:r w:rsidRPr="000F0DAC">
        <w:t>80</w:t>
      </w:r>
      <w:r w:rsidR="000F0DAC">
        <w:t> </w:t>
      </w:r>
      <w:r w:rsidRPr="000F0DAC">
        <w:t>mg</w:t>
      </w:r>
      <w:r w:rsidRPr="002B0603">
        <w:t>/sulfamethoxazole 400</w:t>
      </w:r>
      <w:r w:rsidR="000F0DAC">
        <w:t> </w:t>
      </w:r>
      <w:r w:rsidRPr="002B0603">
        <w:t xml:space="preserve">mg </w:t>
      </w:r>
      <w:r w:rsidR="007157EB" w:rsidRPr="002B0603">
        <w:t>once per day</w:t>
      </w:r>
      <w:r w:rsidRPr="002B0603">
        <w:t xml:space="preserve">, valganciclovir </w:t>
      </w:r>
      <w:r w:rsidR="007157EB" w:rsidRPr="002B0603">
        <w:t>once per day</w:t>
      </w:r>
      <w:r w:rsidRPr="002B0603">
        <w:t xml:space="preserve"> for </w:t>
      </w:r>
      <w:r w:rsidR="007157EB" w:rsidRPr="002B0603">
        <w:t>three</w:t>
      </w:r>
      <w:r w:rsidRPr="002B0603">
        <w:t xml:space="preserve"> months after transplantation. Immunosuppressants: Tacrolimus 0.1 mg/kg </w:t>
      </w:r>
      <w:r w:rsidR="00496019">
        <w:t>bodyweight</w:t>
      </w:r>
      <w:r w:rsidRPr="002B0603">
        <w:t xml:space="preserve"> </w:t>
      </w:r>
      <w:r w:rsidR="007157EB" w:rsidRPr="002B0603">
        <w:t>twice per day</w:t>
      </w:r>
      <w:r w:rsidRPr="002B0603">
        <w:t xml:space="preserve">, and mycophenolate Mofetil 500 to 1000 mg </w:t>
      </w:r>
      <w:r w:rsidR="007157EB" w:rsidRPr="002B0603">
        <w:t>twice daily</w:t>
      </w:r>
      <w:r w:rsidRPr="002B0603">
        <w:t xml:space="preserve"> </w:t>
      </w:r>
      <w:r w:rsidR="007157EB" w:rsidRPr="002B0603">
        <w:t>orally</w:t>
      </w:r>
      <w:r w:rsidRPr="002B0603">
        <w:t xml:space="preserve">. Prednisolone (reducing dose over </w:t>
      </w:r>
      <w:r w:rsidR="007157EB" w:rsidRPr="002B0603">
        <w:t>three</w:t>
      </w:r>
      <w:r w:rsidRPr="002B0603">
        <w:t xml:space="preserve"> months, then 5 mg </w:t>
      </w:r>
      <w:r w:rsidR="007157EB" w:rsidRPr="002B0603">
        <w:t>once per day</w:t>
      </w:r>
      <w:r w:rsidRPr="002B0603">
        <w:t>). Rejection episodes were managed using standard of care.</w:t>
      </w:r>
    </w:p>
    <w:p w14:paraId="7E3952A8" w14:textId="4D0C9BD0" w:rsidR="000E2FE9" w:rsidRPr="002B0603" w:rsidRDefault="000E2FE9" w:rsidP="0089459E">
      <w:pPr>
        <w:ind w:right="-144"/>
      </w:pPr>
      <w:r w:rsidRPr="002B0603">
        <w:t>Baseline characteristics</w:t>
      </w:r>
      <w:r w:rsidR="007157EB" w:rsidRPr="002B0603">
        <w:t xml:space="preserve">: </w:t>
      </w:r>
      <w:r w:rsidRPr="002B0603">
        <w:t xml:space="preserve">12 patients were screened with </w:t>
      </w:r>
      <w:r w:rsidR="000F0DAC">
        <w:t>ten</w:t>
      </w:r>
      <w:r w:rsidRPr="002B0603">
        <w:t xml:space="preserve"> included (</w:t>
      </w:r>
      <w:r w:rsidR="000F0DAC">
        <w:t>five</w:t>
      </w:r>
      <w:r w:rsidRPr="002B0603">
        <w:t xml:space="preserve"> each in the 0.25 mg/kg and 0.5 mg/kg groups). All the patients completed the study and were included in all the analysis datasets. Baseline patient demographics and disease characteristics are shown in</w:t>
      </w:r>
      <w:r w:rsidR="007157EB" w:rsidRPr="002B0603">
        <w:t xml:space="preserve"> </w:t>
      </w:r>
      <w:r w:rsidR="007157EB" w:rsidRPr="002B0603">
        <w:fldChar w:fldCharType="begin"/>
      </w:r>
      <w:r w:rsidR="007157EB" w:rsidRPr="002B0603">
        <w:instrText xml:space="preserve"> REF _Ref148703229 \h </w:instrText>
      </w:r>
      <w:r w:rsidR="002B0603">
        <w:instrText xml:space="preserve"> \* MERGEFORMAT </w:instrText>
      </w:r>
      <w:r w:rsidR="007157EB" w:rsidRPr="002B0603">
        <w:fldChar w:fldCharType="separate"/>
      </w:r>
      <w:r w:rsidR="00755A69" w:rsidRPr="007157EB">
        <w:t xml:space="preserve">Table </w:t>
      </w:r>
      <w:r w:rsidR="00755A69">
        <w:t>10</w:t>
      </w:r>
      <w:r w:rsidR="007157EB" w:rsidRPr="002B0603">
        <w:fldChar w:fldCharType="end"/>
      </w:r>
      <w:r w:rsidR="007157EB" w:rsidRPr="002B0603">
        <w:t>.</w:t>
      </w:r>
    </w:p>
    <w:p w14:paraId="7824F0F0" w14:textId="77777777" w:rsidR="000E2FE9" w:rsidRPr="004A1666" w:rsidRDefault="000E2FE9" w:rsidP="004A1666">
      <w:pPr>
        <w:pStyle w:val="Heading6"/>
      </w:pPr>
      <w:r w:rsidRPr="004A1666">
        <w:t>Magnitude of the treatment effect and its clinical significance</w:t>
      </w:r>
    </w:p>
    <w:p w14:paraId="3C3C1568" w14:textId="4AA99746" w:rsidR="000E2FE9" w:rsidRPr="004A1666" w:rsidRDefault="000E2FE9" w:rsidP="004A1666">
      <w:r w:rsidRPr="004A1666">
        <w:t>Main efficacy endpoint</w:t>
      </w:r>
      <w:r w:rsidR="004A1666">
        <w:t xml:space="preserve"> included</w:t>
      </w:r>
      <w:r w:rsidRPr="004A1666">
        <w:t xml:space="preserve"> post-imlifidase, all </w:t>
      </w:r>
      <w:r w:rsidR="000F0DAC">
        <w:t>ten</w:t>
      </w:r>
      <w:r w:rsidRPr="004A1666">
        <w:t xml:space="preserve"> patients had HLA antibody levels acceptable for transplantation and negative cross-match tests. In each treatment group (</w:t>
      </w:r>
      <w:r w:rsidR="000F0DAC">
        <w:t>five</w:t>
      </w:r>
      <w:r w:rsidRPr="004A1666">
        <w:t xml:space="preserve"> patients each), </w:t>
      </w:r>
      <w:r w:rsidR="000F0DAC">
        <w:t>four</w:t>
      </w:r>
      <w:r w:rsidRPr="004A1666">
        <w:t xml:space="preserve"> patients received a kidney from a deceased donor, and one received a live donor kidney.</w:t>
      </w:r>
    </w:p>
    <w:p w14:paraId="680E181C" w14:textId="1BEBC1ED" w:rsidR="000E2FE9" w:rsidRPr="004A1666" w:rsidRDefault="000E2FE9" w:rsidP="004A1666">
      <w:r w:rsidRPr="004A1666">
        <w:t>Other efficacy endpoints</w:t>
      </w:r>
      <w:r w:rsidR="004A1666">
        <w:t xml:space="preserve"> include</w:t>
      </w:r>
      <w:r w:rsidRPr="004A1666">
        <w:t>:</w:t>
      </w:r>
    </w:p>
    <w:p w14:paraId="7FBFE87F" w14:textId="77777777" w:rsidR="000E2FE9" w:rsidRPr="004A1666" w:rsidRDefault="000E2FE9" w:rsidP="004A1666">
      <w:pPr>
        <w:pStyle w:val="ListBullet"/>
      </w:pPr>
      <w:r w:rsidRPr="004A1666">
        <w:t>Anti-HLA antibodies (analysed with SAB-HLA): both groups had a similar response, with a rapid decrease at 1 hour post infusion and recovery from Day 7.</w:t>
      </w:r>
    </w:p>
    <w:p w14:paraId="004759C9" w14:textId="77777777" w:rsidR="000E2FE9" w:rsidRPr="004A1666" w:rsidRDefault="000E2FE9" w:rsidP="004A1666">
      <w:pPr>
        <w:pStyle w:val="ListBullet"/>
      </w:pPr>
      <w:r w:rsidRPr="004A1666">
        <w:t>Anti-HLA antibodies (analysed with SAB-C1q), both groups also had a similar response, with a rapid decrease at 1 hour post infusion.</w:t>
      </w:r>
    </w:p>
    <w:p w14:paraId="4C4C1B0F" w14:textId="52C7B940" w:rsidR="000E2FE9" w:rsidRPr="004A1666" w:rsidRDefault="000F0DAC" w:rsidP="004A1666">
      <w:pPr>
        <w:pStyle w:val="ListBullet"/>
      </w:pPr>
      <w:r w:rsidRPr="004A1666">
        <w:t>D</w:t>
      </w:r>
      <w:r>
        <w:t>onor specific antigens</w:t>
      </w:r>
      <w:r w:rsidR="000E2FE9" w:rsidRPr="004A1666">
        <w:t xml:space="preserve">: detected in eight </w:t>
      </w:r>
      <w:proofErr w:type="gramStart"/>
      <w:r w:rsidR="000E2FE9" w:rsidRPr="004A1666">
        <w:t>patients, and</w:t>
      </w:r>
      <w:proofErr w:type="gramEnd"/>
      <w:r w:rsidR="000E2FE9" w:rsidRPr="004A1666">
        <w:t xml:space="preserve"> decreased by </w:t>
      </w:r>
      <w:r>
        <w:t>one</w:t>
      </w:r>
      <w:r w:rsidR="000E2FE9" w:rsidRPr="004A1666">
        <w:t xml:space="preserve"> hour following imlifidase infusion and recovered from Day 7.</w:t>
      </w:r>
    </w:p>
    <w:p w14:paraId="1EB6DA48" w14:textId="77777777" w:rsidR="000E2FE9" w:rsidRPr="004A1666" w:rsidRDefault="000E2FE9" w:rsidP="004A1666">
      <w:pPr>
        <w:pStyle w:val="ListBullet"/>
      </w:pPr>
      <w:r w:rsidRPr="004A1666">
        <w:t>Cytotoxic sera screen: become negative in 2 of 3 patients in the 0.25 mg/kg group and 1 of 3 in the 0.5 mg/kg group.</w:t>
      </w:r>
    </w:p>
    <w:p w14:paraId="67E0B71F" w14:textId="2F40D380" w:rsidR="000E2FE9" w:rsidRPr="004A1666" w:rsidRDefault="000E2FE9" w:rsidP="004A1666">
      <w:pPr>
        <w:pStyle w:val="ListBullet"/>
      </w:pPr>
      <w:r w:rsidRPr="004A1666">
        <w:t xml:space="preserve">Cross-matches using </w:t>
      </w:r>
      <w:r w:rsidR="000F0DAC">
        <w:t>flow cytometry</w:t>
      </w:r>
      <w:r w:rsidRPr="004A1666">
        <w:t xml:space="preserve"> and CDC CXM for B-cells: none positive.</w:t>
      </w:r>
    </w:p>
    <w:p w14:paraId="32DE1E98" w14:textId="4E42ACF2" w:rsidR="000E2FE9" w:rsidRPr="004A1666" w:rsidRDefault="000E2FE9" w:rsidP="004A1666">
      <w:pPr>
        <w:pStyle w:val="ListBullet"/>
      </w:pPr>
      <w:r w:rsidRPr="004A1666">
        <w:t xml:space="preserve">Time to recovery of IgG (analysed in </w:t>
      </w:r>
      <w:r w:rsidR="000F0DAC">
        <w:t>four</w:t>
      </w:r>
      <w:r w:rsidRPr="004A1666">
        <w:t xml:space="preserve"> patients; the </w:t>
      </w:r>
      <w:r w:rsidR="000F0DAC">
        <w:t>six</w:t>
      </w:r>
      <w:r w:rsidRPr="004A1666">
        <w:t xml:space="preserve"> other patients did not have recovery of IgG to pre-transplant levels): In </w:t>
      </w:r>
      <w:r w:rsidR="000F0DAC">
        <w:t>two</w:t>
      </w:r>
      <w:r w:rsidRPr="004A1666">
        <w:t xml:space="preserve"> patients in the 0.25 mg/kg group the time to recovery was 122 days and 160 days. In </w:t>
      </w:r>
      <w:r w:rsidR="000F0DAC">
        <w:t>two</w:t>
      </w:r>
      <w:r w:rsidRPr="004A1666">
        <w:t xml:space="preserve"> patients in the 0.5 mg/kg group, time to recovery was 22 days and 63 days.</w:t>
      </w:r>
    </w:p>
    <w:p w14:paraId="0E486A24" w14:textId="4473A07E" w:rsidR="000E2FE9" w:rsidRPr="004A1666" w:rsidRDefault="000E2FE9" w:rsidP="004A1666">
      <w:pPr>
        <w:pStyle w:val="ListBullet"/>
      </w:pPr>
      <w:r w:rsidRPr="004A1666">
        <w:t>The median (range) time to 80% recovery of SAB-HLA antibodies: 68 (29 to 181) days in the 0.25 mg/kg group and 15 (8 to 62) days in the 0.5</w:t>
      </w:r>
      <w:r w:rsidR="000F0DAC">
        <w:t> </w:t>
      </w:r>
      <w:r w:rsidRPr="004A1666">
        <w:t>mg/kg group.</w:t>
      </w:r>
    </w:p>
    <w:p w14:paraId="0B1C8E0B" w14:textId="05054BBA" w:rsidR="000E2FE9" w:rsidRPr="004A1666" w:rsidRDefault="000E2FE9" w:rsidP="004A1666">
      <w:pPr>
        <w:pStyle w:val="ListBullet"/>
      </w:pPr>
      <w:r w:rsidRPr="004A1666">
        <w:t xml:space="preserve">IgG cleavage occurred in the first </w:t>
      </w:r>
      <w:r w:rsidR="000F0DAC">
        <w:t>two</w:t>
      </w:r>
      <w:r w:rsidRPr="004A1666">
        <w:t xml:space="preserve"> hours after imlifidase infusion for both dose levels. Recovery occurred from Day 7. Intact IgG was rapidly converted to </w:t>
      </w:r>
      <w:proofErr w:type="spellStart"/>
      <w:r w:rsidRPr="004A1666">
        <w:t>scIgG</w:t>
      </w:r>
      <w:proofErr w:type="spellEnd"/>
      <w:r w:rsidRPr="004A1666">
        <w:t xml:space="preserve"> and then into F(ab’)2 and Fc fragments within one hour.</w:t>
      </w:r>
    </w:p>
    <w:p w14:paraId="618200DA" w14:textId="3736BF64" w:rsidR="000E2FE9" w:rsidRPr="004A1666" w:rsidRDefault="000E2FE9" w:rsidP="004A1666">
      <w:pPr>
        <w:pStyle w:val="ListBullet"/>
      </w:pPr>
      <w:r w:rsidRPr="004A1666">
        <w:t>Kidney function: All were functional at the end of the study. At Day 180, serum creatinine was above the normal range, but within the expected range for renal transplant patients (&lt;</w:t>
      </w:r>
      <w:r w:rsidR="000F0DAC">
        <w:t> </w:t>
      </w:r>
      <w:r w:rsidRPr="004A1666">
        <w:t>200 µmol/L).</w:t>
      </w:r>
    </w:p>
    <w:p w14:paraId="4ABCDE83" w14:textId="6B980917" w:rsidR="000E2FE9" w:rsidRPr="004A1666" w:rsidRDefault="000F0DAC" w:rsidP="004A1666">
      <w:pPr>
        <w:pStyle w:val="ListBullet"/>
      </w:pPr>
      <w:proofErr w:type="gramStart"/>
      <w:r>
        <w:t xml:space="preserve">Six </w:t>
      </w:r>
      <w:r w:rsidR="000E2FE9" w:rsidRPr="004A1666">
        <w:t>month</w:t>
      </w:r>
      <w:proofErr w:type="gramEnd"/>
      <w:r w:rsidR="000E2FE9" w:rsidRPr="004A1666">
        <w:t xml:space="preserve"> kidney biopsy results: normal for all in the 0.25 mg/kg group and for </w:t>
      </w:r>
      <w:r>
        <w:t>two</w:t>
      </w:r>
      <w:r w:rsidR="000E2FE9" w:rsidRPr="004A1666">
        <w:t xml:space="preserve"> patients in the 0.50 mg/kg group. The remaining </w:t>
      </w:r>
      <w:r>
        <w:t>three</w:t>
      </w:r>
      <w:r w:rsidR="000E2FE9" w:rsidRPr="004A1666">
        <w:t xml:space="preserve"> patients in the high dose group showed </w:t>
      </w:r>
      <w:r w:rsidR="000E2FE9" w:rsidRPr="004A1666">
        <w:lastRenderedPageBreak/>
        <w:t xml:space="preserve">chronic </w:t>
      </w:r>
      <w:r w:rsidRPr="000F0DAC">
        <w:t xml:space="preserve">antibody-mediated rejection </w:t>
      </w:r>
      <w:r>
        <w:t>(</w:t>
      </w:r>
      <w:r w:rsidR="000E2FE9" w:rsidRPr="004A1666">
        <w:t>AMR</w:t>
      </w:r>
      <w:r>
        <w:t>)</w:t>
      </w:r>
      <w:r w:rsidR="000E2FE9" w:rsidRPr="004A1666">
        <w:t xml:space="preserve"> for one patient and chronic donor-originated changes for </w:t>
      </w:r>
      <w:r>
        <w:t>two</w:t>
      </w:r>
      <w:r w:rsidR="000E2FE9" w:rsidRPr="004A1666">
        <w:t xml:space="preserve"> patients. All </w:t>
      </w:r>
      <w:r>
        <w:t>three</w:t>
      </w:r>
      <w:r w:rsidR="000E2FE9" w:rsidRPr="004A1666">
        <w:t xml:space="preserve"> patients with abnormal kidney biopsy findings on Day 180 had rejection reported as an </w:t>
      </w:r>
      <w:r>
        <w:t>adverse event (</w:t>
      </w:r>
      <w:r w:rsidR="000E2FE9" w:rsidRPr="004A1666">
        <w:t>AE</w:t>
      </w:r>
      <w:r>
        <w:t>)</w:t>
      </w:r>
      <w:r w:rsidR="000E2FE9" w:rsidRPr="004A1666">
        <w:t xml:space="preserve"> during the study.</w:t>
      </w:r>
    </w:p>
    <w:p w14:paraId="4AB12001" w14:textId="755D22E4" w:rsidR="000E2FE9" w:rsidRPr="004A1666" w:rsidRDefault="000E2FE9" w:rsidP="004A1666">
      <w:pPr>
        <w:pStyle w:val="Heading5"/>
      </w:pPr>
      <w:bookmarkStart w:id="60" w:name="_Ref133930260"/>
      <w:r w:rsidRPr="004A1666">
        <w:t>Study 02 (13-HMedIdeS-02)</w:t>
      </w:r>
      <w:bookmarkEnd w:id="60"/>
    </w:p>
    <w:p w14:paraId="286E2652" w14:textId="1DD0369A" w:rsidR="000E2FE9" w:rsidRPr="004A1666" w:rsidRDefault="004A1666" w:rsidP="004A1666">
      <w:r>
        <w:t>Study 02 is an o</w:t>
      </w:r>
      <w:r w:rsidR="000E2FE9" w:rsidRPr="004A1666">
        <w:t>pen</w:t>
      </w:r>
      <w:r w:rsidR="000F0DAC">
        <w:t xml:space="preserve"> </w:t>
      </w:r>
      <w:r w:rsidR="000E2FE9" w:rsidRPr="004A1666">
        <w:t>label, single arm (no comparator), non-randomised, ascending dose, dose</w:t>
      </w:r>
      <w:r w:rsidR="009F7A07">
        <w:t> </w:t>
      </w:r>
      <w:r w:rsidR="000E2FE9" w:rsidRPr="004A1666">
        <w:t xml:space="preserve">finding Phase </w:t>
      </w:r>
      <w:r>
        <w:t>II</w:t>
      </w:r>
      <w:r w:rsidR="000E2FE9" w:rsidRPr="004A1666">
        <w:t xml:space="preserve"> study to evaluate safety, tolerability, efficacy and PK of imlifidase in renal transplantation in </w:t>
      </w:r>
      <w:r>
        <w:t>eight</w:t>
      </w:r>
      <w:r w:rsidR="000E2FE9" w:rsidRPr="004A1666">
        <w:t xml:space="preserve"> adult men and women (aged 18</w:t>
      </w:r>
      <w:r>
        <w:t xml:space="preserve"> years</w:t>
      </w:r>
      <w:r w:rsidR="000E2FE9" w:rsidRPr="004A1666">
        <w:t xml:space="preserve"> or above) with ESRD and relevant antibodies. The study was conducted at two sites in Sweden from June 2014 to February 2015.</w:t>
      </w:r>
    </w:p>
    <w:p w14:paraId="24C0DEE6" w14:textId="7388F7E5" w:rsidR="000E2FE9" w:rsidRPr="004A1666" w:rsidRDefault="000E2FE9" w:rsidP="004A1666">
      <w:r w:rsidRPr="004A1666">
        <w:t>Primary objective</w:t>
      </w:r>
      <w:r w:rsidR="00400B13">
        <w:t xml:space="preserve"> is </w:t>
      </w:r>
      <w:r w:rsidRPr="004A1666">
        <w:t xml:space="preserve">to find an </w:t>
      </w:r>
      <w:r w:rsidR="001747E8">
        <w:t>imlifidase</w:t>
      </w:r>
      <w:r w:rsidRPr="004A1666">
        <w:t xml:space="preserve"> dosing scheme which in the majority of the patients resulted in </w:t>
      </w:r>
      <w:r w:rsidR="00400B13">
        <w:t>HLA</w:t>
      </w:r>
      <w:r w:rsidRPr="004A1666">
        <w:t xml:space="preserve"> antibody levels which were acceptable for transplantation.</w:t>
      </w:r>
    </w:p>
    <w:p w14:paraId="1633DF7F" w14:textId="1C463253" w:rsidR="000E2FE9" w:rsidRPr="004A1666" w:rsidRDefault="000E2FE9" w:rsidP="004A1666">
      <w:r w:rsidRPr="004A1666">
        <w:t>Main efficacy objective</w:t>
      </w:r>
      <w:r w:rsidR="00400B13">
        <w:t xml:space="preserve"> is t</w:t>
      </w:r>
      <w:r w:rsidRPr="004A1666">
        <w:t xml:space="preserve">o find an </w:t>
      </w:r>
      <w:r w:rsidR="001747E8">
        <w:t>imlifidase</w:t>
      </w:r>
      <w:r w:rsidRPr="004A1666">
        <w:t xml:space="preserve"> dose which in the majority of the patients resulted in HLA antibody levels acceptable for transplantation, within 24 hours from dosing.</w:t>
      </w:r>
    </w:p>
    <w:p w14:paraId="5F11B89E" w14:textId="304ADCCA" w:rsidR="000E2FE9" w:rsidRPr="004A1666" w:rsidRDefault="000E2FE9" w:rsidP="004A1666">
      <w:r w:rsidRPr="004A1666">
        <w:t>Other objectives</w:t>
      </w:r>
      <w:r w:rsidR="00400B13">
        <w:t xml:space="preserve"> included </w:t>
      </w:r>
      <w:r w:rsidRPr="004A1666">
        <w:t>other efficacy, safety, PK, and PD objectives.</w:t>
      </w:r>
    </w:p>
    <w:p w14:paraId="45E4690E" w14:textId="322C8454" w:rsidR="000E2FE9" w:rsidRPr="004A1666" w:rsidRDefault="000E2FE9" w:rsidP="004A1666">
      <w:r w:rsidRPr="004A1666">
        <w:t>Inclusion criteria included</w:t>
      </w:r>
      <w:r w:rsidR="00400B13">
        <w:t xml:space="preserve"> a</w:t>
      </w:r>
      <w:r w:rsidRPr="004A1666">
        <w:t>ge 18 years or above</w:t>
      </w:r>
      <w:r w:rsidR="00400B13">
        <w:t xml:space="preserve"> patient</w:t>
      </w:r>
      <w:r w:rsidRPr="004A1666">
        <w:t>; CKD and in dialysis with identified antibodies against at least two HLA antigens of which at least one is MFI</w:t>
      </w:r>
      <w:r w:rsidR="009F7A07">
        <w:t xml:space="preserve"> </w:t>
      </w:r>
      <w:r w:rsidRPr="004A1666">
        <w:t>≥</w:t>
      </w:r>
      <w:r w:rsidR="009F7A07">
        <w:t xml:space="preserve"> </w:t>
      </w:r>
      <w:r w:rsidRPr="004A1666">
        <w:t>3000 (SAB assay) on at least two occasions.</w:t>
      </w:r>
    </w:p>
    <w:p w14:paraId="669F07E3" w14:textId="044EB658" w:rsidR="000E2FE9" w:rsidRPr="004A1666" w:rsidRDefault="000E2FE9" w:rsidP="004A1666">
      <w:r w:rsidRPr="004A1666">
        <w:t>Treatments</w:t>
      </w:r>
      <w:r w:rsidR="00400B13">
        <w:t>: F</w:t>
      </w:r>
      <w:r w:rsidRPr="004A1666">
        <w:t xml:space="preserve">our dose groups were planned: 0.12, 0.25, 0.50 and 1.0 mg/kg, given once or twice over 15 min, within a maximum of </w:t>
      </w:r>
      <w:r w:rsidR="00400B13">
        <w:t>two</w:t>
      </w:r>
      <w:r w:rsidRPr="004A1666">
        <w:t xml:space="preserve"> days and a total study time of 64 days. 1.0 mg/kg was not used. </w:t>
      </w:r>
      <w:r w:rsidR="00400B13">
        <w:t>Eight</w:t>
      </w:r>
      <w:r w:rsidRPr="004A1666">
        <w:t xml:space="preserve"> patients were included and given </w:t>
      </w:r>
      <w:r w:rsidR="001747E8">
        <w:t>imlifidase</w:t>
      </w:r>
      <w:r w:rsidRPr="004A1666">
        <w:t xml:space="preserve">: </w:t>
      </w:r>
      <w:r w:rsidR="00400B13">
        <w:t>three</w:t>
      </w:r>
      <w:r w:rsidRPr="004A1666">
        <w:t xml:space="preserve"> patients were given two doses of 0.12</w:t>
      </w:r>
      <w:r w:rsidR="00400B13">
        <w:t> </w:t>
      </w:r>
      <w:r w:rsidRPr="004A1666">
        <w:t xml:space="preserve">mg/kg (0.24 mg/kg in total); </w:t>
      </w:r>
      <w:r w:rsidR="00400B13">
        <w:t>two</w:t>
      </w:r>
      <w:r w:rsidRPr="004A1666">
        <w:t xml:space="preserve"> patients were given 0.25 mg/kg once; </w:t>
      </w:r>
      <w:r w:rsidR="00400B13">
        <w:t>two</w:t>
      </w:r>
      <w:r w:rsidRPr="004A1666">
        <w:t xml:space="preserve"> patients were given two doses of 0.25 mg/kg (0.50 mg/kg in total). One patient was given 0.25 mg/kg, but the infusion was disrupted after about 4 minutes due to infusion reactions.</w:t>
      </w:r>
    </w:p>
    <w:p w14:paraId="7DFE8C71" w14:textId="76B37BFF" w:rsidR="000E2FE9" w:rsidRPr="004A1666" w:rsidRDefault="000E2FE9" w:rsidP="004A1666">
      <w:r w:rsidRPr="004A1666">
        <w:t>Non-investigational treatments</w:t>
      </w:r>
      <w:r w:rsidR="00400B13">
        <w:t xml:space="preserve"> were p</w:t>
      </w:r>
      <w:r w:rsidRPr="004A1666">
        <w:t>remedication: methylprednisolone 250</w:t>
      </w:r>
      <w:r w:rsidR="009F7A07">
        <w:t> </w:t>
      </w:r>
      <w:r w:rsidRPr="004A1666">
        <w:t xml:space="preserve">mg </w:t>
      </w:r>
      <w:r w:rsidR="00400B13">
        <w:t>intravenous</w:t>
      </w:r>
      <w:r w:rsidRPr="004A1666">
        <w:t xml:space="preserve"> and, loratadine 10 mg </w:t>
      </w:r>
      <w:r w:rsidR="00400B13">
        <w:t>orally</w:t>
      </w:r>
      <w:r w:rsidRPr="004A1666">
        <w:t>; Prophylactic antibiotic treatment; Details of immunosuppressants were not provided.</w:t>
      </w:r>
    </w:p>
    <w:p w14:paraId="295ECA5B" w14:textId="7A60E8FB" w:rsidR="000E2FE9" w:rsidRPr="004A1666" w:rsidRDefault="000E2FE9" w:rsidP="004A1666">
      <w:r w:rsidRPr="004A1666">
        <w:t xml:space="preserve">Baseline patient demographics and disease characteristics are shown </w:t>
      </w:r>
      <w:r w:rsidR="00400B13">
        <w:t xml:space="preserve">in </w:t>
      </w:r>
      <w:r w:rsidR="00400B13">
        <w:fldChar w:fldCharType="begin"/>
      </w:r>
      <w:r w:rsidR="00400B13">
        <w:instrText xml:space="preserve"> REF _Ref148703229 \h </w:instrText>
      </w:r>
      <w:r w:rsidR="00400B13">
        <w:fldChar w:fldCharType="separate"/>
      </w:r>
      <w:r w:rsidR="00755A69" w:rsidRPr="007157EB">
        <w:t xml:space="preserve">Table </w:t>
      </w:r>
      <w:r w:rsidR="00755A69">
        <w:rPr>
          <w:noProof/>
        </w:rPr>
        <w:t>10</w:t>
      </w:r>
      <w:r w:rsidR="00400B13">
        <w:fldChar w:fldCharType="end"/>
      </w:r>
      <w:r w:rsidR="00400B13">
        <w:t>.</w:t>
      </w:r>
    </w:p>
    <w:p w14:paraId="3485CFEA" w14:textId="77777777" w:rsidR="000E2FE9" w:rsidRPr="00400B13" w:rsidRDefault="000E2FE9" w:rsidP="00400B13">
      <w:pPr>
        <w:pStyle w:val="Heading6"/>
      </w:pPr>
      <w:r w:rsidRPr="00400B13">
        <w:t>Magnitude of the treatment effect and its clinical significance</w:t>
      </w:r>
    </w:p>
    <w:p w14:paraId="0C860918" w14:textId="064BD112" w:rsidR="000E2FE9" w:rsidRPr="00400B13" w:rsidRDefault="000E2FE9" w:rsidP="00400B13">
      <w:r w:rsidRPr="00400B13">
        <w:t>The two patients treated with 0.50 kg/kg both achieved the efficacy outcome. The C1qScreen data indicated complete response for all the patients.</w:t>
      </w:r>
    </w:p>
    <w:p w14:paraId="0D17A355" w14:textId="203083A8" w:rsidR="000E2FE9" w:rsidRPr="00400B13" w:rsidRDefault="000E2FE9" w:rsidP="00400B13">
      <w:r w:rsidRPr="00400B13">
        <w:t xml:space="preserve">Using </w:t>
      </w:r>
      <w:r w:rsidR="009F7A07">
        <w:t>PRA</w:t>
      </w:r>
      <w:r w:rsidRPr="00400B13">
        <w:t>, in the 0.24 mg/kg group at 24 hours post dose T-cell PRA was 0</w:t>
      </w:r>
      <w:r w:rsidR="00400B13">
        <w:t xml:space="preserve"> to </w:t>
      </w:r>
      <w:r w:rsidRPr="00400B13">
        <w:t>7% and B-cell PRA was 0</w:t>
      </w:r>
      <w:r w:rsidR="00400B13">
        <w:t xml:space="preserve"> to </w:t>
      </w:r>
      <w:r w:rsidRPr="00400B13">
        <w:t>21%. There was greater response in the 0.25 mg/kg and 0.50 mg/kg patients.</w:t>
      </w:r>
    </w:p>
    <w:p w14:paraId="106590AD" w14:textId="0A616EFC" w:rsidR="000E2FE9" w:rsidRPr="002F6168" w:rsidRDefault="000E2FE9" w:rsidP="00400B13">
      <w:r w:rsidRPr="00400B13">
        <w:t xml:space="preserve">The patients initially treated with 0.12 mg/kg were all given a second dose. IgG concentrations decreased further following the second dose in all three patients. After the second dose, concentrations decreased to approximately 10 </w:t>
      </w:r>
      <w:r w:rsidR="00400B13">
        <w:t>µ</w:t>
      </w:r>
      <w:r w:rsidRPr="00400B13">
        <w:t>g/</w:t>
      </w:r>
      <w:proofErr w:type="spellStart"/>
      <w:r w:rsidRPr="00400B13">
        <w:t>mL.</w:t>
      </w:r>
      <w:proofErr w:type="spellEnd"/>
      <w:r w:rsidRPr="00400B13">
        <w:t xml:space="preserve"> Following 25 mg/kg concentrations decreased to approximately 10 </w:t>
      </w:r>
      <w:r w:rsidR="00400B13">
        <w:t>µ</w:t>
      </w:r>
      <w:r w:rsidRPr="00400B13">
        <w:t>g/</w:t>
      </w:r>
      <w:r w:rsidR="009F7A07" w:rsidRPr="00400B13">
        <w:t>mL and</w:t>
      </w:r>
      <w:r w:rsidRPr="00400B13">
        <w:t xml:space="preserve"> decreased further in the two patients who received a second 25 mg/kg dose.</w:t>
      </w:r>
    </w:p>
    <w:p w14:paraId="236BF2A6" w14:textId="3FF216E6" w:rsidR="000E2FE9" w:rsidRPr="00400B13" w:rsidRDefault="000E2FE9" w:rsidP="00400B13">
      <w:pPr>
        <w:pStyle w:val="Heading5"/>
      </w:pPr>
      <w:r w:rsidRPr="00400B13">
        <w:t>Study 13 (17-HMedIdeS-13)</w:t>
      </w:r>
      <w:bookmarkStart w:id="61" w:name="_Toc290888505"/>
      <w:bookmarkStart w:id="62" w:name="_Toc416353721"/>
    </w:p>
    <w:bookmarkEnd w:id="61"/>
    <w:bookmarkEnd w:id="62"/>
    <w:p w14:paraId="1D7557A8" w14:textId="6503DE78" w:rsidR="000E2FE9" w:rsidRPr="00400B13" w:rsidRDefault="000E2FE9" w:rsidP="00400B13">
      <w:r w:rsidRPr="00400B13">
        <w:t>Study 13 was a retrospective follow-on study of the patients in Study 02 and Study 03. The study included those patients who had received a full dose of imlifidase and a kidney transplant. The study was conducted at two sites in Sweden from April 2018 to May 2018.</w:t>
      </w:r>
    </w:p>
    <w:p w14:paraId="39B07B82" w14:textId="17F2338D" w:rsidR="000E2FE9" w:rsidRPr="00400B13" w:rsidRDefault="000E2FE9" w:rsidP="00400B13">
      <w:r w:rsidRPr="00400B13">
        <w:t>Primary objectiv</w:t>
      </w:r>
      <w:r w:rsidR="00400B13">
        <w:t xml:space="preserve">e is </w:t>
      </w:r>
      <w:r w:rsidRPr="00400B13">
        <w:t>to collect additional data from donor and recipients who have been treated with imlifidase prior to kidney transplantation.</w:t>
      </w:r>
    </w:p>
    <w:p w14:paraId="427EFBE6" w14:textId="77777777" w:rsidR="000E2FE9" w:rsidRPr="00400B13" w:rsidRDefault="000E2FE9" w:rsidP="00400B13">
      <w:r w:rsidRPr="00400B13">
        <w:lastRenderedPageBreak/>
        <w:t>Data were collected from medical records, laboratory results, pathology reports and other source documents for the time period from time of imlifidase administration to 2 or 6 months after administration.</w:t>
      </w:r>
    </w:p>
    <w:p w14:paraId="1C927FF2" w14:textId="6CD23118" w:rsidR="000E2FE9" w:rsidRPr="00400B13" w:rsidRDefault="000E2FE9" w:rsidP="00400B13">
      <w:r w:rsidRPr="00400B13">
        <w:t>There were 11 patients (</w:t>
      </w:r>
      <w:r w:rsidR="009F7A07">
        <w:t>six</w:t>
      </w:r>
      <w:r w:rsidRPr="00400B13">
        <w:t xml:space="preserve"> males and </w:t>
      </w:r>
      <w:r w:rsidR="009F7A07">
        <w:t>five</w:t>
      </w:r>
      <w:r w:rsidRPr="00400B13">
        <w:t xml:space="preserve"> females): one from Study 02 (treated with </w:t>
      </w:r>
      <w:r w:rsidR="00EE67BE">
        <w:t xml:space="preserve">2 x </w:t>
      </w:r>
      <w:r w:rsidRPr="00400B13">
        <w:t>0.12</w:t>
      </w:r>
      <w:r w:rsidR="009F7A07">
        <w:t> </w:t>
      </w:r>
      <w:r w:rsidRPr="00400B13">
        <w:t>mg/kg</w:t>
      </w:r>
      <w:r w:rsidR="00FE4F56">
        <w:t>; 0.24</w:t>
      </w:r>
      <w:r w:rsidR="003400D9">
        <w:t> mg/kg</w:t>
      </w:r>
      <w:r w:rsidR="007A05BF">
        <w:t xml:space="preserve"> (</w:t>
      </w:r>
      <w:r w:rsidR="007F654D">
        <w:t>total)</w:t>
      </w:r>
      <w:r w:rsidRPr="00400B13">
        <w:t>); and 10 from Study 03 (</w:t>
      </w:r>
      <w:r w:rsidR="009F7A07">
        <w:t>five</w:t>
      </w:r>
      <w:r w:rsidRPr="00400B13">
        <w:t xml:space="preserve"> treated with 0.25 mg/kg and </w:t>
      </w:r>
      <w:r w:rsidR="009F7A07">
        <w:t>five</w:t>
      </w:r>
      <w:r w:rsidRPr="00400B13">
        <w:t xml:space="preserve"> treated with 0.5</w:t>
      </w:r>
      <w:r w:rsidR="009F7A07">
        <w:t> </w:t>
      </w:r>
      <w:r w:rsidRPr="00400B13">
        <w:t>mg/kg).</w:t>
      </w:r>
    </w:p>
    <w:p w14:paraId="3B433524" w14:textId="78F787BA" w:rsidR="000E2FE9" w:rsidRPr="00400B13" w:rsidRDefault="000E2FE9" w:rsidP="00400B13">
      <w:r w:rsidRPr="00400B13">
        <w:t>Baseline characteristics</w:t>
      </w:r>
      <w:r w:rsidR="00400B13">
        <w:t>:</w:t>
      </w:r>
      <w:r w:rsidRPr="00400B13">
        <w:t xml:space="preserve"> Five patients had previous transplantations. Time on the waiting list ranged from 128 days to 8 years. HLA mismatch counts ranged from 5 to 1</w:t>
      </w:r>
      <w:r w:rsidR="000138B3">
        <w:t>4</w:t>
      </w:r>
      <w:r w:rsidRPr="00400B13">
        <w:t xml:space="preserve"> HLA mismatches per patient. The historical peak PRA values ranged from 17% to 100%. Five of the patients had cPRA values ≥</w:t>
      </w:r>
      <w:r w:rsidR="00400B13">
        <w:t xml:space="preserve"> </w:t>
      </w:r>
      <w:r w:rsidRPr="00400B13">
        <w:t>80% at an MRI cut-off level of 2,000.</w:t>
      </w:r>
    </w:p>
    <w:p w14:paraId="1C5A71D5" w14:textId="051F9EFE" w:rsidR="000E2FE9" w:rsidRPr="00400B13" w:rsidRDefault="000E2FE9" w:rsidP="00400B13">
      <w:r w:rsidRPr="00400B13">
        <w:t>Two of the donor kidneys were live donor</w:t>
      </w:r>
      <w:r w:rsidR="00523CDA">
        <w:t>s</w:t>
      </w:r>
      <w:r w:rsidR="008F6978">
        <w:t>,</w:t>
      </w:r>
      <w:r w:rsidRPr="00400B13">
        <w:t xml:space="preserve"> one related and the other unrelated. Nine of the donor kidneys were </w:t>
      </w:r>
      <w:r w:rsidR="00B81516">
        <w:t xml:space="preserve">from </w:t>
      </w:r>
      <w:r w:rsidRPr="00400B13">
        <w:t>deceased donor</w:t>
      </w:r>
      <w:r w:rsidR="00523CDA">
        <w:t>s</w:t>
      </w:r>
      <w:r w:rsidRPr="00400B13">
        <w:t>. Cold ischaemia time ranged from 6 hours to 21 hours and six were stored using cold machine perfusion.</w:t>
      </w:r>
    </w:p>
    <w:p w14:paraId="54CDC45B" w14:textId="77777777" w:rsidR="000E2FE9" w:rsidRPr="00400B13" w:rsidRDefault="000E2FE9" w:rsidP="00400B13">
      <w:pPr>
        <w:pStyle w:val="Heading6"/>
      </w:pPr>
      <w:r w:rsidRPr="00400B13">
        <w:t>Magnitude of the treatment effect and its clinical significance</w:t>
      </w:r>
    </w:p>
    <w:p w14:paraId="74F2B7F0" w14:textId="09537ECB" w:rsidR="000E2FE9" w:rsidRPr="00400B13" w:rsidRDefault="000E2FE9" w:rsidP="00400B13">
      <w:r w:rsidRPr="00400B13">
        <w:t xml:space="preserve">Delayed graft function was not reported in Study 02 or Study 03, and none of the patients suffered a graft loss during the </w:t>
      </w:r>
      <w:r w:rsidR="00400B13">
        <w:t xml:space="preserve">six </w:t>
      </w:r>
      <w:r w:rsidRPr="00400B13">
        <w:t>month follow</w:t>
      </w:r>
      <w:r w:rsidR="00400B13">
        <w:t xml:space="preserve"> </w:t>
      </w:r>
      <w:r w:rsidRPr="00400B13">
        <w:t>up period. 4</w:t>
      </w:r>
      <w:r w:rsidR="00400B13">
        <w:t xml:space="preserve"> out of </w:t>
      </w:r>
      <w:r w:rsidRPr="00400B13">
        <w:t xml:space="preserve">11 (36%) experienced </w:t>
      </w:r>
      <w:r w:rsidR="009F7A07">
        <w:t>seven</w:t>
      </w:r>
      <w:r w:rsidRPr="00400B13">
        <w:t xml:space="preserve"> suspected rejection episodes (reported as AE/</w:t>
      </w:r>
      <w:r w:rsidR="00400B13">
        <w:t>serious adverse event (</w:t>
      </w:r>
      <w:r w:rsidRPr="00400B13">
        <w:t>SAE</w:t>
      </w:r>
      <w:r w:rsidR="00400B13">
        <w:t>)</w:t>
      </w:r>
      <w:r w:rsidRPr="00400B13">
        <w:t xml:space="preserve">) within </w:t>
      </w:r>
      <w:r w:rsidR="00400B13">
        <w:t>four</w:t>
      </w:r>
      <w:r w:rsidRPr="00400B13">
        <w:t xml:space="preserve"> months of transplantation.</w:t>
      </w:r>
    </w:p>
    <w:p w14:paraId="1E876D12" w14:textId="115FA385" w:rsidR="000E2FE9" w:rsidRPr="00400B13" w:rsidRDefault="000E2FE9" w:rsidP="00400B13">
      <w:r w:rsidRPr="00400B13">
        <w:t xml:space="preserve">Biopsies were taken at </w:t>
      </w:r>
      <w:r w:rsidR="009F7A07">
        <w:t>six</w:t>
      </w:r>
      <w:r w:rsidRPr="00400B13">
        <w:t xml:space="preserve"> of the episodes and 3</w:t>
      </w:r>
      <w:r w:rsidR="00400B13">
        <w:t xml:space="preserve"> out of </w:t>
      </w:r>
      <w:r w:rsidRPr="00400B13">
        <w:t xml:space="preserve">11 (27%) patients had biopsy-confirmed AMR with C4d depositions and presence of DSA, while </w:t>
      </w:r>
      <w:r w:rsidR="00400B13">
        <w:t>two</w:t>
      </w:r>
      <w:r w:rsidRPr="00400B13">
        <w:t xml:space="preserve"> were classified as CMR and 1 as a mixed AMR/CMR</w:t>
      </w:r>
      <w:r w:rsidR="009F7A07">
        <w:t xml:space="preserve"> (</w:t>
      </w:r>
      <w:r w:rsidR="009F7A07">
        <w:fldChar w:fldCharType="begin"/>
      </w:r>
      <w:r w:rsidR="009F7A07">
        <w:instrText xml:space="preserve"> REF _Ref149041857 \h </w:instrText>
      </w:r>
      <w:r w:rsidR="009F7A07">
        <w:fldChar w:fldCharType="separate"/>
      </w:r>
      <w:r w:rsidR="00755A69" w:rsidRPr="00400B13">
        <w:t xml:space="preserve">Table </w:t>
      </w:r>
      <w:r w:rsidR="00755A69">
        <w:rPr>
          <w:noProof/>
        </w:rPr>
        <w:t>11</w:t>
      </w:r>
      <w:r w:rsidR="009F7A07">
        <w:fldChar w:fldCharType="end"/>
      </w:r>
      <w:r w:rsidR="009F7A07">
        <w:t>).</w:t>
      </w:r>
      <w:r w:rsidRPr="00400B13">
        <w:t xml:space="preserve"> All rejection episodes were treated and resolved within the study period.</w:t>
      </w:r>
    </w:p>
    <w:p w14:paraId="5BAC3225" w14:textId="630C39CC" w:rsidR="000E2FE9" w:rsidRDefault="00400B13" w:rsidP="00400B13">
      <w:pPr>
        <w:pStyle w:val="TableTitle"/>
      </w:pPr>
      <w:bookmarkStart w:id="63" w:name="_Ref149041857"/>
      <w:r w:rsidRPr="00400B13">
        <w:t xml:space="preserve">Table </w:t>
      </w:r>
      <w:fldSimple w:instr=" SEQ Table \* ARABIC ">
        <w:r w:rsidR="00755A69">
          <w:rPr>
            <w:noProof/>
          </w:rPr>
          <w:t>11</w:t>
        </w:r>
      </w:fldSimple>
      <w:bookmarkEnd w:id="63"/>
      <w:r>
        <w:t xml:space="preserve">: </w:t>
      </w:r>
      <w:r w:rsidRPr="00400B13">
        <w:t>Study 13</w:t>
      </w:r>
      <w:r>
        <w:t xml:space="preserve"> E</w:t>
      </w:r>
      <w:r w:rsidRPr="00400B13">
        <w:t>valuation of reported rejection episodes.</w:t>
      </w:r>
    </w:p>
    <w:p w14:paraId="4FDCA315" w14:textId="29232F25" w:rsidR="00400B13" w:rsidRDefault="00DD7997" w:rsidP="00400B13">
      <w:pPr>
        <w:rPr>
          <w:noProof/>
        </w:rPr>
      </w:pPr>
      <w:r w:rsidRPr="00DD7997">
        <w:rPr>
          <w:noProof/>
        </w:rPr>
        <w:t xml:space="preserve"> </w:t>
      </w:r>
      <w:r w:rsidRPr="00DD7997">
        <w:rPr>
          <w:noProof/>
        </w:rPr>
        <w:drawing>
          <wp:inline distT="0" distB="0" distL="0" distR="0" wp14:anchorId="6AB8DA6B" wp14:editId="4AF66AAB">
            <wp:extent cx="5038725" cy="3126438"/>
            <wp:effectExtent l="0" t="0" r="0" b="0"/>
            <wp:docPr id="2" name="Picture 2" descr="Table 11: Study 13 Evaluation of reported rejection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1: Study 13 Evaluation of reported rejection episodes"/>
                    <pic:cNvPicPr/>
                  </pic:nvPicPr>
                  <pic:blipFill>
                    <a:blip r:embed="rId35"/>
                    <a:stretch>
                      <a:fillRect/>
                    </a:stretch>
                  </pic:blipFill>
                  <pic:spPr>
                    <a:xfrm>
                      <a:off x="0" y="0"/>
                      <a:ext cx="5041804" cy="3128348"/>
                    </a:xfrm>
                    <a:prstGeom prst="rect">
                      <a:avLst/>
                    </a:prstGeom>
                  </pic:spPr>
                </pic:pic>
              </a:graphicData>
            </a:graphic>
          </wp:inline>
        </w:drawing>
      </w:r>
    </w:p>
    <w:p w14:paraId="2E8F83E7" w14:textId="53681620" w:rsidR="00DD7997" w:rsidRDefault="00DD7997" w:rsidP="003F5A59">
      <w:pPr>
        <w:pStyle w:val="TableDescription"/>
      </w:pPr>
      <w:r w:rsidRPr="003F5A59">
        <w:rPr>
          <w:vertAlign w:val="superscript"/>
        </w:rPr>
        <w:t>a</w:t>
      </w:r>
      <w:r>
        <w:t xml:space="preserve"> Grade of C4d staining</w:t>
      </w:r>
    </w:p>
    <w:p w14:paraId="0C513B43" w14:textId="0248F75C" w:rsidR="00400B13" w:rsidRPr="00400B13" w:rsidRDefault="00400B13" w:rsidP="00400B13">
      <w:pPr>
        <w:pStyle w:val="Heading5"/>
      </w:pPr>
      <w:r w:rsidRPr="00400B13">
        <w:t>Study 14 (17-HMedIdeS-14)</w:t>
      </w:r>
    </w:p>
    <w:p w14:paraId="7B9F61EC" w14:textId="37D698F4" w:rsidR="00400B13" w:rsidRPr="00400B13" w:rsidRDefault="00400B13" w:rsidP="00400B13">
      <w:r w:rsidRPr="00400B13">
        <w:t>Study 14 is an ongoing five-year, observational follow</w:t>
      </w:r>
      <w:r w:rsidR="00DD1896">
        <w:t xml:space="preserve"> </w:t>
      </w:r>
      <w:r w:rsidRPr="00400B13">
        <w:t xml:space="preserve">up study of the patients in feeder </w:t>
      </w:r>
      <w:r w:rsidR="00DD1896">
        <w:t>S</w:t>
      </w:r>
      <w:r w:rsidRPr="00400B13">
        <w:t>tudies</w:t>
      </w:r>
      <w:r w:rsidR="00DD1896">
        <w:t> </w:t>
      </w:r>
      <w:r w:rsidRPr="00400B13">
        <w:t xml:space="preserve">02, 03, 04 and 06. Up to 46 </w:t>
      </w:r>
      <w:r w:rsidR="00E74DDC">
        <w:t>patients</w:t>
      </w:r>
      <w:r w:rsidRPr="00400B13">
        <w:t xml:space="preserve"> could be included. </w:t>
      </w:r>
      <w:r w:rsidR="00DD1896">
        <w:t>Four</w:t>
      </w:r>
      <w:r w:rsidRPr="00400B13">
        <w:t xml:space="preserve"> follow up visits at 1, 2, 3 and 5 years after imlifidase administration were planned.</w:t>
      </w:r>
    </w:p>
    <w:p w14:paraId="2C7C97F1" w14:textId="4783D21E" w:rsidR="00400B13" w:rsidRPr="00400B13" w:rsidRDefault="00400B13" w:rsidP="00400B13">
      <w:r w:rsidRPr="00400B13">
        <w:lastRenderedPageBreak/>
        <w:t>Primary objective</w:t>
      </w:r>
      <w:r w:rsidR="00DD1896">
        <w:t xml:space="preserve"> is</w:t>
      </w:r>
      <w:r w:rsidRPr="00400B13">
        <w:t xml:space="preserve"> to evaluate graft survival in subjects who have undergone kidney transplantation after imlifidase administration.</w:t>
      </w:r>
    </w:p>
    <w:p w14:paraId="42DDC01C" w14:textId="723BBECE" w:rsidR="00400B13" w:rsidRPr="00400B13" w:rsidRDefault="00552A81" w:rsidP="00400B13">
      <w:r w:rsidRPr="002A7B1D">
        <w:t>34</w:t>
      </w:r>
      <w:r w:rsidR="00DD1896" w:rsidRPr="002A7B1D">
        <w:t xml:space="preserve"> out of </w:t>
      </w:r>
      <w:r w:rsidR="00400B13" w:rsidRPr="002A7B1D">
        <w:t>46 patients transplanted in the feeder</w:t>
      </w:r>
      <w:r w:rsidR="00096F7D" w:rsidRPr="002A7B1D">
        <w:t xml:space="preserve"> (Phase 2)</w:t>
      </w:r>
      <w:r w:rsidR="008E0AB5" w:rsidRPr="002A7B1D">
        <w:t xml:space="preserve"> </w:t>
      </w:r>
      <w:r w:rsidR="00400B13" w:rsidRPr="002A7B1D">
        <w:t>studies have been actively enrolled</w:t>
      </w:r>
      <w:r w:rsidR="00A65E4F" w:rsidRPr="002A7B1D">
        <w:t>.</w:t>
      </w:r>
      <w:r w:rsidR="0094715D" w:rsidRPr="002A7B1D">
        <w:t xml:space="preserve"> </w:t>
      </w:r>
      <w:r w:rsidR="00D1436A" w:rsidRPr="002A7B1D">
        <w:t>Three</w:t>
      </w:r>
      <w:r w:rsidR="009D76EF" w:rsidRPr="002A7B1D">
        <w:t xml:space="preserve"> </w:t>
      </w:r>
      <w:r w:rsidR="00554571" w:rsidRPr="002A7B1D">
        <w:t>of the 34 patients</w:t>
      </w:r>
      <w:r w:rsidR="00892C13" w:rsidRPr="002A7B1D">
        <w:t xml:space="preserve"> had exp</w:t>
      </w:r>
      <w:r w:rsidR="00F569E2" w:rsidRPr="002A7B1D">
        <w:t xml:space="preserve">erienced </w:t>
      </w:r>
      <w:r w:rsidR="009D0BB8" w:rsidRPr="002A7B1D">
        <w:t>graft loss</w:t>
      </w:r>
      <w:r w:rsidR="005B5D4F" w:rsidRPr="002A7B1D">
        <w:t xml:space="preserve"> </w:t>
      </w:r>
      <w:r w:rsidR="00847950" w:rsidRPr="002A7B1D">
        <w:t>after end of the feeder stud</w:t>
      </w:r>
      <w:r w:rsidR="008251C2" w:rsidRPr="002A7B1D">
        <w:t>ies</w:t>
      </w:r>
      <w:r w:rsidR="00ED1D49" w:rsidRPr="002A7B1D">
        <w:t xml:space="preserve">, but prior to enrolment in the long-term follow-up study. </w:t>
      </w:r>
      <w:r w:rsidR="0094715D" w:rsidRPr="002A7B1D">
        <w:t>Data from a further three patients</w:t>
      </w:r>
      <w:r w:rsidR="007A0753" w:rsidRPr="002A7B1D">
        <w:t xml:space="preserve"> (who</w:t>
      </w:r>
      <w:r w:rsidR="00841381" w:rsidRPr="002A7B1D">
        <w:t xml:space="preserve"> died after the feeder</w:t>
      </w:r>
      <w:r w:rsidR="00096F7D" w:rsidRPr="002A7B1D">
        <w:t xml:space="preserve"> </w:t>
      </w:r>
      <w:r w:rsidR="00841381" w:rsidRPr="002A7B1D">
        <w:t>studies, but</w:t>
      </w:r>
      <w:r w:rsidR="00433B89" w:rsidRPr="002A7B1D">
        <w:t xml:space="preserve"> prior to enrolment</w:t>
      </w:r>
      <w:r w:rsidR="00332A06" w:rsidRPr="002A7B1D">
        <w:t xml:space="preserve"> for the</w:t>
      </w:r>
      <w:r w:rsidR="00190C6F" w:rsidRPr="002A7B1D">
        <w:t xml:space="preserve"> Study 14</w:t>
      </w:r>
      <w:r w:rsidR="00433B89" w:rsidRPr="002A7B1D">
        <w:t>)</w:t>
      </w:r>
      <w:r w:rsidR="00A57214" w:rsidRPr="002A7B1D">
        <w:t xml:space="preserve"> were</w:t>
      </w:r>
      <w:r w:rsidR="006D666A" w:rsidRPr="002A7B1D">
        <w:t xml:space="preserve"> presented with relevant ethics</w:t>
      </w:r>
      <w:r w:rsidR="006116DD" w:rsidRPr="002A7B1D">
        <w:t xml:space="preserve"> approval.</w:t>
      </w:r>
      <w:r w:rsidR="006D666A" w:rsidRPr="002A7B1D">
        <w:t xml:space="preserve"> </w:t>
      </w:r>
      <w:r w:rsidR="00213DC4" w:rsidRPr="002A7B1D">
        <w:t>F</w:t>
      </w:r>
      <w:r w:rsidR="00CA24DC" w:rsidRPr="002A7B1D">
        <w:t xml:space="preserve">rom </w:t>
      </w:r>
      <w:r w:rsidR="00213DC4" w:rsidRPr="002A7B1D">
        <w:t>study</w:t>
      </w:r>
      <w:r w:rsidR="007D545C" w:rsidRPr="002A7B1D">
        <w:t xml:space="preserve"> </w:t>
      </w:r>
      <w:r w:rsidR="00CA24DC" w:rsidRPr="002A7B1D">
        <w:t>start 37 patients</w:t>
      </w:r>
      <w:r w:rsidR="00B42C12" w:rsidRPr="002A7B1D">
        <w:t xml:space="preserve"> were providing data</w:t>
      </w:r>
      <w:r w:rsidR="00C25020" w:rsidRPr="002A7B1D">
        <w:t xml:space="preserve"> in the full-analysis set (FAS)</w:t>
      </w:r>
      <w:r w:rsidR="007D545C" w:rsidRPr="002A7B1D">
        <w:t>.</w:t>
      </w:r>
      <w:r w:rsidR="00400B13" w:rsidRPr="002A7B1D">
        <w:t xml:space="preserve">  Some patient data are completely or partially missing, introducing multiple sources of bias.</w:t>
      </w:r>
    </w:p>
    <w:p w14:paraId="501FB78E" w14:textId="77777777" w:rsidR="00400B13" w:rsidRPr="00400B13" w:rsidRDefault="00400B13" w:rsidP="00400B13">
      <w:pPr>
        <w:pStyle w:val="Heading6"/>
      </w:pPr>
      <w:r w:rsidRPr="00400B13">
        <w:t>Magnitude of the treatment effect and its clinical significance</w:t>
      </w:r>
    </w:p>
    <w:p w14:paraId="6BD1A411" w14:textId="36449D3D" w:rsidR="00400B13" w:rsidRPr="00400B13" w:rsidRDefault="00400B13" w:rsidP="00400B13">
      <w:r w:rsidRPr="00400B13">
        <w:t xml:space="preserve">This follow-up study is ongoing with final results expected in </w:t>
      </w:r>
      <w:r w:rsidR="00DD1896">
        <w:t>fourth quarter of</w:t>
      </w:r>
      <w:r w:rsidRPr="00400B13">
        <w:t xml:space="preserve"> 2023. Only preliminary results are available.</w:t>
      </w:r>
    </w:p>
    <w:p w14:paraId="64900614" w14:textId="3D86AB94" w:rsidR="00400B13" w:rsidRPr="00400B13" w:rsidRDefault="00400B13" w:rsidP="00400B13">
      <w:r w:rsidRPr="00400B13">
        <w:t xml:space="preserve">Primary endpoint (at 1, 2, 3 and 5 years after first dose of imlifidase): Overall graft survival (defined as time from transplantation to graft loss; graft loss was defined as permanent return to dialysis for at least 6 weeks, re-transplantation, or </w:t>
      </w:r>
      <w:proofErr w:type="spellStart"/>
      <w:r w:rsidRPr="00400B13">
        <w:t>transplantectomy</w:t>
      </w:r>
      <w:proofErr w:type="spellEnd"/>
      <w:r w:rsidRPr="00400B13">
        <w:t>)</w:t>
      </w:r>
      <w:r w:rsidR="001E68FB">
        <w:t>.</w:t>
      </w:r>
    </w:p>
    <w:p w14:paraId="0446084F" w14:textId="3EB693D5" w:rsidR="00400B13" w:rsidRPr="00400B13" w:rsidRDefault="00400B13" w:rsidP="00400B13">
      <w:r w:rsidRPr="00400B13">
        <w:t>Overall graft survival at the 3-year assessment was 85% (based on the population in Study 14</w:t>
      </w:r>
      <w:r w:rsidR="00DD1896">
        <w:t>) (</w:t>
      </w:r>
      <w:r w:rsidR="00DD1896">
        <w:fldChar w:fldCharType="begin"/>
      </w:r>
      <w:r w:rsidR="00DD1896">
        <w:instrText xml:space="preserve"> REF _Ref148705748 \h </w:instrText>
      </w:r>
      <w:r w:rsidR="00DD1896">
        <w:fldChar w:fldCharType="separate"/>
      </w:r>
      <w:r w:rsidR="00755A69" w:rsidRPr="00DD1896">
        <w:t xml:space="preserve">Table </w:t>
      </w:r>
      <w:r w:rsidR="00755A69">
        <w:rPr>
          <w:noProof/>
        </w:rPr>
        <w:t>12</w:t>
      </w:r>
      <w:r w:rsidR="00DD1896">
        <w:fldChar w:fldCharType="end"/>
      </w:r>
      <w:r w:rsidR="00DD1896">
        <w:t>)</w:t>
      </w:r>
      <w:r w:rsidRPr="00400B13">
        <w:t>. 2 out of the 3 graft losses were due to lowering or non-compliance of immunosuppression medication with the third being</w:t>
      </w:r>
      <w:r w:rsidR="00191963">
        <w:t xml:space="preserve"> a decline in graft function over time</w:t>
      </w:r>
      <w:r w:rsidR="008D52E5">
        <w:t>.</w:t>
      </w:r>
    </w:p>
    <w:p w14:paraId="21349DE0" w14:textId="1F49656E" w:rsidR="00400B13" w:rsidRDefault="00DD1896" w:rsidP="00DD1896">
      <w:pPr>
        <w:pStyle w:val="TableTitle"/>
      </w:pPr>
      <w:bookmarkStart w:id="64" w:name="_Ref148705748"/>
      <w:r w:rsidRPr="00DD1896">
        <w:t xml:space="preserve">Table </w:t>
      </w:r>
      <w:fldSimple w:instr=" SEQ Table \* ARABIC ">
        <w:r w:rsidR="00755A69">
          <w:rPr>
            <w:noProof/>
          </w:rPr>
          <w:t>12</w:t>
        </w:r>
      </w:fldSimple>
      <w:bookmarkEnd w:id="64"/>
      <w:r>
        <w:t xml:space="preserve">: </w:t>
      </w:r>
      <w:r w:rsidRPr="00DD1896">
        <w:t>Study 14</w:t>
      </w:r>
      <w:r>
        <w:t xml:space="preserve"> </w:t>
      </w:r>
      <w:r w:rsidRPr="00DD1896">
        <w:t>Primary endpoint: death-censored graft survival by time period</w:t>
      </w:r>
    </w:p>
    <w:p w14:paraId="7CB60A31" w14:textId="0974D756" w:rsidR="00DD1896" w:rsidRDefault="00323B54" w:rsidP="00DD1896">
      <w:r w:rsidRPr="00323B54">
        <w:rPr>
          <w:noProof/>
        </w:rPr>
        <w:drawing>
          <wp:inline distT="0" distB="0" distL="0" distR="0" wp14:anchorId="7CE6C04A" wp14:editId="3D0A3222">
            <wp:extent cx="5759450" cy="1791970"/>
            <wp:effectExtent l="0" t="0" r="0" b="0"/>
            <wp:docPr id="1823683764" name="Picture 1823683764" descr="Table 12: Study 14 Primary endpoint: death-censored graft survival by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83764" name="Picture 1823683764" descr="Table 12: Study 14 Primary endpoint: death-censored graft survival by time period"/>
                    <pic:cNvPicPr/>
                  </pic:nvPicPr>
                  <pic:blipFill>
                    <a:blip r:embed="rId36"/>
                    <a:stretch>
                      <a:fillRect/>
                    </a:stretch>
                  </pic:blipFill>
                  <pic:spPr>
                    <a:xfrm>
                      <a:off x="0" y="0"/>
                      <a:ext cx="5759450" cy="1791970"/>
                    </a:xfrm>
                    <a:prstGeom prst="rect">
                      <a:avLst/>
                    </a:prstGeom>
                  </pic:spPr>
                </pic:pic>
              </a:graphicData>
            </a:graphic>
          </wp:inline>
        </w:drawing>
      </w:r>
    </w:p>
    <w:p w14:paraId="0D09EF4A" w14:textId="77777777" w:rsidR="00DD1896" w:rsidRPr="00DD1896" w:rsidRDefault="00DD1896" w:rsidP="00DD1896">
      <w:r w:rsidRPr="00DD1896">
        <w:t>Selected secondary endpoints (at 1, 2, 3 and 5 years after the first dose of imlifidase) included:</w:t>
      </w:r>
    </w:p>
    <w:p w14:paraId="512D950A" w14:textId="3ED6F081" w:rsidR="00DD1896" w:rsidRPr="00DD1896" w:rsidRDefault="00DD1896" w:rsidP="00DD1896">
      <w:pPr>
        <w:pStyle w:val="ListBullet"/>
      </w:pPr>
      <w:r w:rsidRPr="00DD1896">
        <w:t>Kidney function: shown i</w:t>
      </w:r>
      <w:r>
        <w:t xml:space="preserve">n </w:t>
      </w:r>
      <w:r>
        <w:fldChar w:fldCharType="begin"/>
      </w:r>
      <w:r>
        <w:instrText xml:space="preserve"> REF _Ref148705872 \h </w:instrText>
      </w:r>
      <w:r>
        <w:fldChar w:fldCharType="separate"/>
      </w:r>
      <w:r w:rsidR="00755A69" w:rsidRPr="00DD1896">
        <w:t xml:space="preserve">Table </w:t>
      </w:r>
      <w:r w:rsidR="00755A69">
        <w:rPr>
          <w:noProof/>
        </w:rPr>
        <w:t>13</w:t>
      </w:r>
      <w:r>
        <w:fldChar w:fldCharType="end"/>
      </w:r>
      <w:r>
        <w:t>.</w:t>
      </w:r>
    </w:p>
    <w:p w14:paraId="39E4D98C" w14:textId="64281817" w:rsidR="00DD1896" w:rsidRDefault="00DD1896" w:rsidP="00BB2F9C">
      <w:pPr>
        <w:pStyle w:val="ListBullet"/>
      </w:pPr>
      <w:r w:rsidRPr="00DD1896">
        <w:t>Donor specific antibody rebound (defined as any re-occurrence of a DSA with an MFI value ≥</w:t>
      </w:r>
      <w:r w:rsidR="009F7A07">
        <w:t> </w:t>
      </w:r>
      <w:r w:rsidRPr="00DD1896">
        <w:t xml:space="preserve">2000 at any time): shown </w:t>
      </w:r>
      <w:r>
        <w:t xml:space="preserve">in </w:t>
      </w:r>
      <w:r>
        <w:fldChar w:fldCharType="begin"/>
      </w:r>
      <w:r>
        <w:instrText xml:space="preserve"> REF _Ref148705881 \h </w:instrText>
      </w:r>
      <w:r>
        <w:fldChar w:fldCharType="separate"/>
      </w:r>
      <w:r w:rsidR="00755A69" w:rsidRPr="00DD1896">
        <w:t xml:space="preserve">Table </w:t>
      </w:r>
      <w:r w:rsidR="00755A69">
        <w:rPr>
          <w:noProof/>
        </w:rPr>
        <w:t>14</w:t>
      </w:r>
      <w:r>
        <w:fldChar w:fldCharType="end"/>
      </w:r>
      <w:r>
        <w:t>.</w:t>
      </w:r>
    </w:p>
    <w:p w14:paraId="1BB82539" w14:textId="2B7CC353" w:rsidR="00DD1896" w:rsidRDefault="00DD1896" w:rsidP="00DD1896">
      <w:pPr>
        <w:pStyle w:val="TableTitle"/>
      </w:pPr>
      <w:bookmarkStart w:id="65" w:name="_Ref148705872"/>
      <w:r w:rsidRPr="00DD1896">
        <w:lastRenderedPageBreak/>
        <w:t xml:space="preserve">Table </w:t>
      </w:r>
      <w:fldSimple w:instr=" SEQ Table \* ARABIC ">
        <w:r w:rsidR="00755A69">
          <w:rPr>
            <w:noProof/>
          </w:rPr>
          <w:t>13</w:t>
        </w:r>
      </w:fldSimple>
      <w:bookmarkEnd w:id="65"/>
      <w:r w:rsidRPr="00DD1896">
        <w:t>:</w:t>
      </w:r>
      <w:r>
        <w:t xml:space="preserve"> </w:t>
      </w:r>
      <w:r w:rsidRPr="003E40A2">
        <w:t xml:space="preserve">Study 14. </w:t>
      </w:r>
      <w:r w:rsidRPr="00D97C2A">
        <w:t>Kidney function by means of eGFR by year</w:t>
      </w:r>
    </w:p>
    <w:p w14:paraId="1A1D56A0" w14:textId="6275A162" w:rsidR="00DD1896" w:rsidRPr="00DD1896" w:rsidRDefault="00FF5644" w:rsidP="00DD1896">
      <w:r w:rsidRPr="00FF5644">
        <w:rPr>
          <w:noProof/>
        </w:rPr>
        <w:drawing>
          <wp:inline distT="0" distB="0" distL="0" distR="0" wp14:anchorId="317299C4" wp14:editId="22439762">
            <wp:extent cx="5759450" cy="2262505"/>
            <wp:effectExtent l="0" t="0" r="0" b="4445"/>
            <wp:docPr id="1025578825" name="Picture 1025578825" descr="Table 13: Study 14. Kidney function by means of eGFR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78825" name="Picture 1025578825" descr="Table 13: Study 14. Kidney function by means of eGFR by year"/>
                    <pic:cNvPicPr/>
                  </pic:nvPicPr>
                  <pic:blipFill>
                    <a:blip r:embed="rId37"/>
                    <a:stretch>
                      <a:fillRect/>
                    </a:stretch>
                  </pic:blipFill>
                  <pic:spPr>
                    <a:xfrm>
                      <a:off x="0" y="0"/>
                      <a:ext cx="5759450" cy="2262505"/>
                    </a:xfrm>
                    <a:prstGeom prst="rect">
                      <a:avLst/>
                    </a:prstGeom>
                  </pic:spPr>
                </pic:pic>
              </a:graphicData>
            </a:graphic>
          </wp:inline>
        </w:drawing>
      </w:r>
    </w:p>
    <w:p w14:paraId="3F519E1E" w14:textId="47C29DA6" w:rsidR="00DD1896" w:rsidRDefault="00DD1896" w:rsidP="00DD1896">
      <w:pPr>
        <w:pStyle w:val="TableTitle"/>
      </w:pPr>
      <w:bookmarkStart w:id="66" w:name="_Ref148705881"/>
      <w:r w:rsidRPr="00DD1896">
        <w:t xml:space="preserve">Table </w:t>
      </w:r>
      <w:fldSimple w:instr=" SEQ Table \* ARABIC ">
        <w:r w:rsidR="00755A69">
          <w:rPr>
            <w:noProof/>
          </w:rPr>
          <w:t>14</w:t>
        </w:r>
      </w:fldSimple>
      <w:bookmarkEnd w:id="66"/>
      <w:r w:rsidRPr="00DD1896">
        <w:t>:</w:t>
      </w:r>
      <w:r>
        <w:t xml:space="preserve"> </w:t>
      </w:r>
      <w:r w:rsidRPr="003E40A2">
        <w:t xml:space="preserve">Study 14. </w:t>
      </w:r>
      <w:r w:rsidRPr="00D97C2A">
        <w:t>Occurrence of any DSA with MFI ≥</w:t>
      </w:r>
      <w:r>
        <w:t xml:space="preserve"> </w:t>
      </w:r>
      <w:r w:rsidRPr="00D97C2A">
        <w:t>2000 by year</w:t>
      </w:r>
    </w:p>
    <w:p w14:paraId="0A8284E6" w14:textId="55BD0DB5" w:rsidR="00DD1896" w:rsidRDefault="003A6B5C" w:rsidP="00DD1896">
      <w:r w:rsidRPr="003A6B5C">
        <w:rPr>
          <w:noProof/>
        </w:rPr>
        <w:drawing>
          <wp:inline distT="0" distB="0" distL="0" distR="0" wp14:anchorId="39DC1D67" wp14:editId="1588FB35">
            <wp:extent cx="5759450" cy="1513205"/>
            <wp:effectExtent l="0" t="0" r="0" b="0"/>
            <wp:docPr id="358392765" name="Picture 358392765" descr="Table 14: Study 14. Occurrence of any DSA with MFI ≥ 2000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92765" name="Picture 358392765" descr="Table 14: Study 14. Occurrence of any DSA with MFI ≥ 2000 by year"/>
                    <pic:cNvPicPr/>
                  </pic:nvPicPr>
                  <pic:blipFill>
                    <a:blip r:embed="rId38"/>
                    <a:stretch>
                      <a:fillRect/>
                    </a:stretch>
                  </pic:blipFill>
                  <pic:spPr>
                    <a:xfrm>
                      <a:off x="0" y="0"/>
                      <a:ext cx="5759450" cy="1513205"/>
                    </a:xfrm>
                    <a:prstGeom prst="rect">
                      <a:avLst/>
                    </a:prstGeom>
                  </pic:spPr>
                </pic:pic>
              </a:graphicData>
            </a:graphic>
          </wp:inline>
        </w:drawing>
      </w:r>
    </w:p>
    <w:p w14:paraId="4F29E7BA" w14:textId="77777777" w:rsidR="00DD1896" w:rsidRPr="00DD1896" w:rsidRDefault="00DD1896" w:rsidP="00DD1896">
      <w:pPr>
        <w:pStyle w:val="Heading5"/>
      </w:pPr>
      <w:bookmarkStart w:id="67" w:name="_Ref133942810"/>
      <w:r w:rsidRPr="00DD1896">
        <w:t>Planned or ongoing studies without available results</w:t>
      </w:r>
      <w:bookmarkEnd w:id="67"/>
    </w:p>
    <w:p w14:paraId="15ABA10A" w14:textId="50C3C22D" w:rsidR="00DD1896" w:rsidRPr="00DD1896" w:rsidRDefault="00DD1896" w:rsidP="00DD1896">
      <w:r w:rsidRPr="00DD1896">
        <w:t xml:space="preserve">The following studies are planned or ongoing without available results </w:t>
      </w:r>
      <w:r w:rsidR="009A5696">
        <w:t>(</w:t>
      </w:r>
      <w:r w:rsidR="009A5696">
        <w:fldChar w:fldCharType="begin"/>
      </w:r>
      <w:r w:rsidR="009A5696">
        <w:instrText xml:space="preserve"> REF _Ref148707302 \h </w:instrText>
      </w:r>
      <w:r w:rsidR="009A5696">
        <w:fldChar w:fldCharType="separate"/>
      </w:r>
      <w:r w:rsidR="00755A69" w:rsidRPr="00DD1896">
        <w:t xml:space="preserve">Table </w:t>
      </w:r>
      <w:r w:rsidR="00755A69">
        <w:rPr>
          <w:noProof/>
        </w:rPr>
        <w:t>15</w:t>
      </w:r>
      <w:r w:rsidR="009A5696">
        <w:fldChar w:fldCharType="end"/>
      </w:r>
      <w:r w:rsidR="009A5696">
        <w:t xml:space="preserve">) </w:t>
      </w:r>
      <w:r w:rsidRPr="00DD1896">
        <w:t>protocols are available for Studies 17 and 19.</w:t>
      </w:r>
    </w:p>
    <w:p w14:paraId="744DC7A2" w14:textId="52356987" w:rsidR="00DD1896" w:rsidRDefault="00DD1896" w:rsidP="009A5696">
      <w:pPr>
        <w:pStyle w:val="ListBullet"/>
      </w:pPr>
      <w:r w:rsidRPr="00DD1896">
        <w:t>Study 17 (20-HMedIdeS-17)</w:t>
      </w:r>
      <w:r w:rsidR="009A5696">
        <w:t xml:space="preserve"> (</w:t>
      </w:r>
      <w:r w:rsidR="009A5696">
        <w:fldChar w:fldCharType="begin"/>
      </w:r>
      <w:r w:rsidR="009A5696">
        <w:instrText xml:space="preserve"> REF _Ref148707229 \h  \* MERGEFORMAT </w:instrText>
      </w:r>
      <w:r w:rsidR="009A5696">
        <w:fldChar w:fldCharType="separate"/>
      </w:r>
      <w:r w:rsidR="00755A69" w:rsidRPr="009A5696">
        <w:t xml:space="preserve">Figure </w:t>
      </w:r>
      <w:r w:rsidR="00755A69">
        <w:rPr>
          <w:noProof/>
        </w:rPr>
        <w:t>3</w:t>
      </w:r>
      <w:r w:rsidR="009A5696">
        <w:fldChar w:fldCharType="end"/>
      </w:r>
      <w:r w:rsidR="009A5696">
        <w:t xml:space="preserve"> and </w:t>
      </w:r>
      <w:r w:rsidR="009A5696">
        <w:fldChar w:fldCharType="begin"/>
      </w:r>
      <w:r w:rsidR="009A5696">
        <w:instrText xml:space="preserve"> REF _Ref148707236 \h  \* MERGEFORMAT </w:instrText>
      </w:r>
      <w:r w:rsidR="009A5696">
        <w:fldChar w:fldCharType="separate"/>
      </w:r>
      <w:r w:rsidR="00755A69" w:rsidRPr="009A5696">
        <w:t xml:space="preserve">Figure </w:t>
      </w:r>
      <w:r w:rsidR="00755A69">
        <w:rPr>
          <w:noProof/>
        </w:rPr>
        <w:t>4</w:t>
      </w:r>
      <w:r w:rsidR="009A5696">
        <w:fldChar w:fldCharType="end"/>
      </w:r>
      <w:r w:rsidR="009A5696">
        <w:t>)</w:t>
      </w:r>
      <w:r w:rsidRPr="00DD1896">
        <w:t xml:space="preserve">: an open-label, controlled (to standard of care), randomised (1:1), multi-centre Phase </w:t>
      </w:r>
      <w:r w:rsidR="009A5696">
        <w:t>III</w:t>
      </w:r>
      <w:r w:rsidRPr="00DD1896">
        <w:t xml:space="preserve"> trial with 64 adult patients (aged 18</w:t>
      </w:r>
      <w:r w:rsidR="009A5696">
        <w:t xml:space="preserve"> to </w:t>
      </w:r>
      <w:r w:rsidRPr="00DD1896">
        <w:t>70</w:t>
      </w:r>
      <w:r w:rsidR="009A5696">
        <w:t xml:space="preserve"> years</w:t>
      </w:r>
      <w:r w:rsidRPr="00DD1896">
        <w:t xml:space="preserve">) with CKD </w:t>
      </w:r>
      <w:r w:rsidR="009A5696">
        <w:t>S</w:t>
      </w:r>
      <w:r w:rsidRPr="00DD1896">
        <w:t>tage 5, highly sensitised (cPRA ≥</w:t>
      </w:r>
      <w:r w:rsidR="009A5696">
        <w:t xml:space="preserve"> </w:t>
      </w:r>
      <w:r w:rsidRPr="00DD1896">
        <w:t>99.9%) and with a positive crossmatch against an available deceased donor kidney. The trial period from screening is 12</w:t>
      </w:r>
      <w:r w:rsidR="009A5696">
        <w:t xml:space="preserve"> to </w:t>
      </w:r>
      <w:r w:rsidRPr="00DD1896">
        <w:t xml:space="preserve">15 months for all patients (results expected </w:t>
      </w:r>
      <w:r w:rsidR="009A5696">
        <w:t>second quarter of</w:t>
      </w:r>
      <w:r w:rsidRPr="00DD1896">
        <w:t xml:space="preserve"> 2025).</w:t>
      </w:r>
    </w:p>
    <w:p w14:paraId="32BF5318" w14:textId="4AEDF6AA" w:rsidR="009A5696" w:rsidRDefault="009A5696" w:rsidP="009A5696">
      <w:pPr>
        <w:pStyle w:val="ListBullet2"/>
      </w:pPr>
      <w:r w:rsidRPr="00DD1896">
        <w:t>Primary endpoint: Mean eGFR at 12 months.</w:t>
      </w:r>
    </w:p>
    <w:p w14:paraId="574D519E" w14:textId="4F010338" w:rsidR="008D49D0" w:rsidRDefault="009A5696" w:rsidP="00FE0CA0">
      <w:pPr>
        <w:pStyle w:val="TableTitle"/>
      </w:pPr>
      <w:bookmarkStart w:id="68" w:name="_Ref148707302"/>
      <w:bookmarkStart w:id="69" w:name="_Ref148707300"/>
      <w:r w:rsidRPr="00DD1896">
        <w:lastRenderedPageBreak/>
        <w:t xml:space="preserve">Table </w:t>
      </w:r>
      <w:fldSimple w:instr=" SEQ Table \* ARABIC ">
        <w:r w:rsidR="00755A69">
          <w:rPr>
            <w:noProof/>
          </w:rPr>
          <w:t>15</w:t>
        </w:r>
      </w:fldSimple>
      <w:bookmarkEnd w:id="68"/>
      <w:r>
        <w:t xml:space="preserve">: </w:t>
      </w:r>
      <w:r w:rsidRPr="00DD1896">
        <w:t>Ongoing studies of I</w:t>
      </w:r>
      <w:r>
        <w:t>defirix</w:t>
      </w:r>
      <w:bookmarkEnd w:id="69"/>
    </w:p>
    <w:tbl>
      <w:tblPr>
        <w:tblStyle w:val="TableTGAblue2023"/>
        <w:tblW w:w="0" w:type="auto"/>
        <w:tblLook w:val="04A0" w:firstRow="1" w:lastRow="0" w:firstColumn="1" w:lastColumn="0" w:noHBand="0" w:noVBand="1"/>
      </w:tblPr>
      <w:tblGrid>
        <w:gridCol w:w="1331"/>
        <w:gridCol w:w="1656"/>
        <w:gridCol w:w="1727"/>
        <w:gridCol w:w="1387"/>
        <w:gridCol w:w="1529"/>
        <w:gridCol w:w="1430"/>
      </w:tblGrid>
      <w:tr w:rsidR="008D49D0" w:rsidRPr="0071545A" w14:paraId="157C7DA3" w14:textId="77777777" w:rsidTr="00715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tcPr>
          <w:p w14:paraId="5BA8CC66" w14:textId="77777777" w:rsidR="008D49D0" w:rsidRPr="0071545A" w:rsidRDefault="008D49D0" w:rsidP="0071545A">
            <w:pPr>
              <w:rPr>
                <w:b w:val="0"/>
                <w:sz w:val="20"/>
                <w:szCs w:val="20"/>
              </w:rPr>
            </w:pPr>
            <w:r w:rsidRPr="0071545A">
              <w:rPr>
                <w:sz w:val="20"/>
                <w:szCs w:val="20"/>
              </w:rPr>
              <w:t>Study and status</w:t>
            </w:r>
          </w:p>
        </w:tc>
        <w:tc>
          <w:tcPr>
            <w:tcW w:w="1656" w:type="dxa"/>
          </w:tcPr>
          <w:p w14:paraId="75B640C4" w14:textId="77777777" w:rsidR="008D49D0" w:rsidRPr="0071545A" w:rsidRDefault="008D49D0" w:rsidP="0071545A">
            <w:pPr>
              <w:cnfStyle w:val="100000000000" w:firstRow="1" w:lastRow="0" w:firstColumn="0" w:lastColumn="0" w:oddVBand="0" w:evenVBand="0" w:oddHBand="0" w:evenHBand="0" w:firstRowFirstColumn="0" w:firstRowLastColumn="0" w:lastRowFirstColumn="0" w:lastRowLastColumn="0"/>
              <w:rPr>
                <w:b w:val="0"/>
                <w:sz w:val="20"/>
                <w:szCs w:val="20"/>
              </w:rPr>
            </w:pPr>
            <w:r w:rsidRPr="0071545A">
              <w:rPr>
                <w:sz w:val="20"/>
                <w:szCs w:val="20"/>
              </w:rPr>
              <w:t>Summary of Objectives</w:t>
            </w:r>
          </w:p>
        </w:tc>
        <w:tc>
          <w:tcPr>
            <w:tcW w:w="1727" w:type="dxa"/>
          </w:tcPr>
          <w:p w14:paraId="6BDF85A1" w14:textId="77777777" w:rsidR="008D49D0" w:rsidRPr="0071545A" w:rsidRDefault="008D49D0" w:rsidP="0071545A">
            <w:pPr>
              <w:cnfStyle w:val="100000000000" w:firstRow="1" w:lastRow="0" w:firstColumn="0" w:lastColumn="0" w:oddVBand="0" w:evenVBand="0" w:oddHBand="0" w:evenHBand="0" w:firstRowFirstColumn="0" w:firstRowLastColumn="0" w:lastRowFirstColumn="0" w:lastRowLastColumn="0"/>
              <w:rPr>
                <w:b w:val="0"/>
                <w:sz w:val="20"/>
                <w:szCs w:val="20"/>
              </w:rPr>
            </w:pPr>
            <w:r w:rsidRPr="0071545A">
              <w:rPr>
                <w:sz w:val="20"/>
                <w:szCs w:val="20"/>
              </w:rPr>
              <w:t>Confirmatory nature</w:t>
            </w:r>
          </w:p>
        </w:tc>
        <w:tc>
          <w:tcPr>
            <w:tcW w:w="1387" w:type="dxa"/>
          </w:tcPr>
          <w:p w14:paraId="79165703" w14:textId="77777777" w:rsidR="008D49D0" w:rsidRPr="0071545A" w:rsidRDefault="008D49D0" w:rsidP="0071545A">
            <w:pPr>
              <w:cnfStyle w:val="100000000000" w:firstRow="1" w:lastRow="0" w:firstColumn="0" w:lastColumn="0" w:oddVBand="0" w:evenVBand="0" w:oddHBand="0" w:evenHBand="0" w:firstRowFirstColumn="0" w:firstRowLastColumn="0" w:lastRowFirstColumn="0" w:lastRowLastColumn="0"/>
              <w:rPr>
                <w:b w:val="0"/>
                <w:sz w:val="20"/>
                <w:szCs w:val="20"/>
              </w:rPr>
            </w:pPr>
            <w:r w:rsidRPr="0071545A">
              <w:rPr>
                <w:sz w:val="20"/>
                <w:szCs w:val="20"/>
              </w:rPr>
              <w:t>Key milestones</w:t>
            </w:r>
          </w:p>
        </w:tc>
        <w:tc>
          <w:tcPr>
            <w:tcW w:w="1529" w:type="dxa"/>
          </w:tcPr>
          <w:p w14:paraId="69151316" w14:textId="77777777" w:rsidR="008D49D0" w:rsidRPr="0071545A" w:rsidRDefault="008D49D0" w:rsidP="0071545A">
            <w:pPr>
              <w:cnfStyle w:val="100000000000" w:firstRow="1" w:lastRow="0" w:firstColumn="0" w:lastColumn="0" w:oddVBand="0" w:evenVBand="0" w:oddHBand="0" w:evenHBand="0" w:firstRowFirstColumn="0" w:firstRowLastColumn="0" w:lastRowFirstColumn="0" w:lastRowLastColumn="0"/>
              <w:rPr>
                <w:b w:val="0"/>
                <w:sz w:val="20"/>
                <w:szCs w:val="20"/>
              </w:rPr>
            </w:pPr>
            <w:r w:rsidRPr="0071545A">
              <w:rPr>
                <w:sz w:val="20"/>
                <w:szCs w:val="20"/>
              </w:rPr>
              <w:t>Recruitment status</w:t>
            </w:r>
          </w:p>
        </w:tc>
        <w:tc>
          <w:tcPr>
            <w:tcW w:w="1430" w:type="dxa"/>
          </w:tcPr>
          <w:p w14:paraId="688A1CB7" w14:textId="77777777" w:rsidR="008D49D0" w:rsidRPr="0071545A" w:rsidRDefault="008D49D0" w:rsidP="0071545A">
            <w:pPr>
              <w:cnfStyle w:val="100000000000" w:firstRow="1" w:lastRow="0" w:firstColumn="0" w:lastColumn="0" w:oddVBand="0" w:evenVBand="0" w:oddHBand="0" w:evenHBand="0" w:firstRowFirstColumn="0" w:firstRowLastColumn="0" w:lastRowFirstColumn="0" w:lastRowLastColumn="0"/>
              <w:rPr>
                <w:b w:val="0"/>
                <w:sz w:val="20"/>
                <w:szCs w:val="20"/>
              </w:rPr>
            </w:pPr>
            <w:r w:rsidRPr="0071545A">
              <w:rPr>
                <w:sz w:val="20"/>
                <w:szCs w:val="20"/>
              </w:rPr>
              <w:t>Proposed submission date-clinical study report</w:t>
            </w:r>
          </w:p>
        </w:tc>
      </w:tr>
      <w:tr w:rsidR="008D49D0" w:rsidRPr="0071545A" w14:paraId="00B28F8B" w14:textId="77777777" w:rsidTr="0071545A">
        <w:tc>
          <w:tcPr>
            <w:cnfStyle w:val="001000000000" w:firstRow="0" w:lastRow="0" w:firstColumn="1" w:lastColumn="0" w:oddVBand="0" w:evenVBand="0" w:oddHBand="0" w:evenHBand="0" w:firstRowFirstColumn="0" w:firstRowLastColumn="0" w:lastRowFirstColumn="0" w:lastRowLastColumn="0"/>
            <w:tcW w:w="1331" w:type="dxa"/>
          </w:tcPr>
          <w:p w14:paraId="63EC91EE" w14:textId="77777777" w:rsidR="008D49D0" w:rsidRPr="0071545A" w:rsidRDefault="008D49D0" w:rsidP="0071545A">
            <w:pPr>
              <w:rPr>
                <w:sz w:val="20"/>
                <w:szCs w:val="20"/>
              </w:rPr>
            </w:pPr>
            <w:r w:rsidRPr="0071545A">
              <w:rPr>
                <w:sz w:val="20"/>
                <w:szCs w:val="20"/>
              </w:rPr>
              <w:t xml:space="preserve">Clinical Trial </w:t>
            </w:r>
          </w:p>
          <w:p w14:paraId="05A74EC0" w14:textId="77777777" w:rsidR="008D49D0" w:rsidRPr="0071545A" w:rsidRDefault="008D49D0" w:rsidP="0071545A">
            <w:pPr>
              <w:rPr>
                <w:sz w:val="20"/>
                <w:szCs w:val="20"/>
              </w:rPr>
            </w:pPr>
            <w:r w:rsidRPr="0071545A">
              <w:rPr>
                <w:sz w:val="20"/>
                <w:szCs w:val="20"/>
              </w:rPr>
              <w:t xml:space="preserve">Study ID </w:t>
            </w:r>
          </w:p>
          <w:p w14:paraId="7238AF4D" w14:textId="2FA87C6B" w:rsidR="008D49D0" w:rsidRPr="0071545A" w:rsidRDefault="008D49D0" w:rsidP="0071545A">
            <w:pPr>
              <w:rPr>
                <w:sz w:val="20"/>
                <w:szCs w:val="20"/>
              </w:rPr>
            </w:pPr>
            <w:r w:rsidRPr="0071545A">
              <w:rPr>
                <w:color w:val="0000FF"/>
                <w:sz w:val="20"/>
                <w:szCs w:val="20"/>
              </w:rPr>
              <w:t>17-HMedIdeS-14</w:t>
            </w:r>
          </w:p>
          <w:p w14:paraId="30D51F71" w14:textId="77777777" w:rsidR="0071545A" w:rsidRPr="0071545A" w:rsidRDefault="0071545A" w:rsidP="0071545A">
            <w:pPr>
              <w:rPr>
                <w:sz w:val="20"/>
                <w:szCs w:val="20"/>
              </w:rPr>
            </w:pPr>
          </w:p>
          <w:p w14:paraId="03AA05E0" w14:textId="5024DA3C" w:rsidR="008D49D0" w:rsidRPr="0071545A" w:rsidRDefault="008D49D0" w:rsidP="0071545A">
            <w:pPr>
              <w:rPr>
                <w:sz w:val="20"/>
                <w:szCs w:val="20"/>
              </w:rPr>
            </w:pPr>
            <w:r w:rsidRPr="0071545A">
              <w:rPr>
                <w:sz w:val="20"/>
                <w:szCs w:val="20"/>
              </w:rPr>
              <w:t>Status: Fully</w:t>
            </w:r>
          </w:p>
          <w:p w14:paraId="2CB0213E" w14:textId="77777777" w:rsidR="008D49D0" w:rsidRPr="0071545A" w:rsidRDefault="008D49D0" w:rsidP="0071545A">
            <w:pPr>
              <w:rPr>
                <w:sz w:val="20"/>
                <w:szCs w:val="20"/>
              </w:rPr>
            </w:pPr>
            <w:r w:rsidRPr="0071545A">
              <w:rPr>
                <w:sz w:val="20"/>
                <w:szCs w:val="20"/>
              </w:rPr>
              <w:t>enrolled and</w:t>
            </w:r>
          </w:p>
          <w:p w14:paraId="7BF80A35" w14:textId="77777777" w:rsidR="008D49D0" w:rsidRPr="0071545A" w:rsidRDefault="008D49D0" w:rsidP="0071545A">
            <w:pPr>
              <w:rPr>
                <w:sz w:val="20"/>
                <w:szCs w:val="20"/>
              </w:rPr>
            </w:pPr>
            <w:r w:rsidRPr="0071545A">
              <w:rPr>
                <w:sz w:val="20"/>
                <w:szCs w:val="20"/>
              </w:rPr>
              <w:t>ongoing</w:t>
            </w:r>
          </w:p>
        </w:tc>
        <w:tc>
          <w:tcPr>
            <w:tcW w:w="1656" w:type="dxa"/>
          </w:tcPr>
          <w:p w14:paraId="75AC866A"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To confirm the long-term efficacy of </w:t>
            </w:r>
            <w:proofErr w:type="spellStart"/>
            <w:r w:rsidRPr="0071545A">
              <w:rPr>
                <w:sz w:val="20"/>
                <w:szCs w:val="20"/>
              </w:rPr>
              <w:t>imlifidase</w:t>
            </w:r>
            <w:proofErr w:type="spellEnd"/>
            <w:r w:rsidRPr="0071545A">
              <w:rPr>
                <w:sz w:val="20"/>
                <w:szCs w:val="20"/>
              </w:rPr>
              <w:t xml:space="preserve"> in highly </w:t>
            </w:r>
            <w:proofErr w:type="spellStart"/>
            <w:r w:rsidRPr="0071545A">
              <w:rPr>
                <w:sz w:val="20"/>
                <w:szCs w:val="20"/>
              </w:rPr>
              <w:t>sensitised</w:t>
            </w:r>
            <w:proofErr w:type="spellEnd"/>
            <w:r w:rsidRPr="0071545A">
              <w:rPr>
                <w:sz w:val="20"/>
                <w:szCs w:val="20"/>
              </w:rPr>
              <w:t xml:space="preserve"> adult kidney transplant patients with positive crossmatch against an available deceased donor.</w:t>
            </w:r>
          </w:p>
        </w:tc>
        <w:tc>
          <w:tcPr>
            <w:tcW w:w="1727" w:type="dxa"/>
          </w:tcPr>
          <w:p w14:paraId="76AD97C0"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To provide descriptive evidence of long-term safety and efficacy. </w:t>
            </w:r>
          </w:p>
          <w:p w14:paraId="7CA39BB4"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Observational long-term follow-up study from patients recruited from the 6-month endpoint phase 2 studies where imlifidase facilitated transplantation.</w:t>
            </w:r>
          </w:p>
        </w:tc>
        <w:tc>
          <w:tcPr>
            <w:tcW w:w="1387" w:type="dxa"/>
          </w:tcPr>
          <w:p w14:paraId="2B994B71"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Protocol </w:t>
            </w:r>
            <w:proofErr w:type="spellStart"/>
            <w:r w:rsidRPr="0071545A">
              <w:rPr>
                <w:sz w:val="20"/>
                <w:szCs w:val="20"/>
              </w:rPr>
              <w:t>finalised</w:t>
            </w:r>
            <w:proofErr w:type="spellEnd"/>
            <w:r w:rsidRPr="0071545A">
              <w:rPr>
                <w:sz w:val="20"/>
                <w:szCs w:val="20"/>
              </w:rPr>
              <w:t xml:space="preserve"> = 03 April 2018 </w:t>
            </w:r>
          </w:p>
          <w:p w14:paraId="32EFFC0D"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First patient first visit= 03 July 2018 </w:t>
            </w:r>
          </w:p>
          <w:p w14:paraId="3BA55BEF"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Last patient last visit = 15 February 2023 (postponed into this date due to patient having covid)</w:t>
            </w:r>
          </w:p>
        </w:tc>
        <w:tc>
          <w:tcPr>
            <w:tcW w:w="1529" w:type="dxa"/>
          </w:tcPr>
          <w:p w14:paraId="51C4B82A" w14:textId="4ECFA2BF"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N = 3</w:t>
            </w:r>
            <w:r w:rsidR="00AD4FEC" w:rsidRPr="0071545A">
              <w:rPr>
                <w:sz w:val="20"/>
                <w:szCs w:val="20"/>
              </w:rPr>
              <w:t>7</w:t>
            </w:r>
            <w:r w:rsidRPr="0071545A">
              <w:rPr>
                <w:sz w:val="20"/>
                <w:szCs w:val="20"/>
              </w:rPr>
              <w:t xml:space="preserve"> patients Fully recruited</w:t>
            </w:r>
          </w:p>
        </w:tc>
        <w:tc>
          <w:tcPr>
            <w:tcW w:w="1430" w:type="dxa"/>
          </w:tcPr>
          <w:p w14:paraId="02DA0305"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Q4 2023</w:t>
            </w:r>
          </w:p>
        </w:tc>
      </w:tr>
      <w:tr w:rsidR="008D49D0" w:rsidRPr="0071545A" w14:paraId="2143E04A" w14:textId="77777777" w:rsidTr="0071545A">
        <w:tc>
          <w:tcPr>
            <w:cnfStyle w:val="001000000000" w:firstRow="0" w:lastRow="0" w:firstColumn="1" w:lastColumn="0" w:oddVBand="0" w:evenVBand="0" w:oddHBand="0" w:evenHBand="0" w:firstRowFirstColumn="0" w:firstRowLastColumn="0" w:lastRowFirstColumn="0" w:lastRowLastColumn="0"/>
            <w:tcW w:w="1331" w:type="dxa"/>
          </w:tcPr>
          <w:p w14:paraId="5D3967DE" w14:textId="77777777" w:rsidR="008D49D0" w:rsidRPr="0071545A" w:rsidRDefault="008D49D0" w:rsidP="0071545A">
            <w:pPr>
              <w:rPr>
                <w:sz w:val="20"/>
                <w:szCs w:val="20"/>
              </w:rPr>
            </w:pPr>
            <w:r w:rsidRPr="0071545A">
              <w:rPr>
                <w:sz w:val="20"/>
                <w:szCs w:val="20"/>
              </w:rPr>
              <w:t>Clinical Trial</w:t>
            </w:r>
          </w:p>
          <w:p w14:paraId="7E528C1A" w14:textId="77777777" w:rsidR="008D49D0" w:rsidRPr="0071545A" w:rsidRDefault="008D49D0" w:rsidP="0071545A">
            <w:pPr>
              <w:rPr>
                <w:sz w:val="20"/>
                <w:szCs w:val="20"/>
              </w:rPr>
            </w:pPr>
            <w:r w:rsidRPr="0071545A">
              <w:rPr>
                <w:sz w:val="20"/>
                <w:szCs w:val="20"/>
              </w:rPr>
              <w:t>Study ID</w:t>
            </w:r>
          </w:p>
          <w:p w14:paraId="3FD5B416" w14:textId="77777777" w:rsidR="008D49D0" w:rsidRPr="0071545A" w:rsidRDefault="008D49D0" w:rsidP="0071545A">
            <w:pPr>
              <w:rPr>
                <w:color w:val="0000FF"/>
                <w:sz w:val="20"/>
                <w:szCs w:val="20"/>
              </w:rPr>
            </w:pPr>
            <w:r w:rsidRPr="0071545A">
              <w:rPr>
                <w:color w:val="0000FF"/>
                <w:sz w:val="20"/>
                <w:szCs w:val="20"/>
              </w:rPr>
              <w:t>20-HMedIdeS-19</w:t>
            </w:r>
          </w:p>
          <w:p w14:paraId="000DD2ED" w14:textId="77777777" w:rsidR="008D49D0" w:rsidRPr="0071545A" w:rsidRDefault="008D49D0" w:rsidP="0071545A">
            <w:pPr>
              <w:rPr>
                <w:sz w:val="20"/>
                <w:szCs w:val="20"/>
              </w:rPr>
            </w:pPr>
            <w:r w:rsidRPr="0071545A">
              <w:rPr>
                <w:sz w:val="20"/>
                <w:szCs w:val="20"/>
              </w:rPr>
              <w:t>Status: Ongoing</w:t>
            </w:r>
          </w:p>
        </w:tc>
        <w:tc>
          <w:tcPr>
            <w:tcW w:w="1656" w:type="dxa"/>
          </w:tcPr>
          <w:p w14:paraId="2D618BD7"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A controlled, open-label post-</w:t>
            </w:r>
            <w:proofErr w:type="spellStart"/>
            <w:r w:rsidRPr="0071545A">
              <w:rPr>
                <w:sz w:val="20"/>
                <w:szCs w:val="20"/>
              </w:rPr>
              <w:t>authorisation</w:t>
            </w:r>
            <w:proofErr w:type="spellEnd"/>
            <w:r w:rsidRPr="0071545A">
              <w:rPr>
                <w:sz w:val="20"/>
                <w:szCs w:val="20"/>
              </w:rPr>
              <w:t xml:space="preserve"> efficacy and safety study in </w:t>
            </w:r>
            <w:proofErr w:type="spellStart"/>
            <w:r w:rsidRPr="0071545A">
              <w:rPr>
                <w:sz w:val="20"/>
                <w:szCs w:val="20"/>
              </w:rPr>
              <w:t>imlifidase</w:t>
            </w:r>
            <w:proofErr w:type="spellEnd"/>
            <w:r w:rsidRPr="0071545A">
              <w:rPr>
                <w:sz w:val="20"/>
                <w:szCs w:val="20"/>
              </w:rPr>
              <w:t xml:space="preserve"> </w:t>
            </w:r>
            <w:proofErr w:type="spellStart"/>
            <w:r w:rsidRPr="0071545A">
              <w:rPr>
                <w:sz w:val="20"/>
                <w:szCs w:val="20"/>
              </w:rPr>
              <w:t>desensitised</w:t>
            </w:r>
            <w:proofErr w:type="spellEnd"/>
            <w:r w:rsidRPr="0071545A">
              <w:rPr>
                <w:sz w:val="20"/>
                <w:szCs w:val="20"/>
              </w:rPr>
              <w:t xml:space="preserve"> kidney transplant patients with positive crossmatch against a deceased donor prior to imlifidase treatment, including non-comparative registry and concurrent reference cohorts. EU based</w:t>
            </w:r>
          </w:p>
        </w:tc>
        <w:tc>
          <w:tcPr>
            <w:tcW w:w="1727" w:type="dxa"/>
          </w:tcPr>
          <w:p w14:paraId="123E845C"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1-year graft survival, 1 year kidney function, and safety in kidney transplanted patients with donor specific antibodies, who have been treated with imlifidase.</w:t>
            </w:r>
          </w:p>
        </w:tc>
        <w:tc>
          <w:tcPr>
            <w:tcW w:w="1387" w:type="dxa"/>
          </w:tcPr>
          <w:p w14:paraId="036888F4"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Protocol </w:t>
            </w:r>
            <w:proofErr w:type="spellStart"/>
            <w:r w:rsidRPr="0071545A">
              <w:rPr>
                <w:sz w:val="20"/>
                <w:szCs w:val="20"/>
              </w:rPr>
              <w:t>finalised</w:t>
            </w:r>
            <w:proofErr w:type="spellEnd"/>
            <w:r w:rsidRPr="0071545A">
              <w:rPr>
                <w:sz w:val="20"/>
                <w:szCs w:val="20"/>
              </w:rPr>
              <w:t xml:space="preserve"> =18 October 2021 </w:t>
            </w:r>
          </w:p>
          <w:p w14:paraId="5C5AAFB6"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First patient first visit= Q2 2022  </w:t>
            </w:r>
          </w:p>
          <w:p w14:paraId="1E13C65D"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Last patient last visit = Planned Q4 2024</w:t>
            </w:r>
          </w:p>
        </w:tc>
        <w:tc>
          <w:tcPr>
            <w:tcW w:w="1529" w:type="dxa"/>
          </w:tcPr>
          <w:p w14:paraId="77ADB12D"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N = 50 patients in the imlifidase treated cohort </w:t>
            </w:r>
          </w:p>
          <w:p w14:paraId="5D7311EB"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Recruitment has started in May 2022</w:t>
            </w:r>
          </w:p>
        </w:tc>
        <w:tc>
          <w:tcPr>
            <w:tcW w:w="1430" w:type="dxa"/>
          </w:tcPr>
          <w:p w14:paraId="228346E7" w14:textId="1E4D853B"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Q4 2025</w:t>
            </w:r>
          </w:p>
        </w:tc>
      </w:tr>
      <w:tr w:rsidR="008D49D0" w:rsidRPr="0071545A" w14:paraId="4D75B487" w14:textId="77777777" w:rsidTr="0071545A">
        <w:tc>
          <w:tcPr>
            <w:cnfStyle w:val="001000000000" w:firstRow="0" w:lastRow="0" w:firstColumn="1" w:lastColumn="0" w:oddVBand="0" w:evenVBand="0" w:oddHBand="0" w:evenHBand="0" w:firstRowFirstColumn="0" w:firstRowLastColumn="0" w:lastRowFirstColumn="0" w:lastRowLastColumn="0"/>
            <w:tcW w:w="1331" w:type="dxa"/>
          </w:tcPr>
          <w:p w14:paraId="44003E97" w14:textId="77777777" w:rsidR="008D49D0" w:rsidRPr="0071545A" w:rsidRDefault="008D49D0" w:rsidP="0071545A">
            <w:pPr>
              <w:rPr>
                <w:sz w:val="20"/>
                <w:szCs w:val="20"/>
              </w:rPr>
            </w:pPr>
            <w:r w:rsidRPr="0071545A">
              <w:rPr>
                <w:sz w:val="20"/>
                <w:szCs w:val="20"/>
              </w:rPr>
              <w:lastRenderedPageBreak/>
              <w:t xml:space="preserve">Clinical Trial </w:t>
            </w:r>
          </w:p>
          <w:p w14:paraId="586DFA2D" w14:textId="77777777" w:rsidR="008D49D0" w:rsidRPr="0071545A" w:rsidRDefault="008D49D0" w:rsidP="0071545A">
            <w:pPr>
              <w:rPr>
                <w:sz w:val="20"/>
                <w:szCs w:val="20"/>
              </w:rPr>
            </w:pPr>
            <w:r w:rsidRPr="0071545A">
              <w:rPr>
                <w:sz w:val="20"/>
                <w:szCs w:val="20"/>
              </w:rPr>
              <w:t xml:space="preserve">Study ID </w:t>
            </w:r>
          </w:p>
          <w:p w14:paraId="0E236997" w14:textId="77777777" w:rsidR="008D49D0" w:rsidRPr="0071545A" w:rsidRDefault="008D49D0" w:rsidP="0071545A">
            <w:pPr>
              <w:rPr>
                <w:color w:val="0000FF"/>
                <w:sz w:val="20"/>
                <w:szCs w:val="20"/>
              </w:rPr>
            </w:pPr>
            <w:r w:rsidRPr="0071545A">
              <w:rPr>
                <w:color w:val="0000FF"/>
                <w:sz w:val="20"/>
                <w:szCs w:val="20"/>
              </w:rPr>
              <w:t>20-HMedIdeS-17</w:t>
            </w:r>
          </w:p>
          <w:p w14:paraId="4CA50D70" w14:textId="77777777" w:rsidR="008D49D0" w:rsidRPr="0071545A" w:rsidRDefault="008D49D0" w:rsidP="0071545A">
            <w:pPr>
              <w:rPr>
                <w:sz w:val="20"/>
                <w:szCs w:val="20"/>
              </w:rPr>
            </w:pPr>
            <w:r w:rsidRPr="0071545A">
              <w:rPr>
                <w:sz w:val="20"/>
                <w:szCs w:val="20"/>
              </w:rPr>
              <w:t>Status: Ongoing</w:t>
            </w:r>
          </w:p>
        </w:tc>
        <w:tc>
          <w:tcPr>
            <w:tcW w:w="1656" w:type="dxa"/>
          </w:tcPr>
          <w:p w14:paraId="73014CFD"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A USA exclusive open-label, controlled, randomized Phase 3 trial evaluating 12-month kidney function in highly </w:t>
            </w:r>
            <w:proofErr w:type="spellStart"/>
            <w:r w:rsidRPr="0071545A">
              <w:rPr>
                <w:sz w:val="20"/>
                <w:szCs w:val="20"/>
              </w:rPr>
              <w:t>sensitised</w:t>
            </w:r>
            <w:proofErr w:type="spellEnd"/>
            <w:r w:rsidRPr="0071545A">
              <w:rPr>
                <w:sz w:val="20"/>
                <w:szCs w:val="20"/>
              </w:rPr>
              <w:t xml:space="preserve"> (</w:t>
            </w:r>
            <w:proofErr w:type="spellStart"/>
            <w:r w:rsidRPr="0071545A">
              <w:rPr>
                <w:sz w:val="20"/>
                <w:szCs w:val="20"/>
              </w:rPr>
              <w:t>cPRA</w:t>
            </w:r>
            <w:proofErr w:type="spellEnd"/>
            <w:r w:rsidRPr="0071545A">
              <w:rPr>
                <w:sz w:val="20"/>
                <w:szCs w:val="20"/>
              </w:rPr>
              <w:t xml:space="preserve"> ≥99.9%) kidney transplant patients with positive crossmatch against a deceased donor, comparing </w:t>
            </w:r>
            <w:proofErr w:type="spellStart"/>
            <w:r w:rsidRPr="0071545A">
              <w:rPr>
                <w:sz w:val="20"/>
                <w:szCs w:val="20"/>
              </w:rPr>
              <w:t>desensitisation</w:t>
            </w:r>
            <w:proofErr w:type="spellEnd"/>
            <w:r w:rsidRPr="0071545A">
              <w:rPr>
                <w:sz w:val="20"/>
                <w:szCs w:val="20"/>
              </w:rPr>
              <w:t xml:space="preserve"> using </w:t>
            </w:r>
            <w:proofErr w:type="spellStart"/>
            <w:r w:rsidRPr="0071545A">
              <w:rPr>
                <w:sz w:val="20"/>
                <w:szCs w:val="20"/>
              </w:rPr>
              <w:t>imlifidase</w:t>
            </w:r>
            <w:proofErr w:type="spellEnd"/>
            <w:r w:rsidRPr="0071545A">
              <w:rPr>
                <w:sz w:val="20"/>
                <w:szCs w:val="20"/>
              </w:rPr>
              <w:t xml:space="preserve"> with standard of care</w:t>
            </w:r>
          </w:p>
        </w:tc>
        <w:tc>
          <w:tcPr>
            <w:tcW w:w="1727" w:type="dxa"/>
          </w:tcPr>
          <w:p w14:paraId="13F374CF"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Confirmatory efficacy and safety  </w:t>
            </w:r>
          </w:p>
        </w:tc>
        <w:tc>
          <w:tcPr>
            <w:tcW w:w="1387" w:type="dxa"/>
          </w:tcPr>
          <w:p w14:paraId="7DD4D614"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Protocol </w:t>
            </w:r>
            <w:proofErr w:type="spellStart"/>
            <w:r w:rsidRPr="0071545A">
              <w:rPr>
                <w:sz w:val="20"/>
                <w:szCs w:val="20"/>
              </w:rPr>
              <w:t>finalised</w:t>
            </w:r>
            <w:proofErr w:type="spellEnd"/>
            <w:r w:rsidRPr="0071545A">
              <w:rPr>
                <w:sz w:val="20"/>
                <w:szCs w:val="20"/>
              </w:rPr>
              <w:t xml:space="preserve"> = 30 Nov 2021 </w:t>
            </w:r>
          </w:p>
          <w:p w14:paraId="3948DE3F" w14:textId="6981D3B0" w:rsidR="008D49D0" w:rsidRPr="0071545A" w:rsidRDefault="008D49D0" w:rsidP="00606403">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First patient first visit= 21 December 2021 </w:t>
            </w:r>
          </w:p>
        </w:tc>
        <w:tc>
          <w:tcPr>
            <w:tcW w:w="1529" w:type="dxa"/>
          </w:tcPr>
          <w:p w14:paraId="3B82EDE1" w14:textId="34A2E460"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Enrolling </w:t>
            </w:r>
          </w:p>
          <w:p w14:paraId="28ECA629"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N = 64 patients </w:t>
            </w:r>
          </w:p>
          <w:p w14:paraId="19AF2912" w14:textId="77777777"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r w:rsidRPr="0071545A">
              <w:rPr>
                <w:sz w:val="20"/>
                <w:szCs w:val="20"/>
              </w:rPr>
              <w:t xml:space="preserve">Enrolled as of 21 February 2023 = 59 </w:t>
            </w:r>
          </w:p>
        </w:tc>
        <w:tc>
          <w:tcPr>
            <w:tcW w:w="1430" w:type="dxa"/>
          </w:tcPr>
          <w:p w14:paraId="6FC75786" w14:textId="164876FA" w:rsidR="008D49D0" w:rsidRPr="0071545A" w:rsidRDefault="008D49D0" w:rsidP="0071545A">
            <w:pPr>
              <w:cnfStyle w:val="000000000000" w:firstRow="0" w:lastRow="0" w:firstColumn="0" w:lastColumn="0" w:oddVBand="0" w:evenVBand="0" w:oddHBand="0" w:evenHBand="0" w:firstRowFirstColumn="0" w:firstRowLastColumn="0" w:lastRowFirstColumn="0" w:lastRowLastColumn="0"/>
              <w:rPr>
                <w:sz w:val="20"/>
                <w:szCs w:val="20"/>
              </w:rPr>
            </w:pPr>
          </w:p>
        </w:tc>
      </w:tr>
    </w:tbl>
    <w:p w14:paraId="5783C9EC" w14:textId="77777777" w:rsidR="008D49D0" w:rsidRDefault="008D49D0" w:rsidP="00DD1896">
      <w:pPr>
        <w:rPr>
          <w:noProof/>
        </w:rPr>
      </w:pPr>
    </w:p>
    <w:p w14:paraId="16E26453" w14:textId="04EE4DB6" w:rsidR="009A5696" w:rsidRDefault="009A5696" w:rsidP="0071545A">
      <w:pPr>
        <w:pStyle w:val="FigureTitle"/>
      </w:pPr>
      <w:bookmarkStart w:id="70" w:name="_Ref148707229"/>
      <w:r w:rsidRPr="009A5696">
        <w:lastRenderedPageBreak/>
        <w:t xml:space="preserve">Figure </w:t>
      </w:r>
      <w:fldSimple w:instr=" SEQ Figure \* ARABIC ">
        <w:r w:rsidR="00755A69">
          <w:rPr>
            <w:noProof/>
          </w:rPr>
          <w:t>3</w:t>
        </w:r>
      </w:fldSimple>
      <w:bookmarkEnd w:id="70"/>
      <w:r>
        <w:t>:</w:t>
      </w:r>
      <w:r w:rsidRPr="009A5696">
        <w:rPr>
          <w:lang w:eastAsia="ja-JP"/>
        </w:rPr>
        <w:t xml:space="preserve"> </w:t>
      </w:r>
      <w:r>
        <w:rPr>
          <w:lang w:eastAsia="ja-JP"/>
        </w:rPr>
        <w:t>Study 17 Trial design (prior to randomisation)</w:t>
      </w:r>
    </w:p>
    <w:p w14:paraId="6ABF2CDA" w14:textId="75A274A1" w:rsidR="009A5696" w:rsidRDefault="009A5696" w:rsidP="009A5696">
      <w:r w:rsidRPr="00D40FD7">
        <w:rPr>
          <w:noProof/>
          <w:lang w:eastAsia="ja-JP"/>
        </w:rPr>
        <w:drawing>
          <wp:inline distT="0" distB="0" distL="0" distR="0" wp14:anchorId="057A95F8" wp14:editId="497D90B4">
            <wp:extent cx="5557962" cy="6313516"/>
            <wp:effectExtent l="0" t="0" r="0" b="0"/>
            <wp:docPr id="64" name="Picture 64" descr="Study 17 Trial design (prior to rando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tudy 17 Trial design (prior to randomis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7962" cy="6313516"/>
                    </a:xfrm>
                    <a:prstGeom prst="rect">
                      <a:avLst/>
                    </a:prstGeom>
                    <a:noFill/>
                    <a:ln>
                      <a:noFill/>
                    </a:ln>
                  </pic:spPr>
                </pic:pic>
              </a:graphicData>
            </a:graphic>
          </wp:inline>
        </w:drawing>
      </w:r>
    </w:p>
    <w:p w14:paraId="60E6BF4E" w14:textId="578CC5B1" w:rsidR="009A5696" w:rsidRDefault="009A5696" w:rsidP="009A5696">
      <w:pPr>
        <w:pStyle w:val="FigureTitle"/>
      </w:pPr>
      <w:bookmarkStart w:id="71" w:name="_Ref148707236"/>
      <w:r w:rsidRPr="009A5696">
        <w:lastRenderedPageBreak/>
        <w:t xml:space="preserve">Figure </w:t>
      </w:r>
      <w:fldSimple w:instr=" SEQ Figure \* ARABIC ">
        <w:r w:rsidR="00755A69">
          <w:rPr>
            <w:noProof/>
          </w:rPr>
          <w:t>4</w:t>
        </w:r>
      </w:fldSimple>
      <w:bookmarkEnd w:id="71"/>
      <w:r w:rsidRPr="009A5696">
        <w:t>:</w:t>
      </w:r>
      <w:r>
        <w:t xml:space="preserve"> </w:t>
      </w:r>
      <w:r>
        <w:rPr>
          <w:lang w:eastAsia="ja-JP"/>
        </w:rPr>
        <w:t>Study 17 Trial design (after randomisation)</w:t>
      </w:r>
    </w:p>
    <w:p w14:paraId="4C2B8D78" w14:textId="3DDF2210" w:rsidR="009A5696" w:rsidRPr="009A5696" w:rsidRDefault="009A5696" w:rsidP="009A5696">
      <w:r w:rsidRPr="00D40FD7">
        <w:rPr>
          <w:noProof/>
          <w:lang w:eastAsia="ja-JP"/>
        </w:rPr>
        <w:drawing>
          <wp:inline distT="0" distB="0" distL="0" distR="0" wp14:anchorId="342AA81D" wp14:editId="45E67E34">
            <wp:extent cx="5597719" cy="7246150"/>
            <wp:effectExtent l="0" t="0" r="3175" b="0"/>
            <wp:docPr id="53" name="Picture 53" descr="Study 17 Trial design (after random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tudy 17 Trial design (after randomis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5252" cy="7255902"/>
                    </a:xfrm>
                    <a:prstGeom prst="rect">
                      <a:avLst/>
                    </a:prstGeom>
                    <a:noFill/>
                    <a:ln>
                      <a:noFill/>
                    </a:ln>
                  </pic:spPr>
                </pic:pic>
              </a:graphicData>
            </a:graphic>
          </wp:inline>
        </w:drawing>
      </w:r>
    </w:p>
    <w:p w14:paraId="351A6087" w14:textId="7A7AE5CA" w:rsidR="00DD1896" w:rsidRPr="00DD1896" w:rsidRDefault="00DD1896" w:rsidP="009A5696">
      <w:pPr>
        <w:pStyle w:val="ListBullet"/>
      </w:pPr>
      <w:r w:rsidRPr="00DD1896">
        <w:t>Study 19 (20-HMedIdeS-19): a controlled, open</w:t>
      </w:r>
      <w:r w:rsidR="009F7A07">
        <w:t xml:space="preserve"> </w:t>
      </w:r>
      <w:r w:rsidRPr="00DD1896">
        <w:t xml:space="preserve">label, post-authorisation, Phase </w:t>
      </w:r>
      <w:r w:rsidR="009A5696">
        <w:t>III</w:t>
      </w:r>
      <w:r w:rsidRPr="00DD1896">
        <w:t xml:space="preserve"> efficacy and safety trial in imlifidase desensitised kidney transplant patients (aged 18</w:t>
      </w:r>
      <w:r w:rsidR="009A5696">
        <w:t xml:space="preserve"> to </w:t>
      </w:r>
      <w:r w:rsidRPr="00DD1896">
        <w:t>75</w:t>
      </w:r>
      <w:r w:rsidR="009A5696">
        <w:t xml:space="preserve"> </w:t>
      </w:r>
      <w:r w:rsidRPr="00DD1896">
        <w:t>y</w:t>
      </w:r>
      <w:r w:rsidR="009A5696">
        <w:t>ears</w:t>
      </w:r>
      <w:r w:rsidRPr="00DD1896">
        <w:t>) with positive crossmatch against a deceased donor prior to imlifidase treatment, including non-comparative registry and concurrent reference cohorts at multiple sites in E</w:t>
      </w:r>
      <w:r w:rsidR="009F7A07">
        <w:t>uropean Union</w:t>
      </w:r>
      <w:r w:rsidRPr="00DD1896">
        <w:t xml:space="preserve"> and </w:t>
      </w:r>
      <w:r w:rsidR="009A5696">
        <w:t>United Kingdom</w:t>
      </w:r>
      <w:r w:rsidRPr="00DD1896">
        <w:t xml:space="preserve"> (results expected </w:t>
      </w:r>
      <w:r w:rsidR="009A5696">
        <w:t>fourth quarter of</w:t>
      </w:r>
      <w:r w:rsidRPr="00DD1896">
        <w:t xml:space="preserve"> 2025).</w:t>
      </w:r>
    </w:p>
    <w:p w14:paraId="4FF5EBD1" w14:textId="77777777" w:rsidR="00DD1896" w:rsidRPr="00DD1896" w:rsidRDefault="00DD1896" w:rsidP="009A5696">
      <w:pPr>
        <w:pStyle w:val="ListBullet2"/>
      </w:pPr>
      <w:r w:rsidRPr="00DD1896">
        <w:t>Primary endpoint: 1-year graft failure-free survival in patients who have been kidney transplanted after imlifidase treatment.</w:t>
      </w:r>
    </w:p>
    <w:p w14:paraId="2864836C" w14:textId="3250280B" w:rsidR="00DD1896" w:rsidRPr="00DD1896" w:rsidRDefault="00DD1896" w:rsidP="009A5696">
      <w:pPr>
        <w:pStyle w:val="ListBullet"/>
      </w:pPr>
      <w:r w:rsidRPr="00DD1896">
        <w:lastRenderedPageBreak/>
        <w:t xml:space="preserve">Study 20 (20-HMedIdeS-20): a prospective, post-authorisation long-term follow up trial including a noncomparative concurrent reference cohort (5-year follow-on from Study 19) (results expected </w:t>
      </w:r>
      <w:r w:rsidR="009A5696">
        <w:t xml:space="preserve">fourth quarter of </w:t>
      </w:r>
      <w:r w:rsidRPr="00DD1896">
        <w:t>2030).</w:t>
      </w:r>
    </w:p>
    <w:p w14:paraId="33129F8D" w14:textId="352DBF24" w:rsidR="00DD1896" w:rsidRPr="00DD1896" w:rsidRDefault="00DD1896" w:rsidP="009A5696">
      <w:pPr>
        <w:pStyle w:val="ListBullet"/>
      </w:pPr>
      <w:r w:rsidRPr="00DD1896">
        <w:t>Study 25 (21-HMedIdeS-25): a prospective, long-term, confirmatory follow up trial (3-year follow-on from Study 17)</w:t>
      </w:r>
      <w:r w:rsidR="00AE6CF1">
        <w:t>.</w:t>
      </w:r>
    </w:p>
    <w:p w14:paraId="3D3EB0DC" w14:textId="77777777" w:rsidR="00F771A9" w:rsidRPr="00F771A9" w:rsidRDefault="00F771A9" w:rsidP="00F771A9">
      <w:pPr>
        <w:pStyle w:val="Heading4"/>
      </w:pPr>
      <w:bookmarkStart w:id="72" w:name="_Toc166143714"/>
      <w:r w:rsidRPr="00F771A9">
        <w:t>Safety</w:t>
      </w:r>
      <w:bookmarkEnd w:id="72"/>
    </w:p>
    <w:p w14:paraId="2913C7D5" w14:textId="77777777" w:rsidR="00F771A9" w:rsidRPr="00F771A9" w:rsidRDefault="00F771A9" w:rsidP="00F771A9">
      <w:pPr>
        <w:pStyle w:val="Heading5"/>
      </w:pPr>
      <w:r w:rsidRPr="00F771A9">
        <w:t>Exposure</w:t>
      </w:r>
    </w:p>
    <w:p w14:paraId="76E5FD09" w14:textId="72C954C4" w:rsidR="00F771A9" w:rsidRPr="00F771A9" w:rsidRDefault="00F771A9" w:rsidP="00F771A9">
      <w:r w:rsidRPr="00F771A9">
        <w:t>As of February 2022, 139 patients and volunteers have received imlifidase in clinical trials</w:t>
      </w:r>
      <w:r>
        <w:t>.</w:t>
      </w:r>
    </w:p>
    <w:p w14:paraId="7029271F" w14:textId="455D556D" w:rsidR="00F771A9" w:rsidRPr="00F771A9" w:rsidRDefault="00F771A9" w:rsidP="00F771A9">
      <w:r w:rsidRPr="00F771A9">
        <w:t>In the clinical trials provided in the dossier</w:t>
      </w:r>
      <w:r>
        <w:t xml:space="preserve"> (</w:t>
      </w:r>
      <w:r>
        <w:fldChar w:fldCharType="begin"/>
      </w:r>
      <w:r>
        <w:instrText xml:space="preserve"> REF _Ref148707701 \h </w:instrText>
      </w:r>
      <w:r>
        <w:fldChar w:fldCharType="separate"/>
      </w:r>
      <w:r w:rsidR="00755A69" w:rsidRPr="00F771A9">
        <w:t xml:space="preserve">Table </w:t>
      </w:r>
      <w:r w:rsidR="00755A69">
        <w:rPr>
          <w:noProof/>
        </w:rPr>
        <w:t>16</w:t>
      </w:r>
      <w:r>
        <w:fldChar w:fldCharType="end"/>
      </w:r>
      <w:r>
        <w:t>)</w:t>
      </w:r>
      <w:r w:rsidRPr="00F771A9">
        <w:t xml:space="preserve"> 53 patients have been treated with imlifidase and 46 were transplanted. 43 were treated with 0.24 or 0.25 mg/kg and 10 with 0.5</w:t>
      </w:r>
      <w:r w:rsidR="009F7A07">
        <w:t> </w:t>
      </w:r>
      <w:r w:rsidRPr="00F771A9">
        <w:t>mg/kg. 46 patients were followed up for 6 months, 39 for 12 months, 24 for 24 months, 11 for 36 months and one for 60 month</w:t>
      </w:r>
      <w:r>
        <w:t>s (</w:t>
      </w:r>
      <w:r>
        <w:fldChar w:fldCharType="begin"/>
      </w:r>
      <w:r>
        <w:instrText xml:space="preserve"> REF _Ref148707709 \h </w:instrText>
      </w:r>
      <w:r>
        <w:fldChar w:fldCharType="separate"/>
      </w:r>
      <w:r w:rsidR="00755A69" w:rsidRPr="00F771A9">
        <w:t xml:space="preserve">Table </w:t>
      </w:r>
      <w:r w:rsidR="00755A69">
        <w:rPr>
          <w:noProof/>
        </w:rPr>
        <w:t>17</w:t>
      </w:r>
      <w:r>
        <w:fldChar w:fldCharType="end"/>
      </w:r>
      <w:r>
        <w:t>).</w:t>
      </w:r>
    </w:p>
    <w:p w14:paraId="04FB75E4" w14:textId="02EEA022" w:rsidR="00F771A9" w:rsidRDefault="00F771A9" w:rsidP="0071545A">
      <w:pPr>
        <w:pStyle w:val="TableTitle"/>
        <w:rPr>
          <w:lang w:eastAsia="ja-JP"/>
        </w:rPr>
      </w:pPr>
      <w:bookmarkStart w:id="73" w:name="_Ref148707701"/>
      <w:r w:rsidRPr="00F771A9">
        <w:t xml:space="preserve">Table </w:t>
      </w:r>
      <w:fldSimple w:instr=" SEQ Table \* ARABIC ">
        <w:r w:rsidR="00755A69">
          <w:rPr>
            <w:noProof/>
          </w:rPr>
          <w:t>16</w:t>
        </w:r>
      </w:fldSimple>
      <w:bookmarkEnd w:id="73"/>
      <w:r>
        <w:t xml:space="preserve">: </w:t>
      </w:r>
      <w:r w:rsidRPr="00C042BA">
        <w:t xml:space="preserve">Phase </w:t>
      </w:r>
      <w:r>
        <w:t>II</w:t>
      </w:r>
      <w:r w:rsidRPr="00C042BA">
        <w:t xml:space="preserve"> studies (CKD population)</w:t>
      </w:r>
      <w:r>
        <w:t xml:space="preserve">. </w:t>
      </w:r>
      <w:r w:rsidRPr="00EA3E27">
        <w:rPr>
          <w:lang w:eastAsia="ja-JP"/>
        </w:rPr>
        <w:t>Exposure and follow-up by total dose (safety set)</w:t>
      </w:r>
    </w:p>
    <w:p w14:paraId="38BA0FCA" w14:textId="57638331" w:rsidR="00DD1896" w:rsidRDefault="00F771A9" w:rsidP="0071545A">
      <w:r w:rsidRPr="00EA3E27">
        <w:rPr>
          <w:noProof/>
          <w:lang w:eastAsia="ja-JP"/>
        </w:rPr>
        <w:drawing>
          <wp:inline distT="0" distB="0" distL="0" distR="0" wp14:anchorId="1FACC6EB" wp14:editId="70B049B2">
            <wp:extent cx="4790448" cy="2679700"/>
            <wp:effectExtent l="0" t="0" r="0" b="6350"/>
            <wp:docPr id="6" name="Picture 6" descr="Phase II studies (CKD population). Exposure and follow-up by total do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ase II studies (CKD population). Exposure and follow-up by total dose (safety s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1958" cy="2680545"/>
                    </a:xfrm>
                    <a:prstGeom prst="rect">
                      <a:avLst/>
                    </a:prstGeom>
                    <a:noFill/>
                    <a:ln>
                      <a:noFill/>
                    </a:ln>
                  </pic:spPr>
                </pic:pic>
              </a:graphicData>
            </a:graphic>
          </wp:inline>
        </w:drawing>
      </w:r>
    </w:p>
    <w:p w14:paraId="1BF0432B" w14:textId="223EB000" w:rsidR="00F771A9" w:rsidRDefault="00F771A9" w:rsidP="0071545A">
      <w:pPr>
        <w:pStyle w:val="TableTitle"/>
      </w:pPr>
      <w:bookmarkStart w:id="74" w:name="_Ref148707709"/>
      <w:r w:rsidRPr="00F771A9">
        <w:t xml:space="preserve">Table </w:t>
      </w:r>
      <w:fldSimple w:instr=" SEQ Table \* ARABIC ">
        <w:r w:rsidR="00755A69">
          <w:rPr>
            <w:noProof/>
          </w:rPr>
          <w:t>17</w:t>
        </w:r>
      </w:fldSimple>
      <w:bookmarkEnd w:id="74"/>
      <w:r w:rsidRPr="00F771A9">
        <w:t>:</w:t>
      </w:r>
      <w:r>
        <w:t xml:space="preserve"> </w:t>
      </w:r>
      <w:r>
        <w:rPr>
          <w:lang w:eastAsia="ja-JP"/>
        </w:rPr>
        <w:t>Long-term follow-up of transplanted patients at 6, 12, 24, 36 and 60 months by total dose (safety set; transplanted)</w:t>
      </w:r>
    </w:p>
    <w:p w14:paraId="7F80BA77" w14:textId="4307C309" w:rsidR="00F771A9" w:rsidRDefault="00F771A9" w:rsidP="0071545A">
      <w:r w:rsidRPr="00EA3E27">
        <w:rPr>
          <w:noProof/>
          <w:lang w:eastAsia="ja-JP"/>
        </w:rPr>
        <w:drawing>
          <wp:inline distT="0" distB="0" distL="0" distR="0" wp14:anchorId="5B19C9E9" wp14:editId="02DA83A0">
            <wp:extent cx="5194300" cy="1272966"/>
            <wp:effectExtent l="0" t="0" r="6350" b="3810"/>
            <wp:docPr id="7" name="Picture 7" descr="Long-term follow-up of transplanted patients at 6, 12, 24, 36 and 60 months by total dose (safety set; transpl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ng-term follow-up of transplanted patients at 6, 12, 24, 36 and 60 months by total dose (safety set; transplan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2643" cy="1275011"/>
                    </a:xfrm>
                    <a:prstGeom prst="rect">
                      <a:avLst/>
                    </a:prstGeom>
                    <a:noFill/>
                    <a:ln>
                      <a:noFill/>
                    </a:ln>
                  </pic:spPr>
                </pic:pic>
              </a:graphicData>
            </a:graphic>
          </wp:inline>
        </w:drawing>
      </w:r>
    </w:p>
    <w:p w14:paraId="6367AB04" w14:textId="77777777" w:rsidR="00F771A9" w:rsidRPr="00F771A9" w:rsidRDefault="00F771A9" w:rsidP="00F771A9">
      <w:pPr>
        <w:pStyle w:val="Heading5"/>
      </w:pPr>
      <w:r w:rsidRPr="00F771A9">
        <w:t>Adverse event overview</w:t>
      </w:r>
    </w:p>
    <w:p w14:paraId="1B189D3C" w14:textId="370AA990" w:rsidR="00F771A9" w:rsidRPr="00F771A9" w:rsidRDefault="00F771A9" w:rsidP="00F771A9">
      <w:r w:rsidRPr="00F771A9">
        <w:t xml:space="preserve">Phase </w:t>
      </w:r>
      <w:r>
        <w:t>I</w:t>
      </w:r>
      <w:r w:rsidRPr="00F771A9">
        <w:t xml:space="preserve"> studies (healthy males): 10</w:t>
      </w:r>
      <w:r>
        <w:t xml:space="preserve"> out of </w:t>
      </w:r>
      <w:r w:rsidRPr="00F771A9">
        <w:t>14 subjects (71%)</w:t>
      </w:r>
      <w:r w:rsidR="006D0917">
        <w:t xml:space="preserve"> receiving p</w:t>
      </w:r>
      <w:r w:rsidR="00E166B8">
        <w:t>lacebo</w:t>
      </w:r>
      <w:r w:rsidRPr="00F771A9">
        <w:t xml:space="preserve"> reported at least one </w:t>
      </w:r>
      <w:r w:rsidR="00F80601">
        <w:t xml:space="preserve">treatment emergent adverse event (TEAE) </w:t>
      </w:r>
      <w:r w:rsidRPr="00F771A9">
        <w:t xml:space="preserve">. The percentage with at least </w:t>
      </w:r>
      <w:r>
        <w:t>one</w:t>
      </w:r>
      <w:r w:rsidRPr="00F771A9">
        <w:t xml:space="preserve"> </w:t>
      </w:r>
      <w:r w:rsidR="007207DA">
        <w:t>TE</w:t>
      </w:r>
      <w:r w:rsidRPr="00F771A9">
        <w:t>AE was similar among those receiving imlifidase of Process 1 in Study 01 (18</w:t>
      </w:r>
      <w:r>
        <w:t xml:space="preserve"> out of </w:t>
      </w:r>
      <w:r w:rsidRPr="00F771A9">
        <w:t>20 subjects [90%]) and those receiving imlifidase of Process 2 in Study 15 (13</w:t>
      </w:r>
      <w:r>
        <w:t xml:space="preserve"> out of </w:t>
      </w:r>
      <w:r w:rsidRPr="00F771A9">
        <w:t>15 subjects [87%]), noting small subject numbers.</w:t>
      </w:r>
    </w:p>
    <w:p w14:paraId="1A54C60A" w14:textId="2F17B8DA" w:rsidR="00F771A9" w:rsidRPr="00F771A9" w:rsidRDefault="00F771A9" w:rsidP="00F771A9">
      <w:r w:rsidRPr="00F771A9">
        <w:lastRenderedPageBreak/>
        <w:t xml:space="preserve">Phase </w:t>
      </w:r>
      <w:r>
        <w:t>II</w:t>
      </w:r>
      <w:r w:rsidRPr="00F771A9">
        <w:t xml:space="preserve"> studies (CKD population): All 53 patients had at least </w:t>
      </w:r>
      <w:r>
        <w:t>one</w:t>
      </w:r>
      <w:r w:rsidRPr="00F771A9">
        <w:t xml:space="preserve"> </w:t>
      </w:r>
      <w:r w:rsidR="009F7A07">
        <w:t>t</w:t>
      </w:r>
      <w:r w:rsidR="009F7A07" w:rsidRPr="00F771A9">
        <w:t xml:space="preserve">reatment </w:t>
      </w:r>
      <w:r w:rsidR="00097EB6">
        <w:t xml:space="preserve">emergent </w:t>
      </w:r>
      <w:r w:rsidR="009F7A07" w:rsidRPr="00F771A9">
        <w:t xml:space="preserve">adverse event </w:t>
      </w:r>
      <w:r w:rsidR="009F7A07">
        <w:t>(</w:t>
      </w:r>
      <w:r w:rsidRPr="00F771A9">
        <w:t>TEAE</w:t>
      </w:r>
      <w:r w:rsidR="009F7A07">
        <w:t>)</w:t>
      </w:r>
      <w:r w:rsidR="00C06675">
        <w:t xml:space="preserve"> – i.e., AE defined as occurring within 30 days of imlifidase administration</w:t>
      </w:r>
      <w:r w:rsidR="00D20321">
        <w:t>,</w:t>
      </w:r>
      <w:r w:rsidRPr="00F771A9">
        <w:t xml:space="preserve"> with a total of 468 TEAEs. The three </w:t>
      </w:r>
      <w:proofErr w:type="gramStart"/>
      <w:r w:rsidRPr="00F771A9">
        <w:t>most commonly reported</w:t>
      </w:r>
      <w:proofErr w:type="gramEnd"/>
      <w:r w:rsidRPr="00F771A9">
        <w:t xml:space="preserve"> TEAEs were hyperkalaemia (17 [32%]), anaemia (17 [32%]), and constipation (16 patients [30%]) </w:t>
      </w:r>
      <w:r>
        <w:t>(</w:t>
      </w:r>
      <w:r>
        <w:fldChar w:fldCharType="begin"/>
      </w:r>
      <w:r>
        <w:instrText xml:space="preserve"> REF _Ref148707840 \h </w:instrText>
      </w:r>
      <w:r>
        <w:fldChar w:fldCharType="separate"/>
      </w:r>
      <w:r w:rsidR="00755A69" w:rsidRPr="00F771A9">
        <w:t xml:space="preserve">Table </w:t>
      </w:r>
      <w:r w:rsidR="00755A69">
        <w:rPr>
          <w:noProof/>
        </w:rPr>
        <w:t>18</w:t>
      </w:r>
      <w:r>
        <w:fldChar w:fldCharType="end"/>
      </w:r>
      <w:r>
        <w:t xml:space="preserve">). </w:t>
      </w:r>
      <w:r w:rsidRPr="00F771A9">
        <w:t>There was no obvious difference between the dose groups, noting the low patient number in the 0.50 mg/kg group (n</w:t>
      </w:r>
      <w:r>
        <w:t xml:space="preserve"> </w:t>
      </w:r>
      <w:r w:rsidRPr="00F771A9">
        <w:t>=</w:t>
      </w:r>
      <w:r>
        <w:t xml:space="preserve"> </w:t>
      </w:r>
      <w:r w:rsidRPr="00F771A9">
        <w:t>10) that precludes definite conclusions. Furthermore, there were differences with regard to AESI (see below; 40% v</w:t>
      </w:r>
      <w:r>
        <w:t>ersus</w:t>
      </w:r>
      <w:r w:rsidRPr="00F771A9">
        <w:t xml:space="preserve"> 80%).</w:t>
      </w:r>
    </w:p>
    <w:p w14:paraId="1BD2071D" w14:textId="35B62828" w:rsidR="00F771A9" w:rsidRDefault="00F771A9" w:rsidP="00F771A9">
      <w:pPr>
        <w:pStyle w:val="TableTitle"/>
      </w:pPr>
      <w:bookmarkStart w:id="75" w:name="_Ref148707840"/>
      <w:r w:rsidRPr="00F771A9">
        <w:t xml:space="preserve">Table </w:t>
      </w:r>
      <w:fldSimple w:instr=" SEQ Table \* ARABIC ">
        <w:r w:rsidR="00755A69">
          <w:rPr>
            <w:noProof/>
          </w:rPr>
          <w:t>18</w:t>
        </w:r>
      </w:fldSimple>
      <w:bookmarkEnd w:id="75"/>
      <w:r>
        <w:t xml:space="preserve">: </w:t>
      </w:r>
      <w:r w:rsidRPr="00F771A9">
        <w:t xml:space="preserve">Phase </w:t>
      </w:r>
      <w:r>
        <w:t>II</w:t>
      </w:r>
      <w:r w:rsidRPr="00F771A9">
        <w:t xml:space="preserve"> studies (CKD population)</w:t>
      </w:r>
      <w:r w:rsidR="009F7A07">
        <w:t xml:space="preserve"> </w:t>
      </w:r>
      <w:r w:rsidR="0071545A">
        <w:t>t</w:t>
      </w:r>
      <w:r w:rsidR="0071545A" w:rsidRPr="00F771A9">
        <w:t>reatment emergent</w:t>
      </w:r>
      <w:r w:rsidR="007E73D3">
        <w:t xml:space="preserve"> </w:t>
      </w:r>
      <w:r w:rsidR="009F7A07" w:rsidRPr="00F771A9">
        <w:t>adverse event</w:t>
      </w:r>
      <w:r w:rsidR="009F7A07">
        <w:t>s</w:t>
      </w:r>
      <w:r w:rsidR="009F7A07" w:rsidRPr="00F771A9">
        <w:t xml:space="preserve"> </w:t>
      </w:r>
      <w:r w:rsidRPr="00F771A9">
        <w:t>by Preferred Term occurring in at least 5% of patients (</w:t>
      </w:r>
      <w:r w:rsidR="009F7A07">
        <w:t>s</w:t>
      </w:r>
      <w:r w:rsidRPr="00F771A9">
        <w:t>afety set) by transplantation status</w:t>
      </w:r>
    </w:p>
    <w:p w14:paraId="26625FAF" w14:textId="70BCD452" w:rsidR="00F771A9" w:rsidRDefault="00F771A9" w:rsidP="0071545A">
      <w:r w:rsidRPr="00DF4C2F">
        <w:rPr>
          <w:noProof/>
        </w:rPr>
        <w:drawing>
          <wp:inline distT="0" distB="0" distL="0" distR="0" wp14:anchorId="57A2BB68" wp14:editId="16943070">
            <wp:extent cx="3614468" cy="2857291"/>
            <wp:effectExtent l="0" t="0" r="5080" b="635"/>
            <wp:docPr id="54" name="Picture 54" descr="Phase II studies (CKD population) treatment related adverse events by Preferred Term occurring in at least 5% of patients (safety set) by transplant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hase II studies (CKD population) treatment related adverse events by Preferred Term occurring in at least 5% of patients (safety set) by transplantation stat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3453" cy="2872299"/>
                    </a:xfrm>
                    <a:prstGeom prst="rect">
                      <a:avLst/>
                    </a:prstGeom>
                    <a:noFill/>
                    <a:ln>
                      <a:noFill/>
                    </a:ln>
                  </pic:spPr>
                </pic:pic>
              </a:graphicData>
            </a:graphic>
          </wp:inline>
        </w:drawing>
      </w:r>
      <w:r w:rsidRPr="00DF4C2F">
        <w:rPr>
          <w:noProof/>
        </w:rPr>
        <w:drawing>
          <wp:inline distT="0" distB="0" distL="0" distR="0" wp14:anchorId="489CA39E" wp14:editId="6E2BD4B0">
            <wp:extent cx="3792573" cy="2484408"/>
            <wp:effectExtent l="0" t="0" r="0" b="0"/>
            <wp:docPr id="56" name="Picture 56" descr="Table 18: Phase II studies (CKD population) treatment emergent adverse events by Preferred Term occurring in at least 5% of patients (safety set) by transplant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 18: Phase II studies (CKD population) treatment emergent adverse events by Preferred Term occurring in at least 5% of patients (safety set) by transplantation statu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5804" cy="2506177"/>
                    </a:xfrm>
                    <a:prstGeom prst="rect">
                      <a:avLst/>
                    </a:prstGeom>
                    <a:noFill/>
                    <a:ln>
                      <a:noFill/>
                    </a:ln>
                  </pic:spPr>
                </pic:pic>
              </a:graphicData>
            </a:graphic>
          </wp:inline>
        </w:drawing>
      </w:r>
      <w:r w:rsidRPr="00DF4C2F">
        <w:rPr>
          <w:noProof/>
        </w:rPr>
        <w:drawing>
          <wp:inline distT="0" distB="0" distL="0" distR="0" wp14:anchorId="56BA31D5" wp14:editId="57EC9211">
            <wp:extent cx="3735238" cy="999460"/>
            <wp:effectExtent l="0" t="0" r="0" b="0"/>
            <wp:docPr id="57" name="Picture 57" descr="Table 18: Phase II studies (CKD population) treatment emergent adverse events by Preferred Term occurring in at least 5% of patients (safety set) by transplant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 18: Phase II studies (CKD population) treatment emergent adverse events by Preferred Term occurring in at least 5% of patients (safety set) by transplantation statu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3530" cy="1012382"/>
                    </a:xfrm>
                    <a:prstGeom prst="rect">
                      <a:avLst/>
                    </a:prstGeom>
                    <a:noFill/>
                    <a:ln>
                      <a:noFill/>
                    </a:ln>
                  </pic:spPr>
                </pic:pic>
              </a:graphicData>
            </a:graphic>
          </wp:inline>
        </w:drawing>
      </w:r>
    </w:p>
    <w:p w14:paraId="6F6D1D7F" w14:textId="1FA95520" w:rsidR="00F771A9" w:rsidRPr="00F771A9" w:rsidRDefault="00F771A9" w:rsidP="0071545A">
      <w:pPr>
        <w:pStyle w:val="Heading5"/>
        <w:pageBreakBefore/>
      </w:pPr>
      <w:r w:rsidRPr="00F771A9">
        <w:lastRenderedPageBreak/>
        <w:t>Treatment related adverse event (adverse drug reaction) overview</w:t>
      </w:r>
    </w:p>
    <w:p w14:paraId="03427B07" w14:textId="10F6F763" w:rsidR="00C8583D" w:rsidRPr="003F5A59" w:rsidRDefault="007B5936" w:rsidP="0071545A">
      <w:pPr>
        <w:pStyle w:val="Heading6"/>
      </w:pPr>
      <w:r w:rsidRPr="003F5A59">
        <w:t xml:space="preserve">Adverse </w:t>
      </w:r>
      <w:r w:rsidR="0071545A" w:rsidRPr="003F5A59">
        <w:t>drug reaction overview</w:t>
      </w:r>
    </w:p>
    <w:p w14:paraId="4BB5AB6D" w14:textId="2C5A9612" w:rsidR="007B5936" w:rsidRPr="003F5A59" w:rsidRDefault="007B5936" w:rsidP="0071545A">
      <w:r w:rsidRPr="003F5A59">
        <w:t xml:space="preserve">In the section below, treatment-emergent AEs and post-treatment emergent AEs assessed as related to </w:t>
      </w:r>
      <w:proofErr w:type="spellStart"/>
      <w:r w:rsidRPr="003F5A59">
        <w:t>imlifidase</w:t>
      </w:r>
      <w:proofErr w:type="spellEnd"/>
      <w:r w:rsidRPr="003F5A59">
        <w:t xml:space="preserve"> are presented, </w:t>
      </w:r>
      <w:r w:rsidR="0071545A" w:rsidRPr="003F5A59">
        <w:t>i.e.,</w:t>
      </w:r>
      <w:r w:rsidRPr="003F5A59">
        <w:t xml:space="preserve"> ADRs:</w:t>
      </w:r>
    </w:p>
    <w:p w14:paraId="4811868D" w14:textId="7183DEC6" w:rsidR="00F771A9" w:rsidRPr="00F771A9" w:rsidRDefault="00F771A9" w:rsidP="00F771A9">
      <w:r w:rsidRPr="00F771A9">
        <w:t xml:space="preserve">Phase </w:t>
      </w:r>
      <w:r>
        <w:t>II</w:t>
      </w:r>
      <w:r w:rsidRPr="00F771A9">
        <w:t xml:space="preserve"> studies (CKD population): 18</w:t>
      </w:r>
      <w:r>
        <w:t xml:space="preserve"> out of </w:t>
      </w:r>
      <w:r w:rsidRPr="00F771A9">
        <w:t>53 patients (34%) had at least one related TEAE. 4/53 patients (8%) had one related post-TEAEs each</w:t>
      </w:r>
      <w:r>
        <w:t xml:space="preserve"> (</w:t>
      </w:r>
      <w:r>
        <w:fldChar w:fldCharType="begin"/>
      </w:r>
      <w:r>
        <w:instrText xml:space="preserve"> REF _Ref148707942 \h </w:instrText>
      </w:r>
      <w:r>
        <w:fldChar w:fldCharType="separate"/>
      </w:r>
      <w:r w:rsidR="00755A69" w:rsidRPr="00F771A9">
        <w:t xml:space="preserve">Table </w:t>
      </w:r>
      <w:r w:rsidR="00755A69">
        <w:rPr>
          <w:noProof/>
        </w:rPr>
        <w:t>19</w:t>
      </w:r>
      <w:r>
        <w:fldChar w:fldCharType="end"/>
      </w:r>
      <w:r>
        <w:t>).</w:t>
      </w:r>
    </w:p>
    <w:p w14:paraId="70C904C2" w14:textId="32951806" w:rsidR="00F771A9" w:rsidRDefault="00F771A9" w:rsidP="0071545A">
      <w:pPr>
        <w:pStyle w:val="TableTitle"/>
      </w:pPr>
      <w:bookmarkStart w:id="76" w:name="_Ref148707942"/>
      <w:r w:rsidRPr="00F771A9">
        <w:t xml:space="preserve">Table </w:t>
      </w:r>
      <w:fldSimple w:instr=" SEQ Table \* ARABIC ">
        <w:r w:rsidR="00755A69">
          <w:rPr>
            <w:noProof/>
          </w:rPr>
          <w:t>19</w:t>
        </w:r>
      </w:fldSimple>
      <w:bookmarkEnd w:id="76"/>
      <w:r w:rsidRPr="00F771A9">
        <w:t>:</w:t>
      </w:r>
      <w:r>
        <w:t xml:space="preserve"> </w:t>
      </w:r>
      <w:r w:rsidRPr="003E5A6D">
        <w:t xml:space="preserve">Phase </w:t>
      </w:r>
      <w:r>
        <w:t>II</w:t>
      </w:r>
      <w:r w:rsidRPr="003E5A6D">
        <w:t xml:space="preserve"> studies (CKD population)</w:t>
      </w:r>
      <w:r w:rsidR="009F7A07">
        <w:t xml:space="preserve"> r</w:t>
      </w:r>
      <w:r w:rsidRPr="00907902">
        <w:t xml:space="preserve">elated </w:t>
      </w:r>
      <w:r w:rsidR="009F7A07">
        <w:t>t</w:t>
      </w:r>
      <w:r w:rsidR="009F7A07" w:rsidRPr="00F771A9">
        <w:t xml:space="preserve">reatment </w:t>
      </w:r>
      <w:r w:rsidR="004B27FC">
        <w:t>emergent</w:t>
      </w:r>
      <w:r w:rsidR="009F7A07" w:rsidRPr="00F771A9">
        <w:t xml:space="preserve"> adverse event</w:t>
      </w:r>
      <w:r w:rsidRPr="00907902">
        <w:t xml:space="preserve"> and related post-</w:t>
      </w:r>
      <w:r w:rsidR="009F7A07">
        <w:t>t</w:t>
      </w:r>
      <w:r w:rsidR="009F7A07" w:rsidRPr="00F771A9">
        <w:t xml:space="preserve">reatment </w:t>
      </w:r>
      <w:r w:rsidR="00D7335A">
        <w:t>emergent</w:t>
      </w:r>
      <w:r w:rsidR="009F7A07" w:rsidRPr="00F771A9">
        <w:t xml:space="preserve"> adverse event</w:t>
      </w:r>
      <w:r w:rsidRPr="00907902">
        <w:t xml:space="preserve"> by </w:t>
      </w:r>
      <w:r w:rsidR="009F7A07">
        <w:t xml:space="preserve">Preferred </w:t>
      </w:r>
      <w:r w:rsidRPr="00907902">
        <w:t>T</w:t>
      </w:r>
      <w:r w:rsidR="009F7A07">
        <w:t>erm</w:t>
      </w:r>
      <w:r w:rsidRPr="00907902">
        <w:t xml:space="preserve"> (safety set)</w:t>
      </w:r>
    </w:p>
    <w:p w14:paraId="172A363E" w14:textId="62BEA8C7" w:rsidR="00F771A9" w:rsidRDefault="00F771A9" w:rsidP="0071545A">
      <w:r w:rsidRPr="00B81B88">
        <w:rPr>
          <w:noProof/>
        </w:rPr>
        <w:drawing>
          <wp:inline distT="0" distB="0" distL="0" distR="0" wp14:anchorId="07D2D992" wp14:editId="081BF361">
            <wp:extent cx="5703516" cy="4277801"/>
            <wp:effectExtent l="0" t="0" r="0" b="8890"/>
            <wp:docPr id="48" name="Picture 48" descr="Phase II studies (CKD population) related treatment related adverse event and related post-treatment related adverse event by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hase II studies (CKD population) related treatment related adverse event and related post-treatment related adverse event by Preferred Term (safety se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3264"/>
                    <a:stretch/>
                  </pic:blipFill>
                  <pic:spPr bwMode="auto">
                    <a:xfrm>
                      <a:off x="0" y="0"/>
                      <a:ext cx="5706893" cy="4280334"/>
                    </a:xfrm>
                    <a:prstGeom prst="rect">
                      <a:avLst/>
                    </a:prstGeom>
                    <a:noFill/>
                    <a:ln>
                      <a:noFill/>
                    </a:ln>
                    <a:extLst>
                      <a:ext uri="{53640926-AAD7-44D8-BBD7-CCE9431645EC}">
                        <a14:shadowObscured xmlns:a14="http://schemas.microsoft.com/office/drawing/2010/main"/>
                      </a:ext>
                    </a:extLst>
                  </pic:spPr>
                </pic:pic>
              </a:graphicData>
            </a:graphic>
          </wp:inline>
        </w:drawing>
      </w:r>
    </w:p>
    <w:p w14:paraId="13BF9823" w14:textId="77777777" w:rsidR="00F771A9" w:rsidRPr="00F771A9" w:rsidRDefault="00F771A9" w:rsidP="00500C34">
      <w:pPr>
        <w:pStyle w:val="Heading5"/>
      </w:pPr>
      <w:r w:rsidRPr="00F771A9">
        <w:t>Deaths</w:t>
      </w:r>
    </w:p>
    <w:p w14:paraId="383C4564" w14:textId="77777777" w:rsidR="00F771A9" w:rsidRPr="00F771A9" w:rsidRDefault="00F771A9" w:rsidP="00F771A9">
      <w:r w:rsidRPr="00F771A9">
        <w:t>No deaths occurred in the core clinical studies with imlifidase or in completed or ongoing studies with imlifidase in other indications.</w:t>
      </w:r>
    </w:p>
    <w:p w14:paraId="7B3EDC86" w14:textId="77777777" w:rsidR="00F771A9" w:rsidRPr="00F771A9" w:rsidRDefault="00F771A9" w:rsidP="00500C34">
      <w:pPr>
        <w:pStyle w:val="Heading5"/>
      </w:pPr>
      <w:r w:rsidRPr="00F771A9">
        <w:t>Serious adverse events</w:t>
      </w:r>
    </w:p>
    <w:p w14:paraId="359F00A8" w14:textId="2D143EE6" w:rsidR="00F771A9" w:rsidRPr="00F771A9" w:rsidRDefault="00F771A9" w:rsidP="00F771A9">
      <w:r w:rsidRPr="00F771A9">
        <w:t xml:space="preserve">Phase </w:t>
      </w:r>
      <w:r w:rsidR="00500C34">
        <w:t>I</w:t>
      </w:r>
      <w:r w:rsidRPr="00F771A9">
        <w:t xml:space="preserve"> studies (healthy males): No SAEs.</w:t>
      </w:r>
    </w:p>
    <w:p w14:paraId="2FE9102A" w14:textId="7E3133FA" w:rsidR="00F771A9" w:rsidRPr="00F771A9" w:rsidRDefault="00F771A9" w:rsidP="00F771A9">
      <w:r w:rsidRPr="00F771A9">
        <w:t xml:space="preserve">Phase </w:t>
      </w:r>
      <w:r w:rsidR="00500C34">
        <w:t>II</w:t>
      </w:r>
      <w:r w:rsidRPr="00F771A9">
        <w:t xml:space="preserve"> studies (CKD population): 112 SAEs were reported by 38</w:t>
      </w:r>
      <w:r w:rsidR="00500C34">
        <w:t xml:space="preserve"> out of </w:t>
      </w:r>
      <w:r w:rsidRPr="00F771A9">
        <w:t>53 patients (72%). 20</w:t>
      </w:r>
      <w:r w:rsidR="00500C34">
        <w:t xml:space="preserve"> out of </w:t>
      </w:r>
      <w:r w:rsidRPr="00F771A9">
        <w:t>53 patients (38%) had a TESAE of severe intensity. 11</w:t>
      </w:r>
      <w:r w:rsidR="009F7A07">
        <w:t xml:space="preserve"> </w:t>
      </w:r>
      <w:r w:rsidR="00500C34">
        <w:t xml:space="preserve">out of </w:t>
      </w:r>
      <w:r w:rsidRPr="00F771A9">
        <w:t>53 patients (21%) had 12</w:t>
      </w:r>
      <w:r w:rsidR="00500C34">
        <w:t> </w:t>
      </w:r>
      <w:r w:rsidRPr="00F771A9">
        <w:t>related SAEs (52.3 related SAEs per 100 subject-follow-up-years). Related SAEs included: pneumonia (</w:t>
      </w:r>
      <w:r w:rsidR="009F7A07">
        <w:t>three</w:t>
      </w:r>
      <w:r w:rsidRPr="00F771A9">
        <w:t xml:space="preserve"> patients [6%]), sepsis (</w:t>
      </w:r>
      <w:r w:rsidR="009F7A07">
        <w:t>two</w:t>
      </w:r>
      <w:r w:rsidRPr="00F771A9">
        <w:t xml:space="preserve"> patients [4%]), and abdominal infection, catheter site infection, parvovirus infection, upper respiratory tract infection, infusion-related reaction, myalgia, and transplant rejection (1 patient [2%]) each). 42% of the SAEs started ≤</w:t>
      </w:r>
      <w:r w:rsidR="009F7A07">
        <w:t> </w:t>
      </w:r>
      <w:r w:rsidRPr="00F771A9">
        <w:t>30 days of the last dose and 58% started &gt;</w:t>
      </w:r>
      <w:r w:rsidR="009F7A07">
        <w:t> </w:t>
      </w:r>
      <w:r w:rsidRPr="00F771A9">
        <w:t>30 days. The duration was ≤</w:t>
      </w:r>
      <w:r w:rsidR="009F7A07">
        <w:t> </w:t>
      </w:r>
      <w:r w:rsidRPr="00F771A9">
        <w:t>30 days for 82% of the SAEs.</w:t>
      </w:r>
    </w:p>
    <w:p w14:paraId="1B1DDAA6" w14:textId="03AC95EE" w:rsidR="00F771A9" w:rsidRPr="00F771A9" w:rsidRDefault="00F771A9" w:rsidP="00500C34">
      <w:pPr>
        <w:pStyle w:val="Heading5"/>
      </w:pPr>
      <w:r w:rsidRPr="00F771A9">
        <w:lastRenderedPageBreak/>
        <w:t>Adverse events of special interest</w:t>
      </w:r>
    </w:p>
    <w:p w14:paraId="6359DF67" w14:textId="7B931A50" w:rsidR="00F771A9" w:rsidRDefault="00F771A9" w:rsidP="00F771A9">
      <w:r w:rsidRPr="00F771A9">
        <w:t xml:space="preserve">The following potential </w:t>
      </w:r>
      <w:r w:rsidR="009F7A07">
        <w:t>a</w:t>
      </w:r>
      <w:r w:rsidR="009F7A07" w:rsidRPr="00F771A9">
        <w:t>dverse events of special interest</w:t>
      </w:r>
      <w:r w:rsidR="009F7A07">
        <w:t>s</w:t>
      </w:r>
      <w:r w:rsidR="009F7A07" w:rsidRPr="00F771A9">
        <w:t xml:space="preserve"> </w:t>
      </w:r>
      <w:r w:rsidR="009F7A07">
        <w:t>(</w:t>
      </w:r>
      <w:r w:rsidRPr="00F771A9">
        <w:t>AESI</w:t>
      </w:r>
      <w:r w:rsidR="009F7A07">
        <w:t>)</w:t>
      </w:r>
      <w:r w:rsidRPr="00F771A9">
        <w:t xml:space="preserve"> were pre-defined: severe or serious infections (</w:t>
      </w:r>
      <w:r w:rsidR="00500C34">
        <w:t>for example</w:t>
      </w:r>
      <w:r w:rsidRPr="00F771A9">
        <w:t>, potentially due to the temporarily lowered IgG levels)</w:t>
      </w:r>
      <w:r w:rsidR="00500C34">
        <w:t xml:space="preserve"> (</w:t>
      </w:r>
      <w:r w:rsidR="00500C34">
        <w:fldChar w:fldCharType="begin"/>
      </w:r>
      <w:r w:rsidR="00500C34">
        <w:instrText xml:space="preserve"> REF _Ref148708065 \h </w:instrText>
      </w:r>
      <w:r w:rsidR="00500C34">
        <w:fldChar w:fldCharType="separate"/>
      </w:r>
      <w:r w:rsidR="00755A69" w:rsidRPr="00500C34">
        <w:t xml:space="preserve">Table </w:t>
      </w:r>
      <w:r w:rsidR="00755A69">
        <w:rPr>
          <w:noProof/>
        </w:rPr>
        <w:t>20</w:t>
      </w:r>
      <w:r w:rsidR="00500C34">
        <w:fldChar w:fldCharType="end"/>
      </w:r>
      <w:r w:rsidR="00500C34">
        <w:t>)</w:t>
      </w:r>
      <w:r w:rsidRPr="00F771A9">
        <w:t>; infusion-related reactions; serum sickness; myalgia.</w:t>
      </w:r>
    </w:p>
    <w:p w14:paraId="14DF4E26" w14:textId="3880E863" w:rsidR="00500C34" w:rsidRDefault="00500C34" w:rsidP="00500C34">
      <w:pPr>
        <w:pStyle w:val="TableTitle"/>
      </w:pPr>
      <w:bookmarkStart w:id="77" w:name="_Ref148708065"/>
      <w:r w:rsidRPr="00500C34">
        <w:t xml:space="preserve">Table </w:t>
      </w:r>
      <w:fldSimple w:instr=" SEQ Table \* ARABIC ">
        <w:r w:rsidR="00755A69">
          <w:rPr>
            <w:noProof/>
          </w:rPr>
          <w:t>20</w:t>
        </w:r>
      </w:fldSimple>
      <w:bookmarkEnd w:id="77"/>
      <w:r>
        <w:t xml:space="preserve">: </w:t>
      </w:r>
      <w:r w:rsidRPr="00FE5CE1">
        <w:t xml:space="preserve">Phase </w:t>
      </w:r>
      <w:r w:rsidR="00774208">
        <w:t xml:space="preserve">I and </w:t>
      </w:r>
      <w:r>
        <w:t>II</w:t>
      </w:r>
      <w:r w:rsidRPr="00FE5CE1">
        <w:t xml:space="preserve"> studies (</w:t>
      </w:r>
      <w:r w:rsidR="00774208">
        <w:t xml:space="preserve">healthy volunteers (HV) and </w:t>
      </w:r>
      <w:r w:rsidRPr="00FE5CE1">
        <w:t>CKD population)</w:t>
      </w:r>
      <w:r w:rsidR="009F7A07">
        <w:t xml:space="preserve"> </w:t>
      </w:r>
      <w:r w:rsidR="00BC40F2">
        <w:t xml:space="preserve">Related Potential AESIs of </w:t>
      </w:r>
      <w:r>
        <w:t>S</w:t>
      </w:r>
      <w:r w:rsidRPr="00FE5CE1">
        <w:t>evere or serious infections</w:t>
      </w:r>
      <w:r w:rsidR="00224B1C">
        <w:t xml:space="preserve">. </w:t>
      </w:r>
    </w:p>
    <w:p w14:paraId="2783B19C" w14:textId="024183FE" w:rsidR="00500C34" w:rsidRDefault="00500C34" w:rsidP="00500C34">
      <w:r w:rsidRPr="000C0412">
        <w:rPr>
          <w:noProof/>
        </w:rPr>
        <w:drawing>
          <wp:inline distT="0" distB="0" distL="0" distR="0" wp14:anchorId="26716458" wp14:editId="2949C2AA">
            <wp:extent cx="5691843" cy="2107096"/>
            <wp:effectExtent l="0" t="0" r="4445" b="7620"/>
            <wp:docPr id="59" name="Picture 59" descr="Phase II studies (CKD population) Severe or serious infections adverse events of speci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hase II studies (CKD population) Severe or serious infections adverse events of special interes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247"/>
                    <a:stretch/>
                  </pic:blipFill>
                  <pic:spPr bwMode="auto">
                    <a:xfrm>
                      <a:off x="0" y="0"/>
                      <a:ext cx="5691843" cy="2107096"/>
                    </a:xfrm>
                    <a:prstGeom prst="rect">
                      <a:avLst/>
                    </a:prstGeom>
                    <a:noFill/>
                    <a:ln>
                      <a:noFill/>
                    </a:ln>
                    <a:extLst>
                      <a:ext uri="{53640926-AAD7-44D8-BBD7-CCE9431645EC}">
                        <a14:shadowObscured xmlns:a14="http://schemas.microsoft.com/office/drawing/2010/main"/>
                      </a:ext>
                    </a:extLst>
                  </pic:spPr>
                </pic:pic>
              </a:graphicData>
            </a:graphic>
          </wp:inline>
        </w:drawing>
      </w:r>
    </w:p>
    <w:p w14:paraId="79C1B0AC" w14:textId="77777777" w:rsidR="000C58E6" w:rsidRPr="00500C34" w:rsidRDefault="000C58E6" w:rsidP="000C58E6">
      <w:r w:rsidRPr="00500C34">
        <w:t>Related potential AESIs within the AESI ‘Severe or serious infections’ by PT and subpopulation (all treated).</w:t>
      </w:r>
    </w:p>
    <w:p w14:paraId="09DC6F1A" w14:textId="1CC7636A" w:rsidR="00F771A9" w:rsidRDefault="00F771A9" w:rsidP="00F771A9">
      <w:r w:rsidRPr="00F771A9">
        <w:t>2</w:t>
      </w:r>
      <w:r w:rsidR="00D578E1">
        <w:t>5</w:t>
      </w:r>
      <w:r w:rsidR="00500C34">
        <w:t xml:space="preserve"> out of </w:t>
      </w:r>
      <w:r w:rsidRPr="00F771A9">
        <w:t>53 patients (47%) experienced 41 potential AESIs</w:t>
      </w:r>
      <w:r w:rsidR="00500C34">
        <w:t xml:space="preserve"> (</w:t>
      </w:r>
      <w:r w:rsidR="00500C34">
        <w:fldChar w:fldCharType="begin"/>
      </w:r>
      <w:r w:rsidR="00500C34">
        <w:instrText xml:space="preserve"> REF _Ref148708144 \h </w:instrText>
      </w:r>
      <w:r w:rsidR="00500C34">
        <w:fldChar w:fldCharType="separate"/>
      </w:r>
      <w:r w:rsidR="00755A69" w:rsidRPr="00500C34">
        <w:t xml:space="preserve">Table </w:t>
      </w:r>
      <w:r w:rsidR="00755A69">
        <w:rPr>
          <w:noProof/>
        </w:rPr>
        <w:t>21</w:t>
      </w:r>
      <w:r w:rsidR="00500C34">
        <w:fldChar w:fldCharType="end"/>
      </w:r>
      <w:r w:rsidR="00500C34">
        <w:t>)</w:t>
      </w:r>
      <w:r w:rsidRPr="00F771A9">
        <w:t>: 17</w:t>
      </w:r>
      <w:r w:rsidR="00500C34">
        <w:t xml:space="preserve"> out of </w:t>
      </w:r>
      <w:r w:rsidRPr="00F771A9">
        <w:t>43 (40%) receiving a total imlifidase dose of 0.25 mg/kg and 8</w:t>
      </w:r>
      <w:r w:rsidR="00500C34">
        <w:t xml:space="preserve"> out of </w:t>
      </w:r>
      <w:r w:rsidRPr="00F771A9">
        <w:t>10 (80%) receiving a total dose of 0.</w:t>
      </w:r>
      <w:r w:rsidRPr="00F866FA">
        <w:t>50</w:t>
      </w:r>
      <w:r w:rsidR="00F866FA">
        <w:t> </w:t>
      </w:r>
      <w:r w:rsidRPr="00F866FA">
        <w:t>mg</w:t>
      </w:r>
      <w:r w:rsidRPr="00F771A9">
        <w:t>/kg.</w:t>
      </w:r>
    </w:p>
    <w:p w14:paraId="2190FC80" w14:textId="1363871A" w:rsidR="00500C34" w:rsidRPr="00F771A9" w:rsidRDefault="00500C34" w:rsidP="00547449">
      <w:pPr>
        <w:pStyle w:val="TableTitle"/>
      </w:pPr>
      <w:bookmarkStart w:id="78" w:name="_Ref148708144"/>
      <w:r w:rsidRPr="00500C34">
        <w:t xml:space="preserve">Table </w:t>
      </w:r>
      <w:fldSimple w:instr=" SEQ Table \* ARABIC ">
        <w:r w:rsidR="00755A69">
          <w:rPr>
            <w:noProof/>
          </w:rPr>
          <w:t>21</w:t>
        </w:r>
      </w:fldSimple>
      <w:bookmarkEnd w:id="78"/>
      <w:r>
        <w:t xml:space="preserve">: </w:t>
      </w:r>
      <w:r w:rsidRPr="003E5A6D">
        <w:t xml:space="preserve">Phase </w:t>
      </w:r>
      <w:r>
        <w:t>II</w:t>
      </w:r>
      <w:r w:rsidRPr="003E5A6D">
        <w:t xml:space="preserve"> studies (CKD population)</w:t>
      </w:r>
      <w:r w:rsidR="00F866FA">
        <w:t xml:space="preserve"> a</w:t>
      </w:r>
      <w:r w:rsidR="00F866FA" w:rsidRPr="00F771A9">
        <w:t>dverse events of special interes</w:t>
      </w:r>
      <w:r w:rsidR="00F866FA">
        <w:t>t</w:t>
      </w:r>
      <w:r w:rsidRPr="003E5A6D">
        <w:t xml:space="preserve"> </w:t>
      </w:r>
      <w:r>
        <w:t>by</w:t>
      </w:r>
      <w:r w:rsidRPr="003E5A6D">
        <w:t xml:space="preserve"> total dose (safety set)</w:t>
      </w:r>
      <w:r>
        <w:t>.</w:t>
      </w:r>
    </w:p>
    <w:p w14:paraId="475DB7F4" w14:textId="3EF6464F" w:rsidR="00F771A9" w:rsidRDefault="00500C34" w:rsidP="00547449">
      <w:r w:rsidRPr="003E5A6D">
        <w:rPr>
          <w:noProof/>
        </w:rPr>
        <w:drawing>
          <wp:inline distT="0" distB="0" distL="0" distR="0" wp14:anchorId="64063D80" wp14:editId="37A04161">
            <wp:extent cx="5521325" cy="1399429"/>
            <wp:effectExtent l="0" t="0" r="3175" b="0"/>
            <wp:docPr id="58" name="Picture 58" descr="Phase II studies (CKD population) adverse events of special interest by total dos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hase II studies (CKD population) adverse events of special interest by total dose (safety se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0371"/>
                    <a:stretch/>
                  </pic:blipFill>
                  <pic:spPr bwMode="auto">
                    <a:xfrm>
                      <a:off x="0" y="0"/>
                      <a:ext cx="5526345" cy="1400701"/>
                    </a:xfrm>
                    <a:prstGeom prst="rect">
                      <a:avLst/>
                    </a:prstGeom>
                    <a:noFill/>
                    <a:ln>
                      <a:noFill/>
                    </a:ln>
                    <a:extLst>
                      <a:ext uri="{53640926-AAD7-44D8-BBD7-CCE9431645EC}">
                        <a14:shadowObscured xmlns:a14="http://schemas.microsoft.com/office/drawing/2010/main"/>
                      </a:ext>
                    </a:extLst>
                  </pic:spPr>
                </pic:pic>
              </a:graphicData>
            </a:graphic>
          </wp:inline>
        </w:drawing>
      </w:r>
    </w:p>
    <w:p w14:paraId="1969989E" w14:textId="283DAD0E" w:rsidR="00500C34" w:rsidRPr="00500C34" w:rsidRDefault="00500C34" w:rsidP="00500C34">
      <w:r w:rsidRPr="00500C34">
        <w:t>All AESIs of ‘Infusion-related reaction’ occurred in the 0.25 mg/kg group (</w:t>
      </w:r>
      <w:r w:rsidR="00F866FA">
        <w:t>three</w:t>
      </w:r>
      <w:r w:rsidRPr="00500C34">
        <w:t xml:space="preserve"> patients [7%]). ‘Severe or serious infections’ were imbalanced (35% versus 70%). ‘Severe or serious myalgia’ only occurred in the </w:t>
      </w:r>
      <w:r w:rsidR="008E03C6">
        <w:t>higher (0.5 mg/kg)</w:t>
      </w:r>
      <w:r w:rsidRPr="00500C34">
        <w:t xml:space="preserve"> dose group. The patient numbers are too small for definite conclusions, in particular in the absence of an inactive comparator group.</w:t>
      </w:r>
    </w:p>
    <w:p w14:paraId="18B424DF" w14:textId="58FB53F0" w:rsidR="00500C34" w:rsidRPr="00500C34" w:rsidRDefault="00500C34" w:rsidP="00500C34">
      <w:pPr>
        <w:pStyle w:val="Heading5"/>
      </w:pPr>
      <w:r w:rsidRPr="00500C34">
        <w:t>Long term safety in ongoing Study 14 (follow-up of patients from Studies 02, 03, 04 and 06. Study 14)</w:t>
      </w:r>
    </w:p>
    <w:p w14:paraId="51F72E37" w14:textId="3CCFF34E" w:rsidR="00500C34" w:rsidRPr="00500C34" w:rsidRDefault="00500C34" w:rsidP="00500C34">
      <w:r w:rsidRPr="00500C34">
        <w:t xml:space="preserve">Additional to </w:t>
      </w:r>
      <w:r w:rsidR="00F866FA">
        <w:t>three</w:t>
      </w:r>
      <w:r w:rsidRPr="00500C34">
        <w:t xml:space="preserve"> events of graft loss in the core studies, another </w:t>
      </w:r>
      <w:r w:rsidR="00F866FA">
        <w:t>three</w:t>
      </w:r>
      <w:r w:rsidRPr="00500C34">
        <w:t xml:space="preserve"> events of graft loss occurr</w:t>
      </w:r>
      <w:r w:rsidR="0052340A">
        <w:t>ed</w:t>
      </w:r>
      <w:r w:rsidRPr="00500C34">
        <w:t xml:space="preserve"> after the core studies: one case of a transplant with poor function followed by a rejection episode and gradual decline of function; one case due to non-compliance with immunosuppression therapy; and one case occurring after reduction of immunosuppression therapy due to infection. No related SAE has been reported at the </w:t>
      </w:r>
      <w:r w:rsidR="00F866FA">
        <w:t>data lock point (</w:t>
      </w:r>
      <w:r w:rsidRPr="00500C34">
        <w:t>DLP</w:t>
      </w:r>
      <w:r w:rsidR="00F866FA">
        <w:t>)</w:t>
      </w:r>
      <w:r w:rsidRPr="00500C34">
        <w:t>. Three deaths occurred and none were considered related to imlifidase.</w:t>
      </w:r>
    </w:p>
    <w:p w14:paraId="12B4DE75" w14:textId="5A4C0D1A" w:rsidR="00500C34" w:rsidRPr="00500C34" w:rsidRDefault="00500C34" w:rsidP="00500C34">
      <w:pPr>
        <w:pStyle w:val="Heading5"/>
      </w:pPr>
      <w:r w:rsidRPr="00500C34">
        <w:lastRenderedPageBreak/>
        <w:t xml:space="preserve">Immunogenicity and </w:t>
      </w:r>
      <w:r w:rsidR="00F866FA">
        <w:t>anti-drug antibody</w:t>
      </w:r>
    </w:p>
    <w:p w14:paraId="3FC6E640" w14:textId="297704EC" w:rsidR="00500C34" w:rsidRPr="00500C34" w:rsidRDefault="00500C34" w:rsidP="00500C34">
      <w:r w:rsidRPr="00500C34">
        <w:t xml:space="preserve">Antibodies against imlifidase are not uncommon due to previous exposure to </w:t>
      </w:r>
      <w:r w:rsidRPr="00522826">
        <w:rPr>
          <w:i/>
          <w:iCs/>
        </w:rPr>
        <w:t>S. pyogenes</w:t>
      </w:r>
      <w:r w:rsidRPr="00500C34">
        <w:t>. No IgE antibodies were detected in any patient in the clinical studies. The sponsor postulated that infusion reactions likely resulted from mechanisms not specific to imlifidase.</w:t>
      </w:r>
    </w:p>
    <w:p w14:paraId="4C7C047C" w14:textId="3837939A" w:rsidR="00500C34" w:rsidRPr="00500C34" w:rsidRDefault="00500C34" w:rsidP="00500C34">
      <w:r w:rsidRPr="00500C34">
        <w:t xml:space="preserve">At </w:t>
      </w:r>
      <w:r w:rsidR="00F866FA">
        <w:t>B</w:t>
      </w:r>
      <w:r w:rsidRPr="00500C34">
        <w:t>aseline</w:t>
      </w:r>
      <w:r w:rsidR="00522826">
        <w:t xml:space="preserve">, at least </w:t>
      </w:r>
      <w:r w:rsidRPr="00500C34">
        <w:t xml:space="preserve">85% of patients had detectable anti-imlifidase IgG. These antibodies were cleaved along with the rest of the IgG and were rarely detectable after 2 to 6 hours post dose. The anti-imlifidase IgG recovered after </w:t>
      </w:r>
      <w:r w:rsidR="00F866FA">
        <w:t>seven</w:t>
      </w:r>
      <w:r w:rsidRPr="00500C34">
        <w:t xml:space="preserve"> days and peaked several weeks after treatment at higher than baseline concentrations.</w:t>
      </w:r>
    </w:p>
    <w:p w14:paraId="4CC4DDB7" w14:textId="47264FEA" w:rsidR="00500C34" w:rsidRPr="00500C34" w:rsidRDefault="00500C34" w:rsidP="00500C34">
      <w:r w:rsidRPr="00500C34">
        <w:t>However, the anti-imlifidase antibodies did not appear to interfere with treatment or cause adverse effects. Population PK</w:t>
      </w:r>
      <w:r w:rsidR="00F866FA">
        <w:t>/</w:t>
      </w:r>
      <w:r w:rsidRPr="00500C34">
        <w:t>PD modelling did not suggest a clinically significant effect between pre-dose ADA levels and the PD effect of imlifidase at the proposed dose.</w:t>
      </w:r>
    </w:p>
    <w:p w14:paraId="377A9910" w14:textId="77777777" w:rsidR="00500C34" w:rsidRPr="00500C34" w:rsidRDefault="00500C34" w:rsidP="00500C34">
      <w:pPr>
        <w:pStyle w:val="Heading5"/>
      </w:pPr>
      <w:r w:rsidRPr="00500C34">
        <w:t>Post-market reports</w:t>
      </w:r>
    </w:p>
    <w:p w14:paraId="754EBDA5" w14:textId="2A97FD4B" w:rsidR="00500C34" w:rsidRPr="00500C34" w:rsidRDefault="00500C34" w:rsidP="00500C34">
      <w:r w:rsidRPr="00500C34">
        <w:t xml:space="preserve">Three </w:t>
      </w:r>
      <w:r w:rsidR="00F866FA">
        <w:t>p</w:t>
      </w:r>
      <w:r w:rsidR="00F866FA" w:rsidRPr="00D01DDB">
        <w:rPr>
          <w:szCs w:val="22"/>
        </w:rPr>
        <w:t>eriodic safety update report</w:t>
      </w:r>
      <w:r w:rsidR="00F866FA">
        <w:rPr>
          <w:szCs w:val="22"/>
        </w:rPr>
        <w:t>s</w:t>
      </w:r>
      <w:r w:rsidR="00F866FA" w:rsidRPr="00500C34">
        <w:t xml:space="preserve"> </w:t>
      </w:r>
      <w:r w:rsidR="00F866FA">
        <w:t>(</w:t>
      </w:r>
      <w:r w:rsidRPr="00500C34">
        <w:t>PSUR</w:t>
      </w:r>
      <w:r w:rsidR="00F866FA">
        <w:t>)</w:t>
      </w:r>
      <w:r w:rsidRPr="00500C34">
        <w:t xml:space="preserve"> were provided for the following time periods:</w:t>
      </w:r>
    </w:p>
    <w:p w14:paraId="68CE640A" w14:textId="1FB30CFF" w:rsidR="00500C34" w:rsidRPr="00500C34" w:rsidRDefault="00500C34" w:rsidP="00500C34">
      <w:pPr>
        <w:pStyle w:val="ListBullet"/>
      </w:pPr>
      <w:r w:rsidRPr="00500C34">
        <w:t>25 August 2020 to 25 February 2021: during this time period there were no SAEs from individual named patient use programs or from ongoing clinical trials.</w:t>
      </w:r>
    </w:p>
    <w:p w14:paraId="50E0D2A3" w14:textId="3306478A" w:rsidR="00500C34" w:rsidRPr="00500C34" w:rsidRDefault="00500C34" w:rsidP="00500C34">
      <w:pPr>
        <w:pStyle w:val="ListBullet"/>
      </w:pPr>
      <w:r w:rsidRPr="00500C34">
        <w:t xml:space="preserve">26 February 2021 to 25 August 2021: during the reporting interval there was one serious infection with </w:t>
      </w:r>
      <w:r w:rsidRPr="00F866FA">
        <w:rPr>
          <w:i/>
          <w:iCs/>
        </w:rPr>
        <w:t>E. coli</w:t>
      </w:r>
      <w:r w:rsidRPr="00500C34">
        <w:t>.</w:t>
      </w:r>
    </w:p>
    <w:p w14:paraId="5BFD8C7B" w14:textId="19A4DAE3" w:rsidR="00500C34" w:rsidRPr="00500C34" w:rsidRDefault="00500C34" w:rsidP="00500C34">
      <w:pPr>
        <w:pStyle w:val="ListBullet"/>
      </w:pPr>
      <w:r w:rsidRPr="00500C34">
        <w:t xml:space="preserve">26 August 2021 to 25 February 2022: as of February 2022: Five patients were exposed who were not in clinical trials. </w:t>
      </w:r>
      <w:r w:rsidR="00F866FA">
        <w:t>Th</w:t>
      </w:r>
      <w:r w:rsidRPr="00500C34">
        <w:t xml:space="preserve">ere were three reports of off-label use for other medical conditions. There was one serious adverse reaction reported from a clinical trial: acute kidney injury. Cumulatively, 11 patients have received imlifidase through individual named patient use programs. Cumulatively, </w:t>
      </w:r>
      <w:r w:rsidR="00F866FA">
        <w:t>six</w:t>
      </w:r>
      <w:r w:rsidRPr="00500C34">
        <w:t xml:space="preserve"> non-serious ADRs were received from spontaneous post-marketing sources.</w:t>
      </w:r>
    </w:p>
    <w:p w14:paraId="2858B006" w14:textId="77777777" w:rsidR="00C22214" w:rsidRDefault="00C22214" w:rsidP="00C22214">
      <w:pPr>
        <w:pStyle w:val="Heading3"/>
        <w:rPr>
          <w:lang w:eastAsia="en-AU"/>
        </w:rPr>
      </w:pPr>
      <w:bookmarkStart w:id="79" w:name="_Toc314842514"/>
      <w:bookmarkStart w:id="80" w:name="_Toc103679298"/>
      <w:bookmarkStart w:id="81" w:name="_Toc166143715"/>
      <w:r>
        <w:rPr>
          <w:lang w:eastAsia="en-AU"/>
        </w:rPr>
        <w:t>Risk management plan</w:t>
      </w:r>
      <w:bookmarkEnd w:id="79"/>
      <w:bookmarkEnd w:id="80"/>
      <w:bookmarkEnd w:id="81"/>
    </w:p>
    <w:p w14:paraId="08059B63" w14:textId="25778169" w:rsidR="0072543C" w:rsidRDefault="0072543C" w:rsidP="00C22214">
      <w:pPr>
        <w:rPr>
          <w:szCs w:val="22"/>
        </w:rPr>
      </w:pPr>
      <w:bookmarkStart w:id="82" w:name="_Toc247691531"/>
      <w:bookmarkStart w:id="83" w:name="_Toc314842515"/>
      <w:r>
        <w:rPr>
          <w:szCs w:val="22"/>
        </w:rPr>
        <w:t>The sponsor</w:t>
      </w:r>
      <w:r w:rsidRPr="0072543C">
        <w:rPr>
          <w:szCs w:val="22"/>
        </w:rPr>
        <w:t xml:space="preserve"> has submitted E</w:t>
      </w:r>
      <w:r w:rsidR="00F866FA">
        <w:rPr>
          <w:szCs w:val="22"/>
        </w:rPr>
        <w:t>U</w:t>
      </w:r>
      <w:r w:rsidRPr="0072543C">
        <w:rPr>
          <w:szCs w:val="22"/>
        </w:rPr>
        <w:t>-</w:t>
      </w:r>
      <w:r>
        <w:rPr>
          <w:szCs w:val="22"/>
        </w:rPr>
        <w:t>risk management plan (</w:t>
      </w:r>
      <w:r w:rsidRPr="0072543C">
        <w:rPr>
          <w:szCs w:val="22"/>
        </w:rPr>
        <w:t>RMP</w:t>
      </w:r>
      <w:r>
        <w:rPr>
          <w:szCs w:val="22"/>
        </w:rPr>
        <w:t>)</w:t>
      </w:r>
      <w:r w:rsidRPr="0072543C">
        <w:rPr>
          <w:szCs w:val="22"/>
        </w:rPr>
        <w:t xml:space="preserve"> version 1.0 (dated 16 June 2020; </w:t>
      </w:r>
      <w:r>
        <w:rPr>
          <w:szCs w:val="22"/>
        </w:rPr>
        <w:t>data lock point (</w:t>
      </w:r>
      <w:r w:rsidRPr="0072543C">
        <w:rPr>
          <w:szCs w:val="22"/>
        </w:rPr>
        <w:t>DLP</w:t>
      </w:r>
      <w:r>
        <w:rPr>
          <w:szCs w:val="22"/>
        </w:rPr>
        <w:t>)</w:t>
      </w:r>
      <w:r w:rsidRPr="0072543C">
        <w:rPr>
          <w:szCs w:val="22"/>
        </w:rPr>
        <w:t xml:space="preserve"> 1 December 2019) and </w:t>
      </w:r>
      <w:r>
        <w:rPr>
          <w:szCs w:val="22"/>
        </w:rPr>
        <w:t>Australia specific annex (</w:t>
      </w:r>
      <w:r w:rsidRPr="0072543C">
        <w:rPr>
          <w:szCs w:val="22"/>
        </w:rPr>
        <w:t>ASA</w:t>
      </w:r>
      <w:r>
        <w:rPr>
          <w:szCs w:val="22"/>
        </w:rPr>
        <w:t>)</w:t>
      </w:r>
      <w:r w:rsidRPr="0072543C">
        <w:rPr>
          <w:szCs w:val="22"/>
        </w:rPr>
        <w:t xml:space="preserve"> version 0.1 (dated 14 June 2022) in support of this application. In response</w:t>
      </w:r>
      <w:r>
        <w:rPr>
          <w:szCs w:val="22"/>
        </w:rPr>
        <w:t xml:space="preserve"> to TGA’s questions</w:t>
      </w:r>
      <w:r w:rsidRPr="0072543C">
        <w:rPr>
          <w:szCs w:val="22"/>
        </w:rPr>
        <w:t>, the sponsor has submitted updated ASA version 0.2 (dated 21 February 2023) in support of its application. The related EU-RMP is still version 1.0.</w:t>
      </w:r>
    </w:p>
    <w:p w14:paraId="39F3CD1D" w14:textId="3D0B8BFA"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755A69" w:rsidRPr="00755A69">
        <w:rPr>
          <w:szCs w:val="22"/>
        </w:rPr>
        <w:t xml:space="preserve">Table </w:t>
      </w:r>
      <w:r w:rsidR="00755A69" w:rsidRPr="00755A69">
        <w:rPr>
          <w:noProof/>
          <w:szCs w:val="22"/>
        </w:rPr>
        <w:t>22</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life-cycle, during both the pre-approval and post-approval phases.</w:t>
      </w:r>
    </w:p>
    <w:p w14:paraId="0632C932" w14:textId="00F2352A" w:rsidR="00C22214" w:rsidRDefault="00C22214" w:rsidP="0072543C">
      <w:pPr>
        <w:pStyle w:val="TableTitle"/>
        <w:tabs>
          <w:tab w:val="left" w:pos="6804"/>
        </w:tabs>
      </w:pPr>
      <w:bookmarkStart w:id="84" w:name="_Ref97629131"/>
      <w:r>
        <w:t xml:space="preserve">Table </w:t>
      </w:r>
      <w:fldSimple w:instr=" SEQ Table \* ARABIC ">
        <w:r w:rsidR="00755A69">
          <w:rPr>
            <w:noProof/>
          </w:rPr>
          <w:t>22</w:t>
        </w:r>
      </w:fldSimple>
      <w:bookmarkEnd w:id="84"/>
      <w:r>
        <w:t>: Summary of safety concerns</w:t>
      </w:r>
      <w:r w:rsidR="006351D9">
        <w:t xml:space="preserve"> </w:t>
      </w:r>
    </w:p>
    <w:tbl>
      <w:tblPr>
        <w:tblStyle w:val="TableTGAblue2023"/>
        <w:tblW w:w="5000" w:type="pct"/>
        <w:tblLook w:val="04A0" w:firstRow="1" w:lastRow="0" w:firstColumn="1" w:lastColumn="0" w:noHBand="0" w:noVBand="1"/>
      </w:tblPr>
      <w:tblGrid>
        <w:gridCol w:w="1838"/>
        <w:gridCol w:w="3082"/>
        <w:gridCol w:w="935"/>
        <w:gridCol w:w="1135"/>
        <w:gridCol w:w="935"/>
        <w:gridCol w:w="1135"/>
      </w:tblGrid>
      <w:tr w:rsidR="0072543C" w:rsidRPr="00BF52F4" w14:paraId="5B315D40" w14:textId="77777777" w:rsidTr="0072543C">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715" w:type="pct"/>
            <w:gridSpan w:val="2"/>
            <w:vMerge w:val="restart"/>
          </w:tcPr>
          <w:p w14:paraId="3AA6352C" w14:textId="77777777" w:rsidR="0072543C" w:rsidRPr="00BF52F4" w:rsidRDefault="0072543C" w:rsidP="006613A7">
            <w:pPr>
              <w:pStyle w:val="Tabletext0"/>
              <w:rPr>
                <w:b w:val="0"/>
                <w:kern w:val="0"/>
              </w:rPr>
            </w:pPr>
            <w:r w:rsidRPr="00BF52F4">
              <w:rPr>
                <w:kern w:val="0"/>
              </w:rPr>
              <w:t>Summary of safety concerns</w:t>
            </w:r>
          </w:p>
        </w:tc>
        <w:tc>
          <w:tcPr>
            <w:tcW w:w="1142" w:type="pct"/>
            <w:gridSpan w:val="2"/>
          </w:tcPr>
          <w:p w14:paraId="1552BDFE" w14:textId="77777777" w:rsidR="0072543C" w:rsidRPr="00BF52F4" w:rsidRDefault="0072543C" w:rsidP="006613A7">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1142" w:type="pct"/>
            <w:gridSpan w:val="2"/>
          </w:tcPr>
          <w:p w14:paraId="224F670F" w14:textId="77777777" w:rsidR="0072543C" w:rsidRPr="00BF52F4" w:rsidRDefault="0072543C" w:rsidP="006613A7">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72543C" w:rsidRPr="00BF52F4" w14:paraId="045C0301" w14:textId="77777777" w:rsidTr="0072543C">
        <w:trPr>
          <w:trHeight w:val="150"/>
        </w:trPr>
        <w:tc>
          <w:tcPr>
            <w:cnfStyle w:val="001000000000" w:firstRow="0" w:lastRow="0" w:firstColumn="1" w:lastColumn="0" w:oddVBand="0" w:evenVBand="0" w:oddHBand="0" w:evenHBand="0" w:firstRowFirstColumn="0" w:firstRowLastColumn="0" w:lastRowFirstColumn="0" w:lastRowLastColumn="0"/>
            <w:tcW w:w="2715" w:type="pct"/>
            <w:gridSpan w:val="2"/>
            <w:vMerge/>
          </w:tcPr>
          <w:p w14:paraId="0FD33FF0" w14:textId="77777777" w:rsidR="0072543C" w:rsidRPr="00BF52F4" w:rsidRDefault="0072543C" w:rsidP="006613A7">
            <w:pPr>
              <w:pStyle w:val="Tabletext0"/>
              <w:rPr>
                <w:b/>
                <w:kern w:val="0"/>
              </w:rPr>
            </w:pPr>
          </w:p>
        </w:tc>
        <w:tc>
          <w:tcPr>
            <w:tcW w:w="516" w:type="pct"/>
          </w:tcPr>
          <w:p w14:paraId="36488BF1" w14:textId="77777777" w:rsidR="0072543C" w:rsidRPr="00BF52F4" w:rsidRDefault="0072543C" w:rsidP="006613A7">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182D6768" w14:textId="77777777" w:rsidR="0072543C" w:rsidRPr="00BF52F4" w:rsidRDefault="0072543C" w:rsidP="006613A7">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516" w:type="pct"/>
          </w:tcPr>
          <w:p w14:paraId="20E4C5DE" w14:textId="77777777" w:rsidR="0072543C" w:rsidRPr="00BF52F4" w:rsidRDefault="0072543C" w:rsidP="006613A7">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03879B43" w14:textId="77777777" w:rsidR="0072543C" w:rsidRPr="00BF52F4" w:rsidRDefault="0072543C" w:rsidP="006613A7">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72543C" w:rsidRPr="00BF52F4" w14:paraId="5636D20B" w14:textId="77777777" w:rsidTr="00547449">
        <w:trPr>
          <w:trHeight w:val="137"/>
        </w:trPr>
        <w:tc>
          <w:tcPr>
            <w:cnfStyle w:val="001000000000" w:firstRow="0" w:lastRow="0" w:firstColumn="1" w:lastColumn="0" w:oddVBand="0" w:evenVBand="0" w:oddHBand="0" w:evenHBand="0" w:firstRowFirstColumn="0" w:firstRowLastColumn="0" w:lastRowFirstColumn="0" w:lastRowLastColumn="0"/>
            <w:tcW w:w="1014" w:type="pct"/>
            <w:vMerge w:val="restart"/>
          </w:tcPr>
          <w:p w14:paraId="58EBF08A" w14:textId="77777777" w:rsidR="0072543C" w:rsidRPr="00BF52F4" w:rsidRDefault="0072543C" w:rsidP="006613A7">
            <w:pPr>
              <w:pStyle w:val="Tabletext0"/>
              <w:rPr>
                <w:b/>
                <w:kern w:val="0"/>
              </w:rPr>
            </w:pPr>
            <w:r w:rsidRPr="00BF52F4">
              <w:rPr>
                <w:b/>
                <w:kern w:val="0"/>
              </w:rPr>
              <w:t>Important identified risks</w:t>
            </w:r>
          </w:p>
        </w:tc>
        <w:tc>
          <w:tcPr>
            <w:tcW w:w="1701" w:type="pct"/>
          </w:tcPr>
          <w:p w14:paraId="0232B920" w14:textId="6F08FE3E" w:rsidR="0072543C" w:rsidRPr="00BF52F4" w:rsidRDefault="0072543C" w:rsidP="00547449">
            <w:pPr>
              <w:cnfStyle w:val="000000000000" w:firstRow="0" w:lastRow="0" w:firstColumn="0" w:lastColumn="0" w:oddVBand="0" w:evenVBand="0" w:oddHBand="0" w:evenHBand="0" w:firstRowFirstColumn="0" w:firstRowLastColumn="0" w:lastRowFirstColumn="0" w:lastRowLastColumn="0"/>
            </w:pPr>
            <w:r w:rsidRPr="006B1DBD">
              <w:t>Severe or serious infection</w:t>
            </w:r>
          </w:p>
        </w:tc>
        <w:tc>
          <w:tcPr>
            <w:tcW w:w="516" w:type="pct"/>
          </w:tcPr>
          <w:p w14:paraId="6EF4A710"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rFonts w:ascii="Wingdings" w:eastAsia="Wingdings" w:hAnsi="Wingdings" w:cs="Wingdings"/>
                <w:kern w:val="0"/>
              </w:rPr>
              <w:sym w:font="Wingdings" w:char="F0FC"/>
            </w:r>
          </w:p>
        </w:tc>
        <w:tc>
          <w:tcPr>
            <w:tcW w:w="626" w:type="pct"/>
          </w:tcPr>
          <w:p w14:paraId="3AB9F19F" w14:textId="77777777" w:rsidR="0072543C" w:rsidRPr="009F315B"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highlight w:val="yellow"/>
              </w:rPr>
            </w:pPr>
            <w:r w:rsidRPr="009F315B">
              <w:rPr>
                <w:rFonts w:ascii="Wingdings" w:eastAsia="Wingdings" w:hAnsi="Wingdings" w:cs="Wingdings"/>
                <w:kern w:val="0"/>
              </w:rPr>
              <w:sym w:font="Wingdings" w:char="F0FC"/>
            </w:r>
          </w:p>
        </w:tc>
        <w:tc>
          <w:tcPr>
            <w:tcW w:w="516" w:type="pct"/>
          </w:tcPr>
          <w:p w14:paraId="0A774565"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rFonts w:ascii="Wingdings" w:eastAsia="Wingdings" w:hAnsi="Wingdings" w:cs="Wingdings"/>
                <w:kern w:val="0"/>
              </w:rPr>
              <w:sym w:font="Wingdings" w:char="F0FC"/>
            </w:r>
          </w:p>
        </w:tc>
        <w:tc>
          <w:tcPr>
            <w:tcW w:w="626" w:type="pct"/>
          </w:tcPr>
          <w:p w14:paraId="1CADE4FF"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r>
      <w:tr w:rsidR="0072543C" w:rsidRPr="00BF52F4" w14:paraId="0980C67B" w14:textId="77777777" w:rsidTr="00547449">
        <w:trPr>
          <w:trHeight w:val="187"/>
        </w:trPr>
        <w:tc>
          <w:tcPr>
            <w:cnfStyle w:val="001000000000" w:firstRow="0" w:lastRow="0" w:firstColumn="1" w:lastColumn="0" w:oddVBand="0" w:evenVBand="0" w:oddHBand="0" w:evenHBand="0" w:firstRowFirstColumn="0" w:firstRowLastColumn="0" w:lastRowFirstColumn="0" w:lastRowLastColumn="0"/>
            <w:tcW w:w="1014" w:type="pct"/>
            <w:vMerge/>
          </w:tcPr>
          <w:p w14:paraId="1024CDCF" w14:textId="77777777" w:rsidR="0072543C" w:rsidRPr="00BF52F4" w:rsidRDefault="0072543C" w:rsidP="006613A7">
            <w:pPr>
              <w:pStyle w:val="Tabletext0"/>
              <w:rPr>
                <w:b/>
                <w:kern w:val="0"/>
              </w:rPr>
            </w:pPr>
          </w:p>
        </w:tc>
        <w:tc>
          <w:tcPr>
            <w:tcW w:w="1701" w:type="pct"/>
          </w:tcPr>
          <w:p w14:paraId="6EF8418F" w14:textId="77777777" w:rsidR="0072543C" w:rsidRPr="00BF52F4" w:rsidRDefault="0072543C" w:rsidP="006613A7">
            <w:pPr>
              <w:pStyle w:val="Tabletext0"/>
              <w:cnfStyle w:val="000000000000" w:firstRow="0" w:lastRow="0" w:firstColumn="0" w:lastColumn="0" w:oddVBand="0" w:evenVBand="0" w:oddHBand="0" w:evenHBand="0" w:firstRowFirstColumn="0" w:firstRowLastColumn="0" w:lastRowFirstColumn="0" w:lastRowLastColumn="0"/>
              <w:rPr>
                <w:kern w:val="0"/>
              </w:rPr>
            </w:pPr>
            <w:r w:rsidRPr="006B1DBD">
              <w:rPr>
                <w:kern w:val="0"/>
              </w:rPr>
              <w:t>Infusion-related reactions</w:t>
            </w:r>
          </w:p>
        </w:tc>
        <w:tc>
          <w:tcPr>
            <w:tcW w:w="516" w:type="pct"/>
          </w:tcPr>
          <w:p w14:paraId="44F7F01A"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rFonts w:ascii="Wingdings" w:eastAsia="Wingdings" w:hAnsi="Wingdings" w:cs="Wingdings"/>
                <w:kern w:val="0"/>
              </w:rPr>
              <w:sym w:font="Wingdings" w:char="F0FC"/>
            </w:r>
          </w:p>
        </w:tc>
        <w:tc>
          <w:tcPr>
            <w:tcW w:w="626" w:type="pct"/>
          </w:tcPr>
          <w:p w14:paraId="76C2F7AC" w14:textId="77777777" w:rsidR="0072543C" w:rsidRPr="009F315B"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highlight w:val="yellow"/>
              </w:rPr>
            </w:pPr>
            <w:r w:rsidRPr="009F315B">
              <w:rPr>
                <w:rFonts w:ascii="Wingdings" w:eastAsia="Wingdings" w:hAnsi="Wingdings" w:cs="Wingdings"/>
                <w:kern w:val="0"/>
              </w:rPr>
              <w:sym w:font="Wingdings" w:char="F0FC"/>
            </w:r>
          </w:p>
        </w:tc>
        <w:tc>
          <w:tcPr>
            <w:tcW w:w="516" w:type="pct"/>
          </w:tcPr>
          <w:p w14:paraId="30A486B5"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rFonts w:ascii="Wingdings" w:eastAsia="Wingdings" w:hAnsi="Wingdings" w:cs="Wingdings"/>
                <w:kern w:val="0"/>
              </w:rPr>
              <w:sym w:font="Wingdings" w:char="F0FC"/>
            </w:r>
          </w:p>
        </w:tc>
        <w:tc>
          <w:tcPr>
            <w:tcW w:w="626" w:type="pct"/>
          </w:tcPr>
          <w:p w14:paraId="32D0A618"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r>
      <w:tr w:rsidR="0072543C" w:rsidRPr="00BF52F4" w14:paraId="354556EF" w14:textId="77777777" w:rsidTr="00547449">
        <w:trPr>
          <w:trHeight w:val="159"/>
        </w:trPr>
        <w:tc>
          <w:tcPr>
            <w:cnfStyle w:val="001000000000" w:firstRow="0" w:lastRow="0" w:firstColumn="1" w:lastColumn="0" w:oddVBand="0" w:evenVBand="0" w:oddHBand="0" w:evenHBand="0" w:firstRowFirstColumn="0" w:firstRowLastColumn="0" w:lastRowFirstColumn="0" w:lastRowLastColumn="0"/>
            <w:tcW w:w="1014" w:type="pct"/>
          </w:tcPr>
          <w:p w14:paraId="2C4B1568" w14:textId="77777777" w:rsidR="0072543C" w:rsidRPr="00BF52F4" w:rsidRDefault="0072543C" w:rsidP="006613A7">
            <w:pPr>
              <w:pStyle w:val="Tabletext0"/>
              <w:rPr>
                <w:b/>
                <w:kern w:val="0"/>
              </w:rPr>
            </w:pPr>
            <w:r w:rsidRPr="00BF52F4">
              <w:rPr>
                <w:b/>
                <w:kern w:val="0"/>
              </w:rPr>
              <w:t>Important potential risks</w:t>
            </w:r>
          </w:p>
        </w:tc>
        <w:tc>
          <w:tcPr>
            <w:tcW w:w="1701" w:type="pct"/>
          </w:tcPr>
          <w:p w14:paraId="5780FD83" w14:textId="77777777" w:rsidR="0072543C" w:rsidRPr="00BF52F4" w:rsidRDefault="0072543C" w:rsidP="006613A7">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None</w:t>
            </w:r>
          </w:p>
        </w:tc>
        <w:tc>
          <w:tcPr>
            <w:tcW w:w="516" w:type="pct"/>
          </w:tcPr>
          <w:p w14:paraId="0A8A766A"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c>
          <w:tcPr>
            <w:tcW w:w="626" w:type="pct"/>
          </w:tcPr>
          <w:p w14:paraId="7CED8297"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c>
          <w:tcPr>
            <w:tcW w:w="516" w:type="pct"/>
          </w:tcPr>
          <w:p w14:paraId="3EB7E300"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c>
          <w:tcPr>
            <w:tcW w:w="626" w:type="pct"/>
          </w:tcPr>
          <w:p w14:paraId="2F8C527D"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r>
      <w:tr w:rsidR="0072543C" w:rsidRPr="00BF52F4" w14:paraId="7539C330" w14:textId="77777777" w:rsidTr="00547449">
        <w:trPr>
          <w:trHeight w:val="178"/>
        </w:trPr>
        <w:tc>
          <w:tcPr>
            <w:cnfStyle w:val="001000000000" w:firstRow="0" w:lastRow="0" w:firstColumn="1" w:lastColumn="0" w:oddVBand="0" w:evenVBand="0" w:oddHBand="0" w:evenHBand="0" w:firstRowFirstColumn="0" w:firstRowLastColumn="0" w:lastRowFirstColumn="0" w:lastRowLastColumn="0"/>
            <w:tcW w:w="1014" w:type="pct"/>
          </w:tcPr>
          <w:p w14:paraId="4024DA47" w14:textId="77777777" w:rsidR="0072543C" w:rsidRPr="00BF52F4" w:rsidRDefault="0072543C" w:rsidP="006613A7">
            <w:pPr>
              <w:pStyle w:val="Tabletext0"/>
              <w:rPr>
                <w:b/>
                <w:kern w:val="0"/>
              </w:rPr>
            </w:pPr>
            <w:r w:rsidRPr="00BF52F4">
              <w:rPr>
                <w:b/>
                <w:kern w:val="0"/>
              </w:rPr>
              <w:t>Missing information</w:t>
            </w:r>
          </w:p>
        </w:tc>
        <w:tc>
          <w:tcPr>
            <w:tcW w:w="1701" w:type="pct"/>
          </w:tcPr>
          <w:p w14:paraId="60D6AC42" w14:textId="77777777" w:rsidR="0072543C" w:rsidRPr="00BF52F4" w:rsidRDefault="0072543C" w:rsidP="006613A7">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None</w:t>
            </w:r>
          </w:p>
        </w:tc>
        <w:tc>
          <w:tcPr>
            <w:tcW w:w="516" w:type="pct"/>
          </w:tcPr>
          <w:p w14:paraId="269B5158"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c>
          <w:tcPr>
            <w:tcW w:w="626" w:type="pct"/>
          </w:tcPr>
          <w:p w14:paraId="2F8C6FFE"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c>
          <w:tcPr>
            <w:tcW w:w="516" w:type="pct"/>
          </w:tcPr>
          <w:p w14:paraId="39B120A4"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c>
          <w:tcPr>
            <w:tcW w:w="626" w:type="pct"/>
          </w:tcPr>
          <w:p w14:paraId="5B3E0459" w14:textId="77777777" w:rsidR="0072543C" w:rsidRPr="00350789" w:rsidRDefault="0072543C" w:rsidP="006613A7">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350789">
              <w:rPr>
                <w:kern w:val="0"/>
              </w:rPr>
              <w:t>–</w:t>
            </w:r>
          </w:p>
        </w:tc>
      </w:tr>
    </w:tbl>
    <w:p w14:paraId="0C08C7B2" w14:textId="77777777" w:rsidR="0072543C" w:rsidRPr="0072543C" w:rsidRDefault="0072543C" w:rsidP="0072543C">
      <w:pPr>
        <w:pStyle w:val="Heading4"/>
      </w:pPr>
      <w:bookmarkStart w:id="85" w:name="_Toc166143716"/>
      <w:bookmarkStart w:id="86" w:name="_Toc103679299"/>
      <w:r w:rsidRPr="0072543C">
        <w:lastRenderedPageBreak/>
        <w:t>Pharmacovigilance plan</w:t>
      </w:r>
      <w:bookmarkEnd w:id="85"/>
    </w:p>
    <w:p w14:paraId="47E1A585" w14:textId="7DB39D2A" w:rsidR="0072543C" w:rsidRDefault="0072543C" w:rsidP="0072543C">
      <w:r w:rsidRPr="0072543C">
        <w:t xml:space="preserve">Only routine pharmacovigilance activities are proposed in the EU-RMP and the ASA. However, there is a </w:t>
      </w:r>
      <w:r w:rsidR="002732F5">
        <w:t>c</w:t>
      </w:r>
      <w:r w:rsidRPr="0072543C">
        <w:t xml:space="preserve">linical </w:t>
      </w:r>
      <w:r w:rsidR="002732F5">
        <w:t>s</w:t>
      </w:r>
      <w:r w:rsidRPr="0072543C">
        <w:t xml:space="preserve">tudy </w:t>
      </w:r>
      <w:r w:rsidR="002732F5">
        <w:t>p</w:t>
      </w:r>
      <w:r w:rsidRPr="0072543C">
        <w:t>lan for Provisional Registration in the ASA (termed post-authorisation efficacy studies in the EU-RMP)</w:t>
      </w:r>
      <w:r w:rsidR="004F2FBE">
        <w:t>.</w:t>
      </w:r>
      <w:r w:rsidRPr="0072543C">
        <w:t xml:space="preserve"> </w:t>
      </w:r>
      <w:r>
        <w:t>(</w:t>
      </w:r>
      <w:r>
        <w:fldChar w:fldCharType="begin"/>
      </w:r>
      <w:r>
        <w:instrText xml:space="preserve"> REF _Ref148951413 \h </w:instrText>
      </w:r>
      <w:r>
        <w:fldChar w:fldCharType="separate"/>
      </w:r>
      <w:r w:rsidR="00755A69" w:rsidRPr="0072543C">
        <w:t xml:space="preserve">Table </w:t>
      </w:r>
      <w:r w:rsidR="00755A69">
        <w:rPr>
          <w:noProof/>
        </w:rPr>
        <w:t>23</w:t>
      </w:r>
      <w:r>
        <w:fldChar w:fldCharType="end"/>
      </w:r>
      <w:r>
        <w:t>)</w:t>
      </w:r>
    </w:p>
    <w:p w14:paraId="22E43D52" w14:textId="3B2FA746" w:rsidR="0072543C" w:rsidRDefault="0072543C" w:rsidP="00547449">
      <w:pPr>
        <w:pStyle w:val="TableTitle"/>
      </w:pPr>
      <w:bookmarkStart w:id="87" w:name="_Ref148951413"/>
      <w:r w:rsidRPr="0072543C">
        <w:t xml:space="preserve">Table </w:t>
      </w:r>
      <w:fldSimple w:instr=" SEQ Table \* ARABIC ">
        <w:r w:rsidR="00755A69">
          <w:rPr>
            <w:noProof/>
          </w:rPr>
          <w:t>23</w:t>
        </w:r>
      </w:fldSimple>
      <w:bookmarkEnd w:id="87"/>
      <w:r w:rsidRPr="0072543C">
        <w:t>:</w:t>
      </w:r>
      <w:r>
        <w:t xml:space="preserve"> </w:t>
      </w:r>
      <w:r w:rsidR="00AA7129">
        <w:t>O</w:t>
      </w:r>
      <w:r>
        <w:t>ngoing and planned studies</w:t>
      </w:r>
    </w:p>
    <w:tbl>
      <w:tblPr>
        <w:tblStyle w:val="TableTGAblue2023"/>
        <w:tblW w:w="9469" w:type="dxa"/>
        <w:tblLook w:val="04A0" w:firstRow="1" w:lastRow="0" w:firstColumn="1" w:lastColumn="0" w:noHBand="0" w:noVBand="1"/>
      </w:tblPr>
      <w:tblGrid>
        <w:gridCol w:w="2533"/>
        <w:gridCol w:w="1467"/>
        <w:gridCol w:w="3081"/>
        <w:gridCol w:w="2388"/>
      </w:tblGrid>
      <w:tr w:rsidR="0072543C" w:rsidRPr="00547449" w14:paraId="2455A827" w14:textId="77777777" w:rsidTr="0054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tcPr>
          <w:p w14:paraId="7CAE08DA" w14:textId="77777777" w:rsidR="0072543C" w:rsidRPr="00547449" w:rsidRDefault="0072543C" w:rsidP="00547449">
            <w:pPr>
              <w:rPr>
                <w:sz w:val="20"/>
                <w:szCs w:val="20"/>
              </w:rPr>
            </w:pPr>
            <w:r w:rsidRPr="00547449">
              <w:rPr>
                <w:sz w:val="20"/>
                <w:szCs w:val="20"/>
              </w:rPr>
              <w:t>Safety Concern</w:t>
            </w:r>
          </w:p>
        </w:tc>
        <w:tc>
          <w:tcPr>
            <w:tcW w:w="1467" w:type="dxa"/>
          </w:tcPr>
          <w:p w14:paraId="3B9697AB" w14:textId="77777777" w:rsidR="0072543C" w:rsidRPr="00547449" w:rsidRDefault="0072543C" w:rsidP="00547449">
            <w:pPr>
              <w:cnfStyle w:val="100000000000" w:firstRow="1" w:lastRow="0" w:firstColumn="0" w:lastColumn="0" w:oddVBand="0" w:evenVBand="0" w:oddHBand="0" w:evenHBand="0" w:firstRowFirstColumn="0" w:firstRowLastColumn="0" w:lastRowFirstColumn="0" w:lastRowLastColumn="0"/>
              <w:rPr>
                <w:sz w:val="20"/>
                <w:szCs w:val="20"/>
              </w:rPr>
            </w:pPr>
            <w:r w:rsidRPr="00547449">
              <w:rPr>
                <w:sz w:val="20"/>
                <w:szCs w:val="20"/>
              </w:rPr>
              <w:t>Additional activity</w:t>
            </w:r>
          </w:p>
        </w:tc>
        <w:tc>
          <w:tcPr>
            <w:tcW w:w="3081" w:type="dxa"/>
          </w:tcPr>
          <w:p w14:paraId="1B455A5C" w14:textId="77777777" w:rsidR="0072543C" w:rsidRPr="00547449" w:rsidRDefault="0072543C" w:rsidP="00547449">
            <w:pPr>
              <w:cnfStyle w:val="100000000000" w:firstRow="1" w:lastRow="0" w:firstColumn="0" w:lastColumn="0" w:oddVBand="0" w:evenVBand="0" w:oddHBand="0" w:evenHBand="0" w:firstRowFirstColumn="0" w:firstRowLastColumn="0" w:lastRowFirstColumn="0" w:lastRowLastColumn="0"/>
              <w:rPr>
                <w:sz w:val="20"/>
                <w:szCs w:val="20"/>
              </w:rPr>
            </w:pPr>
            <w:r w:rsidRPr="00547449">
              <w:rPr>
                <w:sz w:val="20"/>
                <w:szCs w:val="20"/>
              </w:rPr>
              <w:t>Proposed actions/outcomes</w:t>
            </w:r>
          </w:p>
        </w:tc>
        <w:tc>
          <w:tcPr>
            <w:tcW w:w="2388" w:type="dxa"/>
          </w:tcPr>
          <w:p w14:paraId="4EA829BA" w14:textId="77777777" w:rsidR="0072543C" w:rsidRPr="00547449" w:rsidRDefault="0072543C" w:rsidP="00547449">
            <w:pPr>
              <w:cnfStyle w:val="100000000000" w:firstRow="1" w:lastRow="0" w:firstColumn="0" w:lastColumn="0" w:oddVBand="0" w:evenVBand="0" w:oddHBand="0" w:evenHBand="0" w:firstRowFirstColumn="0" w:firstRowLastColumn="0" w:lastRowFirstColumn="0" w:lastRowLastColumn="0"/>
              <w:rPr>
                <w:sz w:val="20"/>
                <w:szCs w:val="20"/>
              </w:rPr>
            </w:pPr>
            <w:r w:rsidRPr="00547449">
              <w:rPr>
                <w:sz w:val="20"/>
                <w:szCs w:val="20"/>
              </w:rPr>
              <w:t>Planned submission</w:t>
            </w:r>
          </w:p>
        </w:tc>
      </w:tr>
      <w:tr w:rsidR="0072543C" w:rsidRPr="00547449" w14:paraId="501A381A" w14:textId="77777777" w:rsidTr="00547449">
        <w:tc>
          <w:tcPr>
            <w:cnfStyle w:val="001000000000" w:firstRow="0" w:lastRow="0" w:firstColumn="1" w:lastColumn="0" w:oddVBand="0" w:evenVBand="0" w:oddHBand="0" w:evenHBand="0" w:firstRowFirstColumn="0" w:firstRowLastColumn="0" w:lastRowFirstColumn="0" w:lastRowLastColumn="0"/>
            <w:tcW w:w="9469" w:type="dxa"/>
            <w:gridSpan w:val="4"/>
          </w:tcPr>
          <w:p w14:paraId="0520A302" w14:textId="77777777" w:rsidR="0072543C" w:rsidRPr="00547449" w:rsidRDefault="0072543C" w:rsidP="00547449">
            <w:pPr>
              <w:rPr>
                <w:i/>
                <w:sz w:val="20"/>
                <w:szCs w:val="20"/>
              </w:rPr>
            </w:pPr>
            <w:r w:rsidRPr="00547449">
              <w:rPr>
                <w:i/>
                <w:sz w:val="20"/>
                <w:szCs w:val="20"/>
              </w:rPr>
              <w:t>Ongoing studies</w:t>
            </w:r>
          </w:p>
        </w:tc>
      </w:tr>
      <w:tr w:rsidR="0072543C" w:rsidRPr="00547449" w14:paraId="11D671E8" w14:textId="77777777" w:rsidTr="00547449">
        <w:tc>
          <w:tcPr>
            <w:cnfStyle w:val="001000000000" w:firstRow="0" w:lastRow="0" w:firstColumn="1" w:lastColumn="0" w:oddVBand="0" w:evenVBand="0" w:oddHBand="0" w:evenHBand="0" w:firstRowFirstColumn="0" w:firstRowLastColumn="0" w:lastRowFirstColumn="0" w:lastRowLastColumn="0"/>
            <w:tcW w:w="2533" w:type="dxa"/>
          </w:tcPr>
          <w:p w14:paraId="7940B20C" w14:textId="0EAC9C9A" w:rsidR="0072543C" w:rsidRPr="00547449" w:rsidRDefault="0072543C" w:rsidP="00547449">
            <w:pPr>
              <w:rPr>
                <w:sz w:val="20"/>
                <w:szCs w:val="20"/>
              </w:rPr>
            </w:pPr>
            <w:r w:rsidRPr="00547449">
              <w:rPr>
                <w:sz w:val="20"/>
                <w:szCs w:val="20"/>
              </w:rPr>
              <w:t>Severe or serious infection</w:t>
            </w:r>
          </w:p>
        </w:tc>
        <w:tc>
          <w:tcPr>
            <w:tcW w:w="1467" w:type="dxa"/>
          </w:tcPr>
          <w:p w14:paraId="644E6318" w14:textId="21CD16CC" w:rsidR="0072543C" w:rsidRPr="00547449" w:rsidRDefault="0072543C" w:rsidP="00547449">
            <w:pPr>
              <w:cnfStyle w:val="000000000000" w:firstRow="0" w:lastRow="0" w:firstColumn="0" w:lastColumn="0" w:oddVBand="0" w:evenVBand="0" w:oddHBand="0" w:evenHBand="0" w:firstRowFirstColumn="0" w:firstRowLastColumn="0" w:lastRowFirstColumn="0" w:lastRowLastColumn="0"/>
              <w:rPr>
                <w:sz w:val="20"/>
                <w:szCs w:val="20"/>
              </w:rPr>
            </w:pPr>
            <w:r w:rsidRPr="00547449">
              <w:rPr>
                <w:sz w:val="20"/>
                <w:szCs w:val="20"/>
              </w:rPr>
              <w:t>Study 14</w:t>
            </w:r>
            <w:r w:rsidR="002732F5" w:rsidRPr="00547449">
              <w:rPr>
                <w:sz w:val="20"/>
                <w:szCs w:val="20"/>
              </w:rPr>
              <w:t xml:space="preserve"> </w:t>
            </w:r>
            <w:r w:rsidRPr="00547449">
              <w:rPr>
                <w:sz w:val="20"/>
                <w:szCs w:val="20"/>
              </w:rPr>
              <w:t>(17-HMedIdeS-14)</w:t>
            </w:r>
          </w:p>
        </w:tc>
        <w:tc>
          <w:tcPr>
            <w:tcW w:w="3081" w:type="dxa"/>
          </w:tcPr>
          <w:p w14:paraId="2E3C8E0D" w14:textId="77777777" w:rsidR="0072543C" w:rsidRPr="00547449" w:rsidRDefault="0072543C" w:rsidP="00547449">
            <w:pPr>
              <w:cnfStyle w:val="000000000000" w:firstRow="0" w:lastRow="0" w:firstColumn="0" w:lastColumn="0" w:oddVBand="0" w:evenVBand="0" w:oddHBand="0" w:evenHBand="0" w:firstRowFirstColumn="0" w:firstRowLastColumn="0" w:lastRowFirstColumn="0" w:lastRowLastColumn="0"/>
              <w:rPr>
                <w:sz w:val="20"/>
                <w:szCs w:val="20"/>
              </w:rPr>
            </w:pPr>
            <w:r w:rsidRPr="00547449">
              <w:rPr>
                <w:sz w:val="20"/>
                <w:szCs w:val="20"/>
              </w:rPr>
              <w:t>An ongoing observational long-term follow-up study to evaluate long-term graft survival and clinical outcome after imlifidase.</w:t>
            </w:r>
          </w:p>
        </w:tc>
        <w:tc>
          <w:tcPr>
            <w:tcW w:w="2388" w:type="dxa"/>
          </w:tcPr>
          <w:p w14:paraId="642245A3" w14:textId="148C42DE" w:rsidR="0072543C" w:rsidRPr="00547449" w:rsidRDefault="002732F5" w:rsidP="00547449">
            <w:pPr>
              <w:cnfStyle w:val="000000000000" w:firstRow="0" w:lastRow="0" w:firstColumn="0" w:lastColumn="0" w:oddVBand="0" w:evenVBand="0" w:oddHBand="0" w:evenHBand="0" w:firstRowFirstColumn="0" w:firstRowLastColumn="0" w:lastRowFirstColumn="0" w:lastRowLastColumn="0"/>
              <w:rPr>
                <w:sz w:val="20"/>
                <w:szCs w:val="20"/>
              </w:rPr>
            </w:pPr>
            <w:r w:rsidRPr="00547449">
              <w:rPr>
                <w:sz w:val="20"/>
                <w:szCs w:val="20"/>
              </w:rPr>
              <w:t>Fourth quarter of</w:t>
            </w:r>
            <w:r w:rsidR="0072543C" w:rsidRPr="00547449">
              <w:rPr>
                <w:sz w:val="20"/>
                <w:szCs w:val="20"/>
              </w:rPr>
              <w:t xml:space="preserve"> 2023</w:t>
            </w:r>
          </w:p>
        </w:tc>
      </w:tr>
      <w:tr w:rsidR="00AF40EA" w:rsidRPr="00547449" w14:paraId="5E22974E" w14:textId="77777777" w:rsidTr="00547449">
        <w:tc>
          <w:tcPr>
            <w:cnfStyle w:val="001000000000" w:firstRow="0" w:lastRow="0" w:firstColumn="1" w:lastColumn="0" w:oddVBand="0" w:evenVBand="0" w:oddHBand="0" w:evenHBand="0" w:firstRowFirstColumn="0" w:firstRowLastColumn="0" w:lastRowFirstColumn="0" w:lastRowLastColumn="0"/>
            <w:tcW w:w="2533" w:type="dxa"/>
            <w:vMerge w:val="restart"/>
          </w:tcPr>
          <w:p w14:paraId="31EAC6CC" w14:textId="693ACC33" w:rsidR="00AF40EA" w:rsidRPr="00547449" w:rsidRDefault="00AF40EA" w:rsidP="00547449">
            <w:pPr>
              <w:rPr>
                <w:sz w:val="20"/>
                <w:szCs w:val="20"/>
              </w:rPr>
            </w:pPr>
            <w:r w:rsidRPr="00547449">
              <w:rPr>
                <w:sz w:val="20"/>
                <w:szCs w:val="20"/>
              </w:rPr>
              <w:t>Severe or serious infection</w:t>
            </w:r>
          </w:p>
          <w:p w14:paraId="6ADC9623" w14:textId="2ACFB74A" w:rsidR="00AF40EA" w:rsidRPr="00547449" w:rsidRDefault="00AF40EA" w:rsidP="00547449">
            <w:pPr>
              <w:rPr>
                <w:sz w:val="20"/>
                <w:szCs w:val="20"/>
              </w:rPr>
            </w:pPr>
            <w:r w:rsidRPr="00547449">
              <w:rPr>
                <w:sz w:val="20"/>
                <w:szCs w:val="20"/>
              </w:rPr>
              <w:t>Infusion-related reactions</w:t>
            </w:r>
          </w:p>
        </w:tc>
        <w:tc>
          <w:tcPr>
            <w:tcW w:w="1467" w:type="dxa"/>
          </w:tcPr>
          <w:p w14:paraId="5189F9FA" w14:textId="48C17097" w:rsidR="00AF40EA" w:rsidRPr="00547449" w:rsidRDefault="00AF40EA" w:rsidP="00547449">
            <w:pPr>
              <w:cnfStyle w:val="000000000000" w:firstRow="0" w:lastRow="0" w:firstColumn="0" w:lastColumn="0" w:oddVBand="0" w:evenVBand="0" w:oddHBand="0" w:evenHBand="0" w:firstRowFirstColumn="0" w:firstRowLastColumn="0" w:lastRowFirstColumn="0" w:lastRowLastColumn="0"/>
              <w:rPr>
                <w:sz w:val="20"/>
                <w:szCs w:val="20"/>
              </w:rPr>
            </w:pPr>
            <w:r w:rsidRPr="00547449">
              <w:rPr>
                <w:sz w:val="20"/>
                <w:szCs w:val="20"/>
              </w:rPr>
              <w:t>Study 19 (20-HMedIdeS-19)</w:t>
            </w:r>
          </w:p>
        </w:tc>
        <w:tc>
          <w:tcPr>
            <w:tcW w:w="3081" w:type="dxa"/>
          </w:tcPr>
          <w:p w14:paraId="3547D22C" w14:textId="77777777" w:rsidR="00AF40EA" w:rsidRPr="00547449" w:rsidRDefault="00AF40EA" w:rsidP="00547449">
            <w:pPr>
              <w:cnfStyle w:val="000000000000" w:firstRow="0" w:lastRow="0" w:firstColumn="0" w:lastColumn="0" w:oddVBand="0" w:evenVBand="0" w:oddHBand="0" w:evenHBand="0" w:firstRowFirstColumn="0" w:firstRowLastColumn="0" w:lastRowFirstColumn="0" w:lastRowLastColumn="0"/>
              <w:rPr>
                <w:sz w:val="20"/>
                <w:szCs w:val="20"/>
              </w:rPr>
            </w:pPr>
            <w:r w:rsidRPr="00547449">
              <w:rPr>
                <w:sz w:val="20"/>
                <w:szCs w:val="20"/>
              </w:rPr>
              <w:t>A post-authorisation efficacy study (PAES) to evaluate 1-year graft survival, kidney function and safety after imlifidase (including infusion related reactions).</w:t>
            </w:r>
          </w:p>
        </w:tc>
        <w:tc>
          <w:tcPr>
            <w:tcW w:w="2388" w:type="dxa"/>
          </w:tcPr>
          <w:p w14:paraId="1F56C079" w14:textId="117FDCE3" w:rsidR="00AF40EA" w:rsidRPr="00547449" w:rsidRDefault="00AF40EA" w:rsidP="00547449">
            <w:pPr>
              <w:cnfStyle w:val="000000000000" w:firstRow="0" w:lastRow="0" w:firstColumn="0" w:lastColumn="0" w:oddVBand="0" w:evenVBand="0" w:oddHBand="0" w:evenHBand="0" w:firstRowFirstColumn="0" w:firstRowLastColumn="0" w:lastRowFirstColumn="0" w:lastRowLastColumn="0"/>
              <w:rPr>
                <w:sz w:val="20"/>
                <w:szCs w:val="20"/>
              </w:rPr>
            </w:pPr>
            <w:r w:rsidRPr="00547449">
              <w:rPr>
                <w:sz w:val="20"/>
                <w:szCs w:val="20"/>
              </w:rPr>
              <w:t>Fourth quarter of 2025</w:t>
            </w:r>
          </w:p>
        </w:tc>
      </w:tr>
      <w:tr w:rsidR="00AF40EA" w:rsidRPr="00547449" w14:paraId="18E8345B" w14:textId="77777777" w:rsidTr="00547449">
        <w:tc>
          <w:tcPr>
            <w:cnfStyle w:val="001000000000" w:firstRow="0" w:lastRow="0" w:firstColumn="1" w:lastColumn="0" w:oddVBand="0" w:evenVBand="0" w:oddHBand="0" w:evenHBand="0" w:firstRowFirstColumn="0" w:firstRowLastColumn="0" w:lastRowFirstColumn="0" w:lastRowLastColumn="0"/>
            <w:tcW w:w="2533" w:type="dxa"/>
            <w:vMerge/>
          </w:tcPr>
          <w:p w14:paraId="701371C3" w14:textId="77777777" w:rsidR="00AF40EA" w:rsidRPr="00547449" w:rsidRDefault="00AF40EA" w:rsidP="00547449">
            <w:pPr>
              <w:rPr>
                <w:sz w:val="20"/>
                <w:szCs w:val="20"/>
              </w:rPr>
            </w:pPr>
          </w:p>
        </w:tc>
        <w:tc>
          <w:tcPr>
            <w:tcW w:w="1467" w:type="dxa"/>
          </w:tcPr>
          <w:p w14:paraId="6289B3FC" w14:textId="399B2D24" w:rsidR="00AF40EA" w:rsidRPr="00547449" w:rsidRDefault="00AF40EA" w:rsidP="00547449">
            <w:pPr>
              <w:cnfStyle w:val="000000000000" w:firstRow="0" w:lastRow="0" w:firstColumn="0" w:lastColumn="0" w:oddVBand="0" w:evenVBand="0" w:oddHBand="0" w:evenHBand="0" w:firstRowFirstColumn="0" w:firstRowLastColumn="0" w:lastRowFirstColumn="0" w:lastRowLastColumn="0"/>
              <w:rPr>
                <w:sz w:val="20"/>
                <w:szCs w:val="20"/>
              </w:rPr>
            </w:pPr>
            <w:r w:rsidRPr="00547449">
              <w:rPr>
                <w:sz w:val="20"/>
                <w:szCs w:val="20"/>
              </w:rPr>
              <w:t>Study 17 (20-HMedIdeS-17)</w:t>
            </w:r>
          </w:p>
        </w:tc>
        <w:tc>
          <w:tcPr>
            <w:tcW w:w="3081" w:type="dxa"/>
          </w:tcPr>
          <w:p w14:paraId="57CABF49" w14:textId="0C584D03" w:rsidR="00AF40EA" w:rsidRPr="00547449" w:rsidRDefault="00AF40EA" w:rsidP="00547449">
            <w:pPr>
              <w:cnfStyle w:val="000000000000" w:firstRow="0" w:lastRow="0" w:firstColumn="0" w:lastColumn="0" w:oddVBand="0" w:evenVBand="0" w:oddHBand="0" w:evenHBand="0" w:firstRowFirstColumn="0" w:firstRowLastColumn="0" w:lastRowFirstColumn="0" w:lastRowLastColumn="0"/>
              <w:rPr>
                <w:sz w:val="20"/>
                <w:szCs w:val="20"/>
              </w:rPr>
            </w:pPr>
            <w:r w:rsidRPr="00547449">
              <w:rPr>
                <w:sz w:val="20"/>
                <w:szCs w:val="20"/>
              </w:rPr>
              <w:t>A USA exclusive open-label, controlled, randomised Phase III trial evaluating 12-month kidney function in highly sensitised (cPRA ≥99.9%) kidney transplant patients with positive crossmatch against a deceased donor, comparing desensitisation using imlifidase with standard of care.</w:t>
            </w:r>
          </w:p>
        </w:tc>
        <w:tc>
          <w:tcPr>
            <w:tcW w:w="2388" w:type="dxa"/>
          </w:tcPr>
          <w:p w14:paraId="18192D36" w14:textId="28F76554" w:rsidR="00AF40EA" w:rsidRPr="00547449" w:rsidRDefault="00AF40EA" w:rsidP="00547449">
            <w:pPr>
              <w:cnfStyle w:val="000000000000" w:firstRow="0" w:lastRow="0" w:firstColumn="0" w:lastColumn="0" w:oddVBand="0" w:evenVBand="0" w:oddHBand="0" w:evenHBand="0" w:firstRowFirstColumn="0" w:firstRowLastColumn="0" w:lastRowFirstColumn="0" w:lastRowLastColumn="0"/>
              <w:rPr>
                <w:sz w:val="20"/>
                <w:szCs w:val="20"/>
              </w:rPr>
            </w:pPr>
          </w:p>
        </w:tc>
      </w:tr>
      <w:tr w:rsidR="0072543C" w:rsidRPr="00547449" w14:paraId="26565DFE" w14:textId="77777777" w:rsidTr="00547449">
        <w:tc>
          <w:tcPr>
            <w:cnfStyle w:val="001000000000" w:firstRow="0" w:lastRow="0" w:firstColumn="1" w:lastColumn="0" w:oddVBand="0" w:evenVBand="0" w:oddHBand="0" w:evenHBand="0" w:firstRowFirstColumn="0" w:firstRowLastColumn="0" w:lastRowFirstColumn="0" w:lastRowLastColumn="0"/>
            <w:tcW w:w="9469" w:type="dxa"/>
            <w:gridSpan w:val="4"/>
          </w:tcPr>
          <w:p w14:paraId="1F2D4254" w14:textId="77777777" w:rsidR="0072543C" w:rsidRPr="00547449" w:rsidRDefault="0072543C" w:rsidP="00547449">
            <w:pPr>
              <w:rPr>
                <w:i/>
                <w:color w:val="00B050"/>
                <w:sz w:val="20"/>
                <w:szCs w:val="20"/>
              </w:rPr>
            </w:pPr>
            <w:r w:rsidRPr="00547449">
              <w:rPr>
                <w:i/>
                <w:sz w:val="20"/>
                <w:szCs w:val="20"/>
              </w:rPr>
              <w:t>Planned Studies</w:t>
            </w:r>
          </w:p>
        </w:tc>
      </w:tr>
      <w:tr w:rsidR="0072543C" w:rsidRPr="00547449" w14:paraId="2D29BCE8" w14:textId="77777777" w:rsidTr="00547449">
        <w:tc>
          <w:tcPr>
            <w:cnfStyle w:val="001000000000" w:firstRow="0" w:lastRow="0" w:firstColumn="1" w:lastColumn="0" w:oddVBand="0" w:evenVBand="0" w:oddHBand="0" w:evenHBand="0" w:firstRowFirstColumn="0" w:firstRowLastColumn="0" w:lastRowFirstColumn="0" w:lastRowLastColumn="0"/>
            <w:tcW w:w="2533" w:type="dxa"/>
            <w:vMerge w:val="restart"/>
          </w:tcPr>
          <w:p w14:paraId="65C5B5EB" w14:textId="22190839" w:rsidR="0072543C" w:rsidRPr="00547449" w:rsidRDefault="0072543C" w:rsidP="00547449">
            <w:pPr>
              <w:rPr>
                <w:sz w:val="20"/>
                <w:szCs w:val="20"/>
              </w:rPr>
            </w:pPr>
            <w:r w:rsidRPr="00547449">
              <w:rPr>
                <w:bCs/>
                <w:sz w:val="20"/>
                <w:szCs w:val="20"/>
              </w:rPr>
              <w:t>Severe or serious infection</w:t>
            </w:r>
            <w:r w:rsidRPr="00547449">
              <w:rPr>
                <w:sz w:val="20"/>
                <w:szCs w:val="20"/>
              </w:rPr>
              <w:t xml:space="preserve"> </w:t>
            </w:r>
          </w:p>
        </w:tc>
        <w:tc>
          <w:tcPr>
            <w:tcW w:w="1467" w:type="dxa"/>
          </w:tcPr>
          <w:p w14:paraId="0C681FB1" w14:textId="01E91D02" w:rsidR="0072543C" w:rsidRPr="00547449" w:rsidRDefault="0072543C" w:rsidP="00547449">
            <w:pPr>
              <w:cnfStyle w:val="000000000000" w:firstRow="0" w:lastRow="0" w:firstColumn="0" w:lastColumn="0" w:oddVBand="0" w:evenVBand="0" w:oddHBand="0" w:evenHBand="0" w:firstRowFirstColumn="0" w:firstRowLastColumn="0" w:lastRowFirstColumn="0" w:lastRowLastColumn="0"/>
              <w:rPr>
                <w:bCs/>
                <w:sz w:val="20"/>
                <w:szCs w:val="20"/>
              </w:rPr>
            </w:pPr>
            <w:bookmarkStart w:id="88" w:name="_Hlk118969094"/>
            <w:r w:rsidRPr="00547449">
              <w:rPr>
                <w:bCs/>
                <w:sz w:val="20"/>
                <w:szCs w:val="20"/>
              </w:rPr>
              <w:t>Study 20</w:t>
            </w:r>
            <w:r w:rsidR="002732F5" w:rsidRPr="00547449">
              <w:rPr>
                <w:bCs/>
                <w:sz w:val="20"/>
                <w:szCs w:val="20"/>
              </w:rPr>
              <w:t xml:space="preserve"> </w:t>
            </w:r>
            <w:r w:rsidRPr="00547449">
              <w:rPr>
                <w:bCs/>
                <w:sz w:val="20"/>
                <w:szCs w:val="20"/>
              </w:rPr>
              <w:t>(20-HMedIdeS-20</w:t>
            </w:r>
            <w:bookmarkEnd w:id="88"/>
            <w:r w:rsidRPr="00547449">
              <w:rPr>
                <w:bCs/>
                <w:sz w:val="20"/>
                <w:szCs w:val="20"/>
              </w:rPr>
              <w:t>)</w:t>
            </w:r>
          </w:p>
        </w:tc>
        <w:tc>
          <w:tcPr>
            <w:tcW w:w="3081" w:type="dxa"/>
          </w:tcPr>
          <w:p w14:paraId="119481BA" w14:textId="77777777" w:rsidR="0072543C" w:rsidRPr="00547449" w:rsidRDefault="0072543C" w:rsidP="00547449">
            <w:pPr>
              <w:cnfStyle w:val="000000000000" w:firstRow="0" w:lastRow="0" w:firstColumn="0" w:lastColumn="0" w:oddVBand="0" w:evenVBand="0" w:oddHBand="0" w:evenHBand="0" w:firstRowFirstColumn="0" w:firstRowLastColumn="0" w:lastRowFirstColumn="0" w:lastRowLastColumn="0"/>
              <w:rPr>
                <w:bCs/>
                <w:sz w:val="20"/>
                <w:szCs w:val="20"/>
              </w:rPr>
            </w:pPr>
            <w:r w:rsidRPr="00547449">
              <w:rPr>
                <w:bCs/>
                <w:sz w:val="20"/>
                <w:szCs w:val="20"/>
              </w:rPr>
              <w:t>A 5-year-extension to the post-authorisation efficacy study 19 (20-HMedIdeS-19) to evaluate long-term graft survival in patients who have undergone kidney transplantation after imlifidase administration.</w:t>
            </w:r>
          </w:p>
        </w:tc>
        <w:tc>
          <w:tcPr>
            <w:tcW w:w="2388" w:type="dxa"/>
          </w:tcPr>
          <w:p w14:paraId="0941676F" w14:textId="4986B38C" w:rsidR="0072543C" w:rsidRPr="00547449" w:rsidRDefault="002732F5" w:rsidP="00547449">
            <w:pPr>
              <w:cnfStyle w:val="000000000000" w:firstRow="0" w:lastRow="0" w:firstColumn="0" w:lastColumn="0" w:oddVBand="0" w:evenVBand="0" w:oddHBand="0" w:evenHBand="0" w:firstRowFirstColumn="0" w:firstRowLastColumn="0" w:lastRowFirstColumn="0" w:lastRowLastColumn="0"/>
              <w:rPr>
                <w:bCs/>
                <w:sz w:val="20"/>
                <w:szCs w:val="20"/>
              </w:rPr>
            </w:pPr>
            <w:r w:rsidRPr="00547449">
              <w:rPr>
                <w:sz w:val="20"/>
                <w:szCs w:val="20"/>
              </w:rPr>
              <w:t>Fourth quarter of</w:t>
            </w:r>
            <w:r w:rsidR="0072543C" w:rsidRPr="00547449">
              <w:rPr>
                <w:bCs/>
                <w:sz w:val="20"/>
                <w:szCs w:val="20"/>
              </w:rPr>
              <w:t xml:space="preserve"> 2030</w:t>
            </w:r>
          </w:p>
        </w:tc>
      </w:tr>
      <w:tr w:rsidR="0072543C" w:rsidRPr="00547449" w14:paraId="07D7643D" w14:textId="77777777" w:rsidTr="00547449">
        <w:tc>
          <w:tcPr>
            <w:cnfStyle w:val="001000000000" w:firstRow="0" w:lastRow="0" w:firstColumn="1" w:lastColumn="0" w:oddVBand="0" w:evenVBand="0" w:oddHBand="0" w:evenHBand="0" w:firstRowFirstColumn="0" w:firstRowLastColumn="0" w:lastRowFirstColumn="0" w:lastRowLastColumn="0"/>
            <w:tcW w:w="2533" w:type="dxa"/>
            <w:vMerge/>
          </w:tcPr>
          <w:p w14:paraId="3540D0DF" w14:textId="77777777" w:rsidR="0072543C" w:rsidRPr="00547449" w:rsidRDefault="0072543C" w:rsidP="00547449">
            <w:pPr>
              <w:rPr>
                <w:bCs/>
                <w:sz w:val="20"/>
                <w:szCs w:val="20"/>
              </w:rPr>
            </w:pPr>
          </w:p>
        </w:tc>
        <w:tc>
          <w:tcPr>
            <w:tcW w:w="1467" w:type="dxa"/>
          </w:tcPr>
          <w:p w14:paraId="3014DD10" w14:textId="464034EB" w:rsidR="0072543C" w:rsidRPr="00547449" w:rsidRDefault="0072543C" w:rsidP="00547449">
            <w:pPr>
              <w:cnfStyle w:val="000000000000" w:firstRow="0" w:lastRow="0" w:firstColumn="0" w:lastColumn="0" w:oddVBand="0" w:evenVBand="0" w:oddHBand="0" w:evenHBand="0" w:firstRowFirstColumn="0" w:firstRowLastColumn="0" w:lastRowFirstColumn="0" w:lastRowLastColumn="0"/>
              <w:rPr>
                <w:bCs/>
                <w:sz w:val="20"/>
                <w:szCs w:val="20"/>
              </w:rPr>
            </w:pPr>
            <w:r w:rsidRPr="00547449">
              <w:rPr>
                <w:bCs/>
                <w:sz w:val="20"/>
                <w:szCs w:val="20"/>
              </w:rPr>
              <w:t>Study 25</w:t>
            </w:r>
            <w:r w:rsidR="002732F5" w:rsidRPr="00547449">
              <w:rPr>
                <w:bCs/>
                <w:sz w:val="20"/>
                <w:szCs w:val="20"/>
              </w:rPr>
              <w:t xml:space="preserve"> </w:t>
            </w:r>
            <w:r w:rsidRPr="00547449">
              <w:rPr>
                <w:bCs/>
                <w:sz w:val="20"/>
                <w:szCs w:val="20"/>
              </w:rPr>
              <w:t>(21-HMedIdeS-25)</w:t>
            </w:r>
          </w:p>
        </w:tc>
        <w:tc>
          <w:tcPr>
            <w:tcW w:w="3081" w:type="dxa"/>
          </w:tcPr>
          <w:p w14:paraId="2B7171E0" w14:textId="15204376" w:rsidR="0072543C" w:rsidRPr="00547449" w:rsidRDefault="0072543C" w:rsidP="00547449">
            <w:pPr>
              <w:cnfStyle w:val="000000000000" w:firstRow="0" w:lastRow="0" w:firstColumn="0" w:lastColumn="0" w:oddVBand="0" w:evenVBand="0" w:oddHBand="0" w:evenHBand="0" w:firstRowFirstColumn="0" w:firstRowLastColumn="0" w:lastRowFirstColumn="0" w:lastRowLastColumn="0"/>
              <w:rPr>
                <w:bCs/>
                <w:sz w:val="20"/>
                <w:szCs w:val="20"/>
              </w:rPr>
            </w:pPr>
            <w:r w:rsidRPr="00547449">
              <w:rPr>
                <w:bCs/>
                <w:sz w:val="20"/>
                <w:szCs w:val="20"/>
              </w:rPr>
              <w:t xml:space="preserve">A 3-year-extension to the USA Phase </w:t>
            </w:r>
            <w:r w:rsidR="00165C90" w:rsidRPr="00547449">
              <w:rPr>
                <w:bCs/>
                <w:sz w:val="20"/>
                <w:szCs w:val="20"/>
              </w:rPr>
              <w:t>III</w:t>
            </w:r>
            <w:r w:rsidRPr="00547449">
              <w:rPr>
                <w:bCs/>
                <w:sz w:val="20"/>
                <w:szCs w:val="20"/>
              </w:rPr>
              <w:t xml:space="preserve"> efficacy study 17 (20-HMedIdeS-17) to evaluate long-term graft survival in patients who have undergone kidney transplantation after imlifidase administration.</w:t>
            </w:r>
          </w:p>
        </w:tc>
        <w:tc>
          <w:tcPr>
            <w:tcW w:w="2388" w:type="dxa"/>
          </w:tcPr>
          <w:p w14:paraId="3A2A67A8" w14:textId="6CD018A6" w:rsidR="0072543C" w:rsidRPr="00547449" w:rsidRDefault="0072543C" w:rsidP="00547449">
            <w:pPr>
              <w:cnfStyle w:val="000000000000" w:firstRow="0" w:lastRow="0" w:firstColumn="0" w:lastColumn="0" w:oddVBand="0" w:evenVBand="0" w:oddHBand="0" w:evenHBand="0" w:firstRowFirstColumn="0" w:firstRowLastColumn="0" w:lastRowFirstColumn="0" w:lastRowLastColumn="0"/>
              <w:rPr>
                <w:bCs/>
                <w:sz w:val="20"/>
                <w:szCs w:val="20"/>
              </w:rPr>
            </w:pPr>
          </w:p>
        </w:tc>
      </w:tr>
    </w:tbl>
    <w:p w14:paraId="3697BF73" w14:textId="77777777" w:rsidR="0072543C" w:rsidRPr="0072543C" w:rsidRDefault="0072543C" w:rsidP="00547449">
      <w:pPr>
        <w:pStyle w:val="Heading4"/>
        <w:pageBreakBefore/>
      </w:pPr>
      <w:bookmarkStart w:id="89" w:name="_Toc166143717"/>
      <w:r w:rsidRPr="0072543C">
        <w:lastRenderedPageBreak/>
        <w:t>Risk minimisation plan</w:t>
      </w:r>
      <w:bookmarkEnd w:id="89"/>
    </w:p>
    <w:p w14:paraId="76987A56" w14:textId="77777777" w:rsidR="0072543C" w:rsidRPr="0072543C" w:rsidRDefault="0072543C" w:rsidP="0072543C">
      <w:r w:rsidRPr="0072543C">
        <w:t>Only routine risk minimisation activities are proposed.</w:t>
      </w:r>
    </w:p>
    <w:p w14:paraId="529A3418" w14:textId="021FC9AB" w:rsidR="0072543C" w:rsidRPr="0072543C" w:rsidRDefault="0072543C" w:rsidP="0072543C">
      <w:pPr>
        <w:pStyle w:val="Heading4"/>
      </w:pPr>
      <w:bookmarkStart w:id="90" w:name="_Toc166143718"/>
      <w:r w:rsidRPr="0072543C">
        <w:t xml:space="preserve">Recommended </w:t>
      </w:r>
      <w:r>
        <w:t xml:space="preserve">wording for </w:t>
      </w:r>
      <w:r w:rsidRPr="0072543C">
        <w:t>conditions of registration</w:t>
      </w:r>
      <w:bookmarkEnd w:id="90"/>
    </w:p>
    <w:p w14:paraId="00CD6A7E" w14:textId="77777777" w:rsidR="0072543C" w:rsidRPr="0072543C" w:rsidRDefault="0072543C" w:rsidP="0072543C">
      <w:r w:rsidRPr="0072543C">
        <w:t xml:space="preserve">The suggested wording is: </w:t>
      </w:r>
    </w:p>
    <w:p w14:paraId="637B1B38" w14:textId="3BDCB85C" w:rsidR="0072543C" w:rsidRPr="0072543C" w:rsidRDefault="0072543C" w:rsidP="0072543C">
      <w:r>
        <w:t>‘</w:t>
      </w:r>
      <w:r w:rsidRPr="0072543C">
        <w:rPr>
          <w:i/>
          <w:iCs/>
        </w:rPr>
        <w:t>The I</w:t>
      </w:r>
      <w:r>
        <w:rPr>
          <w:i/>
          <w:iCs/>
        </w:rPr>
        <w:t>defirix</w:t>
      </w:r>
      <w:r w:rsidRPr="0072543C">
        <w:rPr>
          <w:i/>
          <w:iCs/>
        </w:rPr>
        <w:t xml:space="preserve"> EU-Risk Management Plan (RMP) (version 1.0, dated 16 June 2020, data lock point 1 December 2019), with Australia Specific Annex (version 0.2, dated 21 February 2023), included with submission PM-2022-02499-1-2, and any subsequent revisions, as agreed with the TGA will be implemented in Australia.</w:t>
      </w:r>
      <w:r>
        <w:t>’</w:t>
      </w:r>
    </w:p>
    <w:p w14:paraId="04D01D13" w14:textId="77777777" w:rsidR="0072543C" w:rsidRPr="0072543C" w:rsidRDefault="0072543C" w:rsidP="0072543C">
      <w:r w:rsidRPr="0072543C">
        <w:t>The following wording is recommended for the PSUR requirement:</w:t>
      </w:r>
    </w:p>
    <w:p w14:paraId="3EF805CB" w14:textId="79E84117" w:rsidR="0072543C" w:rsidRPr="0072543C" w:rsidRDefault="0072543C" w:rsidP="0072543C">
      <w:pPr>
        <w:rPr>
          <w:i/>
          <w:iCs/>
        </w:rPr>
      </w:pPr>
      <w:r w:rsidRPr="0072543C">
        <w:rPr>
          <w:i/>
          <w:iCs/>
        </w:rPr>
        <w:t>‘An obligatory component of risk management plans is routine pharmacovigilance. Routine pharmacovigilance includes the submission of periodic safety update reports (PSURs).</w:t>
      </w:r>
    </w:p>
    <w:p w14:paraId="4C0316CF" w14:textId="5F37872B" w:rsidR="0072543C" w:rsidRPr="0072543C" w:rsidRDefault="0072543C" w:rsidP="0072543C">
      <w:pPr>
        <w:rPr>
          <w:i/>
          <w:iCs/>
        </w:rPr>
      </w:pPr>
      <w:r w:rsidRPr="0072543C">
        <w:rPr>
          <w:i/>
          <w:iCs/>
        </w:rPr>
        <w:t>Unless agreed separately between the supplier who is the recipient of the approval and the TGA, the first report must be submitted to TGA no later than 15 calendar months after the date of th</w:t>
      </w:r>
      <w:r>
        <w:rPr>
          <w:i/>
          <w:iCs/>
        </w:rPr>
        <w:t>e</w:t>
      </w:r>
      <w:r w:rsidRPr="0072543C">
        <w:rPr>
          <w:i/>
          <w:iCs/>
        </w:rPr>
        <w:t xml:space="preserve"> approval letter. The subsequent reports must be submitted no less frequently than annually from the date of the first submitted report until the period covered by such reports is not less than three years from the date of th</w:t>
      </w:r>
      <w:r>
        <w:rPr>
          <w:i/>
          <w:iCs/>
        </w:rPr>
        <w:t>e</w:t>
      </w:r>
      <w:r w:rsidRPr="0072543C">
        <w:rPr>
          <w:i/>
          <w:iCs/>
        </w:rPr>
        <w:t xml:space="preserve"> approval letter, or the entire period of provisional registration, whichever is longer. </w:t>
      </w:r>
    </w:p>
    <w:p w14:paraId="2D8EE9C7" w14:textId="49C0862D" w:rsidR="0072543C" w:rsidRPr="0072543C" w:rsidRDefault="0072543C" w:rsidP="0072543C">
      <w:pPr>
        <w:rPr>
          <w:i/>
          <w:iCs/>
        </w:rPr>
      </w:pPr>
      <w:r w:rsidRPr="0072543C">
        <w:rPr>
          <w:i/>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EAB4451" w14:textId="70495675" w:rsidR="0072543C" w:rsidRPr="0072543C" w:rsidRDefault="0072543C" w:rsidP="0072543C">
      <w:pPr>
        <w:rPr>
          <w:highlight w:val="lightGray"/>
        </w:rPr>
      </w:pPr>
      <w:r w:rsidRPr="0072543C">
        <w:t>The following wording is recommended for the Black Triangle Scheme condition of registration:</w:t>
      </w:r>
    </w:p>
    <w:p w14:paraId="6B68CD23" w14:textId="1C3B6353" w:rsidR="0072543C" w:rsidRPr="0072543C" w:rsidRDefault="0072543C" w:rsidP="0072543C">
      <w:pPr>
        <w:rPr>
          <w:i/>
          <w:iCs/>
        </w:rPr>
      </w:pPr>
      <w:r w:rsidRPr="0072543C">
        <w:rPr>
          <w:i/>
          <w:iCs/>
        </w:rPr>
        <w:t>‘I</w:t>
      </w:r>
      <w:r>
        <w:rPr>
          <w:i/>
          <w:iCs/>
        </w:rPr>
        <w:t>defirix</w:t>
      </w:r>
      <w:r w:rsidRPr="0072543C">
        <w:rPr>
          <w:i/>
          <w:iCs/>
        </w:rPr>
        <w:t xml:space="preserve"> (imlifidase) is to be included in the Black Triangle Scheme. The PI and CMI for I</w:t>
      </w:r>
      <w:r>
        <w:rPr>
          <w:i/>
          <w:iCs/>
        </w:rPr>
        <w:t>defirix</w:t>
      </w:r>
      <w:r w:rsidRPr="0072543C">
        <w:rPr>
          <w:i/>
          <w:iCs/>
        </w:rPr>
        <w:t xml:space="preserve"> must include the black triangle symbol and mandatory accompanying text for five years, or the product’s entire period of provisional registration, whichever is longer.’</w:t>
      </w:r>
    </w:p>
    <w:p w14:paraId="2E929F44" w14:textId="094B2B97" w:rsidR="0072543C" w:rsidRDefault="0072543C" w:rsidP="0072543C">
      <w:pPr>
        <w:spacing w:line="240" w:lineRule="auto"/>
        <w:rPr>
          <w:lang w:eastAsia="ja-JP"/>
        </w:rPr>
      </w:pPr>
      <w:r>
        <w:rPr>
          <w:lang w:eastAsia="ja-JP"/>
        </w:rPr>
        <w:t xml:space="preserve">As </w:t>
      </w:r>
      <w:r w:rsidRPr="0072543C">
        <w:t xml:space="preserve">Idefirix </w:t>
      </w:r>
      <w:r>
        <w:rPr>
          <w:lang w:eastAsia="ja-JP"/>
        </w:rPr>
        <w:t>is being considered for a provisional registration, confirmatory trial data is recommended for the condition of registration. The following wording based on the proposed clinical study plan is provided as a preliminary suggestion for the TGA Delegate to consider. The final condition of registration is to be determined by the TGA Delegate:</w:t>
      </w:r>
    </w:p>
    <w:p w14:paraId="49F4CEBE" w14:textId="72F816D8" w:rsidR="0072543C" w:rsidRPr="0072543C" w:rsidRDefault="0072543C" w:rsidP="0072543C">
      <w:pPr>
        <w:rPr>
          <w:i/>
          <w:iCs/>
        </w:rPr>
      </w:pPr>
      <w:r>
        <w:t>‘</w:t>
      </w:r>
      <w:r w:rsidRPr="0072543C">
        <w:rPr>
          <w:i/>
          <w:iCs/>
        </w:rPr>
        <w:t>Specifically, the sponsor must conduct studies as described in the clinical study plan in version 0.2 (dated 21 February 2023) of the Australia</w:t>
      </w:r>
      <w:r>
        <w:rPr>
          <w:i/>
          <w:iCs/>
        </w:rPr>
        <w:t xml:space="preserve"> </w:t>
      </w:r>
      <w:r w:rsidRPr="0072543C">
        <w:rPr>
          <w:i/>
          <w:iCs/>
        </w:rPr>
        <w:t>Specific Annex. The following study report(s) should be submitted to TGA:</w:t>
      </w:r>
    </w:p>
    <w:p w14:paraId="4FAC1D19" w14:textId="77777777" w:rsidR="0072543C" w:rsidRPr="0072543C" w:rsidRDefault="0072543C" w:rsidP="0072543C">
      <w:pPr>
        <w:pStyle w:val="ListBullet"/>
        <w:rPr>
          <w:i/>
          <w:iCs/>
        </w:rPr>
      </w:pPr>
      <w:r w:rsidRPr="0072543C">
        <w:rPr>
          <w:i/>
          <w:iCs/>
        </w:rPr>
        <w:t xml:space="preserve">Study 17-HMedIdeS-14, by Q4 2023 </w:t>
      </w:r>
    </w:p>
    <w:p w14:paraId="18E52C44" w14:textId="77777777" w:rsidR="0072543C" w:rsidRPr="0072543C" w:rsidRDefault="0072543C" w:rsidP="0072543C">
      <w:pPr>
        <w:pStyle w:val="ListBullet"/>
        <w:rPr>
          <w:i/>
          <w:iCs/>
        </w:rPr>
      </w:pPr>
      <w:r w:rsidRPr="0072543C">
        <w:rPr>
          <w:i/>
          <w:iCs/>
        </w:rPr>
        <w:t>Study 20-HMedIdeS-19 by Q4 2025</w:t>
      </w:r>
    </w:p>
    <w:p w14:paraId="2ADFDA90" w14:textId="064E80C2" w:rsidR="0072543C" w:rsidRPr="0072543C" w:rsidRDefault="0072543C" w:rsidP="0072543C">
      <w:pPr>
        <w:pStyle w:val="ListBullet"/>
        <w:rPr>
          <w:i/>
          <w:iCs/>
        </w:rPr>
      </w:pPr>
      <w:r w:rsidRPr="0072543C">
        <w:rPr>
          <w:i/>
          <w:iCs/>
        </w:rPr>
        <w:t xml:space="preserve">Study 20-HMedIdeS-17 </w:t>
      </w:r>
    </w:p>
    <w:p w14:paraId="68D08014" w14:textId="615FA082" w:rsidR="0072543C" w:rsidRPr="0072543C" w:rsidRDefault="0072543C" w:rsidP="0072543C">
      <w:r w:rsidRPr="0072543C">
        <w:rPr>
          <w:i/>
          <w:iCs/>
        </w:rPr>
        <w:t>Further guidance for sponsors is available on the TGA website.</w:t>
      </w:r>
      <w:r>
        <w:t>’</w:t>
      </w:r>
    </w:p>
    <w:p w14:paraId="74A4F87F" w14:textId="77777777" w:rsidR="00C22214" w:rsidRDefault="00C22214" w:rsidP="00C22214">
      <w:pPr>
        <w:pStyle w:val="Heading3"/>
      </w:pPr>
      <w:bookmarkStart w:id="91" w:name="_Toc166143719"/>
      <w:r>
        <w:lastRenderedPageBreak/>
        <w:t>Risk-benefit analysis</w:t>
      </w:r>
      <w:bookmarkEnd w:id="82"/>
      <w:bookmarkEnd w:id="83"/>
      <w:bookmarkEnd w:id="86"/>
      <w:bookmarkEnd w:id="91"/>
    </w:p>
    <w:p w14:paraId="77DE2655" w14:textId="77777777" w:rsidR="00C22214" w:rsidRDefault="00C22214" w:rsidP="00C22214">
      <w:pPr>
        <w:pStyle w:val="Heading4"/>
      </w:pPr>
      <w:bookmarkStart w:id="92" w:name="_Toc98931932"/>
      <w:bookmarkStart w:id="93" w:name="_Toc166143720"/>
      <w:r>
        <w:t>Delegate’s considerations</w:t>
      </w:r>
      <w:bookmarkEnd w:id="92"/>
      <w:bookmarkEnd w:id="93"/>
    </w:p>
    <w:p w14:paraId="36C8A65A" w14:textId="77777777" w:rsidR="00002C78" w:rsidRPr="00002C78" w:rsidRDefault="00002C78" w:rsidP="00002C78">
      <w:pPr>
        <w:pStyle w:val="Heading5"/>
      </w:pPr>
      <w:r w:rsidRPr="00002C78">
        <w:t>Pharmacology</w:t>
      </w:r>
    </w:p>
    <w:p w14:paraId="4AA29792" w14:textId="136B28A7" w:rsidR="00002C78" w:rsidRPr="00002C78" w:rsidRDefault="00002C78" w:rsidP="00002C78">
      <w:r w:rsidRPr="00002C78">
        <w:t xml:space="preserve">The pharmacokinetic and pharmacodynamic profiles of imlifidase has been adequately characterised for the proposed usage, </w:t>
      </w:r>
      <w:r>
        <w:t>that is</w:t>
      </w:r>
      <w:r w:rsidRPr="00002C78">
        <w:t xml:space="preserve"> restricted to a single </w:t>
      </w:r>
      <w:r>
        <w:t>intravenous</w:t>
      </w:r>
      <w:r w:rsidRPr="00002C78">
        <w:t xml:space="preserve"> dose, with a facultative second </w:t>
      </w:r>
      <w:r>
        <w:t>intravenous</w:t>
      </w:r>
      <w:r w:rsidRPr="00002C78">
        <w:t xml:space="preserve"> dose. This pharmacodynamic profile has been explored at different dose levels and the time</w:t>
      </w:r>
      <w:r w:rsidR="00F866FA">
        <w:t>-</w:t>
      </w:r>
      <w:r w:rsidRPr="00002C78">
        <w:t>course effect has been described.</w:t>
      </w:r>
    </w:p>
    <w:p w14:paraId="5A9DA3D0" w14:textId="77777777" w:rsidR="00002C78" w:rsidRPr="00002C78" w:rsidRDefault="00002C78" w:rsidP="00002C78">
      <w:pPr>
        <w:pStyle w:val="Heading5"/>
      </w:pPr>
      <w:r w:rsidRPr="00002C78">
        <w:t>Efficacy</w:t>
      </w:r>
    </w:p>
    <w:p w14:paraId="6CA2525A" w14:textId="77777777" w:rsidR="00002C78" w:rsidRPr="00002C78" w:rsidRDefault="00002C78" w:rsidP="00002C78">
      <w:pPr>
        <w:pStyle w:val="Heading6"/>
      </w:pPr>
      <w:r w:rsidRPr="00002C78">
        <w:t>Clinical trial program overview</w:t>
      </w:r>
    </w:p>
    <w:p w14:paraId="2A3E4733" w14:textId="05C28836" w:rsidR="00002C78" w:rsidRPr="00002C78" w:rsidRDefault="00002C78" w:rsidP="00002C78">
      <w:r w:rsidRPr="00002C78">
        <w:t xml:space="preserve">No </w:t>
      </w:r>
      <w:r>
        <w:t>P</w:t>
      </w:r>
      <w:r w:rsidRPr="00002C78">
        <w:t xml:space="preserve">hase </w:t>
      </w:r>
      <w:r>
        <w:t>III</w:t>
      </w:r>
      <w:r w:rsidRPr="00002C78">
        <w:t xml:space="preserve"> comparative studies: There were no completed </w:t>
      </w:r>
      <w:r>
        <w:t>P</w:t>
      </w:r>
      <w:r w:rsidRPr="00002C78">
        <w:t xml:space="preserve">hase </w:t>
      </w:r>
      <w:r>
        <w:t>III</w:t>
      </w:r>
      <w:r w:rsidRPr="00002C78">
        <w:t xml:space="preserve"> studies and thus </w:t>
      </w:r>
      <w:r>
        <w:t>P</w:t>
      </w:r>
      <w:r w:rsidRPr="00002C78">
        <w:t xml:space="preserve">hase </w:t>
      </w:r>
      <w:r>
        <w:t>III</w:t>
      </w:r>
      <w:r w:rsidRPr="00002C78">
        <w:t xml:space="preserve"> confirmatory data have not been presented. No comparative studies have been conducted to test efficacy.</w:t>
      </w:r>
    </w:p>
    <w:p w14:paraId="323E36C9" w14:textId="079BEC5D" w:rsidR="00002C78" w:rsidRPr="00002C78" w:rsidRDefault="00002C78" w:rsidP="00002C78">
      <w:r w:rsidRPr="00002C78">
        <w:t xml:space="preserve">Hypothesis testing: The </w:t>
      </w:r>
      <w:r>
        <w:t>P</w:t>
      </w:r>
      <w:r w:rsidRPr="00002C78">
        <w:t xml:space="preserve">hase </w:t>
      </w:r>
      <w:r>
        <w:t>I</w:t>
      </w:r>
      <w:r w:rsidRPr="00002C78">
        <w:t xml:space="preserve"> and </w:t>
      </w:r>
      <w:r>
        <w:t>II</w:t>
      </w:r>
      <w:r w:rsidRPr="00002C78">
        <w:t xml:space="preserve"> studies presented by the sponsor were not designed as definitive tests of efficacy. The studies did not perform any hypothesis tests for efficacy and the outcome measures were not designed in a way that would enable such testing. There are clearly some barriers to the performing of hypothesis tests for efficacy for imlifidase. There are potential ethical issues in control group design when the consequences of treatment failure are severe.</w:t>
      </w:r>
    </w:p>
    <w:p w14:paraId="17C88CE5" w14:textId="446C9BAA" w:rsidR="00002C78" w:rsidRPr="00002C78" w:rsidRDefault="00002C78" w:rsidP="00002C78">
      <w:r w:rsidRPr="00002C78">
        <w:t>Inclusion and exclusion criteria</w:t>
      </w:r>
      <w:r>
        <w:t xml:space="preserve"> (</w:t>
      </w:r>
      <w:r>
        <w:fldChar w:fldCharType="begin"/>
      </w:r>
      <w:r>
        <w:instrText xml:space="preserve"> REF _Ref148962216 \h </w:instrText>
      </w:r>
      <w:r>
        <w:fldChar w:fldCharType="separate"/>
      </w:r>
      <w:r w:rsidR="00755A69" w:rsidRPr="00002C78">
        <w:t xml:space="preserve">Table </w:t>
      </w:r>
      <w:r w:rsidR="00755A69">
        <w:rPr>
          <w:noProof/>
        </w:rPr>
        <w:t>24</w:t>
      </w:r>
      <w:r>
        <w:fldChar w:fldCharType="end"/>
      </w:r>
      <w:r>
        <w:t>)</w:t>
      </w:r>
      <w:r w:rsidRPr="00002C78">
        <w:t xml:space="preserve">: In the </w:t>
      </w:r>
      <w:r>
        <w:t>P</w:t>
      </w:r>
      <w:r w:rsidRPr="00002C78">
        <w:t xml:space="preserve">hase </w:t>
      </w:r>
      <w:r>
        <w:t>II</w:t>
      </w:r>
      <w:r w:rsidRPr="00002C78">
        <w:t xml:space="preserve"> studies, the main inclusion criteria </w:t>
      </w:r>
      <w:r w:rsidR="00547449" w:rsidRPr="00002C78">
        <w:t>were</w:t>
      </w:r>
      <w:r w:rsidRPr="00002C78">
        <w:t xml:space="preserve"> age </w:t>
      </w:r>
      <w:r>
        <w:t xml:space="preserve">at least </w:t>
      </w:r>
      <w:r w:rsidRPr="00002C78">
        <w:t xml:space="preserve">18 years; a CKD diagnosis and waiting list for kidney transplantation; sensitised with anti-HLA antibodies. In Studies 04 and Study 06, a positive cross-match was required (not required in Studies 02 or 03; positive T-cell CDCXM was an exclusion criterion in </w:t>
      </w:r>
      <w:r w:rsidRPr="001E74E1">
        <w:t>Study 03). Only Study 04 had a previous desensitisation attempt with rituximab and IVIg as an inclusion criterion. Study 04 also excluded living donors.</w:t>
      </w:r>
    </w:p>
    <w:p w14:paraId="03D1F8CC" w14:textId="77777777" w:rsidR="00002C78" w:rsidRPr="00002C78" w:rsidRDefault="00002C78" w:rsidP="00002C78">
      <w:r w:rsidRPr="00002C78">
        <w:t>Bias: There were a number of sources of bias and confounding. The sample size was rather small. All studies were non-randomised without a comparator group, and all open-label. For the follow-up Study 14, a few patients were lost to follow-up, potentially leading to attrition bias and/or survivor bias.</w:t>
      </w:r>
    </w:p>
    <w:p w14:paraId="17EE94A1" w14:textId="066E0DEE" w:rsidR="00002C78" w:rsidRDefault="00002C78" w:rsidP="00547449">
      <w:pPr>
        <w:pStyle w:val="TableTitle"/>
      </w:pPr>
      <w:bookmarkStart w:id="94" w:name="_Ref148962216"/>
      <w:r w:rsidRPr="00002C78">
        <w:t xml:space="preserve">Table </w:t>
      </w:r>
      <w:fldSimple w:instr=" SEQ Table \* ARABIC ">
        <w:r w:rsidR="00755A69">
          <w:rPr>
            <w:noProof/>
          </w:rPr>
          <w:t>24</w:t>
        </w:r>
      </w:fldSimple>
      <w:bookmarkEnd w:id="94"/>
      <w:r>
        <w:t xml:space="preserve">: </w:t>
      </w:r>
      <w:r w:rsidRPr="00002C78">
        <w:t xml:space="preserve">Phase </w:t>
      </w:r>
      <w:r>
        <w:t>II</w:t>
      </w:r>
      <w:r w:rsidRPr="00002C78">
        <w:t xml:space="preserve"> studies. Overview of inclusion criteria</w:t>
      </w:r>
    </w:p>
    <w:p w14:paraId="33B0CB7A" w14:textId="27C808BF" w:rsidR="00002C78" w:rsidRDefault="00002C78" w:rsidP="00002C78">
      <w:r w:rsidRPr="007D0D26">
        <w:rPr>
          <w:noProof/>
          <w:lang w:eastAsia="ja-JP"/>
        </w:rPr>
        <w:drawing>
          <wp:inline distT="0" distB="0" distL="0" distR="0" wp14:anchorId="2168DD2F" wp14:editId="6AAD2CC1">
            <wp:extent cx="4715124" cy="1733823"/>
            <wp:effectExtent l="0" t="0" r="0" b="0"/>
            <wp:docPr id="51" name="Picture 51" descr="Phase II studies. Overview of in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hase II studies. Overview of inclusion criter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9238" cy="1739013"/>
                    </a:xfrm>
                    <a:prstGeom prst="rect">
                      <a:avLst/>
                    </a:prstGeom>
                    <a:noFill/>
                    <a:ln>
                      <a:noFill/>
                    </a:ln>
                  </pic:spPr>
                </pic:pic>
              </a:graphicData>
            </a:graphic>
          </wp:inline>
        </w:drawing>
      </w:r>
    </w:p>
    <w:p w14:paraId="39106D69" w14:textId="77777777" w:rsidR="00002C78" w:rsidRPr="00002C78" w:rsidRDefault="00002C78" w:rsidP="00002C78">
      <w:pPr>
        <w:pStyle w:val="Heading6"/>
      </w:pPr>
      <w:r w:rsidRPr="00002C78">
        <w:t>Clinical trial program results</w:t>
      </w:r>
    </w:p>
    <w:p w14:paraId="464236DA" w14:textId="77777777" w:rsidR="00002C78" w:rsidRPr="00002C78" w:rsidRDefault="00002C78" w:rsidP="00002C78">
      <w:r w:rsidRPr="00002C78">
        <w:t>The efficacy data can be summarised as:</w:t>
      </w:r>
    </w:p>
    <w:p w14:paraId="753F1DA3" w14:textId="3E7436CD" w:rsidR="00002C78" w:rsidRPr="00002C78" w:rsidRDefault="00002C78" w:rsidP="00002C78">
      <w:pPr>
        <w:pStyle w:val="ListBullet"/>
      </w:pPr>
      <w:r w:rsidRPr="00002C78">
        <w:lastRenderedPageBreak/>
        <w:t xml:space="preserve">Study 06: 16 (88.9%) of the 18 transplanted patients had a functional kidney at </w:t>
      </w:r>
      <w:r w:rsidR="00F866FA">
        <w:t>end of study</w:t>
      </w:r>
      <w:r w:rsidRPr="00002C78">
        <w:t>, with acceptable eGFR and off dialysis, including all five from living donors.</w:t>
      </w:r>
    </w:p>
    <w:p w14:paraId="1160EB42" w14:textId="3A5B7AA5" w:rsidR="00002C78" w:rsidRPr="00002C78" w:rsidRDefault="00002C78" w:rsidP="00002C78">
      <w:pPr>
        <w:pStyle w:val="ListBullet"/>
      </w:pPr>
      <w:r w:rsidRPr="00002C78">
        <w:t>Study 04: 16 (94%) of the 17 renal grafts functioning at the end of the study. Living donors were excluded from this study.</w:t>
      </w:r>
    </w:p>
    <w:p w14:paraId="4E2DEBF6" w14:textId="12BCC584" w:rsidR="00002C78" w:rsidRPr="00002C78" w:rsidRDefault="00002C78" w:rsidP="00002C78">
      <w:pPr>
        <w:pStyle w:val="ListBullet"/>
      </w:pPr>
      <w:r w:rsidRPr="00002C78">
        <w:t>Study 02</w:t>
      </w:r>
      <w:r>
        <w:t xml:space="preserve"> </w:t>
      </w:r>
      <w:r w:rsidRPr="00002C78">
        <w:t>and Study 03: 11 (100%) patients with successful renal transplants, including two from living donors.</w:t>
      </w:r>
    </w:p>
    <w:p w14:paraId="52C223EB" w14:textId="1DD3643C" w:rsidR="00002C78" w:rsidRPr="00002C78" w:rsidRDefault="00002C78" w:rsidP="00002C78">
      <w:r w:rsidRPr="00002C78">
        <w:t xml:space="preserve">Study 14 (based on follow-up data of patients in </w:t>
      </w:r>
      <w:r w:rsidR="00F866FA">
        <w:t>S</w:t>
      </w:r>
      <w:r w:rsidRPr="00002C78">
        <w:t xml:space="preserve">tudies 02, 03, 04 and 06) and its primary objective to evaluate graft survival could be regarded as a key piece of the efficacy evaluation. Overall graft survival </w:t>
      </w:r>
      <w:r>
        <w:t>(</w:t>
      </w:r>
      <w:r>
        <w:fldChar w:fldCharType="begin"/>
      </w:r>
      <w:r>
        <w:instrText xml:space="preserve"> REF _Ref148962338 \h </w:instrText>
      </w:r>
      <w:r>
        <w:fldChar w:fldCharType="separate"/>
      </w:r>
      <w:r w:rsidR="00755A69" w:rsidRPr="00002C78">
        <w:t xml:space="preserve">Table </w:t>
      </w:r>
      <w:r w:rsidR="00755A69">
        <w:rPr>
          <w:noProof/>
        </w:rPr>
        <w:t>25</w:t>
      </w:r>
      <w:r>
        <w:fldChar w:fldCharType="end"/>
      </w:r>
      <w:r>
        <w:t>)</w:t>
      </w:r>
      <w:r w:rsidRPr="00002C78">
        <w:t>:</w:t>
      </w:r>
    </w:p>
    <w:p w14:paraId="7CE8C941" w14:textId="24CEF3DD" w:rsidR="00002C78" w:rsidRPr="00002C78" w:rsidRDefault="00002C78" w:rsidP="00002C78">
      <w:pPr>
        <w:pStyle w:val="ListBullet"/>
      </w:pPr>
      <w:r w:rsidRPr="00002C78">
        <w:t>at the 6-month assessment was 43</w:t>
      </w:r>
      <w:r>
        <w:t xml:space="preserve"> out of </w:t>
      </w:r>
      <w:r w:rsidRPr="00002C78">
        <w:t>46 (93%); and</w:t>
      </w:r>
    </w:p>
    <w:p w14:paraId="097DCF7B" w14:textId="77777777" w:rsidR="00002C78" w:rsidRPr="00002C78" w:rsidRDefault="00002C78" w:rsidP="00002C78">
      <w:pPr>
        <w:pStyle w:val="ListBullet"/>
      </w:pPr>
      <w:r w:rsidRPr="00002C78">
        <w:t>at the 3-year assessment was 85%.</w:t>
      </w:r>
    </w:p>
    <w:p w14:paraId="3A8D67BE" w14:textId="0CAE4E0C" w:rsidR="00002C78" w:rsidRDefault="00002C78" w:rsidP="00002C78">
      <w:pPr>
        <w:spacing w:line="240" w:lineRule="auto"/>
      </w:pPr>
      <w:r>
        <w:t xml:space="preserve">Two out of the three graft losses at three years were due to lowering or non-compliance of immunosuppression medication with the third being a </w:t>
      </w:r>
      <w:r w:rsidR="00EA50A4">
        <w:t>decline in graft function over time</w:t>
      </w:r>
      <w:r w:rsidR="00494F28">
        <w:t>.</w:t>
      </w:r>
    </w:p>
    <w:p w14:paraId="400440B5" w14:textId="7957521B" w:rsidR="00002C78" w:rsidRDefault="00002C78" w:rsidP="00547449">
      <w:pPr>
        <w:pStyle w:val="TableTitle"/>
      </w:pPr>
      <w:bookmarkStart w:id="95" w:name="_Ref148962338"/>
      <w:r w:rsidRPr="00002C78">
        <w:t xml:space="preserve">Table </w:t>
      </w:r>
      <w:fldSimple w:instr=" SEQ Table \* ARABIC ">
        <w:r w:rsidR="00755A69">
          <w:rPr>
            <w:noProof/>
          </w:rPr>
          <w:t>25</w:t>
        </w:r>
      </w:fldSimple>
      <w:bookmarkEnd w:id="95"/>
      <w:r>
        <w:t xml:space="preserve">: </w:t>
      </w:r>
      <w:r w:rsidRPr="00002C78">
        <w:t xml:space="preserve">Study 14 Primary endpoint: death-censored graft survival by </w:t>
      </w:r>
      <w:proofErr w:type="gramStart"/>
      <w:r w:rsidRPr="00002C78">
        <w:t>time perio</w:t>
      </w:r>
      <w:r>
        <w:t>d</w:t>
      </w:r>
      <w:proofErr w:type="gramEnd"/>
    </w:p>
    <w:p w14:paraId="4A2E2BB4" w14:textId="15F4E559" w:rsidR="00002C78" w:rsidRDefault="006A6B26" w:rsidP="00002C78">
      <w:r w:rsidRPr="006A6B26">
        <w:rPr>
          <w:noProof/>
        </w:rPr>
        <w:drawing>
          <wp:inline distT="0" distB="0" distL="0" distR="0" wp14:anchorId="6DBAACA5" wp14:editId="4FBA5002">
            <wp:extent cx="5759450" cy="1774190"/>
            <wp:effectExtent l="0" t="0" r="0" b="0"/>
            <wp:docPr id="777483087" name="Picture 777483087" descr="A table with numbers and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83087" name="Picture 1" descr="A table with numbers and a number of points&#10;&#10;Description automatically generated with medium confidence"/>
                    <pic:cNvPicPr/>
                  </pic:nvPicPr>
                  <pic:blipFill>
                    <a:blip r:embed="rId50"/>
                    <a:stretch>
                      <a:fillRect/>
                    </a:stretch>
                  </pic:blipFill>
                  <pic:spPr>
                    <a:xfrm>
                      <a:off x="0" y="0"/>
                      <a:ext cx="5759450" cy="1774190"/>
                    </a:xfrm>
                    <a:prstGeom prst="rect">
                      <a:avLst/>
                    </a:prstGeom>
                  </pic:spPr>
                </pic:pic>
              </a:graphicData>
            </a:graphic>
          </wp:inline>
        </w:drawing>
      </w:r>
    </w:p>
    <w:p w14:paraId="3B7D78FB" w14:textId="3B99F68A" w:rsidR="004F0DF7" w:rsidRPr="003F5A59" w:rsidRDefault="004F0DF7" w:rsidP="00002C78">
      <w:pPr>
        <w:rPr>
          <w:b/>
          <w:bCs/>
        </w:rPr>
      </w:pPr>
      <w:r w:rsidRPr="003F5A59">
        <w:rPr>
          <w:b/>
          <w:bCs/>
        </w:rPr>
        <w:t>Summary of the clinical trial program results</w:t>
      </w:r>
      <w:r w:rsidR="005A2F65" w:rsidRPr="003F5A59">
        <w:rPr>
          <w:b/>
          <w:bCs/>
        </w:rPr>
        <w:t>:</w:t>
      </w:r>
    </w:p>
    <w:p w14:paraId="733B6966" w14:textId="5F437F74" w:rsidR="00002C78" w:rsidRPr="00002C78" w:rsidRDefault="00002C78" w:rsidP="00002C78">
      <w:r w:rsidRPr="00002C78">
        <w:t xml:space="preserve">The total of </w:t>
      </w:r>
      <w:r>
        <w:t>six</w:t>
      </w:r>
      <w:r w:rsidRPr="00002C78">
        <w:t xml:space="preserve"> graft losses (</w:t>
      </w:r>
      <w:r>
        <w:t>three</w:t>
      </w:r>
      <w:r w:rsidRPr="00002C78">
        <w:t xml:space="preserve"> by </w:t>
      </w:r>
      <w:r>
        <w:t>six</w:t>
      </w:r>
      <w:r w:rsidRPr="00002C78">
        <w:t xml:space="preserve"> months, and </w:t>
      </w:r>
      <w:r>
        <w:t>three</w:t>
      </w:r>
      <w:r w:rsidRPr="00002C78">
        <w:t xml:space="preserve"> by </w:t>
      </w:r>
      <w:r>
        <w:t>three</w:t>
      </w:r>
      <w:r w:rsidRPr="00002C78">
        <w:t xml:space="preserve"> years) are further analysed in</w:t>
      </w:r>
      <w:r>
        <w:t xml:space="preserve"> </w:t>
      </w:r>
      <w:r>
        <w:fldChar w:fldCharType="begin"/>
      </w:r>
      <w:r>
        <w:instrText xml:space="preserve"> REF _Ref148962423 \h </w:instrText>
      </w:r>
      <w:r>
        <w:fldChar w:fldCharType="separate"/>
      </w:r>
      <w:r w:rsidR="00755A69" w:rsidRPr="00002C78">
        <w:t xml:space="preserve">Table </w:t>
      </w:r>
      <w:r w:rsidR="00755A69">
        <w:rPr>
          <w:noProof/>
        </w:rPr>
        <w:t>26</w:t>
      </w:r>
      <w:r>
        <w:fldChar w:fldCharType="end"/>
      </w:r>
      <w:r>
        <w:t xml:space="preserve">. </w:t>
      </w:r>
      <w:r w:rsidRPr="00002C78">
        <w:t xml:space="preserve">There were </w:t>
      </w:r>
      <w:r>
        <w:t>three</w:t>
      </w:r>
      <w:r w:rsidRPr="00002C78">
        <w:t xml:space="preserve"> HUT and </w:t>
      </w:r>
      <w:r>
        <w:t>three</w:t>
      </w:r>
      <w:r w:rsidRPr="00002C78">
        <w:t xml:space="preserve"> non-HUT patients. All were FCXM B-cell positive at </w:t>
      </w:r>
      <w:r w:rsidR="00F866FA">
        <w:t>B</w:t>
      </w:r>
      <w:r w:rsidRPr="00002C78">
        <w:t xml:space="preserve">aseline, and </w:t>
      </w:r>
      <w:r>
        <w:t xml:space="preserve">2 out of </w:t>
      </w:r>
      <w:r w:rsidRPr="00002C78">
        <w:t>6 were FCXM T-cell positive, noting that FCXM is regarded as much more sensitive compared to CDCXM.</w:t>
      </w:r>
    </w:p>
    <w:p w14:paraId="49477453" w14:textId="54AD0952" w:rsidR="00002C78" w:rsidRPr="00002C78" w:rsidRDefault="00002C78" w:rsidP="00002C78">
      <w:r w:rsidRPr="00002C78">
        <w:t xml:space="preserve">Patients with a positive T-cell crossmatch typically have higher levels of sensitisation, and a risk of AMR and graft loss. This population was excluded in Study </w:t>
      </w:r>
      <w:r w:rsidR="00F866FA" w:rsidRPr="00002C78">
        <w:t>03 but</w:t>
      </w:r>
      <w:r w:rsidRPr="00002C78">
        <w:t xml:space="preserve"> were able to participate in the other </w:t>
      </w:r>
      <w:r>
        <w:t>P</w:t>
      </w:r>
      <w:r w:rsidRPr="00002C78">
        <w:t xml:space="preserve">hase </w:t>
      </w:r>
      <w:r>
        <w:t>II</w:t>
      </w:r>
      <w:r w:rsidRPr="00002C78">
        <w:t xml:space="preserve"> studies. There are only limited data on efficacy outcome with patients with a positive T-cell crossmatch.</w:t>
      </w:r>
    </w:p>
    <w:p w14:paraId="5546812C" w14:textId="77777777" w:rsidR="00002C78" w:rsidRPr="00002C78" w:rsidRDefault="00002C78" w:rsidP="00002C78">
      <w:r w:rsidRPr="00002C78">
        <w:t>At this stage, it does not appear that HUT or T-cell positive CXM patients are disproportionally more likely to suffer from graft failure after imlifidase administration, noting that no definite conclusions can be made due to small numbers.</w:t>
      </w:r>
    </w:p>
    <w:p w14:paraId="0D2F862F" w14:textId="2E6E3DF3" w:rsidR="00002C78" w:rsidRDefault="00002C78" w:rsidP="00002C78">
      <w:pPr>
        <w:pStyle w:val="TableTitle"/>
      </w:pPr>
      <w:bookmarkStart w:id="96" w:name="_Ref148962423"/>
      <w:r w:rsidRPr="00002C78">
        <w:lastRenderedPageBreak/>
        <w:t xml:space="preserve">Table </w:t>
      </w:r>
      <w:fldSimple w:instr=" SEQ Table \* ARABIC ">
        <w:r w:rsidR="00755A69">
          <w:rPr>
            <w:noProof/>
          </w:rPr>
          <w:t>26</w:t>
        </w:r>
      </w:fldSimple>
      <w:bookmarkEnd w:id="96"/>
      <w:r w:rsidRPr="00002C78">
        <w:t>:</w:t>
      </w:r>
      <w:r>
        <w:t xml:space="preserve"> </w:t>
      </w:r>
      <w:r w:rsidRPr="00002C78">
        <w:t xml:space="preserve">Phase </w:t>
      </w:r>
      <w:r>
        <w:t>II</w:t>
      </w:r>
      <w:r w:rsidRPr="00002C78">
        <w:t xml:space="preserve"> studies Characteristics of patients suffering graft loss</w:t>
      </w:r>
    </w:p>
    <w:p w14:paraId="46C975FA" w14:textId="5BFBB1B2" w:rsidR="00002C78" w:rsidRDefault="00002C78" w:rsidP="00002C78">
      <w:r w:rsidRPr="00552E54">
        <w:rPr>
          <w:noProof/>
          <w:lang w:eastAsia="ja-JP"/>
        </w:rPr>
        <w:drawing>
          <wp:inline distT="0" distB="0" distL="0" distR="0" wp14:anchorId="10F779C2" wp14:editId="571EA0BD">
            <wp:extent cx="5690799" cy="2297926"/>
            <wp:effectExtent l="0" t="0" r="5715" b="7620"/>
            <wp:docPr id="67" name="Picture 67" descr="Phase II studies Characteristics of patients suffering graf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hase II studies Characteristics of patients suffering graft los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6536" b="6374"/>
                    <a:stretch/>
                  </pic:blipFill>
                  <pic:spPr bwMode="auto">
                    <a:xfrm>
                      <a:off x="0" y="0"/>
                      <a:ext cx="5693871" cy="2299166"/>
                    </a:xfrm>
                    <a:prstGeom prst="rect">
                      <a:avLst/>
                    </a:prstGeom>
                    <a:noFill/>
                    <a:ln>
                      <a:noFill/>
                    </a:ln>
                    <a:extLst>
                      <a:ext uri="{53640926-AAD7-44D8-BBD7-CCE9431645EC}">
                        <a14:shadowObscured xmlns:a14="http://schemas.microsoft.com/office/drawing/2010/main"/>
                      </a:ext>
                    </a:extLst>
                  </pic:spPr>
                </pic:pic>
              </a:graphicData>
            </a:graphic>
          </wp:inline>
        </w:drawing>
      </w:r>
    </w:p>
    <w:p w14:paraId="021B59DD" w14:textId="77777777" w:rsidR="00002C78" w:rsidRPr="00002C78" w:rsidRDefault="00002C78" w:rsidP="00002C78">
      <w:pPr>
        <w:pStyle w:val="Heading5"/>
      </w:pPr>
      <w:r w:rsidRPr="00002C78">
        <w:t>Dosing and treatment regimen</w:t>
      </w:r>
    </w:p>
    <w:p w14:paraId="6E53141A" w14:textId="13DD7C71" w:rsidR="00002C78" w:rsidRPr="00002C78" w:rsidRDefault="00002C78" w:rsidP="00002C78">
      <w:r w:rsidRPr="00002C78">
        <w:t>The development program has determined an appropriate dose and treatment regimen, and also used appropriate concomitant treatments including additional immunosuppression, antihistamines and prophylaxis against infection. This is reflected in the proposed PI.</w:t>
      </w:r>
    </w:p>
    <w:p w14:paraId="043718B8" w14:textId="77777777" w:rsidR="00002C78" w:rsidRPr="00002C78" w:rsidRDefault="00002C78" w:rsidP="00002C78">
      <w:pPr>
        <w:pStyle w:val="Heading5"/>
      </w:pPr>
      <w:r w:rsidRPr="00002C78">
        <w:t>Generalisability and applicability to the local patient population</w:t>
      </w:r>
    </w:p>
    <w:p w14:paraId="50BC0B35" w14:textId="7FB33C8F" w:rsidR="00002C78" w:rsidRPr="00002C78" w:rsidRDefault="00002C78" w:rsidP="00002C78">
      <w:r w:rsidRPr="00002C78">
        <w:t>The results of these trials performed in Sweden, France and the US can be reasonably extrapolated to Australia. Although there were some variations between the countries in the inclusion criteria, the study procedures were similar and can be applied to clinical practice in Australia. Living donor transplants were performed in Sweden, France and the US.</w:t>
      </w:r>
    </w:p>
    <w:p w14:paraId="5906CB37" w14:textId="0D17FFB8" w:rsidR="00002C78" w:rsidRPr="00002C78" w:rsidRDefault="00002C78" w:rsidP="00002C78">
      <w:pPr>
        <w:pStyle w:val="Heading6"/>
      </w:pPr>
      <w:r w:rsidRPr="00002C78">
        <w:t xml:space="preserve">Living </w:t>
      </w:r>
      <w:r>
        <w:t>versus</w:t>
      </w:r>
      <w:r w:rsidRPr="00002C78">
        <w:t xml:space="preserve"> deceased donors</w:t>
      </w:r>
    </w:p>
    <w:p w14:paraId="74AEEA73" w14:textId="77777777" w:rsidR="00002C78" w:rsidRPr="00002C78" w:rsidRDefault="00002C78" w:rsidP="00002C78">
      <w:r w:rsidRPr="00002C78">
        <w:t>No jurisdiction has registered imlifidase for transplants from living donors.</w:t>
      </w:r>
    </w:p>
    <w:p w14:paraId="75652613" w14:textId="77777777" w:rsidR="00002C78" w:rsidRPr="00002C78" w:rsidRDefault="00002C78" w:rsidP="00002C78">
      <w:r w:rsidRPr="00002C78">
        <w:t>The clinical trial program mainly used deceased donors. Of 46 patients treated with imlifidase prior to transplantation, 39 (85%) patients received deceased donor kidneys and 7 (15%) received living donor kidneys. All living donor transplants were successful, but the sample size is small.</w:t>
      </w:r>
    </w:p>
    <w:p w14:paraId="4472A11C" w14:textId="77777777" w:rsidR="00002C78" w:rsidRPr="00002C78" w:rsidRDefault="00002C78" w:rsidP="00002C78">
      <w:r w:rsidRPr="00002C78">
        <w:t xml:space="preserve">For transplants from deceased patients, timely desensitisation is </w:t>
      </w:r>
      <w:proofErr w:type="gramStart"/>
      <w:r w:rsidRPr="00002C78">
        <w:t>necessary</w:t>
      </w:r>
      <w:proofErr w:type="gramEnd"/>
      <w:r w:rsidRPr="00002C78">
        <w:t xml:space="preserve"> and this may be not or less effectively achieved used currently available treatments.</w:t>
      </w:r>
    </w:p>
    <w:p w14:paraId="7C9B92E6" w14:textId="77777777" w:rsidR="00002C78" w:rsidRPr="00002C78" w:rsidRDefault="00002C78" w:rsidP="00002C78">
      <w:r w:rsidRPr="00002C78">
        <w:t>Generally, transplants from living donor are more likely to succeed, and there is no inherent reason why imlifidase would not also be efficacious in living donor transplantation and could be restricted to scenarios in which other desensitisation treatments have failed or are contraindicated.</w:t>
      </w:r>
    </w:p>
    <w:p w14:paraId="775F78B0" w14:textId="202ECA97" w:rsidR="00002C78" w:rsidRPr="00002C78" w:rsidRDefault="00002C78" w:rsidP="00002C78">
      <w:r w:rsidRPr="00002C78">
        <w:t xml:space="preserve">However, as stated above, the living donor sample size was much smaller compared to the deceased donor transplantation. Furthermore, the benefit-risk balance is different, as there are other more established desensitisation options available for transplantation from living donors, and typically there is more time to consider and use those. The main reason that prevents provisional registration of imlifidase for transplants from living donors is that they were specifically excluded from the confirmatory </w:t>
      </w:r>
      <w:r w:rsidR="00F866FA">
        <w:t>P</w:t>
      </w:r>
      <w:r w:rsidRPr="00002C78">
        <w:t xml:space="preserve">hase </w:t>
      </w:r>
      <w:r w:rsidR="00F866FA">
        <w:t>III</w:t>
      </w:r>
      <w:r w:rsidRPr="00002C78">
        <w:t xml:space="preserve"> trials (Study 17 and Study 19).</w:t>
      </w:r>
    </w:p>
    <w:p w14:paraId="24A5F0F3" w14:textId="4F793BA4" w:rsidR="00002C78" w:rsidRPr="00002C78" w:rsidRDefault="00002C78" w:rsidP="00002C78">
      <w:r w:rsidRPr="00002C78">
        <w:t>Based on this, changes should be made to restrict the indication to transplants from deceased donors.</w:t>
      </w:r>
    </w:p>
    <w:p w14:paraId="0D195B3E" w14:textId="342EBF11" w:rsidR="00002C78" w:rsidRPr="00002C78" w:rsidRDefault="00002C78" w:rsidP="00002C78">
      <w:pPr>
        <w:pStyle w:val="Heading5"/>
      </w:pPr>
      <w:r w:rsidRPr="00002C78">
        <w:lastRenderedPageBreak/>
        <w:t xml:space="preserve">Planned/ongoing </w:t>
      </w:r>
      <w:r>
        <w:t>P</w:t>
      </w:r>
      <w:r w:rsidRPr="00002C78">
        <w:t xml:space="preserve">hase </w:t>
      </w:r>
      <w:r>
        <w:t>III</w:t>
      </w:r>
      <w:r w:rsidRPr="00002C78">
        <w:t xml:space="preserve"> studies</w:t>
      </w:r>
    </w:p>
    <w:p w14:paraId="20CE1F82" w14:textId="056D00FD" w:rsidR="00002C78" w:rsidRPr="00002C78" w:rsidRDefault="00002C78" w:rsidP="00002C78">
      <w:r w:rsidRPr="00002C78">
        <w:t xml:space="preserve">The sponsor is planning or currently conducting relevant additional studies as outlined </w:t>
      </w:r>
      <w:r>
        <w:t xml:space="preserve">in </w:t>
      </w:r>
      <w:r>
        <w:fldChar w:fldCharType="begin"/>
      </w:r>
      <w:r>
        <w:instrText xml:space="preserve"> REF _Ref148951413 \h </w:instrText>
      </w:r>
      <w:r>
        <w:fldChar w:fldCharType="separate"/>
      </w:r>
      <w:r w:rsidR="00755A69" w:rsidRPr="0072543C">
        <w:t xml:space="preserve">Table </w:t>
      </w:r>
      <w:r w:rsidR="00755A69">
        <w:rPr>
          <w:noProof/>
        </w:rPr>
        <w:t>23</w:t>
      </w:r>
      <w:r>
        <w:fldChar w:fldCharType="end"/>
      </w:r>
      <w:r w:rsidRPr="00002C78">
        <w:t>. These studies are necessary to provide more efficacy and safety data for imlifidase. It is noted that none of the trials will include living donors.</w:t>
      </w:r>
    </w:p>
    <w:p w14:paraId="1E9B8ABB" w14:textId="77777777" w:rsidR="00002C78" w:rsidRPr="00002C78" w:rsidRDefault="00002C78" w:rsidP="00002C78">
      <w:pPr>
        <w:pStyle w:val="Heading4"/>
      </w:pPr>
      <w:bookmarkStart w:id="97" w:name="_Toc166143721"/>
      <w:r w:rsidRPr="00002C78">
        <w:t>Safety</w:t>
      </w:r>
      <w:bookmarkEnd w:id="97"/>
    </w:p>
    <w:p w14:paraId="5025ECDE" w14:textId="77777777" w:rsidR="00002C78" w:rsidRPr="00002C78" w:rsidRDefault="00002C78" w:rsidP="00002C78">
      <w:r w:rsidRPr="00002C78">
        <w:t>The overall pattern of adverse effects is typical of patients undergoing renal transplantation.</w:t>
      </w:r>
    </w:p>
    <w:p w14:paraId="59FCDEAF" w14:textId="77777777" w:rsidR="00002C78" w:rsidRPr="00665BAA" w:rsidRDefault="00002C78" w:rsidP="00002C78">
      <w:r w:rsidRPr="00002C78">
        <w:t xml:space="preserve">The most commonly reported TEAEs </w:t>
      </w:r>
      <w:proofErr w:type="gramStart"/>
      <w:r w:rsidRPr="00002C78">
        <w:t>were:</w:t>
      </w:r>
      <w:proofErr w:type="gramEnd"/>
      <w:r w:rsidRPr="00002C78">
        <w:t xml:space="preserve"> hyperkalaemia in 17 (32.1%) patients, anaemia in 17 (32.1%), constipation in 16 (30.2%), nausea in 13 (24.5%), transplant rejection in 12 (22.6%), </w:t>
      </w:r>
      <w:r w:rsidRPr="00665BAA">
        <w:t>hypomagnesaemia in nine (17.0%), vomiting in nine (17.0%) and diarrhoea in nine (17.0%).</w:t>
      </w:r>
    </w:p>
    <w:p w14:paraId="54F7B7D7" w14:textId="65B93C91" w:rsidR="00002C78" w:rsidRPr="00002C78" w:rsidRDefault="00002C78" w:rsidP="00002C78">
      <w:r w:rsidRPr="00665BAA">
        <w:t>The treatment-related TEAEs were predominantly infectious disease AEs. The rate of treatment-related TEAEs was higher in the 0.5 mg/kg dose</w:t>
      </w:r>
      <w:r w:rsidRPr="00002C78">
        <w:t xml:space="preserve"> group: six (60.0%) patients compared with 13 (30.2%) patients treated with 0.24/0.25 mg/kg. However, in the absence of a control or reference group, it is difficult to attribute the events to imlifidase when the patients were also treated with high dose corticosteroids and immunosuppressive drugs.</w:t>
      </w:r>
    </w:p>
    <w:p w14:paraId="3E548BE5" w14:textId="77777777" w:rsidR="00002C78" w:rsidRPr="00002C78" w:rsidRDefault="00002C78" w:rsidP="00002C78">
      <w:r w:rsidRPr="00002C78">
        <w:t>There were no deaths during the clinical trials, but three deaths were recorded after completing the trials, but considered unlikely to be related to imlifidase.</w:t>
      </w:r>
    </w:p>
    <w:p w14:paraId="384B7684" w14:textId="57A958C0" w:rsidR="00002C78" w:rsidRPr="00002C78" w:rsidRDefault="00002C78" w:rsidP="00002C78">
      <w:r w:rsidRPr="00002C78">
        <w:t>The laboratory test abnormalities (</w:t>
      </w:r>
      <w:r>
        <w:t>for example,</w:t>
      </w:r>
      <w:r w:rsidRPr="00002C78">
        <w:t xml:space="preserve"> neutrophil increases) can be attributed to the underlying condition and high dose steroids. Changes in serum biochemistry were more likely attributable to transplantation rather than study treatment.</w:t>
      </w:r>
    </w:p>
    <w:p w14:paraId="420E803E" w14:textId="6D77FA67" w:rsidR="00002C78" w:rsidRPr="00002C78" w:rsidRDefault="00002C78" w:rsidP="00002C78">
      <w:pPr>
        <w:pStyle w:val="Heading5"/>
      </w:pPr>
      <w:r w:rsidRPr="00002C78">
        <w:t>A</w:t>
      </w:r>
      <w:r>
        <w:t>dverse event of special interest</w:t>
      </w:r>
    </w:p>
    <w:p w14:paraId="415A9FA4" w14:textId="7D1B72C0" w:rsidR="00002C78" w:rsidRPr="00002C78" w:rsidRDefault="00002C78" w:rsidP="00002C78">
      <w:r w:rsidRPr="00002C78">
        <w:t xml:space="preserve">There was a high rate of infusion reactions, which, in the </w:t>
      </w:r>
      <w:r>
        <w:t>P</w:t>
      </w:r>
      <w:r w:rsidRPr="00002C78">
        <w:t xml:space="preserve">hase </w:t>
      </w:r>
      <w:r>
        <w:t>II</w:t>
      </w:r>
      <w:r w:rsidRPr="00002C78">
        <w:t xml:space="preserve"> studies, did not have serious consequences. Infusion reactions occurred in </w:t>
      </w:r>
      <w:r w:rsidR="00365FF3">
        <w:t>three</w:t>
      </w:r>
      <w:r w:rsidR="002942AE">
        <w:t xml:space="preserve"> </w:t>
      </w:r>
      <w:r w:rsidRPr="00002C78">
        <w:t>(</w:t>
      </w:r>
      <w:r w:rsidR="002942AE">
        <w:t>5.6</w:t>
      </w:r>
      <w:r w:rsidRPr="00002C78">
        <w:t>%) patients. There were two patients who ceased treatment due to infusion reactions, and another two who had their infusion interrupted because of mild infusion reactions.</w:t>
      </w:r>
    </w:p>
    <w:p w14:paraId="4CAB3D9B" w14:textId="77777777" w:rsidR="00002C78" w:rsidRPr="00002C78" w:rsidRDefault="00002C78" w:rsidP="00002C78">
      <w:pPr>
        <w:pStyle w:val="Heading5"/>
      </w:pPr>
      <w:r w:rsidRPr="00002C78">
        <w:t>Immunogenicity assessment</w:t>
      </w:r>
    </w:p>
    <w:p w14:paraId="606733C8" w14:textId="5FC5C446" w:rsidR="00002C78" w:rsidRPr="00002C78" w:rsidRDefault="00002C78" w:rsidP="00002C78">
      <w:r w:rsidRPr="00002C78">
        <w:t>Antibodies against imlifidase</w:t>
      </w:r>
      <w:r w:rsidR="00F866FA">
        <w:t xml:space="preserve"> </w:t>
      </w:r>
      <w:r w:rsidRPr="00002C78">
        <w:t xml:space="preserve">are not uncommon due to previous exposure to </w:t>
      </w:r>
      <w:r w:rsidRPr="00F866FA">
        <w:rPr>
          <w:i/>
          <w:iCs/>
        </w:rPr>
        <w:t>S. pyogenes</w:t>
      </w:r>
      <w:r w:rsidRPr="00002C78">
        <w:t xml:space="preserve">. No IgE antibodies were detected, but at </w:t>
      </w:r>
      <w:r w:rsidR="00911990">
        <w:t>B</w:t>
      </w:r>
      <w:r w:rsidRPr="00002C78">
        <w:t>aseline ≥</w:t>
      </w:r>
      <w:r w:rsidR="00911990">
        <w:t xml:space="preserve"> </w:t>
      </w:r>
      <w:r w:rsidRPr="00002C78">
        <w:t>85% of patients had detectable anti-imlifidase IgG.</w:t>
      </w:r>
    </w:p>
    <w:p w14:paraId="723A5CA4" w14:textId="77777777" w:rsidR="00002C78" w:rsidRPr="00002C78" w:rsidRDefault="00002C78" w:rsidP="00002C78">
      <w:r w:rsidRPr="00002C78">
        <w:t>No neutralising antibody assay was included in the dossier, and to some extent partially justified by a proposed single dose regimen (even though a second facultative dose may be given). Population PKPD modelling did not suggest a clinically significant effect between pre-dose ADA levels and the PD effect of imlifidase at the proposed dose.</w:t>
      </w:r>
    </w:p>
    <w:p w14:paraId="4400E960" w14:textId="77777777" w:rsidR="00002C78" w:rsidRPr="00002C78" w:rsidRDefault="00002C78" w:rsidP="00002C78">
      <w:r w:rsidRPr="00002C78">
        <w:t>Cross-match status and conversion should be monitored to mitigate the risk.</w:t>
      </w:r>
    </w:p>
    <w:p w14:paraId="7205F3FE" w14:textId="77777777" w:rsidR="00002C78" w:rsidRPr="00002C78" w:rsidRDefault="00002C78" w:rsidP="00911990">
      <w:pPr>
        <w:pStyle w:val="Heading5"/>
      </w:pPr>
      <w:r w:rsidRPr="00002C78">
        <w:t>Sample size limitations</w:t>
      </w:r>
    </w:p>
    <w:p w14:paraId="696E5B98" w14:textId="77777777" w:rsidR="00002C78" w:rsidRPr="00002C78" w:rsidRDefault="00002C78" w:rsidP="00002C78">
      <w:r w:rsidRPr="00002C78">
        <w:t>There are a limited number of patients who have been treated with imlifidase (in total 139 patients and volunteers in clinical trials) and this is insufficient to identify uncommon and rare AEs.</w:t>
      </w:r>
    </w:p>
    <w:p w14:paraId="49BCCE07" w14:textId="77777777" w:rsidR="00002C78" w:rsidRPr="00002C78" w:rsidRDefault="00002C78" w:rsidP="00911990">
      <w:pPr>
        <w:pStyle w:val="Heading5"/>
      </w:pPr>
      <w:r w:rsidRPr="00002C78">
        <w:t>Comparator limitations</w:t>
      </w:r>
    </w:p>
    <w:p w14:paraId="61DCECE7" w14:textId="6ED65DEA" w:rsidR="00002C78" w:rsidRPr="00002C78" w:rsidRDefault="00002C78" w:rsidP="00002C78">
      <w:r w:rsidRPr="00002C78">
        <w:t xml:space="preserve">In the target population, there were no </w:t>
      </w:r>
      <w:proofErr w:type="gramStart"/>
      <w:r w:rsidRPr="00002C78">
        <w:t>comparator controlled</w:t>
      </w:r>
      <w:proofErr w:type="gramEnd"/>
      <w:r w:rsidRPr="00002C78">
        <w:t xml:space="preserve"> studies or studies that referred to a reference population, historical or otherwise, in the </w:t>
      </w:r>
      <w:r w:rsidR="00911990">
        <w:t>P</w:t>
      </w:r>
      <w:r w:rsidRPr="00002C78">
        <w:t xml:space="preserve">hase </w:t>
      </w:r>
      <w:r w:rsidR="00911990">
        <w:t>II</w:t>
      </w:r>
      <w:r w:rsidRPr="00002C78">
        <w:t xml:space="preserve"> studies. There are limited comparator data available from the placebo groups in the </w:t>
      </w:r>
      <w:r w:rsidR="00911990">
        <w:t>P</w:t>
      </w:r>
      <w:r w:rsidRPr="00002C78">
        <w:t xml:space="preserve">hase </w:t>
      </w:r>
      <w:r w:rsidR="00911990">
        <w:t>I</w:t>
      </w:r>
      <w:r w:rsidRPr="00002C78">
        <w:t xml:space="preserve"> studies.</w:t>
      </w:r>
    </w:p>
    <w:p w14:paraId="3916F296" w14:textId="77777777" w:rsidR="00C22214" w:rsidRDefault="00C22214" w:rsidP="00C22214">
      <w:pPr>
        <w:pStyle w:val="Heading4"/>
      </w:pPr>
      <w:bookmarkStart w:id="98" w:name="_Toc98931933"/>
      <w:bookmarkStart w:id="99" w:name="_Toc166143722"/>
      <w:r w:rsidRPr="00D23139">
        <w:lastRenderedPageBreak/>
        <w:t>Proposed action</w:t>
      </w:r>
      <w:bookmarkEnd w:id="98"/>
      <w:bookmarkEnd w:id="99"/>
    </w:p>
    <w:p w14:paraId="51DA86A5" w14:textId="77777777" w:rsidR="00911990" w:rsidRPr="00911990" w:rsidRDefault="00911990" w:rsidP="00911990">
      <w:pPr>
        <w:pStyle w:val="Heading5"/>
      </w:pPr>
      <w:r w:rsidRPr="00911990">
        <w:t>Benefit-risk balance</w:t>
      </w:r>
    </w:p>
    <w:p w14:paraId="476C40E2" w14:textId="0384C602" w:rsidR="00911990" w:rsidRPr="00911990" w:rsidRDefault="00911990" w:rsidP="00911990">
      <w:r w:rsidRPr="00911990">
        <w:t xml:space="preserve">The sponsor has completed Phase </w:t>
      </w:r>
      <w:r>
        <w:t>I</w:t>
      </w:r>
      <w:r w:rsidRPr="00911990">
        <w:t xml:space="preserve"> and </w:t>
      </w:r>
      <w:r>
        <w:t>II</w:t>
      </w:r>
      <w:r w:rsidRPr="00911990">
        <w:t xml:space="preserve"> studies that have determined the dosing regimen and demonstrated the feasibility of imlifidase in the proposed indication.</w:t>
      </w:r>
    </w:p>
    <w:p w14:paraId="1F01E8E2" w14:textId="5A767C3A" w:rsidR="00911990" w:rsidRPr="00911990" w:rsidRDefault="00911990" w:rsidP="00911990">
      <w:r w:rsidRPr="00911990">
        <w:t xml:space="preserve">The preliminary efficacy data are encouraging for the proposed indication. The safety profile appears to be acceptable, especially given the restrictions of use to major centres </w:t>
      </w:r>
      <w:r w:rsidR="00F866FA" w:rsidRPr="00911990">
        <w:t>only and</w:t>
      </w:r>
      <w:r w:rsidRPr="00911990">
        <w:t xml:space="preserve"> given the single use regimen (plus one additional dose if required).</w:t>
      </w:r>
    </w:p>
    <w:p w14:paraId="274FE438" w14:textId="49D18C59" w:rsidR="00911990" w:rsidRPr="00911990" w:rsidRDefault="00911990" w:rsidP="00911990">
      <w:r w:rsidRPr="00911990">
        <w:t xml:space="preserve">The sponsor is conducting Phase </w:t>
      </w:r>
      <w:r>
        <w:t>III</w:t>
      </w:r>
      <w:r w:rsidRPr="00911990">
        <w:t xml:space="preserve"> confirmatory trials with paired long-term follow-on studies. These studies have the potential to resolve the current knowledge gaps and would enable a more definite benefit-risk balance to be established.</w:t>
      </w:r>
    </w:p>
    <w:p w14:paraId="3EF30213" w14:textId="77777777" w:rsidR="00911990" w:rsidRPr="00911990" w:rsidRDefault="00911990" w:rsidP="00911990">
      <w:r w:rsidRPr="00911990">
        <w:t>There are sufficient data to determine a benefit-risk balance that is sufficiently favourable to support provisional registration.</w:t>
      </w:r>
    </w:p>
    <w:p w14:paraId="0BA3628E" w14:textId="77777777" w:rsidR="00911990" w:rsidRPr="00911990" w:rsidRDefault="00911990" w:rsidP="00911990">
      <w:pPr>
        <w:pStyle w:val="Heading5"/>
      </w:pPr>
      <w:r w:rsidRPr="00911990">
        <w:t>Provisional registration</w:t>
      </w:r>
    </w:p>
    <w:p w14:paraId="16089849" w14:textId="77777777" w:rsidR="00911990" w:rsidRPr="00911990" w:rsidRDefault="00911990" w:rsidP="00911990">
      <w:r w:rsidRPr="00911990">
        <w:t>The provisional approval pathway allows sponsors to apply for provisional registration on the ARTG. It provides access to certain promising new medicines where the public health benefit of immediate or early availability of the medicine outweighs the risk inherent in the fact that additional data are still required.</w:t>
      </w:r>
    </w:p>
    <w:p w14:paraId="62C6F2EC" w14:textId="2DCA0C1D" w:rsidR="00911990" w:rsidRPr="00911990" w:rsidRDefault="00911990" w:rsidP="00911990">
      <w:r w:rsidRPr="00911990">
        <w:t>The sponsor has applied for the provisional approval pathway, and the TGA has made a provisional determination for the indication proposed by the sponsor for this application.</w:t>
      </w:r>
    </w:p>
    <w:p w14:paraId="05622FBD" w14:textId="048FB776" w:rsidR="00911990" w:rsidRPr="00911990" w:rsidRDefault="00911990" w:rsidP="00911990">
      <w:r w:rsidRPr="00911990">
        <w:t xml:space="preserve">Only </w:t>
      </w:r>
      <w:r>
        <w:t>P</w:t>
      </w:r>
      <w:r w:rsidRPr="00911990">
        <w:t xml:space="preserve">hase </w:t>
      </w:r>
      <w:r>
        <w:t>II</w:t>
      </w:r>
      <w:r w:rsidRPr="00911990">
        <w:t xml:space="preserve"> uncontrolled trial data are </w:t>
      </w:r>
      <w:proofErr w:type="gramStart"/>
      <w:r w:rsidRPr="00911990">
        <w:t>available</w:t>
      </w:r>
      <w:proofErr w:type="gramEnd"/>
      <w:r w:rsidRPr="00911990">
        <w:t xml:space="preserve"> and </w:t>
      </w:r>
      <w:r>
        <w:t>P</w:t>
      </w:r>
      <w:r w:rsidRPr="00911990">
        <w:t xml:space="preserve">hase </w:t>
      </w:r>
      <w:r>
        <w:t>III</w:t>
      </w:r>
      <w:r w:rsidRPr="00911990">
        <w:t xml:space="preserve"> confirmatory data are not yet available. Thus, provisional registration is therefore the most appropriate regulatory option. The provisional registration reflects the present deficiencies of the data balanced with the public health need.</w:t>
      </w:r>
    </w:p>
    <w:p w14:paraId="22CE1DA2" w14:textId="77777777" w:rsidR="00911990" w:rsidRPr="00911990" w:rsidRDefault="00911990" w:rsidP="00911990">
      <w:pPr>
        <w:pStyle w:val="Heading5"/>
      </w:pPr>
      <w:r w:rsidRPr="00911990">
        <w:t>Indication wording</w:t>
      </w:r>
    </w:p>
    <w:p w14:paraId="58539DA0" w14:textId="77777777" w:rsidR="00911990" w:rsidRPr="00911990" w:rsidRDefault="00911990" w:rsidP="00911990">
      <w:r w:rsidRPr="00911990">
        <w:t>The sponsor is proposing the following indication:</w:t>
      </w:r>
    </w:p>
    <w:p w14:paraId="1AD2F1CC" w14:textId="77777777" w:rsidR="00911990" w:rsidRPr="00911990" w:rsidRDefault="00911990" w:rsidP="00911990">
      <w:pPr>
        <w:ind w:left="720"/>
        <w:rPr>
          <w:i/>
          <w:iCs/>
        </w:rPr>
      </w:pPr>
      <w:r w:rsidRPr="00911990">
        <w:rPr>
          <w:i/>
          <w:iCs/>
        </w:rPr>
        <w:t xml:space="preserve">Idefirix has </w:t>
      </w:r>
      <w:r w:rsidRPr="00911990">
        <w:rPr>
          <w:b/>
          <w:bCs/>
          <w:i/>
          <w:iCs/>
        </w:rPr>
        <w:t xml:space="preserve">provisional </w:t>
      </w:r>
      <w:r w:rsidRPr="00911990">
        <w:rPr>
          <w:i/>
          <w:iCs/>
        </w:rPr>
        <w:t>approval in Australia for the desensitisation treatment of highly sensitised adult kidney patients with a positive cross match against an available donor prior to kidney transplantation.</w:t>
      </w:r>
    </w:p>
    <w:p w14:paraId="2992DD74" w14:textId="77777777" w:rsidR="00911990" w:rsidRPr="00911990" w:rsidRDefault="00911990" w:rsidP="00911990">
      <w:pPr>
        <w:ind w:left="720"/>
      </w:pPr>
      <w:r w:rsidRPr="00911990">
        <w:rPr>
          <w:i/>
          <w:iCs/>
        </w:rPr>
        <w:t>The use of Idefirix should be reserved for patients who are unlikely to be otherwise transplanted. The decision to approve this indication has been made on the basis of efficacy and safety data, demonstrating enabled kidney transplantation and sustained kidney function in the target population. Continued approval of this indication depends on verification and description of benefit in confirmatory trials.</w:t>
      </w:r>
    </w:p>
    <w:p w14:paraId="0246636A" w14:textId="77777777" w:rsidR="00911990" w:rsidRPr="00911990" w:rsidRDefault="00911990" w:rsidP="00911990">
      <w:r w:rsidRPr="00911990">
        <w:t>After careful consideration of the provided data and the public health context, the TGA proposed indication is:</w:t>
      </w:r>
    </w:p>
    <w:p w14:paraId="61609CCB" w14:textId="77777777" w:rsidR="00911990" w:rsidRPr="00911990" w:rsidRDefault="00911990" w:rsidP="00911990">
      <w:pPr>
        <w:ind w:left="720"/>
        <w:rPr>
          <w:i/>
          <w:iCs/>
        </w:rPr>
      </w:pPr>
      <w:bookmarkStart w:id="100" w:name="_Hlk133912744"/>
      <w:r w:rsidRPr="00911990">
        <w:rPr>
          <w:i/>
          <w:iCs/>
        </w:rPr>
        <w:t xml:space="preserve">Idefirix has </w:t>
      </w:r>
      <w:r w:rsidRPr="00911990">
        <w:rPr>
          <w:b/>
          <w:bCs/>
          <w:i/>
          <w:iCs/>
        </w:rPr>
        <w:t xml:space="preserve">provisional </w:t>
      </w:r>
      <w:r w:rsidRPr="00911990">
        <w:rPr>
          <w:i/>
          <w:iCs/>
        </w:rPr>
        <w:t>approval for the desensitisation treatment of highly sensitised adult kidney patients with a positive cross-match against an available deceased donor prior to kidney transplantation.</w:t>
      </w:r>
    </w:p>
    <w:p w14:paraId="526BF5EF" w14:textId="77777777" w:rsidR="00911990" w:rsidRPr="00911990" w:rsidRDefault="00911990" w:rsidP="00911990">
      <w:pPr>
        <w:ind w:left="720"/>
      </w:pPr>
      <w:r w:rsidRPr="00911990">
        <w:rPr>
          <w:i/>
          <w:iCs/>
        </w:rPr>
        <w:t>The use of Idefirix should be reserved for patients who are unlikely to be otherwise transplanted. The decision to approve this medicine has been made based on limited data. More comprehensive evidence is required to be submitted.</w:t>
      </w:r>
    </w:p>
    <w:bookmarkEnd w:id="100"/>
    <w:p w14:paraId="12C6A8AB" w14:textId="77777777" w:rsidR="00911990" w:rsidRPr="00911990" w:rsidRDefault="00911990" w:rsidP="00911990">
      <w:r w:rsidRPr="00911990">
        <w:t>Advice from the ACM is kindly requested.</w:t>
      </w:r>
    </w:p>
    <w:p w14:paraId="318CFABC" w14:textId="77777777" w:rsidR="00C22214" w:rsidRPr="00F73346" w:rsidRDefault="00C22214" w:rsidP="00C22214">
      <w:pPr>
        <w:pStyle w:val="Heading4"/>
      </w:pPr>
      <w:bookmarkStart w:id="101" w:name="_Toc98931936"/>
      <w:bookmarkStart w:id="102" w:name="_Toc166143723"/>
      <w:bookmarkStart w:id="103" w:name="_Toc247691532"/>
      <w:bookmarkStart w:id="104" w:name="_Toc314842516"/>
      <w:r w:rsidRPr="00F73346">
        <w:lastRenderedPageBreak/>
        <w:t>Advisory Committee considerations</w:t>
      </w:r>
      <w:bookmarkEnd w:id="101"/>
      <w:bookmarkEnd w:id="102"/>
    </w:p>
    <w:p w14:paraId="087BB9CB" w14:textId="38AD332C" w:rsidR="00C22214" w:rsidRPr="00BD5DBD" w:rsidRDefault="00C22214" w:rsidP="00C22214">
      <w:pPr>
        <w:rPr>
          <w:bCs/>
          <w:szCs w:val="22"/>
        </w:rPr>
      </w:pPr>
      <w:r w:rsidRPr="00BD5DBD">
        <w:rPr>
          <w:bCs/>
          <w:szCs w:val="22"/>
        </w:rPr>
        <w:t xml:space="preserve">The </w:t>
      </w:r>
      <w:hyperlink r:id="rId52"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1B1A707B" w14:textId="3D796607" w:rsidR="00911990" w:rsidRPr="00911990" w:rsidRDefault="00911990" w:rsidP="00911990">
      <w:pPr>
        <w:pStyle w:val="Numberbullet0"/>
        <w:rPr>
          <w:b/>
          <w:bCs/>
        </w:rPr>
      </w:pPr>
      <w:r w:rsidRPr="00911990">
        <w:rPr>
          <w:b/>
          <w:bCs/>
        </w:rPr>
        <w:t>Can the ACM comment on whether there are sufficient data to register I</w:t>
      </w:r>
      <w:r w:rsidR="001747E8">
        <w:rPr>
          <w:b/>
          <w:bCs/>
        </w:rPr>
        <w:t>defirix</w:t>
      </w:r>
      <w:r w:rsidRPr="00911990">
        <w:rPr>
          <w:b/>
          <w:bCs/>
        </w:rPr>
        <w:t xml:space="preserve"> for provisional registration?</w:t>
      </w:r>
    </w:p>
    <w:p w14:paraId="6059EE55" w14:textId="00954FA1" w:rsidR="00911990" w:rsidRPr="00911990" w:rsidRDefault="00911990" w:rsidP="00911990">
      <w:r w:rsidRPr="00911990">
        <w:t>The ACM agreed that there is sufficient safety and efficacy data to support the provisional registration of I</w:t>
      </w:r>
      <w:r w:rsidR="004C36A6">
        <w:t>defirix</w:t>
      </w:r>
      <w:r w:rsidRPr="00911990">
        <w:t xml:space="preserve"> to facilitate transplantation for selected HLA-sensitised transplant candidates.</w:t>
      </w:r>
    </w:p>
    <w:p w14:paraId="75190FF0" w14:textId="6BC58417" w:rsidR="00911990" w:rsidRPr="00911990" w:rsidRDefault="00911990" w:rsidP="00911990">
      <w:r w:rsidRPr="00911990">
        <w:t xml:space="preserve">The ACM noted that long-term data are lacking and that there are no completed Phase </w:t>
      </w:r>
      <w:r w:rsidR="004C36A6">
        <w:t>III</w:t>
      </w:r>
      <w:r w:rsidRPr="00911990">
        <w:t xml:space="preserve"> studies. The ACM considers that the long-term outcome data will be important given antibody rebound and established prognostic implications of rejection and donor specific antibodies.</w:t>
      </w:r>
    </w:p>
    <w:p w14:paraId="5D855AF4" w14:textId="77777777" w:rsidR="00911990" w:rsidRPr="00911990" w:rsidRDefault="00911990" w:rsidP="00911990">
      <w:r w:rsidRPr="00911990">
        <w:t>The ACM noted that there are no effective alternative desensitisation approaches for the particularly highly sensitised transplant candidate, which therefore, excludes or significantly delays kidney transplantation for this group.</w:t>
      </w:r>
    </w:p>
    <w:p w14:paraId="5FFF2AB7" w14:textId="77777777" w:rsidR="00911990" w:rsidRPr="00911990" w:rsidRDefault="00911990" w:rsidP="00911990">
      <w:pPr>
        <w:pStyle w:val="Numberbullet0"/>
        <w:rPr>
          <w:b/>
          <w:bCs/>
        </w:rPr>
      </w:pPr>
      <w:r w:rsidRPr="00911990">
        <w:rPr>
          <w:b/>
          <w:bCs/>
        </w:rPr>
        <w:t>Can the ACM comment on the proposed indication wording including a consideration of living donors?</w:t>
      </w:r>
    </w:p>
    <w:p w14:paraId="5B1693C8" w14:textId="0E88A752" w:rsidR="00911990" w:rsidRPr="00911990" w:rsidRDefault="00911990" w:rsidP="00911990">
      <w:r w:rsidRPr="00911990">
        <w:t>The ACM noted the indication should be agnostic to donor source as HLA sensitisation affects access to transplantation regardless of donor source. The ACM cannot foresee the source of the organ (deceased versus live donor) affecting the safety and efficacy of imlifidase.</w:t>
      </w:r>
    </w:p>
    <w:p w14:paraId="0C304FAD" w14:textId="2B87BDFF" w:rsidR="00911990" w:rsidRPr="00911990" w:rsidRDefault="00911990" w:rsidP="00911990">
      <w:r w:rsidRPr="00911990">
        <w:t>The ACM noted that existing desensitisation approaches are ineffective in living donor transplantations for particularly highly sensitised recipients, and accepted risk tolerances are generally lower in this cohort due to the risks for the living donor. In the Australian context, use of imlifidase is likely to be more feasible in the living donor context due to opportunities for better advanced planning, organ quality and preparation of the recipient.</w:t>
      </w:r>
    </w:p>
    <w:p w14:paraId="346D6887" w14:textId="77777777" w:rsidR="00911990" w:rsidRPr="00911990" w:rsidRDefault="00911990" w:rsidP="00911990">
      <w:pPr>
        <w:pStyle w:val="Numberbullet0"/>
        <w:rPr>
          <w:b/>
          <w:bCs/>
        </w:rPr>
      </w:pPr>
      <w:r w:rsidRPr="00911990">
        <w:rPr>
          <w:b/>
          <w:bCs/>
        </w:rPr>
        <w:t>The committee is also requested to provide advice on any other issues that it thinks may be relevant to a decision on whether or not to approve this application.</w:t>
      </w:r>
    </w:p>
    <w:p w14:paraId="644FE439" w14:textId="77777777" w:rsidR="00911990" w:rsidRPr="00911990" w:rsidRDefault="00911990" w:rsidP="00911990">
      <w:r w:rsidRPr="00911990">
        <w:t xml:space="preserve">The ACM noted there are currently no effective desensitisation approaches for particularly highly sensitised transplant candidates and that there is substantial individual, societal and health system harms that arise from delayed access to transplantation. </w:t>
      </w:r>
    </w:p>
    <w:p w14:paraId="67F34F19" w14:textId="77777777" w:rsidR="00911990" w:rsidRPr="00911990" w:rsidRDefault="00911990" w:rsidP="00911990">
      <w:r w:rsidRPr="00911990">
        <w:t>The ACM noted that in the Australian context, transplant clinicians would initially proceed cautiously, gaining experience with lower risk candidates.</w:t>
      </w:r>
    </w:p>
    <w:p w14:paraId="24C455C0" w14:textId="477130EF" w:rsidR="00911990" w:rsidRPr="00911990" w:rsidRDefault="00911990" w:rsidP="00911990">
      <w:r w:rsidRPr="00911990">
        <w:t>The ACM considered that the emergence of machine perfusion may support the application of imlifidase in the deceased donor transplant context.</w:t>
      </w:r>
    </w:p>
    <w:p w14:paraId="5291EA2A" w14:textId="77777777" w:rsidR="00C22214" w:rsidRPr="00F73346" w:rsidRDefault="00C22214" w:rsidP="00C22214">
      <w:pPr>
        <w:pStyle w:val="Heading5"/>
      </w:pPr>
      <w:r w:rsidRPr="00F73346">
        <w:t>Conclusion</w:t>
      </w:r>
    </w:p>
    <w:p w14:paraId="17452399" w14:textId="77777777" w:rsidR="00911990" w:rsidRPr="00911990" w:rsidRDefault="00911990" w:rsidP="00911990">
      <w:bookmarkStart w:id="105" w:name="_Toc103679300"/>
      <w:r w:rsidRPr="00911990">
        <w:t>The ACM considered this product to have an overall positive benefit-risk profile for the indication:</w:t>
      </w:r>
    </w:p>
    <w:p w14:paraId="52735596" w14:textId="77777777" w:rsidR="00911990" w:rsidRPr="00911990" w:rsidRDefault="00911990" w:rsidP="00911990">
      <w:pPr>
        <w:ind w:left="720"/>
        <w:rPr>
          <w:i/>
          <w:iCs/>
        </w:rPr>
      </w:pPr>
      <w:r w:rsidRPr="00911990">
        <w:rPr>
          <w:i/>
          <w:iCs/>
        </w:rPr>
        <w:t>Idefirix has provisional approval for the desensitisation treatment of highly sensitised adult kidney transplant candidates before transplantation from a donor against whom there is a positive cross-match.</w:t>
      </w:r>
    </w:p>
    <w:p w14:paraId="2DA72D64" w14:textId="3450E149" w:rsidR="00911990" w:rsidRDefault="00911990" w:rsidP="00911990">
      <w:pPr>
        <w:ind w:left="720"/>
        <w:rPr>
          <w:i/>
          <w:iCs/>
        </w:rPr>
      </w:pPr>
      <w:r w:rsidRPr="00911990">
        <w:rPr>
          <w:i/>
          <w:iCs/>
        </w:rPr>
        <w:lastRenderedPageBreak/>
        <w:t>The use of Idefirix should be reserved for patients who are unlikely to be otherwise transplanted. The decision to approve this medicine has been made based on limited data. More comprehensive evidence is required to be submitted.</w:t>
      </w:r>
    </w:p>
    <w:p w14:paraId="0AD3B259" w14:textId="77777777" w:rsidR="004C36A6" w:rsidRDefault="004C36A6" w:rsidP="004C36A6">
      <w:pPr>
        <w:pStyle w:val="Heading3"/>
      </w:pPr>
      <w:bookmarkStart w:id="106" w:name="_Toc141344962"/>
      <w:bookmarkStart w:id="107" w:name="_Toc166143724"/>
      <w:r>
        <w:t>Delegate decision</w:t>
      </w:r>
      <w:bookmarkEnd w:id="106"/>
      <w:bookmarkEnd w:id="107"/>
    </w:p>
    <w:p w14:paraId="2A682583" w14:textId="70EE8E3D" w:rsidR="004C36A6" w:rsidRDefault="004C36A6" w:rsidP="004C36A6">
      <w:pPr>
        <w:pStyle w:val="Heading4"/>
      </w:pPr>
      <w:bookmarkStart w:id="108" w:name="_Toc166143725"/>
      <w:r>
        <w:t>Indication</w:t>
      </w:r>
      <w:bookmarkEnd w:id="108"/>
    </w:p>
    <w:p w14:paraId="7873D041" w14:textId="77777777" w:rsidR="004C36A6" w:rsidRPr="004C36A6" w:rsidRDefault="004C36A6" w:rsidP="004C36A6">
      <w:r w:rsidRPr="004C36A6">
        <w:t>After review of the evidence and consideration of the advice from the ACM, the following indication was approved:</w:t>
      </w:r>
    </w:p>
    <w:p w14:paraId="0E093A43" w14:textId="77777777" w:rsidR="004C36A6" w:rsidRPr="004C36A6" w:rsidRDefault="004C36A6" w:rsidP="004C36A6">
      <w:pPr>
        <w:ind w:left="720"/>
        <w:rPr>
          <w:i/>
          <w:iCs/>
        </w:rPr>
      </w:pPr>
      <w:r w:rsidRPr="004C36A6">
        <w:rPr>
          <w:i/>
          <w:iCs/>
        </w:rPr>
        <w:t xml:space="preserve">Idefirix has </w:t>
      </w:r>
      <w:r w:rsidRPr="004C36A6">
        <w:rPr>
          <w:b/>
          <w:bCs/>
          <w:i/>
          <w:iCs/>
        </w:rPr>
        <w:t>provisional</w:t>
      </w:r>
      <w:r w:rsidRPr="004C36A6">
        <w:rPr>
          <w:i/>
          <w:iCs/>
        </w:rPr>
        <w:t xml:space="preserve"> approval for the desensitisation treatment of highly sensitised adult kidney transplant candidates prior to kidney transplantation from a donor against whom there is a positive cross-match (see Section 5.1 Pharmacodynamic properties, Clinical trials). The use of Idefirix should be reserved for patients who are otherwise unlikely to receive a kidney transplant.</w:t>
      </w:r>
    </w:p>
    <w:p w14:paraId="130CDE81" w14:textId="77777777" w:rsidR="004C36A6" w:rsidRPr="004C36A6" w:rsidRDefault="004C36A6" w:rsidP="004C36A6">
      <w:pPr>
        <w:ind w:left="720"/>
      </w:pPr>
      <w:r w:rsidRPr="004C36A6">
        <w:rPr>
          <w:i/>
          <w:iCs/>
        </w:rPr>
        <w:t>The decision to approve this medicine has been made based on limited data. More comprehensive evidence is required to be submitted.</w:t>
      </w:r>
    </w:p>
    <w:p w14:paraId="6FC0BD3F" w14:textId="77777777" w:rsidR="004C36A6" w:rsidRPr="004C36A6" w:rsidRDefault="004C36A6" w:rsidP="004C36A6">
      <w:r w:rsidRPr="004C36A6">
        <w:t>The approved indication does not specify whether the donors are deceased or living. Transplants from living donors may be used. This decision was made based on the existing clinical data, and also on the clinical data that will be derived from the ongoing studies.</w:t>
      </w:r>
    </w:p>
    <w:p w14:paraId="5029178A" w14:textId="77777777" w:rsidR="004C36A6" w:rsidRPr="004C36A6" w:rsidRDefault="004C36A6" w:rsidP="004C36A6">
      <w:r w:rsidRPr="004C36A6">
        <w:t>With regard to confirmatory trial data (as identified in the sponsor’s plan to submit comprehensive clinical data on the safety and efficacy of the medicine before the end of the 6 years that would start on the day that registration would commence), Studies 17 and 19, and their longer-term follow up components (Studies 25 and 20, respectively), do not include living donors. However, given that imlifidase acts in the recipient, and the inherent effect is independent of donor source, a reasonable extrapolation can be made at this stage.</w:t>
      </w:r>
    </w:p>
    <w:p w14:paraId="5378FA80" w14:textId="50CDBB7A" w:rsidR="004C36A6" w:rsidRPr="004C36A6" w:rsidRDefault="004C36A6" w:rsidP="004C36A6">
      <w:r w:rsidRPr="004C36A6">
        <w:t xml:space="preserve">The main difference (between deceased and living donor indications) lies in the benefit-risk balance, </w:t>
      </w:r>
      <w:r>
        <w:t xml:space="preserve">that is </w:t>
      </w:r>
      <w:r w:rsidRPr="004C36A6">
        <w:t>the benefit may be reduced for living donor transplantation, if reliable and practical alternative desensitisation therapies were available specifically for that donor group. Some potential, alternative therapies (</w:t>
      </w:r>
      <w:r>
        <w:t>for example</w:t>
      </w:r>
      <w:r w:rsidRPr="004C36A6">
        <w:t>, plasma exchange) or approaches (</w:t>
      </w:r>
      <w:r>
        <w:t>for example</w:t>
      </w:r>
      <w:r w:rsidRPr="004C36A6">
        <w:t xml:space="preserve">, waiting for an </w:t>
      </w:r>
      <w:r w:rsidRPr="004C36A6">
        <w:rPr>
          <w:rFonts w:hint="eastAsia"/>
        </w:rPr>
        <w:t>immunologically compatible</w:t>
      </w:r>
      <w:r w:rsidRPr="004C36A6">
        <w:t xml:space="preserve"> donor) are available, but in the absence of their demonstrated reliability and practicality the benefit-risk balance is insignificantly different when compared to treatment prior to transplantation from deceased donors.</w:t>
      </w:r>
    </w:p>
    <w:p w14:paraId="632ED385" w14:textId="77777777" w:rsidR="004C36A6" w:rsidRPr="004C36A6" w:rsidRDefault="004C36A6" w:rsidP="004C36A6">
      <w:r w:rsidRPr="004C36A6">
        <w:t>The approved indication was not based on the sponsor-proposed observational study, as no details were available at the time of decision.</w:t>
      </w:r>
    </w:p>
    <w:p w14:paraId="1675790C" w14:textId="0583043E" w:rsidR="004C36A6" w:rsidRPr="004C36A6" w:rsidRDefault="004C36A6" w:rsidP="004C36A6">
      <w:r w:rsidRPr="004C36A6">
        <w:t xml:space="preserve">The indication wording refers to </w:t>
      </w:r>
      <w:r w:rsidR="00F866FA">
        <w:t>S</w:t>
      </w:r>
      <w:r w:rsidRPr="004C36A6">
        <w:t xml:space="preserve">ection 5.1 </w:t>
      </w:r>
      <w:r w:rsidR="00F866FA">
        <w:t xml:space="preserve">of the PI </w:t>
      </w:r>
      <w:r w:rsidRPr="004C36A6">
        <w:t>for prescribers to make an informed decision based on clinical data. Given its setting in transplantation medicine, imlifidase will only be used by highly specialised specialist prescribers.</w:t>
      </w:r>
    </w:p>
    <w:p w14:paraId="33B19222" w14:textId="77777777" w:rsidR="004C36A6" w:rsidRPr="004C36A6" w:rsidRDefault="004C36A6" w:rsidP="004C36A6">
      <w:pPr>
        <w:pStyle w:val="Heading4"/>
      </w:pPr>
      <w:bookmarkStart w:id="109" w:name="_Toc166143726"/>
      <w:r w:rsidRPr="004C36A6">
        <w:t>Conditions of registration</w:t>
      </w:r>
      <w:bookmarkEnd w:id="109"/>
    </w:p>
    <w:p w14:paraId="3E3FF4D9" w14:textId="77777777" w:rsidR="004C36A6" w:rsidRPr="004C36A6" w:rsidRDefault="004C36A6" w:rsidP="004C36A6">
      <w:r w:rsidRPr="004C36A6">
        <w:t>The following non-standard conditions of registration were imposed:</w:t>
      </w:r>
    </w:p>
    <w:p w14:paraId="36A10226" w14:textId="77777777" w:rsidR="004C36A6" w:rsidRDefault="004C36A6" w:rsidP="004C36A6">
      <w:pPr>
        <w:pStyle w:val="Heading5"/>
        <w:rPr>
          <w:lang w:eastAsia="ja-JP"/>
        </w:rPr>
      </w:pPr>
      <w:r>
        <w:rPr>
          <w:lang w:eastAsia="ja-JP"/>
        </w:rPr>
        <w:t>Condition 10</w:t>
      </w:r>
    </w:p>
    <w:p w14:paraId="59DC330F" w14:textId="16300DDC" w:rsidR="004C36A6" w:rsidRPr="004C36A6" w:rsidRDefault="004C36A6" w:rsidP="004C36A6">
      <w:r w:rsidRPr="004C36A6">
        <w:t xml:space="preserve">Confirmatory trial data (as identified in the sponsor’s plan to submit comprehensive clinical data on the safety and efficacy of the medicine before the end of the </w:t>
      </w:r>
      <w:r w:rsidR="00F866FA">
        <w:t>six</w:t>
      </w:r>
      <w:r w:rsidRPr="004C36A6">
        <w:t xml:space="preserve"> years that would start on the day that registration would commence) must be provided. Specifically, the sponsor must provide </w:t>
      </w:r>
      <w:r w:rsidRPr="004C36A6">
        <w:lastRenderedPageBreak/>
        <w:t>the clinical study reports (CSRs) for studies as specified in the ‘Clinical study plan for provisional registration’ section of the I</w:t>
      </w:r>
      <w:r>
        <w:t>defirix</w:t>
      </w:r>
      <w:r w:rsidRPr="004C36A6">
        <w:t xml:space="preserve"> EU-RMP </w:t>
      </w:r>
      <w:r>
        <w:t>ASA</w:t>
      </w:r>
      <w:r w:rsidRPr="004C36A6">
        <w:t xml:space="preserve"> (version 0.2, dated 21 February 2023):</w:t>
      </w:r>
    </w:p>
    <w:p w14:paraId="6F9FBCAF" w14:textId="2A19CB89" w:rsidR="004C36A6" w:rsidRDefault="004C36A6" w:rsidP="004C36A6">
      <w:pPr>
        <w:pStyle w:val="ListBullet"/>
      </w:pPr>
      <w:r>
        <w:t xml:space="preserve">Study 17-HMedIdeS-14 (Study 14) (expected in </w:t>
      </w:r>
      <w:r w:rsidR="00E3619A">
        <w:t>fourth quarter of</w:t>
      </w:r>
      <w:r>
        <w:t xml:space="preserve"> 2023)</w:t>
      </w:r>
    </w:p>
    <w:p w14:paraId="5E16778A" w14:textId="35D7C8B5" w:rsidR="004C36A6" w:rsidRDefault="004C36A6" w:rsidP="004C36A6">
      <w:pPr>
        <w:pStyle w:val="ListBullet"/>
      </w:pPr>
      <w:r>
        <w:t xml:space="preserve">Study 20-HMedIdeS-19 (Study 19) (expected in </w:t>
      </w:r>
      <w:r w:rsidR="00E3619A">
        <w:t xml:space="preserve">fourth quarter of </w:t>
      </w:r>
      <w:r>
        <w:t>2025)</w:t>
      </w:r>
    </w:p>
    <w:p w14:paraId="1EF4CD9D" w14:textId="743C68D2" w:rsidR="004C36A6" w:rsidRDefault="004C36A6" w:rsidP="004C36A6">
      <w:pPr>
        <w:pStyle w:val="ListBullet"/>
      </w:pPr>
      <w:r>
        <w:t xml:space="preserve">Study 20-HMedIdeS-17 (Study 17) </w:t>
      </w:r>
    </w:p>
    <w:p w14:paraId="3080C9C4" w14:textId="77777777" w:rsidR="004C36A6" w:rsidRDefault="004C36A6" w:rsidP="004C36A6">
      <w:pPr>
        <w:pStyle w:val="Heading5"/>
        <w:rPr>
          <w:lang w:eastAsia="ja-JP"/>
        </w:rPr>
      </w:pPr>
      <w:r>
        <w:rPr>
          <w:lang w:eastAsia="ja-JP"/>
        </w:rPr>
        <w:t>Condition 11</w:t>
      </w:r>
    </w:p>
    <w:p w14:paraId="57C933DA" w14:textId="77777777" w:rsidR="004C36A6" w:rsidRPr="004C36A6" w:rsidRDefault="004C36A6" w:rsidP="004C36A6">
      <w:r w:rsidRPr="004C36A6">
        <w:t>Additional and separate to the confirmatory trial data specified above, the sponsor should provide the clinical study reports (CSRs) for the following studies, once available:</w:t>
      </w:r>
    </w:p>
    <w:p w14:paraId="5CD70F41" w14:textId="40F4CCEF" w:rsidR="004C36A6" w:rsidRDefault="004C36A6" w:rsidP="004C36A6">
      <w:pPr>
        <w:pStyle w:val="ListBullet"/>
      </w:pPr>
      <w:r>
        <w:t xml:space="preserve">Study 20-HMedIdeS-20 (Study 20) (expected in </w:t>
      </w:r>
      <w:r w:rsidR="00E3619A">
        <w:t xml:space="preserve">fourth quarter of </w:t>
      </w:r>
      <w:r>
        <w:t>2030)</w:t>
      </w:r>
    </w:p>
    <w:p w14:paraId="41712161" w14:textId="0A7D3E44" w:rsidR="004C36A6" w:rsidRDefault="004C36A6" w:rsidP="004C36A6">
      <w:pPr>
        <w:pStyle w:val="ListBullet"/>
      </w:pPr>
      <w:r>
        <w:t xml:space="preserve">Study 21-HMedIdeS-25 (Study 25) </w:t>
      </w:r>
    </w:p>
    <w:p w14:paraId="1DDF7A66" w14:textId="0FF9B8EA" w:rsidR="004C36A6" w:rsidRPr="00911990" w:rsidRDefault="004C36A6" w:rsidP="00E3619A">
      <w:pPr>
        <w:pStyle w:val="ListBullet"/>
      </w:pPr>
      <w:r>
        <w:t>An observational study of renal transplant recipients (from deceased or living donors) following desensitisation with imlifidase conducted in Australia.</w:t>
      </w:r>
    </w:p>
    <w:p w14:paraId="307F236C" w14:textId="77777777" w:rsidR="00C22214" w:rsidRPr="002E238E" w:rsidRDefault="00C22214" w:rsidP="00C22214">
      <w:pPr>
        <w:pStyle w:val="Heading2"/>
      </w:pPr>
      <w:bookmarkStart w:id="110" w:name="_Toc166143727"/>
      <w:r>
        <w:t>Outcome</w:t>
      </w:r>
      <w:bookmarkEnd w:id="103"/>
      <w:bookmarkEnd w:id="104"/>
      <w:bookmarkEnd w:id="105"/>
      <w:bookmarkEnd w:id="110"/>
    </w:p>
    <w:p w14:paraId="4EF22939" w14:textId="3B87F5F1" w:rsidR="00C22214" w:rsidRPr="00BD5DBD" w:rsidRDefault="00C22214" w:rsidP="00C22214">
      <w:pPr>
        <w:spacing w:after="480"/>
        <w:rPr>
          <w:szCs w:val="22"/>
        </w:rPr>
      </w:pPr>
      <w:r w:rsidRPr="00BD5DBD">
        <w:rPr>
          <w:szCs w:val="22"/>
        </w:rPr>
        <w:t>Based on a review of quality, safety, and efficacy, the TGA approved the registration of</w:t>
      </w:r>
      <w:r w:rsidR="004C36A6" w:rsidRPr="004C36A6">
        <w:t xml:space="preserve"> </w:t>
      </w:r>
      <w:r w:rsidR="004C36A6">
        <w:t>Idefirix (i</w:t>
      </w:r>
      <w:r w:rsidR="004C36A6" w:rsidRPr="00D27153">
        <w:t>mlifidase</w:t>
      </w:r>
      <w:r w:rsidR="004C36A6" w:rsidRPr="00BD5DBD">
        <w:rPr>
          <w:szCs w:val="22"/>
        </w:rPr>
        <w:t xml:space="preserve">) </w:t>
      </w:r>
      <w:r w:rsidR="004C36A6">
        <w:rPr>
          <w:szCs w:val="22"/>
        </w:rPr>
        <w:t>11 mg</w:t>
      </w:r>
      <w:r w:rsidR="004C36A6" w:rsidRPr="00BD5DBD">
        <w:rPr>
          <w:szCs w:val="22"/>
        </w:rPr>
        <w:t xml:space="preserve">, </w:t>
      </w:r>
      <w:r w:rsidR="004C36A6">
        <w:rPr>
          <w:sz w:val="23"/>
          <w:szCs w:val="23"/>
        </w:rPr>
        <w:t>powder for concentrate for solution for infusion</w:t>
      </w:r>
      <w:r w:rsidR="004C36A6" w:rsidRPr="00BD5DBD">
        <w:rPr>
          <w:szCs w:val="22"/>
        </w:rPr>
        <w:t xml:space="preserve">, </w:t>
      </w:r>
      <w:r w:rsidR="004C36A6">
        <w:rPr>
          <w:szCs w:val="22"/>
        </w:rPr>
        <w:t>vial</w:t>
      </w:r>
      <w:r w:rsidRPr="00BD5DBD">
        <w:rPr>
          <w:szCs w:val="22"/>
        </w:rPr>
        <w:t>, indicated for:</w:t>
      </w:r>
    </w:p>
    <w:p w14:paraId="4D1DAE5F" w14:textId="77777777" w:rsidR="004C36A6" w:rsidRPr="004C36A6" w:rsidRDefault="004C36A6" w:rsidP="004C36A6">
      <w:pPr>
        <w:ind w:left="720"/>
        <w:rPr>
          <w:i/>
          <w:iCs/>
        </w:rPr>
      </w:pPr>
      <w:bookmarkStart w:id="111" w:name="_Toc103679301"/>
      <w:r w:rsidRPr="004C36A6">
        <w:rPr>
          <w:i/>
          <w:iCs/>
        </w:rPr>
        <w:t xml:space="preserve">Idefirix has </w:t>
      </w:r>
      <w:r w:rsidRPr="004C36A6">
        <w:rPr>
          <w:b/>
          <w:bCs/>
          <w:i/>
          <w:iCs/>
        </w:rPr>
        <w:t>provisional</w:t>
      </w:r>
      <w:r w:rsidRPr="004C36A6">
        <w:rPr>
          <w:i/>
          <w:iCs/>
        </w:rPr>
        <w:t xml:space="preserve"> approval for the desensitisation treatment of highly sensitised adult kidney transplant candidates prior to kidney transplantation from a donor against whom there is a positive cross-match (see Section 5.1 Pharmacodynamic properties, Clinical trials). The use of Idefirix should be reserved for patients who are otherwise unlikely to receive a kidney transplant. </w:t>
      </w:r>
    </w:p>
    <w:p w14:paraId="0D347D11" w14:textId="77777777" w:rsidR="004C36A6" w:rsidRPr="004C36A6" w:rsidRDefault="004C36A6" w:rsidP="004C36A6">
      <w:pPr>
        <w:ind w:left="720"/>
      </w:pPr>
      <w:r w:rsidRPr="004C36A6">
        <w:rPr>
          <w:i/>
          <w:iCs/>
        </w:rPr>
        <w:t>The decision to approve this medicine has been made based on limited data. More comprehensive evidence is required to be submitted.</w:t>
      </w:r>
    </w:p>
    <w:p w14:paraId="0D732DA4" w14:textId="7D003D16" w:rsidR="00854D98" w:rsidRPr="00D23139" w:rsidRDefault="00854D98" w:rsidP="004C36A6">
      <w:pPr>
        <w:pStyle w:val="Heading3"/>
      </w:pPr>
      <w:bookmarkStart w:id="112" w:name="_Toc166143728"/>
      <w:r w:rsidRPr="00D23139">
        <w:t>Specific conditions of registration applying to these goods</w:t>
      </w:r>
      <w:bookmarkEnd w:id="111"/>
      <w:bookmarkEnd w:id="112"/>
    </w:p>
    <w:p w14:paraId="1D7060EE" w14:textId="20CFA667" w:rsidR="004C36A6" w:rsidRPr="004C36A6" w:rsidRDefault="004C36A6" w:rsidP="004C36A6">
      <w:pPr>
        <w:pStyle w:val="ListBullet"/>
      </w:pPr>
      <w:bookmarkStart w:id="113" w:name="_Toc103679303"/>
      <w:r w:rsidRPr="004C36A6">
        <w:t>Idefirix (imlifidase) is to be included in the Black Triangle Scheme. The PI and CMI for Idefirix must include the black triangle symbol and mandatory accompanying text for five years, or the product’s entire period of provisional registration, whichever is longer.</w:t>
      </w:r>
    </w:p>
    <w:p w14:paraId="7B435ADB" w14:textId="20A43605" w:rsidR="004C36A6" w:rsidRPr="004C36A6" w:rsidRDefault="004C36A6" w:rsidP="004C36A6">
      <w:pPr>
        <w:pStyle w:val="ListBullet"/>
      </w:pPr>
      <w:r w:rsidRPr="004C36A6">
        <w:t>The Idefirix EU [European Union]-risk management plan (RMP) (version 1.0, dated 16 June 2020, data lock point 1 December 2019), with Australia specific annex (version 0.2, dated 21February 2023), included with Submission PM-2022-02499-1-2, and any subsequent revisions, as agreed with the TGA will be implemented in Australia.</w:t>
      </w:r>
    </w:p>
    <w:p w14:paraId="62017FF0" w14:textId="77777777" w:rsidR="004C36A6" w:rsidRPr="004C36A6" w:rsidRDefault="004C36A6" w:rsidP="004C36A6">
      <w:pPr>
        <w:ind w:left="360"/>
      </w:pPr>
      <w:r w:rsidRPr="004C36A6">
        <w:t>An obligatory component of risk management plans is routine pharmacovigilance. Routine pharmacovigilance includes the submission of periodic safety update reports(PSURs).</w:t>
      </w:r>
    </w:p>
    <w:p w14:paraId="0CC1DF8F" w14:textId="7D7DA562" w:rsidR="004C36A6" w:rsidRPr="004C36A6" w:rsidRDefault="004C36A6" w:rsidP="004C36A6">
      <w:pPr>
        <w:ind w:left="360"/>
      </w:pPr>
      <w:r w:rsidRPr="004C36A6">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0F6F2DD3" w14:textId="7DCF3045" w:rsidR="004C36A6" w:rsidRPr="004C36A6" w:rsidRDefault="004C36A6" w:rsidP="004C36A6">
      <w:pPr>
        <w:ind w:left="360"/>
      </w:pPr>
      <w:r w:rsidRPr="004C36A6">
        <w:lastRenderedPageBreak/>
        <w:t xml:space="preserve">The reports are to at least meet the requirements for PSURs as described in the European Medicines Agency’s Guideline on Good Pharmacovigilance Practices (GVP) Module VII-periodic safety update report (revision 1), Part VII.B Structures and processes. Note that submission of a PSUR does not constitute an application to vary the registration. Each report must have been prepared within ninety calendar days of the data lock point for that report. </w:t>
      </w:r>
    </w:p>
    <w:p w14:paraId="373DA416" w14:textId="77777777" w:rsidR="004C36A6" w:rsidRPr="004C36A6" w:rsidRDefault="004C36A6" w:rsidP="004C36A6">
      <w:pPr>
        <w:pStyle w:val="ListBullet"/>
      </w:pPr>
      <w:r w:rsidRPr="004C36A6">
        <w:t>Confirmatory trial data (as identified in the sponsor’s plan to submit comprehensive clinical data on the safety and efficacy of the medicine before the end of the 6 years that would start on the day that registration would commence) must be provided. Specifically, the sponsor must provide the clinical study reports (CSRs) for studies as specified in the ‘Clinical study plan for provisional registration’ section of the Idefirix EU-risk management plan (RMP) Australia specific annex (version 0.2, dated 21February 2023):</w:t>
      </w:r>
    </w:p>
    <w:p w14:paraId="52CCAED1" w14:textId="2A0B6CA3" w:rsidR="004C36A6" w:rsidRPr="004C36A6" w:rsidRDefault="004C36A6" w:rsidP="004C36A6">
      <w:pPr>
        <w:pStyle w:val="ListBullet2"/>
      </w:pPr>
      <w:r w:rsidRPr="004C36A6">
        <w:t>Study 17-HMedIdeS-14 (Study 14) (expected in fourth quarter of 2023)</w:t>
      </w:r>
    </w:p>
    <w:p w14:paraId="115B6511" w14:textId="4640457D" w:rsidR="004C36A6" w:rsidRPr="004C36A6" w:rsidRDefault="004C36A6" w:rsidP="004C36A6">
      <w:pPr>
        <w:pStyle w:val="ListBullet2"/>
      </w:pPr>
      <w:r w:rsidRPr="004C36A6">
        <w:t>Study 20-HMedIdeS-19 (Study 19) (expected in fourth quarter of 2025)</w:t>
      </w:r>
    </w:p>
    <w:p w14:paraId="7A40E82E" w14:textId="5077546E" w:rsidR="004C36A6" w:rsidRPr="004C36A6" w:rsidRDefault="004C36A6" w:rsidP="004C36A6">
      <w:pPr>
        <w:pStyle w:val="ListBullet2"/>
      </w:pPr>
      <w:r w:rsidRPr="004C36A6">
        <w:t xml:space="preserve">Study 20-HMedIdeS-17 (Study 17) </w:t>
      </w:r>
    </w:p>
    <w:p w14:paraId="271836F5" w14:textId="77777777" w:rsidR="004C36A6" w:rsidRPr="004C36A6" w:rsidRDefault="004C36A6" w:rsidP="004C36A6">
      <w:pPr>
        <w:pStyle w:val="ListBullet"/>
      </w:pPr>
      <w:r w:rsidRPr="004C36A6">
        <w:t xml:space="preserve">Additional and separate to the confirmatory trial data specified above, the sponsor should provide the clinical study reports (CSRs) for the following studies, once available: </w:t>
      </w:r>
    </w:p>
    <w:p w14:paraId="67010D6C" w14:textId="442C6BC6" w:rsidR="004C36A6" w:rsidRDefault="004C36A6" w:rsidP="004C36A6">
      <w:pPr>
        <w:pStyle w:val="ListBullet2"/>
      </w:pPr>
      <w:r>
        <w:t>Study 20-HMedIdeS-20 (Study 20) (expected in fourth quarter of 2030)</w:t>
      </w:r>
    </w:p>
    <w:p w14:paraId="2E6CDFD2" w14:textId="42DE6DDF" w:rsidR="004C36A6" w:rsidRDefault="004C36A6" w:rsidP="004C36A6">
      <w:pPr>
        <w:pStyle w:val="ListBullet2"/>
      </w:pPr>
      <w:r>
        <w:t xml:space="preserve">Study 21-HMedIdeS-25 (Study 25) </w:t>
      </w:r>
    </w:p>
    <w:p w14:paraId="21D3513C" w14:textId="3733D6F4" w:rsidR="004C36A6" w:rsidRDefault="004C36A6" w:rsidP="004C36A6">
      <w:pPr>
        <w:pStyle w:val="ListBullet2"/>
      </w:pPr>
      <w:r>
        <w:t>An observational study of renal transplant recipients (from deceased or living donors) following desensitisation with imlifidase conducted in Australia.</w:t>
      </w:r>
    </w:p>
    <w:p w14:paraId="42E02B63" w14:textId="77777777" w:rsidR="004C36A6" w:rsidRPr="004C36A6" w:rsidRDefault="004C36A6" w:rsidP="004C36A6">
      <w:pPr>
        <w:pStyle w:val="ListBullet"/>
      </w:pPr>
      <w:r w:rsidRPr="004C36A6">
        <w:t>Laboratory testing &amp; compliance with Certified Product Details (CPD)</w:t>
      </w:r>
    </w:p>
    <w:p w14:paraId="2CED3E79" w14:textId="77777777" w:rsidR="004C36A6" w:rsidRDefault="004C36A6" w:rsidP="004C36A6">
      <w:pPr>
        <w:ind w:left="720"/>
      </w:pPr>
      <w:proofErr w:type="spellStart"/>
      <w:r>
        <w:t>i</w:t>
      </w:r>
      <w:proofErr w:type="spellEnd"/>
      <w:r>
        <w:t>. All batches of Idefirix (imlifidase) supplied in Australia must comply with the product details and specifications approved during evaluation and detailed in the Certified Product Details (CPD).</w:t>
      </w:r>
    </w:p>
    <w:p w14:paraId="248262B4" w14:textId="500522FE" w:rsidR="004C36A6" w:rsidRDefault="004C36A6" w:rsidP="004C36A6">
      <w:pPr>
        <w:ind w:left="720"/>
      </w:pPr>
      <w:r>
        <w:t xml:space="preserve">ii. When requested by the TGA, the </w:t>
      </w:r>
      <w:r w:rsidR="001747E8">
        <w:t>s</w:t>
      </w:r>
      <w:r>
        <w:t xml:space="preserve">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 </w:t>
      </w:r>
    </w:p>
    <w:p w14:paraId="39115674" w14:textId="260923F2" w:rsidR="004C36A6" w:rsidRPr="004C36A6" w:rsidRDefault="004C36A6" w:rsidP="004C36A6">
      <w:pPr>
        <w:pStyle w:val="ListBullet"/>
      </w:pPr>
      <w:r w:rsidRPr="004C36A6">
        <w:t>Certified Product Details</w:t>
      </w:r>
    </w:p>
    <w:p w14:paraId="692E696B" w14:textId="77777777" w:rsidR="004C36A6" w:rsidRPr="004C36A6" w:rsidRDefault="004C36A6" w:rsidP="004C36A6">
      <w:pPr>
        <w:ind w:left="360"/>
      </w:pPr>
      <w:r w:rsidRPr="004C36A6">
        <w:t xml:space="preserve">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 </w:t>
      </w:r>
    </w:p>
    <w:p w14:paraId="348F2070" w14:textId="77777777" w:rsidR="004C36A6" w:rsidRPr="004C36A6" w:rsidRDefault="004C36A6" w:rsidP="004C36A6">
      <w:pPr>
        <w:ind w:left="360"/>
      </w:pPr>
      <w:r w:rsidRPr="004C36A6">
        <w:t xml:space="preserve">A template for preparation of CPD for biological prescription medicines can be obtained from the TGA website: </w:t>
      </w:r>
    </w:p>
    <w:p w14:paraId="71DC381C" w14:textId="40BA92EA" w:rsidR="004C36A6" w:rsidRPr="004C36A6" w:rsidRDefault="004C36A6" w:rsidP="004C36A6">
      <w:pPr>
        <w:ind w:left="360"/>
      </w:pPr>
      <w:r w:rsidRPr="004C36A6">
        <w:t xml:space="preserve">[for the form] </w:t>
      </w:r>
      <w:hyperlink r:id="rId53" w:history="1">
        <w:r w:rsidRPr="004C36A6">
          <w:rPr>
            <w:rStyle w:val="Hyperlink"/>
          </w:rPr>
          <w:t>https://www.tga.gov.au/form/certified-product-details-cpd-biological-prescription-medicines</w:t>
        </w:r>
      </w:hyperlink>
    </w:p>
    <w:p w14:paraId="286178B1" w14:textId="135EFFA0" w:rsidR="004C36A6" w:rsidRPr="004C36A6" w:rsidRDefault="004C36A6" w:rsidP="004C36A6">
      <w:pPr>
        <w:ind w:left="360"/>
      </w:pPr>
      <w:r w:rsidRPr="004C36A6">
        <w:t xml:space="preserve">[for the CPD guidance] </w:t>
      </w:r>
      <w:hyperlink r:id="rId54" w:history="1">
        <w:r w:rsidRPr="004C36A6">
          <w:rPr>
            <w:rStyle w:val="Hyperlink"/>
          </w:rPr>
          <w:t>https://www.tga.gov.au/resources/resource/guidance/guidance-7-certified-product-details</w:t>
        </w:r>
      </w:hyperlink>
    </w:p>
    <w:p w14:paraId="3E5FF525" w14:textId="3CEB5150" w:rsidR="004C36A6" w:rsidRPr="004C36A6" w:rsidRDefault="004C36A6" w:rsidP="004C36A6">
      <w:pPr>
        <w:pStyle w:val="ListBullet"/>
      </w:pPr>
      <w:r w:rsidRPr="004C36A6">
        <w:lastRenderedPageBreak/>
        <w:t>For all injectable products the Product Information must be included with the product as a package insert.</w:t>
      </w:r>
    </w:p>
    <w:p w14:paraId="451DC3FC" w14:textId="77777777" w:rsidR="00C22214" w:rsidRDefault="00C22214" w:rsidP="00C22214">
      <w:pPr>
        <w:pStyle w:val="Heading2"/>
      </w:pPr>
      <w:bookmarkStart w:id="114" w:name="_Toc166143729"/>
      <w:r>
        <w:t>Attachment 1. Product Information</w:t>
      </w:r>
      <w:bookmarkEnd w:id="113"/>
      <w:bookmarkEnd w:id="114"/>
    </w:p>
    <w:p w14:paraId="21F47164" w14:textId="00F2A1A6" w:rsidR="00C22214" w:rsidRPr="00BD5DBD" w:rsidRDefault="00C22214" w:rsidP="00C22214">
      <w:pPr>
        <w:rPr>
          <w:szCs w:val="22"/>
        </w:rPr>
      </w:pPr>
      <w:r w:rsidRPr="00BD5DBD">
        <w:rPr>
          <w:szCs w:val="22"/>
        </w:rPr>
        <w:t>The PI for</w:t>
      </w:r>
      <w:r w:rsidR="004C36A6">
        <w:rPr>
          <w:szCs w:val="22"/>
        </w:rPr>
        <w:t xml:space="preserve"> Idefirix</w:t>
      </w:r>
      <w:r w:rsidRPr="00BD5DBD">
        <w:rPr>
          <w:szCs w:val="22"/>
        </w:rPr>
        <w:t xml:space="preserve"> approved with the submission which is described in this AusPAR is at Attachment 1. For the most recent PI, please refer to the TGA </w:t>
      </w:r>
      <w:hyperlink r:id="rId55"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6313C2">
          <w:headerReference w:type="default" r:id="rId56"/>
          <w:footerReference w:type="default" r:id="rId5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060586D1" w:rsidR="00F02AEC" w:rsidRDefault="00F02AEC">
            <w:pPr>
              <w:pStyle w:val="Address"/>
              <w:jc w:val="center"/>
              <w:rPr>
                <w:sz w:val="22"/>
                <w:szCs w:val="22"/>
              </w:rPr>
            </w:pPr>
            <w:r w:rsidRPr="00215D48">
              <w:t xml:space="preserve">Email: </w:t>
            </w:r>
            <w:hyperlink r:id="rId58" w:history="1">
              <w:r w:rsidRPr="00215D48">
                <w:rPr>
                  <w:rStyle w:val="Hyperlink"/>
                </w:rPr>
                <w:t>info@tga.gov.au</w:t>
              </w:r>
            </w:hyperlink>
            <w:r w:rsidRPr="00215D48">
              <w:t xml:space="preserve">  Phone: 1800 020 653  Fax: </w:t>
            </w:r>
            <w:r w:rsidRPr="00BA0DFC">
              <w:t>02 6203 1605</w:t>
            </w:r>
          </w:p>
          <w:p w14:paraId="4533D80F" w14:textId="4BE85EE8" w:rsidR="00F02AEC" w:rsidRPr="00215D48" w:rsidRDefault="00606403">
            <w:pPr>
              <w:pStyle w:val="Address"/>
              <w:jc w:val="center"/>
              <w:rPr>
                <w:rStyle w:val="Hyperlink"/>
                <w:b/>
                <w:color w:val="auto"/>
                <w:sz w:val="22"/>
              </w:rPr>
            </w:pPr>
            <w:hyperlink r:id="rId59"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6313C2">
      <w:headerReference w:type="first" r:id="rId60"/>
      <w:footerReference w:type="first" r:id="rId6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FE4E5" w14:textId="77777777" w:rsidR="006313C2" w:rsidRDefault="006313C2" w:rsidP="00F02AEC">
      <w:pPr>
        <w:spacing w:after="0" w:line="240" w:lineRule="auto"/>
      </w:pPr>
      <w:r>
        <w:separator/>
      </w:r>
    </w:p>
  </w:endnote>
  <w:endnote w:type="continuationSeparator" w:id="0">
    <w:p w14:paraId="00E73679" w14:textId="77777777" w:rsidR="006313C2" w:rsidRDefault="006313C2" w:rsidP="00F02AEC">
      <w:pPr>
        <w:spacing w:after="0" w:line="240" w:lineRule="auto"/>
      </w:pPr>
      <w:r>
        <w:continuationSeparator/>
      </w:r>
    </w:p>
  </w:endnote>
  <w:endnote w:type="continuationNotice" w:id="1">
    <w:p w14:paraId="388D6692" w14:textId="77777777" w:rsidR="006313C2" w:rsidRDefault="006313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54D8788E"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780ED12" w:rsidR="007452E8" w:rsidRPr="003F5A59" w:rsidRDefault="007452E8" w:rsidP="007452E8">
          <w:pPr>
            <w:pStyle w:val="Footer"/>
            <w:rPr>
              <w:lang w:val="sv-SE"/>
            </w:rPr>
          </w:pPr>
          <w:r w:rsidRPr="003F5A59">
            <w:rPr>
              <w:lang w:val="sv-SE"/>
            </w:rPr>
            <w:t xml:space="preserve">AusPAR - </w:t>
          </w:r>
          <w:r w:rsidR="00D27153" w:rsidRPr="003F5A59">
            <w:rPr>
              <w:lang w:val="sv-SE"/>
            </w:rPr>
            <w:t>Idefirix</w:t>
          </w:r>
          <w:r w:rsidRPr="003F5A59">
            <w:rPr>
              <w:lang w:val="sv-SE"/>
            </w:rPr>
            <w:t xml:space="preserve"> - </w:t>
          </w:r>
          <w:r w:rsidR="00D27153" w:rsidRPr="003F5A59">
            <w:rPr>
              <w:lang w:val="sv-SE"/>
            </w:rPr>
            <w:t>Imlifidase</w:t>
          </w:r>
          <w:r w:rsidRPr="003F5A59">
            <w:rPr>
              <w:lang w:val="sv-SE"/>
            </w:rPr>
            <w:t xml:space="preserve"> </w:t>
          </w:r>
          <w:r w:rsidR="008C754C" w:rsidRPr="003F5A59">
            <w:rPr>
              <w:lang w:val="sv-SE"/>
            </w:rPr>
            <w:t>-</w:t>
          </w:r>
          <w:r w:rsidRPr="003F5A59">
            <w:rPr>
              <w:lang w:val="sv-SE"/>
            </w:rPr>
            <w:t xml:space="preserve"> </w:t>
          </w:r>
          <w:r w:rsidR="00D27153" w:rsidRPr="003F5A59">
            <w:rPr>
              <w:lang w:val="sv-SE"/>
            </w:rPr>
            <w:t>Hansa Biopharma</w:t>
          </w:r>
          <w:r w:rsidRPr="003F5A59">
            <w:rPr>
              <w:lang w:val="sv-SE"/>
            </w:rPr>
            <w:t xml:space="preserve"> - PM-202</w:t>
          </w:r>
          <w:r w:rsidR="00D27153" w:rsidRPr="003F5A59">
            <w:rPr>
              <w:lang w:val="sv-SE"/>
            </w:rPr>
            <w:t>2</w:t>
          </w:r>
          <w:r w:rsidRPr="003F5A59">
            <w:rPr>
              <w:lang w:val="sv-SE"/>
            </w:rPr>
            <w:t>-</w:t>
          </w:r>
          <w:r w:rsidR="00D27153" w:rsidRPr="003F5A59">
            <w:rPr>
              <w:lang w:val="sv-SE"/>
            </w:rPr>
            <w:t>02499</w:t>
          </w:r>
          <w:r w:rsidRPr="003F5A59">
            <w:rPr>
              <w:lang w:val="sv-SE"/>
            </w:rPr>
            <w:t>-</w:t>
          </w:r>
          <w:r w:rsidR="00D27153" w:rsidRPr="003F5A59">
            <w:rPr>
              <w:lang w:val="sv-SE"/>
            </w:rPr>
            <w:t>1</w:t>
          </w:r>
          <w:r w:rsidRPr="003F5A59">
            <w:rPr>
              <w:lang w:val="sv-SE"/>
            </w:rPr>
            <w:t>-</w:t>
          </w:r>
          <w:r w:rsidR="00D27153" w:rsidRPr="003F5A59">
            <w:rPr>
              <w:lang w:val="sv-SE"/>
            </w:rPr>
            <w:t>2</w:t>
          </w:r>
          <w:r w:rsidRPr="003F5A59">
            <w:rPr>
              <w:lang w:val="sv-SE"/>
            </w:rPr>
            <w:br/>
          </w:r>
          <w:r w:rsidR="00DB2744">
            <w:rPr>
              <w:lang w:val="sv-SE"/>
            </w:rPr>
            <w:t>Final 9 May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fldSimple w:instr=" NUMPAGES  ">
                <w:r w:rsidR="006D6B44">
                  <w:rPr>
                    <w:noProof/>
                  </w:rPr>
                  <w:t>17</w:t>
                </w:r>
              </w:fldSimple>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612C3" w14:textId="77777777" w:rsidR="006313C2" w:rsidRDefault="006313C2" w:rsidP="00F02AEC">
      <w:pPr>
        <w:spacing w:after="0" w:line="240" w:lineRule="auto"/>
      </w:pPr>
      <w:r>
        <w:separator/>
      </w:r>
    </w:p>
  </w:footnote>
  <w:footnote w:type="continuationSeparator" w:id="0">
    <w:p w14:paraId="0B8BCF05" w14:textId="77777777" w:rsidR="006313C2" w:rsidRDefault="006313C2" w:rsidP="00F02AEC">
      <w:pPr>
        <w:spacing w:after="0" w:line="240" w:lineRule="auto"/>
      </w:pPr>
      <w:r>
        <w:continuationSeparator/>
      </w:r>
    </w:p>
  </w:footnote>
  <w:footnote w:type="continuationNotice" w:id="1">
    <w:p w14:paraId="27BF3BC1" w14:textId="77777777" w:rsidR="006313C2" w:rsidRDefault="006313C2">
      <w:pPr>
        <w:spacing w:after="0" w:line="240" w:lineRule="auto"/>
      </w:pPr>
    </w:p>
  </w:footnote>
  <w:footnote w:id="2">
    <w:p w14:paraId="68402A9B" w14:textId="60286C39" w:rsidR="007452E8" w:rsidRPr="00A93DC6" w:rsidRDefault="007452E8">
      <w:pPr>
        <w:pStyle w:val="FootnoteText"/>
      </w:pPr>
      <w:r>
        <w:rPr>
          <w:rStyle w:val="FootnoteReference"/>
        </w:rPr>
        <w:footnoteRef/>
      </w:r>
      <w:r>
        <w:t xml:space="preserve"> </w:t>
      </w:r>
      <w:r w:rsidR="00FB236E">
        <w:t xml:space="preserve">This is the original indication proposed by the sponsor when the TGA commenced the evaluation of this submission. It </w:t>
      </w:r>
      <w:r w:rsidRPr="007452E8">
        <w:t xml:space="preserve">may </w:t>
      </w:r>
      <w:r w:rsidR="00FB236E">
        <w:t>differ</w:t>
      </w:r>
      <w:r w:rsidRPr="007452E8">
        <w:t xml:space="preserve"> to the final indication approved by th</w:t>
      </w:r>
      <w:r w:rsidR="00FB236E">
        <w:t>e TGA and registered on the Australian Register of Therapeutic Goods.</w:t>
      </w:r>
    </w:p>
  </w:footnote>
  <w:footnote w:id="3">
    <w:p w14:paraId="0020FD2B" w14:textId="0F62E536" w:rsidR="002B5560" w:rsidRDefault="002B5560">
      <w:pPr>
        <w:pStyle w:val="FootnoteText"/>
      </w:pPr>
      <w:r>
        <w:rPr>
          <w:rStyle w:val="FootnoteReference"/>
        </w:rPr>
        <w:footnoteRef/>
      </w:r>
      <w:r>
        <w:t xml:space="preserve"> ICH guideline Q4B Annex 14 to Note for Evaluation and Recommendation of </w:t>
      </w:r>
      <w:proofErr w:type="spellStart"/>
      <w:r>
        <w:t>Pharmacopoeial</w:t>
      </w:r>
      <w:proofErr w:type="spellEnd"/>
      <w:r>
        <w:t xml:space="preserve"> Texts for Use in the ICH Regions on Bacterial Endotoxins Tests – General Chapter, available at </w:t>
      </w:r>
      <w:r w:rsidR="00AD1739" w:rsidRPr="00AD1739">
        <w:t>https://www.ema.europa.eu/en/documents/scientific-guideline/draft-ich-guideline-q4b-annex-14-note-evaluation-recommendation-pharmacopoeial-texts-use-ich-regions_en.pdf</w:t>
      </w:r>
    </w:p>
  </w:footnote>
  <w:footnote w:id="4">
    <w:p w14:paraId="48F455A9" w14:textId="0C4A450F" w:rsidR="00AD1739" w:rsidRDefault="00AD1739">
      <w:pPr>
        <w:pStyle w:val="FootnoteText"/>
      </w:pPr>
      <w:r>
        <w:rPr>
          <w:rStyle w:val="FootnoteReference"/>
        </w:rPr>
        <w:footnoteRef/>
      </w:r>
      <w:r>
        <w:t xml:space="preserve"> </w:t>
      </w:r>
      <w:r w:rsidRPr="00AD1739">
        <w:t>Pre-clinical safety evaluation of biotechnology-derived pharmaceuticals (ICH S6 [R1])</w:t>
      </w:r>
      <w:r>
        <w:t xml:space="preserve">, available at </w:t>
      </w:r>
      <w:r w:rsidRPr="00AD1739">
        <w:t>https://www.ema.europa.eu/en/pre-clinical-safety-evaluation-biotechnology-derived-pharmaceuticals-ich-s6-r1</w:t>
      </w:r>
    </w:p>
  </w:footnote>
  <w:footnote w:id="5">
    <w:p w14:paraId="18C946D8" w14:textId="0F8B8902" w:rsidR="00AD1739" w:rsidRDefault="00AD1739" w:rsidP="00AD1739">
      <w:pPr>
        <w:pStyle w:val="FootnoteText"/>
      </w:pPr>
      <w:r>
        <w:rPr>
          <w:rStyle w:val="FootnoteReference"/>
        </w:rPr>
        <w:footnoteRef/>
      </w:r>
      <w:r>
        <w:t xml:space="preserve"> Drugs which have been taken by only a limited number of pregnant women and women of childbearing age, without an increase in the frequency of malformation or other direct or indirect harmful effects on the human fetus having been observed.</w:t>
      </w:r>
    </w:p>
    <w:p w14:paraId="09C90251" w14:textId="7CAF8AE1" w:rsidR="00AD1739" w:rsidRDefault="00AD1739" w:rsidP="00AD1739">
      <w:pPr>
        <w:pStyle w:val="FootnoteText"/>
      </w:pPr>
      <w:r>
        <w:t>Studies in animals are inadequate or may be lacking, but available data show no evidence of an increased occurrence of fetal damage.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606403" w:rsidP="007452E8">
          <w:pPr>
            <w:ind w:left="-57"/>
            <w:rPr>
              <w:noProof/>
            </w:rPr>
          </w:pPr>
          <w:sdt>
            <w:sdtPr>
              <w:rPr>
                <w:noProof/>
              </w:rPr>
              <w:id w:val="1926993388"/>
              <w:showingPlcHdr/>
              <w:picture/>
            </w:sdtPr>
            <w:sdtEndPr/>
            <w:sdtContent>
              <w:r w:rsidR="007452E8" w:rsidRPr="00F71E1E">
                <w:rPr>
                  <w:noProof/>
                  <w:lang w:eastAsia="en-GB"/>
                </w:rPr>
                <w:drawing>
                  <wp:inline distT="0" distB="0" distL="0" distR="0" wp14:anchorId="5C7F8AC9" wp14:editId="23FC1BBE">
                    <wp:extent cx="7631430" cy="5523865"/>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4749"/>
    <w:multiLevelType w:val="hybridMultilevel"/>
    <w:tmpl w:val="9BB02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933184"/>
    <w:multiLevelType w:val="hybridMultilevel"/>
    <w:tmpl w:val="5E568F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3693521"/>
    <w:multiLevelType w:val="hybridMultilevel"/>
    <w:tmpl w:val="F5101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A4D060B"/>
    <w:multiLevelType w:val="hybridMultilevel"/>
    <w:tmpl w:val="C2AA9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A41157"/>
    <w:multiLevelType w:val="hybridMultilevel"/>
    <w:tmpl w:val="EEACF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ED3D1D"/>
    <w:multiLevelType w:val="hybridMultilevel"/>
    <w:tmpl w:val="5F361D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FB839DF"/>
    <w:multiLevelType w:val="hybridMultilevel"/>
    <w:tmpl w:val="BDC602B8"/>
    <w:lvl w:ilvl="0" w:tplc="B80E80EE">
      <w:start w:val="1"/>
      <w:numFmt w:val="bullet"/>
      <w:lvlText w:val=""/>
      <w:lvlJc w:val="left"/>
      <w:pPr>
        <w:ind w:left="720" w:hanging="360"/>
      </w:pPr>
      <w:rPr>
        <w:rFonts w:ascii="Symbol" w:hAnsi="Symbol"/>
      </w:rPr>
    </w:lvl>
    <w:lvl w:ilvl="1" w:tplc="A5D2064C">
      <w:start w:val="1"/>
      <w:numFmt w:val="bullet"/>
      <w:lvlText w:val=""/>
      <w:lvlJc w:val="left"/>
      <w:pPr>
        <w:ind w:left="720" w:hanging="360"/>
      </w:pPr>
      <w:rPr>
        <w:rFonts w:ascii="Symbol" w:hAnsi="Symbol"/>
      </w:rPr>
    </w:lvl>
    <w:lvl w:ilvl="2" w:tplc="F5B0151A">
      <w:start w:val="1"/>
      <w:numFmt w:val="bullet"/>
      <w:lvlText w:val=""/>
      <w:lvlJc w:val="left"/>
      <w:pPr>
        <w:ind w:left="720" w:hanging="360"/>
      </w:pPr>
      <w:rPr>
        <w:rFonts w:ascii="Symbol" w:hAnsi="Symbol"/>
      </w:rPr>
    </w:lvl>
    <w:lvl w:ilvl="3" w:tplc="D3249B1C">
      <w:start w:val="1"/>
      <w:numFmt w:val="bullet"/>
      <w:lvlText w:val=""/>
      <w:lvlJc w:val="left"/>
      <w:pPr>
        <w:ind w:left="720" w:hanging="360"/>
      </w:pPr>
      <w:rPr>
        <w:rFonts w:ascii="Symbol" w:hAnsi="Symbol"/>
      </w:rPr>
    </w:lvl>
    <w:lvl w:ilvl="4" w:tplc="19C4BED2">
      <w:start w:val="1"/>
      <w:numFmt w:val="bullet"/>
      <w:lvlText w:val=""/>
      <w:lvlJc w:val="left"/>
      <w:pPr>
        <w:ind w:left="720" w:hanging="360"/>
      </w:pPr>
      <w:rPr>
        <w:rFonts w:ascii="Symbol" w:hAnsi="Symbol"/>
      </w:rPr>
    </w:lvl>
    <w:lvl w:ilvl="5" w:tplc="29A2B926">
      <w:start w:val="1"/>
      <w:numFmt w:val="bullet"/>
      <w:lvlText w:val=""/>
      <w:lvlJc w:val="left"/>
      <w:pPr>
        <w:ind w:left="720" w:hanging="360"/>
      </w:pPr>
      <w:rPr>
        <w:rFonts w:ascii="Symbol" w:hAnsi="Symbol"/>
      </w:rPr>
    </w:lvl>
    <w:lvl w:ilvl="6" w:tplc="8782F652">
      <w:start w:val="1"/>
      <w:numFmt w:val="bullet"/>
      <w:lvlText w:val=""/>
      <w:lvlJc w:val="left"/>
      <w:pPr>
        <w:ind w:left="720" w:hanging="360"/>
      </w:pPr>
      <w:rPr>
        <w:rFonts w:ascii="Symbol" w:hAnsi="Symbol"/>
      </w:rPr>
    </w:lvl>
    <w:lvl w:ilvl="7" w:tplc="58CC0600">
      <w:start w:val="1"/>
      <w:numFmt w:val="bullet"/>
      <w:lvlText w:val=""/>
      <w:lvlJc w:val="left"/>
      <w:pPr>
        <w:ind w:left="720" w:hanging="360"/>
      </w:pPr>
      <w:rPr>
        <w:rFonts w:ascii="Symbol" w:hAnsi="Symbol"/>
      </w:rPr>
    </w:lvl>
    <w:lvl w:ilvl="8" w:tplc="ABD0EEA0">
      <w:start w:val="1"/>
      <w:numFmt w:val="bullet"/>
      <w:lvlText w:val=""/>
      <w:lvlJc w:val="left"/>
      <w:pPr>
        <w:ind w:left="720" w:hanging="360"/>
      </w:pPr>
      <w:rPr>
        <w:rFonts w:ascii="Symbol" w:hAnsi="Symbol"/>
      </w:rPr>
    </w:lvl>
  </w:abstractNum>
  <w:abstractNum w:abstractNumId="12"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3112E3"/>
    <w:multiLevelType w:val="hybridMultilevel"/>
    <w:tmpl w:val="6832A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B3862EE"/>
    <w:multiLevelType w:val="hybridMultilevel"/>
    <w:tmpl w:val="247886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9B5140"/>
    <w:multiLevelType w:val="hybridMultilevel"/>
    <w:tmpl w:val="AF16694A"/>
    <w:lvl w:ilvl="0" w:tplc="0C090001">
      <w:start w:val="1"/>
      <w:numFmt w:val="bullet"/>
      <w:lvlText w:val=""/>
      <w:lvlJc w:val="left"/>
      <w:pPr>
        <w:ind w:left="720" w:hanging="360"/>
      </w:pPr>
      <w:rPr>
        <w:rFonts w:ascii="Symbol" w:hAnsi="Symbol" w:hint="default"/>
      </w:rPr>
    </w:lvl>
    <w:lvl w:ilvl="1" w:tplc="BC4E6D14">
      <w:start w:val="25"/>
      <w:numFmt w:val="bullet"/>
      <w:lvlText w:val="•"/>
      <w:lvlJc w:val="left"/>
      <w:pPr>
        <w:ind w:left="1440" w:hanging="360"/>
      </w:pPr>
      <w:rPr>
        <w:rFonts w:ascii="Cambria" w:eastAsia="Cambria"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DE344A"/>
    <w:multiLevelType w:val="hybridMultilevel"/>
    <w:tmpl w:val="93049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DF64EA"/>
    <w:multiLevelType w:val="hybridMultilevel"/>
    <w:tmpl w:val="6EF05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BB7348"/>
    <w:multiLevelType w:val="hybridMultilevel"/>
    <w:tmpl w:val="AA10B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DD7006"/>
    <w:multiLevelType w:val="hybridMultilevel"/>
    <w:tmpl w:val="BA168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EE07B3"/>
    <w:multiLevelType w:val="hybridMultilevel"/>
    <w:tmpl w:val="08AC054A"/>
    <w:lvl w:ilvl="0" w:tplc="48D6D04E">
      <w:start w:val="1"/>
      <w:numFmt w:val="bullet"/>
      <w:lvlText w:val=""/>
      <w:lvlJc w:val="left"/>
      <w:pPr>
        <w:ind w:left="720" w:hanging="360"/>
      </w:pPr>
      <w:rPr>
        <w:rFonts w:ascii="Symbol" w:hAnsi="Symbol"/>
      </w:rPr>
    </w:lvl>
    <w:lvl w:ilvl="1" w:tplc="CB7AA130">
      <w:start w:val="1"/>
      <w:numFmt w:val="bullet"/>
      <w:lvlText w:val=""/>
      <w:lvlJc w:val="left"/>
      <w:pPr>
        <w:ind w:left="720" w:hanging="360"/>
      </w:pPr>
      <w:rPr>
        <w:rFonts w:ascii="Symbol" w:hAnsi="Symbol"/>
      </w:rPr>
    </w:lvl>
    <w:lvl w:ilvl="2" w:tplc="33E68A60">
      <w:start w:val="1"/>
      <w:numFmt w:val="bullet"/>
      <w:lvlText w:val=""/>
      <w:lvlJc w:val="left"/>
      <w:pPr>
        <w:ind w:left="720" w:hanging="360"/>
      </w:pPr>
      <w:rPr>
        <w:rFonts w:ascii="Symbol" w:hAnsi="Symbol"/>
      </w:rPr>
    </w:lvl>
    <w:lvl w:ilvl="3" w:tplc="FFF28B8A">
      <w:start w:val="1"/>
      <w:numFmt w:val="bullet"/>
      <w:lvlText w:val=""/>
      <w:lvlJc w:val="left"/>
      <w:pPr>
        <w:ind w:left="720" w:hanging="360"/>
      </w:pPr>
      <w:rPr>
        <w:rFonts w:ascii="Symbol" w:hAnsi="Symbol"/>
      </w:rPr>
    </w:lvl>
    <w:lvl w:ilvl="4" w:tplc="963C2994">
      <w:start w:val="1"/>
      <w:numFmt w:val="bullet"/>
      <w:lvlText w:val=""/>
      <w:lvlJc w:val="left"/>
      <w:pPr>
        <w:ind w:left="720" w:hanging="360"/>
      </w:pPr>
      <w:rPr>
        <w:rFonts w:ascii="Symbol" w:hAnsi="Symbol"/>
      </w:rPr>
    </w:lvl>
    <w:lvl w:ilvl="5" w:tplc="8BD8837C">
      <w:start w:val="1"/>
      <w:numFmt w:val="bullet"/>
      <w:lvlText w:val=""/>
      <w:lvlJc w:val="left"/>
      <w:pPr>
        <w:ind w:left="720" w:hanging="360"/>
      </w:pPr>
      <w:rPr>
        <w:rFonts w:ascii="Symbol" w:hAnsi="Symbol"/>
      </w:rPr>
    </w:lvl>
    <w:lvl w:ilvl="6" w:tplc="B9661EF4">
      <w:start w:val="1"/>
      <w:numFmt w:val="bullet"/>
      <w:lvlText w:val=""/>
      <w:lvlJc w:val="left"/>
      <w:pPr>
        <w:ind w:left="720" w:hanging="360"/>
      </w:pPr>
      <w:rPr>
        <w:rFonts w:ascii="Symbol" w:hAnsi="Symbol"/>
      </w:rPr>
    </w:lvl>
    <w:lvl w:ilvl="7" w:tplc="FCE0DFCC">
      <w:start w:val="1"/>
      <w:numFmt w:val="bullet"/>
      <w:lvlText w:val=""/>
      <w:lvlJc w:val="left"/>
      <w:pPr>
        <w:ind w:left="720" w:hanging="360"/>
      </w:pPr>
      <w:rPr>
        <w:rFonts w:ascii="Symbol" w:hAnsi="Symbol"/>
      </w:rPr>
    </w:lvl>
    <w:lvl w:ilvl="8" w:tplc="38520C38">
      <w:start w:val="1"/>
      <w:numFmt w:val="bullet"/>
      <w:lvlText w:val=""/>
      <w:lvlJc w:val="left"/>
      <w:pPr>
        <w:ind w:left="720" w:hanging="360"/>
      </w:pPr>
      <w:rPr>
        <w:rFonts w:ascii="Symbol" w:hAnsi="Symbol"/>
      </w:rPr>
    </w:lvl>
  </w:abstractNum>
  <w:abstractNum w:abstractNumId="23" w15:restartNumberingAfterBreak="0">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4" w15:restartNumberingAfterBreak="0">
    <w:nsid w:val="76254979"/>
    <w:multiLevelType w:val="hybridMultilevel"/>
    <w:tmpl w:val="0B0892D2"/>
    <w:lvl w:ilvl="0" w:tplc="EAF8E93C">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091609"/>
    <w:multiLevelType w:val="hybridMultilevel"/>
    <w:tmpl w:val="951E0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1D2D53"/>
    <w:multiLevelType w:val="hybridMultilevel"/>
    <w:tmpl w:val="E58227BA"/>
    <w:lvl w:ilvl="0" w:tplc="517C5286">
      <w:start w:val="1"/>
      <w:numFmt w:val="bullet"/>
      <w:lvlText w:val=""/>
      <w:lvlJc w:val="left"/>
      <w:pPr>
        <w:ind w:left="720" w:hanging="360"/>
      </w:pPr>
      <w:rPr>
        <w:rFonts w:ascii="Symbol" w:hAnsi="Symbol"/>
      </w:rPr>
    </w:lvl>
    <w:lvl w:ilvl="1" w:tplc="48C2C59A">
      <w:start w:val="1"/>
      <w:numFmt w:val="bullet"/>
      <w:lvlText w:val=""/>
      <w:lvlJc w:val="left"/>
      <w:pPr>
        <w:ind w:left="720" w:hanging="360"/>
      </w:pPr>
      <w:rPr>
        <w:rFonts w:ascii="Symbol" w:hAnsi="Symbol"/>
      </w:rPr>
    </w:lvl>
    <w:lvl w:ilvl="2" w:tplc="46B4C860">
      <w:start w:val="1"/>
      <w:numFmt w:val="bullet"/>
      <w:lvlText w:val=""/>
      <w:lvlJc w:val="left"/>
      <w:pPr>
        <w:ind w:left="720" w:hanging="360"/>
      </w:pPr>
      <w:rPr>
        <w:rFonts w:ascii="Symbol" w:hAnsi="Symbol"/>
      </w:rPr>
    </w:lvl>
    <w:lvl w:ilvl="3" w:tplc="88860A3E">
      <w:start w:val="1"/>
      <w:numFmt w:val="bullet"/>
      <w:lvlText w:val=""/>
      <w:lvlJc w:val="left"/>
      <w:pPr>
        <w:ind w:left="720" w:hanging="360"/>
      </w:pPr>
      <w:rPr>
        <w:rFonts w:ascii="Symbol" w:hAnsi="Symbol"/>
      </w:rPr>
    </w:lvl>
    <w:lvl w:ilvl="4" w:tplc="344A5CEE">
      <w:start w:val="1"/>
      <w:numFmt w:val="bullet"/>
      <w:lvlText w:val=""/>
      <w:lvlJc w:val="left"/>
      <w:pPr>
        <w:ind w:left="720" w:hanging="360"/>
      </w:pPr>
      <w:rPr>
        <w:rFonts w:ascii="Symbol" w:hAnsi="Symbol"/>
      </w:rPr>
    </w:lvl>
    <w:lvl w:ilvl="5" w:tplc="A4B09F8A">
      <w:start w:val="1"/>
      <w:numFmt w:val="bullet"/>
      <w:lvlText w:val=""/>
      <w:lvlJc w:val="left"/>
      <w:pPr>
        <w:ind w:left="720" w:hanging="360"/>
      </w:pPr>
      <w:rPr>
        <w:rFonts w:ascii="Symbol" w:hAnsi="Symbol"/>
      </w:rPr>
    </w:lvl>
    <w:lvl w:ilvl="6" w:tplc="19BA4CA2">
      <w:start w:val="1"/>
      <w:numFmt w:val="bullet"/>
      <w:lvlText w:val=""/>
      <w:lvlJc w:val="left"/>
      <w:pPr>
        <w:ind w:left="720" w:hanging="360"/>
      </w:pPr>
      <w:rPr>
        <w:rFonts w:ascii="Symbol" w:hAnsi="Symbol"/>
      </w:rPr>
    </w:lvl>
    <w:lvl w:ilvl="7" w:tplc="5D089618">
      <w:start w:val="1"/>
      <w:numFmt w:val="bullet"/>
      <w:lvlText w:val=""/>
      <w:lvlJc w:val="left"/>
      <w:pPr>
        <w:ind w:left="720" w:hanging="360"/>
      </w:pPr>
      <w:rPr>
        <w:rFonts w:ascii="Symbol" w:hAnsi="Symbol"/>
      </w:rPr>
    </w:lvl>
    <w:lvl w:ilvl="8" w:tplc="AFA28604">
      <w:start w:val="1"/>
      <w:numFmt w:val="bullet"/>
      <w:lvlText w:val=""/>
      <w:lvlJc w:val="left"/>
      <w:pPr>
        <w:ind w:left="720" w:hanging="360"/>
      </w:pPr>
      <w:rPr>
        <w:rFonts w:ascii="Symbol" w:hAnsi="Symbol"/>
      </w:rPr>
    </w:lvl>
  </w:abstractNum>
  <w:num w:numId="1" w16cid:durableId="258610359">
    <w:abstractNumId w:val="5"/>
  </w:num>
  <w:num w:numId="2" w16cid:durableId="655652189">
    <w:abstractNumId w:val="3"/>
  </w:num>
  <w:num w:numId="3" w16cid:durableId="890776158">
    <w:abstractNumId w:val="4"/>
  </w:num>
  <w:num w:numId="4" w16cid:durableId="472602767">
    <w:abstractNumId w:val="16"/>
  </w:num>
  <w:num w:numId="5" w16cid:durableId="878512798">
    <w:abstractNumId w:val="7"/>
  </w:num>
  <w:num w:numId="6" w16cid:durableId="1798448729">
    <w:abstractNumId w:val="15"/>
  </w:num>
  <w:num w:numId="7" w16cid:durableId="146600095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963682090">
    <w:abstractNumId w:val="12"/>
  </w:num>
  <w:num w:numId="9" w16cid:durableId="861476783">
    <w:abstractNumId w:val="10"/>
  </w:num>
  <w:num w:numId="10" w16cid:durableId="1058939877">
    <w:abstractNumId w:val="13"/>
  </w:num>
  <w:num w:numId="11" w16cid:durableId="1034185440">
    <w:abstractNumId w:val="0"/>
  </w:num>
  <w:num w:numId="12" w16cid:durableId="529760184">
    <w:abstractNumId w:val="23"/>
  </w:num>
  <w:num w:numId="13" w16cid:durableId="448087970">
    <w:abstractNumId w:val="25"/>
  </w:num>
  <w:num w:numId="14" w16cid:durableId="12627618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4504221">
    <w:abstractNumId w:val="17"/>
  </w:num>
  <w:num w:numId="16" w16cid:durableId="1059478326">
    <w:abstractNumId w:val="21"/>
  </w:num>
  <w:num w:numId="17" w16cid:durableId="1671518529">
    <w:abstractNumId w:val="14"/>
  </w:num>
  <w:num w:numId="18" w16cid:durableId="1005978711">
    <w:abstractNumId w:val="19"/>
  </w:num>
  <w:num w:numId="19" w16cid:durableId="1799566463">
    <w:abstractNumId w:val="2"/>
  </w:num>
  <w:num w:numId="20" w16cid:durableId="1413234802">
    <w:abstractNumId w:val="9"/>
  </w:num>
  <w:num w:numId="21" w16cid:durableId="1785536764">
    <w:abstractNumId w:val="20"/>
  </w:num>
  <w:num w:numId="22" w16cid:durableId="505289306">
    <w:abstractNumId w:val="8"/>
  </w:num>
  <w:num w:numId="23" w16cid:durableId="320424041">
    <w:abstractNumId w:val="18"/>
  </w:num>
  <w:num w:numId="24" w16cid:durableId="96901762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16cid:durableId="385301374">
    <w:abstractNumId w:val="1"/>
  </w:num>
  <w:num w:numId="26" w16cid:durableId="1830780165">
    <w:abstractNumId w:val="24"/>
  </w:num>
  <w:num w:numId="27" w16cid:durableId="611716225">
    <w:abstractNumId w:val="6"/>
  </w:num>
  <w:num w:numId="28" w16cid:durableId="39205687">
    <w:abstractNumId w:val="22"/>
  </w:num>
  <w:num w:numId="29" w16cid:durableId="278613430">
    <w:abstractNumId w:val="11"/>
  </w:num>
  <w:num w:numId="30" w16cid:durableId="141886440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759"/>
    <w:rsid w:val="000011F3"/>
    <w:rsid w:val="00002BFF"/>
    <w:rsid w:val="00002C78"/>
    <w:rsid w:val="00011162"/>
    <w:rsid w:val="00011E77"/>
    <w:rsid w:val="000138B3"/>
    <w:rsid w:val="00015A64"/>
    <w:rsid w:val="00016503"/>
    <w:rsid w:val="000179FA"/>
    <w:rsid w:val="00017BCC"/>
    <w:rsid w:val="00017CFB"/>
    <w:rsid w:val="0002017D"/>
    <w:rsid w:val="00021352"/>
    <w:rsid w:val="000232AE"/>
    <w:rsid w:val="00023AA9"/>
    <w:rsid w:val="00024B5F"/>
    <w:rsid w:val="0002616C"/>
    <w:rsid w:val="00033210"/>
    <w:rsid w:val="00036097"/>
    <w:rsid w:val="000404E6"/>
    <w:rsid w:val="00042AE9"/>
    <w:rsid w:val="00042CBE"/>
    <w:rsid w:val="00043608"/>
    <w:rsid w:val="00046320"/>
    <w:rsid w:val="00046E64"/>
    <w:rsid w:val="000479D4"/>
    <w:rsid w:val="00051444"/>
    <w:rsid w:val="00053236"/>
    <w:rsid w:val="00054BB3"/>
    <w:rsid w:val="00055410"/>
    <w:rsid w:val="00056EB2"/>
    <w:rsid w:val="000572C6"/>
    <w:rsid w:val="00060AF7"/>
    <w:rsid w:val="00060DBA"/>
    <w:rsid w:val="00061AFB"/>
    <w:rsid w:val="00064BBB"/>
    <w:rsid w:val="000654B5"/>
    <w:rsid w:val="00067E38"/>
    <w:rsid w:val="00071A6F"/>
    <w:rsid w:val="00073D05"/>
    <w:rsid w:val="00073FE6"/>
    <w:rsid w:val="00074D36"/>
    <w:rsid w:val="000754D2"/>
    <w:rsid w:val="00076B9A"/>
    <w:rsid w:val="00077844"/>
    <w:rsid w:val="00077DC8"/>
    <w:rsid w:val="00077F75"/>
    <w:rsid w:val="000818E2"/>
    <w:rsid w:val="000818EB"/>
    <w:rsid w:val="0008662E"/>
    <w:rsid w:val="000871FB"/>
    <w:rsid w:val="00090A57"/>
    <w:rsid w:val="00093F3E"/>
    <w:rsid w:val="000944C3"/>
    <w:rsid w:val="00094B81"/>
    <w:rsid w:val="00095ED4"/>
    <w:rsid w:val="00096F7D"/>
    <w:rsid w:val="000975AA"/>
    <w:rsid w:val="00097EB6"/>
    <w:rsid w:val="000A012D"/>
    <w:rsid w:val="000A2FDD"/>
    <w:rsid w:val="000A3708"/>
    <w:rsid w:val="000A470F"/>
    <w:rsid w:val="000B07A3"/>
    <w:rsid w:val="000B1341"/>
    <w:rsid w:val="000B5AF0"/>
    <w:rsid w:val="000C2AB8"/>
    <w:rsid w:val="000C58E6"/>
    <w:rsid w:val="000D2A54"/>
    <w:rsid w:val="000D43E4"/>
    <w:rsid w:val="000D7934"/>
    <w:rsid w:val="000E1F10"/>
    <w:rsid w:val="000E2FE9"/>
    <w:rsid w:val="000E5CDC"/>
    <w:rsid w:val="000E7E85"/>
    <w:rsid w:val="000F0DAC"/>
    <w:rsid w:val="000F2606"/>
    <w:rsid w:val="000F55C4"/>
    <w:rsid w:val="000F5FB9"/>
    <w:rsid w:val="000F601B"/>
    <w:rsid w:val="000F63C9"/>
    <w:rsid w:val="000F6C3C"/>
    <w:rsid w:val="00101FB1"/>
    <w:rsid w:val="0010215C"/>
    <w:rsid w:val="0010295B"/>
    <w:rsid w:val="001036B7"/>
    <w:rsid w:val="00106F0F"/>
    <w:rsid w:val="00110B24"/>
    <w:rsid w:val="00114AE2"/>
    <w:rsid w:val="00115267"/>
    <w:rsid w:val="00116584"/>
    <w:rsid w:val="00121BD0"/>
    <w:rsid w:val="00122986"/>
    <w:rsid w:val="00122EDC"/>
    <w:rsid w:val="00123386"/>
    <w:rsid w:val="00123DDA"/>
    <w:rsid w:val="0012473C"/>
    <w:rsid w:val="0012518C"/>
    <w:rsid w:val="0012646F"/>
    <w:rsid w:val="00127F4F"/>
    <w:rsid w:val="0013132F"/>
    <w:rsid w:val="00131889"/>
    <w:rsid w:val="00133974"/>
    <w:rsid w:val="001343DE"/>
    <w:rsid w:val="00134E63"/>
    <w:rsid w:val="0013528C"/>
    <w:rsid w:val="001357EB"/>
    <w:rsid w:val="0013600A"/>
    <w:rsid w:val="00136FB2"/>
    <w:rsid w:val="00143FC6"/>
    <w:rsid w:val="001442E9"/>
    <w:rsid w:val="001456B0"/>
    <w:rsid w:val="00146D23"/>
    <w:rsid w:val="001523E0"/>
    <w:rsid w:val="00152824"/>
    <w:rsid w:val="001538FE"/>
    <w:rsid w:val="0015635A"/>
    <w:rsid w:val="00156558"/>
    <w:rsid w:val="001568D6"/>
    <w:rsid w:val="0015737D"/>
    <w:rsid w:val="00160448"/>
    <w:rsid w:val="00160615"/>
    <w:rsid w:val="00161255"/>
    <w:rsid w:val="00164A34"/>
    <w:rsid w:val="00165C90"/>
    <w:rsid w:val="00165D28"/>
    <w:rsid w:val="0016669D"/>
    <w:rsid w:val="00167CBA"/>
    <w:rsid w:val="0017010D"/>
    <w:rsid w:val="00172894"/>
    <w:rsid w:val="001747E8"/>
    <w:rsid w:val="00175CD8"/>
    <w:rsid w:val="00176A37"/>
    <w:rsid w:val="0017704A"/>
    <w:rsid w:val="001770B2"/>
    <w:rsid w:val="001800D0"/>
    <w:rsid w:val="00180B05"/>
    <w:rsid w:val="00183FB7"/>
    <w:rsid w:val="0018502C"/>
    <w:rsid w:val="00185D6F"/>
    <w:rsid w:val="00186B7D"/>
    <w:rsid w:val="00190C6F"/>
    <w:rsid w:val="00191963"/>
    <w:rsid w:val="0019489D"/>
    <w:rsid w:val="001961B4"/>
    <w:rsid w:val="001A007D"/>
    <w:rsid w:val="001A0324"/>
    <w:rsid w:val="001A375A"/>
    <w:rsid w:val="001A46F2"/>
    <w:rsid w:val="001A610D"/>
    <w:rsid w:val="001A6A25"/>
    <w:rsid w:val="001A73D3"/>
    <w:rsid w:val="001B1A5F"/>
    <w:rsid w:val="001B2706"/>
    <w:rsid w:val="001B3F46"/>
    <w:rsid w:val="001B4ABF"/>
    <w:rsid w:val="001B5118"/>
    <w:rsid w:val="001B6FA8"/>
    <w:rsid w:val="001B709B"/>
    <w:rsid w:val="001C00AB"/>
    <w:rsid w:val="001C0605"/>
    <w:rsid w:val="001C0818"/>
    <w:rsid w:val="001C091D"/>
    <w:rsid w:val="001C1C2E"/>
    <w:rsid w:val="001C3E14"/>
    <w:rsid w:val="001C45F8"/>
    <w:rsid w:val="001C5636"/>
    <w:rsid w:val="001C5B5D"/>
    <w:rsid w:val="001C7C6A"/>
    <w:rsid w:val="001D00FB"/>
    <w:rsid w:val="001D2AD9"/>
    <w:rsid w:val="001D3058"/>
    <w:rsid w:val="001D3684"/>
    <w:rsid w:val="001D377F"/>
    <w:rsid w:val="001D416F"/>
    <w:rsid w:val="001D6178"/>
    <w:rsid w:val="001D6341"/>
    <w:rsid w:val="001E3257"/>
    <w:rsid w:val="001E3F43"/>
    <w:rsid w:val="001E473D"/>
    <w:rsid w:val="001E5BFF"/>
    <w:rsid w:val="001E68FB"/>
    <w:rsid w:val="001E74E1"/>
    <w:rsid w:val="001F26A7"/>
    <w:rsid w:val="001F2F14"/>
    <w:rsid w:val="001F5AA3"/>
    <w:rsid w:val="001F728F"/>
    <w:rsid w:val="002018C8"/>
    <w:rsid w:val="0020369B"/>
    <w:rsid w:val="00204B5E"/>
    <w:rsid w:val="002050AC"/>
    <w:rsid w:val="00205F09"/>
    <w:rsid w:val="00210AB6"/>
    <w:rsid w:val="0021388F"/>
    <w:rsid w:val="00213DC4"/>
    <w:rsid w:val="0021450C"/>
    <w:rsid w:val="00214E09"/>
    <w:rsid w:val="002170BB"/>
    <w:rsid w:val="002176F7"/>
    <w:rsid w:val="002225AC"/>
    <w:rsid w:val="002243AC"/>
    <w:rsid w:val="00224B1C"/>
    <w:rsid w:val="00226F39"/>
    <w:rsid w:val="002306AE"/>
    <w:rsid w:val="002317A1"/>
    <w:rsid w:val="002318F1"/>
    <w:rsid w:val="00232D52"/>
    <w:rsid w:val="00234E83"/>
    <w:rsid w:val="00235371"/>
    <w:rsid w:val="00237DD9"/>
    <w:rsid w:val="00241B60"/>
    <w:rsid w:val="002430C7"/>
    <w:rsid w:val="002477EC"/>
    <w:rsid w:val="002517F4"/>
    <w:rsid w:val="00252BB9"/>
    <w:rsid w:val="0025643E"/>
    <w:rsid w:val="00256BB2"/>
    <w:rsid w:val="0025700F"/>
    <w:rsid w:val="00257749"/>
    <w:rsid w:val="00261147"/>
    <w:rsid w:val="0026344F"/>
    <w:rsid w:val="002652C3"/>
    <w:rsid w:val="00266225"/>
    <w:rsid w:val="00267752"/>
    <w:rsid w:val="00273058"/>
    <w:rsid w:val="002732F5"/>
    <w:rsid w:val="002733FD"/>
    <w:rsid w:val="00283449"/>
    <w:rsid w:val="0028397E"/>
    <w:rsid w:val="00286297"/>
    <w:rsid w:val="00286D80"/>
    <w:rsid w:val="00290AEB"/>
    <w:rsid w:val="00293BE0"/>
    <w:rsid w:val="002942AE"/>
    <w:rsid w:val="00294EBB"/>
    <w:rsid w:val="0029590E"/>
    <w:rsid w:val="00297C39"/>
    <w:rsid w:val="002A233D"/>
    <w:rsid w:val="002A3213"/>
    <w:rsid w:val="002A6821"/>
    <w:rsid w:val="002A700A"/>
    <w:rsid w:val="002A7B1D"/>
    <w:rsid w:val="002B0603"/>
    <w:rsid w:val="002B1C80"/>
    <w:rsid w:val="002B3D48"/>
    <w:rsid w:val="002B4C11"/>
    <w:rsid w:val="002B5560"/>
    <w:rsid w:val="002B7204"/>
    <w:rsid w:val="002C074D"/>
    <w:rsid w:val="002C13C1"/>
    <w:rsid w:val="002C5C7A"/>
    <w:rsid w:val="002C5DCE"/>
    <w:rsid w:val="002C5E29"/>
    <w:rsid w:val="002C6D90"/>
    <w:rsid w:val="002D04BA"/>
    <w:rsid w:val="002D23B0"/>
    <w:rsid w:val="002D2C47"/>
    <w:rsid w:val="002D451D"/>
    <w:rsid w:val="002D484E"/>
    <w:rsid w:val="002D4A22"/>
    <w:rsid w:val="002D5609"/>
    <w:rsid w:val="002D6928"/>
    <w:rsid w:val="002D7127"/>
    <w:rsid w:val="002E3285"/>
    <w:rsid w:val="002E4556"/>
    <w:rsid w:val="002E748F"/>
    <w:rsid w:val="002E7D27"/>
    <w:rsid w:val="002F039B"/>
    <w:rsid w:val="002F7D9B"/>
    <w:rsid w:val="003008D8"/>
    <w:rsid w:val="00301EFB"/>
    <w:rsid w:val="00303959"/>
    <w:rsid w:val="003054F8"/>
    <w:rsid w:val="00310D87"/>
    <w:rsid w:val="00312AC3"/>
    <w:rsid w:val="00314430"/>
    <w:rsid w:val="00316C82"/>
    <w:rsid w:val="00317D41"/>
    <w:rsid w:val="00317E4A"/>
    <w:rsid w:val="003207DD"/>
    <w:rsid w:val="00321FAB"/>
    <w:rsid w:val="00322E6C"/>
    <w:rsid w:val="00323B54"/>
    <w:rsid w:val="00323E32"/>
    <w:rsid w:val="00324B33"/>
    <w:rsid w:val="00324C22"/>
    <w:rsid w:val="003260B4"/>
    <w:rsid w:val="00327E4D"/>
    <w:rsid w:val="00332A06"/>
    <w:rsid w:val="003400D9"/>
    <w:rsid w:val="003422C6"/>
    <w:rsid w:val="003429A9"/>
    <w:rsid w:val="0034480B"/>
    <w:rsid w:val="00346DB6"/>
    <w:rsid w:val="00346EC2"/>
    <w:rsid w:val="003477AA"/>
    <w:rsid w:val="00351F6F"/>
    <w:rsid w:val="003525BC"/>
    <w:rsid w:val="0035444D"/>
    <w:rsid w:val="00355C3D"/>
    <w:rsid w:val="00356D3A"/>
    <w:rsid w:val="00356FF3"/>
    <w:rsid w:val="003579A9"/>
    <w:rsid w:val="003579F8"/>
    <w:rsid w:val="00360371"/>
    <w:rsid w:val="003616D0"/>
    <w:rsid w:val="00362486"/>
    <w:rsid w:val="00363212"/>
    <w:rsid w:val="003634F9"/>
    <w:rsid w:val="00365D02"/>
    <w:rsid w:val="00365FF3"/>
    <w:rsid w:val="0037419B"/>
    <w:rsid w:val="00374C10"/>
    <w:rsid w:val="00375113"/>
    <w:rsid w:val="003803FF"/>
    <w:rsid w:val="0038603A"/>
    <w:rsid w:val="00387B0B"/>
    <w:rsid w:val="0039084D"/>
    <w:rsid w:val="00390DCD"/>
    <w:rsid w:val="00392372"/>
    <w:rsid w:val="00395140"/>
    <w:rsid w:val="00396BF5"/>
    <w:rsid w:val="00396FD4"/>
    <w:rsid w:val="003971A3"/>
    <w:rsid w:val="003A0295"/>
    <w:rsid w:val="003A0CB1"/>
    <w:rsid w:val="003A3FF4"/>
    <w:rsid w:val="003A4164"/>
    <w:rsid w:val="003A493C"/>
    <w:rsid w:val="003A55FA"/>
    <w:rsid w:val="003A57C9"/>
    <w:rsid w:val="003A6B5C"/>
    <w:rsid w:val="003A7B83"/>
    <w:rsid w:val="003B149C"/>
    <w:rsid w:val="003B5534"/>
    <w:rsid w:val="003B6708"/>
    <w:rsid w:val="003C24DE"/>
    <w:rsid w:val="003C3708"/>
    <w:rsid w:val="003C43A4"/>
    <w:rsid w:val="003C6975"/>
    <w:rsid w:val="003C7290"/>
    <w:rsid w:val="003D094A"/>
    <w:rsid w:val="003D10F2"/>
    <w:rsid w:val="003D1B08"/>
    <w:rsid w:val="003D1CE3"/>
    <w:rsid w:val="003D1D8D"/>
    <w:rsid w:val="003D32BD"/>
    <w:rsid w:val="003D4EC5"/>
    <w:rsid w:val="003D62A1"/>
    <w:rsid w:val="003D71A1"/>
    <w:rsid w:val="003E4EB2"/>
    <w:rsid w:val="003E6C05"/>
    <w:rsid w:val="003E731E"/>
    <w:rsid w:val="003E7C7C"/>
    <w:rsid w:val="003E7EE0"/>
    <w:rsid w:val="003F17F9"/>
    <w:rsid w:val="003F1892"/>
    <w:rsid w:val="003F1BBF"/>
    <w:rsid w:val="003F1C41"/>
    <w:rsid w:val="003F1E66"/>
    <w:rsid w:val="003F5A59"/>
    <w:rsid w:val="003F6452"/>
    <w:rsid w:val="003F65CD"/>
    <w:rsid w:val="00400B13"/>
    <w:rsid w:val="00401C4A"/>
    <w:rsid w:val="00401F49"/>
    <w:rsid w:val="0040322B"/>
    <w:rsid w:val="00403E30"/>
    <w:rsid w:val="004047C5"/>
    <w:rsid w:val="00405099"/>
    <w:rsid w:val="004130EB"/>
    <w:rsid w:val="004137E2"/>
    <w:rsid w:val="00415405"/>
    <w:rsid w:val="0041556E"/>
    <w:rsid w:val="0041688F"/>
    <w:rsid w:val="00417C12"/>
    <w:rsid w:val="00420080"/>
    <w:rsid w:val="004223C4"/>
    <w:rsid w:val="0042376F"/>
    <w:rsid w:val="00423812"/>
    <w:rsid w:val="004246B8"/>
    <w:rsid w:val="00424ECD"/>
    <w:rsid w:val="0042653B"/>
    <w:rsid w:val="00427C22"/>
    <w:rsid w:val="00427EA3"/>
    <w:rsid w:val="004301A0"/>
    <w:rsid w:val="00432591"/>
    <w:rsid w:val="00433318"/>
    <w:rsid w:val="00433B89"/>
    <w:rsid w:val="004352E0"/>
    <w:rsid w:val="004368CF"/>
    <w:rsid w:val="00436F12"/>
    <w:rsid w:val="004376B6"/>
    <w:rsid w:val="004410F1"/>
    <w:rsid w:val="004420A0"/>
    <w:rsid w:val="004425FF"/>
    <w:rsid w:val="004441C2"/>
    <w:rsid w:val="00452444"/>
    <w:rsid w:val="00453734"/>
    <w:rsid w:val="0045772F"/>
    <w:rsid w:val="004603BC"/>
    <w:rsid w:val="00461B2D"/>
    <w:rsid w:val="00461D02"/>
    <w:rsid w:val="0046298A"/>
    <w:rsid w:val="00463B6F"/>
    <w:rsid w:val="00463D39"/>
    <w:rsid w:val="00465783"/>
    <w:rsid w:val="00467272"/>
    <w:rsid w:val="004714E2"/>
    <w:rsid w:val="00471EC5"/>
    <w:rsid w:val="0047312C"/>
    <w:rsid w:val="00473F9A"/>
    <w:rsid w:val="0047641A"/>
    <w:rsid w:val="004771D7"/>
    <w:rsid w:val="00477C4E"/>
    <w:rsid w:val="00481EB2"/>
    <w:rsid w:val="00485A76"/>
    <w:rsid w:val="00490679"/>
    <w:rsid w:val="004910C3"/>
    <w:rsid w:val="00491A55"/>
    <w:rsid w:val="004943B6"/>
    <w:rsid w:val="00494F28"/>
    <w:rsid w:val="00495711"/>
    <w:rsid w:val="00496019"/>
    <w:rsid w:val="004974B9"/>
    <w:rsid w:val="0049795E"/>
    <w:rsid w:val="004A03D8"/>
    <w:rsid w:val="004A1047"/>
    <w:rsid w:val="004A1666"/>
    <w:rsid w:val="004A3C68"/>
    <w:rsid w:val="004B0CA0"/>
    <w:rsid w:val="004B0E21"/>
    <w:rsid w:val="004B27FC"/>
    <w:rsid w:val="004B3081"/>
    <w:rsid w:val="004B61D7"/>
    <w:rsid w:val="004B6755"/>
    <w:rsid w:val="004B6BF5"/>
    <w:rsid w:val="004B78C0"/>
    <w:rsid w:val="004B7EE5"/>
    <w:rsid w:val="004C174E"/>
    <w:rsid w:val="004C36A6"/>
    <w:rsid w:val="004C407C"/>
    <w:rsid w:val="004C419F"/>
    <w:rsid w:val="004C630A"/>
    <w:rsid w:val="004C631B"/>
    <w:rsid w:val="004C6F0A"/>
    <w:rsid w:val="004C7EBA"/>
    <w:rsid w:val="004D093F"/>
    <w:rsid w:val="004D124A"/>
    <w:rsid w:val="004D3374"/>
    <w:rsid w:val="004E28E5"/>
    <w:rsid w:val="004E3434"/>
    <w:rsid w:val="004E3EA1"/>
    <w:rsid w:val="004E78F0"/>
    <w:rsid w:val="004E7F77"/>
    <w:rsid w:val="004F0DF7"/>
    <w:rsid w:val="004F16FA"/>
    <w:rsid w:val="004F2D8C"/>
    <w:rsid w:val="004F2FBE"/>
    <w:rsid w:val="004F3E84"/>
    <w:rsid w:val="004F5176"/>
    <w:rsid w:val="00500C34"/>
    <w:rsid w:val="005027AE"/>
    <w:rsid w:val="00504FEF"/>
    <w:rsid w:val="0050770D"/>
    <w:rsid w:val="0051436E"/>
    <w:rsid w:val="005157C9"/>
    <w:rsid w:val="00515C7F"/>
    <w:rsid w:val="005213B2"/>
    <w:rsid w:val="0052228F"/>
    <w:rsid w:val="00522826"/>
    <w:rsid w:val="00522C08"/>
    <w:rsid w:val="0052340A"/>
    <w:rsid w:val="00523CDA"/>
    <w:rsid w:val="00524472"/>
    <w:rsid w:val="00526D84"/>
    <w:rsid w:val="005331F3"/>
    <w:rsid w:val="005348B6"/>
    <w:rsid w:val="005357DA"/>
    <w:rsid w:val="00535DFE"/>
    <w:rsid w:val="00537752"/>
    <w:rsid w:val="00537832"/>
    <w:rsid w:val="00537C75"/>
    <w:rsid w:val="0054187C"/>
    <w:rsid w:val="00543E43"/>
    <w:rsid w:val="00544375"/>
    <w:rsid w:val="0054640A"/>
    <w:rsid w:val="00547449"/>
    <w:rsid w:val="005501FF"/>
    <w:rsid w:val="005510AB"/>
    <w:rsid w:val="005513A1"/>
    <w:rsid w:val="00552A81"/>
    <w:rsid w:val="00553304"/>
    <w:rsid w:val="00554571"/>
    <w:rsid w:val="00557F4A"/>
    <w:rsid w:val="00562AD0"/>
    <w:rsid w:val="00562F42"/>
    <w:rsid w:val="0056766D"/>
    <w:rsid w:val="0057050A"/>
    <w:rsid w:val="00570535"/>
    <w:rsid w:val="005727DE"/>
    <w:rsid w:val="005769ED"/>
    <w:rsid w:val="0057751E"/>
    <w:rsid w:val="00577CCF"/>
    <w:rsid w:val="00577E74"/>
    <w:rsid w:val="005829D8"/>
    <w:rsid w:val="005832DB"/>
    <w:rsid w:val="00583EBE"/>
    <w:rsid w:val="00585284"/>
    <w:rsid w:val="00585417"/>
    <w:rsid w:val="0058575E"/>
    <w:rsid w:val="00586888"/>
    <w:rsid w:val="0058783C"/>
    <w:rsid w:val="005911AE"/>
    <w:rsid w:val="0059313A"/>
    <w:rsid w:val="0059376F"/>
    <w:rsid w:val="00593C7F"/>
    <w:rsid w:val="00594131"/>
    <w:rsid w:val="00596432"/>
    <w:rsid w:val="00596541"/>
    <w:rsid w:val="005A0514"/>
    <w:rsid w:val="005A20D9"/>
    <w:rsid w:val="005A2F65"/>
    <w:rsid w:val="005A57C7"/>
    <w:rsid w:val="005B023F"/>
    <w:rsid w:val="005B1127"/>
    <w:rsid w:val="005B1178"/>
    <w:rsid w:val="005B3117"/>
    <w:rsid w:val="005B55E8"/>
    <w:rsid w:val="005B5D4F"/>
    <w:rsid w:val="005B5E0A"/>
    <w:rsid w:val="005B64D7"/>
    <w:rsid w:val="005C055B"/>
    <w:rsid w:val="005C111E"/>
    <w:rsid w:val="005D13B3"/>
    <w:rsid w:val="005D2089"/>
    <w:rsid w:val="005D5770"/>
    <w:rsid w:val="005D684A"/>
    <w:rsid w:val="005D7514"/>
    <w:rsid w:val="005E018C"/>
    <w:rsid w:val="005E1A7B"/>
    <w:rsid w:val="005E3331"/>
    <w:rsid w:val="005F170A"/>
    <w:rsid w:val="005F2553"/>
    <w:rsid w:val="005F38C5"/>
    <w:rsid w:val="005F46B5"/>
    <w:rsid w:val="005F60FD"/>
    <w:rsid w:val="006031F3"/>
    <w:rsid w:val="0060559C"/>
    <w:rsid w:val="00605C70"/>
    <w:rsid w:val="00606403"/>
    <w:rsid w:val="006116DD"/>
    <w:rsid w:val="006127C9"/>
    <w:rsid w:val="00613D60"/>
    <w:rsid w:val="00615CAA"/>
    <w:rsid w:val="006227AF"/>
    <w:rsid w:val="00622B83"/>
    <w:rsid w:val="00626F4D"/>
    <w:rsid w:val="006277A1"/>
    <w:rsid w:val="00627E57"/>
    <w:rsid w:val="006303F6"/>
    <w:rsid w:val="006313C2"/>
    <w:rsid w:val="006317F6"/>
    <w:rsid w:val="00631957"/>
    <w:rsid w:val="0063331B"/>
    <w:rsid w:val="006351D9"/>
    <w:rsid w:val="00636CA9"/>
    <w:rsid w:val="0063706A"/>
    <w:rsid w:val="00637130"/>
    <w:rsid w:val="00637D6F"/>
    <w:rsid w:val="00637F0E"/>
    <w:rsid w:val="0064184E"/>
    <w:rsid w:val="006423F2"/>
    <w:rsid w:val="006430EA"/>
    <w:rsid w:val="00645350"/>
    <w:rsid w:val="0065114B"/>
    <w:rsid w:val="00651196"/>
    <w:rsid w:val="00652E24"/>
    <w:rsid w:val="006532E5"/>
    <w:rsid w:val="00654EB1"/>
    <w:rsid w:val="00655262"/>
    <w:rsid w:val="00656C1B"/>
    <w:rsid w:val="00657AC3"/>
    <w:rsid w:val="00662004"/>
    <w:rsid w:val="006627F2"/>
    <w:rsid w:val="00662F19"/>
    <w:rsid w:val="006648A3"/>
    <w:rsid w:val="00665BAA"/>
    <w:rsid w:val="00665FBD"/>
    <w:rsid w:val="0067077A"/>
    <w:rsid w:val="0067189D"/>
    <w:rsid w:val="0067325F"/>
    <w:rsid w:val="006737A6"/>
    <w:rsid w:val="00673E22"/>
    <w:rsid w:val="00674A3D"/>
    <w:rsid w:val="00677926"/>
    <w:rsid w:val="00683B15"/>
    <w:rsid w:val="006873F2"/>
    <w:rsid w:val="0069121A"/>
    <w:rsid w:val="00692CCD"/>
    <w:rsid w:val="00695E83"/>
    <w:rsid w:val="00697730"/>
    <w:rsid w:val="006A026B"/>
    <w:rsid w:val="006A19DF"/>
    <w:rsid w:val="006A1F0B"/>
    <w:rsid w:val="006A277A"/>
    <w:rsid w:val="006A35F4"/>
    <w:rsid w:val="006A582E"/>
    <w:rsid w:val="006A6B26"/>
    <w:rsid w:val="006A7037"/>
    <w:rsid w:val="006A76CA"/>
    <w:rsid w:val="006B3040"/>
    <w:rsid w:val="006B5EB6"/>
    <w:rsid w:val="006C3569"/>
    <w:rsid w:val="006C5AC3"/>
    <w:rsid w:val="006C67D6"/>
    <w:rsid w:val="006C76AD"/>
    <w:rsid w:val="006D0463"/>
    <w:rsid w:val="006D0917"/>
    <w:rsid w:val="006D308E"/>
    <w:rsid w:val="006D49B6"/>
    <w:rsid w:val="006D666A"/>
    <w:rsid w:val="006D6B44"/>
    <w:rsid w:val="006D6E1F"/>
    <w:rsid w:val="006D769C"/>
    <w:rsid w:val="006D7826"/>
    <w:rsid w:val="006E0FAA"/>
    <w:rsid w:val="006E4DF1"/>
    <w:rsid w:val="006E6671"/>
    <w:rsid w:val="006E67C5"/>
    <w:rsid w:val="006F230B"/>
    <w:rsid w:val="006F2A24"/>
    <w:rsid w:val="006F307F"/>
    <w:rsid w:val="006F519C"/>
    <w:rsid w:val="006F57B7"/>
    <w:rsid w:val="006F7A0F"/>
    <w:rsid w:val="00704157"/>
    <w:rsid w:val="007060E9"/>
    <w:rsid w:val="00706F59"/>
    <w:rsid w:val="007072A1"/>
    <w:rsid w:val="00710740"/>
    <w:rsid w:val="00710BC5"/>
    <w:rsid w:val="00711AFC"/>
    <w:rsid w:val="0071545A"/>
    <w:rsid w:val="00715694"/>
    <w:rsid w:val="007157EB"/>
    <w:rsid w:val="00715875"/>
    <w:rsid w:val="0072003B"/>
    <w:rsid w:val="007207DA"/>
    <w:rsid w:val="007209BE"/>
    <w:rsid w:val="00721E50"/>
    <w:rsid w:val="0072543C"/>
    <w:rsid w:val="00725D37"/>
    <w:rsid w:val="0073100C"/>
    <w:rsid w:val="00731846"/>
    <w:rsid w:val="00731F8B"/>
    <w:rsid w:val="00733BFB"/>
    <w:rsid w:val="00734AC1"/>
    <w:rsid w:val="0073541F"/>
    <w:rsid w:val="007357B9"/>
    <w:rsid w:val="00735B16"/>
    <w:rsid w:val="0073694F"/>
    <w:rsid w:val="00737EC1"/>
    <w:rsid w:val="0074130A"/>
    <w:rsid w:val="007452E8"/>
    <w:rsid w:val="00746990"/>
    <w:rsid w:val="00750D70"/>
    <w:rsid w:val="00751E8E"/>
    <w:rsid w:val="00752935"/>
    <w:rsid w:val="00754F95"/>
    <w:rsid w:val="00755A69"/>
    <w:rsid w:val="00756ADE"/>
    <w:rsid w:val="00761538"/>
    <w:rsid w:val="00761C9C"/>
    <w:rsid w:val="007621F5"/>
    <w:rsid w:val="00762CAA"/>
    <w:rsid w:val="00764377"/>
    <w:rsid w:val="007646F2"/>
    <w:rsid w:val="007658BB"/>
    <w:rsid w:val="00766AA8"/>
    <w:rsid w:val="007676FA"/>
    <w:rsid w:val="007702BE"/>
    <w:rsid w:val="00772396"/>
    <w:rsid w:val="00774208"/>
    <w:rsid w:val="00783024"/>
    <w:rsid w:val="007835C7"/>
    <w:rsid w:val="00784C67"/>
    <w:rsid w:val="00786AFC"/>
    <w:rsid w:val="0079045D"/>
    <w:rsid w:val="00793272"/>
    <w:rsid w:val="00796C67"/>
    <w:rsid w:val="00797945"/>
    <w:rsid w:val="007A0052"/>
    <w:rsid w:val="007A05BF"/>
    <w:rsid w:val="007A0753"/>
    <w:rsid w:val="007A0E6D"/>
    <w:rsid w:val="007A2F03"/>
    <w:rsid w:val="007A41D0"/>
    <w:rsid w:val="007A4C33"/>
    <w:rsid w:val="007B04DE"/>
    <w:rsid w:val="007B0740"/>
    <w:rsid w:val="007B0F39"/>
    <w:rsid w:val="007B1174"/>
    <w:rsid w:val="007B2909"/>
    <w:rsid w:val="007B3DE4"/>
    <w:rsid w:val="007B5936"/>
    <w:rsid w:val="007B690C"/>
    <w:rsid w:val="007C08F2"/>
    <w:rsid w:val="007C17A3"/>
    <w:rsid w:val="007C3ACF"/>
    <w:rsid w:val="007C3B9C"/>
    <w:rsid w:val="007C41BE"/>
    <w:rsid w:val="007C4B11"/>
    <w:rsid w:val="007C57BC"/>
    <w:rsid w:val="007C726A"/>
    <w:rsid w:val="007D0F6F"/>
    <w:rsid w:val="007D2CB5"/>
    <w:rsid w:val="007D3438"/>
    <w:rsid w:val="007D4138"/>
    <w:rsid w:val="007D4252"/>
    <w:rsid w:val="007D46AD"/>
    <w:rsid w:val="007D4A70"/>
    <w:rsid w:val="007D545C"/>
    <w:rsid w:val="007D7030"/>
    <w:rsid w:val="007D71E8"/>
    <w:rsid w:val="007E0286"/>
    <w:rsid w:val="007E1335"/>
    <w:rsid w:val="007E5AE5"/>
    <w:rsid w:val="007E6D6B"/>
    <w:rsid w:val="007E73D3"/>
    <w:rsid w:val="007E7EE1"/>
    <w:rsid w:val="007F0A77"/>
    <w:rsid w:val="007F1669"/>
    <w:rsid w:val="007F24AB"/>
    <w:rsid w:val="007F2D78"/>
    <w:rsid w:val="007F38AF"/>
    <w:rsid w:val="007F50D3"/>
    <w:rsid w:val="007F654D"/>
    <w:rsid w:val="00806FF3"/>
    <w:rsid w:val="00810CD7"/>
    <w:rsid w:val="00814304"/>
    <w:rsid w:val="00814B44"/>
    <w:rsid w:val="0081584E"/>
    <w:rsid w:val="00816654"/>
    <w:rsid w:val="00816BF5"/>
    <w:rsid w:val="00820ECB"/>
    <w:rsid w:val="00822EF3"/>
    <w:rsid w:val="00823B34"/>
    <w:rsid w:val="008251C2"/>
    <w:rsid w:val="008329DB"/>
    <w:rsid w:val="00835CF9"/>
    <w:rsid w:val="00835E7E"/>
    <w:rsid w:val="008361C5"/>
    <w:rsid w:val="0083628F"/>
    <w:rsid w:val="00837AB9"/>
    <w:rsid w:val="00841381"/>
    <w:rsid w:val="00843962"/>
    <w:rsid w:val="00847950"/>
    <w:rsid w:val="00850637"/>
    <w:rsid w:val="008509A6"/>
    <w:rsid w:val="00854D98"/>
    <w:rsid w:val="008551D5"/>
    <w:rsid w:val="00860B29"/>
    <w:rsid w:val="008613E7"/>
    <w:rsid w:val="00862523"/>
    <w:rsid w:val="00862C80"/>
    <w:rsid w:val="00870134"/>
    <w:rsid w:val="00870940"/>
    <w:rsid w:val="00871429"/>
    <w:rsid w:val="008721BE"/>
    <w:rsid w:val="00872C5B"/>
    <w:rsid w:val="00876DAF"/>
    <w:rsid w:val="00876DB6"/>
    <w:rsid w:val="008804CF"/>
    <w:rsid w:val="00881EE9"/>
    <w:rsid w:val="00882006"/>
    <w:rsid w:val="0088412A"/>
    <w:rsid w:val="00884D5B"/>
    <w:rsid w:val="00891A4A"/>
    <w:rsid w:val="00892C13"/>
    <w:rsid w:val="0089459E"/>
    <w:rsid w:val="008964B3"/>
    <w:rsid w:val="008A05B6"/>
    <w:rsid w:val="008A1D6D"/>
    <w:rsid w:val="008A27EF"/>
    <w:rsid w:val="008A3C1B"/>
    <w:rsid w:val="008A4DAE"/>
    <w:rsid w:val="008A511E"/>
    <w:rsid w:val="008B0471"/>
    <w:rsid w:val="008B09EA"/>
    <w:rsid w:val="008B0AEF"/>
    <w:rsid w:val="008B1E95"/>
    <w:rsid w:val="008B23C7"/>
    <w:rsid w:val="008B3E37"/>
    <w:rsid w:val="008B7E50"/>
    <w:rsid w:val="008C14D9"/>
    <w:rsid w:val="008C1B43"/>
    <w:rsid w:val="008C2722"/>
    <w:rsid w:val="008C3A04"/>
    <w:rsid w:val="008C4571"/>
    <w:rsid w:val="008C49C6"/>
    <w:rsid w:val="008C4E87"/>
    <w:rsid w:val="008C754C"/>
    <w:rsid w:val="008D0FB9"/>
    <w:rsid w:val="008D30BF"/>
    <w:rsid w:val="008D415E"/>
    <w:rsid w:val="008D49D0"/>
    <w:rsid w:val="008D52E5"/>
    <w:rsid w:val="008D6A54"/>
    <w:rsid w:val="008D712F"/>
    <w:rsid w:val="008D71F4"/>
    <w:rsid w:val="008E03C6"/>
    <w:rsid w:val="008E0AB5"/>
    <w:rsid w:val="008E1599"/>
    <w:rsid w:val="008E2449"/>
    <w:rsid w:val="008E53CC"/>
    <w:rsid w:val="008E6C17"/>
    <w:rsid w:val="008E6C77"/>
    <w:rsid w:val="008E6FF7"/>
    <w:rsid w:val="008F02A4"/>
    <w:rsid w:val="008F111D"/>
    <w:rsid w:val="008F4181"/>
    <w:rsid w:val="008F6978"/>
    <w:rsid w:val="009027C5"/>
    <w:rsid w:val="00902B4B"/>
    <w:rsid w:val="00904128"/>
    <w:rsid w:val="0090509B"/>
    <w:rsid w:val="009054C7"/>
    <w:rsid w:val="0090605E"/>
    <w:rsid w:val="009108CE"/>
    <w:rsid w:val="00911324"/>
    <w:rsid w:val="00911990"/>
    <w:rsid w:val="00912AF2"/>
    <w:rsid w:val="00914C45"/>
    <w:rsid w:val="00915A9F"/>
    <w:rsid w:val="009171A8"/>
    <w:rsid w:val="009174FC"/>
    <w:rsid w:val="00921E35"/>
    <w:rsid w:val="00924C4B"/>
    <w:rsid w:val="00926D86"/>
    <w:rsid w:val="009278D1"/>
    <w:rsid w:val="009307E2"/>
    <w:rsid w:val="00930D58"/>
    <w:rsid w:val="00933AE8"/>
    <w:rsid w:val="00934372"/>
    <w:rsid w:val="00937354"/>
    <w:rsid w:val="009379BE"/>
    <w:rsid w:val="00940433"/>
    <w:rsid w:val="00940BDD"/>
    <w:rsid w:val="009429C5"/>
    <w:rsid w:val="0094412C"/>
    <w:rsid w:val="0094715D"/>
    <w:rsid w:val="00950A5C"/>
    <w:rsid w:val="00954004"/>
    <w:rsid w:val="00954980"/>
    <w:rsid w:val="009568AD"/>
    <w:rsid w:val="009609E1"/>
    <w:rsid w:val="009619F2"/>
    <w:rsid w:val="00962C4D"/>
    <w:rsid w:val="00963163"/>
    <w:rsid w:val="00966EF1"/>
    <w:rsid w:val="00967B0D"/>
    <w:rsid w:val="009703D1"/>
    <w:rsid w:val="00972CCC"/>
    <w:rsid w:val="00973070"/>
    <w:rsid w:val="00976E26"/>
    <w:rsid w:val="00976EAA"/>
    <w:rsid w:val="00982C39"/>
    <w:rsid w:val="0098350E"/>
    <w:rsid w:val="0098366B"/>
    <w:rsid w:val="00984B76"/>
    <w:rsid w:val="00986AF3"/>
    <w:rsid w:val="00986D1D"/>
    <w:rsid w:val="00990576"/>
    <w:rsid w:val="00990602"/>
    <w:rsid w:val="009927AD"/>
    <w:rsid w:val="009941B0"/>
    <w:rsid w:val="00996FA5"/>
    <w:rsid w:val="009A117A"/>
    <w:rsid w:val="009A24DC"/>
    <w:rsid w:val="009A3C43"/>
    <w:rsid w:val="009A5696"/>
    <w:rsid w:val="009A5C10"/>
    <w:rsid w:val="009A7936"/>
    <w:rsid w:val="009B0FC6"/>
    <w:rsid w:val="009B212D"/>
    <w:rsid w:val="009B3E03"/>
    <w:rsid w:val="009B4256"/>
    <w:rsid w:val="009B54C4"/>
    <w:rsid w:val="009C041A"/>
    <w:rsid w:val="009C16BC"/>
    <w:rsid w:val="009C4E25"/>
    <w:rsid w:val="009C5535"/>
    <w:rsid w:val="009C6EB0"/>
    <w:rsid w:val="009D0BB8"/>
    <w:rsid w:val="009D4AEA"/>
    <w:rsid w:val="009D4CA4"/>
    <w:rsid w:val="009D6080"/>
    <w:rsid w:val="009D76EF"/>
    <w:rsid w:val="009E0E0B"/>
    <w:rsid w:val="009E1EA9"/>
    <w:rsid w:val="009E4075"/>
    <w:rsid w:val="009E5BF5"/>
    <w:rsid w:val="009E6F8C"/>
    <w:rsid w:val="009E72BA"/>
    <w:rsid w:val="009E7A36"/>
    <w:rsid w:val="009F53B4"/>
    <w:rsid w:val="009F5511"/>
    <w:rsid w:val="009F60AF"/>
    <w:rsid w:val="009F7576"/>
    <w:rsid w:val="009F7A07"/>
    <w:rsid w:val="00A007E4"/>
    <w:rsid w:val="00A0125D"/>
    <w:rsid w:val="00A01C56"/>
    <w:rsid w:val="00A02A54"/>
    <w:rsid w:val="00A03ACF"/>
    <w:rsid w:val="00A05FF3"/>
    <w:rsid w:val="00A11013"/>
    <w:rsid w:val="00A128BF"/>
    <w:rsid w:val="00A13E9F"/>
    <w:rsid w:val="00A15513"/>
    <w:rsid w:val="00A15619"/>
    <w:rsid w:val="00A16564"/>
    <w:rsid w:val="00A16681"/>
    <w:rsid w:val="00A200F0"/>
    <w:rsid w:val="00A22FD2"/>
    <w:rsid w:val="00A24F21"/>
    <w:rsid w:val="00A30506"/>
    <w:rsid w:val="00A3362F"/>
    <w:rsid w:val="00A358E7"/>
    <w:rsid w:val="00A36321"/>
    <w:rsid w:val="00A36AAD"/>
    <w:rsid w:val="00A378FF"/>
    <w:rsid w:val="00A41B81"/>
    <w:rsid w:val="00A43B4C"/>
    <w:rsid w:val="00A453DB"/>
    <w:rsid w:val="00A45B34"/>
    <w:rsid w:val="00A466D7"/>
    <w:rsid w:val="00A51A2D"/>
    <w:rsid w:val="00A57214"/>
    <w:rsid w:val="00A60227"/>
    <w:rsid w:val="00A60D6D"/>
    <w:rsid w:val="00A61645"/>
    <w:rsid w:val="00A63064"/>
    <w:rsid w:val="00A63D9B"/>
    <w:rsid w:val="00A64405"/>
    <w:rsid w:val="00A65E4F"/>
    <w:rsid w:val="00A675F0"/>
    <w:rsid w:val="00A72648"/>
    <w:rsid w:val="00A728CF"/>
    <w:rsid w:val="00A73D25"/>
    <w:rsid w:val="00A745D4"/>
    <w:rsid w:val="00A75A4C"/>
    <w:rsid w:val="00A8407C"/>
    <w:rsid w:val="00A84978"/>
    <w:rsid w:val="00A87151"/>
    <w:rsid w:val="00A93DC6"/>
    <w:rsid w:val="00A95030"/>
    <w:rsid w:val="00A96A6C"/>
    <w:rsid w:val="00A97EF3"/>
    <w:rsid w:val="00AA0B20"/>
    <w:rsid w:val="00AA14D8"/>
    <w:rsid w:val="00AA1635"/>
    <w:rsid w:val="00AA1DAF"/>
    <w:rsid w:val="00AA27B7"/>
    <w:rsid w:val="00AA4403"/>
    <w:rsid w:val="00AA4602"/>
    <w:rsid w:val="00AA677C"/>
    <w:rsid w:val="00AA7129"/>
    <w:rsid w:val="00AB28A4"/>
    <w:rsid w:val="00AB440E"/>
    <w:rsid w:val="00AB5F72"/>
    <w:rsid w:val="00AB6C65"/>
    <w:rsid w:val="00AB7CBF"/>
    <w:rsid w:val="00AC1BC0"/>
    <w:rsid w:val="00AC4DA2"/>
    <w:rsid w:val="00AC53A7"/>
    <w:rsid w:val="00AC5516"/>
    <w:rsid w:val="00AC663F"/>
    <w:rsid w:val="00AC6E88"/>
    <w:rsid w:val="00AC7651"/>
    <w:rsid w:val="00AD1739"/>
    <w:rsid w:val="00AD1E81"/>
    <w:rsid w:val="00AD4FEC"/>
    <w:rsid w:val="00AD6957"/>
    <w:rsid w:val="00AD6B2F"/>
    <w:rsid w:val="00AE17EF"/>
    <w:rsid w:val="00AE1947"/>
    <w:rsid w:val="00AE3077"/>
    <w:rsid w:val="00AE492C"/>
    <w:rsid w:val="00AE56A5"/>
    <w:rsid w:val="00AE6BBA"/>
    <w:rsid w:val="00AE6CF1"/>
    <w:rsid w:val="00AE79CA"/>
    <w:rsid w:val="00AF2146"/>
    <w:rsid w:val="00AF40EA"/>
    <w:rsid w:val="00AF49C6"/>
    <w:rsid w:val="00AF4B64"/>
    <w:rsid w:val="00AF4F63"/>
    <w:rsid w:val="00AF6E90"/>
    <w:rsid w:val="00AF7E11"/>
    <w:rsid w:val="00B0097F"/>
    <w:rsid w:val="00B00E1D"/>
    <w:rsid w:val="00B01C22"/>
    <w:rsid w:val="00B01EE2"/>
    <w:rsid w:val="00B03139"/>
    <w:rsid w:val="00B04423"/>
    <w:rsid w:val="00B05A29"/>
    <w:rsid w:val="00B13204"/>
    <w:rsid w:val="00B13BC4"/>
    <w:rsid w:val="00B14AF8"/>
    <w:rsid w:val="00B159D5"/>
    <w:rsid w:val="00B22517"/>
    <w:rsid w:val="00B22D35"/>
    <w:rsid w:val="00B25E5D"/>
    <w:rsid w:val="00B26E99"/>
    <w:rsid w:val="00B27586"/>
    <w:rsid w:val="00B27A2A"/>
    <w:rsid w:val="00B334D2"/>
    <w:rsid w:val="00B35805"/>
    <w:rsid w:val="00B36B06"/>
    <w:rsid w:val="00B40292"/>
    <w:rsid w:val="00B402E1"/>
    <w:rsid w:val="00B4171E"/>
    <w:rsid w:val="00B42C12"/>
    <w:rsid w:val="00B4333A"/>
    <w:rsid w:val="00B45C08"/>
    <w:rsid w:val="00B46BC0"/>
    <w:rsid w:val="00B47DB9"/>
    <w:rsid w:val="00B47F5D"/>
    <w:rsid w:val="00B503AC"/>
    <w:rsid w:val="00B51D7A"/>
    <w:rsid w:val="00B55681"/>
    <w:rsid w:val="00B57832"/>
    <w:rsid w:val="00B62D61"/>
    <w:rsid w:val="00B67F9D"/>
    <w:rsid w:val="00B70372"/>
    <w:rsid w:val="00B718B2"/>
    <w:rsid w:val="00B719EB"/>
    <w:rsid w:val="00B72E11"/>
    <w:rsid w:val="00B73C8D"/>
    <w:rsid w:val="00B7463A"/>
    <w:rsid w:val="00B7465E"/>
    <w:rsid w:val="00B75467"/>
    <w:rsid w:val="00B75D08"/>
    <w:rsid w:val="00B81516"/>
    <w:rsid w:val="00B8501B"/>
    <w:rsid w:val="00B86AF5"/>
    <w:rsid w:val="00B90C99"/>
    <w:rsid w:val="00B91EC1"/>
    <w:rsid w:val="00B9240E"/>
    <w:rsid w:val="00B967FF"/>
    <w:rsid w:val="00BA078A"/>
    <w:rsid w:val="00BA209A"/>
    <w:rsid w:val="00BA51BB"/>
    <w:rsid w:val="00BA637E"/>
    <w:rsid w:val="00BA6C30"/>
    <w:rsid w:val="00BA7F7D"/>
    <w:rsid w:val="00BB0922"/>
    <w:rsid w:val="00BB1C14"/>
    <w:rsid w:val="00BC07C1"/>
    <w:rsid w:val="00BC0AFA"/>
    <w:rsid w:val="00BC137A"/>
    <w:rsid w:val="00BC1538"/>
    <w:rsid w:val="00BC2FFB"/>
    <w:rsid w:val="00BC38F3"/>
    <w:rsid w:val="00BC40F2"/>
    <w:rsid w:val="00BC4529"/>
    <w:rsid w:val="00BC49DD"/>
    <w:rsid w:val="00BC75E5"/>
    <w:rsid w:val="00BD07DF"/>
    <w:rsid w:val="00BD11F7"/>
    <w:rsid w:val="00BD4986"/>
    <w:rsid w:val="00BD55D5"/>
    <w:rsid w:val="00BD59FA"/>
    <w:rsid w:val="00BD5DBD"/>
    <w:rsid w:val="00BD718B"/>
    <w:rsid w:val="00BE0034"/>
    <w:rsid w:val="00BE4964"/>
    <w:rsid w:val="00BF0D80"/>
    <w:rsid w:val="00BF1593"/>
    <w:rsid w:val="00BF4638"/>
    <w:rsid w:val="00BF59DE"/>
    <w:rsid w:val="00BF7308"/>
    <w:rsid w:val="00C01312"/>
    <w:rsid w:val="00C02D1D"/>
    <w:rsid w:val="00C03BD1"/>
    <w:rsid w:val="00C04092"/>
    <w:rsid w:val="00C041A5"/>
    <w:rsid w:val="00C052D7"/>
    <w:rsid w:val="00C06675"/>
    <w:rsid w:val="00C06AD1"/>
    <w:rsid w:val="00C07551"/>
    <w:rsid w:val="00C11D58"/>
    <w:rsid w:val="00C12978"/>
    <w:rsid w:val="00C1717B"/>
    <w:rsid w:val="00C17B52"/>
    <w:rsid w:val="00C22214"/>
    <w:rsid w:val="00C24B92"/>
    <w:rsid w:val="00C24F82"/>
    <w:rsid w:val="00C25020"/>
    <w:rsid w:val="00C25243"/>
    <w:rsid w:val="00C270C2"/>
    <w:rsid w:val="00C35DF3"/>
    <w:rsid w:val="00C35E78"/>
    <w:rsid w:val="00C37106"/>
    <w:rsid w:val="00C4030B"/>
    <w:rsid w:val="00C407AB"/>
    <w:rsid w:val="00C41260"/>
    <w:rsid w:val="00C41E91"/>
    <w:rsid w:val="00C442F5"/>
    <w:rsid w:val="00C453B1"/>
    <w:rsid w:val="00C46821"/>
    <w:rsid w:val="00C47C9C"/>
    <w:rsid w:val="00C500F4"/>
    <w:rsid w:val="00C52CEE"/>
    <w:rsid w:val="00C53499"/>
    <w:rsid w:val="00C540C9"/>
    <w:rsid w:val="00C548B6"/>
    <w:rsid w:val="00C570FF"/>
    <w:rsid w:val="00C60400"/>
    <w:rsid w:val="00C60A17"/>
    <w:rsid w:val="00C61D3A"/>
    <w:rsid w:val="00C63C74"/>
    <w:rsid w:val="00C64232"/>
    <w:rsid w:val="00C64464"/>
    <w:rsid w:val="00C6574E"/>
    <w:rsid w:val="00C7025A"/>
    <w:rsid w:val="00C70602"/>
    <w:rsid w:val="00C71CC5"/>
    <w:rsid w:val="00C73686"/>
    <w:rsid w:val="00C74358"/>
    <w:rsid w:val="00C75AB7"/>
    <w:rsid w:val="00C76FAB"/>
    <w:rsid w:val="00C80DE9"/>
    <w:rsid w:val="00C816C6"/>
    <w:rsid w:val="00C82D34"/>
    <w:rsid w:val="00C831E9"/>
    <w:rsid w:val="00C833A6"/>
    <w:rsid w:val="00C834FF"/>
    <w:rsid w:val="00C84F36"/>
    <w:rsid w:val="00C8583D"/>
    <w:rsid w:val="00C91EA2"/>
    <w:rsid w:val="00C93B72"/>
    <w:rsid w:val="00C96953"/>
    <w:rsid w:val="00C974ED"/>
    <w:rsid w:val="00CA1AD4"/>
    <w:rsid w:val="00CA24DC"/>
    <w:rsid w:val="00CA4BD3"/>
    <w:rsid w:val="00CA5C0B"/>
    <w:rsid w:val="00CB0459"/>
    <w:rsid w:val="00CB0550"/>
    <w:rsid w:val="00CB405C"/>
    <w:rsid w:val="00CB5072"/>
    <w:rsid w:val="00CC5831"/>
    <w:rsid w:val="00CC671F"/>
    <w:rsid w:val="00CC70E7"/>
    <w:rsid w:val="00CD5AF3"/>
    <w:rsid w:val="00CD7718"/>
    <w:rsid w:val="00CE2841"/>
    <w:rsid w:val="00CE3BB9"/>
    <w:rsid w:val="00CE491D"/>
    <w:rsid w:val="00CF0240"/>
    <w:rsid w:val="00CF0727"/>
    <w:rsid w:val="00CF333A"/>
    <w:rsid w:val="00CF5E03"/>
    <w:rsid w:val="00CF61BE"/>
    <w:rsid w:val="00CF6736"/>
    <w:rsid w:val="00CF76B2"/>
    <w:rsid w:val="00CF7AE3"/>
    <w:rsid w:val="00D003DE"/>
    <w:rsid w:val="00D01B6A"/>
    <w:rsid w:val="00D01DDB"/>
    <w:rsid w:val="00D02295"/>
    <w:rsid w:val="00D0616D"/>
    <w:rsid w:val="00D078BE"/>
    <w:rsid w:val="00D11E0C"/>
    <w:rsid w:val="00D13658"/>
    <w:rsid w:val="00D13F8A"/>
    <w:rsid w:val="00D1436A"/>
    <w:rsid w:val="00D1612D"/>
    <w:rsid w:val="00D17293"/>
    <w:rsid w:val="00D20321"/>
    <w:rsid w:val="00D21239"/>
    <w:rsid w:val="00D2282C"/>
    <w:rsid w:val="00D22C5E"/>
    <w:rsid w:val="00D27153"/>
    <w:rsid w:val="00D27394"/>
    <w:rsid w:val="00D27B06"/>
    <w:rsid w:val="00D3111E"/>
    <w:rsid w:val="00D32E55"/>
    <w:rsid w:val="00D33BED"/>
    <w:rsid w:val="00D342C6"/>
    <w:rsid w:val="00D3482E"/>
    <w:rsid w:val="00D41A22"/>
    <w:rsid w:val="00D41DDB"/>
    <w:rsid w:val="00D42F96"/>
    <w:rsid w:val="00D43489"/>
    <w:rsid w:val="00D43657"/>
    <w:rsid w:val="00D44381"/>
    <w:rsid w:val="00D44647"/>
    <w:rsid w:val="00D45918"/>
    <w:rsid w:val="00D50B0A"/>
    <w:rsid w:val="00D51A95"/>
    <w:rsid w:val="00D56755"/>
    <w:rsid w:val="00D57671"/>
    <w:rsid w:val="00D578E1"/>
    <w:rsid w:val="00D62877"/>
    <w:rsid w:val="00D63760"/>
    <w:rsid w:val="00D640EE"/>
    <w:rsid w:val="00D64A1A"/>
    <w:rsid w:val="00D6756B"/>
    <w:rsid w:val="00D67F32"/>
    <w:rsid w:val="00D71256"/>
    <w:rsid w:val="00D7335A"/>
    <w:rsid w:val="00D7641D"/>
    <w:rsid w:val="00D7683A"/>
    <w:rsid w:val="00D76EA7"/>
    <w:rsid w:val="00D80C91"/>
    <w:rsid w:val="00D822B2"/>
    <w:rsid w:val="00D83DB7"/>
    <w:rsid w:val="00D910F1"/>
    <w:rsid w:val="00D918D5"/>
    <w:rsid w:val="00D923F2"/>
    <w:rsid w:val="00D929F7"/>
    <w:rsid w:val="00D94344"/>
    <w:rsid w:val="00D94C8E"/>
    <w:rsid w:val="00DA0AA7"/>
    <w:rsid w:val="00DA134D"/>
    <w:rsid w:val="00DA2D51"/>
    <w:rsid w:val="00DA4C06"/>
    <w:rsid w:val="00DA714A"/>
    <w:rsid w:val="00DB174D"/>
    <w:rsid w:val="00DB192C"/>
    <w:rsid w:val="00DB1B8E"/>
    <w:rsid w:val="00DB1CF3"/>
    <w:rsid w:val="00DB2744"/>
    <w:rsid w:val="00DB6D25"/>
    <w:rsid w:val="00DB7A7A"/>
    <w:rsid w:val="00DC0447"/>
    <w:rsid w:val="00DC27CD"/>
    <w:rsid w:val="00DC3A7F"/>
    <w:rsid w:val="00DC5E49"/>
    <w:rsid w:val="00DD0933"/>
    <w:rsid w:val="00DD1896"/>
    <w:rsid w:val="00DD3942"/>
    <w:rsid w:val="00DD712C"/>
    <w:rsid w:val="00DD7997"/>
    <w:rsid w:val="00DE4220"/>
    <w:rsid w:val="00DE4287"/>
    <w:rsid w:val="00DF00AA"/>
    <w:rsid w:val="00DF2740"/>
    <w:rsid w:val="00DF2A22"/>
    <w:rsid w:val="00DF4EB5"/>
    <w:rsid w:val="00DF5BFE"/>
    <w:rsid w:val="00E000D9"/>
    <w:rsid w:val="00E02A88"/>
    <w:rsid w:val="00E06785"/>
    <w:rsid w:val="00E120F0"/>
    <w:rsid w:val="00E142AA"/>
    <w:rsid w:val="00E166B8"/>
    <w:rsid w:val="00E21C42"/>
    <w:rsid w:val="00E2529A"/>
    <w:rsid w:val="00E26199"/>
    <w:rsid w:val="00E314EB"/>
    <w:rsid w:val="00E322B3"/>
    <w:rsid w:val="00E3619A"/>
    <w:rsid w:val="00E3619F"/>
    <w:rsid w:val="00E41034"/>
    <w:rsid w:val="00E442F7"/>
    <w:rsid w:val="00E45D5B"/>
    <w:rsid w:val="00E47E0C"/>
    <w:rsid w:val="00E47E63"/>
    <w:rsid w:val="00E508C4"/>
    <w:rsid w:val="00E508FA"/>
    <w:rsid w:val="00E51813"/>
    <w:rsid w:val="00E52B04"/>
    <w:rsid w:val="00E53D3F"/>
    <w:rsid w:val="00E540AD"/>
    <w:rsid w:val="00E54E31"/>
    <w:rsid w:val="00E5579B"/>
    <w:rsid w:val="00E55BB2"/>
    <w:rsid w:val="00E5693C"/>
    <w:rsid w:val="00E56BF5"/>
    <w:rsid w:val="00E61333"/>
    <w:rsid w:val="00E638E7"/>
    <w:rsid w:val="00E656D4"/>
    <w:rsid w:val="00E65C65"/>
    <w:rsid w:val="00E66038"/>
    <w:rsid w:val="00E67F21"/>
    <w:rsid w:val="00E71B4C"/>
    <w:rsid w:val="00E72C57"/>
    <w:rsid w:val="00E72E83"/>
    <w:rsid w:val="00E74DDC"/>
    <w:rsid w:val="00E80660"/>
    <w:rsid w:val="00E80802"/>
    <w:rsid w:val="00E8191E"/>
    <w:rsid w:val="00E83E21"/>
    <w:rsid w:val="00E84B08"/>
    <w:rsid w:val="00E84D36"/>
    <w:rsid w:val="00E927A1"/>
    <w:rsid w:val="00E93490"/>
    <w:rsid w:val="00E93856"/>
    <w:rsid w:val="00E94B30"/>
    <w:rsid w:val="00E96F6F"/>
    <w:rsid w:val="00EA04AF"/>
    <w:rsid w:val="00EA251A"/>
    <w:rsid w:val="00EA2923"/>
    <w:rsid w:val="00EA2BB1"/>
    <w:rsid w:val="00EA50A4"/>
    <w:rsid w:val="00EA5B4A"/>
    <w:rsid w:val="00EA62D0"/>
    <w:rsid w:val="00EA68B1"/>
    <w:rsid w:val="00EA6DDA"/>
    <w:rsid w:val="00EB2185"/>
    <w:rsid w:val="00EB2EAD"/>
    <w:rsid w:val="00EB736A"/>
    <w:rsid w:val="00EC0AED"/>
    <w:rsid w:val="00EC156A"/>
    <w:rsid w:val="00EC29CB"/>
    <w:rsid w:val="00EC4565"/>
    <w:rsid w:val="00EC5B57"/>
    <w:rsid w:val="00EC6530"/>
    <w:rsid w:val="00EC6811"/>
    <w:rsid w:val="00EC7ABB"/>
    <w:rsid w:val="00ED0FFD"/>
    <w:rsid w:val="00ED1D49"/>
    <w:rsid w:val="00ED1DAA"/>
    <w:rsid w:val="00ED4C25"/>
    <w:rsid w:val="00ED60B8"/>
    <w:rsid w:val="00ED6251"/>
    <w:rsid w:val="00ED77C8"/>
    <w:rsid w:val="00EE1DED"/>
    <w:rsid w:val="00EE259A"/>
    <w:rsid w:val="00EE26B2"/>
    <w:rsid w:val="00EE31A9"/>
    <w:rsid w:val="00EE67BE"/>
    <w:rsid w:val="00EF0535"/>
    <w:rsid w:val="00EF0A02"/>
    <w:rsid w:val="00EF147A"/>
    <w:rsid w:val="00EF7107"/>
    <w:rsid w:val="00F01670"/>
    <w:rsid w:val="00F01674"/>
    <w:rsid w:val="00F02AEC"/>
    <w:rsid w:val="00F03DC9"/>
    <w:rsid w:val="00F06C73"/>
    <w:rsid w:val="00F13688"/>
    <w:rsid w:val="00F157FC"/>
    <w:rsid w:val="00F15FF8"/>
    <w:rsid w:val="00F21D17"/>
    <w:rsid w:val="00F21DFA"/>
    <w:rsid w:val="00F234E0"/>
    <w:rsid w:val="00F23D70"/>
    <w:rsid w:val="00F252B7"/>
    <w:rsid w:val="00F26838"/>
    <w:rsid w:val="00F30AF3"/>
    <w:rsid w:val="00F30DD1"/>
    <w:rsid w:val="00F353C9"/>
    <w:rsid w:val="00F3595E"/>
    <w:rsid w:val="00F36969"/>
    <w:rsid w:val="00F37654"/>
    <w:rsid w:val="00F407AC"/>
    <w:rsid w:val="00F40E82"/>
    <w:rsid w:val="00F428AE"/>
    <w:rsid w:val="00F42B75"/>
    <w:rsid w:val="00F434B1"/>
    <w:rsid w:val="00F44548"/>
    <w:rsid w:val="00F44852"/>
    <w:rsid w:val="00F452D9"/>
    <w:rsid w:val="00F46A0D"/>
    <w:rsid w:val="00F50003"/>
    <w:rsid w:val="00F531DE"/>
    <w:rsid w:val="00F558AB"/>
    <w:rsid w:val="00F569E2"/>
    <w:rsid w:val="00F63E07"/>
    <w:rsid w:val="00F64FD9"/>
    <w:rsid w:val="00F657B4"/>
    <w:rsid w:val="00F65C56"/>
    <w:rsid w:val="00F65C99"/>
    <w:rsid w:val="00F70A9D"/>
    <w:rsid w:val="00F70C4A"/>
    <w:rsid w:val="00F7359E"/>
    <w:rsid w:val="00F75EC8"/>
    <w:rsid w:val="00F75FE9"/>
    <w:rsid w:val="00F76AD1"/>
    <w:rsid w:val="00F771A9"/>
    <w:rsid w:val="00F7736C"/>
    <w:rsid w:val="00F77E0A"/>
    <w:rsid w:val="00F80601"/>
    <w:rsid w:val="00F810F5"/>
    <w:rsid w:val="00F83060"/>
    <w:rsid w:val="00F86203"/>
    <w:rsid w:val="00F865A7"/>
    <w:rsid w:val="00F866FA"/>
    <w:rsid w:val="00F86F4D"/>
    <w:rsid w:val="00F917AF"/>
    <w:rsid w:val="00F917BF"/>
    <w:rsid w:val="00F923FA"/>
    <w:rsid w:val="00F96280"/>
    <w:rsid w:val="00F973FB"/>
    <w:rsid w:val="00FA01BD"/>
    <w:rsid w:val="00FA0754"/>
    <w:rsid w:val="00FA1BC9"/>
    <w:rsid w:val="00FA302F"/>
    <w:rsid w:val="00FA3E22"/>
    <w:rsid w:val="00FA4914"/>
    <w:rsid w:val="00FA49C3"/>
    <w:rsid w:val="00FA5A03"/>
    <w:rsid w:val="00FB236E"/>
    <w:rsid w:val="00FB6ACE"/>
    <w:rsid w:val="00FB6BF3"/>
    <w:rsid w:val="00FC0E1C"/>
    <w:rsid w:val="00FC0F05"/>
    <w:rsid w:val="00FC5418"/>
    <w:rsid w:val="00FC6F56"/>
    <w:rsid w:val="00FD5282"/>
    <w:rsid w:val="00FD58A3"/>
    <w:rsid w:val="00FE087C"/>
    <w:rsid w:val="00FE0CA0"/>
    <w:rsid w:val="00FE4F56"/>
    <w:rsid w:val="00FE54A9"/>
    <w:rsid w:val="00FE6920"/>
    <w:rsid w:val="00FE6F5F"/>
    <w:rsid w:val="00FE6FDD"/>
    <w:rsid w:val="00FE7753"/>
    <w:rsid w:val="00FF0E1E"/>
    <w:rsid w:val="00FF321A"/>
    <w:rsid w:val="00FF5644"/>
    <w:rsid w:val="00FF56E9"/>
    <w:rsid w:val="00FF6EE3"/>
    <w:rsid w:val="106DACF2"/>
    <w:rsid w:val="1464EFE8"/>
    <w:rsid w:val="1CC3A3DD"/>
    <w:rsid w:val="2145666A"/>
    <w:rsid w:val="26148633"/>
    <w:rsid w:val="2649D5E2"/>
    <w:rsid w:val="2952B2BA"/>
    <w:rsid w:val="2AB30D49"/>
    <w:rsid w:val="2B25FDD9"/>
    <w:rsid w:val="307FF843"/>
    <w:rsid w:val="325FFFE2"/>
    <w:rsid w:val="33477594"/>
    <w:rsid w:val="40BA958C"/>
    <w:rsid w:val="522FBCBC"/>
    <w:rsid w:val="55389994"/>
    <w:rsid w:val="65947E96"/>
    <w:rsid w:val="65D43652"/>
    <w:rsid w:val="66337089"/>
    <w:rsid w:val="6B588A83"/>
    <w:rsid w:val="6F77A0F7"/>
    <w:rsid w:val="70341B02"/>
    <w:rsid w:val="723C1E58"/>
    <w:rsid w:val="7D3F44D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71545A"/>
    <w:pPr>
      <w:keepNext/>
      <w:keepLines/>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TableHeader">
    <w:name w:val="Table Header"/>
    <w:basedOn w:val="Normal"/>
    <w:rsid w:val="00023AA9"/>
    <w:pPr>
      <w:keepNext/>
      <w:keepLines/>
      <w:widowControl w:val="0"/>
      <w:spacing w:before="60" w:after="60" w:line="200" w:lineRule="exact"/>
      <w:jc w:val="center"/>
    </w:pPr>
    <w:rPr>
      <w:rFonts w:eastAsia="MS Mincho"/>
      <w:b/>
      <w:kern w:val="2"/>
      <w:sz w:val="19"/>
      <w:szCs w:val="19"/>
    </w:rPr>
  </w:style>
  <w:style w:type="paragraph" w:customStyle="1" w:styleId="Tabletextleft">
    <w:name w:val="Table text (left)"/>
    <w:basedOn w:val="Normal"/>
    <w:rsid w:val="00023AA9"/>
    <w:pPr>
      <w:spacing w:before="20" w:after="20" w:line="200" w:lineRule="atLeast"/>
      <w:ind w:left="57" w:right="57"/>
    </w:pPr>
    <w:rPr>
      <w:rFonts w:eastAsia="MS Mincho"/>
      <w:sz w:val="19"/>
      <w:szCs w:val="18"/>
      <w:lang w:val="en-GB"/>
    </w:rPr>
  </w:style>
  <w:style w:type="paragraph" w:customStyle="1" w:styleId="Bulletpoint">
    <w:name w:val="Bullet point"/>
    <w:basedOn w:val="Normal"/>
    <w:rsid w:val="002050AC"/>
    <w:pPr>
      <w:numPr>
        <w:numId w:val="8"/>
      </w:numPr>
      <w:tabs>
        <w:tab w:val="clear" w:pos="369"/>
        <w:tab w:val="left" w:pos="397"/>
        <w:tab w:val="num" w:pos="511"/>
      </w:tabs>
      <w:spacing w:after="180" w:line="252" w:lineRule="auto"/>
    </w:pPr>
    <w:rPr>
      <w:rFonts w:eastAsia="Times New Roman" w:cs="Times New Roman"/>
      <w:snapToGrid w:val="0"/>
      <w:kern w:val="16"/>
      <w:szCs w:val="24"/>
    </w:rPr>
  </w:style>
  <w:style w:type="paragraph" w:styleId="ListParagraph">
    <w:name w:val="List Paragraph"/>
    <w:basedOn w:val="Normal"/>
    <w:uiPriority w:val="34"/>
    <w:qFormat/>
    <w:rsid w:val="00293BE0"/>
    <w:pPr>
      <w:spacing w:before="120" w:line="240" w:lineRule="atLeast"/>
      <w:ind w:left="720"/>
      <w:contextualSpacing/>
    </w:pPr>
    <w:rPr>
      <w:rFonts w:eastAsia="Cambria" w:cs="Times New Roman"/>
      <w:szCs w:val="22"/>
    </w:rPr>
  </w:style>
  <w:style w:type="paragraph" w:customStyle="1" w:styleId="Tabletext0">
    <w:name w:val="Table text"/>
    <w:basedOn w:val="Normal"/>
    <w:link w:val="TabletextChar"/>
    <w:qFormat/>
    <w:rsid w:val="0072543C"/>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72543C"/>
    <w:rPr>
      <w:rFonts w:ascii="Cambria" w:eastAsia="Times New Roman" w:hAnsi="Cambria" w:cs="Times New Roman"/>
      <w:snapToGrid w:val="0"/>
      <w:kern w:val="16"/>
      <w:szCs w:val="24"/>
    </w:rPr>
  </w:style>
  <w:style w:type="paragraph" w:customStyle="1" w:styleId="Bulletlist">
    <w:name w:val="Bullet list"/>
    <w:basedOn w:val="Normal"/>
    <w:link w:val="BulletlistChar"/>
    <w:qFormat/>
    <w:rsid w:val="0072543C"/>
    <w:pPr>
      <w:numPr>
        <w:numId w:val="19"/>
      </w:numPr>
      <w:spacing w:after="180" w:line="252" w:lineRule="auto"/>
      <w:ind w:left="426" w:hanging="284"/>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72543C"/>
    <w:rPr>
      <w:rFonts w:ascii="Cambria" w:eastAsia="Times New Roman" w:hAnsi="Cambria" w:cs="Times New Roman"/>
      <w:snapToGrid w:val="0"/>
      <w:kern w:val="2"/>
      <w:sz w:val="23"/>
      <w:szCs w:val="22"/>
    </w:rPr>
  </w:style>
  <w:style w:type="paragraph" w:customStyle="1" w:styleId="Pharmacovigilanceplan">
    <w:name w:val="Pharmacovigilance plan"/>
    <w:basedOn w:val="Tabletext0"/>
    <w:link w:val="PharmacovigilanceplanChar"/>
    <w:qFormat/>
    <w:rsid w:val="0072543C"/>
    <w:pPr>
      <w:jc w:val="center"/>
    </w:pPr>
    <w:rPr>
      <w:b/>
    </w:rPr>
  </w:style>
  <w:style w:type="character" w:customStyle="1" w:styleId="PharmacovigilanceplanChar">
    <w:name w:val="Pharmacovigilance plan Char"/>
    <w:basedOn w:val="TabletextChar"/>
    <w:link w:val="Pharmacovigilanceplan"/>
    <w:rsid w:val="0072543C"/>
    <w:rPr>
      <w:rFonts w:ascii="Cambria" w:eastAsia="Times New Roman" w:hAnsi="Cambria" w:cs="Times New Roman"/>
      <w:b/>
      <w:snapToGrid w:val="0"/>
      <w:kern w:val="16"/>
      <w:szCs w:val="24"/>
    </w:rPr>
  </w:style>
  <w:style w:type="paragraph" w:customStyle="1" w:styleId="Default">
    <w:name w:val="Default"/>
    <w:rsid w:val="004C36A6"/>
    <w:pPr>
      <w:autoSpaceDE w:val="0"/>
      <w:autoSpaceDN w:val="0"/>
      <w:adjustRightInd w:val="0"/>
      <w:spacing w:after="0" w:line="240" w:lineRule="auto"/>
    </w:pPr>
    <w:rPr>
      <w:rFonts w:ascii="Cambria" w:hAnsi="Cambria" w:cs="Cambria"/>
      <w:color w:val="000000"/>
      <w:sz w:val="24"/>
      <w:szCs w:val="24"/>
    </w:rPr>
  </w:style>
  <w:style w:type="character" w:styleId="Mention">
    <w:name w:val="Mention"/>
    <w:basedOn w:val="DefaultParagraphFont"/>
    <w:uiPriority w:val="99"/>
    <w:unhideWhenUsed/>
    <w:rsid w:val="00055410"/>
    <w:rPr>
      <w:color w:val="2B579A"/>
      <w:shd w:val="clear" w:color="auto" w:fill="E1DFDD"/>
    </w:rPr>
  </w:style>
  <w:style w:type="paragraph" w:customStyle="1" w:styleId="pf0">
    <w:name w:val="pf0"/>
    <w:basedOn w:val="Normal"/>
    <w:rsid w:val="007B5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B5936"/>
    <w:rPr>
      <w:rFonts w:ascii="Segoe UI" w:hAnsi="Segoe UI" w:cs="Segoe UI" w:hint="default"/>
    </w:rPr>
  </w:style>
  <w:style w:type="paragraph" w:styleId="BodyText">
    <w:name w:val="Body Text"/>
    <w:basedOn w:val="Normal"/>
    <w:link w:val="BodyTextChar"/>
    <w:uiPriority w:val="1"/>
    <w:qFormat/>
    <w:rsid w:val="008D49D0"/>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8D49D0"/>
    <w:rPr>
      <w:rFonts w:ascii="Times New Roman" w:eastAsia="Times New Roman" w:hAnsi="Times New Roman" w:cs="Times New Roman"/>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60409044">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809544826">
      <w:bodyDiv w:val="1"/>
      <w:marLeft w:val="0"/>
      <w:marRight w:val="0"/>
      <w:marTop w:val="0"/>
      <w:marBottom w:val="0"/>
      <w:divBdr>
        <w:top w:val="none" w:sz="0" w:space="0" w:color="auto"/>
        <w:left w:val="none" w:sz="0" w:space="0" w:color="auto"/>
        <w:bottom w:val="none" w:sz="0" w:space="0" w:color="auto"/>
        <w:right w:val="none" w:sz="0" w:space="0" w:color="auto"/>
      </w:divBdr>
    </w:div>
    <w:div w:id="2136025372">
      <w:bodyDiv w:val="1"/>
      <w:marLeft w:val="0"/>
      <w:marRight w:val="0"/>
      <w:marTop w:val="0"/>
      <w:marBottom w:val="0"/>
      <w:divBdr>
        <w:top w:val="none" w:sz="0" w:space="0" w:color="auto"/>
        <w:left w:val="none" w:sz="0" w:space="0" w:color="auto"/>
        <w:bottom w:val="none" w:sz="0" w:space="0" w:color="auto"/>
        <w:right w:val="none" w:sz="0" w:space="0" w:color="auto"/>
      </w:divBdr>
    </w:div>
    <w:div w:id="213818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form/certified-product-details-cpd-biological-prescription-medicines" TargetMode="External"/><Relationship Id="rId39" Type="http://schemas.openxmlformats.org/officeDocument/2006/relationships/image" Target="media/image16.emf"/><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hyperlink" Target="https://www.tga.gov.au/picmi-search-facilit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6.emf"/><Relationship Id="rId41" Type="http://schemas.openxmlformats.org/officeDocument/2006/relationships/image" Target="media/image18.emf"/><Relationship Id="rId54" Type="http://schemas.openxmlformats.org/officeDocument/2006/relationships/hyperlink" Target="https://www.tga.gov.au/resources/resource/guidance/guidance-7-certified-product-detail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rovisional-approval-pathway-prescription-medicines" TargetMode="External"/><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hyperlink" Target="https://www.tga.gov.au/form/certified-product-details-cpd-biological-prescription-medicines" TargetMode="External"/><Relationship Id="rId58" Type="http://schemas.openxmlformats.org/officeDocument/2006/relationships/hyperlink" Target="mailto:info@tga.gov.au" TargetMode="Externa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icmi-search-facility" TargetMode="External"/><Relationship Id="rId28" Type="http://schemas.openxmlformats.org/officeDocument/2006/relationships/image" Target="media/image5.emf"/><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footer" Target="footer3.xm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publication/orphan-drug-designation" TargetMode="Externa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hyperlink" Target="https://www.tga.gov.au/committee/advisory-committee-medicines-acm"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consumer-medicines-information-cmi" TargetMode="External"/><Relationship Id="rId27" Type="http://schemas.openxmlformats.org/officeDocument/2006/relationships/hyperlink" Target="https://www.tga.gov.au/guidance-7-certified-product-details" TargetMode="External"/><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4.emf"/><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4111cc-275b-4763-97aa-326c4f3fda3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29F67E44925D479C19998B16B4251C" ma:contentTypeVersion="16" ma:contentTypeDescription="Create a new document." ma:contentTypeScope="" ma:versionID="8b5e60e3494f2897da5efe2af2c2fa7a">
  <xsd:schema xmlns:xsd="http://www.w3.org/2001/XMLSchema" xmlns:xs="http://www.w3.org/2001/XMLSchema" xmlns:p="http://schemas.microsoft.com/office/2006/metadata/properties" xmlns:ns2="cb4111cc-275b-4763-97aa-326c4f3fda3c" xmlns:ns3="5d724ea1-5731-4a5e-856a-cd4b14f0ee46" targetNamespace="http://schemas.microsoft.com/office/2006/metadata/properties" ma:root="true" ma:fieldsID="57a21c00264b32bbb0d948099cfceec1" ns2:_="" ns3:_="">
    <xsd:import namespace="cb4111cc-275b-4763-97aa-326c4f3fda3c"/>
    <xsd:import namespace="5d724ea1-5731-4a5e-856a-cd4b14f0ee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lcf76f155ced4ddcb4097134ff3c332f"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111cc-275b-4763-97aa-326c4f3fd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6d0bb-dda8-4948-aa7c-0c6a2ad61c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24ea1-5731-4a5e-856a-cd4b14f0ee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0FBED451-6892-45C0-BBE6-54BA3D94B922}">
  <ds:schemaRefs>
    <ds:schemaRef ds:uri="http://schemas.microsoft.com/office/2006/metadata/properties"/>
    <ds:schemaRef ds:uri="http://schemas.microsoft.com/office/infopath/2007/PartnerControls"/>
    <ds:schemaRef ds:uri="cb4111cc-275b-4763-97aa-326c4f3fda3c"/>
  </ds:schemaRefs>
</ds:datastoreItem>
</file>

<file path=customXml/itemProps3.xml><?xml version="1.0" encoding="utf-8"?>
<ds:datastoreItem xmlns:ds="http://schemas.openxmlformats.org/officeDocument/2006/customXml" ds:itemID="{5538FE71-3A5F-4287-B4F9-BA8E681CFF26}">
  <ds:schemaRefs>
    <ds:schemaRef ds:uri="http://schemas.microsoft.com/sharepoint/v3/contenttype/forms"/>
  </ds:schemaRefs>
</ds:datastoreItem>
</file>

<file path=customXml/itemProps4.xml><?xml version="1.0" encoding="utf-8"?>
<ds:datastoreItem xmlns:ds="http://schemas.openxmlformats.org/officeDocument/2006/customXml" ds:itemID="{4C0E40C6-43AC-4345-A6AC-396210A47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4111cc-275b-4763-97aa-326c4f3fda3c"/>
    <ds:schemaRef ds:uri="5d724ea1-5731-4a5e-856a-cd4b14f0e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14009</Words>
  <Characters>79433</Characters>
  <Application>Microsoft Office Word</Application>
  <DocSecurity>0</DocSecurity>
  <Lines>1823</Lines>
  <Paragraphs>808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92790</CharactersWithSpaces>
  <SharedDoc>false</SharedDoc>
  <HLinks>
    <vt:vector size="426" baseType="variant">
      <vt:variant>
        <vt:i4>3473445</vt:i4>
      </vt:variant>
      <vt:variant>
        <vt:i4>474</vt:i4>
      </vt:variant>
      <vt:variant>
        <vt:i4>0</vt:i4>
      </vt:variant>
      <vt:variant>
        <vt:i4>5</vt:i4>
      </vt:variant>
      <vt:variant>
        <vt:lpwstr>https://www.tga.gov.au/</vt:lpwstr>
      </vt:variant>
      <vt:variant>
        <vt:lpwstr/>
      </vt:variant>
      <vt:variant>
        <vt:i4>5242926</vt:i4>
      </vt:variant>
      <vt:variant>
        <vt:i4>471</vt:i4>
      </vt:variant>
      <vt:variant>
        <vt:i4>0</vt:i4>
      </vt:variant>
      <vt:variant>
        <vt:i4>5</vt:i4>
      </vt:variant>
      <vt:variant>
        <vt:lpwstr>mailto:info@tga.gov.au</vt:lpwstr>
      </vt:variant>
      <vt:variant>
        <vt:lpwstr/>
      </vt:variant>
      <vt:variant>
        <vt:i4>720961</vt:i4>
      </vt:variant>
      <vt:variant>
        <vt:i4>468</vt:i4>
      </vt:variant>
      <vt:variant>
        <vt:i4>0</vt:i4>
      </vt:variant>
      <vt:variant>
        <vt:i4>5</vt:i4>
      </vt:variant>
      <vt:variant>
        <vt:lpwstr>https://www.tga.gov.au/picmi-search-facility</vt:lpwstr>
      </vt:variant>
      <vt:variant>
        <vt:lpwstr/>
      </vt:variant>
      <vt:variant>
        <vt:i4>7340089</vt:i4>
      </vt:variant>
      <vt:variant>
        <vt:i4>465</vt:i4>
      </vt:variant>
      <vt:variant>
        <vt:i4>0</vt:i4>
      </vt:variant>
      <vt:variant>
        <vt:i4>5</vt:i4>
      </vt:variant>
      <vt:variant>
        <vt:lpwstr>https://www.tga.gov.au/resources/resource/guidance/guidance-7-certified-product-details</vt:lpwstr>
      </vt:variant>
      <vt:variant>
        <vt:lpwstr/>
      </vt:variant>
      <vt:variant>
        <vt:i4>3473449</vt:i4>
      </vt:variant>
      <vt:variant>
        <vt:i4>462</vt:i4>
      </vt:variant>
      <vt:variant>
        <vt:i4>0</vt:i4>
      </vt:variant>
      <vt:variant>
        <vt:i4>5</vt:i4>
      </vt:variant>
      <vt:variant>
        <vt:lpwstr>https://www.tga.gov.au/form/certified-product-details-cpd-biological-prescription-medicines</vt:lpwstr>
      </vt:variant>
      <vt:variant>
        <vt:lpwstr/>
      </vt:variant>
      <vt:variant>
        <vt:i4>524365</vt:i4>
      </vt:variant>
      <vt:variant>
        <vt:i4>459</vt:i4>
      </vt:variant>
      <vt:variant>
        <vt:i4>0</vt:i4>
      </vt:variant>
      <vt:variant>
        <vt:i4>5</vt:i4>
      </vt:variant>
      <vt:variant>
        <vt:lpwstr>https://www.tga.gov.au/committee/advisory-committee-medicines-acm</vt:lpwstr>
      </vt:variant>
      <vt:variant>
        <vt:lpwstr/>
      </vt:variant>
      <vt:variant>
        <vt:i4>3538997</vt:i4>
      </vt:variant>
      <vt:variant>
        <vt:i4>294</vt:i4>
      </vt:variant>
      <vt:variant>
        <vt:i4>0</vt:i4>
      </vt:variant>
      <vt:variant>
        <vt:i4>5</vt:i4>
      </vt:variant>
      <vt:variant>
        <vt:lpwstr>https://www.tga.gov.au/guidance-7-certified-product-details</vt:lpwstr>
      </vt:variant>
      <vt:variant>
        <vt:lpwstr/>
      </vt:variant>
      <vt:variant>
        <vt:i4>3473449</vt:i4>
      </vt:variant>
      <vt:variant>
        <vt:i4>291</vt:i4>
      </vt:variant>
      <vt:variant>
        <vt:i4>0</vt:i4>
      </vt:variant>
      <vt:variant>
        <vt:i4>5</vt:i4>
      </vt:variant>
      <vt:variant>
        <vt:lpwstr>https://www.tga.gov.au/form/certified-product-details-cpd-biological-prescription-medicines</vt:lpwstr>
      </vt:variant>
      <vt:variant>
        <vt:lpwstr/>
      </vt:variant>
      <vt:variant>
        <vt:i4>2883685</vt:i4>
      </vt:variant>
      <vt:variant>
        <vt:i4>273</vt:i4>
      </vt:variant>
      <vt:variant>
        <vt:i4>0</vt:i4>
      </vt:variant>
      <vt:variant>
        <vt:i4>5</vt:i4>
      </vt:variant>
      <vt:variant>
        <vt:lpwstr>https://www.tga.gov.au/provisional-approval-pathway-prescription-medicines</vt:lpwstr>
      </vt:variant>
      <vt:variant>
        <vt:lpwstr/>
      </vt:variant>
      <vt:variant>
        <vt:i4>720961</vt:i4>
      </vt:variant>
      <vt:variant>
        <vt:i4>270</vt:i4>
      </vt:variant>
      <vt:variant>
        <vt:i4>0</vt:i4>
      </vt:variant>
      <vt:variant>
        <vt:i4>5</vt:i4>
      </vt:variant>
      <vt:variant>
        <vt:lpwstr>https://www.tga.gov.au/picmi-search-facility</vt:lpwstr>
      </vt:variant>
      <vt:variant>
        <vt:lpwstr/>
      </vt:variant>
      <vt:variant>
        <vt:i4>983049</vt:i4>
      </vt:variant>
      <vt:variant>
        <vt:i4>267</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264</vt:i4>
      </vt:variant>
      <vt:variant>
        <vt:i4>0</vt:i4>
      </vt:variant>
      <vt:variant>
        <vt:i4>5</vt:i4>
      </vt:variant>
      <vt:variant>
        <vt:lpwstr>https://www.tga.gov.au/products/australian-register-therapeutic-goods-artg/product-information-one</vt:lpwstr>
      </vt:variant>
      <vt:variant>
        <vt:lpwstr/>
      </vt:variant>
      <vt:variant>
        <vt:i4>2752617</vt:i4>
      </vt:variant>
      <vt:variant>
        <vt:i4>261</vt:i4>
      </vt:variant>
      <vt:variant>
        <vt:i4>0</vt:i4>
      </vt:variant>
      <vt:variant>
        <vt:i4>5</vt:i4>
      </vt:variant>
      <vt:variant>
        <vt:lpwstr>https://www.tga.gov.au/products/australian-register-therapeutic-goods-artg/product-information-one</vt:lpwstr>
      </vt:variant>
      <vt:variant>
        <vt:lpwstr/>
      </vt:variant>
      <vt:variant>
        <vt:i4>7864437</vt:i4>
      </vt:variant>
      <vt:variant>
        <vt:i4>255</vt:i4>
      </vt:variant>
      <vt:variant>
        <vt:i4>0</vt:i4>
      </vt:variant>
      <vt:variant>
        <vt:i4>5</vt:i4>
      </vt:variant>
      <vt:variant>
        <vt:lpwstr>https://www.tga.gov.au/publication/orphan-drug-designation</vt:lpwstr>
      </vt:variant>
      <vt:variant>
        <vt:lpwstr/>
      </vt:variant>
      <vt:variant>
        <vt:i4>786511</vt:i4>
      </vt:variant>
      <vt:variant>
        <vt:i4>252</vt:i4>
      </vt:variant>
      <vt:variant>
        <vt:i4>0</vt:i4>
      </vt:variant>
      <vt:variant>
        <vt:i4>5</vt:i4>
      </vt:variant>
      <vt:variant>
        <vt:lpwstr>https://www.tga.gov.au/black-triangle-scheme</vt:lpwstr>
      </vt:variant>
      <vt:variant>
        <vt:lpwstr/>
      </vt:variant>
      <vt:variant>
        <vt:i4>1048638</vt:i4>
      </vt:variant>
      <vt:variant>
        <vt:i4>245</vt:i4>
      </vt:variant>
      <vt:variant>
        <vt:i4>0</vt:i4>
      </vt:variant>
      <vt:variant>
        <vt:i4>5</vt:i4>
      </vt:variant>
      <vt:variant>
        <vt:lpwstr/>
      </vt:variant>
      <vt:variant>
        <vt:lpwstr>_Toc149047242</vt:lpwstr>
      </vt:variant>
      <vt:variant>
        <vt:i4>1048638</vt:i4>
      </vt:variant>
      <vt:variant>
        <vt:i4>239</vt:i4>
      </vt:variant>
      <vt:variant>
        <vt:i4>0</vt:i4>
      </vt:variant>
      <vt:variant>
        <vt:i4>5</vt:i4>
      </vt:variant>
      <vt:variant>
        <vt:lpwstr/>
      </vt:variant>
      <vt:variant>
        <vt:lpwstr>_Toc149047241</vt:lpwstr>
      </vt:variant>
      <vt:variant>
        <vt:i4>1048638</vt:i4>
      </vt:variant>
      <vt:variant>
        <vt:i4>233</vt:i4>
      </vt:variant>
      <vt:variant>
        <vt:i4>0</vt:i4>
      </vt:variant>
      <vt:variant>
        <vt:i4>5</vt:i4>
      </vt:variant>
      <vt:variant>
        <vt:lpwstr/>
      </vt:variant>
      <vt:variant>
        <vt:lpwstr>_Toc149047240</vt:lpwstr>
      </vt:variant>
      <vt:variant>
        <vt:i4>1507390</vt:i4>
      </vt:variant>
      <vt:variant>
        <vt:i4>227</vt:i4>
      </vt:variant>
      <vt:variant>
        <vt:i4>0</vt:i4>
      </vt:variant>
      <vt:variant>
        <vt:i4>5</vt:i4>
      </vt:variant>
      <vt:variant>
        <vt:lpwstr/>
      </vt:variant>
      <vt:variant>
        <vt:lpwstr>_Toc149047239</vt:lpwstr>
      </vt:variant>
      <vt:variant>
        <vt:i4>1507390</vt:i4>
      </vt:variant>
      <vt:variant>
        <vt:i4>221</vt:i4>
      </vt:variant>
      <vt:variant>
        <vt:i4>0</vt:i4>
      </vt:variant>
      <vt:variant>
        <vt:i4>5</vt:i4>
      </vt:variant>
      <vt:variant>
        <vt:lpwstr/>
      </vt:variant>
      <vt:variant>
        <vt:lpwstr>_Toc149047238</vt:lpwstr>
      </vt:variant>
      <vt:variant>
        <vt:i4>1507390</vt:i4>
      </vt:variant>
      <vt:variant>
        <vt:i4>215</vt:i4>
      </vt:variant>
      <vt:variant>
        <vt:i4>0</vt:i4>
      </vt:variant>
      <vt:variant>
        <vt:i4>5</vt:i4>
      </vt:variant>
      <vt:variant>
        <vt:lpwstr/>
      </vt:variant>
      <vt:variant>
        <vt:lpwstr>_Toc149047237</vt:lpwstr>
      </vt:variant>
      <vt:variant>
        <vt:i4>1507390</vt:i4>
      </vt:variant>
      <vt:variant>
        <vt:i4>209</vt:i4>
      </vt:variant>
      <vt:variant>
        <vt:i4>0</vt:i4>
      </vt:variant>
      <vt:variant>
        <vt:i4>5</vt:i4>
      </vt:variant>
      <vt:variant>
        <vt:lpwstr/>
      </vt:variant>
      <vt:variant>
        <vt:lpwstr>_Toc149047236</vt:lpwstr>
      </vt:variant>
      <vt:variant>
        <vt:i4>1507390</vt:i4>
      </vt:variant>
      <vt:variant>
        <vt:i4>203</vt:i4>
      </vt:variant>
      <vt:variant>
        <vt:i4>0</vt:i4>
      </vt:variant>
      <vt:variant>
        <vt:i4>5</vt:i4>
      </vt:variant>
      <vt:variant>
        <vt:lpwstr/>
      </vt:variant>
      <vt:variant>
        <vt:lpwstr>_Toc149047235</vt:lpwstr>
      </vt:variant>
      <vt:variant>
        <vt:i4>1507390</vt:i4>
      </vt:variant>
      <vt:variant>
        <vt:i4>197</vt:i4>
      </vt:variant>
      <vt:variant>
        <vt:i4>0</vt:i4>
      </vt:variant>
      <vt:variant>
        <vt:i4>5</vt:i4>
      </vt:variant>
      <vt:variant>
        <vt:lpwstr/>
      </vt:variant>
      <vt:variant>
        <vt:lpwstr>_Toc149047234</vt:lpwstr>
      </vt:variant>
      <vt:variant>
        <vt:i4>1507390</vt:i4>
      </vt:variant>
      <vt:variant>
        <vt:i4>191</vt:i4>
      </vt:variant>
      <vt:variant>
        <vt:i4>0</vt:i4>
      </vt:variant>
      <vt:variant>
        <vt:i4>5</vt:i4>
      </vt:variant>
      <vt:variant>
        <vt:lpwstr/>
      </vt:variant>
      <vt:variant>
        <vt:lpwstr>_Toc149047233</vt:lpwstr>
      </vt:variant>
      <vt:variant>
        <vt:i4>1507390</vt:i4>
      </vt:variant>
      <vt:variant>
        <vt:i4>185</vt:i4>
      </vt:variant>
      <vt:variant>
        <vt:i4>0</vt:i4>
      </vt:variant>
      <vt:variant>
        <vt:i4>5</vt:i4>
      </vt:variant>
      <vt:variant>
        <vt:lpwstr/>
      </vt:variant>
      <vt:variant>
        <vt:lpwstr>_Toc149047232</vt:lpwstr>
      </vt:variant>
      <vt:variant>
        <vt:i4>1507390</vt:i4>
      </vt:variant>
      <vt:variant>
        <vt:i4>179</vt:i4>
      </vt:variant>
      <vt:variant>
        <vt:i4>0</vt:i4>
      </vt:variant>
      <vt:variant>
        <vt:i4>5</vt:i4>
      </vt:variant>
      <vt:variant>
        <vt:lpwstr/>
      </vt:variant>
      <vt:variant>
        <vt:lpwstr>_Toc149047231</vt:lpwstr>
      </vt:variant>
      <vt:variant>
        <vt:i4>1507390</vt:i4>
      </vt:variant>
      <vt:variant>
        <vt:i4>173</vt:i4>
      </vt:variant>
      <vt:variant>
        <vt:i4>0</vt:i4>
      </vt:variant>
      <vt:variant>
        <vt:i4>5</vt:i4>
      </vt:variant>
      <vt:variant>
        <vt:lpwstr/>
      </vt:variant>
      <vt:variant>
        <vt:lpwstr>_Toc149047230</vt:lpwstr>
      </vt:variant>
      <vt:variant>
        <vt:i4>1441854</vt:i4>
      </vt:variant>
      <vt:variant>
        <vt:i4>167</vt:i4>
      </vt:variant>
      <vt:variant>
        <vt:i4>0</vt:i4>
      </vt:variant>
      <vt:variant>
        <vt:i4>5</vt:i4>
      </vt:variant>
      <vt:variant>
        <vt:lpwstr/>
      </vt:variant>
      <vt:variant>
        <vt:lpwstr>_Toc149047229</vt:lpwstr>
      </vt:variant>
      <vt:variant>
        <vt:i4>1441854</vt:i4>
      </vt:variant>
      <vt:variant>
        <vt:i4>161</vt:i4>
      </vt:variant>
      <vt:variant>
        <vt:i4>0</vt:i4>
      </vt:variant>
      <vt:variant>
        <vt:i4>5</vt:i4>
      </vt:variant>
      <vt:variant>
        <vt:lpwstr/>
      </vt:variant>
      <vt:variant>
        <vt:lpwstr>_Toc149047228</vt:lpwstr>
      </vt:variant>
      <vt:variant>
        <vt:i4>1441854</vt:i4>
      </vt:variant>
      <vt:variant>
        <vt:i4>155</vt:i4>
      </vt:variant>
      <vt:variant>
        <vt:i4>0</vt:i4>
      </vt:variant>
      <vt:variant>
        <vt:i4>5</vt:i4>
      </vt:variant>
      <vt:variant>
        <vt:lpwstr/>
      </vt:variant>
      <vt:variant>
        <vt:lpwstr>_Toc149047227</vt:lpwstr>
      </vt:variant>
      <vt:variant>
        <vt:i4>1441854</vt:i4>
      </vt:variant>
      <vt:variant>
        <vt:i4>149</vt:i4>
      </vt:variant>
      <vt:variant>
        <vt:i4>0</vt:i4>
      </vt:variant>
      <vt:variant>
        <vt:i4>5</vt:i4>
      </vt:variant>
      <vt:variant>
        <vt:lpwstr/>
      </vt:variant>
      <vt:variant>
        <vt:lpwstr>_Toc149047226</vt:lpwstr>
      </vt:variant>
      <vt:variant>
        <vt:i4>1441854</vt:i4>
      </vt:variant>
      <vt:variant>
        <vt:i4>143</vt:i4>
      </vt:variant>
      <vt:variant>
        <vt:i4>0</vt:i4>
      </vt:variant>
      <vt:variant>
        <vt:i4>5</vt:i4>
      </vt:variant>
      <vt:variant>
        <vt:lpwstr/>
      </vt:variant>
      <vt:variant>
        <vt:lpwstr>_Toc149047225</vt:lpwstr>
      </vt:variant>
      <vt:variant>
        <vt:i4>1441854</vt:i4>
      </vt:variant>
      <vt:variant>
        <vt:i4>137</vt:i4>
      </vt:variant>
      <vt:variant>
        <vt:i4>0</vt:i4>
      </vt:variant>
      <vt:variant>
        <vt:i4>5</vt:i4>
      </vt:variant>
      <vt:variant>
        <vt:lpwstr/>
      </vt:variant>
      <vt:variant>
        <vt:lpwstr>_Toc149047224</vt:lpwstr>
      </vt:variant>
      <vt:variant>
        <vt:i4>1441854</vt:i4>
      </vt:variant>
      <vt:variant>
        <vt:i4>131</vt:i4>
      </vt:variant>
      <vt:variant>
        <vt:i4>0</vt:i4>
      </vt:variant>
      <vt:variant>
        <vt:i4>5</vt:i4>
      </vt:variant>
      <vt:variant>
        <vt:lpwstr/>
      </vt:variant>
      <vt:variant>
        <vt:lpwstr>_Toc149047223</vt:lpwstr>
      </vt:variant>
      <vt:variant>
        <vt:i4>1441854</vt:i4>
      </vt:variant>
      <vt:variant>
        <vt:i4>125</vt:i4>
      </vt:variant>
      <vt:variant>
        <vt:i4>0</vt:i4>
      </vt:variant>
      <vt:variant>
        <vt:i4>5</vt:i4>
      </vt:variant>
      <vt:variant>
        <vt:lpwstr/>
      </vt:variant>
      <vt:variant>
        <vt:lpwstr>_Toc149047222</vt:lpwstr>
      </vt:variant>
      <vt:variant>
        <vt:i4>1441854</vt:i4>
      </vt:variant>
      <vt:variant>
        <vt:i4>119</vt:i4>
      </vt:variant>
      <vt:variant>
        <vt:i4>0</vt:i4>
      </vt:variant>
      <vt:variant>
        <vt:i4>5</vt:i4>
      </vt:variant>
      <vt:variant>
        <vt:lpwstr/>
      </vt:variant>
      <vt:variant>
        <vt:lpwstr>_Toc149047221</vt:lpwstr>
      </vt:variant>
      <vt:variant>
        <vt:i4>1441854</vt:i4>
      </vt:variant>
      <vt:variant>
        <vt:i4>113</vt:i4>
      </vt:variant>
      <vt:variant>
        <vt:i4>0</vt:i4>
      </vt:variant>
      <vt:variant>
        <vt:i4>5</vt:i4>
      </vt:variant>
      <vt:variant>
        <vt:lpwstr/>
      </vt:variant>
      <vt:variant>
        <vt:lpwstr>_Toc149047220</vt:lpwstr>
      </vt:variant>
      <vt:variant>
        <vt:i4>1376318</vt:i4>
      </vt:variant>
      <vt:variant>
        <vt:i4>107</vt:i4>
      </vt:variant>
      <vt:variant>
        <vt:i4>0</vt:i4>
      </vt:variant>
      <vt:variant>
        <vt:i4>5</vt:i4>
      </vt:variant>
      <vt:variant>
        <vt:lpwstr/>
      </vt:variant>
      <vt:variant>
        <vt:lpwstr>_Toc149047219</vt:lpwstr>
      </vt:variant>
      <vt:variant>
        <vt:i4>1376318</vt:i4>
      </vt:variant>
      <vt:variant>
        <vt:i4>101</vt:i4>
      </vt:variant>
      <vt:variant>
        <vt:i4>0</vt:i4>
      </vt:variant>
      <vt:variant>
        <vt:i4>5</vt:i4>
      </vt:variant>
      <vt:variant>
        <vt:lpwstr/>
      </vt:variant>
      <vt:variant>
        <vt:lpwstr>_Toc149047218</vt:lpwstr>
      </vt:variant>
      <vt:variant>
        <vt:i4>1376318</vt:i4>
      </vt:variant>
      <vt:variant>
        <vt:i4>95</vt:i4>
      </vt:variant>
      <vt:variant>
        <vt:i4>0</vt:i4>
      </vt:variant>
      <vt:variant>
        <vt:i4>5</vt:i4>
      </vt:variant>
      <vt:variant>
        <vt:lpwstr/>
      </vt:variant>
      <vt:variant>
        <vt:lpwstr>_Toc149047217</vt:lpwstr>
      </vt:variant>
      <vt:variant>
        <vt:i4>1376318</vt:i4>
      </vt:variant>
      <vt:variant>
        <vt:i4>89</vt:i4>
      </vt:variant>
      <vt:variant>
        <vt:i4>0</vt:i4>
      </vt:variant>
      <vt:variant>
        <vt:i4>5</vt:i4>
      </vt:variant>
      <vt:variant>
        <vt:lpwstr/>
      </vt:variant>
      <vt:variant>
        <vt:lpwstr>_Toc149047216</vt:lpwstr>
      </vt:variant>
      <vt:variant>
        <vt:i4>1376318</vt:i4>
      </vt:variant>
      <vt:variant>
        <vt:i4>83</vt:i4>
      </vt:variant>
      <vt:variant>
        <vt:i4>0</vt:i4>
      </vt:variant>
      <vt:variant>
        <vt:i4>5</vt:i4>
      </vt:variant>
      <vt:variant>
        <vt:lpwstr/>
      </vt:variant>
      <vt:variant>
        <vt:lpwstr>_Toc149047215</vt:lpwstr>
      </vt:variant>
      <vt:variant>
        <vt:i4>1376318</vt:i4>
      </vt:variant>
      <vt:variant>
        <vt:i4>77</vt:i4>
      </vt:variant>
      <vt:variant>
        <vt:i4>0</vt:i4>
      </vt:variant>
      <vt:variant>
        <vt:i4>5</vt:i4>
      </vt:variant>
      <vt:variant>
        <vt:lpwstr/>
      </vt:variant>
      <vt:variant>
        <vt:lpwstr>_Toc149047214</vt:lpwstr>
      </vt:variant>
      <vt:variant>
        <vt:i4>1376318</vt:i4>
      </vt:variant>
      <vt:variant>
        <vt:i4>71</vt:i4>
      </vt:variant>
      <vt:variant>
        <vt:i4>0</vt:i4>
      </vt:variant>
      <vt:variant>
        <vt:i4>5</vt:i4>
      </vt:variant>
      <vt:variant>
        <vt:lpwstr/>
      </vt:variant>
      <vt:variant>
        <vt:lpwstr>_Toc149047213</vt:lpwstr>
      </vt:variant>
      <vt:variant>
        <vt:i4>1376318</vt:i4>
      </vt:variant>
      <vt:variant>
        <vt:i4>65</vt:i4>
      </vt:variant>
      <vt:variant>
        <vt:i4>0</vt:i4>
      </vt:variant>
      <vt:variant>
        <vt:i4>5</vt:i4>
      </vt:variant>
      <vt:variant>
        <vt:lpwstr/>
      </vt:variant>
      <vt:variant>
        <vt:lpwstr>_Toc149047212</vt:lpwstr>
      </vt:variant>
      <vt:variant>
        <vt:i4>1376318</vt:i4>
      </vt:variant>
      <vt:variant>
        <vt:i4>59</vt:i4>
      </vt:variant>
      <vt:variant>
        <vt:i4>0</vt:i4>
      </vt:variant>
      <vt:variant>
        <vt:i4>5</vt:i4>
      </vt:variant>
      <vt:variant>
        <vt:lpwstr/>
      </vt:variant>
      <vt:variant>
        <vt:lpwstr>_Toc149047211</vt:lpwstr>
      </vt:variant>
      <vt:variant>
        <vt:i4>1376318</vt:i4>
      </vt:variant>
      <vt:variant>
        <vt:i4>53</vt:i4>
      </vt:variant>
      <vt:variant>
        <vt:i4>0</vt:i4>
      </vt:variant>
      <vt:variant>
        <vt:i4>5</vt:i4>
      </vt:variant>
      <vt:variant>
        <vt:lpwstr/>
      </vt:variant>
      <vt:variant>
        <vt:lpwstr>_Toc149047210</vt:lpwstr>
      </vt:variant>
      <vt:variant>
        <vt:i4>1310782</vt:i4>
      </vt:variant>
      <vt:variant>
        <vt:i4>47</vt:i4>
      </vt:variant>
      <vt:variant>
        <vt:i4>0</vt:i4>
      </vt:variant>
      <vt:variant>
        <vt:i4>5</vt:i4>
      </vt:variant>
      <vt:variant>
        <vt:lpwstr/>
      </vt:variant>
      <vt:variant>
        <vt:lpwstr>_Toc149047209</vt:lpwstr>
      </vt:variant>
      <vt:variant>
        <vt:i4>1310782</vt:i4>
      </vt:variant>
      <vt:variant>
        <vt:i4>41</vt:i4>
      </vt:variant>
      <vt:variant>
        <vt:i4>0</vt:i4>
      </vt:variant>
      <vt:variant>
        <vt:i4>5</vt:i4>
      </vt:variant>
      <vt:variant>
        <vt:lpwstr/>
      </vt:variant>
      <vt:variant>
        <vt:lpwstr>_Toc149047208</vt:lpwstr>
      </vt:variant>
      <vt:variant>
        <vt:i4>1310782</vt:i4>
      </vt:variant>
      <vt:variant>
        <vt:i4>35</vt:i4>
      </vt:variant>
      <vt:variant>
        <vt:i4>0</vt:i4>
      </vt:variant>
      <vt:variant>
        <vt:i4>5</vt:i4>
      </vt:variant>
      <vt:variant>
        <vt:lpwstr/>
      </vt:variant>
      <vt:variant>
        <vt:lpwstr>_Toc149047207</vt:lpwstr>
      </vt:variant>
      <vt:variant>
        <vt:i4>1310782</vt:i4>
      </vt:variant>
      <vt:variant>
        <vt:i4>29</vt:i4>
      </vt:variant>
      <vt:variant>
        <vt:i4>0</vt:i4>
      </vt:variant>
      <vt:variant>
        <vt:i4>5</vt:i4>
      </vt:variant>
      <vt:variant>
        <vt:lpwstr/>
      </vt:variant>
      <vt:variant>
        <vt:lpwstr>_Toc149047206</vt:lpwstr>
      </vt:variant>
      <vt:variant>
        <vt:i4>1310782</vt:i4>
      </vt:variant>
      <vt:variant>
        <vt:i4>23</vt:i4>
      </vt:variant>
      <vt:variant>
        <vt:i4>0</vt:i4>
      </vt:variant>
      <vt:variant>
        <vt:i4>5</vt:i4>
      </vt:variant>
      <vt:variant>
        <vt:lpwstr/>
      </vt:variant>
      <vt:variant>
        <vt:lpwstr>_Toc149047205</vt:lpwstr>
      </vt:variant>
      <vt:variant>
        <vt:i4>1310782</vt:i4>
      </vt:variant>
      <vt:variant>
        <vt:i4>17</vt:i4>
      </vt:variant>
      <vt:variant>
        <vt:i4>0</vt:i4>
      </vt:variant>
      <vt:variant>
        <vt:i4>5</vt:i4>
      </vt:variant>
      <vt:variant>
        <vt:lpwstr/>
      </vt:variant>
      <vt:variant>
        <vt:lpwstr>_Toc149047204</vt:lpwstr>
      </vt:variant>
      <vt:variant>
        <vt:i4>1310782</vt:i4>
      </vt:variant>
      <vt:variant>
        <vt:i4>11</vt:i4>
      </vt:variant>
      <vt:variant>
        <vt:i4>0</vt:i4>
      </vt:variant>
      <vt:variant>
        <vt:i4>5</vt:i4>
      </vt:variant>
      <vt:variant>
        <vt:lpwstr/>
      </vt:variant>
      <vt:variant>
        <vt:lpwstr>_Toc149047203</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3932254</vt:i4>
      </vt:variant>
      <vt:variant>
        <vt:i4>36</vt:i4>
      </vt:variant>
      <vt:variant>
        <vt:i4>0</vt:i4>
      </vt:variant>
      <vt:variant>
        <vt:i4>5</vt:i4>
      </vt:variant>
      <vt:variant>
        <vt:lpwstr>mailto:helenal.petersson@hansabiopharma.com</vt:lpwstr>
      </vt:variant>
      <vt:variant>
        <vt:lpwstr/>
      </vt:variant>
      <vt:variant>
        <vt:i4>3932254</vt:i4>
      </vt:variant>
      <vt:variant>
        <vt:i4>33</vt:i4>
      </vt:variant>
      <vt:variant>
        <vt:i4>0</vt:i4>
      </vt:variant>
      <vt:variant>
        <vt:i4>5</vt:i4>
      </vt:variant>
      <vt:variant>
        <vt:lpwstr>mailto:helenal.petersson@hansabiopharma.com</vt:lpwstr>
      </vt:variant>
      <vt:variant>
        <vt:lpwstr/>
      </vt:variant>
      <vt:variant>
        <vt:i4>3932254</vt:i4>
      </vt:variant>
      <vt:variant>
        <vt:i4>30</vt:i4>
      </vt:variant>
      <vt:variant>
        <vt:i4>0</vt:i4>
      </vt:variant>
      <vt:variant>
        <vt:i4>5</vt:i4>
      </vt:variant>
      <vt:variant>
        <vt:lpwstr>mailto:helenal.petersson@hansabiopharma.com</vt:lpwstr>
      </vt:variant>
      <vt:variant>
        <vt:lpwstr/>
      </vt:variant>
      <vt:variant>
        <vt:i4>7274515</vt:i4>
      </vt:variant>
      <vt:variant>
        <vt:i4>27</vt:i4>
      </vt:variant>
      <vt:variant>
        <vt:i4>0</vt:i4>
      </vt:variant>
      <vt:variant>
        <vt:i4>5</vt:i4>
      </vt:variant>
      <vt:variant>
        <vt:lpwstr>mailto:anna.lagergren@hansabiopharma.com</vt:lpwstr>
      </vt:variant>
      <vt:variant>
        <vt:lpwstr/>
      </vt:variant>
      <vt:variant>
        <vt:i4>3932254</vt:i4>
      </vt:variant>
      <vt:variant>
        <vt:i4>24</vt:i4>
      </vt:variant>
      <vt:variant>
        <vt:i4>0</vt:i4>
      </vt:variant>
      <vt:variant>
        <vt:i4>5</vt:i4>
      </vt:variant>
      <vt:variant>
        <vt:lpwstr>mailto:helenal.petersson@hansabiopharma.com</vt:lpwstr>
      </vt:variant>
      <vt:variant>
        <vt:lpwstr/>
      </vt:variant>
      <vt:variant>
        <vt:i4>3932254</vt:i4>
      </vt:variant>
      <vt:variant>
        <vt:i4>21</vt:i4>
      </vt:variant>
      <vt:variant>
        <vt:i4>0</vt:i4>
      </vt:variant>
      <vt:variant>
        <vt:i4>5</vt:i4>
      </vt:variant>
      <vt:variant>
        <vt:lpwstr>mailto:helenal.petersson@hansabiopharma.com</vt:lpwstr>
      </vt:variant>
      <vt:variant>
        <vt:lpwstr/>
      </vt:variant>
      <vt:variant>
        <vt:i4>3932254</vt:i4>
      </vt:variant>
      <vt:variant>
        <vt:i4>18</vt:i4>
      </vt:variant>
      <vt:variant>
        <vt:i4>0</vt:i4>
      </vt:variant>
      <vt:variant>
        <vt:i4>5</vt:i4>
      </vt:variant>
      <vt:variant>
        <vt:lpwstr>mailto:helenal.petersson@hansabiopharma.com</vt:lpwstr>
      </vt:variant>
      <vt:variant>
        <vt:lpwstr/>
      </vt:variant>
      <vt:variant>
        <vt:i4>7274515</vt:i4>
      </vt:variant>
      <vt:variant>
        <vt:i4>15</vt:i4>
      </vt:variant>
      <vt:variant>
        <vt:i4>0</vt:i4>
      </vt:variant>
      <vt:variant>
        <vt:i4>5</vt:i4>
      </vt:variant>
      <vt:variant>
        <vt:lpwstr>mailto:anna.lagergren@hansabiopharma.com</vt:lpwstr>
      </vt:variant>
      <vt:variant>
        <vt:lpwstr/>
      </vt:variant>
      <vt:variant>
        <vt:i4>524390</vt:i4>
      </vt:variant>
      <vt:variant>
        <vt:i4>12</vt:i4>
      </vt:variant>
      <vt:variant>
        <vt:i4>0</vt:i4>
      </vt:variant>
      <vt:variant>
        <vt:i4>5</vt:i4>
      </vt:variant>
      <vt:variant>
        <vt:lpwstr>mailto:annika.sundberg@hansabiopharma.com</vt:lpwstr>
      </vt:variant>
      <vt:variant>
        <vt:lpwstr/>
      </vt:variant>
      <vt:variant>
        <vt:i4>7274515</vt:i4>
      </vt:variant>
      <vt:variant>
        <vt:i4>9</vt:i4>
      </vt:variant>
      <vt:variant>
        <vt:i4>0</vt:i4>
      </vt:variant>
      <vt:variant>
        <vt:i4>5</vt:i4>
      </vt:variant>
      <vt:variant>
        <vt:lpwstr>mailto:anna.lagergren@hansabiopharma.com</vt:lpwstr>
      </vt:variant>
      <vt:variant>
        <vt:lpwstr/>
      </vt:variant>
      <vt:variant>
        <vt:i4>3932254</vt:i4>
      </vt:variant>
      <vt:variant>
        <vt:i4>6</vt:i4>
      </vt:variant>
      <vt:variant>
        <vt:i4>0</vt:i4>
      </vt:variant>
      <vt:variant>
        <vt:i4>5</vt:i4>
      </vt:variant>
      <vt:variant>
        <vt:lpwstr>mailto:helenal.petersson@hansabiopharma.com</vt:lpwstr>
      </vt:variant>
      <vt:variant>
        <vt:lpwstr/>
      </vt:variant>
      <vt:variant>
        <vt:i4>2031734</vt:i4>
      </vt:variant>
      <vt:variant>
        <vt:i4>3</vt:i4>
      </vt:variant>
      <vt:variant>
        <vt:i4>0</vt:i4>
      </vt:variant>
      <vt:variant>
        <vt:i4>5</vt:i4>
      </vt:variant>
      <vt:variant>
        <vt:lpwstr>mailto:yvonne.stenberg@hansabiopharma.com</vt:lpwstr>
      </vt:variant>
      <vt:variant>
        <vt:lpwstr/>
      </vt:variant>
      <vt:variant>
        <vt:i4>2031734</vt:i4>
      </vt:variant>
      <vt:variant>
        <vt:i4>0</vt:i4>
      </vt:variant>
      <vt:variant>
        <vt:i4>0</vt:i4>
      </vt:variant>
      <vt:variant>
        <vt:i4>5</vt:i4>
      </vt:variant>
      <vt:variant>
        <vt:lpwstr>mailto:yvonne.stenberg@hansabiopharma.com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Idefirix</dc:title>
  <dc:subject>prescription medicines</dc:subject>
  <dc:creator/>
  <cp:keywords/>
  <dc:description/>
  <cp:lastModifiedBy/>
  <cp:revision>1</cp:revision>
  <dcterms:created xsi:type="dcterms:W3CDTF">2024-05-22T23:06:00Z</dcterms:created>
  <dcterms:modified xsi:type="dcterms:W3CDTF">2024-05-23T02:33:00Z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0x0101006829F67E44925D479C19998B16B4251C</vt:lpwstr>
  </property>
  <property fmtid="{D5CDD505-2E9C-101B-9397-08002B2CF9AE}" pid="3" name="MediaServiceImageTags">
    <vt:lpwstr/>
  </property>
  <property fmtid="{D5CDD505-2E9C-101B-9397-08002B2CF9AE}" pid="4" name="Order">
    <vt:r8>41236800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