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7151B" w14:textId="77777777" w:rsidR="00026A8F" w:rsidRDefault="00026A8F"/>
    <w:p w14:paraId="6DF183B9" w14:textId="77777777" w:rsidR="005F6958" w:rsidRDefault="005F6958"/>
    <w:p w14:paraId="65574505" w14:textId="77777777" w:rsidR="005F6958" w:rsidRDefault="005F6958"/>
    <w:p w14:paraId="5FFFB18C" w14:textId="7A940A2E" w:rsidR="005F6958" w:rsidRDefault="007602C2" w:rsidP="005F6958">
      <w:pPr>
        <w:pStyle w:val="Title"/>
      </w:pPr>
      <w:bookmarkStart w:id="0" w:name="_Hlk166593837"/>
      <w:r>
        <w:t>Good</w:t>
      </w:r>
      <w:r w:rsidR="00E27E3D">
        <w:t xml:space="preserve"> </w:t>
      </w:r>
      <w:r w:rsidR="00E27E3D" w:rsidRPr="00E27E3D">
        <w:t>Clinical Practice (GCP) inspection program</w:t>
      </w:r>
      <w:r w:rsidR="00410A63">
        <w:t xml:space="preserve"> for clinical trials</w:t>
      </w:r>
    </w:p>
    <w:bookmarkEnd w:id="0"/>
    <w:p w14:paraId="6F4B34CD" w14:textId="22A83392" w:rsidR="005F6958" w:rsidRDefault="00473601" w:rsidP="005F6958">
      <w:pPr>
        <w:pStyle w:val="Subtitle"/>
        <w:ind w:left="0"/>
      </w:pPr>
      <w:r w:rsidRPr="00473601">
        <w:t xml:space="preserve">Guidance for clinical trial </w:t>
      </w:r>
      <w:r w:rsidR="00FF6FB9">
        <w:t xml:space="preserve">investigator </w:t>
      </w:r>
      <w:r w:rsidRPr="00473601">
        <w:t xml:space="preserve">sites </w:t>
      </w:r>
      <w:r w:rsidR="00C663C5">
        <w:t xml:space="preserve">on what to expect and how to prepare for an inspection  </w:t>
      </w:r>
    </w:p>
    <w:p w14:paraId="3335A0B9" w14:textId="77777777" w:rsidR="005F6958" w:rsidRDefault="005F6958"/>
    <w:p w14:paraId="2B63A39D" w14:textId="77777777" w:rsidR="005F6958" w:rsidRDefault="005F6958"/>
    <w:p w14:paraId="28887FAD" w14:textId="77777777" w:rsidR="005F6958" w:rsidRDefault="005F6958"/>
    <w:p w14:paraId="1796C7D2" w14:textId="77777777" w:rsidR="005F6958" w:rsidRDefault="005F6958"/>
    <w:p w14:paraId="0E7C9111" w14:textId="77777777" w:rsidR="005F6958" w:rsidRDefault="005F6958"/>
    <w:p w14:paraId="5BD6017B" w14:textId="77777777" w:rsidR="005F6958" w:rsidRDefault="005F6958"/>
    <w:p w14:paraId="3C03B063" w14:textId="258F26BB" w:rsidR="005F6958" w:rsidRDefault="005F6958" w:rsidP="005F6958">
      <w:pPr>
        <w:pStyle w:val="Date"/>
      </w:pPr>
      <w:r>
        <w:t xml:space="preserve">Version </w:t>
      </w:r>
      <w:r w:rsidR="007D619E">
        <w:t>2.0</w:t>
      </w:r>
      <w:r w:rsidRPr="00474777">
        <w:t xml:space="preserve">, </w:t>
      </w:r>
      <w:r w:rsidR="00410A63" w:rsidRPr="00474777">
        <w:t xml:space="preserve">May </w:t>
      </w:r>
      <w:r w:rsidR="008F16D3" w:rsidRPr="00474777">
        <w:t>202</w:t>
      </w:r>
      <w:r w:rsidR="00410A63" w:rsidRPr="00474777">
        <w:t>4</w:t>
      </w:r>
    </w:p>
    <w:p w14:paraId="7492A499" w14:textId="77777777" w:rsidR="005F6958" w:rsidRDefault="005F6958">
      <w:r>
        <w:br w:type="page"/>
      </w:r>
    </w:p>
    <w:p w14:paraId="38C16B3B" w14:textId="77777777" w:rsidR="00DD3815" w:rsidRPr="004E2F19" w:rsidRDefault="00DD3815" w:rsidP="004E2F19">
      <w:pPr>
        <w:pStyle w:val="LegalSubheading"/>
        <w:rPr>
          <w:b/>
          <w:bCs/>
        </w:rPr>
      </w:pPr>
      <w:bookmarkStart w:id="1" w:name="_Toc126664137"/>
      <w:r w:rsidRPr="004E2F19">
        <w:rPr>
          <w:b/>
          <w:bCs/>
        </w:rPr>
        <w:lastRenderedPageBreak/>
        <w:t>Copyright</w:t>
      </w:r>
      <w:bookmarkEnd w:id="1"/>
    </w:p>
    <w:p w14:paraId="6F3B94C4" w14:textId="33E15179" w:rsidR="0089410A" w:rsidRDefault="00DD3815" w:rsidP="004E2F19">
      <w:pPr>
        <w:pStyle w:val="LegalSubheading"/>
      </w:pPr>
      <w:bookmarkStart w:id="2" w:name="_Toc126664138"/>
      <w:r w:rsidRPr="00CB7787">
        <w:t xml:space="preserve">© Commonwealth of </w:t>
      </w:r>
      <w:r w:rsidRPr="00EA0A44">
        <w:t>Australia</w:t>
      </w:r>
      <w:r w:rsidR="00F35094" w:rsidRPr="00EA0A44">
        <w:t xml:space="preserve"> 202</w:t>
      </w:r>
      <w:r w:rsidR="001A7A75" w:rsidRPr="00EA0A44">
        <w:t>4</w:t>
      </w:r>
      <w:r w:rsidR="008E6696" w:rsidRPr="00EA0A44">
        <w:t xml:space="preserve"> </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w:t>
      </w:r>
      <w:proofErr w:type="gramStart"/>
      <w:r w:rsidRPr="00DD3815">
        <w:t>reserved</w:t>
      </w:r>
      <w:proofErr w:type="gramEnd"/>
      <w:r w:rsidRPr="00DD3815">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8" w:history="1">
        <w:r w:rsidRPr="00DD3815">
          <w:rPr>
            <w:rStyle w:val="Hyperlink"/>
            <w:rFonts w:cs="Arial"/>
            <w:b/>
            <w:bCs/>
          </w:rPr>
          <w:t>tga.copyright@tga.gov.au</w:t>
        </w:r>
      </w:hyperlink>
      <w:r w:rsidRPr="00DD3815">
        <w:t>&gt;.</w:t>
      </w:r>
      <w:bookmarkEnd w:id="2"/>
    </w:p>
    <w:p w14:paraId="5BC71757"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0"/>
        </w:rPr>
        <w:id w:val="21514769"/>
        <w:docPartObj>
          <w:docPartGallery w:val="Table of Contents"/>
          <w:docPartUnique/>
        </w:docPartObj>
      </w:sdtPr>
      <w:sdtEndPr>
        <w:rPr>
          <w:rFonts w:ascii="Arial" w:hAnsi="Arial"/>
        </w:rPr>
      </w:sdtEndPr>
      <w:sdtContent>
        <w:p w14:paraId="7FD7536C" w14:textId="77777777" w:rsidR="0089410A" w:rsidRPr="000D7B64" w:rsidRDefault="0089410A" w:rsidP="0089410A">
          <w:pPr>
            <w:pStyle w:val="NonTOCheading2"/>
            <w:rPr>
              <w:sz w:val="28"/>
              <w:szCs w:val="14"/>
            </w:rPr>
          </w:pPr>
          <w:r w:rsidRPr="000D7B64">
            <w:rPr>
              <w:sz w:val="28"/>
              <w:szCs w:val="14"/>
            </w:rPr>
            <w:t>Contents</w:t>
          </w:r>
        </w:p>
        <w:p w14:paraId="074BED95" w14:textId="6CABA2A9" w:rsidR="00BD1AE9" w:rsidRDefault="0089410A" w:rsidP="007E22ED">
          <w:pPr>
            <w:pStyle w:val="TOC1"/>
            <w:rPr>
              <w:rFonts w:asciiTheme="minorHAnsi" w:eastAsiaTheme="minorEastAsia" w:hAnsiTheme="minorHAnsi" w:cstheme="minorBidi"/>
              <w:color w:val="auto"/>
              <w:kern w:val="2"/>
              <w:sz w:val="22"/>
              <w:szCs w:val="22"/>
              <w:lang w:eastAsia="en-AU"/>
              <w14:ligatures w14:val="standardContextual"/>
            </w:rPr>
          </w:pPr>
          <w:r w:rsidRPr="000D7B64">
            <w:rPr>
              <w:sz w:val="22"/>
              <w:szCs w:val="14"/>
            </w:rPr>
            <w:fldChar w:fldCharType="begin"/>
          </w:r>
          <w:r w:rsidRPr="000D7B64">
            <w:rPr>
              <w:sz w:val="22"/>
              <w:szCs w:val="14"/>
            </w:rPr>
            <w:instrText xml:space="preserve"> TOC \h \z \u \t "Heading 2,1,Heading 3,2,Heading 4,3" </w:instrText>
          </w:r>
          <w:r w:rsidRPr="000D7B64">
            <w:rPr>
              <w:sz w:val="22"/>
              <w:szCs w:val="14"/>
            </w:rPr>
            <w:fldChar w:fldCharType="separate"/>
          </w:r>
          <w:hyperlink w:anchor="_Toc166488025" w:history="1">
            <w:r w:rsidR="00BD1AE9" w:rsidRPr="007E22ED">
              <w:rPr>
                <w:rStyle w:val="Hyperlink"/>
              </w:rPr>
              <w:t>About the Good Clinical Practice (GCP) Inspection Program</w:t>
            </w:r>
            <w:r w:rsidR="00BD1AE9">
              <w:rPr>
                <w:webHidden/>
              </w:rPr>
              <w:tab/>
            </w:r>
            <w:r w:rsidR="00BD1AE9">
              <w:rPr>
                <w:webHidden/>
              </w:rPr>
              <w:fldChar w:fldCharType="begin"/>
            </w:r>
            <w:r w:rsidR="00BD1AE9">
              <w:rPr>
                <w:webHidden/>
              </w:rPr>
              <w:instrText xml:space="preserve"> PAGEREF _Toc166488025 \h </w:instrText>
            </w:r>
            <w:r w:rsidR="00BD1AE9">
              <w:rPr>
                <w:webHidden/>
              </w:rPr>
            </w:r>
            <w:r w:rsidR="00BD1AE9">
              <w:rPr>
                <w:webHidden/>
              </w:rPr>
              <w:fldChar w:fldCharType="separate"/>
            </w:r>
            <w:r w:rsidR="00636554">
              <w:rPr>
                <w:webHidden/>
              </w:rPr>
              <w:t>4</w:t>
            </w:r>
            <w:r w:rsidR="00BD1AE9">
              <w:rPr>
                <w:webHidden/>
              </w:rPr>
              <w:fldChar w:fldCharType="end"/>
            </w:r>
          </w:hyperlink>
        </w:p>
        <w:p w14:paraId="06E622A2" w14:textId="6DBBE709"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26" w:history="1">
            <w:r w:rsidR="00BD1AE9" w:rsidRPr="00D870B9">
              <w:rPr>
                <w:rStyle w:val="Hyperlink"/>
                <w:noProof/>
              </w:rPr>
              <w:t>Who we inspect</w:t>
            </w:r>
            <w:r w:rsidR="00BD1AE9">
              <w:rPr>
                <w:noProof/>
                <w:webHidden/>
              </w:rPr>
              <w:tab/>
            </w:r>
            <w:r w:rsidR="00BD1AE9">
              <w:rPr>
                <w:noProof/>
                <w:webHidden/>
              </w:rPr>
              <w:fldChar w:fldCharType="begin"/>
            </w:r>
            <w:r w:rsidR="00BD1AE9">
              <w:rPr>
                <w:noProof/>
                <w:webHidden/>
              </w:rPr>
              <w:instrText xml:space="preserve"> PAGEREF _Toc166488026 \h </w:instrText>
            </w:r>
            <w:r w:rsidR="00BD1AE9">
              <w:rPr>
                <w:noProof/>
                <w:webHidden/>
              </w:rPr>
            </w:r>
            <w:r w:rsidR="00BD1AE9">
              <w:rPr>
                <w:noProof/>
                <w:webHidden/>
              </w:rPr>
              <w:fldChar w:fldCharType="separate"/>
            </w:r>
            <w:r w:rsidR="00636554">
              <w:rPr>
                <w:noProof/>
                <w:webHidden/>
              </w:rPr>
              <w:t>4</w:t>
            </w:r>
            <w:r w:rsidR="00BD1AE9">
              <w:rPr>
                <w:noProof/>
                <w:webHidden/>
              </w:rPr>
              <w:fldChar w:fldCharType="end"/>
            </w:r>
          </w:hyperlink>
        </w:p>
        <w:p w14:paraId="45CB487D" w14:textId="5688FF2E"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27" w:history="1">
            <w:r w:rsidR="00BD1AE9" w:rsidRPr="00D870B9">
              <w:rPr>
                <w:rStyle w:val="Hyperlink"/>
                <w:noProof/>
              </w:rPr>
              <w:t>Why we inspect</w:t>
            </w:r>
            <w:r w:rsidR="00BD1AE9">
              <w:rPr>
                <w:noProof/>
                <w:webHidden/>
              </w:rPr>
              <w:tab/>
            </w:r>
            <w:r w:rsidR="00BD1AE9">
              <w:rPr>
                <w:noProof/>
                <w:webHidden/>
              </w:rPr>
              <w:fldChar w:fldCharType="begin"/>
            </w:r>
            <w:r w:rsidR="00BD1AE9">
              <w:rPr>
                <w:noProof/>
                <w:webHidden/>
              </w:rPr>
              <w:instrText xml:space="preserve"> PAGEREF _Toc166488027 \h </w:instrText>
            </w:r>
            <w:r w:rsidR="00BD1AE9">
              <w:rPr>
                <w:noProof/>
                <w:webHidden/>
              </w:rPr>
            </w:r>
            <w:r w:rsidR="00BD1AE9">
              <w:rPr>
                <w:noProof/>
                <w:webHidden/>
              </w:rPr>
              <w:fldChar w:fldCharType="separate"/>
            </w:r>
            <w:r w:rsidR="00636554">
              <w:rPr>
                <w:noProof/>
                <w:webHidden/>
              </w:rPr>
              <w:t>4</w:t>
            </w:r>
            <w:r w:rsidR="00BD1AE9">
              <w:rPr>
                <w:noProof/>
                <w:webHidden/>
              </w:rPr>
              <w:fldChar w:fldCharType="end"/>
            </w:r>
          </w:hyperlink>
        </w:p>
        <w:p w14:paraId="22A8C0A0" w14:textId="1C629B8F" w:rsidR="00BD1AE9" w:rsidRPr="007E22ED" w:rsidRDefault="002B2EFD" w:rsidP="007E22ED">
          <w:pPr>
            <w:pStyle w:val="TOC1"/>
            <w:rPr>
              <w:rFonts w:asciiTheme="minorHAnsi" w:eastAsiaTheme="minorEastAsia" w:hAnsiTheme="minorHAnsi" w:cstheme="minorBidi"/>
              <w:color w:val="auto"/>
              <w:kern w:val="2"/>
              <w:lang w:eastAsia="en-AU"/>
              <w14:ligatures w14:val="standardContextual"/>
            </w:rPr>
          </w:pPr>
          <w:hyperlink w:anchor="_Toc166488028" w:history="1">
            <w:r w:rsidR="00BD1AE9" w:rsidRPr="007E22ED">
              <w:rPr>
                <w:rStyle w:val="Hyperlink"/>
              </w:rPr>
              <w:t xml:space="preserve">Preparing for an inspection </w:t>
            </w:r>
            <w:r w:rsidR="00BD1AE9" w:rsidRPr="007E22ED">
              <w:rPr>
                <w:webHidden/>
              </w:rPr>
              <w:tab/>
            </w:r>
            <w:r w:rsidR="00BD1AE9" w:rsidRPr="007E22ED">
              <w:rPr>
                <w:webHidden/>
              </w:rPr>
              <w:fldChar w:fldCharType="begin"/>
            </w:r>
            <w:r w:rsidR="00BD1AE9" w:rsidRPr="007E22ED">
              <w:rPr>
                <w:webHidden/>
              </w:rPr>
              <w:instrText xml:space="preserve"> PAGEREF _Toc166488028 \h </w:instrText>
            </w:r>
            <w:r w:rsidR="00BD1AE9" w:rsidRPr="007E22ED">
              <w:rPr>
                <w:webHidden/>
              </w:rPr>
            </w:r>
            <w:r w:rsidR="00BD1AE9" w:rsidRPr="007E22ED">
              <w:rPr>
                <w:webHidden/>
              </w:rPr>
              <w:fldChar w:fldCharType="separate"/>
            </w:r>
            <w:r w:rsidR="00636554">
              <w:rPr>
                <w:webHidden/>
              </w:rPr>
              <w:t>5</w:t>
            </w:r>
            <w:r w:rsidR="00BD1AE9" w:rsidRPr="007E22ED">
              <w:rPr>
                <w:webHidden/>
              </w:rPr>
              <w:fldChar w:fldCharType="end"/>
            </w:r>
          </w:hyperlink>
        </w:p>
        <w:p w14:paraId="3EF26C1A" w14:textId="7E88AE18"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29" w:history="1">
            <w:r w:rsidR="00BD1AE9" w:rsidRPr="00D870B9">
              <w:rPr>
                <w:rStyle w:val="Hyperlink"/>
                <w:noProof/>
              </w:rPr>
              <w:t>Know your GCP responsibilities</w:t>
            </w:r>
            <w:r w:rsidR="00BD1AE9">
              <w:rPr>
                <w:noProof/>
                <w:webHidden/>
              </w:rPr>
              <w:tab/>
            </w:r>
            <w:r w:rsidR="00BD1AE9">
              <w:rPr>
                <w:noProof/>
                <w:webHidden/>
              </w:rPr>
              <w:fldChar w:fldCharType="begin"/>
            </w:r>
            <w:r w:rsidR="00BD1AE9">
              <w:rPr>
                <w:noProof/>
                <w:webHidden/>
              </w:rPr>
              <w:instrText xml:space="preserve"> PAGEREF _Toc166488029 \h </w:instrText>
            </w:r>
            <w:r w:rsidR="00BD1AE9">
              <w:rPr>
                <w:noProof/>
                <w:webHidden/>
              </w:rPr>
            </w:r>
            <w:r w:rsidR="00BD1AE9">
              <w:rPr>
                <w:noProof/>
                <w:webHidden/>
              </w:rPr>
              <w:fldChar w:fldCharType="separate"/>
            </w:r>
            <w:r w:rsidR="00636554">
              <w:rPr>
                <w:noProof/>
                <w:webHidden/>
              </w:rPr>
              <w:t>5</w:t>
            </w:r>
            <w:r w:rsidR="00BD1AE9">
              <w:rPr>
                <w:noProof/>
                <w:webHidden/>
              </w:rPr>
              <w:fldChar w:fldCharType="end"/>
            </w:r>
          </w:hyperlink>
        </w:p>
        <w:p w14:paraId="752A0133" w14:textId="5D74A6DE"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30" w:history="1">
            <w:r w:rsidR="00BD1AE9" w:rsidRPr="00D870B9">
              <w:rPr>
                <w:rStyle w:val="Hyperlink"/>
                <w:noProof/>
              </w:rPr>
              <w:t>Inspection scope</w:t>
            </w:r>
            <w:r w:rsidR="00BD1AE9">
              <w:rPr>
                <w:noProof/>
                <w:webHidden/>
              </w:rPr>
              <w:tab/>
            </w:r>
            <w:r w:rsidR="00BD1AE9">
              <w:rPr>
                <w:noProof/>
                <w:webHidden/>
              </w:rPr>
              <w:fldChar w:fldCharType="begin"/>
            </w:r>
            <w:r w:rsidR="00BD1AE9">
              <w:rPr>
                <w:noProof/>
                <w:webHidden/>
              </w:rPr>
              <w:instrText xml:space="preserve"> PAGEREF _Toc166488030 \h </w:instrText>
            </w:r>
            <w:r w:rsidR="00BD1AE9">
              <w:rPr>
                <w:noProof/>
                <w:webHidden/>
              </w:rPr>
            </w:r>
            <w:r w:rsidR="00BD1AE9">
              <w:rPr>
                <w:noProof/>
                <w:webHidden/>
              </w:rPr>
              <w:fldChar w:fldCharType="separate"/>
            </w:r>
            <w:r w:rsidR="00636554">
              <w:rPr>
                <w:noProof/>
                <w:webHidden/>
              </w:rPr>
              <w:t>6</w:t>
            </w:r>
            <w:r w:rsidR="00BD1AE9">
              <w:rPr>
                <w:noProof/>
                <w:webHidden/>
              </w:rPr>
              <w:fldChar w:fldCharType="end"/>
            </w:r>
          </w:hyperlink>
        </w:p>
        <w:p w14:paraId="677D06F9" w14:textId="2475061E"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31" w:history="1">
            <w:r w:rsidR="00BD1AE9" w:rsidRPr="00D870B9">
              <w:rPr>
                <w:rStyle w:val="Hyperlink"/>
                <w:noProof/>
              </w:rPr>
              <w:t>Your inspection responsibilities</w:t>
            </w:r>
            <w:r w:rsidR="00BD1AE9">
              <w:rPr>
                <w:noProof/>
                <w:webHidden/>
              </w:rPr>
              <w:tab/>
            </w:r>
            <w:r w:rsidR="00BD1AE9">
              <w:rPr>
                <w:noProof/>
                <w:webHidden/>
              </w:rPr>
              <w:fldChar w:fldCharType="begin"/>
            </w:r>
            <w:r w:rsidR="00BD1AE9">
              <w:rPr>
                <w:noProof/>
                <w:webHidden/>
              </w:rPr>
              <w:instrText xml:space="preserve"> PAGEREF _Toc166488031 \h </w:instrText>
            </w:r>
            <w:r w:rsidR="00BD1AE9">
              <w:rPr>
                <w:noProof/>
                <w:webHidden/>
              </w:rPr>
            </w:r>
            <w:r w:rsidR="00BD1AE9">
              <w:rPr>
                <w:noProof/>
                <w:webHidden/>
              </w:rPr>
              <w:fldChar w:fldCharType="separate"/>
            </w:r>
            <w:r w:rsidR="00636554">
              <w:rPr>
                <w:noProof/>
                <w:webHidden/>
              </w:rPr>
              <w:t>7</w:t>
            </w:r>
            <w:r w:rsidR="00BD1AE9">
              <w:rPr>
                <w:noProof/>
                <w:webHidden/>
              </w:rPr>
              <w:fldChar w:fldCharType="end"/>
            </w:r>
          </w:hyperlink>
        </w:p>
        <w:p w14:paraId="42816BA1" w14:textId="031D860D"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32" w:history="1">
            <w:r w:rsidR="00BD1AE9" w:rsidRPr="00D870B9">
              <w:rPr>
                <w:rStyle w:val="Hyperlink"/>
                <w:noProof/>
              </w:rPr>
              <w:t>Common inspection findings: metrics report</w:t>
            </w:r>
            <w:r w:rsidR="00BD1AE9">
              <w:rPr>
                <w:noProof/>
                <w:webHidden/>
              </w:rPr>
              <w:tab/>
            </w:r>
            <w:r w:rsidR="00BD1AE9">
              <w:rPr>
                <w:noProof/>
                <w:webHidden/>
              </w:rPr>
              <w:fldChar w:fldCharType="begin"/>
            </w:r>
            <w:r w:rsidR="00BD1AE9">
              <w:rPr>
                <w:noProof/>
                <w:webHidden/>
              </w:rPr>
              <w:instrText xml:space="preserve"> PAGEREF _Toc166488032 \h </w:instrText>
            </w:r>
            <w:r w:rsidR="00BD1AE9">
              <w:rPr>
                <w:noProof/>
                <w:webHidden/>
              </w:rPr>
            </w:r>
            <w:r w:rsidR="00BD1AE9">
              <w:rPr>
                <w:noProof/>
                <w:webHidden/>
              </w:rPr>
              <w:fldChar w:fldCharType="separate"/>
            </w:r>
            <w:r w:rsidR="00636554">
              <w:rPr>
                <w:noProof/>
                <w:webHidden/>
              </w:rPr>
              <w:t>8</w:t>
            </w:r>
            <w:r w:rsidR="00BD1AE9">
              <w:rPr>
                <w:noProof/>
                <w:webHidden/>
              </w:rPr>
              <w:fldChar w:fldCharType="end"/>
            </w:r>
          </w:hyperlink>
        </w:p>
        <w:p w14:paraId="7A0ACBE9" w14:textId="77CD987F"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33" w:history="1">
            <w:r w:rsidR="00BD1AE9" w:rsidRPr="00D870B9">
              <w:rPr>
                <w:rStyle w:val="Hyperlink"/>
                <w:noProof/>
              </w:rPr>
              <w:t>Our inspection responsibilities</w:t>
            </w:r>
            <w:r w:rsidR="00BD1AE9">
              <w:rPr>
                <w:noProof/>
                <w:webHidden/>
              </w:rPr>
              <w:tab/>
            </w:r>
            <w:r w:rsidR="00BD1AE9">
              <w:rPr>
                <w:noProof/>
                <w:webHidden/>
              </w:rPr>
              <w:fldChar w:fldCharType="begin"/>
            </w:r>
            <w:r w:rsidR="00BD1AE9">
              <w:rPr>
                <w:noProof/>
                <w:webHidden/>
              </w:rPr>
              <w:instrText xml:space="preserve"> PAGEREF _Toc166488033 \h </w:instrText>
            </w:r>
            <w:r w:rsidR="00BD1AE9">
              <w:rPr>
                <w:noProof/>
                <w:webHidden/>
              </w:rPr>
            </w:r>
            <w:r w:rsidR="00BD1AE9">
              <w:rPr>
                <w:noProof/>
                <w:webHidden/>
              </w:rPr>
              <w:fldChar w:fldCharType="separate"/>
            </w:r>
            <w:r w:rsidR="00636554">
              <w:rPr>
                <w:noProof/>
                <w:webHidden/>
              </w:rPr>
              <w:t>8</w:t>
            </w:r>
            <w:r w:rsidR="00BD1AE9">
              <w:rPr>
                <w:noProof/>
                <w:webHidden/>
              </w:rPr>
              <w:fldChar w:fldCharType="end"/>
            </w:r>
          </w:hyperlink>
        </w:p>
        <w:p w14:paraId="0B3DB457" w14:textId="7D112351" w:rsidR="00BD1AE9" w:rsidRPr="007E22ED" w:rsidRDefault="002B2EFD" w:rsidP="007E22ED">
          <w:pPr>
            <w:pStyle w:val="TOC1"/>
            <w:rPr>
              <w:rFonts w:asciiTheme="minorHAnsi" w:eastAsiaTheme="minorEastAsia" w:hAnsiTheme="minorHAnsi" w:cstheme="minorBidi"/>
              <w:color w:val="auto"/>
              <w:kern w:val="2"/>
              <w:lang w:eastAsia="en-AU"/>
              <w14:ligatures w14:val="standardContextual"/>
            </w:rPr>
          </w:pPr>
          <w:hyperlink w:anchor="_Toc166488034" w:history="1">
            <w:r w:rsidR="00BD1AE9" w:rsidRPr="007E22ED">
              <w:rPr>
                <w:rStyle w:val="Hyperlink"/>
              </w:rPr>
              <w:t>Types of inspections</w:t>
            </w:r>
            <w:r w:rsidR="00BD1AE9" w:rsidRPr="007E22ED">
              <w:rPr>
                <w:webHidden/>
              </w:rPr>
              <w:tab/>
            </w:r>
            <w:r w:rsidR="00BD1AE9" w:rsidRPr="007E22ED">
              <w:rPr>
                <w:webHidden/>
              </w:rPr>
              <w:fldChar w:fldCharType="begin"/>
            </w:r>
            <w:r w:rsidR="00BD1AE9" w:rsidRPr="007E22ED">
              <w:rPr>
                <w:webHidden/>
              </w:rPr>
              <w:instrText xml:space="preserve"> PAGEREF _Toc166488034 \h </w:instrText>
            </w:r>
            <w:r w:rsidR="00BD1AE9" w:rsidRPr="007E22ED">
              <w:rPr>
                <w:webHidden/>
              </w:rPr>
            </w:r>
            <w:r w:rsidR="00BD1AE9" w:rsidRPr="007E22ED">
              <w:rPr>
                <w:webHidden/>
              </w:rPr>
              <w:fldChar w:fldCharType="separate"/>
            </w:r>
            <w:r w:rsidR="00636554">
              <w:rPr>
                <w:webHidden/>
              </w:rPr>
              <w:t>9</w:t>
            </w:r>
            <w:r w:rsidR="00BD1AE9" w:rsidRPr="007E22ED">
              <w:rPr>
                <w:webHidden/>
              </w:rPr>
              <w:fldChar w:fldCharType="end"/>
            </w:r>
          </w:hyperlink>
        </w:p>
        <w:p w14:paraId="593C2979" w14:textId="68F9854A"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35" w:history="1">
            <w:r w:rsidR="00BD1AE9" w:rsidRPr="00D870B9">
              <w:rPr>
                <w:rStyle w:val="Hyperlink"/>
                <w:noProof/>
              </w:rPr>
              <w:t>Routine inspections</w:t>
            </w:r>
            <w:r w:rsidR="00BD1AE9">
              <w:rPr>
                <w:noProof/>
                <w:webHidden/>
              </w:rPr>
              <w:tab/>
            </w:r>
            <w:r w:rsidR="00BD1AE9">
              <w:rPr>
                <w:noProof/>
                <w:webHidden/>
              </w:rPr>
              <w:fldChar w:fldCharType="begin"/>
            </w:r>
            <w:r w:rsidR="00BD1AE9">
              <w:rPr>
                <w:noProof/>
                <w:webHidden/>
              </w:rPr>
              <w:instrText xml:space="preserve"> PAGEREF _Toc166488035 \h </w:instrText>
            </w:r>
            <w:r w:rsidR="00BD1AE9">
              <w:rPr>
                <w:noProof/>
                <w:webHidden/>
              </w:rPr>
            </w:r>
            <w:r w:rsidR="00BD1AE9">
              <w:rPr>
                <w:noProof/>
                <w:webHidden/>
              </w:rPr>
              <w:fldChar w:fldCharType="separate"/>
            </w:r>
            <w:r w:rsidR="00636554">
              <w:rPr>
                <w:noProof/>
                <w:webHidden/>
              </w:rPr>
              <w:t>9</w:t>
            </w:r>
            <w:r w:rsidR="00BD1AE9">
              <w:rPr>
                <w:noProof/>
                <w:webHidden/>
              </w:rPr>
              <w:fldChar w:fldCharType="end"/>
            </w:r>
          </w:hyperlink>
        </w:p>
        <w:p w14:paraId="740FE5D0" w14:textId="2B84B0B2"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36" w:history="1">
            <w:r w:rsidR="00BD1AE9" w:rsidRPr="00D870B9">
              <w:rPr>
                <w:rStyle w:val="Hyperlink"/>
                <w:noProof/>
              </w:rPr>
              <w:t>‘For cause’ inspections</w:t>
            </w:r>
            <w:r w:rsidR="00BD1AE9">
              <w:rPr>
                <w:noProof/>
                <w:webHidden/>
              </w:rPr>
              <w:tab/>
            </w:r>
            <w:r w:rsidR="00BD1AE9">
              <w:rPr>
                <w:noProof/>
                <w:webHidden/>
              </w:rPr>
              <w:fldChar w:fldCharType="begin"/>
            </w:r>
            <w:r w:rsidR="00BD1AE9">
              <w:rPr>
                <w:noProof/>
                <w:webHidden/>
              </w:rPr>
              <w:instrText xml:space="preserve"> PAGEREF _Toc166488036 \h </w:instrText>
            </w:r>
            <w:r w:rsidR="00BD1AE9">
              <w:rPr>
                <w:noProof/>
                <w:webHidden/>
              </w:rPr>
            </w:r>
            <w:r w:rsidR="00BD1AE9">
              <w:rPr>
                <w:noProof/>
                <w:webHidden/>
              </w:rPr>
              <w:fldChar w:fldCharType="separate"/>
            </w:r>
            <w:r w:rsidR="00636554">
              <w:rPr>
                <w:noProof/>
                <w:webHidden/>
              </w:rPr>
              <w:t>9</w:t>
            </w:r>
            <w:r w:rsidR="00BD1AE9">
              <w:rPr>
                <w:noProof/>
                <w:webHidden/>
              </w:rPr>
              <w:fldChar w:fldCharType="end"/>
            </w:r>
          </w:hyperlink>
        </w:p>
        <w:p w14:paraId="20F05B1E" w14:textId="5B03E1D0"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37" w:history="1">
            <w:r w:rsidR="00BD1AE9" w:rsidRPr="00D870B9">
              <w:rPr>
                <w:rStyle w:val="Hyperlink"/>
                <w:noProof/>
              </w:rPr>
              <w:t>Announced and unannounced inspections</w:t>
            </w:r>
            <w:r w:rsidR="00BD1AE9">
              <w:rPr>
                <w:noProof/>
                <w:webHidden/>
              </w:rPr>
              <w:tab/>
            </w:r>
            <w:r w:rsidR="00BD1AE9">
              <w:rPr>
                <w:noProof/>
                <w:webHidden/>
              </w:rPr>
              <w:fldChar w:fldCharType="begin"/>
            </w:r>
            <w:r w:rsidR="00BD1AE9">
              <w:rPr>
                <w:noProof/>
                <w:webHidden/>
              </w:rPr>
              <w:instrText xml:space="preserve"> PAGEREF _Toc166488037 \h </w:instrText>
            </w:r>
            <w:r w:rsidR="00BD1AE9">
              <w:rPr>
                <w:noProof/>
                <w:webHidden/>
              </w:rPr>
            </w:r>
            <w:r w:rsidR="00BD1AE9">
              <w:rPr>
                <w:noProof/>
                <w:webHidden/>
              </w:rPr>
              <w:fldChar w:fldCharType="separate"/>
            </w:r>
            <w:r w:rsidR="00636554">
              <w:rPr>
                <w:noProof/>
                <w:webHidden/>
              </w:rPr>
              <w:t>9</w:t>
            </w:r>
            <w:r w:rsidR="00BD1AE9">
              <w:rPr>
                <w:noProof/>
                <w:webHidden/>
              </w:rPr>
              <w:fldChar w:fldCharType="end"/>
            </w:r>
          </w:hyperlink>
        </w:p>
        <w:p w14:paraId="3FE45FCC" w14:textId="55692356"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38" w:history="1">
            <w:r w:rsidR="00BD1AE9" w:rsidRPr="00D870B9">
              <w:rPr>
                <w:rStyle w:val="Hyperlink"/>
                <w:noProof/>
              </w:rPr>
              <w:t>Re-inspections</w:t>
            </w:r>
            <w:r w:rsidR="00BD1AE9">
              <w:rPr>
                <w:noProof/>
                <w:webHidden/>
              </w:rPr>
              <w:tab/>
            </w:r>
            <w:r w:rsidR="00BD1AE9">
              <w:rPr>
                <w:noProof/>
                <w:webHidden/>
              </w:rPr>
              <w:fldChar w:fldCharType="begin"/>
            </w:r>
            <w:r w:rsidR="00BD1AE9">
              <w:rPr>
                <w:noProof/>
                <w:webHidden/>
              </w:rPr>
              <w:instrText xml:space="preserve"> PAGEREF _Toc166488038 \h </w:instrText>
            </w:r>
            <w:r w:rsidR="00BD1AE9">
              <w:rPr>
                <w:noProof/>
                <w:webHidden/>
              </w:rPr>
            </w:r>
            <w:r w:rsidR="00BD1AE9">
              <w:rPr>
                <w:noProof/>
                <w:webHidden/>
              </w:rPr>
              <w:fldChar w:fldCharType="separate"/>
            </w:r>
            <w:r w:rsidR="00636554">
              <w:rPr>
                <w:noProof/>
                <w:webHidden/>
              </w:rPr>
              <w:t>9</w:t>
            </w:r>
            <w:r w:rsidR="00BD1AE9">
              <w:rPr>
                <w:noProof/>
                <w:webHidden/>
              </w:rPr>
              <w:fldChar w:fldCharType="end"/>
            </w:r>
          </w:hyperlink>
        </w:p>
        <w:p w14:paraId="373BDD0B" w14:textId="0773852D"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39" w:history="1">
            <w:r w:rsidR="00BD1AE9" w:rsidRPr="00D870B9">
              <w:rPr>
                <w:rStyle w:val="Hyperlink"/>
                <w:noProof/>
              </w:rPr>
              <w:t>Remote/Hybrid inspections</w:t>
            </w:r>
            <w:r w:rsidR="00BD1AE9">
              <w:rPr>
                <w:noProof/>
                <w:webHidden/>
              </w:rPr>
              <w:tab/>
            </w:r>
            <w:r w:rsidR="00BD1AE9">
              <w:rPr>
                <w:noProof/>
                <w:webHidden/>
              </w:rPr>
              <w:fldChar w:fldCharType="begin"/>
            </w:r>
            <w:r w:rsidR="00BD1AE9">
              <w:rPr>
                <w:noProof/>
                <w:webHidden/>
              </w:rPr>
              <w:instrText xml:space="preserve"> PAGEREF _Toc166488039 \h </w:instrText>
            </w:r>
            <w:r w:rsidR="00BD1AE9">
              <w:rPr>
                <w:noProof/>
                <w:webHidden/>
              </w:rPr>
            </w:r>
            <w:r w:rsidR="00BD1AE9">
              <w:rPr>
                <w:noProof/>
                <w:webHidden/>
              </w:rPr>
              <w:fldChar w:fldCharType="separate"/>
            </w:r>
            <w:r w:rsidR="00636554">
              <w:rPr>
                <w:noProof/>
                <w:webHidden/>
              </w:rPr>
              <w:t>10</w:t>
            </w:r>
            <w:r w:rsidR="00BD1AE9">
              <w:rPr>
                <w:noProof/>
                <w:webHidden/>
              </w:rPr>
              <w:fldChar w:fldCharType="end"/>
            </w:r>
          </w:hyperlink>
        </w:p>
        <w:p w14:paraId="0E9BB0DD" w14:textId="68B1B934" w:rsidR="00BD1AE9" w:rsidRPr="007E22ED" w:rsidRDefault="002B2EFD" w:rsidP="007E22ED">
          <w:pPr>
            <w:pStyle w:val="TOC1"/>
            <w:rPr>
              <w:rFonts w:asciiTheme="minorHAnsi" w:eastAsiaTheme="minorEastAsia" w:hAnsiTheme="minorHAnsi" w:cstheme="minorBidi"/>
              <w:color w:val="auto"/>
              <w:kern w:val="2"/>
              <w:lang w:eastAsia="en-AU"/>
              <w14:ligatures w14:val="standardContextual"/>
            </w:rPr>
          </w:pPr>
          <w:hyperlink w:anchor="_Toc166488040" w:history="1">
            <w:r w:rsidR="00BD1AE9" w:rsidRPr="007E22ED">
              <w:rPr>
                <w:rStyle w:val="Hyperlink"/>
              </w:rPr>
              <w:t>Inspection process</w:t>
            </w:r>
            <w:r w:rsidR="00BD1AE9" w:rsidRPr="007E22ED">
              <w:rPr>
                <w:webHidden/>
              </w:rPr>
              <w:tab/>
            </w:r>
            <w:r w:rsidR="00BD1AE9" w:rsidRPr="007E22ED">
              <w:rPr>
                <w:webHidden/>
              </w:rPr>
              <w:fldChar w:fldCharType="begin"/>
            </w:r>
            <w:r w:rsidR="00BD1AE9" w:rsidRPr="007E22ED">
              <w:rPr>
                <w:webHidden/>
              </w:rPr>
              <w:instrText xml:space="preserve"> PAGEREF _Toc166488040 \h </w:instrText>
            </w:r>
            <w:r w:rsidR="00BD1AE9" w:rsidRPr="007E22ED">
              <w:rPr>
                <w:webHidden/>
              </w:rPr>
            </w:r>
            <w:r w:rsidR="00BD1AE9" w:rsidRPr="007E22ED">
              <w:rPr>
                <w:webHidden/>
              </w:rPr>
              <w:fldChar w:fldCharType="separate"/>
            </w:r>
            <w:r w:rsidR="00636554">
              <w:rPr>
                <w:webHidden/>
              </w:rPr>
              <w:t>10</w:t>
            </w:r>
            <w:r w:rsidR="00BD1AE9" w:rsidRPr="007E22ED">
              <w:rPr>
                <w:webHidden/>
              </w:rPr>
              <w:fldChar w:fldCharType="end"/>
            </w:r>
          </w:hyperlink>
        </w:p>
        <w:p w14:paraId="05DCB4CD" w14:textId="620D876C"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41" w:history="1">
            <w:r w:rsidR="00BD1AE9" w:rsidRPr="00D870B9">
              <w:rPr>
                <w:rStyle w:val="Hyperlink"/>
                <w:noProof/>
              </w:rPr>
              <w:t>Site selection</w:t>
            </w:r>
            <w:r w:rsidR="00BD1AE9">
              <w:rPr>
                <w:noProof/>
                <w:webHidden/>
              </w:rPr>
              <w:tab/>
            </w:r>
            <w:r w:rsidR="00BD1AE9">
              <w:rPr>
                <w:noProof/>
                <w:webHidden/>
              </w:rPr>
              <w:fldChar w:fldCharType="begin"/>
            </w:r>
            <w:r w:rsidR="00BD1AE9">
              <w:rPr>
                <w:noProof/>
                <w:webHidden/>
              </w:rPr>
              <w:instrText xml:space="preserve"> PAGEREF _Toc166488041 \h </w:instrText>
            </w:r>
            <w:r w:rsidR="00BD1AE9">
              <w:rPr>
                <w:noProof/>
                <w:webHidden/>
              </w:rPr>
            </w:r>
            <w:r w:rsidR="00BD1AE9">
              <w:rPr>
                <w:noProof/>
                <w:webHidden/>
              </w:rPr>
              <w:fldChar w:fldCharType="separate"/>
            </w:r>
            <w:r w:rsidR="00636554">
              <w:rPr>
                <w:noProof/>
                <w:webHidden/>
              </w:rPr>
              <w:t>10</w:t>
            </w:r>
            <w:r w:rsidR="00BD1AE9">
              <w:rPr>
                <w:noProof/>
                <w:webHidden/>
              </w:rPr>
              <w:fldChar w:fldCharType="end"/>
            </w:r>
          </w:hyperlink>
        </w:p>
        <w:p w14:paraId="7F10DDE2" w14:textId="48E3CEE3"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42" w:history="1">
            <w:r w:rsidR="00BD1AE9" w:rsidRPr="00D870B9">
              <w:rPr>
                <w:rStyle w:val="Hyperlink"/>
                <w:noProof/>
              </w:rPr>
              <w:t>Inspection announcement</w:t>
            </w:r>
            <w:r w:rsidR="00BD1AE9">
              <w:rPr>
                <w:noProof/>
                <w:webHidden/>
              </w:rPr>
              <w:tab/>
            </w:r>
            <w:r w:rsidR="00BD1AE9">
              <w:rPr>
                <w:noProof/>
                <w:webHidden/>
              </w:rPr>
              <w:fldChar w:fldCharType="begin"/>
            </w:r>
            <w:r w:rsidR="00BD1AE9">
              <w:rPr>
                <w:noProof/>
                <w:webHidden/>
              </w:rPr>
              <w:instrText xml:space="preserve"> PAGEREF _Toc166488042 \h </w:instrText>
            </w:r>
            <w:r w:rsidR="00BD1AE9">
              <w:rPr>
                <w:noProof/>
                <w:webHidden/>
              </w:rPr>
            </w:r>
            <w:r w:rsidR="00BD1AE9">
              <w:rPr>
                <w:noProof/>
                <w:webHidden/>
              </w:rPr>
              <w:fldChar w:fldCharType="separate"/>
            </w:r>
            <w:r w:rsidR="00636554">
              <w:rPr>
                <w:noProof/>
                <w:webHidden/>
              </w:rPr>
              <w:t>11</w:t>
            </w:r>
            <w:r w:rsidR="00BD1AE9">
              <w:rPr>
                <w:noProof/>
                <w:webHidden/>
              </w:rPr>
              <w:fldChar w:fldCharType="end"/>
            </w:r>
          </w:hyperlink>
        </w:p>
        <w:p w14:paraId="451D16E5" w14:textId="02A91CDF" w:rsidR="00BD1AE9" w:rsidRPr="007E22ED" w:rsidRDefault="002B2EFD" w:rsidP="007E22ED">
          <w:pPr>
            <w:pStyle w:val="TOC1"/>
            <w:rPr>
              <w:rFonts w:asciiTheme="minorHAnsi" w:eastAsiaTheme="minorEastAsia" w:hAnsiTheme="minorHAnsi" w:cstheme="minorBidi"/>
              <w:color w:val="auto"/>
              <w:kern w:val="2"/>
              <w:lang w:eastAsia="en-AU"/>
              <w14:ligatures w14:val="standardContextual"/>
            </w:rPr>
          </w:pPr>
          <w:hyperlink w:anchor="_Toc166488043" w:history="1">
            <w:r w:rsidR="00BD1AE9" w:rsidRPr="007E22ED">
              <w:rPr>
                <w:rStyle w:val="Hyperlink"/>
              </w:rPr>
              <w:t>Pre-inspection</w:t>
            </w:r>
            <w:r w:rsidR="00BD1AE9" w:rsidRPr="007E22ED">
              <w:rPr>
                <w:webHidden/>
              </w:rPr>
              <w:tab/>
            </w:r>
            <w:r w:rsidR="00BD1AE9" w:rsidRPr="007E22ED">
              <w:rPr>
                <w:webHidden/>
              </w:rPr>
              <w:fldChar w:fldCharType="begin"/>
            </w:r>
            <w:r w:rsidR="00BD1AE9" w:rsidRPr="007E22ED">
              <w:rPr>
                <w:webHidden/>
              </w:rPr>
              <w:instrText xml:space="preserve"> PAGEREF _Toc166488043 \h </w:instrText>
            </w:r>
            <w:r w:rsidR="00BD1AE9" w:rsidRPr="007E22ED">
              <w:rPr>
                <w:webHidden/>
              </w:rPr>
            </w:r>
            <w:r w:rsidR="00BD1AE9" w:rsidRPr="007E22ED">
              <w:rPr>
                <w:webHidden/>
              </w:rPr>
              <w:fldChar w:fldCharType="separate"/>
            </w:r>
            <w:r w:rsidR="00636554">
              <w:rPr>
                <w:webHidden/>
              </w:rPr>
              <w:t>11</w:t>
            </w:r>
            <w:r w:rsidR="00BD1AE9" w:rsidRPr="007E22ED">
              <w:rPr>
                <w:webHidden/>
              </w:rPr>
              <w:fldChar w:fldCharType="end"/>
            </w:r>
          </w:hyperlink>
        </w:p>
        <w:p w14:paraId="08042955" w14:textId="36A052B8" w:rsidR="00BD1AE9" w:rsidRPr="007E22ED" w:rsidRDefault="002B2EFD" w:rsidP="007E22ED">
          <w:pPr>
            <w:pStyle w:val="TOC1"/>
            <w:rPr>
              <w:rFonts w:asciiTheme="minorHAnsi" w:eastAsiaTheme="minorEastAsia" w:hAnsiTheme="minorHAnsi" w:cstheme="minorBidi"/>
              <w:color w:val="auto"/>
              <w:kern w:val="2"/>
              <w:lang w:eastAsia="en-AU"/>
              <w14:ligatures w14:val="standardContextual"/>
            </w:rPr>
          </w:pPr>
          <w:hyperlink w:anchor="_Toc166488044" w:history="1">
            <w:r w:rsidR="00BD1AE9" w:rsidRPr="007E22ED">
              <w:rPr>
                <w:rStyle w:val="Hyperlink"/>
              </w:rPr>
              <w:t>During an inspection</w:t>
            </w:r>
            <w:r w:rsidR="00BD1AE9" w:rsidRPr="007E22ED">
              <w:rPr>
                <w:webHidden/>
              </w:rPr>
              <w:tab/>
            </w:r>
            <w:r w:rsidR="00BD1AE9" w:rsidRPr="007E22ED">
              <w:rPr>
                <w:webHidden/>
              </w:rPr>
              <w:fldChar w:fldCharType="begin"/>
            </w:r>
            <w:r w:rsidR="00BD1AE9" w:rsidRPr="007E22ED">
              <w:rPr>
                <w:webHidden/>
              </w:rPr>
              <w:instrText xml:space="preserve"> PAGEREF _Toc166488044 \h </w:instrText>
            </w:r>
            <w:r w:rsidR="00BD1AE9" w:rsidRPr="007E22ED">
              <w:rPr>
                <w:webHidden/>
              </w:rPr>
            </w:r>
            <w:r w:rsidR="00BD1AE9" w:rsidRPr="007E22ED">
              <w:rPr>
                <w:webHidden/>
              </w:rPr>
              <w:fldChar w:fldCharType="separate"/>
            </w:r>
            <w:r w:rsidR="00636554">
              <w:rPr>
                <w:webHidden/>
              </w:rPr>
              <w:t>11</w:t>
            </w:r>
            <w:r w:rsidR="00BD1AE9" w:rsidRPr="007E22ED">
              <w:rPr>
                <w:webHidden/>
              </w:rPr>
              <w:fldChar w:fldCharType="end"/>
            </w:r>
          </w:hyperlink>
        </w:p>
        <w:p w14:paraId="22B26910" w14:textId="05771D3E"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45" w:history="1">
            <w:r w:rsidR="00BD1AE9" w:rsidRPr="00D870B9">
              <w:rPr>
                <w:rStyle w:val="Hyperlink"/>
                <w:noProof/>
              </w:rPr>
              <w:t>Opening meeting</w:t>
            </w:r>
            <w:r w:rsidR="00BD1AE9">
              <w:rPr>
                <w:noProof/>
                <w:webHidden/>
              </w:rPr>
              <w:tab/>
            </w:r>
            <w:r w:rsidR="00BD1AE9">
              <w:rPr>
                <w:noProof/>
                <w:webHidden/>
              </w:rPr>
              <w:fldChar w:fldCharType="begin"/>
            </w:r>
            <w:r w:rsidR="00BD1AE9">
              <w:rPr>
                <w:noProof/>
                <w:webHidden/>
              </w:rPr>
              <w:instrText xml:space="preserve"> PAGEREF _Toc166488045 \h </w:instrText>
            </w:r>
            <w:r w:rsidR="00BD1AE9">
              <w:rPr>
                <w:noProof/>
                <w:webHidden/>
              </w:rPr>
            </w:r>
            <w:r w:rsidR="00BD1AE9">
              <w:rPr>
                <w:noProof/>
                <w:webHidden/>
              </w:rPr>
              <w:fldChar w:fldCharType="separate"/>
            </w:r>
            <w:r w:rsidR="00636554">
              <w:rPr>
                <w:noProof/>
                <w:webHidden/>
              </w:rPr>
              <w:t>12</w:t>
            </w:r>
            <w:r w:rsidR="00BD1AE9">
              <w:rPr>
                <w:noProof/>
                <w:webHidden/>
              </w:rPr>
              <w:fldChar w:fldCharType="end"/>
            </w:r>
          </w:hyperlink>
        </w:p>
        <w:p w14:paraId="317553B8" w14:textId="493A2C63"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46" w:history="1">
            <w:r w:rsidR="00BD1AE9" w:rsidRPr="00D870B9">
              <w:rPr>
                <w:rStyle w:val="Hyperlink"/>
                <w:noProof/>
              </w:rPr>
              <w:t>Closing meeting</w:t>
            </w:r>
            <w:r w:rsidR="00BD1AE9">
              <w:rPr>
                <w:noProof/>
                <w:webHidden/>
              </w:rPr>
              <w:tab/>
            </w:r>
            <w:r w:rsidR="00BD1AE9">
              <w:rPr>
                <w:noProof/>
                <w:webHidden/>
              </w:rPr>
              <w:fldChar w:fldCharType="begin"/>
            </w:r>
            <w:r w:rsidR="00BD1AE9">
              <w:rPr>
                <w:noProof/>
                <w:webHidden/>
              </w:rPr>
              <w:instrText xml:space="preserve"> PAGEREF _Toc166488046 \h </w:instrText>
            </w:r>
            <w:r w:rsidR="00BD1AE9">
              <w:rPr>
                <w:noProof/>
                <w:webHidden/>
              </w:rPr>
            </w:r>
            <w:r w:rsidR="00BD1AE9">
              <w:rPr>
                <w:noProof/>
                <w:webHidden/>
              </w:rPr>
              <w:fldChar w:fldCharType="separate"/>
            </w:r>
            <w:r w:rsidR="00636554">
              <w:rPr>
                <w:noProof/>
                <w:webHidden/>
              </w:rPr>
              <w:t>12</w:t>
            </w:r>
            <w:r w:rsidR="00BD1AE9">
              <w:rPr>
                <w:noProof/>
                <w:webHidden/>
              </w:rPr>
              <w:fldChar w:fldCharType="end"/>
            </w:r>
          </w:hyperlink>
        </w:p>
        <w:p w14:paraId="7D198990" w14:textId="51AB2F2D" w:rsidR="00BD1AE9" w:rsidRPr="007E22ED" w:rsidRDefault="002B2EFD" w:rsidP="007E22ED">
          <w:pPr>
            <w:pStyle w:val="TOC1"/>
            <w:rPr>
              <w:rFonts w:asciiTheme="minorHAnsi" w:eastAsiaTheme="minorEastAsia" w:hAnsiTheme="minorHAnsi" w:cstheme="minorBidi"/>
              <w:color w:val="auto"/>
              <w:kern w:val="2"/>
              <w:lang w:eastAsia="en-AU"/>
              <w14:ligatures w14:val="standardContextual"/>
            </w:rPr>
          </w:pPr>
          <w:hyperlink w:anchor="_Toc166488047" w:history="1">
            <w:r w:rsidR="00BD1AE9" w:rsidRPr="007E22ED">
              <w:rPr>
                <w:rStyle w:val="Hyperlink"/>
              </w:rPr>
              <w:t>After an inspection</w:t>
            </w:r>
            <w:r w:rsidR="00BD1AE9" w:rsidRPr="007E22ED">
              <w:rPr>
                <w:webHidden/>
              </w:rPr>
              <w:tab/>
            </w:r>
            <w:r w:rsidR="00BD1AE9" w:rsidRPr="007E22ED">
              <w:rPr>
                <w:webHidden/>
              </w:rPr>
              <w:fldChar w:fldCharType="begin"/>
            </w:r>
            <w:r w:rsidR="00BD1AE9" w:rsidRPr="007E22ED">
              <w:rPr>
                <w:webHidden/>
              </w:rPr>
              <w:instrText xml:space="preserve"> PAGEREF _Toc166488047 \h </w:instrText>
            </w:r>
            <w:r w:rsidR="00BD1AE9" w:rsidRPr="007E22ED">
              <w:rPr>
                <w:webHidden/>
              </w:rPr>
            </w:r>
            <w:r w:rsidR="00BD1AE9" w:rsidRPr="007E22ED">
              <w:rPr>
                <w:webHidden/>
              </w:rPr>
              <w:fldChar w:fldCharType="separate"/>
            </w:r>
            <w:r w:rsidR="00636554">
              <w:rPr>
                <w:webHidden/>
              </w:rPr>
              <w:t>13</w:t>
            </w:r>
            <w:r w:rsidR="00BD1AE9" w:rsidRPr="007E22ED">
              <w:rPr>
                <w:webHidden/>
              </w:rPr>
              <w:fldChar w:fldCharType="end"/>
            </w:r>
          </w:hyperlink>
        </w:p>
        <w:p w14:paraId="57BF63B4" w14:textId="166AF001"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48" w:history="1">
            <w:r w:rsidR="00BD1AE9" w:rsidRPr="00D870B9">
              <w:rPr>
                <w:rStyle w:val="Hyperlink"/>
                <w:noProof/>
              </w:rPr>
              <w:t>Inspection report</w:t>
            </w:r>
            <w:r w:rsidR="00BD1AE9">
              <w:rPr>
                <w:noProof/>
                <w:webHidden/>
              </w:rPr>
              <w:tab/>
            </w:r>
            <w:r w:rsidR="00BD1AE9">
              <w:rPr>
                <w:noProof/>
                <w:webHidden/>
              </w:rPr>
              <w:fldChar w:fldCharType="begin"/>
            </w:r>
            <w:r w:rsidR="00BD1AE9">
              <w:rPr>
                <w:noProof/>
                <w:webHidden/>
              </w:rPr>
              <w:instrText xml:space="preserve"> PAGEREF _Toc166488048 \h </w:instrText>
            </w:r>
            <w:r w:rsidR="00BD1AE9">
              <w:rPr>
                <w:noProof/>
                <w:webHidden/>
              </w:rPr>
            </w:r>
            <w:r w:rsidR="00BD1AE9">
              <w:rPr>
                <w:noProof/>
                <w:webHidden/>
              </w:rPr>
              <w:fldChar w:fldCharType="separate"/>
            </w:r>
            <w:r w:rsidR="00636554">
              <w:rPr>
                <w:noProof/>
                <w:webHidden/>
              </w:rPr>
              <w:t>13</w:t>
            </w:r>
            <w:r w:rsidR="00BD1AE9">
              <w:rPr>
                <w:noProof/>
                <w:webHidden/>
              </w:rPr>
              <w:fldChar w:fldCharType="end"/>
            </w:r>
          </w:hyperlink>
        </w:p>
        <w:p w14:paraId="6460DD1C" w14:textId="2052C13A" w:rsidR="00BD1AE9" w:rsidRPr="007E22ED" w:rsidRDefault="002B2EFD" w:rsidP="007E22ED">
          <w:pPr>
            <w:pStyle w:val="TOC1"/>
            <w:rPr>
              <w:rFonts w:asciiTheme="minorHAnsi" w:eastAsiaTheme="minorEastAsia" w:hAnsiTheme="minorHAnsi" w:cstheme="minorBidi"/>
              <w:color w:val="auto"/>
              <w:kern w:val="2"/>
              <w:lang w:eastAsia="en-AU"/>
              <w14:ligatures w14:val="standardContextual"/>
            </w:rPr>
          </w:pPr>
          <w:hyperlink w:anchor="_Toc166488049" w:history="1">
            <w:r w:rsidR="00BD1AE9" w:rsidRPr="007E22ED">
              <w:rPr>
                <w:rStyle w:val="Hyperlink"/>
              </w:rPr>
              <w:t>Grading of inspection findings</w:t>
            </w:r>
            <w:r w:rsidR="00BD1AE9" w:rsidRPr="007E22ED">
              <w:rPr>
                <w:webHidden/>
              </w:rPr>
              <w:tab/>
            </w:r>
            <w:r w:rsidR="00BD1AE9" w:rsidRPr="007E22ED">
              <w:rPr>
                <w:webHidden/>
              </w:rPr>
              <w:fldChar w:fldCharType="begin"/>
            </w:r>
            <w:r w:rsidR="00BD1AE9" w:rsidRPr="007E22ED">
              <w:rPr>
                <w:webHidden/>
              </w:rPr>
              <w:instrText xml:space="preserve"> PAGEREF _Toc166488049 \h </w:instrText>
            </w:r>
            <w:r w:rsidR="00BD1AE9" w:rsidRPr="007E22ED">
              <w:rPr>
                <w:webHidden/>
              </w:rPr>
            </w:r>
            <w:r w:rsidR="00BD1AE9" w:rsidRPr="007E22ED">
              <w:rPr>
                <w:webHidden/>
              </w:rPr>
              <w:fldChar w:fldCharType="separate"/>
            </w:r>
            <w:r w:rsidR="00636554">
              <w:rPr>
                <w:webHidden/>
              </w:rPr>
              <w:t>13</w:t>
            </w:r>
            <w:r w:rsidR="00BD1AE9" w:rsidRPr="007E22ED">
              <w:rPr>
                <w:webHidden/>
              </w:rPr>
              <w:fldChar w:fldCharType="end"/>
            </w:r>
          </w:hyperlink>
        </w:p>
        <w:p w14:paraId="730F6A83" w14:textId="66FF03CB"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50" w:history="1">
            <w:r w:rsidR="00BD1AE9" w:rsidRPr="00D870B9">
              <w:rPr>
                <w:rStyle w:val="Hyperlink"/>
                <w:noProof/>
              </w:rPr>
              <w:t>Critical deficiency</w:t>
            </w:r>
            <w:r w:rsidR="00BD1AE9">
              <w:rPr>
                <w:noProof/>
                <w:webHidden/>
              </w:rPr>
              <w:tab/>
            </w:r>
            <w:r w:rsidR="00BD1AE9">
              <w:rPr>
                <w:noProof/>
                <w:webHidden/>
              </w:rPr>
              <w:fldChar w:fldCharType="begin"/>
            </w:r>
            <w:r w:rsidR="00BD1AE9">
              <w:rPr>
                <w:noProof/>
                <w:webHidden/>
              </w:rPr>
              <w:instrText xml:space="preserve"> PAGEREF _Toc166488050 \h </w:instrText>
            </w:r>
            <w:r w:rsidR="00BD1AE9">
              <w:rPr>
                <w:noProof/>
                <w:webHidden/>
              </w:rPr>
            </w:r>
            <w:r w:rsidR="00BD1AE9">
              <w:rPr>
                <w:noProof/>
                <w:webHidden/>
              </w:rPr>
              <w:fldChar w:fldCharType="separate"/>
            </w:r>
            <w:r w:rsidR="00636554">
              <w:rPr>
                <w:noProof/>
                <w:webHidden/>
              </w:rPr>
              <w:t>14</w:t>
            </w:r>
            <w:r w:rsidR="00BD1AE9">
              <w:rPr>
                <w:noProof/>
                <w:webHidden/>
              </w:rPr>
              <w:fldChar w:fldCharType="end"/>
            </w:r>
          </w:hyperlink>
        </w:p>
        <w:p w14:paraId="317620A5" w14:textId="358AC2B7"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51" w:history="1">
            <w:r w:rsidR="00BD1AE9" w:rsidRPr="00D870B9">
              <w:rPr>
                <w:rStyle w:val="Hyperlink"/>
                <w:noProof/>
              </w:rPr>
              <w:t>Major deficiency</w:t>
            </w:r>
            <w:r w:rsidR="00BD1AE9">
              <w:rPr>
                <w:noProof/>
                <w:webHidden/>
              </w:rPr>
              <w:tab/>
            </w:r>
            <w:r w:rsidR="00BD1AE9">
              <w:rPr>
                <w:noProof/>
                <w:webHidden/>
              </w:rPr>
              <w:fldChar w:fldCharType="begin"/>
            </w:r>
            <w:r w:rsidR="00BD1AE9">
              <w:rPr>
                <w:noProof/>
                <w:webHidden/>
              </w:rPr>
              <w:instrText xml:space="preserve"> PAGEREF _Toc166488051 \h </w:instrText>
            </w:r>
            <w:r w:rsidR="00BD1AE9">
              <w:rPr>
                <w:noProof/>
                <w:webHidden/>
              </w:rPr>
            </w:r>
            <w:r w:rsidR="00BD1AE9">
              <w:rPr>
                <w:noProof/>
                <w:webHidden/>
              </w:rPr>
              <w:fldChar w:fldCharType="separate"/>
            </w:r>
            <w:r w:rsidR="00636554">
              <w:rPr>
                <w:noProof/>
                <w:webHidden/>
              </w:rPr>
              <w:t>14</w:t>
            </w:r>
            <w:r w:rsidR="00BD1AE9">
              <w:rPr>
                <w:noProof/>
                <w:webHidden/>
              </w:rPr>
              <w:fldChar w:fldCharType="end"/>
            </w:r>
          </w:hyperlink>
        </w:p>
        <w:p w14:paraId="1BCF39ED" w14:textId="1DAB8856" w:rsidR="00BD1AE9" w:rsidRDefault="002B2EFD">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488052" w:history="1">
            <w:r w:rsidR="00BD1AE9" w:rsidRPr="00D870B9">
              <w:rPr>
                <w:rStyle w:val="Hyperlink"/>
                <w:noProof/>
              </w:rPr>
              <w:t>Minor deficiency</w:t>
            </w:r>
            <w:r w:rsidR="00BD1AE9">
              <w:rPr>
                <w:noProof/>
                <w:webHidden/>
              </w:rPr>
              <w:tab/>
            </w:r>
            <w:r w:rsidR="00BD1AE9">
              <w:rPr>
                <w:noProof/>
                <w:webHidden/>
              </w:rPr>
              <w:fldChar w:fldCharType="begin"/>
            </w:r>
            <w:r w:rsidR="00BD1AE9">
              <w:rPr>
                <w:noProof/>
                <w:webHidden/>
              </w:rPr>
              <w:instrText xml:space="preserve"> PAGEREF _Toc166488052 \h </w:instrText>
            </w:r>
            <w:r w:rsidR="00BD1AE9">
              <w:rPr>
                <w:noProof/>
                <w:webHidden/>
              </w:rPr>
            </w:r>
            <w:r w:rsidR="00BD1AE9">
              <w:rPr>
                <w:noProof/>
                <w:webHidden/>
              </w:rPr>
              <w:fldChar w:fldCharType="separate"/>
            </w:r>
            <w:r w:rsidR="00636554">
              <w:rPr>
                <w:noProof/>
                <w:webHidden/>
              </w:rPr>
              <w:t>14</w:t>
            </w:r>
            <w:r w:rsidR="00BD1AE9">
              <w:rPr>
                <w:noProof/>
                <w:webHidden/>
              </w:rPr>
              <w:fldChar w:fldCharType="end"/>
            </w:r>
          </w:hyperlink>
        </w:p>
        <w:p w14:paraId="77EE06B8" w14:textId="756D0BFA" w:rsidR="00BD1AE9" w:rsidRPr="007E22ED" w:rsidRDefault="002B2EFD" w:rsidP="007E22ED">
          <w:pPr>
            <w:pStyle w:val="TOC1"/>
            <w:rPr>
              <w:rFonts w:asciiTheme="minorHAnsi" w:eastAsiaTheme="minorEastAsia" w:hAnsiTheme="minorHAnsi" w:cstheme="minorBidi"/>
              <w:color w:val="auto"/>
              <w:kern w:val="2"/>
              <w:lang w:eastAsia="en-AU"/>
              <w14:ligatures w14:val="standardContextual"/>
            </w:rPr>
          </w:pPr>
          <w:hyperlink w:anchor="_Toc166488053" w:history="1">
            <w:r w:rsidR="00BD1AE9" w:rsidRPr="007E22ED">
              <w:rPr>
                <w:rStyle w:val="Hyperlink"/>
              </w:rPr>
              <w:t>Compliance and enforcement</w:t>
            </w:r>
            <w:r w:rsidR="00BD1AE9" w:rsidRPr="007E22ED">
              <w:rPr>
                <w:webHidden/>
              </w:rPr>
              <w:tab/>
            </w:r>
            <w:r w:rsidR="00BD1AE9" w:rsidRPr="007E22ED">
              <w:rPr>
                <w:webHidden/>
              </w:rPr>
              <w:fldChar w:fldCharType="begin"/>
            </w:r>
            <w:r w:rsidR="00BD1AE9" w:rsidRPr="007E22ED">
              <w:rPr>
                <w:webHidden/>
              </w:rPr>
              <w:instrText xml:space="preserve"> PAGEREF _Toc166488053 \h </w:instrText>
            </w:r>
            <w:r w:rsidR="00BD1AE9" w:rsidRPr="007E22ED">
              <w:rPr>
                <w:webHidden/>
              </w:rPr>
            </w:r>
            <w:r w:rsidR="00BD1AE9" w:rsidRPr="007E22ED">
              <w:rPr>
                <w:webHidden/>
              </w:rPr>
              <w:fldChar w:fldCharType="separate"/>
            </w:r>
            <w:r w:rsidR="00636554">
              <w:rPr>
                <w:webHidden/>
              </w:rPr>
              <w:t>14</w:t>
            </w:r>
            <w:r w:rsidR="00BD1AE9" w:rsidRPr="007E22ED">
              <w:rPr>
                <w:webHidden/>
              </w:rPr>
              <w:fldChar w:fldCharType="end"/>
            </w:r>
          </w:hyperlink>
        </w:p>
        <w:p w14:paraId="0184C7F2" w14:textId="64AB3F59" w:rsidR="00BD1AE9" w:rsidRPr="007E22ED" w:rsidRDefault="002B2EFD" w:rsidP="007E22ED">
          <w:pPr>
            <w:pStyle w:val="TOC1"/>
            <w:rPr>
              <w:rFonts w:asciiTheme="minorHAnsi" w:eastAsiaTheme="minorEastAsia" w:hAnsiTheme="minorHAnsi" w:cstheme="minorBidi"/>
              <w:color w:val="auto"/>
              <w:kern w:val="2"/>
              <w:lang w:eastAsia="en-AU"/>
              <w14:ligatures w14:val="standardContextual"/>
            </w:rPr>
          </w:pPr>
          <w:hyperlink w:anchor="_Toc166488054" w:history="1">
            <w:r w:rsidR="00BD1AE9" w:rsidRPr="007E22ED">
              <w:rPr>
                <w:rStyle w:val="Hyperlink"/>
              </w:rPr>
              <w:t>Contacts</w:t>
            </w:r>
            <w:r w:rsidR="00BD1AE9" w:rsidRPr="007E22ED">
              <w:rPr>
                <w:webHidden/>
              </w:rPr>
              <w:tab/>
            </w:r>
            <w:r w:rsidR="00BD1AE9" w:rsidRPr="007E22ED">
              <w:rPr>
                <w:webHidden/>
              </w:rPr>
              <w:fldChar w:fldCharType="begin"/>
            </w:r>
            <w:r w:rsidR="00BD1AE9" w:rsidRPr="007E22ED">
              <w:rPr>
                <w:webHidden/>
              </w:rPr>
              <w:instrText xml:space="preserve"> PAGEREF _Toc166488054 \h </w:instrText>
            </w:r>
            <w:r w:rsidR="00BD1AE9" w:rsidRPr="007E22ED">
              <w:rPr>
                <w:webHidden/>
              </w:rPr>
            </w:r>
            <w:r w:rsidR="00BD1AE9" w:rsidRPr="007E22ED">
              <w:rPr>
                <w:webHidden/>
              </w:rPr>
              <w:fldChar w:fldCharType="separate"/>
            </w:r>
            <w:r w:rsidR="00636554">
              <w:rPr>
                <w:webHidden/>
              </w:rPr>
              <w:t>15</w:t>
            </w:r>
            <w:r w:rsidR="00BD1AE9" w:rsidRPr="007E22ED">
              <w:rPr>
                <w:webHidden/>
              </w:rPr>
              <w:fldChar w:fldCharType="end"/>
            </w:r>
          </w:hyperlink>
        </w:p>
        <w:p w14:paraId="5DF72F35" w14:textId="0D92C2CD" w:rsidR="00BD1AE9" w:rsidRPr="007E22ED" w:rsidRDefault="002B2EFD" w:rsidP="007E22ED">
          <w:pPr>
            <w:pStyle w:val="TOC1"/>
            <w:rPr>
              <w:rFonts w:asciiTheme="minorHAnsi" w:eastAsiaTheme="minorEastAsia" w:hAnsiTheme="minorHAnsi" w:cstheme="minorBidi"/>
              <w:color w:val="auto"/>
              <w:kern w:val="2"/>
              <w:lang w:eastAsia="en-AU"/>
              <w14:ligatures w14:val="standardContextual"/>
            </w:rPr>
          </w:pPr>
          <w:hyperlink w:anchor="_Toc166488055" w:history="1">
            <w:r w:rsidR="00BD1AE9" w:rsidRPr="007E22ED">
              <w:rPr>
                <w:rStyle w:val="Hyperlink"/>
              </w:rPr>
              <w:t>Version history</w:t>
            </w:r>
            <w:r w:rsidR="00BD1AE9" w:rsidRPr="007E22ED">
              <w:rPr>
                <w:webHidden/>
              </w:rPr>
              <w:tab/>
            </w:r>
            <w:r w:rsidR="00BD1AE9" w:rsidRPr="007E22ED">
              <w:rPr>
                <w:webHidden/>
              </w:rPr>
              <w:fldChar w:fldCharType="begin"/>
            </w:r>
            <w:r w:rsidR="00BD1AE9" w:rsidRPr="007E22ED">
              <w:rPr>
                <w:webHidden/>
              </w:rPr>
              <w:instrText xml:space="preserve"> PAGEREF _Toc166488055 \h </w:instrText>
            </w:r>
            <w:r w:rsidR="00BD1AE9" w:rsidRPr="007E22ED">
              <w:rPr>
                <w:webHidden/>
              </w:rPr>
            </w:r>
            <w:r w:rsidR="00BD1AE9" w:rsidRPr="007E22ED">
              <w:rPr>
                <w:webHidden/>
              </w:rPr>
              <w:fldChar w:fldCharType="separate"/>
            </w:r>
            <w:r w:rsidR="00636554">
              <w:rPr>
                <w:webHidden/>
              </w:rPr>
              <w:t>16</w:t>
            </w:r>
            <w:r w:rsidR="00BD1AE9" w:rsidRPr="007E22ED">
              <w:rPr>
                <w:webHidden/>
              </w:rPr>
              <w:fldChar w:fldCharType="end"/>
            </w:r>
          </w:hyperlink>
        </w:p>
        <w:p w14:paraId="62923F6C" w14:textId="6EDAE91B" w:rsidR="0089410A" w:rsidRDefault="0089410A" w:rsidP="0089410A">
          <w:r w:rsidRPr="000D7B64">
            <w:rPr>
              <w:sz w:val="14"/>
              <w:szCs w:val="14"/>
            </w:rPr>
            <w:fldChar w:fldCharType="end"/>
          </w:r>
        </w:p>
      </w:sdtContent>
    </w:sdt>
    <w:p w14:paraId="14BF9897" w14:textId="0510C4BB" w:rsidR="0089410A" w:rsidRDefault="0089410A">
      <w:pPr>
        <w:rPr>
          <w:rFonts w:eastAsia="Cambria" w:cs="Times New Roman"/>
          <w:bCs/>
          <w:color w:val="333F4A"/>
          <w:sz w:val="17"/>
        </w:rPr>
      </w:pPr>
    </w:p>
    <w:p w14:paraId="2BAAF670" w14:textId="1AF91E5B" w:rsidR="00A01EA1" w:rsidRDefault="003049B1" w:rsidP="00A01EA1">
      <w:pPr>
        <w:pStyle w:val="Heading2"/>
      </w:pPr>
      <w:bookmarkStart w:id="3" w:name="_Introduction"/>
      <w:bookmarkStart w:id="4" w:name="_Toc166488025"/>
      <w:bookmarkEnd w:id="3"/>
      <w:r>
        <w:lastRenderedPageBreak/>
        <w:t xml:space="preserve">About the </w:t>
      </w:r>
      <w:r w:rsidR="00DA3702">
        <w:t>Good Clinical Practice (GCP) Inspection Program</w:t>
      </w:r>
      <w:bookmarkEnd w:id="4"/>
      <w:r w:rsidR="00DA3702">
        <w:t xml:space="preserve"> </w:t>
      </w:r>
    </w:p>
    <w:p w14:paraId="269D3DE9" w14:textId="4719EBBD" w:rsidR="005C184F" w:rsidRDefault="00A01EA1" w:rsidP="00A01EA1">
      <w:pPr>
        <w:rPr>
          <w:rFonts w:asciiTheme="minorHAnsi" w:hAnsiTheme="minorHAnsi"/>
        </w:rPr>
      </w:pPr>
      <w:r w:rsidRPr="00A01EA1">
        <w:rPr>
          <w:rFonts w:asciiTheme="minorHAnsi" w:hAnsiTheme="minorHAnsi"/>
        </w:rPr>
        <w:t>Clinical trials of medicines</w:t>
      </w:r>
      <w:r>
        <w:rPr>
          <w:rFonts w:asciiTheme="minorHAnsi" w:hAnsiTheme="minorHAnsi"/>
        </w:rPr>
        <w:t xml:space="preserve">, </w:t>
      </w:r>
      <w:r w:rsidRPr="00A01EA1">
        <w:rPr>
          <w:rFonts w:asciiTheme="minorHAnsi" w:hAnsiTheme="minorHAnsi"/>
        </w:rPr>
        <w:t>biologicals</w:t>
      </w:r>
      <w:r>
        <w:rPr>
          <w:rFonts w:asciiTheme="minorHAnsi" w:hAnsiTheme="minorHAnsi"/>
        </w:rPr>
        <w:t xml:space="preserve"> and medical devices</w:t>
      </w:r>
      <w:r w:rsidRPr="00A01EA1">
        <w:rPr>
          <w:rFonts w:asciiTheme="minorHAnsi" w:hAnsiTheme="minorHAnsi"/>
        </w:rPr>
        <w:t xml:space="preserve"> regulated under the </w:t>
      </w:r>
      <w:r w:rsidRPr="00A8714B">
        <w:rPr>
          <w:rFonts w:asciiTheme="minorHAnsi" w:hAnsiTheme="minorHAnsi"/>
        </w:rPr>
        <w:t>Clinical Trial Notification</w:t>
      </w:r>
      <w:r w:rsidRPr="00C366F6">
        <w:rPr>
          <w:rFonts w:asciiTheme="minorHAnsi" w:hAnsiTheme="minorHAnsi"/>
        </w:rPr>
        <w:t xml:space="preserve"> </w:t>
      </w:r>
      <w:r>
        <w:rPr>
          <w:rFonts w:asciiTheme="minorHAnsi" w:hAnsiTheme="minorHAnsi"/>
        </w:rPr>
        <w:t>(</w:t>
      </w:r>
      <w:r w:rsidRPr="00C366F6">
        <w:rPr>
          <w:rFonts w:asciiTheme="minorHAnsi" w:hAnsiTheme="minorHAnsi"/>
        </w:rPr>
        <w:t>CTN</w:t>
      </w:r>
      <w:proofErr w:type="gramStart"/>
      <w:r>
        <w:rPr>
          <w:rFonts w:asciiTheme="minorHAnsi" w:hAnsiTheme="minorHAnsi"/>
        </w:rPr>
        <w:t>)</w:t>
      </w:r>
      <w:proofErr w:type="gramEnd"/>
      <w:r w:rsidRPr="00C366F6">
        <w:rPr>
          <w:rFonts w:asciiTheme="minorHAnsi" w:hAnsiTheme="minorHAnsi"/>
        </w:rPr>
        <w:t xml:space="preserve"> or </w:t>
      </w:r>
      <w:r w:rsidRPr="00A8714B">
        <w:rPr>
          <w:rFonts w:asciiTheme="minorHAnsi" w:hAnsiTheme="minorHAnsi"/>
        </w:rPr>
        <w:t xml:space="preserve">Clinical Trial Approval </w:t>
      </w:r>
      <w:r>
        <w:rPr>
          <w:rFonts w:asciiTheme="minorHAnsi" w:hAnsiTheme="minorHAnsi"/>
        </w:rPr>
        <w:t>(</w:t>
      </w:r>
      <w:r w:rsidRPr="00C366F6">
        <w:rPr>
          <w:rFonts w:asciiTheme="minorHAnsi" w:hAnsiTheme="minorHAnsi"/>
        </w:rPr>
        <w:t>CTA</w:t>
      </w:r>
      <w:r>
        <w:rPr>
          <w:rFonts w:asciiTheme="minorHAnsi" w:hAnsiTheme="minorHAnsi"/>
        </w:rPr>
        <w:t>)</w:t>
      </w:r>
      <w:r w:rsidRPr="00C366F6">
        <w:rPr>
          <w:rFonts w:asciiTheme="minorHAnsi" w:hAnsiTheme="minorHAnsi"/>
        </w:rPr>
        <w:t xml:space="preserve"> </w:t>
      </w:r>
      <w:r w:rsidRPr="00A01EA1">
        <w:rPr>
          <w:rFonts w:asciiTheme="minorHAnsi" w:hAnsiTheme="minorHAnsi"/>
        </w:rPr>
        <w:t>are subject to the Good Clinical Practice (GCP) Inspection Program.</w:t>
      </w:r>
      <w:r w:rsidR="000F5CEC">
        <w:rPr>
          <w:rFonts w:asciiTheme="minorHAnsi" w:hAnsiTheme="minorHAnsi"/>
        </w:rPr>
        <w:t xml:space="preserve"> </w:t>
      </w:r>
      <w:r w:rsidR="00D2401E">
        <w:rPr>
          <w:rFonts w:asciiTheme="minorHAnsi" w:hAnsiTheme="minorHAnsi"/>
        </w:rPr>
        <w:t xml:space="preserve">Our </w:t>
      </w:r>
      <w:r w:rsidR="00FF7654">
        <w:rPr>
          <w:rFonts w:asciiTheme="minorHAnsi" w:hAnsiTheme="minorHAnsi"/>
        </w:rPr>
        <w:t xml:space="preserve">GCP </w:t>
      </w:r>
      <w:r w:rsidR="00737F4E">
        <w:rPr>
          <w:rFonts w:asciiTheme="minorHAnsi" w:hAnsiTheme="minorHAnsi"/>
        </w:rPr>
        <w:t xml:space="preserve">inspectors </w:t>
      </w:r>
      <w:r w:rsidR="00335B7E" w:rsidRPr="0036474B">
        <w:rPr>
          <w:rFonts w:asciiTheme="minorHAnsi" w:hAnsiTheme="minorHAnsi"/>
        </w:rPr>
        <w:t xml:space="preserve">assess whether </w:t>
      </w:r>
      <w:r>
        <w:rPr>
          <w:rFonts w:asciiTheme="minorHAnsi" w:hAnsiTheme="minorHAnsi"/>
        </w:rPr>
        <w:t xml:space="preserve">Australian </w:t>
      </w:r>
      <w:r w:rsidR="000221A8">
        <w:rPr>
          <w:rFonts w:asciiTheme="minorHAnsi" w:hAnsiTheme="minorHAnsi"/>
        </w:rPr>
        <w:t xml:space="preserve">clinical trial sites </w:t>
      </w:r>
      <w:r w:rsidR="00335B7E" w:rsidRPr="0036474B">
        <w:rPr>
          <w:rFonts w:asciiTheme="minorHAnsi" w:hAnsiTheme="minorHAnsi"/>
        </w:rPr>
        <w:t>are meeting their GCP responsibilities</w:t>
      </w:r>
      <w:r w:rsidR="00335B7E">
        <w:rPr>
          <w:rFonts w:asciiTheme="minorHAnsi" w:hAnsiTheme="minorHAnsi"/>
        </w:rPr>
        <w:t>.</w:t>
      </w:r>
      <w:r w:rsidR="00046C57">
        <w:rPr>
          <w:rFonts w:asciiTheme="minorHAnsi" w:hAnsiTheme="minorHAnsi"/>
        </w:rPr>
        <w:t xml:space="preserve"> </w:t>
      </w:r>
    </w:p>
    <w:p w14:paraId="7C43B32C" w14:textId="513598AF" w:rsidR="00F5451C" w:rsidRDefault="00945385" w:rsidP="00945385">
      <w:pPr>
        <w:rPr>
          <w:rFonts w:asciiTheme="minorHAnsi" w:hAnsiTheme="minorHAnsi"/>
        </w:rPr>
      </w:pPr>
      <w:r w:rsidRPr="00C366F6">
        <w:rPr>
          <w:rFonts w:asciiTheme="minorHAnsi" w:hAnsiTheme="minorHAnsi"/>
        </w:rPr>
        <w:t xml:space="preserve">GCP is an international ethical and scientific quality standard for designing, conducting, recording, and reporting clinical trials. Compliance with GCP provides assurance that the rights, safety, and well-being of clinical trial participants are protected and that the trial data generated are credible.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519C8" w:rsidRPr="008C4B45" w14:paraId="5661789D" w14:textId="77777777" w:rsidTr="00DA3702">
        <w:trPr>
          <w:trHeight w:val="1420"/>
        </w:trPr>
        <w:tc>
          <w:tcPr>
            <w:tcW w:w="1276" w:type="dxa"/>
            <w:vAlign w:val="center"/>
          </w:tcPr>
          <w:p w14:paraId="2A655890" w14:textId="77777777" w:rsidR="007519C8" w:rsidRPr="00C366F6" w:rsidRDefault="007519C8" w:rsidP="00210DAD">
            <w:pPr>
              <w:rPr>
                <w:rFonts w:asciiTheme="minorHAnsi" w:hAnsiTheme="minorHAnsi"/>
              </w:rPr>
            </w:pPr>
            <w:r w:rsidRPr="00C366F6">
              <w:rPr>
                <w:rFonts w:asciiTheme="minorHAnsi" w:hAnsiTheme="minorHAnsi"/>
                <w:noProof/>
                <w:lang w:eastAsia="en-AU"/>
              </w:rPr>
              <w:drawing>
                <wp:inline distT="0" distB="0" distL="0" distR="0" wp14:anchorId="745D1126" wp14:editId="3167D126">
                  <wp:extent cx="487681" cy="487681"/>
                  <wp:effectExtent l="19050" t="0" r="7619" b="0"/>
                  <wp:docPr id="9" name="Picture 9"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D0365B5" w14:textId="5EEBB0E3" w:rsidR="007169E8" w:rsidRPr="00C366F6" w:rsidRDefault="00735C58" w:rsidP="00210DAD">
            <w:pPr>
              <w:rPr>
                <w:rFonts w:asciiTheme="minorHAnsi" w:hAnsiTheme="minorHAnsi"/>
              </w:rPr>
            </w:pPr>
            <w:r w:rsidRPr="00C366F6">
              <w:rPr>
                <w:rFonts w:asciiTheme="minorHAnsi" w:hAnsiTheme="minorHAnsi"/>
              </w:rPr>
              <w:t>We refer to the TGA as ‘we’</w:t>
            </w:r>
            <w:r w:rsidR="00D2401E">
              <w:rPr>
                <w:rFonts w:asciiTheme="minorHAnsi" w:hAnsiTheme="minorHAnsi"/>
              </w:rPr>
              <w:t>,</w:t>
            </w:r>
            <w:r w:rsidRPr="00C366F6">
              <w:rPr>
                <w:rFonts w:asciiTheme="minorHAnsi" w:hAnsiTheme="minorHAnsi"/>
              </w:rPr>
              <w:t xml:space="preserve"> ‘us’, </w:t>
            </w:r>
            <w:r w:rsidR="00D2401E">
              <w:rPr>
                <w:rFonts w:asciiTheme="minorHAnsi" w:hAnsiTheme="minorHAnsi"/>
              </w:rPr>
              <w:t xml:space="preserve">or ‘our’ </w:t>
            </w:r>
            <w:r w:rsidRPr="00C366F6">
              <w:rPr>
                <w:rFonts w:asciiTheme="minorHAnsi" w:hAnsiTheme="minorHAnsi"/>
              </w:rPr>
              <w:t>and to clinical trial sites as ‘you’.</w:t>
            </w:r>
            <w:r>
              <w:rPr>
                <w:rFonts w:asciiTheme="minorHAnsi" w:hAnsiTheme="minorHAnsi"/>
              </w:rPr>
              <w:t xml:space="preserve"> </w:t>
            </w:r>
            <w:r w:rsidR="009C4B31">
              <w:rPr>
                <w:rFonts w:asciiTheme="minorHAnsi" w:hAnsiTheme="minorHAnsi"/>
              </w:rPr>
              <w:t>W</w:t>
            </w:r>
            <w:r w:rsidR="007519C8" w:rsidRPr="00C366F6">
              <w:rPr>
                <w:rFonts w:asciiTheme="minorHAnsi" w:hAnsiTheme="minorHAnsi"/>
              </w:rPr>
              <w:t xml:space="preserve">e use ‘must’ or ‘required’ to describe something you are </w:t>
            </w:r>
            <w:r w:rsidR="007519C8" w:rsidRPr="00C366F6">
              <w:rPr>
                <w:rFonts w:asciiTheme="minorHAnsi" w:hAnsiTheme="minorHAnsi"/>
                <w:b/>
              </w:rPr>
              <w:t>legally obliged</w:t>
            </w:r>
            <w:r w:rsidR="007519C8" w:rsidRPr="00C366F6">
              <w:rPr>
                <w:rFonts w:asciiTheme="minorHAnsi" w:hAnsiTheme="minorHAnsi"/>
              </w:rPr>
              <w:t xml:space="preserve"> to do. We use ‘should’ to </w:t>
            </w:r>
            <w:r w:rsidR="007519C8" w:rsidRPr="00C366F6">
              <w:rPr>
                <w:rFonts w:asciiTheme="minorHAnsi" w:hAnsiTheme="minorHAnsi"/>
                <w:b/>
              </w:rPr>
              <w:t>recommend</w:t>
            </w:r>
            <w:r w:rsidR="007519C8" w:rsidRPr="00C366F6">
              <w:rPr>
                <w:rFonts w:asciiTheme="minorHAnsi" w:hAnsiTheme="minorHAnsi"/>
              </w:rPr>
              <w:t xml:space="preserve"> an action that will </w:t>
            </w:r>
            <w:r w:rsidR="00A01EA1">
              <w:rPr>
                <w:rFonts w:asciiTheme="minorHAnsi" w:hAnsiTheme="minorHAnsi"/>
              </w:rPr>
              <w:t>support</w:t>
            </w:r>
            <w:r w:rsidR="007519C8" w:rsidRPr="00C366F6">
              <w:rPr>
                <w:rFonts w:asciiTheme="minorHAnsi" w:hAnsiTheme="minorHAnsi"/>
              </w:rPr>
              <w:t xml:space="preserve"> you to meet your legal requirements. </w:t>
            </w:r>
          </w:p>
        </w:tc>
      </w:tr>
    </w:tbl>
    <w:p w14:paraId="15A1EF6A" w14:textId="77777777" w:rsidR="006F4515" w:rsidRPr="00C366F6" w:rsidRDefault="006F4515" w:rsidP="008C2251">
      <w:pPr>
        <w:pStyle w:val="Heading3"/>
      </w:pPr>
      <w:bookmarkStart w:id="5" w:name="_Toc166488026"/>
      <w:r>
        <w:t>Who we inspect</w:t>
      </w:r>
      <w:bookmarkEnd w:id="5"/>
    </w:p>
    <w:p w14:paraId="1C409F98" w14:textId="77777777" w:rsidR="005A0282" w:rsidRDefault="006F4515" w:rsidP="006F4515">
      <w:r w:rsidRPr="00C366F6">
        <w:t xml:space="preserve">All </w:t>
      </w:r>
      <w:r>
        <w:t xml:space="preserve">Australian </w:t>
      </w:r>
      <w:r w:rsidRPr="00C366F6">
        <w:t>investigat</w:t>
      </w:r>
      <w:r>
        <w:t>or</w:t>
      </w:r>
      <w:r w:rsidRPr="00C366F6">
        <w:t xml:space="preserve"> sites involved in </w:t>
      </w:r>
      <w:r>
        <w:t xml:space="preserve">CTN and CTA </w:t>
      </w:r>
      <w:r w:rsidRPr="00C366F6">
        <w:t>trials of medicines</w:t>
      </w:r>
      <w:r>
        <w:t xml:space="preserve">, </w:t>
      </w:r>
      <w:r w:rsidRPr="00C366F6">
        <w:t>biologicals</w:t>
      </w:r>
      <w:r>
        <w:t xml:space="preserve"> and devices</w:t>
      </w:r>
      <w:r w:rsidRPr="00C366F6">
        <w:t xml:space="preserve"> are subject to the GCP inspection program.</w:t>
      </w:r>
      <w:r>
        <w:t xml:space="preserve"> </w:t>
      </w:r>
    </w:p>
    <w:p w14:paraId="006A6371" w14:textId="600D4241" w:rsidR="006F4515" w:rsidRDefault="006F4515" w:rsidP="006F4515">
      <w:pPr>
        <w:rPr>
          <w:rFonts w:asciiTheme="minorHAnsi" w:hAnsiTheme="minorHAnsi"/>
        </w:rPr>
      </w:pPr>
      <w:r>
        <w:rPr>
          <w:rFonts w:asciiTheme="minorHAnsi" w:hAnsiTheme="minorHAnsi"/>
        </w:rPr>
        <w:t>Human Research Ethics Committees (HREC) and trial sponsors are not included in the scope of the GCP inspection program.</w:t>
      </w:r>
      <w:r w:rsidR="001C731D">
        <w:rPr>
          <w:rFonts w:asciiTheme="minorHAnsi" w:hAnsiTheme="minorHAnsi"/>
        </w:rPr>
        <w:t xml:space="preserve"> </w:t>
      </w:r>
      <w:r w:rsidR="005A0282" w:rsidRPr="005A0282">
        <w:rPr>
          <w:rFonts w:asciiTheme="minorHAnsi" w:hAnsiTheme="minorHAnsi"/>
        </w:rPr>
        <w:t xml:space="preserve">The </w:t>
      </w:r>
      <w:r w:rsidR="005A0282">
        <w:rPr>
          <w:rFonts w:asciiTheme="minorHAnsi" w:hAnsiTheme="minorHAnsi"/>
        </w:rPr>
        <w:t xml:space="preserve">site </w:t>
      </w:r>
      <w:r w:rsidR="005A0282" w:rsidRPr="005A0282">
        <w:rPr>
          <w:rFonts w:asciiTheme="minorHAnsi" w:hAnsiTheme="minorHAnsi"/>
        </w:rPr>
        <w:t>P</w:t>
      </w:r>
      <w:r w:rsidR="005A0282">
        <w:rPr>
          <w:rFonts w:asciiTheme="minorHAnsi" w:hAnsiTheme="minorHAnsi"/>
        </w:rPr>
        <w:t>rincipal Investigator (PI)</w:t>
      </w:r>
      <w:r w:rsidR="005A0282" w:rsidRPr="005A0282">
        <w:rPr>
          <w:rFonts w:asciiTheme="minorHAnsi" w:hAnsiTheme="minorHAnsi"/>
        </w:rPr>
        <w:t xml:space="preserve"> can invite </w:t>
      </w:r>
      <w:r w:rsidR="005A0282">
        <w:rPr>
          <w:rFonts w:asciiTheme="minorHAnsi" w:hAnsiTheme="minorHAnsi"/>
        </w:rPr>
        <w:t xml:space="preserve">the sponsor </w:t>
      </w:r>
      <w:r w:rsidR="00CF28DE">
        <w:rPr>
          <w:rFonts w:asciiTheme="minorHAnsi" w:hAnsiTheme="minorHAnsi"/>
        </w:rPr>
        <w:t xml:space="preserve">representative(s) </w:t>
      </w:r>
      <w:r w:rsidR="005A0282">
        <w:rPr>
          <w:rFonts w:asciiTheme="minorHAnsi" w:hAnsiTheme="minorHAnsi"/>
        </w:rPr>
        <w:t>to attend the inspection opening and closing meeting</w:t>
      </w:r>
      <w:r w:rsidR="005A0282" w:rsidRPr="005A0282">
        <w:rPr>
          <w:rFonts w:asciiTheme="minorHAnsi" w:hAnsiTheme="minorHAnsi"/>
        </w:rPr>
        <w:t xml:space="preserve">. We ask </w:t>
      </w:r>
      <w:r w:rsidR="00F94C07">
        <w:rPr>
          <w:rFonts w:asciiTheme="minorHAnsi" w:hAnsiTheme="minorHAnsi"/>
        </w:rPr>
        <w:t>site</w:t>
      </w:r>
      <w:r w:rsidR="00F95D19">
        <w:rPr>
          <w:rFonts w:asciiTheme="minorHAnsi" w:hAnsiTheme="minorHAnsi"/>
        </w:rPr>
        <w:t xml:space="preserve"> staff</w:t>
      </w:r>
      <w:r w:rsidR="00F94C07">
        <w:rPr>
          <w:rFonts w:asciiTheme="minorHAnsi" w:hAnsiTheme="minorHAnsi"/>
        </w:rPr>
        <w:t xml:space="preserve"> to tell us ahead of time </w:t>
      </w:r>
      <w:r w:rsidR="00D06AC0">
        <w:rPr>
          <w:rFonts w:asciiTheme="minorHAnsi" w:hAnsiTheme="minorHAnsi"/>
        </w:rPr>
        <w:t xml:space="preserve">of all attendees, including </w:t>
      </w:r>
      <w:r w:rsidR="005A0282" w:rsidRPr="005A0282">
        <w:rPr>
          <w:rFonts w:asciiTheme="minorHAnsi" w:hAnsiTheme="minorHAnsi"/>
        </w:rPr>
        <w:t>the sponsor representative</w:t>
      </w:r>
      <w:r w:rsidR="004B3F8F">
        <w:rPr>
          <w:rFonts w:asciiTheme="minorHAnsi" w:hAnsiTheme="minorHAnsi"/>
        </w:rPr>
        <w:t>(s)</w:t>
      </w:r>
      <w:r w:rsidR="008C27F9">
        <w:rPr>
          <w:rFonts w:asciiTheme="minorHAnsi" w:hAnsiTheme="minorHAnsi"/>
        </w:rPr>
        <w:t>, so they</w:t>
      </w:r>
      <w:r w:rsidR="00F94C07">
        <w:rPr>
          <w:rFonts w:asciiTheme="minorHAnsi" w:hAnsiTheme="minorHAnsi"/>
        </w:rPr>
        <w:t xml:space="preserve"> can be added</w:t>
      </w:r>
      <w:r w:rsidR="005A0282" w:rsidRPr="005A0282">
        <w:rPr>
          <w:rFonts w:asciiTheme="minorHAnsi" w:hAnsiTheme="minorHAnsi"/>
        </w:rPr>
        <w:t xml:space="preserve"> to the inspection plan that is shared with the </w:t>
      </w:r>
      <w:r w:rsidR="00F95D19">
        <w:rPr>
          <w:rFonts w:asciiTheme="minorHAnsi" w:hAnsiTheme="minorHAnsi"/>
        </w:rPr>
        <w:t>inspectee(s)</w:t>
      </w:r>
      <w:r w:rsidR="005A0282" w:rsidRPr="005A0282">
        <w:rPr>
          <w:rFonts w:asciiTheme="minorHAnsi" w:hAnsiTheme="minorHAnsi"/>
        </w:rPr>
        <w:t>.</w:t>
      </w:r>
    </w:p>
    <w:p w14:paraId="0C75A6CB" w14:textId="27791EAC" w:rsidR="006F4515" w:rsidRDefault="006F4515" w:rsidP="006F4515">
      <w:r>
        <w:t>A</w:t>
      </w:r>
      <w:r w:rsidRPr="002473A0">
        <w:t>ny party or organisation contracted to carry out some or all clinical</w:t>
      </w:r>
      <w:r w:rsidR="00D60B08">
        <w:t xml:space="preserve"> </w:t>
      </w:r>
      <w:r w:rsidRPr="002473A0">
        <w:t>trial</w:t>
      </w:r>
      <w:r w:rsidR="00BD3501">
        <w:t>-</w:t>
      </w:r>
      <w:r w:rsidRPr="002473A0">
        <w:t xml:space="preserve">related activities with, or </w:t>
      </w:r>
      <w:r>
        <w:t>for</w:t>
      </w:r>
      <w:r w:rsidRPr="002473A0">
        <w:t>, the site may be inspected</w:t>
      </w:r>
      <w:r>
        <w:t xml:space="preserve">. </w:t>
      </w:r>
      <w:r w:rsidR="00D2401E">
        <w:t xml:space="preserve">Our </w:t>
      </w:r>
      <w:r>
        <w:t xml:space="preserve">inspectors will </w:t>
      </w:r>
      <w:r w:rsidRPr="002473A0">
        <w:t xml:space="preserve">confirm </w:t>
      </w:r>
      <w:r>
        <w:t>the party or organisation</w:t>
      </w:r>
      <w:r w:rsidRPr="002473A0">
        <w:t xml:space="preserve"> </w:t>
      </w:r>
      <w:r>
        <w:t>can support</w:t>
      </w:r>
      <w:r w:rsidRPr="002473A0">
        <w:t xml:space="preserve"> the site’s compliance with Australian clinical trial obligations. Such inspections will </w:t>
      </w:r>
      <w:r>
        <w:t>typically</w:t>
      </w:r>
      <w:r w:rsidRPr="002473A0">
        <w:t xml:space="preserve"> be arranged through the clinical trial site.</w:t>
      </w:r>
    </w:p>
    <w:p w14:paraId="2E00D4C9" w14:textId="16C29318" w:rsidR="001872F5" w:rsidRDefault="00297718" w:rsidP="001872F5">
      <w:pPr>
        <w:pStyle w:val="ListBullet"/>
        <w:numPr>
          <w:ilvl w:val="0"/>
          <w:numId w:val="0"/>
        </w:numPr>
      </w:pPr>
      <w:r w:rsidRPr="00C366F6">
        <w:rPr>
          <w:rFonts w:asciiTheme="minorHAnsi" w:hAnsiTheme="minorHAnsi"/>
        </w:rPr>
        <w:t>We will avoid duplicating inspections c</w:t>
      </w:r>
      <w:r>
        <w:rPr>
          <w:rFonts w:asciiTheme="minorHAnsi" w:hAnsiTheme="minorHAnsi"/>
        </w:rPr>
        <w:t>arried out</w:t>
      </w:r>
      <w:r w:rsidRPr="00C366F6">
        <w:rPr>
          <w:rFonts w:asciiTheme="minorHAnsi" w:hAnsiTheme="minorHAnsi"/>
        </w:rPr>
        <w:t xml:space="preserve"> as part of another country’s GCP inspection program when feasible.</w:t>
      </w:r>
      <w:r w:rsidR="001872F5" w:rsidRPr="001872F5">
        <w:t xml:space="preserve"> </w:t>
      </w:r>
      <w:r w:rsidR="001872F5" w:rsidRPr="008A483A">
        <w:t>The site and sponsor are not charged for</w:t>
      </w:r>
      <w:r w:rsidR="001872F5">
        <w:t xml:space="preserve"> an</w:t>
      </w:r>
      <w:r w:rsidR="001872F5" w:rsidRPr="008A483A">
        <w:t xml:space="preserve"> inspection</w:t>
      </w:r>
      <w:r w:rsidR="001872F5">
        <w:t xml:space="preserve">.  </w:t>
      </w:r>
    </w:p>
    <w:p w14:paraId="4EE3914C" w14:textId="1BCEF734" w:rsidR="00DC0A93" w:rsidRPr="00C366F6" w:rsidRDefault="006C7229" w:rsidP="008C2251">
      <w:pPr>
        <w:pStyle w:val="Heading3"/>
      </w:pPr>
      <w:bookmarkStart w:id="6" w:name="_Toc166488027"/>
      <w:r>
        <w:t>Why</w:t>
      </w:r>
      <w:r w:rsidR="00DD12F7">
        <w:t xml:space="preserve"> we inspect</w:t>
      </w:r>
      <w:bookmarkEnd w:id="6"/>
    </w:p>
    <w:p w14:paraId="0B49FFF5" w14:textId="73087B8D" w:rsidR="00DC0A93" w:rsidRPr="00C366F6" w:rsidRDefault="00DC0A93" w:rsidP="00DC0A93">
      <w:pPr>
        <w:rPr>
          <w:rFonts w:asciiTheme="minorHAnsi" w:hAnsiTheme="minorHAnsi"/>
        </w:rPr>
      </w:pPr>
      <w:r w:rsidRPr="00C366F6">
        <w:rPr>
          <w:rFonts w:asciiTheme="minorHAnsi" w:hAnsiTheme="minorHAnsi"/>
        </w:rPr>
        <w:t xml:space="preserve">The GCP </w:t>
      </w:r>
      <w:r w:rsidR="00124ACB">
        <w:rPr>
          <w:rFonts w:asciiTheme="minorHAnsi" w:hAnsiTheme="minorHAnsi"/>
        </w:rPr>
        <w:t>I</w:t>
      </w:r>
      <w:r w:rsidRPr="00C366F6">
        <w:rPr>
          <w:rFonts w:asciiTheme="minorHAnsi" w:hAnsiTheme="minorHAnsi"/>
        </w:rPr>
        <w:t xml:space="preserve">nspection </w:t>
      </w:r>
      <w:r w:rsidR="00124ACB">
        <w:rPr>
          <w:rFonts w:asciiTheme="minorHAnsi" w:hAnsiTheme="minorHAnsi"/>
        </w:rPr>
        <w:t>P</w:t>
      </w:r>
      <w:r w:rsidRPr="00C366F6">
        <w:rPr>
          <w:rFonts w:asciiTheme="minorHAnsi" w:hAnsiTheme="minorHAnsi"/>
        </w:rPr>
        <w:t xml:space="preserve">rogram aims to strengthen </w:t>
      </w:r>
      <w:r w:rsidR="00D2401E">
        <w:rPr>
          <w:rFonts w:asciiTheme="minorHAnsi" w:hAnsiTheme="minorHAnsi"/>
        </w:rPr>
        <w:t>our</w:t>
      </w:r>
      <w:r w:rsidRPr="00C366F6">
        <w:rPr>
          <w:rFonts w:asciiTheme="minorHAnsi" w:hAnsiTheme="minorHAnsi"/>
        </w:rPr>
        <w:t xml:space="preserve"> monitoring activities and protect public health.</w:t>
      </w:r>
    </w:p>
    <w:p w14:paraId="30ED0A55" w14:textId="77777777" w:rsidR="00DC0A93" w:rsidRPr="00C366F6" w:rsidRDefault="00DC0A93" w:rsidP="00DC0A93">
      <w:pPr>
        <w:rPr>
          <w:rFonts w:asciiTheme="minorHAnsi" w:hAnsiTheme="minorHAnsi"/>
        </w:rPr>
      </w:pPr>
      <w:r w:rsidRPr="00C366F6">
        <w:rPr>
          <w:rFonts w:asciiTheme="minorHAnsi" w:hAnsiTheme="minorHAnsi"/>
        </w:rPr>
        <w:t>GCP inspections allow us to:</w:t>
      </w:r>
    </w:p>
    <w:p w14:paraId="10B23ECA" w14:textId="60F4EED5" w:rsidR="00DC0A93" w:rsidRPr="00C366F6" w:rsidRDefault="00DC0A93" w:rsidP="00DC0A93">
      <w:pPr>
        <w:pStyle w:val="ListBullet"/>
        <w:rPr>
          <w:rFonts w:asciiTheme="minorHAnsi" w:hAnsiTheme="minorHAnsi"/>
        </w:rPr>
      </w:pPr>
      <w:r w:rsidRPr="00C366F6">
        <w:rPr>
          <w:rFonts w:asciiTheme="minorHAnsi" w:hAnsiTheme="minorHAnsi"/>
        </w:rPr>
        <w:t>verify you are compliant with the GCP standard</w:t>
      </w:r>
      <w:r w:rsidR="006510C1">
        <w:rPr>
          <w:rFonts w:asciiTheme="minorHAnsi" w:hAnsiTheme="minorHAnsi"/>
        </w:rPr>
        <w:t>(s)</w:t>
      </w:r>
      <w:r w:rsidRPr="00C366F6">
        <w:rPr>
          <w:rFonts w:asciiTheme="minorHAnsi" w:hAnsiTheme="minorHAnsi"/>
        </w:rPr>
        <w:t xml:space="preserve"> and have met your clinical trial responsibilities</w:t>
      </w:r>
    </w:p>
    <w:p w14:paraId="211F920B" w14:textId="31F28A0A" w:rsidR="00DC0A93" w:rsidRPr="00C366F6" w:rsidRDefault="00DC0A93" w:rsidP="00DC0A93">
      <w:pPr>
        <w:pStyle w:val="ListBullet"/>
        <w:rPr>
          <w:rFonts w:asciiTheme="minorHAnsi" w:hAnsiTheme="minorHAnsi"/>
        </w:rPr>
      </w:pPr>
      <w:r w:rsidRPr="00C366F6">
        <w:rPr>
          <w:rFonts w:asciiTheme="minorHAnsi" w:hAnsiTheme="minorHAnsi"/>
        </w:rPr>
        <w:t xml:space="preserve">provide education and work with you to ensure you have effective systems in place </w:t>
      </w:r>
      <w:r w:rsidR="005C67C8">
        <w:rPr>
          <w:rFonts w:asciiTheme="minorHAnsi" w:hAnsiTheme="minorHAnsi"/>
        </w:rPr>
        <w:t>aligning</w:t>
      </w:r>
      <w:r w:rsidRPr="00C366F6">
        <w:rPr>
          <w:rFonts w:asciiTheme="minorHAnsi" w:hAnsiTheme="minorHAnsi"/>
        </w:rPr>
        <w:t xml:space="preserve"> with Australian legislation and the relevant GCP guideline(s).</w:t>
      </w:r>
    </w:p>
    <w:p w14:paraId="53326E7C" w14:textId="2A177CF4" w:rsidR="00DC0A93" w:rsidRPr="00C366F6" w:rsidRDefault="00DC0A93" w:rsidP="00DC0A93">
      <w:pPr>
        <w:pStyle w:val="ListBullet"/>
        <w:rPr>
          <w:rFonts w:asciiTheme="minorHAnsi" w:hAnsiTheme="minorHAnsi"/>
        </w:rPr>
      </w:pPr>
      <w:r w:rsidRPr="00C366F6">
        <w:rPr>
          <w:rFonts w:asciiTheme="minorHAnsi" w:hAnsiTheme="minorHAnsi"/>
        </w:rPr>
        <w:t xml:space="preserve">if appropriate, </w:t>
      </w:r>
      <w:r w:rsidR="005C67C8">
        <w:rPr>
          <w:rFonts w:asciiTheme="minorHAnsi" w:hAnsiTheme="minorHAnsi"/>
        </w:rPr>
        <w:t>share</w:t>
      </w:r>
      <w:r w:rsidRPr="00C366F6">
        <w:rPr>
          <w:rFonts w:asciiTheme="minorHAnsi" w:hAnsiTheme="minorHAnsi"/>
        </w:rPr>
        <w:t xml:space="preserve"> information relating to the inspection findings to the approving authority </w:t>
      </w:r>
      <w:r w:rsidR="001C731D">
        <w:rPr>
          <w:rFonts w:asciiTheme="minorHAnsi" w:hAnsiTheme="minorHAnsi"/>
        </w:rPr>
        <w:t xml:space="preserve">(the institutions or organisations where trials are conducted) </w:t>
      </w:r>
      <w:r w:rsidRPr="00C366F6">
        <w:rPr>
          <w:rFonts w:asciiTheme="minorHAnsi" w:hAnsiTheme="minorHAnsi"/>
        </w:rPr>
        <w:t>and/or the approving H</w:t>
      </w:r>
      <w:r w:rsidR="00D90BE3">
        <w:rPr>
          <w:rFonts w:asciiTheme="minorHAnsi" w:hAnsiTheme="minorHAnsi"/>
        </w:rPr>
        <w:t xml:space="preserve">uman </w:t>
      </w:r>
      <w:r w:rsidRPr="00C366F6">
        <w:rPr>
          <w:rFonts w:asciiTheme="minorHAnsi" w:hAnsiTheme="minorHAnsi"/>
        </w:rPr>
        <w:t>R</w:t>
      </w:r>
      <w:r w:rsidR="00D90BE3">
        <w:rPr>
          <w:rFonts w:asciiTheme="minorHAnsi" w:hAnsiTheme="minorHAnsi"/>
        </w:rPr>
        <w:t xml:space="preserve">esearch </w:t>
      </w:r>
      <w:r w:rsidRPr="00C366F6">
        <w:rPr>
          <w:rFonts w:asciiTheme="minorHAnsi" w:hAnsiTheme="minorHAnsi"/>
        </w:rPr>
        <w:t>E</w:t>
      </w:r>
      <w:r w:rsidR="00D90BE3">
        <w:rPr>
          <w:rFonts w:asciiTheme="minorHAnsi" w:hAnsiTheme="minorHAnsi"/>
        </w:rPr>
        <w:t>thics Committee (HREC)</w:t>
      </w:r>
      <w:r w:rsidRPr="00C366F6">
        <w:rPr>
          <w:rFonts w:asciiTheme="minorHAnsi" w:hAnsiTheme="minorHAnsi"/>
        </w:rPr>
        <w:t>.</w:t>
      </w:r>
    </w:p>
    <w:p w14:paraId="14EDBC84" w14:textId="322CEFB5" w:rsidR="00945385" w:rsidRDefault="00F94C07" w:rsidP="00EB7D62">
      <w:pPr>
        <w:pStyle w:val="Heading2"/>
      </w:pPr>
      <w:bookmarkStart w:id="7" w:name="_Toc101867029"/>
      <w:bookmarkStart w:id="8" w:name="_Toc166488028"/>
      <w:r>
        <w:lastRenderedPageBreak/>
        <w:t>P</w:t>
      </w:r>
      <w:r w:rsidR="001951FE">
        <w:t>repar</w:t>
      </w:r>
      <w:r>
        <w:t>ing</w:t>
      </w:r>
      <w:r w:rsidR="00E87A6E">
        <w:t xml:space="preserve"> for an inspection </w:t>
      </w:r>
      <w:bookmarkEnd w:id="7"/>
      <w:bookmarkEnd w:id="8"/>
    </w:p>
    <w:p w14:paraId="53EAC5A2" w14:textId="6BAC2758" w:rsidR="00141914" w:rsidRDefault="00D95ECE" w:rsidP="008C2251">
      <w:pPr>
        <w:pStyle w:val="Heading3"/>
      </w:pPr>
      <w:bookmarkStart w:id="9" w:name="_Toc166488029"/>
      <w:r>
        <w:t>Know your</w:t>
      </w:r>
      <w:r w:rsidR="00141914">
        <w:t xml:space="preserve"> GCP responsibilities</w:t>
      </w:r>
      <w:bookmarkEnd w:id="9"/>
    </w:p>
    <w:tbl>
      <w:tblPr>
        <w:tblW w:w="9038" w:type="dxa"/>
        <w:tblLayout w:type="fixed"/>
        <w:tblCellMar>
          <w:left w:w="0" w:type="dxa"/>
          <w:right w:w="0" w:type="dxa"/>
        </w:tblCellMar>
        <w:tblLook w:val="04A0" w:firstRow="1" w:lastRow="0" w:firstColumn="1" w:lastColumn="0" w:noHBand="0" w:noVBand="1"/>
      </w:tblPr>
      <w:tblGrid>
        <w:gridCol w:w="1276"/>
        <w:gridCol w:w="7762"/>
      </w:tblGrid>
      <w:tr w:rsidR="00572512" w:rsidRPr="008C4B45" w14:paraId="231D74B0" w14:textId="77777777" w:rsidTr="00CD77B5">
        <w:trPr>
          <w:trHeight w:val="1537"/>
        </w:trPr>
        <w:tc>
          <w:tcPr>
            <w:tcW w:w="1276" w:type="dxa"/>
            <w:vAlign w:val="center"/>
          </w:tcPr>
          <w:p w14:paraId="535288D7" w14:textId="77777777" w:rsidR="00572512" w:rsidRPr="00C366F6" w:rsidRDefault="00572512" w:rsidP="00B4242E">
            <w:pPr>
              <w:rPr>
                <w:rFonts w:asciiTheme="minorHAnsi" w:hAnsiTheme="minorHAnsi"/>
              </w:rPr>
            </w:pPr>
            <w:r w:rsidRPr="00C366F6">
              <w:rPr>
                <w:rFonts w:asciiTheme="minorHAnsi" w:hAnsiTheme="minorHAnsi"/>
                <w:noProof/>
                <w:lang w:eastAsia="en-AU"/>
              </w:rPr>
              <w:drawing>
                <wp:inline distT="0" distB="0" distL="0" distR="0" wp14:anchorId="3C123983" wp14:editId="22352B90">
                  <wp:extent cx="487681" cy="487681"/>
                  <wp:effectExtent l="19050" t="0" r="7619" b="0"/>
                  <wp:docPr id="5" name="Picture 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EDA989B" w14:textId="2E3A57BB" w:rsidR="00572512" w:rsidRPr="00944FD6" w:rsidRDefault="00572512" w:rsidP="00B4242E">
            <w:pPr>
              <w:pStyle w:val="ListBullet"/>
              <w:numPr>
                <w:ilvl w:val="0"/>
                <w:numId w:val="0"/>
              </w:numPr>
            </w:pPr>
            <w:r>
              <w:t>A GCP inspection may be carried out at any stage of the clinical trial lifecycle</w:t>
            </w:r>
            <w:r w:rsidR="00D60B08">
              <w:t xml:space="preserve"> </w:t>
            </w:r>
            <w:r w:rsidR="00361A8A">
              <w:t>from</w:t>
            </w:r>
            <w:r w:rsidR="008A483A" w:rsidRPr="008A483A">
              <w:t xml:space="preserve"> </w:t>
            </w:r>
            <w:r w:rsidR="00031114">
              <w:t xml:space="preserve">the </w:t>
            </w:r>
            <w:r w:rsidR="008A483A" w:rsidRPr="008A483A">
              <w:t xml:space="preserve">early </w:t>
            </w:r>
            <w:r w:rsidR="00031114">
              <w:t>phase of</w:t>
            </w:r>
            <w:r w:rsidR="008A483A" w:rsidRPr="008A483A">
              <w:t xml:space="preserve"> participant recruitment to completed trials</w:t>
            </w:r>
            <w:r w:rsidR="008A483A">
              <w:t>.</w:t>
            </w:r>
            <w:r>
              <w:t xml:space="preserve"> Do not wait for an inspection announcement from the TGA to start preparing for an inspection.</w:t>
            </w:r>
          </w:p>
        </w:tc>
      </w:tr>
    </w:tbl>
    <w:p w14:paraId="5516CE2F" w14:textId="068B62E1" w:rsidR="00572512" w:rsidRDefault="00572512" w:rsidP="002B2EFD">
      <w:pPr>
        <w:spacing w:before="120" w:line="240" w:lineRule="auto"/>
      </w:pPr>
      <w:r>
        <w:t xml:space="preserve">All clinical </w:t>
      </w:r>
      <w:r w:rsidRPr="00C366F6">
        <w:t>trial</w:t>
      </w:r>
      <w:r>
        <w:t>s</w:t>
      </w:r>
      <w:r w:rsidRPr="00C366F6">
        <w:t xml:space="preserve"> c</w:t>
      </w:r>
      <w:r>
        <w:t>arried out under</w:t>
      </w:r>
      <w:r w:rsidRPr="00C366F6">
        <w:t xml:space="preserve"> the CTN or CTA schemes must be in accordance with the</w:t>
      </w:r>
      <w:r>
        <w:t xml:space="preserve"> relevant </w:t>
      </w:r>
      <w:r w:rsidRPr="005D3F6C">
        <w:t>GCP guideline(s)</w:t>
      </w:r>
      <w:r w:rsidRPr="00C366F6">
        <w:t xml:space="preserve">. </w:t>
      </w:r>
      <w:r w:rsidR="00B4601B">
        <w:t>We</w:t>
      </w:r>
      <w:r w:rsidRPr="00C366F6">
        <w:t xml:space="preserve"> recognise the following internationally accepted GCP guideline</w:t>
      </w:r>
      <w:r>
        <w:t>s:</w:t>
      </w:r>
    </w:p>
    <w:p w14:paraId="66F0C029" w14:textId="77777777" w:rsidR="00572512" w:rsidRPr="00F5451C" w:rsidRDefault="00572512" w:rsidP="002B2EFD">
      <w:pPr>
        <w:keepNext/>
        <w:rPr>
          <w:b/>
          <w:bCs/>
        </w:rPr>
      </w:pPr>
      <w:r w:rsidRPr="00F5451C">
        <w:rPr>
          <w:b/>
          <w:bCs/>
        </w:rPr>
        <w:t>Medicines and biologicals</w:t>
      </w:r>
    </w:p>
    <w:p w14:paraId="3D08C2A1" w14:textId="5D643A12" w:rsidR="00572512" w:rsidRDefault="002B2EFD" w:rsidP="00572512">
      <w:pPr>
        <w:pStyle w:val="ListBullet"/>
        <w:keepNext/>
        <w:keepLines/>
      </w:pPr>
      <w:hyperlink r:id="rId10" w:history="1">
        <w:r w:rsidR="00AF0347">
          <w:rPr>
            <w:rStyle w:val="Hyperlink"/>
          </w:rPr>
          <w:t>International Council for Harmonisation of Technical Requirements for Pharmaceuticals for Human Use Guideline for Good Clinical Practice (ICH GCP E6) with TGA annotations</w:t>
        </w:r>
      </w:hyperlink>
      <w:r w:rsidR="00572512" w:rsidRPr="008D5603">
        <w:t>.</w:t>
      </w:r>
    </w:p>
    <w:p w14:paraId="141F7D3F" w14:textId="4F462D78" w:rsidR="00572512" w:rsidRDefault="00572512" w:rsidP="00572512">
      <w:pPr>
        <w:pStyle w:val="ListBullet"/>
        <w:numPr>
          <w:ilvl w:val="0"/>
          <w:numId w:val="0"/>
        </w:numPr>
        <w:ind w:left="360"/>
      </w:pPr>
      <w:r>
        <w:t>You should refer to the current version of the ICH GCP</w:t>
      </w:r>
      <w:r w:rsidR="00EB1350">
        <w:t xml:space="preserve"> E6</w:t>
      </w:r>
      <w:r>
        <w:t xml:space="preserve">. </w:t>
      </w:r>
    </w:p>
    <w:p w14:paraId="17149CCD" w14:textId="77777777" w:rsidR="00572512" w:rsidRPr="00F5451C" w:rsidRDefault="00572512" w:rsidP="00572512">
      <w:pPr>
        <w:keepNext/>
        <w:keepLines/>
        <w:rPr>
          <w:b/>
          <w:bCs/>
        </w:rPr>
      </w:pPr>
      <w:r w:rsidRPr="00F5451C">
        <w:rPr>
          <w:b/>
          <w:bCs/>
        </w:rPr>
        <w:t xml:space="preserve">Medical devices </w:t>
      </w:r>
    </w:p>
    <w:p w14:paraId="0CD01FD2" w14:textId="55BDB5D9" w:rsidR="00572512" w:rsidRDefault="00572512" w:rsidP="00572512">
      <w:pPr>
        <w:pStyle w:val="ListBullet"/>
        <w:keepNext/>
        <w:keepLines/>
      </w:pPr>
      <w:r w:rsidRPr="00D75480">
        <w:t>International Organisation for Standardisation (ISO) 14155 – Clinical Investigation of Medical Devices for Human Subjects – Good Clinical practice</w:t>
      </w:r>
      <w:r>
        <w:t xml:space="preserve"> (ISO 14155).</w:t>
      </w:r>
    </w:p>
    <w:p w14:paraId="5F14302F" w14:textId="2DBACEB8" w:rsidR="00572512" w:rsidRDefault="00572512" w:rsidP="00EA0A44">
      <w:pPr>
        <w:pStyle w:val="ListBullet"/>
        <w:numPr>
          <w:ilvl w:val="0"/>
          <w:numId w:val="0"/>
        </w:numPr>
        <w:ind w:left="426"/>
      </w:pPr>
      <w:r>
        <w:t>You should refer to the current version of ISO 14155.</w:t>
      </w:r>
      <w:r w:rsidRPr="00B05495">
        <w:t xml:space="preserve"> </w:t>
      </w:r>
      <w:r>
        <w:t xml:space="preserve">Sites will need to obtain their own copy of ISO 14155 which may incur a cost. </w:t>
      </w:r>
      <w:r w:rsidR="00CD77B5">
        <w:t>We</w:t>
      </w:r>
      <w:r>
        <w:t xml:space="preserve"> cannot provide a copy of this standard.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41B33" w:rsidRPr="008C4B45" w14:paraId="04D68099" w14:textId="77777777" w:rsidTr="00010E9E">
        <w:trPr>
          <w:trHeight w:val="1420"/>
        </w:trPr>
        <w:tc>
          <w:tcPr>
            <w:tcW w:w="1276" w:type="dxa"/>
            <w:vAlign w:val="center"/>
          </w:tcPr>
          <w:p w14:paraId="1F58DD44" w14:textId="77777777" w:rsidR="00F41B33" w:rsidRPr="00C366F6" w:rsidRDefault="00F41B33" w:rsidP="00010E9E">
            <w:pPr>
              <w:rPr>
                <w:rFonts w:asciiTheme="minorHAnsi" w:hAnsiTheme="minorHAnsi"/>
              </w:rPr>
            </w:pPr>
            <w:r w:rsidRPr="00C366F6">
              <w:rPr>
                <w:rFonts w:asciiTheme="minorHAnsi" w:hAnsiTheme="minorHAnsi"/>
                <w:noProof/>
                <w:lang w:eastAsia="en-AU"/>
              </w:rPr>
              <w:drawing>
                <wp:inline distT="0" distB="0" distL="0" distR="0" wp14:anchorId="341018F7" wp14:editId="689A9C16">
                  <wp:extent cx="487681" cy="487681"/>
                  <wp:effectExtent l="19050" t="0" r="7619" b="0"/>
                  <wp:docPr id="2" name="Picture 2"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B93FE02" w14:textId="77777777" w:rsidR="00CC24D4" w:rsidRDefault="00F41B33" w:rsidP="00010E9E">
            <w:pPr>
              <w:rPr>
                <w:rFonts w:asciiTheme="minorHAnsi" w:hAnsiTheme="minorHAnsi"/>
              </w:rPr>
            </w:pPr>
            <w:r w:rsidRPr="00C366F6">
              <w:rPr>
                <w:rFonts w:asciiTheme="minorHAnsi" w:hAnsiTheme="minorHAnsi"/>
              </w:rPr>
              <w:t>In this guidance,</w:t>
            </w:r>
            <w:r>
              <w:rPr>
                <w:rFonts w:asciiTheme="minorHAnsi" w:hAnsiTheme="minorHAnsi"/>
              </w:rPr>
              <w:t xml:space="preserve"> references to protocol include</w:t>
            </w:r>
            <w:r w:rsidR="00CC24D4">
              <w:rPr>
                <w:rFonts w:asciiTheme="minorHAnsi" w:hAnsiTheme="minorHAnsi"/>
              </w:rPr>
              <w:t>:</w:t>
            </w:r>
          </w:p>
          <w:p w14:paraId="6E047A8B" w14:textId="0B8AECB8" w:rsidR="00F41B33" w:rsidRDefault="00F41B33" w:rsidP="00CC24D4">
            <w:pPr>
              <w:pStyle w:val="ListBullet"/>
            </w:pPr>
            <w:r>
              <w:t xml:space="preserve">Clinical Investigational Plan (CIP) </w:t>
            </w:r>
            <w:r w:rsidR="00CC24D4">
              <w:t>in ISO 14155 for medical devices</w:t>
            </w:r>
          </w:p>
          <w:p w14:paraId="759233B4" w14:textId="14D6C543" w:rsidR="00CC24D4" w:rsidRPr="00C366F6" w:rsidRDefault="00866C60" w:rsidP="00CC24D4">
            <w:pPr>
              <w:pStyle w:val="ListBullet"/>
            </w:pPr>
            <w:r>
              <w:t>t</w:t>
            </w:r>
            <w:r w:rsidR="00CC24D4">
              <w:t>he meaning of protocol in ICH</w:t>
            </w:r>
            <w:r w:rsidR="00AF0347">
              <w:t xml:space="preserve"> </w:t>
            </w:r>
            <w:r w:rsidR="00CC24D4">
              <w:t>GCP</w:t>
            </w:r>
            <w:r w:rsidR="008D028B">
              <w:t xml:space="preserve"> E6</w:t>
            </w:r>
            <w:r w:rsidR="00CC24D4">
              <w:t xml:space="preserve"> for medicines and biologicals</w:t>
            </w:r>
            <w:r>
              <w:t>.</w:t>
            </w:r>
            <w:r w:rsidR="00CC24D4">
              <w:t xml:space="preserve"> </w:t>
            </w:r>
          </w:p>
        </w:tc>
      </w:tr>
    </w:tbl>
    <w:p w14:paraId="38D6A8CC" w14:textId="77777777" w:rsidR="00F41B33" w:rsidRDefault="00F41B33" w:rsidP="00572512">
      <w:pPr>
        <w:rPr>
          <w:rFonts w:asciiTheme="minorHAnsi" w:hAnsiTheme="minorHAnsi"/>
        </w:rPr>
      </w:pPr>
    </w:p>
    <w:p w14:paraId="044C6460" w14:textId="4232FB12" w:rsidR="00572512" w:rsidRPr="00C366F6" w:rsidRDefault="00572512" w:rsidP="00572512">
      <w:pPr>
        <w:rPr>
          <w:rFonts w:asciiTheme="minorHAnsi" w:hAnsiTheme="minorHAnsi"/>
        </w:rPr>
      </w:pPr>
      <w:r w:rsidRPr="00C366F6">
        <w:rPr>
          <w:rFonts w:asciiTheme="minorHAnsi" w:hAnsiTheme="minorHAnsi"/>
        </w:rPr>
        <w:t>Inspect</w:t>
      </w:r>
      <w:r>
        <w:rPr>
          <w:rFonts w:asciiTheme="minorHAnsi" w:hAnsiTheme="minorHAnsi"/>
        </w:rPr>
        <w:t>ors</w:t>
      </w:r>
      <w:r w:rsidRPr="00C366F6">
        <w:rPr>
          <w:rFonts w:asciiTheme="minorHAnsi" w:hAnsiTheme="minorHAnsi"/>
        </w:rPr>
        <w:t xml:space="preserve"> will </w:t>
      </w:r>
      <w:r>
        <w:rPr>
          <w:rFonts w:asciiTheme="minorHAnsi" w:hAnsiTheme="minorHAnsi"/>
        </w:rPr>
        <w:t>examine</w:t>
      </w:r>
      <w:r w:rsidRPr="00C366F6">
        <w:rPr>
          <w:rFonts w:asciiTheme="minorHAnsi" w:hAnsiTheme="minorHAnsi"/>
        </w:rPr>
        <w:t xml:space="preserve"> your compliance with the applicable Australian</w:t>
      </w:r>
      <w:r>
        <w:rPr>
          <w:rFonts w:asciiTheme="minorHAnsi" w:hAnsiTheme="minorHAnsi"/>
        </w:rPr>
        <w:t xml:space="preserve"> therapeutic</w:t>
      </w:r>
      <w:r w:rsidRPr="00C366F6">
        <w:rPr>
          <w:rFonts w:asciiTheme="minorHAnsi" w:hAnsiTheme="minorHAnsi"/>
        </w:rPr>
        <w:t xml:space="preserve"> legislation and guideline(s):</w:t>
      </w:r>
    </w:p>
    <w:p w14:paraId="01B370A6" w14:textId="77777777" w:rsidR="00572512" w:rsidRPr="00C366F6" w:rsidRDefault="002B2EFD" w:rsidP="00572512">
      <w:pPr>
        <w:pStyle w:val="ListBullet"/>
        <w:rPr>
          <w:rFonts w:asciiTheme="minorHAnsi" w:hAnsiTheme="minorHAnsi"/>
        </w:rPr>
      </w:pPr>
      <w:hyperlink r:id="rId11" w:history="1">
        <w:r w:rsidR="00572512" w:rsidRPr="00C366F6">
          <w:rPr>
            <w:rStyle w:val="Hyperlink"/>
            <w:rFonts w:asciiTheme="minorHAnsi" w:hAnsiTheme="minorHAnsi"/>
            <w:i/>
          </w:rPr>
          <w:t>Therapeutic Goods Act 1989</w:t>
        </w:r>
      </w:hyperlink>
      <w:r w:rsidR="00572512">
        <w:rPr>
          <w:rFonts w:asciiTheme="minorHAnsi" w:hAnsiTheme="minorHAnsi"/>
        </w:rPr>
        <w:t xml:space="preserve"> (</w:t>
      </w:r>
      <w:r w:rsidR="00572512" w:rsidRPr="00C366F6">
        <w:rPr>
          <w:rFonts w:asciiTheme="minorHAnsi" w:hAnsiTheme="minorHAnsi"/>
        </w:rPr>
        <w:t>the Act</w:t>
      </w:r>
      <w:r w:rsidR="00572512">
        <w:rPr>
          <w:rFonts w:asciiTheme="minorHAnsi" w:hAnsiTheme="minorHAnsi"/>
        </w:rPr>
        <w:t>)</w:t>
      </w:r>
    </w:p>
    <w:p w14:paraId="5BF54581" w14:textId="77777777" w:rsidR="00572512" w:rsidRPr="00BD1AE9" w:rsidRDefault="002B2EFD" w:rsidP="00572512">
      <w:pPr>
        <w:pStyle w:val="ListBullet"/>
        <w:rPr>
          <w:rFonts w:asciiTheme="minorHAnsi" w:hAnsiTheme="minorHAnsi"/>
          <w:i/>
        </w:rPr>
      </w:pPr>
      <w:hyperlink r:id="rId12" w:history="1">
        <w:r w:rsidR="00572512" w:rsidRPr="00C366F6">
          <w:rPr>
            <w:rStyle w:val="Hyperlink"/>
            <w:rFonts w:asciiTheme="minorHAnsi" w:hAnsiTheme="minorHAnsi"/>
            <w:i/>
          </w:rPr>
          <w:t>Therapeutic Goods Regulations 1990</w:t>
        </w:r>
      </w:hyperlink>
      <w:r w:rsidR="00572512" w:rsidRPr="00C366F6">
        <w:rPr>
          <w:rFonts w:asciiTheme="minorHAnsi" w:hAnsiTheme="minorHAnsi"/>
          <w:i/>
        </w:rPr>
        <w:t xml:space="preserve"> </w:t>
      </w:r>
      <w:r w:rsidR="00572512">
        <w:rPr>
          <w:rFonts w:asciiTheme="minorHAnsi" w:hAnsiTheme="minorHAnsi"/>
        </w:rPr>
        <w:t>(</w:t>
      </w:r>
      <w:r w:rsidR="00572512" w:rsidRPr="00A8714B">
        <w:rPr>
          <w:rFonts w:asciiTheme="minorHAnsi" w:hAnsiTheme="minorHAnsi"/>
        </w:rPr>
        <w:t xml:space="preserve">the </w:t>
      </w:r>
      <w:r w:rsidR="00572512">
        <w:rPr>
          <w:rFonts w:asciiTheme="minorHAnsi" w:hAnsiTheme="minorHAnsi"/>
        </w:rPr>
        <w:t>Regulations)</w:t>
      </w:r>
    </w:p>
    <w:p w14:paraId="34B05115" w14:textId="3DAA4D6A" w:rsidR="00986F89" w:rsidRPr="00986F89" w:rsidRDefault="002B2EFD" w:rsidP="00572512">
      <w:pPr>
        <w:pStyle w:val="ListBullet"/>
        <w:rPr>
          <w:rFonts w:asciiTheme="minorHAnsi" w:hAnsiTheme="minorHAnsi" w:cstheme="minorHAnsi"/>
          <w:i/>
        </w:rPr>
      </w:pPr>
      <w:hyperlink r:id="rId13" w:history="1">
        <w:r w:rsidR="00986F89" w:rsidRPr="00BD1AE9">
          <w:rPr>
            <w:rStyle w:val="Hyperlink"/>
            <w:rFonts w:asciiTheme="minorHAnsi" w:hAnsiTheme="minorHAnsi" w:cstheme="minorHAnsi"/>
            <w:i/>
            <w:iCs/>
          </w:rPr>
          <w:t>Therapeutic Goods (Medical Devices) Regulation 2002</w:t>
        </w:r>
      </w:hyperlink>
      <w:r w:rsidR="00986F89" w:rsidRPr="00BD1AE9">
        <w:rPr>
          <w:rFonts w:asciiTheme="minorHAnsi" w:hAnsiTheme="minorHAnsi" w:cstheme="minorHAnsi"/>
          <w:i/>
          <w:iCs/>
        </w:rPr>
        <w:t xml:space="preserve"> </w:t>
      </w:r>
      <w:r w:rsidR="00986F89" w:rsidRPr="00BD1AE9">
        <w:rPr>
          <w:rFonts w:asciiTheme="minorHAnsi" w:hAnsiTheme="minorHAnsi" w:cstheme="minorHAnsi"/>
        </w:rPr>
        <w:t>(the Devices Regulations)</w:t>
      </w:r>
    </w:p>
    <w:p w14:paraId="6B783E5B" w14:textId="77777777" w:rsidR="00572512" w:rsidRPr="00D75480" w:rsidRDefault="002B2EFD" w:rsidP="00572512">
      <w:pPr>
        <w:pStyle w:val="ListBullet"/>
      </w:pPr>
      <w:hyperlink r:id="rId14" w:history="1"/>
      <w:r w:rsidR="00572512" w:rsidRPr="00C366F6">
        <w:rPr>
          <w:rFonts w:asciiTheme="minorHAnsi" w:hAnsiTheme="minorHAnsi"/>
        </w:rPr>
        <w:t>the GCP guideline(s)</w:t>
      </w:r>
    </w:p>
    <w:p w14:paraId="7EFD0764" w14:textId="77777777" w:rsidR="00572512" w:rsidRPr="00FC0BD2" w:rsidRDefault="00572512" w:rsidP="00572512">
      <w:pPr>
        <w:pStyle w:val="ListBullet"/>
      </w:pPr>
      <w:r w:rsidRPr="00C366F6">
        <w:rPr>
          <w:rFonts w:asciiTheme="minorHAnsi" w:hAnsiTheme="minorHAnsi"/>
        </w:rPr>
        <w:t xml:space="preserve">the </w:t>
      </w:r>
      <w:hyperlink r:id="rId15" w:history="1">
        <w:r>
          <w:rPr>
            <w:rStyle w:val="Hyperlink"/>
            <w:rFonts w:asciiTheme="minorHAnsi" w:hAnsiTheme="minorHAnsi"/>
            <w:iCs/>
          </w:rPr>
          <w:t xml:space="preserve">National Statement on Ethical Conduct in Human Research Involving Humans </w:t>
        </w:r>
      </w:hyperlink>
      <w:r w:rsidRPr="00C366F6">
        <w:rPr>
          <w:rFonts w:asciiTheme="minorHAnsi" w:hAnsiTheme="minorHAnsi"/>
          <w:iCs/>
        </w:rPr>
        <w:t>(the National Statement)</w:t>
      </w:r>
      <w:r w:rsidRPr="00D75480">
        <w:rPr>
          <w:rFonts w:asciiTheme="minorHAnsi" w:hAnsiTheme="minorHAnsi"/>
        </w:rPr>
        <w:t>.</w:t>
      </w:r>
    </w:p>
    <w:p w14:paraId="29923B55" w14:textId="642D1EC2" w:rsidR="00572512" w:rsidRDefault="00866C60" w:rsidP="00572512">
      <w:pPr>
        <w:pStyle w:val="ListBullet"/>
      </w:pPr>
      <w:r>
        <w:t>t</w:t>
      </w:r>
      <w:r w:rsidR="00572512" w:rsidRPr="00FD6E5E">
        <w:t>he trial-specific protocol and amendments, approved by the relevant HREC.</w:t>
      </w:r>
    </w:p>
    <w:p w14:paraId="7A3934B4" w14:textId="30B38576" w:rsidR="00DC3C53" w:rsidRDefault="00DC3C53" w:rsidP="002B2EFD">
      <w:pPr>
        <w:pageBreakBefore/>
      </w:pPr>
      <w:r w:rsidRPr="009D5A22">
        <w:lastRenderedPageBreak/>
        <w:t xml:space="preserve">The inspection process, the type of inspection and the grading of inspection findings is the same </w:t>
      </w:r>
      <w:r w:rsidR="00D60B08">
        <w:t xml:space="preserve">for </w:t>
      </w:r>
      <w:r w:rsidRPr="009D5A22">
        <w:t xml:space="preserve">medicines, </w:t>
      </w:r>
      <w:proofErr w:type="gramStart"/>
      <w:r w:rsidRPr="009D5A22">
        <w:t>biologicals</w:t>
      </w:r>
      <w:proofErr w:type="gramEnd"/>
      <w:r w:rsidRPr="009D5A22">
        <w:t xml:space="preserve"> and device trials.</w:t>
      </w:r>
      <w:r>
        <w:t xml:space="preserve"> If your clinical trial involves a medicine or biological </w:t>
      </w:r>
      <w:r w:rsidRPr="00EA0A44">
        <w:rPr>
          <w:b/>
          <w:bCs/>
        </w:rPr>
        <w:t xml:space="preserve">and </w:t>
      </w:r>
      <w:r>
        <w:t xml:space="preserve">a medical device both ICH GCP </w:t>
      </w:r>
      <w:r w:rsidR="00761D1E">
        <w:t xml:space="preserve">E6 </w:t>
      </w:r>
      <w:r>
        <w:t>and ISO 14155 will apply.</w:t>
      </w:r>
      <w:r w:rsidR="00F741D6">
        <w:t xml:space="preserve"> </w:t>
      </w:r>
      <w:r>
        <w:t xml:space="preserve">This includes clinical trials involving a: </w:t>
      </w:r>
    </w:p>
    <w:p w14:paraId="7FA7DEF0" w14:textId="7546E042" w:rsidR="00DC3C53" w:rsidRDefault="00DC3C53" w:rsidP="00636554">
      <w:pPr>
        <w:pStyle w:val="ListBullet"/>
        <w:keepNext/>
        <w:keepLines/>
      </w:pPr>
      <w:r w:rsidRPr="00577C61">
        <w:t>medical device</w:t>
      </w:r>
      <w:r>
        <w:t>-</w:t>
      </w:r>
      <w:r w:rsidRPr="00577C61">
        <w:t>medicine</w:t>
      </w:r>
      <w:r>
        <w:t xml:space="preserve"> combination product</w:t>
      </w:r>
    </w:p>
    <w:p w14:paraId="66209FA3" w14:textId="3B162802" w:rsidR="00DC3C53" w:rsidRDefault="00DC3C53" w:rsidP="00DC3C53">
      <w:pPr>
        <w:pStyle w:val="ListBullet"/>
      </w:pPr>
      <w:r>
        <w:t xml:space="preserve">medical device-biological combination product </w:t>
      </w:r>
    </w:p>
    <w:p w14:paraId="67823CFA" w14:textId="06C077CB" w:rsidR="00DC3C53" w:rsidRDefault="00DC3C53" w:rsidP="00DC3C53">
      <w:pPr>
        <w:pStyle w:val="ListBullet"/>
      </w:pPr>
      <w:r w:rsidRPr="00B05495">
        <w:t>medicine and a medical device</w:t>
      </w:r>
      <w:r>
        <w:t xml:space="preserve"> </w:t>
      </w:r>
    </w:p>
    <w:p w14:paraId="75381615" w14:textId="20C04E03" w:rsidR="00DC3C53" w:rsidRDefault="00DC3C53" w:rsidP="00EA0A44">
      <w:pPr>
        <w:pStyle w:val="ListBullet"/>
      </w:pPr>
      <w:r>
        <w:t>biological and medical device</w:t>
      </w:r>
      <w:r w:rsidR="00866C60">
        <w:t>.</w:t>
      </w:r>
      <w:r>
        <w:t xml:space="preserve"> </w:t>
      </w:r>
    </w:p>
    <w:p w14:paraId="1A81C038" w14:textId="64622E4D" w:rsidR="00E00222" w:rsidRDefault="003A7278" w:rsidP="002B2EFD">
      <w:r w:rsidRPr="003A7278">
        <w:t>Understanding your responsibilities will help you know what is required to meet your GCP obligations.</w:t>
      </w:r>
      <w:r w:rsidR="00E00222">
        <w:t xml:space="preserve"> </w:t>
      </w:r>
    </w:p>
    <w:p w14:paraId="3D1924EF" w14:textId="61932B1E" w:rsidR="00E00222" w:rsidRDefault="00D955F9" w:rsidP="00E00222">
      <w:pPr>
        <w:pStyle w:val="ListBullet"/>
        <w:rPr>
          <w:rFonts w:asciiTheme="minorHAnsi" w:hAnsiTheme="minorHAnsi"/>
        </w:rPr>
      </w:pPr>
      <w:r>
        <w:t xml:space="preserve">The </w:t>
      </w:r>
      <w:hyperlink r:id="rId16" w:history="1">
        <w:r w:rsidRPr="00776B25">
          <w:rPr>
            <w:rStyle w:val="Hyperlink"/>
          </w:rPr>
          <w:t>Australian clinical trial handbook</w:t>
        </w:r>
      </w:hyperlink>
      <w:r w:rsidRPr="00321C5E">
        <w:t xml:space="preserve"> </w:t>
      </w:r>
      <w:r>
        <w:t xml:space="preserve">is written in plain English and describes the Australian </w:t>
      </w:r>
      <w:r w:rsidRPr="0032083C">
        <w:t>therapeutic goods legislation</w:t>
      </w:r>
      <w:r>
        <w:t xml:space="preserve"> relevant to clinical trials. It is a tool to help</w:t>
      </w:r>
      <w:r w:rsidRPr="0032083C">
        <w:t xml:space="preserve"> trial sponsors, HRECs, investigators and approving authorities (institutions) understand their roles and responsibilities</w:t>
      </w:r>
      <w:r w:rsidR="009A15DA">
        <w:t xml:space="preserve"> under the CTA and CTN schemes</w:t>
      </w:r>
      <w:r w:rsidRPr="0032083C">
        <w:t>.</w:t>
      </w:r>
      <w:r>
        <w:t xml:space="preserve"> </w:t>
      </w:r>
      <w:r>
        <w:rPr>
          <w:rFonts w:asciiTheme="minorHAnsi" w:hAnsiTheme="minorHAnsi"/>
        </w:rPr>
        <w:t xml:space="preserve"> </w:t>
      </w:r>
    </w:p>
    <w:p w14:paraId="5C9833AD" w14:textId="4746167E" w:rsidR="00F503C2" w:rsidRPr="00E00222" w:rsidRDefault="00E00222" w:rsidP="00E00222">
      <w:pPr>
        <w:pStyle w:val="ListBullet"/>
        <w:rPr>
          <w:rFonts w:asciiTheme="minorHAnsi" w:hAnsiTheme="minorHAnsi"/>
        </w:rPr>
      </w:pPr>
      <w:r>
        <w:rPr>
          <w:rFonts w:asciiTheme="minorHAnsi" w:hAnsiTheme="minorHAnsi"/>
        </w:rPr>
        <w:t>T</w:t>
      </w:r>
      <w:r w:rsidR="00D955F9" w:rsidRPr="00E00222">
        <w:rPr>
          <w:rFonts w:asciiTheme="minorHAnsi" w:hAnsiTheme="minorHAnsi"/>
        </w:rPr>
        <w:t xml:space="preserve">he </w:t>
      </w:r>
      <w:hyperlink r:id="rId17" w:history="1">
        <w:r w:rsidR="00D955F9" w:rsidRPr="00E00222">
          <w:rPr>
            <w:rStyle w:val="Hyperlink"/>
            <w:rFonts w:asciiTheme="minorHAnsi" w:hAnsiTheme="minorHAnsi"/>
          </w:rPr>
          <w:t>National Standard Operating Procedures for Clinical Trials, including Teletrials, in Australia</w:t>
        </w:r>
      </w:hyperlink>
      <w:r w:rsidR="00D955F9" w:rsidRPr="00E00222">
        <w:rPr>
          <w:rFonts w:asciiTheme="minorHAnsi" w:hAnsiTheme="minorHAnsi"/>
        </w:rPr>
        <w:t xml:space="preserve"> (National SOP) </w:t>
      </w:r>
      <w:r>
        <w:rPr>
          <w:rFonts w:asciiTheme="minorHAnsi" w:hAnsiTheme="minorHAnsi"/>
        </w:rPr>
        <w:t>is</w:t>
      </w:r>
      <w:r w:rsidR="00D955F9" w:rsidRPr="00E00222">
        <w:rPr>
          <w:rFonts w:asciiTheme="minorHAnsi" w:hAnsiTheme="minorHAnsi"/>
        </w:rPr>
        <w:t xml:space="preserve"> endorsed </w:t>
      </w:r>
      <w:r>
        <w:rPr>
          <w:rFonts w:asciiTheme="minorHAnsi" w:hAnsiTheme="minorHAnsi"/>
        </w:rPr>
        <w:t>by the TGA</w:t>
      </w:r>
      <w:r w:rsidR="00D955F9" w:rsidRPr="00E00222">
        <w:rPr>
          <w:rFonts w:asciiTheme="minorHAnsi" w:hAnsiTheme="minorHAnsi"/>
        </w:rPr>
        <w:t xml:space="preserve"> </w:t>
      </w:r>
      <w:r w:rsidR="00F741D6">
        <w:rPr>
          <w:rFonts w:asciiTheme="minorHAnsi" w:hAnsiTheme="minorHAnsi"/>
        </w:rPr>
        <w:t xml:space="preserve">and </w:t>
      </w:r>
      <w:r w:rsidR="00D955F9" w:rsidRPr="00E00222">
        <w:rPr>
          <w:rFonts w:asciiTheme="minorHAnsi" w:hAnsiTheme="minorHAnsi"/>
        </w:rPr>
        <w:t>was developed to be consistent with ICH</w:t>
      </w:r>
      <w:r w:rsidR="00AF0347">
        <w:rPr>
          <w:rFonts w:asciiTheme="minorHAnsi" w:hAnsiTheme="minorHAnsi"/>
        </w:rPr>
        <w:t xml:space="preserve"> </w:t>
      </w:r>
      <w:r w:rsidR="00D955F9" w:rsidRPr="00E00222">
        <w:rPr>
          <w:rFonts w:asciiTheme="minorHAnsi" w:hAnsiTheme="minorHAnsi"/>
        </w:rPr>
        <w:t>GCP</w:t>
      </w:r>
      <w:r w:rsidR="008D028B" w:rsidRPr="00E00222">
        <w:rPr>
          <w:rFonts w:asciiTheme="minorHAnsi" w:hAnsiTheme="minorHAnsi"/>
        </w:rPr>
        <w:t xml:space="preserve"> E6</w:t>
      </w:r>
      <w:r w:rsidR="00D955F9" w:rsidRPr="00E00222">
        <w:rPr>
          <w:rFonts w:asciiTheme="minorHAnsi" w:hAnsiTheme="minorHAnsi"/>
        </w:rPr>
        <w:t xml:space="preserve"> and the National Statement on Ethical Conduct in Human Research. You will find procedures and templates for key clinical trials activities for medicines, </w:t>
      </w:r>
      <w:proofErr w:type="gramStart"/>
      <w:r w:rsidR="00D955F9" w:rsidRPr="00E00222">
        <w:rPr>
          <w:rFonts w:asciiTheme="minorHAnsi" w:hAnsiTheme="minorHAnsi"/>
        </w:rPr>
        <w:t>biologicals</w:t>
      </w:r>
      <w:proofErr w:type="gramEnd"/>
      <w:r w:rsidR="00D955F9" w:rsidRPr="00E00222">
        <w:rPr>
          <w:rFonts w:asciiTheme="minorHAnsi" w:hAnsiTheme="minorHAnsi"/>
        </w:rPr>
        <w:t xml:space="preserve"> and devices trials.</w:t>
      </w:r>
    </w:p>
    <w:p w14:paraId="2D65C102" w14:textId="7BC46B9C" w:rsidR="00C4789D" w:rsidRDefault="00EE719D" w:rsidP="002B2EFD">
      <w:r>
        <w:t xml:space="preserve">You should have a resource plan in place to ensure site staff can accommodate an inspection within any given timeframe. </w:t>
      </w:r>
      <w:r w:rsidR="00C4789D">
        <w:t>Sites will usually be provided with 4 weeks’ notice for announced inspections. However, i</w:t>
      </w:r>
      <w:r w:rsidR="00C4789D" w:rsidRPr="00A62982">
        <w:t>nspections may be unannounced</w:t>
      </w:r>
      <w:r w:rsidR="00C4789D">
        <w:t xml:space="preserve"> or be performed at short notice. </w:t>
      </w:r>
    </w:p>
    <w:p w14:paraId="349A6217" w14:textId="1F2C49AD" w:rsidR="007227CD" w:rsidRDefault="00455E32" w:rsidP="008C2251">
      <w:pPr>
        <w:pStyle w:val="Heading3"/>
      </w:pPr>
      <w:bookmarkStart w:id="10" w:name="_Toc101867051"/>
      <w:bookmarkStart w:id="11" w:name="_Toc166488030"/>
      <w:r>
        <w:t>Inspection s</w:t>
      </w:r>
      <w:r w:rsidR="00EB1350">
        <w:t>cope</w:t>
      </w:r>
      <w:bookmarkEnd w:id="10"/>
      <w:bookmarkEnd w:id="11"/>
    </w:p>
    <w:tbl>
      <w:tblPr>
        <w:tblW w:w="9038" w:type="dxa"/>
        <w:tblLayout w:type="fixed"/>
        <w:tblCellMar>
          <w:left w:w="0" w:type="dxa"/>
          <w:right w:w="0" w:type="dxa"/>
        </w:tblCellMar>
        <w:tblLook w:val="04A0" w:firstRow="1" w:lastRow="0" w:firstColumn="1" w:lastColumn="0" w:noHBand="0" w:noVBand="1"/>
      </w:tblPr>
      <w:tblGrid>
        <w:gridCol w:w="1276"/>
        <w:gridCol w:w="7762"/>
      </w:tblGrid>
      <w:tr w:rsidR="00572512" w:rsidRPr="008C4B45" w14:paraId="706E90D2" w14:textId="77777777" w:rsidTr="008D0E72">
        <w:trPr>
          <w:trHeight w:val="985"/>
        </w:trPr>
        <w:tc>
          <w:tcPr>
            <w:tcW w:w="1276" w:type="dxa"/>
            <w:vAlign w:val="center"/>
          </w:tcPr>
          <w:p w14:paraId="75AA2863" w14:textId="77777777" w:rsidR="00572512" w:rsidRPr="00C366F6" w:rsidRDefault="00572512" w:rsidP="00B4242E">
            <w:pPr>
              <w:rPr>
                <w:rFonts w:asciiTheme="minorHAnsi" w:hAnsiTheme="minorHAnsi"/>
              </w:rPr>
            </w:pPr>
            <w:r w:rsidRPr="00C366F6">
              <w:rPr>
                <w:rFonts w:asciiTheme="minorHAnsi" w:hAnsiTheme="minorHAnsi"/>
                <w:noProof/>
                <w:lang w:eastAsia="en-AU"/>
              </w:rPr>
              <w:drawing>
                <wp:inline distT="0" distB="0" distL="0" distR="0" wp14:anchorId="5CB6BA54" wp14:editId="69171409">
                  <wp:extent cx="487681" cy="487681"/>
                  <wp:effectExtent l="19050" t="0" r="7619" b="0"/>
                  <wp:docPr id="10" name="Picture 1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BDC607E" w14:textId="638504BC" w:rsidR="00572512" w:rsidRPr="00944FD6" w:rsidRDefault="00572512" w:rsidP="00B4242E">
            <w:pPr>
              <w:pStyle w:val="ListBullet"/>
              <w:numPr>
                <w:ilvl w:val="0"/>
                <w:numId w:val="0"/>
              </w:numPr>
            </w:pPr>
            <w:r>
              <w:t xml:space="preserve">Read our annual </w:t>
            </w:r>
            <w:hyperlink r:id="rId18" w:history="1">
              <w:r w:rsidRPr="00944FD6">
                <w:rPr>
                  <w:rStyle w:val="Hyperlink"/>
                </w:rPr>
                <w:t>GCP Metrics Report</w:t>
              </w:r>
              <w:r w:rsidRPr="007F122E">
                <w:rPr>
                  <w:rStyle w:val="Hyperlink"/>
                </w:rPr>
                <w:t>(s)</w:t>
              </w:r>
            </w:hyperlink>
            <w:r>
              <w:t xml:space="preserve"> t</w:t>
            </w:r>
            <w:r w:rsidRPr="0059491C">
              <w:t xml:space="preserve">o </w:t>
            </w:r>
            <w:r>
              <w:t>see the common compliance issues</w:t>
            </w:r>
            <w:r w:rsidRPr="0059491C">
              <w:t xml:space="preserve"> inspectors have found </w:t>
            </w:r>
            <w:r>
              <w:t>during</w:t>
            </w:r>
            <w:r w:rsidRPr="0059491C">
              <w:t xml:space="preserve"> GCP inspections</w:t>
            </w:r>
            <w:r>
              <w:t xml:space="preserve">. </w:t>
            </w:r>
          </w:p>
        </w:tc>
      </w:tr>
    </w:tbl>
    <w:p w14:paraId="40386648" w14:textId="77777777" w:rsidR="002B2EFD" w:rsidRDefault="002B2EFD" w:rsidP="002B2EFD"/>
    <w:p w14:paraId="29D02B26" w14:textId="4B100263" w:rsidR="007F4C3E" w:rsidRDefault="007F4C3E" w:rsidP="002B2EFD">
      <w:r>
        <w:t xml:space="preserve">Inspectors will undertake interviews to help understand processes. However, if there is no supporting documented evidence then this will lead to deficiencies being recorded. </w:t>
      </w:r>
      <w:r w:rsidRPr="00203CA1">
        <w:t xml:space="preserve">You should ensure you have processes in place to allow for the identification, </w:t>
      </w:r>
      <w:proofErr w:type="gramStart"/>
      <w:r w:rsidRPr="00203CA1">
        <w:t>retrieval</w:t>
      </w:r>
      <w:proofErr w:type="gramEnd"/>
      <w:r w:rsidRPr="00203CA1">
        <w:t xml:space="preserve"> and management of all documentation </w:t>
      </w:r>
      <w:r>
        <w:t>on</w:t>
      </w:r>
      <w:r w:rsidRPr="00203CA1">
        <w:t xml:space="preserve"> clinical</w:t>
      </w:r>
      <w:r>
        <w:t xml:space="preserve"> </w:t>
      </w:r>
      <w:r w:rsidRPr="00203CA1">
        <w:t>trial</w:t>
      </w:r>
      <w:r>
        <w:t xml:space="preserve"> </w:t>
      </w:r>
      <w:r w:rsidRPr="00203CA1">
        <w:t>related activities.</w:t>
      </w:r>
      <w:r w:rsidRPr="00C4789D">
        <w:t xml:space="preserve"> </w:t>
      </w:r>
    </w:p>
    <w:p w14:paraId="6BA7F2DD" w14:textId="54066DA6" w:rsidR="007F4C3E" w:rsidRDefault="00455E32" w:rsidP="0072133D">
      <w:r>
        <w:t>We</w:t>
      </w:r>
      <w:r w:rsidR="0072133D">
        <w:t xml:space="preserve"> will</w:t>
      </w:r>
      <w:r>
        <w:t xml:space="preserve"> typically review</w:t>
      </w:r>
      <w:r w:rsidR="0072133D">
        <w:t xml:space="preserve"> </w:t>
      </w:r>
      <w:r>
        <w:t>your</w:t>
      </w:r>
      <w:r w:rsidR="0072133D" w:rsidRPr="00C42216">
        <w:t xml:space="preserve"> compliance under five main categories: the protection of participants, protocol compliance, documentation, </w:t>
      </w:r>
      <w:r w:rsidR="00B46F5B">
        <w:t>therapeutic good</w:t>
      </w:r>
      <w:r w:rsidR="00EE719D">
        <w:t>/</w:t>
      </w:r>
      <w:r w:rsidR="00EE719D" w:rsidRPr="00C42216">
        <w:t>investigational product</w:t>
      </w:r>
      <w:r w:rsidR="00B46F5B">
        <w:t>,</w:t>
      </w:r>
      <w:r w:rsidR="0072133D" w:rsidRPr="00C42216">
        <w:t xml:space="preserve"> and trial management</w:t>
      </w:r>
      <w:r>
        <w:t xml:space="preserve"> (</w:t>
      </w:r>
      <w:r w:rsidR="0072133D" w:rsidRPr="00E679D5">
        <w:rPr>
          <w:b/>
          <w:bCs/>
        </w:rPr>
        <w:t>Table 1</w:t>
      </w:r>
      <w:r>
        <w:t>)</w:t>
      </w:r>
      <w:r w:rsidR="0072133D">
        <w:t>.</w:t>
      </w:r>
      <w:r>
        <w:t xml:space="preserve"> </w:t>
      </w:r>
    </w:p>
    <w:p w14:paraId="5E3E1F1A" w14:textId="4094DCE7" w:rsidR="0072133D" w:rsidRDefault="00455E32" w:rsidP="0072133D">
      <w:r>
        <w:t>We will not review every trial</w:t>
      </w:r>
      <w:r w:rsidR="00BD3501">
        <w:t>-</w:t>
      </w:r>
      <w:r>
        <w:t>related document. Inspectors</w:t>
      </w:r>
      <w:r w:rsidR="0072133D" w:rsidRPr="0072133D">
        <w:t xml:space="preserve"> employ a risk-based approach to the</w:t>
      </w:r>
      <w:r w:rsidR="00BB7829">
        <w:t xml:space="preserve"> type and</w:t>
      </w:r>
      <w:r w:rsidR="0072133D">
        <w:t xml:space="preserve"> number of documents we will ask you to provide </w:t>
      </w:r>
      <w:r w:rsidR="00BB7829">
        <w:t>for an</w:t>
      </w:r>
      <w:r w:rsidR="0072133D">
        <w:t xml:space="preserve"> inspection.</w:t>
      </w:r>
      <w:r>
        <w:t xml:space="preserve"> However, you should </w:t>
      </w:r>
      <w:r w:rsidRPr="00455E32">
        <w:t xml:space="preserve">maintain </w:t>
      </w:r>
      <w:r w:rsidR="001C3DC0">
        <w:t xml:space="preserve">inspection </w:t>
      </w:r>
      <w:r w:rsidRPr="00455E32">
        <w:t xml:space="preserve">readiness </w:t>
      </w:r>
      <w:r>
        <w:t xml:space="preserve">across all five categories.  </w:t>
      </w:r>
    </w:p>
    <w:p w14:paraId="6F9ECB7A" w14:textId="77777777" w:rsidR="00E679D5" w:rsidRDefault="00E679D5">
      <w:pPr>
        <w:rPr>
          <w:rFonts w:eastAsia="Cambria" w:cs="Times New Roman"/>
          <w:b/>
          <w:color w:val="333F48"/>
        </w:rPr>
      </w:pPr>
      <w:r>
        <w:br w:type="page"/>
      </w:r>
    </w:p>
    <w:p w14:paraId="195FEDEB" w14:textId="048B5093" w:rsidR="00D47FA7" w:rsidRPr="00CA1469" w:rsidRDefault="0072133D" w:rsidP="00B4601B">
      <w:pPr>
        <w:pStyle w:val="Tabletitle"/>
        <w:keepLines/>
      </w:pPr>
      <w:r>
        <w:lastRenderedPageBreak/>
        <w:t>Table 1. Main categories and sub-categories</w:t>
      </w:r>
      <w:r w:rsidR="00C160E4">
        <w:t xml:space="preserve"> subject to review in a</w:t>
      </w:r>
      <w:r w:rsidR="004F28A0">
        <w:t xml:space="preserve"> GCP </w:t>
      </w:r>
      <w:r>
        <w:t xml:space="preserve">inspection </w:t>
      </w:r>
    </w:p>
    <w:tbl>
      <w:tblPr>
        <w:tblW w:w="8600" w:type="dxa"/>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ook w:val="04A0" w:firstRow="1" w:lastRow="0" w:firstColumn="1" w:lastColumn="0" w:noHBand="0" w:noVBand="1"/>
      </w:tblPr>
      <w:tblGrid>
        <w:gridCol w:w="1760"/>
        <w:gridCol w:w="940"/>
        <w:gridCol w:w="5900"/>
      </w:tblGrid>
      <w:tr w:rsidR="00D47FA7" w:rsidRPr="00F76F57" w14:paraId="2E41A22D" w14:textId="77777777" w:rsidTr="00B4242E">
        <w:trPr>
          <w:trHeight w:val="600"/>
        </w:trPr>
        <w:tc>
          <w:tcPr>
            <w:tcW w:w="1760" w:type="dxa"/>
            <w:shd w:val="clear" w:color="auto" w:fill="DEEAF6"/>
            <w:vAlign w:val="center"/>
            <w:hideMark/>
          </w:tcPr>
          <w:p w14:paraId="10370220" w14:textId="77777777" w:rsidR="00D47FA7" w:rsidRPr="00B671C6" w:rsidRDefault="00D47FA7" w:rsidP="008D0E72">
            <w:pPr>
              <w:keepNext/>
              <w:keepLines/>
              <w:spacing w:after="0" w:line="240" w:lineRule="auto"/>
              <w:rPr>
                <w:rFonts w:eastAsia="Times New Roman" w:cs="Arial"/>
                <w:b/>
                <w:color w:val="263287"/>
                <w:sz w:val="22"/>
                <w:szCs w:val="22"/>
                <w:lang w:eastAsia="en-AU"/>
              </w:rPr>
            </w:pPr>
            <w:bookmarkStart w:id="12" w:name="_Hlk115961115"/>
            <w:r>
              <w:rPr>
                <w:rFonts w:eastAsia="Times New Roman" w:cs="Arial"/>
                <w:b/>
                <w:color w:val="263287"/>
                <w:sz w:val="22"/>
                <w:szCs w:val="22"/>
                <w:lang w:eastAsia="en-AU"/>
              </w:rPr>
              <w:t>Main c</w:t>
            </w:r>
            <w:r w:rsidRPr="00B671C6">
              <w:rPr>
                <w:rFonts w:eastAsia="Times New Roman" w:cs="Arial"/>
                <w:b/>
                <w:color w:val="263287"/>
                <w:sz w:val="22"/>
                <w:szCs w:val="22"/>
                <w:lang w:eastAsia="en-AU"/>
              </w:rPr>
              <w:t>ategory</w:t>
            </w:r>
          </w:p>
        </w:tc>
        <w:tc>
          <w:tcPr>
            <w:tcW w:w="940" w:type="dxa"/>
            <w:shd w:val="clear" w:color="auto" w:fill="DEEAF6"/>
            <w:noWrap/>
            <w:vAlign w:val="center"/>
            <w:hideMark/>
          </w:tcPr>
          <w:p w14:paraId="2959507B" w14:textId="77777777" w:rsidR="00D47FA7" w:rsidRPr="00B671C6" w:rsidRDefault="00D47FA7" w:rsidP="008D0E72">
            <w:pPr>
              <w:keepNext/>
              <w:keepLines/>
              <w:spacing w:after="0" w:line="240" w:lineRule="auto"/>
              <w:rPr>
                <w:rFonts w:eastAsia="Times New Roman" w:cs="Arial"/>
                <w:b/>
                <w:color w:val="263287"/>
                <w:sz w:val="22"/>
                <w:szCs w:val="22"/>
                <w:lang w:eastAsia="en-AU"/>
              </w:rPr>
            </w:pPr>
            <w:r w:rsidRPr="00B671C6">
              <w:rPr>
                <w:rFonts w:eastAsia="Times New Roman" w:cs="Arial"/>
                <w:b/>
                <w:color w:val="263287"/>
                <w:sz w:val="22"/>
                <w:szCs w:val="22"/>
                <w:lang w:eastAsia="en-AU"/>
              </w:rPr>
              <w:t>No.</w:t>
            </w:r>
          </w:p>
        </w:tc>
        <w:tc>
          <w:tcPr>
            <w:tcW w:w="5900" w:type="dxa"/>
            <w:shd w:val="clear" w:color="auto" w:fill="DEEAF6"/>
            <w:noWrap/>
            <w:vAlign w:val="center"/>
            <w:hideMark/>
          </w:tcPr>
          <w:p w14:paraId="627143C4" w14:textId="77777777" w:rsidR="00D47FA7" w:rsidRPr="00B671C6" w:rsidRDefault="00D47FA7" w:rsidP="008D0E72">
            <w:pPr>
              <w:keepNext/>
              <w:keepLines/>
              <w:spacing w:after="0" w:line="240" w:lineRule="auto"/>
              <w:rPr>
                <w:rFonts w:eastAsia="Times New Roman" w:cs="Arial"/>
                <w:b/>
                <w:color w:val="263287"/>
                <w:sz w:val="22"/>
                <w:szCs w:val="22"/>
                <w:lang w:eastAsia="en-AU"/>
              </w:rPr>
            </w:pPr>
            <w:r w:rsidRPr="00B671C6">
              <w:rPr>
                <w:rFonts w:eastAsia="Times New Roman" w:cs="Arial"/>
                <w:b/>
                <w:color w:val="263287"/>
                <w:sz w:val="22"/>
                <w:szCs w:val="22"/>
                <w:lang w:eastAsia="en-AU"/>
              </w:rPr>
              <w:t>Sub-category</w:t>
            </w:r>
          </w:p>
        </w:tc>
      </w:tr>
      <w:tr w:rsidR="00D47FA7" w:rsidRPr="00F76F57" w14:paraId="17BAEC21" w14:textId="77777777" w:rsidTr="00B4242E">
        <w:trPr>
          <w:trHeight w:val="300"/>
        </w:trPr>
        <w:tc>
          <w:tcPr>
            <w:tcW w:w="1760" w:type="dxa"/>
            <w:vMerge w:val="restart"/>
            <w:shd w:val="clear" w:color="auto" w:fill="auto"/>
            <w:vAlign w:val="center"/>
            <w:hideMark/>
          </w:tcPr>
          <w:p w14:paraId="26F7685F" w14:textId="77777777" w:rsidR="00D47FA7" w:rsidRPr="00B671C6" w:rsidRDefault="00D47FA7" w:rsidP="008D0E72">
            <w:pPr>
              <w:keepNext/>
              <w:keepLines/>
              <w:spacing w:after="0" w:line="240" w:lineRule="auto"/>
              <w:rPr>
                <w:rFonts w:eastAsia="Times New Roman" w:cs="Arial"/>
                <w:sz w:val="18"/>
                <w:szCs w:val="18"/>
                <w:lang w:eastAsia="en-AU"/>
              </w:rPr>
            </w:pPr>
            <w:r w:rsidRPr="00B671C6">
              <w:rPr>
                <w:rFonts w:eastAsia="Times New Roman" w:cs="Arial"/>
                <w:sz w:val="18"/>
                <w:szCs w:val="18"/>
                <w:lang w:eastAsia="en-AU"/>
              </w:rPr>
              <w:t>Protection of participants</w:t>
            </w:r>
          </w:p>
        </w:tc>
        <w:tc>
          <w:tcPr>
            <w:tcW w:w="940" w:type="dxa"/>
            <w:shd w:val="clear" w:color="auto" w:fill="auto"/>
            <w:noWrap/>
            <w:vAlign w:val="center"/>
            <w:hideMark/>
          </w:tcPr>
          <w:p w14:paraId="7C6BDE0C" w14:textId="77777777" w:rsidR="00D47FA7" w:rsidRPr="00B671C6" w:rsidRDefault="00D47FA7" w:rsidP="008D0E72">
            <w:pPr>
              <w:keepNext/>
              <w:keepLines/>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1.1</w:t>
            </w:r>
          </w:p>
        </w:tc>
        <w:tc>
          <w:tcPr>
            <w:tcW w:w="5900" w:type="dxa"/>
            <w:shd w:val="clear" w:color="auto" w:fill="auto"/>
            <w:noWrap/>
            <w:vAlign w:val="center"/>
            <w:hideMark/>
          </w:tcPr>
          <w:p w14:paraId="513274E2" w14:textId="77777777" w:rsidR="00D47FA7" w:rsidRPr="00B671C6" w:rsidRDefault="00D47FA7" w:rsidP="008D0E72">
            <w:pPr>
              <w:keepNext/>
              <w:keepLines/>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 xml:space="preserve">Informed consent </w:t>
            </w:r>
            <w:r>
              <w:rPr>
                <w:rFonts w:eastAsia="Times New Roman" w:cs="Arial"/>
                <w:color w:val="000000"/>
                <w:sz w:val="18"/>
                <w:szCs w:val="18"/>
                <w:lang w:eastAsia="en-AU"/>
              </w:rPr>
              <w:t xml:space="preserve">– </w:t>
            </w:r>
            <w:r w:rsidRPr="00B671C6">
              <w:rPr>
                <w:rFonts w:eastAsia="Times New Roman" w:cs="Arial"/>
                <w:color w:val="000000"/>
                <w:sz w:val="18"/>
                <w:szCs w:val="18"/>
                <w:lang w:eastAsia="en-AU"/>
              </w:rPr>
              <w:t>Presence of informed consent</w:t>
            </w:r>
          </w:p>
        </w:tc>
      </w:tr>
      <w:tr w:rsidR="00D47FA7" w:rsidRPr="00F76F57" w14:paraId="54B86D06" w14:textId="77777777" w:rsidTr="00B4242E">
        <w:trPr>
          <w:trHeight w:val="300"/>
        </w:trPr>
        <w:tc>
          <w:tcPr>
            <w:tcW w:w="1760" w:type="dxa"/>
            <w:vMerge/>
            <w:vAlign w:val="center"/>
            <w:hideMark/>
          </w:tcPr>
          <w:p w14:paraId="79016249"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4524827B"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1.2</w:t>
            </w:r>
          </w:p>
        </w:tc>
        <w:tc>
          <w:tcPr>
            <w:tcW w:w="5900" w:type="dxa"/>
            <w:shd w:val="clear" w:color="auto" w:fill="auto"/>
            <w:noWrap/>
            <w:vAlign w:val="center"/>
            <w:hideMark/>
          </w:tcPr>
          <w:p w14:paraId="24AE7B2E"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 xml:space="preserve">Informed consent </w:t>
            </w:r>
            <w:r>
              <w:rPr>
                <w:rFonts w:eastAsia="Times New Roman" w:cs="Arial"/>
                <w:color w:val="000000"/>
                <w:sz w:val="18"/>
                <w:szCs w:val="18"/>
                <w:lang w:eastAsia="en-AU"/>
              </w:rPr>
              <w:t>–</w:t>
            </w:r>
            <w:r w:rsidRPr="00B671C6">
              <w:rPr>
                <w:rFonts w:eastAsia="Times New Roman" w:cs="Arial"/>
                <w:color w:val="000000"/>
                <w:sz w:val="18"/>
                <w:szCs w:val="18"/>
                <w:lang w:eastAsia="en-AU"/>
              </w:rPr>
              <w:t xml:space="preserve"> Informed consent process</w:t>
            </w:r>
          </w:p>
        </w:tc>
      </w:tr>
      <w:tr w:rsidR="00D47FA7" w:rsidRPr="00F76F57" w14:paraId="00B3964F" w14:textId="77777777" w:rsidTr="00B4242E">
        <w:trPr>
          <w:trHeight w:val="300"/>
        </w:trPr>
        <w:tc>
          <w:tcPr>
            <w:tcW w:w="1760" w:type="dxa"/>
            <w:vMerge/>
            <w:vAlign w:val="center"/>
            <w:hideMark/>
          </w:tcPr>
          <w:p w14:paraId="423B6CCD"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7CC9C458"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1.3</w:t>
            </w:r>
          </w:p>
        </w:tc>
        <w:tc>
          <w:tcPr>
            <w:tcW w:w="5900" w:type="dxa"/>
            <w:shd w:val="clear" w:color="auto" w:fill="auto"/>
            <w:noWrap/>
            <w:vAlign w:val="center"/>
            <w:hideMark/>
          </w:tcPr>
          <w:p w14:paraId="637E55EF"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 xml:space="preserve">Informed consent </w:t>
            </w:r>
            <w:r>
              <w:rPr>
                <w:rFonts w:eastAsia="Times New Roman" w:cs="Arial"/>
                <w:color w:val="000000"/>
                <w:sz w:val="18"/>
                <w:szCs w:val="18"/>
                <w:lang w:eastAsia="en-AU"/>
              </w:rPr>
              <w:t>–</w:t>
            </w:r>
            <w:r w:rsidRPr="00B671C6">
              <w:rPr>
                <w:rFonts w:eastAsia="Times New Roman" w:cs="Arial"/>
                <w:color w:val="000000"/>
                <w:sz w:val="18"/>
                <w:szCs w:val="18"/>
                <w:lang w:eastAsia="en-AU"/>
              </w:rPr>
              <w:t xml:space="preserve"> Informed consent form content</w:t>
            </w:r>
          </w:p>
        </w:tc>
      </w:tr>
      <w:tr w:rsidR="00D47FA7" w:rsidRPr="00F76F57" w14:paraId="594B3F07" w14:textId="77777777" w:rsidTr="00B4242E">
        <w:trPr>
          <w:trHeight w:val="300"/>
        </w:trPr>
        <w:tc>
          <w:tcPr>
            <w:tcW w:w="1760" w:type="dxa"/>
            <w:vMerge/>
            <w:vAlign w:val="center"/>
            <w:hideMark/>
          </w:tcPr>
          <w:p w14:paraId="0499F812"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21CE73D4"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1.4</w:t>
            </w:r>
          </w:p>
        </w:tc>
        <w:tc>
          <w:tcPr>
            <w:tcW w:w="5900" w:type="dxa"/>
            <w:shd w:val="clear" w:color="auto" w:fill="auto"/>
            <w:noWrap/>
            <w:vAlign w:val="center"/>
            <w:hideMark/>
          </w:tcPr>
          <w:p w14:paraId="083E4E37"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 xml:space="preserve">HREC/Approving authority </w:t>
            </w:r>
            <w:r>
              <w:rPr>
                <w:rFonts w:eastAsia="Times New Roman" w:cs="Arial"/>
                <w:color w:val="000000"/>
                <w:sz w:val="18"/>
                <w:szCs w:val="18"/>
                <w:lang w:eastAsia="en-AU"/>
              </w:rPr>
              <w:t>–</w:t>
            </w:r>
            <w:r w:rsidRPr="00B671C6">
              <w:rPr>
                <w:rFonts w:eastAsia="Times New Roman" w:cs="Arial"/>
                <w:color w:val="000000"/>
                <w:sz w:val="18"/>
                <w:szCs w:val="18"/>
                <w:lang w:eastAsia="en-AU"/>
              </w:rPr>
              <w:t xml:space="preserve"> Favourable opinion</w:t>
            </w:r>
          </w:p>
        </w:tc>
      </w:tr>
      <w:tr w:rsidR="00D47FA7" w:rsidRPr="00F76F57" w14:paraId="50D7DE42" w14:textId="77777777" w:rsidTr="00B4242E">
        <w:trPr>
          <w:trHeight w:val="345"/>
        </w:trPr>
        <w:tc>
          <w:tcPr>
            <w:tcW w:w="1760" w:type="dxa"/>
            <w:vMerge/>
            <w:vAlign w:val="center"/>
            <w:hideMark/>
          </w:tcPr>
          <w:p w14:paraId="36BDC3BA"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290A8000"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1.5</w:t>
            </w:r>
          </w:p>
        </w:tc>
        <w:tc>
          <w:tcPr>
            <w:tcW w:w="5900" w:type="dxa"/>
            <w:shd w:val="clear" w:color="auto" w:fill="auto"/>
            <w:noWrap/>
            <w:vAlign w:val="center"/>
            <w:hideMark/>
          </w:tcPr>
          <w:p w14:paraId="12DD5A24"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 xml:space="preserve">HREC/Approving authority </w:t>
            </w:r>
            <w:r>
              <w:rPr>
                <w:rFonts w:eastAsia="Times New Roman" w:cs="Arial"/>
                <w:color w:val="000000"/>
                <w:sz w:val="18"/>
                <w:szCs w:val="18"/>
                <w:lang w:eastAsia="en-AU"/>
              </w:rPr>
              <w:t>–</w:t>
            </w:r>
            <w:r w:rsidRPr="00B671C6">
              <w:rPr>
                <w:rFonts w:eastAsia="Times New Roman" w:cs="Arial"/>
                <w:color w:val="000000"/>
                <w:sz w:val="18"/>
                <w:szCs w:val="18"/>
                <w:lang w:eastAsia="en-AU"/>
              </w:rPr>
              <w:t xml:space="preserve"> Opinion, amendments, notifications</w:t>
            </w:r>
          </w:p>
        </w:tc>
      </w:tr>
      <w:tr w:rsidR="00D47FA7" w:rsidRPr="00F76F57" w14:paraId="2AFD10AD" w14:textId="77777777" w:rsidTr="00B4242E">
        <w:trPr>
          <w:trHeight w:val="330"/>
        </w:trPr>
        <w:tc>
          <w:tcPr>
            <w:tcW w:w="1760" w:type="dxa"/>
            <w:vMerge/>
            <w:vAlign w:val="center"/>
            <w:hideMark/>
          </w:tcPr>
          <w:p w14:paraId="04767940"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5016359C" w14:textId="77777777" w:rsidR="00D47FA7" w:rsidRPr="00B671C6" w:rsidRDefault="00D47FA7" w:rsidP="00B4242E">
            <w:pPr>
              <w:spacing w:after="0" w:line="240" w:lineRule="auto"/>
              <w:rPr>
                <w:rFonts w:eastAsia="Times New Roman" w:cs="Arial"/>
                <w:sz w:val="18"/>
                <w:szCs w:val="18"/>
                <w:lang w:eastAsia="en-AU"/>
              </w:rPr>
            </w:pPr>
            <w:r w:rsidRPr="00B671C6">
              <w:rPr>
                <w:rFonts w:eastAsia="Times New Roman" w:cs="Arial"/>
                <w:sz w:val="18"/>
                <w:szCs w:val="18"/>
                <w:lang w:eastAsia="en-AU"/>
              </w:rPr>
              <w:t>1.6</w:t>
            </w:r>
          </w:p>
        </w:tc>
        <w:tc>
          <w:tcPr>
            <w:tcW w:w="5900" w:type="dxa"/>
            <w:shd w:val="clear" w:color="auto" w:fill="auto"/>
            <w:noWrap/>
            <w:vAlign w:val="center"/>
            <w:hideMark/>
          </w:tcPr>
          <w:p w14:paraId="7F1385B3" w14:textId="77777777" w:rsidR="00D47FA7" w:rsidRPr="00B671C6" w:rsidRDefault="00D47FA7" w:rsidP="00B4242E">
            <w:pPr>
              <w:spacing w:after="0" w:line="240" w:lineRule="auto"/>
              <w:rPr>
                <w:rFonts w:eastAsia="Times New Roman" w:cs="Arial"/>
                <w:sz w:val="18"/>
                <w:szCs w:val="18"/>
                <w:lang w:eastAsia="en-AU"/>
              </w:rPr>
            </w:pPr>
            <w:r w:rsidRPr="00B671C6">
              <w:rPr>
                <w:rFonts w:eastAsia="Times New Roman" w:cs="Arial"/>
                <w:sz w:val="18"/>
                <w:szCs w:val="18"/>
                <w:lang w:eastAsia="en-AU"/>
              </w:rPr>
              <w:t xml:space="preserve">HREC/Approving authority </w:t>
            </w:r>
            <w:r>
              <w:rPr>
                <w:rFonts w:eastAsia="Times New Roman" w:cs="Arial"/>
                <w:color w:val="000000"/>
                <w:sz w:val="18"/>
                <w:szCs w:val="18"/>
                <w:lang w:eastAsia="en-AU"/>
              </w:rPr>
              <w:t>–</w:t>
            </w:r>
            <w:r w:rsidRPr="00B671C6">
              <w:rPr>
                <w:rFonts w:eastAsia="Times New Roman" w:cs="Arial"/>
                <w:sz w:val="18"/>
                <w:szCs w:val="18"/>
                <w:lang w:eastAsia="en-AU"/>
              </w:rPr>
              <w:t xml:space="preserve"> Composition, functions, operations</w:t>
            </w:r>
          </w:p>
        </w:tc>
      </w:tr>
      <w:tr w:rsidR="00D47FA7" w:rsidRPr="00F76F57" w14:paraId="040FACF8" w14:textId="77777777" w:rsidTr="00B4242E">
        <w:trPr>
          <w:trHeight w:val="300"/>
        </w:trPr>
        <w:tc>
          <w:tcPr>
            <w:tcW w:w="1760" w:type="dxa"/>
            <w:vMerge/>
            <w:vAlign w:val="center"/>
            <w:hideMark/>
          </w:tcPr>
          <w:p w14:paraId="49757F02"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3B96587A"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1.7</w:t>
            </w:r>
          </w:p>
        </w:tc>
        <w:tc>
          <w:tcPr>
            <w:tcW w:w="5900" w:type="dxa"/>
            <w:shd w:val="clear" w:color="auto" w:fill="auto"/>
            <w:noWrap/>
            <w:vAlign w:val="center"/>
            <w:hideMark/>
          </w:tcPr>
          <w:p w14:paraId="11CD179D"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 xml:space="preserve">Participant protection </w:t>
            </w:r>
            <w:r>
              <w:rPr>
                <w:rFonts w:eastAsia="Times New Roman" w:cs="Arial"/>
                <w:color w:val="000000"/>
                <w:sz w:val="18"/>
                <w:szCs w:val="18"/>
                <w:lang w:eastAsia="en-AU"/>
              </w:rPr>
              <w:t>–</w:t>
            </w:r>
            <w:r w:rsidRPr="00B671C6">
              <w:rPr>
                <w:rFonts w:eastAsia="Times New Roman" w:cs="Arial"/>
                <w:color w:val="000000"/>
                <w:sz w:val="18"/>
                <w:szCs w:val="18"/>
                <w:lang w:eastAsia="en-AU"/>
              </w:rPr>
              <w:t xml:space="preserve"> Personal data protection</w:t>
            </w:r>
          </w:p>
        </w:tc>
      </w:tr>
      <w:tr w:rsidR="00D47FA7" w:rsidRPr="00F76F57" w14:paraId="0ABC6639" w14:textId="77777777" w:rsidTr="00B4242E">
        <w:trPr>
          <w:trHeight w:val="285"/>
        </w:trPr>
        <w:tc>
          <w:tcPr>
            <w:tcW w:w="1760" w:type="dxa"/>
            <w:vMerge/>
            <w:vAlign w:val="center"/>
            <w:hideMark/>
          </w:tcPr>
          <w:p w14:paraId="686B4BC8"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77471F81"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1.8</w:t>
            </w:r>
          </w:p>
        </w:tc>
        <w:tc>
          <w:tcPr>
            <w:tcW w:w="5900" w:type="dxa"/>
            <w:shd w:val="clear" w:color="auto" w:fill="auto"/>
            <w:noWrap/>
            <w:vAlign w:val="center"/>
            <w:hideMark/>
          </w:tcPr>
          <w:p w14:paraId="7E908E9F"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 xml:space="preserve">Participant protection </w:t>
            </w:r>
            <w:r>
              <w:rPr>
                <w:rFonts w:eastAsia="Times New Roman" w:cs="Arial"/>
                <w:color w:val="000000"/>
                <w:sz w:val="18"/>
                <w:szCs w:val="18"/>
                <w:lang w:eastAsia="en-AU"/>
              </w:rPr>
              <w:t>–</w:t>
            </w:r>
            <w:r w:rsidRPr="00B671C6">
              <w:rPr>
                <w:rFonts w:eastAsia="Times New Roman" w:cs="Arial"/>
                <w:color w:val="000000"/>
                <w:sz w:val="18"/>
                <w:szCs w:val="18"/>
                <w:lang w:eastAsia="en-AU"/>
              </w:rPr>
              <w:t xml:space="preserve"> Safeguarding safety and well-being</w:t>
            </w:r>
          </w:p>
        </w:tc>
      </w:tr>
      <w:tr w:rsidR="00D47FA7" w:rsidRPr="00F76F57" w14:paraId="4D0B721A" w14:textId="77777777" w:rsidTr="00B4242E">
        <w:trPr>
          <w:trHeight w:val="300"/>
        </w:trPr>
        <w:tc>
          <w:tcPr>
            <w:tcW w:w="1760" w:type="dxa"/>
            <w:vMerge w:val="restart"/>
            <w:shd w:val="clear" w:color="auto" w:fill="auto"/>
            <w:vAlign w:val="center"/>
            <w:hideMark/>
          </w:tcPr>
          <w:p w14:paraId="78AA40F1" w14:textId="77777777" w:rsidR="00D47FA7" w:rsidRPr="00B671C6" w:rsidRDefault="00D47FA7" w:rsidP="00B4242E">
            <w:pPr>
              <w:spacing w:after="0" w:line="240" w:lineRule="auto"/>
              <w:rPr>
                <w:rFonts w:eastAsia="Times New Roman" w:cs="Arial"/>
                <w:sz w:val="18"/>
                <w:szCs w:val="18"/>
                <w:lang w:eastAsia="en-AU"/>
              </w:rPr>
            </w:pPr>
            <w:r w:rsidRPr="00B671C6">
              <w:rPr>
                <w:rFonts w:eastAsia="Times New Roman" w:cs="Arial"/>
                <w:sz w:val="18"/>
                <w:szCs w:val="18"/>
                <w:lang w:eastAsia="en-AU"/>
              </w:rPr>
              <w:t>Protocol compliance</w:t>
            </w:r>
          </w:p>
        </w:tc>
        <w:tc>
          <w:tcPr>
            <w:tcW w:w="940" w:type="dxa"/>
            <w:shd w:val="clear" w:color="auto" w:fill="auto"/>
            <w:noWrap/>
            <w:vAlign w:val="center"/>
            <w:hideMark/>
          </w:tcPr>
          <w:p w14:paraId="368A4C25"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2.1</w:t>
            </w:r>
          </w:p>
        </w:tc>
        <w:tc>
          <w:tcPr>
            <w:tcW w:w="5900" w:type="dxa"/>
            <w:shd w:val="clear" w:color="auto" w:fill="auto"/>
            <w:noWrap/>
            <w:vAlign w:val="center"/>
            <w:hideMark/>
          </w:tcPr>
          <w:p w14:paraId="7298052D"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Eligibility criteria</w:t>
            </w:r>
          </w:p>
        </w:tc>
      </w:tr>
      <w:tr w:rsidR="00D47FA7" w:rsidRPr="00F76F57" w14:paraId="77543C46" w14:textId="77777777" w:rsidTr="00B4242E">
        <w:trPr>
          <w:trHeight w:val="300"/>
        </w:trPr>
        <w:tc>
          <w:tcPr>
            <w:tcW w:w="1760" w:type="dxa"/>
            <w:vMerge/>
            <w:vAlign w:val="center"/>
            <w:hideMark/>
          </w:tcPr>
          <w:p w14:paraId="4B2538DE"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6E038C4A"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2.2</w:t>
            </w:r>
          </w:p>
        </w:tc>
        <w:tc>
          <w:tcPr>
            <w:tcW w:w="5900" w:type="dxa"/>
            <w:shd w:val="clear" w:color="auto" w:fill="auto"/>
            <w:noWrap/>
            <w:vAlign w:val="center"/>
            <w:hideMark/>
          </w:tcPr>
          <w:p w14:paraId="1929E573"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Assessment of efficacy</w:t>
            </w:r>
          </w:p>
        </w:tc>
      </w:tr>
      <w:tr w:rsidR="00D47FA7" w:rsidRPr="00F76F57" w14:paraId="549A4EA3" w14:textId="77777777" w:rsidTr="00B4242E">
        <w:trPr>
          <w:trHeight w:val="300"/>
        </w:trPr>
        <w:tc>
          <w:tcPr>
            <w:tcW w:w="1760" w:type="dxa"/>
            <w:vMerge/>
            <w:vAlign w:val="center"/>
            <w:hideMark/>
          </w:tcPr>
          <w:p w14:paraId="75993EEA"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130F9005"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2.3</w:t>
            </w:r>
          </w:p>
        </w:tc>
        <w:tc>
          <w:tcPr>
            <w:tcW w:w="5900" w:type="dxa"/>
            <w:shd w:val="clear" w:color="auto" w:fill="auto"/>
            <w:noWrap/>
            <w:vAlign w:val="center"/>
            <w:hideMark/>
          </w:tcPr>
          <w:p w14:paraId="5714D0C7"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Safety reporting</w:t>
            </w:r>
          </w:p>
        </w:tc>
      </w:tr>
      <w:tr w:rsidR="00D47FA7" w:rsidRPr="00F76F57" w14:paraId="6AE0E098" w14:textId="77777777" w:rsidTr="00B4242E">
        <w:trPr>
          <w:trHeight w:val="285"/>
        </w:trPr>
        <w:tc>
          <w:tcPr>
            <w:tcW w:w="1760" w:type="dxa"/>
            <w:vMerge/>
            <w:vAlign w:val="center"/>
            <w:hideMark/>
          </w:tcPr>
          <w:p w14:paraId="3EC7B615"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0EA10891"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2.4</w:t>
            </w:r>
          </w:p>
        </w:tc>
        <w:tc>
          <w:tcPr>
            <w:tcW w:w="5900" w:type="dxa"/>
            <w:shd w:val="clear" w:color="auto" w:fill="auto"/>
            <w:noWrap/>
            <w:vAlign w:val="center"/>
            <w:hideMark/>
          </w:tcPr>
          <w:p w14:paraId="52D25A59" w14:textId="4C178AED"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Non-compliance with safety reporting to HREC/</w:t>
            </w:r>
            <w:r w:rsidR="00C44DF5" w:rsidRPr="00B671C6">
              <w:rPr>
                <w:rFonts w:eastAsia="Times New Roman" w:cs="Arial"/>
                <w:color w:val="000000"/>
                <w:sz w:val="18"/>
                <w:szCs w:val="18"/>
                <w:lang w:eastAsia="en-AU"/>
              </w:rPr>
              <w:t xml:space="preserve"> Approving authority </w:t>
            </w:r>
            <w:r w:rsidRPr="00B671C6">
              <w:rPr>
                <w:rFonts w:eastAsia="Times New Roman" w:cs="Arial"/>
                <w:color w:val="000000"/>
                <w:sz w:val="18"/>
                <w:szCs w:val="18"/>
                <w:lang w:eastAsia="en-AU"/>
              </w:rPr>
              <w:t>/TGA</w:t>
            </w:r>
          </w:p>
        </w:tc>
      </w:tr>
      <w:tr w:rsidR="00D47FA7" w:rsidRPr="00F76F57" w14:paraId="3B8167C3" w14:textId="77777777" w:rsidTr="00B4242E">
        <w:trPr>
          <w:trHeight w:val="300"/>
        </w:trPr>
        <w:tc>
          <w:tcPr>
            <w:tcW w:w="1760" w:type="dxa"/>
            <w:vMerge/>
            <w:vAlign w:val="center"/>
            <w:hideMark/>
          </w:tcPr>
          <w:p w14:paraId="5015265F"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566DEDCA"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2.5</w:t>
            </w:r>
          </w:p>
        </w:tc>
        <w:tc>
          <w:tcPr>
            <w:tcW w:w="5900" w:type="dxa"/>
            <w:shd w:val="clear" w:color="auto" w:fill="auto"/>
            <w:noWrap/>
            <w:vAlign w:val="center"/>
            <w:hideMark/>
          </w:tcPr>
          <w:p w14:paraId="52485212"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Reporting in case report form/diary as specified in the protocol</w:t>
            </w:r>
          </w:p>
        </w:tc>
      </w:tr>
      <w:tr w:rsidR="00D47FA7" w:rsidRPr="00F76F57" w14:paraId="5512E85E" w14:textId="77777777" w:rsidTr="00B4242E">
        <w:trPr>
          <w:trHeight w:val="300"/>
        </w:trPr>
        <w:tc>
          <w:tcPr>
            <w:tcW w:w="1760" w:type="dxa"/>
            <w:vMerge/>
            <w:vAlign w:val="center"/>
            <w:hideMark/>
          </w:tcPr>
          <w:p w14:paraId="6E767AE7"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5255F2AB"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2.6</w:t>
            </w:r>
          </w:p>
        </w:tc>
        <w:tc>
          <w:tcPr>
            <w:tcW w:w="5900" w:type="dxa"/>
            <w:shd w:val="clear" w:color="auto" w:fill="auto"/>
            <w:noWrap/>
            <w:vAlign w:val="center"/>
            <w:hideMark/>
          </w:tcPr>
          <w:p w14:paraId="464B629D"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Other protocol non-compliance not listed above</w:t>
            </w:r>
          </w:p>
        </w:tc>
      </w:tr>
      <w:tr w:rsidR="00D47FA7" w:rsidRPr="00F76F57" w14:paraId="1E93736F" w14:textId="77777777" w:rsidTr="00B4242E">
        <w:trPr>
          <w:trHeight w:val="300"/>
        </w:trPr>
        <w:tc>
          <w:tcPr>
            <w:tcW w:w="1760" w:type="dxa"/>
            <w:vMerge w:val="restart"/>
            <w:shd w:val="clear" w:color="auto" w:fill="auto"/>
            <w:vAlign w:val="center"/>
            <w:hideMark/>
          </w:tcPr>
          <w:p w14:paraId="516934FD" w14:textId="77777777" w:rsidR="00D47FA7" w:rsidRPr="00B671C6" w:rsidRDefault="00D47FA7" w:rsidP="00B4242E">
            <w:pPr>
              <w:spacing w:after="0" w:line="240" w:lineRule="auto"/>
              <w:rPr>
                <w:rFonts w:eastAsia="Times New Roman" w:cs="Arial"/>
                <w:sz w:val="18"/>
                <w:szCs w:val="18"/>
                <w:lang w:eastAsia="en-AU"/>
              </w:rPr>
            </w:pPr>
            <w:r w:rsidRPr="00B671C6">
              <w:rPr>
                <w:rFonts w:eastAsia="Times New Roman" w:cs="Arial"/>
                <w:sz w:val="18"/>
                <w:szCs w:val="18"/>
                <w:lang w:eastAsia="en-AU"/>
              </w:rPr>
              <w:t>Documentation</w:t>
            </w:r>
          </w:p>
        </w:tc>
        <w:tc>
          <w:tcPr>
            <w:tcW w:w="940" w:type="dxa"/>
            <w:shd w:val="clear" w:color="auto" w:fill="auto"/>
            <w:noWrap/>
            <w:vAlign w:val="center"/>
            <w:hideMark/>
          </w:tcPr>
          <w:p w14:paraId="4C22BBC1"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3.1</w:t>
            </w:r>
          </w:p>
        </w:tc>
        <w:tc>
          <w:tcPr>
            <w:tcW w:w="5900" w:type="dxa"/>
            <w:shd w:val="clear" w:color="auto" w:fill="auto"/>
            <w:noWrap/>
            <w:vAlign w:val="center"/>
            <w:hideMark/>
          </w:tcPr>
          <w:p w14:paraId="6B89BFE4"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Essential documents</w:t>
            </w:r>
          </w:p>
        </w:tc>
      </w:tr>
      <w:tr w:rsidR="00D47FA7" w:rsidRPr="00F76F57" w14:paraId="48E5D34F" w14:textId="77777777" w:rsidTr="00B4242E">
        <w:trPr>
          <w:trHeight w:val="300"/>
        </w:trPr>
        <w:tc>
          <w:tcPr>
            <w:tcW w:w="1760" w:type="dxa"/>
            <w:vMerge/>
            <w:vAlign w:val="center"/>
            <w:hideMark/>
          </w:tcPr>
          <w:p w14:paraId="19C0287E"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7BDE21F7"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3.2</w:t>
            </w:r>
          </w:p>
        </w:tc>
        <w:tc>
          <w:tcPr>
            <w:tcW w:w="5900" w:type="dxa"/>
            <w:shd w:val="clear" w:color="auto" w:fill="auto"/>
            <w:noWrap/>
            <w:vAlign w:val="center"/>
            <w:hideMark/>
          </w:tcPr>
          <w:p w14:paraId="13CA09C7"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Source documentation</w:t>
            </w:r>
          </w:p>
        </w:tc>
      </w:tr>
      <w:tr w:rsidR="00D47FA7" w:rsidRPr="00F76F57" w14:paraId="3F4404BF" w14:textId="77777777" w:rsidTr="00B4242E">
        <w:trPr>
          <w:trHeight w:val="300"/>
        </w:trPr>
        <w:tc>
          <w:tcPr>
            <w:tcW w:w="1760" w:type="dxa"/>
            <w:vMerge/>
            <w:vAlign w:val="center"/>
            <w:hideMark/>
          </w:tcPr>
          <w:p w14:paraId="33E86A7F"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764A5A15"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3.3</w:t>
            </w:r>
          </w:p>
        </w:tc>
        <w:tc>
          <w:tcPr>
            <w:tcW w:w="5900" w:type="dxa"/>
            <w:shd w:val="clear" w:color="auto" w:fill="auto"/>
            <w:noWrap/>
            <w:vAlign w:val="center"/>
            <w:hideMark/>
          </w:tcPr>
          <w:p w14:paraId="1D6ED091"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Qualification and training</w:t>
            </w:r>
          </w:p>
        </w:tc>
      </w:tr>
      <w:tr w:rsidR="00D47FA7" w:rsidRPr="00F76F57" w14:paraId="69C28602" w14:textId="77777777" w:rsidTr="00B4242E">
        <w:trPr>
          <w:trHeight w:val="300"/>
        </w:trPr>
        <w:tc>
          <w:tcPr>
            <w:tcW w:w="1760" w:type="dxa"/>
            <w:vMerge/>
            <w:vAlign w:val="center"/>
            <w:hideMark/>
          </w:tcPr>
          <w:p w14:paraId="2F76E476"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7F274ADF"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3.4</w:t>
            </w:r>
          </w:p>
        </w:tc>
        <w:tc>
          <w:tcPr>
            <w:tcW w:w="5900" w:type="dxa"/>
            <w:shd w:val="clear" w:color="auto" w:fill="auto"/>
            <w:noWrap/>
            <w:vAlign w:val="center"/>
            <w:hideMark/>
          </w:tcPr>
          <w:p w14:paraId="21703C35"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Standard operating procedures</w:t>
            </w:r>
          </w:p>
        </w:tc>
      </w:tr>
      <w:tr w:rsidR="00D47FA7" w:rsidRPr="00F76F57" w14:paraId="0ABC812A" w14:textId="77777777" w:rsidTr="00B4242E">
        <w:trPr>
          <w:trHeight w:val="300"/>
        </w:trPr>
        <w:tc>
          <w:tcPr>
            <w:tcW w:w="1760" w:type="dxa"/>
            <w:vMerge/>
            <w:vAlign w:val="center"/>
            <w:hideMark/>
          </w:tcPr>
          <w:p w14:paraId="669BE2E0"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055B97A6"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3.5</w:t>
            </w:r>
          </w:p>
        </w:tc>
        <w:tc>
          <w:tcPr>
            <w:tcW w:w="5900" w:type="dxa"/>
            <w:shd w:val="clear" w:color="auto" w:fill="auto"/>
            <w:noWrap/>
            <w:vAlign w:val="center"/>
            <w:hideMark/>
          </w:tcPr>
          <w:p w14:paraId="25D580D7"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Organisation and personnel</w:t>
            </w:r>
          </w:p>
        </w:tc>
      </w:tr>
      <w:tr w:rsidR="00D47FA7" w:rsidRPr="00F76F57" w14:paraId="5D86407B" w14:textId="77777777" w:rsidTr="00B4242E">
        <w:trPr>
          <w:trHeight w:val="300"/>
        </w:trPr>
        <w:tc>
          <w:tcPr>
            <w:tcW w:w="1760" w:type="dxa"/>
            <w:vMerge/>
            <w:vAlign w:val="center"/>
            <w:hideMark/>
          </w:tcPr>
          <w:p w14:paraId="7CB3DF8D"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1B942660"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3.6</w:t>
            </w:r>
          </w:p>
        </w:tc>
        <w:tc>
          <w:tcPr>
            <w:tcW w:w="5900" w:type="dxa"/>
            <w:shd w:val="clear" w:color="auto" w:fill="auto"/>
            <w:noWrap/>
            <w:vAlign w:val="center"/>
            <w:hideMark/>
          </w:tcPr>
          <w:p w14:paraId="1D90F7FC"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Facilities and equipment</w:t>
            </w:r>
          </w:p>
        </w:tc>
      </w:tr>
      <w:tr w:rsidR="00D47FA7" w:rsidRPr="00F76F57" w14:paraId="4C0604D1" w14:textId="77777777" w:rsidTr="00B4242E">
        <w:trPr>
          <w:trHeight w:val="300"/>
        </w:trPr>
        <w:tc>
          <w:tcPr>
            <w:tcW w:w="1760" w:type="dxa"/>
            <w:vMerge/>
            <w:vAlign w:val="center"/>
            <w:hideMark/>
          </w:tcPr>
          <w:p w14:paraId="0264A8E5"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6AB0167B"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3.7</w:t>
            </w:r>
          </w:p>
        </w:tc>
        <w:tc>
          <w:tcPr>
            <w:tcW w:w="5900" w:type="dxa"/>
            <w:shd w:val="clear" w:color="auto" w:fill="auto"/>
            <w:noWrap/>
            <w:vAlign w:val="center"/>
            <w:hideMark/>
          </w:tcPr>
          <w:p w14:paraId="005B5CDC" w14:textId="7E8F7438"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 xml:space="preserve">Randomization, blinding and codes of </w:t>
            </w:r>
            <w:r>
              <w:rPr>
                <w:rFonts w:eastAsia="Times New Roman" w:cs="Arial"/>
                <w:color w:val="000000"/>
                <w:sz w:val="18"/>
                <w:szCs w:val="18"/>
                <w:lang w:eastAsia="en-AU"/>
              </w:rPr>
              <w:t>therapeutic good</w:t>
            </w:r>
          </w:p>
        </w:tc>
      </w:tr>
      <w:tr w:rsidR="00D47FA7" w:rsidRPr="00F76F57" w14:paraId="1D763A78" w14:textId="77777777" w:rsidTr="00B4242E">
        <w:trPr>
          <w:trHeight w:val="300"/>
        </w:trPr>
        <w:tc>
          <w:tcPr>
            <w:tcW w:w="1760" w:type="dxa"/>
            <w:vMerge/>
            <w:vAlign w:val="center"/>
            <w:hideMark/>
          </w:tcPr>
          <w:p w14:paraId="1DF395CE"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24C6B377"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3.8</w:t>
            </w:r>
          </w:p>
        </w:tc>
        <w:tc>
          <w:tcPr>
            <w:tcW w:w="5900" w:type="dxa"/>
            <w:shd w:val="clear" w:color="auto" w:fill="auto"/>
            <w:noWrap/>
            <w:vAlign w:val="center"/>
            <w:hideMark/>
          </w:tcPr>
          <w:p w14:paraId="75DF9579"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Direct access to data</w:t>
            </w:r>
          </w:p>
        </w:tc>
      </w:tr>
      <w:tr w:rsidR="00D47FA7" w:rsidRPr="00F76F57" w14:paraId="16F15B93" w14:textId="77777777" w:rsidTr="00B4242E">
        <w:trPr>
          <w:trHeight w:val="510"/>
        </w:trPr>
        <w:tc>
          <w:tcPr>
            <w:tcW w:w="1760" w:type="dxa"/>
            <w:vMerge/>
            <w:vAlign w:val="center"/>
            <w:hideMark/>
          </w:tcPr>
          <w:p w14:paraId="5BADDCA4"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37F6719F"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3.9</w:t>
            </w:r>
          </w:p>
        </w:tc>
        <w:tc>
          <w:tcPr>
            <w:tcW w:w="5900" w:type="dxa"/>
            <w:shd w:val="clear" w:color="auto" w:fill="auto"/>
            <w:vAlign w:val="center"/>
            <w:hideMark/>
          </w:tcPr>
          <w:p w14:paraId="0471A5C6" w14:textId="77777777" w:rsidR="00D47FA7" w:rsidRPr="00B671C6" w:rsidRDefault="00D47FA7" w:rsidP="00B4242E">
            <w:pPr>
              <w:spacing w:after="0" w:line="240" w:lineRule="auto"/>
              <w:rPr>
                <w:rFonts w:eastAsia="Times New Roman" w:cs="Arial"/>
                <w:color w:val="000000"/>
                <w:sz w:val="18"/>
                <w:szCs w:val="18"/>
                <w:lang w:eastAsia="en-AU"/>
              </w:rPr>
            </w:pPr>
            <w:r w:rsidRPr="00C16D8F">
              <w:rPr>
                <w:rFonts w:eastAsia="Times New Roman" w:cs="Arial"/>
                <w:sz w:val="18"/>
                <w:szCs w:val="18"/>
                <w:lang w:eastAsia="en-AU"/>
              </w:rPr>
              <w:t>Contracts and agreements, including PI oversight of contractors/site-hired third-party vendors</w:t>
            </w:r>
          </w:p>
        </w:tc>
      </w:tr>
      <w:tr w:rsidR="00D47FA7" w:rsidRPr="00F76F57" w14:paraId="4F4E2595" w14:textId="77777777" w:rsidTr="00B4242E">
        <w:trPr>
          <w:trHeight w:val="300"/>
        </w:trPr>
        <w:tc>
          <w:tcPr>
            <w:tcW w:w="1760" w:type="dxa"/>
            <w:vMerge w:val="restart"/>
            <w:shd w:val="clear" w:color="auto" w:fill="auto"/>
            <w:vAlign w:val="center"/>
            <w:hideMark/>
          </w:tcPr>
          <w:p w14:paraId="4452C42F" w14:textId="606A748A" w:rsidR="00D47FA7" w:rsidRPr="00B671C6" w:rsidRDefault="00D47FA7" w:rsidP="00B4242E">
            <w:pPr>
              <w:spacing w:after="0" w:line="240" w:lineRule="auto"/>
              <w:rPr>
                <w:rFonts w:eastAsia="Times New Roman" w:cs="Arial"/>
                <w:sz w:val="18"/>
                <w:szCs w:val="18"/>
                <w:lang w:eastAsia="en-AU"/>
              </w:rPr>
            </w:pPr>
            <w:r>
              <w:rPr>
                <w:rFonts w:eastAsia="Times New Roman" w:cs="Arial"/>
                <w:color w:val="000000"/>
                <w:sz w:val="18"/>
                <w:szCs w:val="18"/>
                <w:lang w:eastAsia="en-AU"/>
              </w:rPr>
              <w:t>T</w:t>
            </w:r>
            <w:r w:rsidRPr="00FC0BD2">
              <w:rPr>
                <w:rFonts w:eastAsia="Times New Roman" w:cs="Arial"/>
                <w:color w:val="000000"/>
                <w:sz w:val="18"/>
                <w:szCs w:val="18"/>
                <w:lang w:eastAsia="en-AU"/>
              </w:rPr>
              <w:t xml:space="preserve">herapeutic </w:t>
            </w:r>
            <w:r>
              <w:rPr>
                <w:rFonts w:eastAsia="Times New Roman" w:cs="Arial"/>
                <w:color w:val="000000"/>
                <w:sz w:val="18"/>
                <w:szCs w:val="18"/>
                <w:lang w:eastAsia="en-AU"/>
              </w:rPr>
              <w:t>G</w:t>
            </w:r>
            <w:r w:rsidRPr="00FC0BD2">
              <w:rPr>
                <w:rFonts w:eastAsia="Times New Roman" w:cs="Arial"/>
                <w:color w:val="000000"/>
                <w:sz w:val="18"/>
                <w:szCs w:val="18"/>
                <w:lang w:eastAsia="en-AU"/>
              </w:rPr>
              <w:t>ood</w:t>
            </w:r>
            <w:r>
              <w:rPr>
                <w:rFonts w:eastAsia="Times New Roman" w:cs="Arial"/>
                <w:color w:val="000000"/>
                <w:sz w:val="18"/>
                <w:szCs w:val="18"/>
                <w:lang w:eastAsia="en-AU"/>
              </w:rPr>
              <w:t xml:space="preserve"> / </w:t>
            </w:r>
            <w:r w:rsidRPr="00B671C6">
              <w:rPr>
                <w:rFonts w:eastAsia="Times New Roman" w:cs="Arial"/>
                <w:color w:val="000000"/>
                <w:sz w:val="18"/>
                <w:szCs w:val="18"/>
                <w:lang w:eastAsia="en-AU"/>
              </w:rPr>
              <w:t>Investigational Product</w:t>
            </w:r>
          </w:p>
        </w:tc>
        <w:tc>
          <w:tcPr>
            <w:tcW w:w="940" w:type="dxa"/>
            <w:shd w:val="clear" w:color="auto" w:fill="auto"/>
            <w:noWrap/>
            <w:vAlign w:val="center"/>
            <w:hideMark/>
          </w:tcPr>
          <w:p w14:paraId="363D183D"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4.1</w:t>
            </w:r>
          </w:p>
        </w:tc>
        <w:tc>
          <w:tcPr>
            <w:tcW w:w="5900" w:type="dxa"/>
            <w:shd w:val="clear" w:color="auto" w:fill="auto"/>
            <w:noWrap/>
            <w:vAlign w:val="center"/>
            <w:hideMark/>
          </w:tcPr>
          <w:p w14:paraId="60D7BBD8" w14:textId="494CADFD" w:rsidR="00D47FA7" w:rsidRPr="00B671C6" w:rsidRDefault="00D47FA7" w:rsidP="00B4242E">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T</w:t>
            </w:r>
            <w:r w:rsidRPr="00FC0BD2">
              <w:rPr>
                <w:rFonts w:eastAsia="Times New Roman" w:cs="Arial"/>
                <w:color w:val="000000"/>
                <w:sz w:val="18"/>
                <w:szCs w:val="18"/>
                <w:lang w:eastAsia="en-AU"/>
              </w:rPr>
              <w:t xml:space="preserve">herapeutic </w:t>
            </w:r>
            <w:r>
              <w:rPr>
                <w:rFonts w:eastAsia="Times New Roman" w:cs="Arial"/>
                <w:color w:val="000000"/>
                <w:sz w:val="18"/>
                <w:szCs w:val="18"/>
                <w:lang w:eastAsia="en-AU"/>
              </w:rPr>
              <w:t>G</w:t>
            </w:r>
            <w:r w:rsidRPr="00FC0BD2">
              <w:rPr>
                <w:rFonts w:eastAsia="Times New Roman" w:cs="Arial"/>
                <w:color w:val="000000"/>
                <w:sz w:val="18"/>
                <w:szCs w:val="18"/>
                <w:lang w:eastAsia="en-AU"/>
              </w:rPr>
              <w:t>ood</w:t>
            </w:r>
            <w:r>
              <w:rPr>
                <w:rFonts w:eastAsia="Times New Roman" w:cs="Arial"/>
                <w:color w:val="000000"/>
                <w:sz w:val="18"/>
                <w:szCs w:val="18"/>
                <w:lang w:eastAsia="en-AU"/>
              </w:rPr>
              <w:t xml:space="preserve"> / </w:t>
            </w:r>
            <w:r w:rsidRPr="00B671C6">
              <w:rPr>
                <w:rFonts w:eastAsia="Times New Roman" w:cs="Arial"/>
                <w:color w:val="000000"/>
                <w:sz w:val="18"/>
                <w:szCs w:val="18"/>
                <w:lang w:eastAsia="en-AU"/>
              </w:rPr>
              <w:t>Investigational Product (IP) accountability at site</w:t>
            </w:r>
          </w:p>
        </w:tc>
      </w:tr>
      <w:tr w:rsidR="00D47FA7" w:rsidRPr="00F76F57" w14:paraId="31DFD5B5" w14:textId="77777777" w:rsidTr="00B4242E">
        <w:trPr>
          <w:trHeight w:val="300"/>
        </w:trPr>
        <w:tc>
          <w:tcPr>
            <w:tcW w:w="1760" w:type="dxa"/>
            <w:vMerge/>
            <w:vAlign w:val="center"/>
            <w:hideMark/>
          </w:tcPr>
          <w:p w14:paraId="0404B659"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43D4396A"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4.2</w:t>
            </w:r>
          </w:p>
        </w:tc>
        <w:tc>
          <w:tcPr>
            <w:tcW w:w="5900" w:type="dxa"/>
            <w:shd w:val="clear" w:color="auto" w:fill="auto"/>
            <w:noWrap/>
            <w:vAlign w:val="center"/>
            <w:hideMark/>
          </w:tcPr>
          <w:p w14:paraId="3FAB837B"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Supplying, storage, retrieving and destruction</w:t>
            </w:r>
          </w:p>
        </w:tc>
      </w:tr>
      <w:tr w:rsidR="00D47FA7" w:rsidRPr="00F76F57" w14:paraId="4A803F80" w14:textId="77777777" w:rsidTr="00B4242E">
        <w:trPr>
          <w:trHeight w:val="300"/>
        </w:trPr>
        <w:tc>
          <w:tcPr>
            <w:tcW w:w="1760" w:type="dxa"/>
            <w:vMerge/>
            <w:vAlign w:val="center"/>
            <w:hideMark/>
          </w:tcPr>
          <w:p w14:paraId="73165A4A" w14:textId="77777777" w:rsidR="00D47FA7" w:rsidRPr="00B671C6" w:rsidRDefault="00D47FA7" w:rsidP="00B4242E">
            <w:pPr>
              <w:spacing w:after="0" w:line="240" w:lineRule="auto"/>
              <w:rPr>
                <w:rFonts w:eastAsia="Times New Roman" w:cs="Arial"/>
                <w:sz w:val="18"/>
                <w:szCs w:val="18"/>
                <w:lang w:eastAsia="en-AU"/>
              </w:rPr>
            </w:pPr>
          </w:p>
        </w:tc>
        <w:tc>
          <w:tcPr>
            <w:tcW w:w="940" w:type="dxa"/>
            <w:shd w:val="clear" w:color="auto" w:fill="auto"/>
            <w:noWrap/>
            <w:vAlign w:val="center"/>
            <w:hideMark/>
          </w:tcPr>
          <w:p w14:paraId="3B92CB69"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4.3</w:t>
            </w:r>
          </w:p>
        </w:tc>
        <w:tc>
          <w:tcPr>
            <w:tcW w:w="5900" w:type="dxa"/>
            <w:shd w:val="clear" w:color="auto" w:fill="auto"/>
            <w:noWrap/>
            <w:vAlign w:val="center"/>
            <w:hideMark/>
          </w:tcPr>
          <w:p w14:paraId="09923ECF" w14:textId="42033D3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 xml:space="preserve">Prescription, </w:t>
            </w:r>
            <w:proofErr w:type="gramStart"/>
            <w:r w:rsidRPr="00B671C6">
              <w:rPr>
                <w:rFonts w:eastAsia="Times New Roman" w:cs="Arial"/>
                <w:color w:val="000000"/>
                <w:sz w:val="18"/>
                <w:szCs w:val="18"/>
                <w:lang w:eastAsia="en-AU"/>
              </w:rPr>
              <w:t>administration</w:t>
            </w:r>
            <w:proofErr w:type="gramEnd"/>
            <w:r w:rsidRPr="00B671C6">
              <w:rPr>
                <w:rFonts w:eastAsia="Times New Roman" w:cs="Arial"/>
                <w:color w:val="000000"/>
                <w:sz w:val="18"/>
                <w:szCs w:val="18"/>
                <w:lang w:eastAsia="en-AU"/>
              </w:rPr>
              <w:t xml:space="preserve"> and compliance</w:t>
            </w:r>
          </w:p>
        </w:tc>
      </w:tr>
      <w:tr w:rsidR="00D47FA7" w:rsidRPr="00F76F57" w14:paraId="394855FF" w14:textId="77777777" w:rsidTr="00B4242E">
        <w:trPr>
          <w:trHeight w:val="510"/>
        </w:trPr>
        <w:tc>
          <w:tcPr>
            <w:tcW w:w="1760" w:type="dxa"/>
            <w:vMerge w:val="restart"/>
            <w:shd w:val="clear" w:color="auto" w:fill="auto"/>
            <w:vAlign w:val="center"/>
            <w:hideMark/>
          </w:tcPr>
          <w:p w14:paraId="3510E319" w14:textId="77777777" w:rsidR="00D47FA7" w:rsidRPr="00B671C6" w:rsidRDefault="00D47FA7" w:rsidP="00B4242E">
            <w:pPr>
              <w:spacing w:after="0" w:line="240" w:lineRule="auto"/>
              <w:jc w:val="center"/>
              <w:rPr>
                <w:rFonts w:eastAsia="Times New Roman" w:cs="Arial"/>
                <w:sz w:val="18"/>
                <w:szCs w:val="18"/>
                <w:lang w:eastAsia="en-AU"/>
              </w:rPr>
            </w:pPr>
            <w:r w:rsidRPr="00B671C6">
              <w:rPr>
                <w:rFonts w:eastAsia="Times New Roman" w:cs="Arial"/>
                <w:sz w:val="18"/>
                <w:szCs w:val="18"/>
                <w:lang w:eastAsia="en-AU"/>
              </w:rPr>
              <w:t>Trial management</w:t>
            </w:r>
          </w:p>
        </w:tc>
        <w:tc>
          <w:tcPr>
            <w:tcW w:w="940" w:type="dxa"/>
            <w:shd w:val="clear" w:color="auto" w:fill="auto"/>
            <w:noWrap/>
            <w:vAlign w:val="center"/>
            <w:hideMark/>
          </w:tcPr>
          <w:p w14:paraId="63E50880" w14:textId="77777777" w:rsidR="00D47FA7" w:rsidRPr="00C16D8F" w:rsidRDefault="00D47FA7" w:rsidP="00B4242E">
            <w:pPr>
              <w:spacing w:after="0" w:line="240" w:lineRule="auto"/>
              <w:rPr>
                <w:rFonts w:eastAsia="Times New Roman" w:cs="Arial"/>
                <w:sz w:val="18"/>
                <w:szCs w:val="18"/>
                <w:lang w:eastAsia="en-AU"/>
              </w:rPr>
            </w:pPr>
            <w:r w:rsidRPr="00C16D8F">
              <w:rPr>
                <w:rFonts w:eastAsia="Times New Roman" w:cs="Arial"/>
                <w:sz w:val="18"/>
                <w:szCs w:val="18"/>
                <w:lang w:eastAsia="en-AU"/>
              </w:rPr>
              <w:t>5.1</w:t>
            </w:r>
          </w:p>
        </w:tc>
        <w:tc>
          <w:tcPr>
            <w:tcW w:w="5900" w:type="dxa"/>
            <w:shd w:val="clear" w:color="auto" w:fill="auto"/>
            <w:vAlign w:val="center"/>
            <w:hideMark/>
          </w:tcPr>
          <w:p w14:paraId="64840F35" w14:textId="77777777" w:rsidR="00D47FA7" w:rsidRPr="00B671C6" w:rsidRDefault="00D47FA7" w:rsidP="00B4242E">
            <w:pPr>
              <w:spacing w:after="0" w:line="240" w:lineRule="auto"/>
              <w:rPr>
                <w:rFonts w:eastAsia="Times New Roman" w:cs="Arial"/>
                <w:color w:val="000000"/>
                <w:sz w:val="18"/>
                <w:szCs w:val="18"/>
                <w:lang w:eastAsia="en-AU"/>
              </w:rPr>
            </w:pPr>
            <w:r w:rsidRPr="00B671C6">
              <w:rPr>
                <w:rFonts w:eastAsia="Times New Roman" w:cs="Arial"/>
                <w:color w:val="000000"/>
                <w:sz w:val="18"/>
                <w:szCs w:val="18"/>
                <w:lang w:eastAsia="en-AU"/>
              </w:rPr>
              <w:t>Non-compliance with local regulatory requirements (other than safety reporting)</w:t>
            </w:r>
            <w:r>
              <w:rPr>
                <w:rFonts w:eastAsia="Times New Roman" w:cs="Arial"/>
                <w:color w:val="000000"/>
                <w:sz w:val="18"/>
                <w:szCs w:val="18"/>
                <w:lang w:eastAsia="en-AU"/>
              </w:rPr>
              <w:t xml:space="preserve"> </w:t>
            </w:r>
          </w:p>
        </w:tc>
      </w:tr>
      <w:tr w:rsidR="00D47FA7" w:rsidRPr="00F76F57" w14:paraId="46B70700" w14:textId="77777777" w:rsidTr="00B4242E">
        <w:trPr>
          <w:trHeight w:val="370"/>
        </w:trPr>
        <w:tc>
          <w:tcPr>
            <w:tcW w:w="1760" w:type="dxa"/>
            <w:vMerge/>
            <w:shd w:val="clear" w:color="auto" w:fill="auto"/>
            <w:vAlign w:val="center"/>
          </w:tcPr>
          <w:p w14:paraId="2717E723" w14:textId="77777777" w:rsidR="00D47FA7" w:rsidRPr="00B671C6" w:rsidRDefault="00D47FA7" w:rsidP="00B4242E">
            <w:pPr>
              <w:spacing w:after="0" w:line="240" w:lineRule="auto"/>
              <w:jc w:val="center"/>
              <w:rPr>
                <w:rFonts w:eastAsia="Times New Roman" w:cs="Arial"/>
                <w:sz w:val="18"/>
                <w:szCs w:val="18"/>
                <w:lang w:eastAsia="en-AU"/>
              </w:rPr>
            </w:pPr>
          </w:p>
        </w:tc>
        <w:tc>
          <w:tcPr>
            <w:tcW w:w="940" w:type="dxa"/>
            <w:shd w:val="clear" w:color="auto" w:fill="auto"/>
            <w:noWrap/>
            <w:vAlign w:val="center"/>
          </w:tcPr>
          <w:p w14:paraId="5B0AF8D6" w14:textId="77777777" w:rsidR="00D47FA7" w:rsidRPr="00C16D8F" w:rsidRDefault="00D47FA7" w:rsidP="00B4242E">
            <w:pPr>
              <w:spacing w:after="0" w:line="240" w:lineRule="auto"/>
              <w:rPr>
                <w:rFonts w:eastAsia="Times New Roman" w:cs="Arial"/>
                <w:sz w:val="18"/>
                <w:szCs w:val="18"/>
                <w:lang w:eastAsia="en-AU"/>
              </w:rPr>
            </w:pPr>
            <w:r w:rsidRPr="00C16D8F">
              <w:rPr>
                <w:rFonts w:eastAsia="Times New Roman" w:cs="Arial"/>
                <w:sz w:val="18"/>
                <w:szCs w:val="18"/>
                <w:lang w:eastAsia="en-AU"/>
              </w:rPr>
              <w:t>5.2</w:t>
            </w:r>
          </w:p>
        </w:tc>
        <w:tc>
          <w:tcPr>
            <w:tcW w:w="0" w:type="auto"/>
            <w:shd w:val="clear" w:color="auto" w:fill="auto"/>
            <w:vAlign w:val="center"/>
          </w:tcPr>
          <w:p w14:paraId="4EF922C0" w14:textId="77777777" w:rsidR="00D47FA7" w:rsidRPr="00B671C6" w:rsidRDefault="00D47FA7" w:rsidP="00B4242E">
            <w:pPr>
              <w:jc w:val="both"/>
              <w:rPr>
                <w:rFonts w:cs="Arial"/>
                <w:sz w:val="18"/>
                <w:szCs w:val="18"/>
              </w:rPr>
            </w:pPr>
            <w:r w:rsidRPr="00B07B8F">
              <w:rPr>
                <w:rFonts w:cs="Arial"/>
                <w:sz w:val="18"/>
                <w:szCs w:val="18"/>
              </w:rPr>
              <w:t>Sponsor-investigator responsibilities</w:t>
            </w:r>
          </w:p>
        </w:tc>
      </w:tr>
    </w:tbl>
    <w:p w14:paraId="6546AD28" w14:textId="3A276BB7" w:rsidR="000413D2" w:rsidRPr="00F07D54" w:rsidRDefault="000413D2" w:rsidP="008C2251">
      <w:pPr>
        <w:pStyle w:val="Heading3"/>
      </w:pPr>
      <w:bookmarkStart w:id="13" w:name="_Toc166488031"/>
      <w:bookmarkEnd w:id="12"/>
      <w:r>
        <w:t>Your inspection responsibilities</w:t>
      </w:r>
      <w:bookmarkEnd w:id="13"/>
      <w:r>
        <w:t xml:space="preserve"> </w:t>
      </w:r>
    </w:p>
    <w:p w14:paraId="59AB3B3A" w14:textId="77777777" w:rsidR="006149D6" w:rsidRPr="00C366F6" w:rsidRDefault="006149D6" w:rsidP="006149D6">
      <w:pPr>
        <w:rPr>
          <w:rFonts w:asciiTheme="minorHAnsi" w:hAnsiTheme="minorHAnsi"/>
        </w:rPr>
      </w:pPr>
      <w:r w:rsidRPr="00EA0A44">
        <w:rPr>
          <w:rFonts w:asciiTheme="minorHAnsi" w:hAnsiTheme="minorHAnsi"/>
          <w:bCs/>
        </w:rPr>
        <w:t>Your</w:t>
      </w:r>
      <w:r w:rsidRPr="00C366F6">
        <w:rPr>
          <w:rFonts w:asciiTheme="minorHAnsi" w:hAnsiTheme="minorHAnsi"/>
        </w:rPr>
        <w:t xml:space="preserve"> inspection-related responsibilities include, but are not limited to:</w:t>
      </w:r>
    </w:p>
    <w:p w14:paraId="190C0B98" w14:textId="77777777" w:rsidR="006149D6" w:rsidRDefault="006149D6" w:rsidP="006149D6">
      <w:pPr>
        <w:pStyle w:val="ListBullet"/>
      </w:pPr>
      <w:r w:rsidRPr="00C366F6">
        <w:t>ensuring your clinical trials are c</w:t>
      </w:r>
      <w:r>
        <w:t>arried out</w:t>
      </w:r>
      <w:r w:rsidRPr="00C366F6">
        <w:t xml:space="preserve"> in compliance with Australian regulations and the relevant GCP guideline</w:t>
      </w:r>
      <w:r>
        <w:t>(</w:t>
      </w:r>
      <w:r w:rsidRPr="00C366F6">
        <w:t>s</w:t>
      </w:r>
      <w:r>
        <w:t>)</w:t>
      </w:r>
    </w:p>
    <w:p w14:paraId="7E2592CB" w14:textId="77777777" w:rsidR="006149D6" w:rsidRPr="00C366F6" w:rsidRDefault="006149D6" w:rsidP="006149D6">
      <w:pPr>
        <w:pStyle w:val="ListBullet"/>
      </w:pPr>
      <w:r w:rsidRPr="00A62982">
        <w:t>maintaining your readiness for inspection, as inspections may be unannounced</w:t>
      </w:r>
    </w:p>
    <w:p w14:paraId="027D6804" w14:textId="77777777" w:rsidR="006149D6" w:rsidRPr="00C366F6" w:rsidRDefault="006149D6" w:rsidP="006149D6">
      <w:pPr>
        <w:pStyle w:val="ListBullet"/>
      </w:pPr>
      <w:r w:rsidRPr="00C366F6">
        <w:t xml:space="preserve">providing the inspectors, </w:t>
      </w:r>
      <w:r>
        <w:t>by</w:t>
      </w:r>
      <w:r w:rsidRPr="00C366F6">
        <w:t xml:space="preserve"> the given deadline, with any information or documentation they need to prepare or conduct the inspection </w:t>
      </w:r>
    </w:p>
    <w:p w14:paraId="200C1515" w14:textId="77777777" w:rsidR="006149D6" w:rsidRPr="00C366F6" w:rsidRDefault="006149D6" w:rsidP="006149D6">
      <w:pPr>
        <w:pStyle w:val="ListBullet"/>
      </w:pPr>
      <w:r w:rsidRPr="00C366F6">
        <w:t xml:space="preserve">ensuring staff involved in the clinical trial are available (in person or remotely) during the inspection for interview or to clarify issues </w:t>
      </w:r>
    </w:p>
    <w:p w14:paraId="78D56A01" w14:textId="0CBB4FAC" w:rsidR="006149D6" w:rsidRDefault="006149D6" w:rsidP="00EA0A44">
      <w:pPr>
        <w:pStyle w:val="ListBullet"/>
        <w:spacing w:after="240"/>
      </w:pPr>
      <w:r w:rsidRPr="00C366F6">
        <w:lastRenderedPageBreak/>
        <w:t xml:space="preserve">preparation and implementation of appropriate and timely </w:t>
      </w:r>
      <w:r>
        <w:t>C</w:t>
      </w:r>
      <w:r w:rsidRPr="00C366F6">
        <w:t xml:space="preserve">orrective </w:t>
      </w:r>
      <w:proofErr w:type="gramStart"/>
      <w:r>
        <w:t>A</w:t>
      </w:r>
      <w:r w:rsidRPr="00C366F6">
        <w:t>nd</w:t>
      </w:r>
      <w:proofErr w:type="gramEnd"/>
      <w:r w:rsidRPr="00C366F6">
        <w:t xml:space="preserve"> </w:t>
      </w:r>
      <w:r>
        <w:t>P</w:t>
      </w:r>
      <w:r w:rsidRPr="00C366F6">
        <w:t xml:space="preserve">reventative </w:t>
      </w:r>
      <w:r>
        <w:t>A</w:t>
      </w:r>
      <w:r w:rsidRPr="00C366F6">
        <w:t xml:space="preserve">ction (CAPA) plans to address the inspection’s findings </w:t>
      </w:r>
      <w:r>
        <w:t>and</w:t>
      </w:r>
      <w:r w:rsidRPr="00C366F6">
        <w:t xml:space="preserve"> prioritise any critical or major </w:t>
      </w:r>
      <w:r>
        <w:t>deficiencies</w:t>
      </w:r>
      <w:r w:rsidRPr="00C366F6">
        <w:t>.</w:t>
      </w:r>
    </w:p>
    <w:p w14:paraId="636DB26B" w14:textId="183E722F" w:rsidR="000413D2" w:rsidRPr="00C366F6" w:rsidRDefault="000413D2" w:rsidP="000413D2">
      <w:r>
        <w:t>If</w:t>
      </w:r>
      <w:r w:rsidRPr="00C366F6">
        <w:t xml:space="preserve"> you have been notified of a GCP inspection, prepare for the inspection by: </w:t>
      </w:r>
    </w:p>
    <w:p w14:paraId="02629961" w14:textId="77777777" w:rsidR="000413D2" w:rsidRPr="00C366F6" w:rsidRDefault="000413D2" w:rsidP="000413D2">
      <w:pPr>
        <w:pStyle w:val="ListBullet"/>
      </w:pPr>
      <w:r w:rsidRPr="00C366F6">
        <w:t>ensuring your authorising institution, trial sponsor and clinical team are advised of the inspection</w:t>
      </w:r>
    </w:p>
    <w:p w14:paraId="1BA2BDEF" w14:textId="08EC2FD0" w:rsidR="000413D2" w:rsidRDefault="000413D2" w:rsidP="000413D2">
      <w:pPr>
        <w:pStyle w:val="ListBullet"/>
      </w:pPr>
      <w:r w:rsidRPr="00C366F6">
        <w:t xml:space="preserve">ensuring access for the inspectors to clinical trial records and source documents is arranged </w:t>
      </w:r>
      <w:r>
        <w:t xml:space="preserve">for </w:t>
      </w:r>
      <w:r w:rsidRPr="00C366F6">
        <w:t>the time of the inspection</w:t>
      </w:r>
    </w:p>
    <w:p w14:paraId="7B4B4EA9" w14:textId="546EBBD4" w:rsidR="009D5A22" w:rsidRPr="00C366F6" w:rsidRDefault="009D5A22" w:rsidP="009D5A22">
      <w:pPr>
        <w:pStyle w:val="ListBullet"/>
      </w:pPr>
      <w:r w:rsidRPr="006D2DE0">
        <w:t>ensur</w:t>
      </w:r>
      <w:r w:rsidR="00830DCD">
        <w:t>ing</w:t>
      </w:r>
      <w:r w:rsidRPr="006D2DE0">
        <w:t xml:space="preserve"> your IT processes allow you to grant view-only access to the inspectors</w:t>
      </w:r>
      <w:r w:rsidR="00830DCD">
        <w:t>.</w:t>
      </w:r>
      <w:r w:rsidRPr="006D2DE0">
        <w:t xml:space="preserve"> </w:t>
      </w:r>
    </w:p>
    <w:p w14:paraId="03CFCA8E" w14:textId="2A7CDB69" w:rsidR="006F63E4" w:rsidRDefault="00EA0A44" w:rsidP="00CF08A4">
      <w:r w:rsidRPr="006F63E4">
        <w:t>We</w:t>
      </w:r>
      <w:r w:rsidR="008A483A" w:rsidRPr="006F63E4">
        <w:t xml:space="preserve"> do not impose any obligations on the site to inform the trial sponsor of the inspection. However, there is generally a requirement in the contract between the site and the sponsor to share this type of information</w:t>
      </w:r>
      <w:r w:rsidR="002229CA">
        <w:t>. W</w:t>
      </w:r>
      <w:r w:rsidR="008A483A" w:rsidRPr="006F63E4">
        <w:t>e believe there is benefit in informing the trial sponsor of the inspection.</w:t>
      </w:r>
    </w:p>
    <w:p w14:paraId="0B160F9D" w14:textId="3BB4027A" w:rsidR="00813312" w:rsidRPr="00C366F6" w:rsidRDefault="00813312" w:rsidP="008C2251">
      <w:pPr>
        <w:pStyle w:val="Heading3"/>
      </w:pPr>
      <w:bookmarkStart w:id="14" w:name="_Toc166488032"/>
      <w:r>
        <w:t>Common inspection findings: metrics report</w:t>
      </w:r>
      <w:bookmarkEnd w:id="14"/>
    </w:p>
    <w:p w14:paraId="6861C0D7" w14:textId="3F1D45E7" w:rsidR="00813312" w:rsidRPr="00DA3702" w:rsidRDefault="00813312" w:rsidP="00813312">
      <w:r>
        <w:t>To help clinical trial sites prepare for an inspection we publish</w:t>
      </w:r>
      <w:r w:rsidRPr="008F65DB">
        <w:t xml:space="preserve"> </w:t>
      </w:r>
      <w:r>
        <w:t xml:space="preserve">annual </w:t>
      </w:r>
      <w:hyperlink r:id="rId19" w:history="1">
        <w:r w:rsidRPr="00FD6E5E">
          <w:rPr>
            <w:rStyle w:val="Hyperlink"/>
          </w:rPr>
          <w:t>GCP metrics reports</w:t>
        </w:r>
      </w:hyperlink>
      <w:r>
        <w:t xml:space="preserve"> </w:t>
      </w:r>
      <w:r w:rsidR="00FD6E5E">
        <w:t xml:space="preserve">on </w:t>
      </w:r>
      <w:r>
        <w:t xml:space="preserve">inspection findings and compliance expectations. </w:t>
      </w:r>
      <w:r w:rsidR="00C670E9">
        <w:t xml:space="preserve">Use the </w:t>
      </w:r>
      <w:r w:rsidR="00C670E9" w:rsidRPr="00C670E9">
        <w:t xml:space="preserve">metrics report </w:t>
      </w:r>
      <w:r w:rsidR="00C670E9">
        <w:t xml:space="preserve">to </w:t>
      </w:r>
      <w:r w:rsidR="00C670E9" w:rsidRPr="00C670E9">
        <w:t xml:space="preserve">self-assess if similar </w:t>
      </w:r>
      <w:r w:rsidR="006D2DE0">
        <w:t xml:space="preserve">compliance </w:t>
      </w:r>
      <w:r w:rsidR="00C670E9" w:rsidRPr="00C670E9">
        <w:t>issues may need to be addressed at your site</w:t>
      </w:r>
      <w:r w:rsidR="00830DCD">
        <w:t>.</w:t>
      </w:r>
    </w:p>
    <w:p w14:paraId="092FEAE6" w14:textId="5D6876DF" w:rsidR="00813312" w:rsidRPr="00C366F6" w:rsidRDefault="00813312" w:rsidP="00813312">
      <w:pPr>
        <w:rPr>
          <w:rFonts w:asciiTheme="minorHAnsi" w:hAnsiTheme="minorHAnsi"/>
        </w:rPr>
      </w:pPr>
      <w:r>
        <w:rPr>
          <w:rFonts w:asciiTheme="minorHAnsi" w:hAnsiTheme="minorHAnsi"/>
        </w:rPr>
        <w:t>T</w:t>
      </w:r>
      <w:r w:rsidRPr="00C366F6">
        <w:rPr>
          <w:rFonts w:asciiTheme="minorHAnsi" w:hAnsiTheme="minorHAnsi"/>
        </w:rPr>
        <w:t xml:space="preserve">he information published </w:t>
      </w:r>
      <w:r w:rsidR="00FD6E5E">
        <w:rPr>
          <w:rFonts w:asciiTheme="minorHAnsi" w:hAnsiTheme="minorHAnsi"/>
        </w:rPr>
        <w:t xml:space="preserve">is de-identified and </w:t>
      </w:r>
      <w:r w:rsidRPr="00C366F6">
        <w:rPr>
          <w:rFonts w:asciiTheme="minorHAnsi" w:hAnsiTheme="minorHAnsi"/>
        </w:rPr>
        <w:t xml:space="preserve">will not identify individual clinical trial sponsor or investigator or investigator site names. The </w:t>
      </w:r>
      <w:r w:rsidR="00FD6E5E">
        <w:rPr>
          <w:rFonts w:asciiTheme="minorHAnsi" w:hAnsiTheme="minorHAnsi"/>
        </w:rPr>
        <w:t xml:space="preserve">contents </w:t>
      </w:r>
      <w:r w:rsidRPr="00C366F6">
        <w:rPr>
          <w:rFonts w:asciiTheme="minorHAnsi" w:hAnsiTheme="minorHAnsi"/>
        </w:rPr>
        <w:t xml:space="preserve">may include, but </w:t>
      </w:r>
      <w:r w:rsidR="00BD3501">
        <w:rPr>
          <w:rFonts w:asciiTheme="minorHAnsi" w:hAnsiTheme="minorHAnsi"/>
        </w:rPr>
        <w:t>are</w:t>
      </w:r>
      <w:r w:rsidRPr="00C366F6">
        <w:rPr>
          <w:rFonts w:asciiTheme="minorHAnsi" w:hAnsiTheme="minorHAnsi"/>
        </w:rPr>
        <w:t xml:space="preserve"> not limited to:</w:t>
      </w:r>
    </w:p>
    <w:p w14:paraId="0E533786" w14:textId="5B32DC4C" w:rsidR="00813312" w:rsidRPr="00C366F6" w:rsidRDefault="00813312" w:rsidP="00813312">
      <w:pPr>
        <w:pStyle w:val="ListBullet"/>
      </w:pPr>
      <w:r w:rsidRPr="00C366F6">
        <w:t xml:space="preserve">the number of inspections conducted in the previous 12 months and how many were scheduled as </w:t>
      </w:r>
      <w:r>
        <w:t xml:space="preserve">routine </w:t>
      </w:r>
      <w:r w:rsidRPr="00C366F6">
        <w:t xml:space="preserve">or </w:t>
      </w:r>
      <w:r>
        <w:t>‘</w:t>
      </w:r>
      <w:r w:rsidRPr="00C366F6">
        <w:t>for cause</w:t>
      </w:r>
      <w:r>
        <w:t>’</w:t>
      </w:r>
      <w:r w:rsidRPr="00C366F6">
        <w:t xml:space="preserve"> inspections</w:t>
      </w:r>
    </w:p>
    <w:p w14:paraId="2985CB79" w14:textId="7692F32B" w:rsidR="00813312" w:rsidRDefault="00C44DF5" w:rsidP="00813312">
      <w:pPr>
        <w:pStyle w:val="ListBullet"/>
      </w:pPr>
      <w:r>
        <w:t>summary</w:t>
      </w:r>
      <w:r w:rsidRPr="00C366F6">
        <w:t xml:space="preserve"> </w:t>
      </w:r>
      <w:r w:rsidR="00813312" w:rsidRPr="00C366F6">
        <w:t>information on</w:t>
      </w:r>
      <w:r w:rsidR="00813312">
        <w:t xml:space="preserve"> critical, </w:t>
      </w:r>
      <w:proofErr w:type="gramStart"/>
      <w:r w:rsidR="00813312">
        <w:t>major</w:t>
      </w:r>
      <w:proofErr w:type="gramEnd"/>
      <w:r w:rsidR="00813312">
        <w:t xml:space="preserve"> and minor </w:t>
      </w:r>
      <w:r w:rsidR="00813312" w:rsidRPr="003049B1">
        <w:t>deficiencies and whether they have been resolved</w:t>
      </w:r>
      <w:r w:rsidR="001E1393">
        <w:t>.</w:t>
      </w:r>
    </w:p>
    <w:p w14:paraId="07CDB08B" w14:textId="77777777" w:rsidR="000413D2" w:rsidRDefault="000413D2" w:rsidP="008C2251">
      <w:pPr>
        <w:pStyle w:val="Heading3"/>
      </w:pPr>
      <w:bookmarkStart w:id="15" w:name="_Toc166488033"/>
      <w:r>
        <w:t>Our inspection responsibilities</w:t>
      </w:r>
      <w:bookmarkEnd w:id="15"/>
      <w:r>
        <w:t xml:space="preserve"> </w:t>
      </w:r>
    </w:p>
    <w:p w14:paraId="54757052" w14:textId="4D2FBDB0" w:rsidR="001E1393" w:rsidRDefault="008D0E72" w:rsidP="00510E3F">
      <w:pPr>
        <w:rPr>
          <w:rFonts w:asciiTheme="minorHAnsi" w:hAnsiTheme="minorHAnsi"/>
          <w:bCs/>
        </w:rPr>
      </w:pPr>
      <w:r>
        <w:rPr>
          <w:rFonts w:asciiTheme="minorHAnsi" w:hAnsiTheme="minorHAnsi"/>
          <w:bCs/>
        </w:rPr>
        <w:t>We</w:t>
      </w:r>
      <w:r w:rsidR="00510E3F" w:rsidRPr="00510E3F">
        <w:rPr>
          <w:rFonts w:asciiTheme="minorHAnsi" w:hAnsiTheme="minorHAnsi"/>
          <w:bCs/>
        </w:rPr>
        <w:t xml:space="preserve"> can request certain information or documents about therapeutic goods exempt under the CTN scheme or approved under the CTA scheme. This can include the investigator’s brochure and protocol, further information about safety reports, clarification about the safety profile of a specific therapeutic good, </w:t>
      </w:r>
      <w:r w:rsidR="00124ACB">
        <w:rPr>
          <w:rFonts w:asciiTheme="minorHAnsi" w:hAnsiTheme="minorHAnsi"/>
          <w:bCs/>
        </w:rPr>
        <w:t>and/</w:t>
      </w:r>
      <w:r w:rsidR="00510E3F" w:rsidRPr="00510E3F">
        <w:rPr>
          <w:rFonts w:asciiTheme="minorHAnsi" w:hAnsiTheme="minorHAnsi"/>
          <w:bCs/>
        </w:rPr>
        <w:t xml:space="preserve">or details of problems or complaints. </w:t>
      </w:r>
    </w:p>
    <w:p w14:paraId="22970228" w14:textId="72316442" w:rsidR="00510E3F" w:rsidRPr="00510E3F" w:rsidRDefault="00EA0A44" w:rsidP="00510E3F">
      <w:pPr>
        <w:rPr>
          <w:rFonts w:asciiTheme="minorHAnsi" w:hAnsiTheme="minorHAnsi"/>
          <w:bCs/>
        </w:rPr>
      </w:pPr>
      <w:r>
        <w:rPr>
          <w:rFonts w:asciiTheme="minorHAnsi" w:hAnsiTheme="minorHAnsi"/>
          <w:bCs/>
        </w:rPr>
        <w:t>We</w:t>
      </w:r>
      <w:r w:rsidR="00510E3F" w:rsidRPr="00510E3F">
        <w:rPr>
          <w:rFonts w:asciiTheme="minorHAnsi" w:hAnsiTheme="minorHAnsi"/>
          <w:bCs/>
        </w:rPr>
        <w:t xml:space="preserve"> can require the trial sponsor of the goods exempt under the CTN scheme</w:t>
      </w:r>
      <w:r w:rsidR="001E1393">
        <w:rPr>
          <w:rFonts w:asciiTheme="minorHAnsi" w:hAnsiTheme="minorHAnsi"/>
          <w:bCs/>
        </w:rPr>
        <w:t>,</w:t>
      </w:r>
      <w:r w:rsidR="00510E3F" w:rsidRPr="00510E3F">
        <w:rPr>
          <w:rFonts w:asciiTheme="minorHAnsi" w:hAnsiTheme="minorHAnsi"/>
          <w:bCs/>
        </w:rPr>
        <w:t xml:space="preserve"> or the person who is granted approval under the CTA scheme</w:t>
      </w:r>
      <w:r w:rsidR="00124ACB">
        <w:rPr>
          <w:rFonts w:asciiTheme="minorHAnsi" w:hAnsiTheme="minorHAnsi"/>
          <w:bCs/>
        </w:rPr>
        <w:t>,</w:t>
      </w:r>
      <w:r w:rsidR="00510E3F" w:rsidRPr="00510E3F">
        <w:rPr>
          <w:rFonts w:asciiTheme="minorHAnsi" w:hAnsiTheme="minorHAnsi"/>
          <w:bCs/>
        </w:rPr>
        <w:t xml:space="preserve"> to provide this information or these documents.</w:t>
      </w:r>
    </w:p>
    <w:p w14:paraId="0ED3049A" w14:textId="3325066C" w:rsidR="001E1393" w:rsidRDefault="00EA0A44" w:rsidP="00510E3F">
      <w:pPr>
        <w:rPr>
          <w:rFonts w:asciiTheme="minorHAnsi" w:hAnsiTheme="minorHAnsi"/>
          <w:bCs/>
        </w:rPr>
      </w:pPr>
      <w:r>
        <w:rPr>
          <w:rFonts w:asciiTheme="minorHAnsi" w:hAnsiTheme="minorHAnsi"/>
          <w:bCs/>
        </w:rPr>
        <w:t>We</w:t>
      </w:r>
      <w:r w:rsidR="00510E3F" w:rsidRPr="00510E3F">
        <w:rPr>
          <w:rFonts w:asciiTheme="minorHAnsi" w:hAnsiTheme="minorHAnsi"/>
          <w:bCs/>
        </w:rPr>
        <w:t xml:space="preserve"> ha</w:t>
      </w:r>
      <w:r>
        <w:rPr>
          <w:rFonts w:asciiTheme="minorHAnsi" w:hAnsiTheme="minorHAnsi"/>
          <w:bCs/>
        </w:rPr>
        <w:t>ve</w:t>
      </w:r>
      <w:r w:rsidR="00510E3F" w:rsidRPr="00510E3F">
        <w:rPr>
          <w:rFonts w:asciiTheme="minorHAnsi" w:hAnsiTheme="minorHAnsi"/>
          <w:bCs/>
        </w:rPr>
        <w:t xml:space="preserve"> the authority to inspect clinical trial sites of medicines</w:t>
      </w:r>
      <w:r w:rsidR="00391369">
        <w:rPr>
          <w:rFonts w:asciiTheme="minorHAnsi" w:hAnsiTheme="minorHAnsi"/>
          <w:bCs/>
        </w:rPr>
        <w:t xml:space="preserve">, </w:t>
      </w:r>
      <w:r w:rsidR="00510E3F" w:rsidRPr="00510E3F">
        <w:rPr>
          <w:rFonts w:asciiTheme="minorHAnsi" w:hAnsiTheme="minorHAnsi"/>
          <w:bCs/>
        </w:rPr>
        <w:t>biologicals</w:t>
      </w:r>
      <w:r w:rsidR="00391369">
        <w:rPr>
          <w:rFonts w:asciiTheme="minorHAnsi" w:hAnsiTheme="minorHAnsi"/>
          <w:bCs/>
        </w:rPr>
        <w:t xml:space="preserve"> and devices</w:t>
      </w:r>
      <w:r w:rsidR="00510E3F" w:rsidRPr="00510E3F">
        <w:rPr>
          <w:rFonts w:asciiTheme="minorHAnsi" w:hAnsiTheme="minorHAnsi"/>
          <w:bCs/>
        </w:rPr>
        <w:t xml:space="preserve"> for trials approved under the CTA scheme, and trials of goods exempt under the CTN scheme. </w:t>
      </w:r>
    </w:p>
    <w:p w14:paraId="1A6BC361" w14:textId="2E7429F6" w:rsidR="00510E3F" w:rsidRPr="008D0E72" w:rsidRDefault="00510E3F" w:rsidP="00510E3F">
      <w:pPr>
        <w:rPr>
          <w:rFonts w:asciiTheme="minorHAnsi" w:hAnsiTheme="minorHAnsi"/>
          <w:bCs/>
        </w:rPr>
      </w:pPr>
      <w:r w:rsidRPr="00510E3F">
        <w:rPr>
          <w:rFonts w:asciiTheme="minorHAnsi" w:hAnsiTheme="minorHAnsi"/>
          <w:bCs/>
        </w:rPr>
        <w:t xml:space="preserve">In addition, </w:t>
      </w:r>
      <w:r w:rsidR="00EA0A44">
        <w:rPr>
          <w:rFonts w:asciiTheme="minorHAnsi" w:hAnsiTheme="minorHAnsi"/>
          <w:bCs/>
        </w:rPr>
        <w:t>we</w:t>
      </w:r>
      <w:r w:rsidRPr="00510E3F">
        <w:rPr>
          <w:rFonts w:asciiTheme="minorHAnsi" w:hAnsiTheme="minorHAnsi"/>
          <w:bCs/>
        </w:rPr>
        <w:t xml:space="preserve"> may release the inspection report and associated documents prepared by inspectors to approving authorities and responsible ethics committees (see Compliance and </w:t>
      </w:r>
      <w:r w:rsidR="006149D6">
        <w:rPr>
          <w:rFonts w:asciiTheme="minorHAnsi" w:hAnsiTheme="minorHAnsi"/>
          <w:bCs/>
        </w:rPr>
        <w:t>E</w:t>
      </w:r>
      <w:r w:rsidRPr="00510E3F">
        <w:rPr>
          <w:rFonts w:asciiTheme="minorHAnsi" w:hAnsiTheme="minorHAnsi"/>
          <w:bCs/>
        </w:rPr>
        <w:t>nforcement).</w:t>
      </w:r>
    </w:p>
    <w:p w14:paraId="78FA8A1A" w14:textId="085AB203" w:rsidR="000413D2" w:rsidRPr="00C366F6" w:rsidRDefault="000413D2" w:rsidP="008D0E72">
      <w:pPr>
        <w:keepNext/>
        <w:keepLines/>
        <w:rPr>
          <w:rFonts w:asciiTheme="minorHAnsi" w:hAnsiTheme="minorHAnsi"/>
        </w:rPr>
      </w:pPr>
      <w:r w:rsidRPr="008D0E72">
        <w:rPr>
          <w:rFonts w:asciiTheme="minorHAnsi" w:hAnsiTheme="minorHAnsi"/>
          <w:bCs/>
        </w:rPr>
        <w:t>Our</w:t>
      </w:r>
      <w:r w:rsidRPr="00C366F6">
        <w:rPr>
          <w:rFonts w:asciiTheme="minorHAnsi" w:hAnsiTheme="minorHAnsi"/>
        </w:rPr>
        <w:t xml:space="preserve"> inspection-related responsibilities include, but are not limited to:</w:t>
      </w:r>
    </w:p>
    <w:p w14:paraId="3E910955" w14:textId="77777777" w:rsidR="000413D2" w:rsidRPr="00C366F6" w:rsidRDefault="000413D2" w:rsidP="008D0E72">
      <w:pPr>
        <w:pStyle w:val="ListBullet"/>
        <w:keepNext/>
        <w:keepLines/>
      </w:pPr>
      <w:r w:rsidRPr="00C366F6">
        <w:t>coordinating the inspection and personnel—including scheduling dates, times, venues—and providing the agenda</w:t>
      </w:r>
    </w:p>
    <w:p w14:paraId="5D1FEA1A" w14:textId="77777777" w:rsidR="000413D2" w:rsidRPr="00C366F6" w:rsidRDefault="000413D2" w:rsidP="000413D2">
      <w:pPr>
        <w:pStyle w:val="ListBullet"/>
      </w:pPr>
      <w:r w:rsidRPr="00C366F6">
        <w:t>producing our identity card if requested</w:t>
      </w:r>
    </w:p>
    <w:p w14:paraId="2C64DAB0" w14:textId="77777777" w:rsidR="000413D2" w:rsidRPr="00C366F6" w:rsidRDefault="000413D2" w:rsidP="000413D2">
      <w:pPr>
        <w:pStyle w:val="ListBullet"/>
      </w:pPr>
      <w:r w:rsidRPr="00C366F6">
        <w:t>c</w:t>
      </w:r>
      <w:r>
        <w:t>arrying out</w:t>
      </w:r>
      <w:r w:rsidRPr="00C366F6">
        <w:t xml:space="preserve"> the inspection</w:t>
      </w:r>
    </w:p>
    <w:p w14:paraId="3426535A" w14:textId="77777777" w:rsidR="000413D2" w:rsidRPr="00C366F6" w:rsidRDefault="000413D2" w:rsidP="000413D2">
      <w:pPr>
        <w:pStyle w:val="ListBullet"/>
      </w:pPr>
      <w:r w:rsidRPr="00C366F6">
        <w:t>preparing the inspection report</w:t>
      </w:r>
    </w:p>
    <w:p w14:paraId="3D586D20" w14:textId="77777777" w:rsidR="000413D2" w:rsidRDefault="000413D2" w:rsidP="000413D2">
      <w:pPr>
        <w:pStyle w:val="ListBullet"/>
      </w:pPr>
      <w:r w:rsidRPr="00C366F6">
        <w:t>reviewing your CAPA plan(s) and finalising the inspection.</w:t>
      </w:r>
    </w:p>
    <w:p w14:paraId="515746DF" w14:textId="18197AA8" w:rsidR="0012034D" w:rsidRDefault="00EA0A44">
      <w:pPr>
        <w:pStyle w:val="ListBullet"/>
        <w:numPr>
          <w:ilvl w:val="0"/>
          <w:numId w:val="0"/>
        </w:numPr>
      </w:pPr>
      <w:r>
        <w:lastRenderedPageBreak/>
        <w:t>Our</w:t>
      </w:r>
      <w:r w:rsidR="0012034D">
        <w:t xml:space="preserve"> staff</w:t>
      </w:r>
      <w:r w:rsidR="0012034D" w:rsidRPr="0012034D">
        <w:t xml:space="preserve"> are subject to various confidentiality obligations found in the </w:t>
      </w:r>
      <w:r w:rsidR="0012034D" w:rsidRPr="008D0E72">
        <w:rPr>
          <w:i/>
          <w:iCs/>
        </w:rPr>
        <w:t>Public Service Regulations 1999</w:t>
      </w:r>
      <w:r w:rsidR="0012034D" w:rsidRPr="0012034D">
        <w:t xml:space="preserve">, </w:t>
      </w:r>
      <w:r w:rsidR="0012034D" w:rsidRPr="008D0E72">
        <w:rPr>
          <w:i/>
          <w:iCs/>
        </w:rPr>
        <w:t>Public Service Act 1999</w:t>
      </w:r>
      <w:r w:rsidR="0012034D" w:rsidRPr="0012034D">
        <w:t xml:space="preserve">, and the </w:t>
      </w:r>
      <w:r w:rsidR="0012034D" w:rsidRPr="008D0E72">
        <w:rPr>
          <w:i/>
          <w:iCs/>
        </w:rPr>
        <w:t>Criminal Code Act 1995</w:t>
      </w:r>
      <w:r w:rsidR="008D0E72" w:rsidRPr="008D0E72">
        <w:t>.</w:t>
      </w:r>
      <w:r w:rsidR="0012034D" w:rsidRPr="0012034D">
        <w:t xml:space="preserve">, </w:t>
      </w:r>
      <w:r w:rsidR="008D0E72">
        <w:t>A</w:t>
      </w:r>
      <w:r w:rsidR="0012034D" w:rsidRPr="0012034D">
        <w:t xml:space="preserve">s such </w:t>
      </w:r>
      <w:r w:rsidR="002229CA">
        <w:t xml:space="preserve">we </w:t>
      </w:r>
      <w:r w:rsidR="0012034D" w:rsidRPr="0012034D">
        <w:t xml:space="preserve">do not </w:t>
      </w:r>
      <w:proofErr w:type="gramStart"/>
      <w:r w:rsidR="0012034D" w:rsidRPr="0012034D">
        <w:t>enter into</w:t>
      </w:r>
      <w:proofErr w:type="gramEnd"/>
      <w:r w:rsidR="0012034D" w:rsidRPr="0012034D">
        <w:t xml:space="preserve"> confidentiality deeds in connection with the performance of </w:t>
      </w:r>
      <w:r w:rsidR="002229CA">
        <w:t>our</w:t>
      </w:r>
      <w:r w:rsidR="0012034D" w:rsidRPr="0012034D">
        <w:t xml:space="preserve"> statutory functions, including audits and inspections.</w:t>
      </w:r>
    </w:p>
    <w:p w14:paraId="0C9149CC" w14:textId="7B4AB0A2" w:rsidR="006426CA" w:rsidRPr="00C366F6" w:rsidRDefault="006426CA" w:rsidP="006426CA">
      <w:pPr>
        <w:rPr>
          <w:rFonts w:asciiTheme="minorHAnsi" w:hAnsiTheme="minorHAnsi"/>
        </w:rPr>
      </w:pPr>
      <w:r>
        <w:rPr>
          <w:rFonts w:asciiTheme="minorHAnsi" w:hAnsiTheme="minorHAnsi"/>
        </w:rPr>
        <w:t>If you have been notified of an inspection, w</w:t>
      </w:r>
      <w:r w:rsidRPr="00C366F6">
        <w:rPr>
          <w:rFonts w:asciiTheme="minorHAnsi" w:hAnsiTheme="minorHAnsi"/>
        </w:rPr>
        <w:t xml:space="preserve">e will prepare an inspection plan, which will </w:t>
      </w:r>
      <w:r>
        <w:rPr>
          <w:rFonts w:asciiTheme="minorHAnsi" w:hAnsiTheme="minorHAnsi"/>
        </w:rPr>
        <w:t>tell you</w:t>
      </w:r>
      <w:r w:rsidRPr="00C366F6">
        <w:rPr>
          <w:rFonts w:asciiTheme="minorHAnsi" w:hAnsiTheme="minorHAnsi"/>
        </w:rPr>
        <w:t>:</w:t>
      </w:r>
    </w:p>
    <w:p w14:paraId="3CC8CBC9" w14:textId="77777777" w:rsidR="006426CA" w:rsidRPr="00C366F6" w:rsidRDefault="006426CA" w:rsidP="006426CA">
      <w:pPr>
        <w:pStyle w:val="ListBullet"/>
      </w:pPr>
      <w:r w:rsidRPr="00C366F6">
        <w:t>the objectives and scope of the inspection</w:t>
      </w:r>
    </w:p>
    <w:p w14:paraId="7E3EAC17" w14:textId="77777777" w:rsidR="006426CA" w:rsidRPr="00C366F6" w:rsidRDefault="006426CA" w:rsidP="006426CA">
      <w:pPr>
        <w:pStyle w:val="ListBullet"/>
      </w:pPr>
      <w:r w:rsidRPr="00C366F6">
        <w:t>our inspection team member(s) and their role(s)</w:t>
      </w:r>
    </w:p>
    <w:p w14:paraId="455CF8E6" w14:textId="77777777" w:rsidR="006426CA" w:rsidRPr="00C366F6" w:rsidRDefault="006426CA" w:rsidP="006426CA">
      <w:pPr>
        <w:pStyle w:val="ListBullet"/>
      </w:pPr>
      <w:r w:rsidRPr="00C366F6">
        <w:t>the inspection date and site(s) to be inspected</w:t>
      </w:r>
    </w:p>
    <w:p w14:paraId="1AC563DA" w14:textId="77777777" w:rsidR="006426CA" w:rsidRPr="00C366F6" w:rsidRDefault="006426CA" w:rsidP="006426CA">
      <w:pPr>
        <w:pStyle w:val="ListBullet"/>
      </w:pPr>
      <w:r w:rsidRPr="00C366F6">
        <w:t>the specific documents, electronic tools, and systems to be reviewed and which we require access to</w:t>
      </w:r>
    </w:p>
    <w:p w14:paraId="66983E11" w14:textId="0D945144" w:rsidR="00C805C0" w:rsidRDefault="006426CA" w:rsidP="006426CA">
      <w:pPr>
        <w:pStyle w:val="ListBullet"/>
      </w:pPr>
      <w:r w:rsidRPr="00C366F6">
        <w:t xml:space="preserve">the expected time and duration of each major inspection activity. </w:t>
      </w:r>
    </w:p>
    <w:p w14:paraId="6519B547" w14:textId="0DFE4305" w:rsidR="006426CA" w:rsidRPr="00305BB8" w:rsidRDefault="00C805C0" w:rsidP="008D0E72">
      <w:pPr>
        <w:pStyle w:val="ListBullet"/>
        <w:numPr>
          <w:ilvl w:val="0"/>
          <w:numId w:val="0"/>
        </w:numPr>
      </w:pPr>
      <w:r w:rsidRPr="00C366F6">
        <w:t xml:space="preserve">We may also request specific electronic documents </w:t>
      </w:r>
      <w:r>
        <w:t>before</w:t>
      </w:r>
      <w:r w:rsidRPr="00C366F6">
        <w:t xml:space="preserve"> the inspection</w:t>
      </w:r>
      <w:r>
        <w:t>. This is</w:t>
      </w:r>
      <w:r w:rsidRPr="00C366F6">
        <w:t xml:space="preserve"> to allow sufficient pre-inspection analysis and inspection planning and will specify a time</w:t>
      </w:r>
      <w:r>
        <w:t xml:space="preserve"> </w:t>
      </w:r>
      <w:r w:rsidRPr="00C366F6">
        <w:t xml:space="preserve">frame for their delivery. You may provide such documentation to </w:t>
      </w:r>
      <w:r w:rsidR="00CD77B5">
        <w:t>us</w:t>
      </w:r>
      <w:r w:rsidRPr="00C366F6">
        <w:t xml:space="preserve"> by means that meet</w:t>
      </w:r>
      <w:r>
        <w:t xml:space="preserve"> </w:t>
      </w:r>
      <w:r w:rsidRPr="00C366F6">
        <w:t>your data privacy processes</w:t>
      </w:r>
      <w:r>
        <w:t>. Options</w:t>
      </w:r>
      <w:r w:rsidRPr="00C366F6">
        <w:t xml:space="preserve"> includ</w:t>
      </w:r>
      <w:r>
        <w:t xml:space="preserve">e a </w:t>
      </w:r>
      <w:r w:rsidRPr="00C366F6">
        <w:t>secure email, provision of access to secure file hosting service or provision</w:t>
      </w:r>
      <w:r>
        <w:t xml:space="preserve"> of electronic media</w:t>
      </w:r>
      <w:r w:rsidRPr="00C366F6">
        <w:t>.</w:t>
      </w:r>
    </w:p>
    <w:p w14:paraId="18095B6C" w14:textId="77777777" w:rsidR="00227F31" w:rsidRPr="00C366F6" w:rsidRDefault="00227F31" w:rsidP="00DA3702">
      <w:pPr>
        <w:pStyle w:val="Heading2"/>
      </w:pPr>
      <w:bookmarkStart w:id="16" w:name="_Toc166488034"/>
      <w:r w:rsidRPr="00C366F6">
        <w:t>Types of inspections</w:t>
      </w:r>
      <w:bookmarkEnd w:id="16"/>
    </w:p>
    <w:p w14:paraId="3A04F096" w14:textId="77777777" w:rsidR="00227F31" w:rsidRPr="00C366F6" w:rsidRDefault="00227F31" w:rsidP="008C2251">
      <w:pPr>
        <w:pStyle w:val="Heading3"/>
      </w:pPr>
      <w:bookmarkStart w:id="17" w:name="_Toc166488035"/>
      <w:r w:rsidRPr="00C366F6">
        <w:t>Routine inspections</w:t>
      </w:r>
      <w:bookmarkEnd w:id="17"/>
    </w:p>
    <w:p w14:paraId="6A8E86BA" w14:textId="2BA2F2A2" w:rsidR="00227F31" w:rsidRPr="00C366F6" w:rsidRDefault="00227F31" w:rsidP="00227F31">
      <w:r w:rsidRPr="00C366F6">
        <w:t>Routine GCP inspections are scheduled as part of the inspection program. There is no specific trigger for these inspections, although we take a risk-based approach to prioritising them. These inspections are usually of a single investigator site of a specific clinical trial</w:t>
      </w:r>
      <w:r w:rsidR="00D021B2">
        <w:t>.</w:t>
      </w:r>
      <w:r w:rsidRPr="00C366F6">
        <w:t xml:space="preserve"> </w:t>
      </w:r>
      <w:r w:rsidR="00297718">
        <w:t>Please note that o</w:t>
      </w:r>
      <w:r w:rsidRPr="00C366F6">
        <w:t xml:space="preserve">ther sites may be selected to verify and </w:t>
      </w:r>
      <w:r w:rsidR="00D021B2">
        <w:t xml:space="preserve">give </w:t>
      </w:r>
      <w:r w:rsidRPr="00C366F6">
        <w:t>practical evidence of compliance.</w:t>
      </w:r>
    </w:p>
    <w:p w14:paraId="78D37E69" w14:textId="77777777" w:rsidR="00227F31" w:rsidRPr="00C366F6" w:rsidRDefault="00227F31" w:rsidP="008C2251">
      <w:pPr>
        <w:pStyle w:val="Heading3"/>
      </w:pPr>
      <w:bookmarkStart w:id="18" w:name="_Toc166488036"/>
      <w:r w:rsidRPr="00C366F6">
        <w:t>‘For cause’ inspections</w:t>
      </w:r>
      <w:bookmarkEnd w:id="18"/>
    </w:p>
    <w:p w14:paraId="64A5711D" w14:textId="30F68B1D" w:rsidR="00227F31" w:rsidRPr="00C366F6" w:rsidRDefault="00227F31" w:rsidP="00227F31">
      <w:r w:rsidRPr="00C366F6">
        <w:t xml:space="preserve">‘For cause’ inspections are undertaken in response to specific triggers where a GCP inspection is the appropriate way to examine the issues. ‘For cause’ inspections generally focus on specific aspects of the clinical trial at a particular investigator site or examine identified compliance issues and their impact. However, we may also inspect other sites </w:t>
      </w:r>
      <w:r w:rsidR="00D021B2">
        <w:t>because</w:t>
      </w:r>
      <w:r w:rsidRPr="00C366F6">
        <w:t xml:space="preserve"> of a trigger. Significant </w:t>
      </w:r>
      <w:r>
        <w:t xml:space="preserve">safety </w:t>
      </w:r>
      <w:r w:rsidRPr="00C366F6">
        <w:t>concerns</w:t>
      </w:r>
      <w:r>
        <w:t xml:space="preserve"> </w:t>
      </w:r>
      <w:r w:rsidRPr="00C366F6">
        <w:t xml:space="preserve">or identified noncompliance are expected to be the most common triggers. </w:t>
      </w:r>
    </w:p>
    <w:p w14:paraId="39F13FD3" w14:textId="77777777" w:rsidR="00227F31" w:rsidRPr="00C366F6" w:rsidRDefault="00227F31" w:rsidP="008C2251">
      <w:pPr>
        <w:pStyle w:val="Heading3"/>
      </w:pPr>
      <w:bookmarkStart w:id="19" w:name="_Toc166488037"/>
      <w:r w:rsidRPr="00C366F6">
        <w:t>Announced and unannounced inspections</w:t>
      </w:r>
      <w:bookmarkEnd w:id="19"/>
    </w:p>
    <w:p w14:paraId="772A56C5" w14:textId="3A132A05" w:rsidR="00227F31" w:rsidRPr="00C366F6" w:rsidRDefault="00227F31" w:rsidP="00227F31">
      <w:pPr>
        <w:rPr>
          <w:rFonts w:asciiTheme="minorHAnsi" w:hAnsiTheme="minorHAnsi"/>
        </w:rPr>
      </w:pPr>
      <w:r w:rsidRPr="00C366F6">
        <w:rPr>
          <w:rFonts w:asciiTheme="minorHAnsi" w:hAnsiTheme="minorHAnsi"/>
        </w:rPr>
        <w:t xml:space="preserve">We </w:t>
      </w:r>
      <w:r w:rsidR="00804E2E">
        <w:rPr>
          <w:rFonts w:asciiTheme="minorHAnsi" w:hAnsiTheme="minorHAnsi"/>
        </w:rPr>
        <w:t>expect</w:t>
      </w:r>
      <w:r w:rsidRPr="00C366F6">
        <w:rPr>
          <w:rFonts w:asciiTheme="minorHAnsi" w:hAnsiTheme="minorHAnsi"/>
        </w:rPr>
        <w:t xml:space="preserve"> </w:t>
      </w:r>
      <w:r w:rsidR="00804E2E">
        <w:rPr>
          <w:rFonts w:asciiTheme="minorHAnsi" w:hAnsiTheme="minorHAnsi"/>
        </w:rPr>
        <w:t>most</w:t>
      </w:r>
      <w:r w:rsidRPr="00C366F6">
        <w:rPr>
          <w:rFonts w:asciiTheme="minorHAnsi" w:hAnsiTheme="minorHAnsi"/>
        </w:rPr>
        <w:t xml:space="preserve"> inspections will be announced</w:t>
      </w:r>
      <w:r w:rsidR="00D021B2">
        <w:rPr>
          <w:rFonts w:asciiTheme="minorHAnsi" w:hAnsiTheme="minorHAnsi"/>
        </w:rPr>
        <w:t>. T</w:t>
      </w:r>
      <w:r w:rsidRPr="00C366F6">
        <w:rPr>
          <w:rFonts w:asciiTheme="minorHAnsi" w:hAnsiTheme="minorHAnsi"/>
        </w:rPr>
        <w:t xml:space="preserve">hat is, we will </w:t>
      </w:r>
      <w:r w:rsidR="00804E2E">
        <w:rPr>
          <w:rFonts w:asciiTheme="minorHAnsi" w:hAnsiTheme="minorHAnsi"/>
        </w:rPr>
        <w:t>tell</w:t>
      </w:r>
      <w:r w:rsidRPr="00C366F6">
        <w:rPr>
          <w:rFonts w:asciiTheme="minorHAnsi" w:hAnsiTheme="minorHAnsi"/>
        </w:rPr>
        <w:t xml:space="preserve"> you in advance to ensure the relevant personnel will be available for the inspection. However, it may sometimes be appropriate to conduct unannounced inspections or to perform an inspection at short notice</w:t>
      </w:r>
      <w:r w:rsidR="00804E2E">
        <w:rPr>
          <w:rFonts w:asciiTheme="minorHAnsi" w:hAnsiTheme="minorHAnsi"/>
        </w:rPr>
        <w:t>. F</w:t>
      </w:r>
      <w:r w:rsidRPr="00C366F6">
        <w:rPr>
          <w:rFonts w:asciiTheme="minorHAnsi" w:hAnsiTheme="minorHAnsi"/>
        </w:rPr>
        <w:t xml:space="preserve">or example, when an announcement could compromise the objectives of the inspection or when prompt inspection is required </w:t>
      </w:r>
      <w:r w:rsidR="00804E2E">
        <w:rPr>
          <w:rFonts w:asciiTheme="minorHAnsi" w:hAnsiTheme="minorHAnsi"/>
        </w:rPr>
        <w:t>because of</w:t>
      </w:r>
      <w:r w:rsidRPr="00C366F6">
        <w:rPr>
          <w:rFonts w:asciiTheme="minorHAnsi" w:hAnsiTheme="minorHAnsi"/>
        </w:rPr>
        <w:t xml:space="preserve"> urgent </w:t>
      </w:r>
      <w:r>
        <w:rPr>
          <w:rFonts w:asciiTheme="minorHAnsi" w:hAnsiTheme="minorHAnsi"/>
        </w:rPr>
        <w:t>safety</w:t>
      </w:r>
      <w:r w:rsidRPr="00C366F6">
        <w:rPr>
          <w:rFonts w:asciiTheme="minorHAnsi" w:hAnsiTheme="minorHAnsi"/>
        </w:rPr>
        <w:t xml:space="preserve"> concerns.</w:t>
      </w:r>
    </w:p>
    <w:p w14:paraId="2E4FAA98" w14:textId="2871AA12" w:rsidR="00227F31" w:rsidRPr="00C366F6" w:rsidRDefault="00227F31" w:rsidP="008C2251">
      <w:pPr>
        <w:pStyle w:val="Heading3"/>
      </w:pPr>
      <w:bookmarkStart w:id="20" w:name="_Toc166488038"/>
      <w:r w:rsidRPr="00C366F6">
        <w:t>Re</w:t>
      </w:r>
      <w:r w:rsidR="00297718">
        <w:t>-</w:t>
      </w:r>
      <w:r w:rsidRPr="00C366F6">
        <w:t>inspections</w:t>
      </w:r>
      <w:bookmarkEnd w:id="20"/>
    </w:p>
    <w:p w14:paraId="415059C4" w14:textId="326C01C1" w:rsidR="00227F31" w:rsidRPr="00C366F6" w:rsidRDefault="00227F31" w:rsidP="00227F31">
      <w:pPr>
        <w:rPr>
          <w:rFonts w:asciiTheme="minorHAnsi" w:hAnsiTheme="minorHAnsi"/>
        </w:rPr>
      </w:pPr>
      <w:r w:rsidRPr="00C366F6">
        <w:rPr>
          <w:rFonts w:asciiTheme="minorHAnsi" w:hAnsiTheme="minorHAnsi"/>
        </w:rPr>
        <w:t>There is no re</w:t>
      </w:r>
      <w:r w:rsidR="00830DCD">
        <w:rPr>
          <w:rFonts w:asciiTheme="minorHAnsi" w:hAnsiTheme="minorHAnsi"/>
        </w:rPr>
        <w:t>-</w:t>
      </w:r>
      <w:r w:rsidRPr="00C366F6">
        <w:rPr>
          <w:rFonts w:asciiTheme="minorHAnsi" w:hAnsiTheme="minorHAnsi"/>
        </w:rPr>
        <w:t xml:space="preserve">inspection planned for clinical trials inspected as part of our routine inspection program. We will prioritise all routine inspections </w:t>
      </w:r>
      <w:r>
        <w:rPr>
          <w:rFonts w:asciiTheme="minorHAnsi" w:hAnsiTheme="minorHAnsi"/>
        </w:rPr>
        <w:t>based on risk</w:t>
      </w:r>
      <w:r w:rsidRPr="00C366F6">
        <w:rPr>
          <w:rFonts w:asciiTheme="minorHAnsi" w:hAnsiTheme="minorHAnsi"/>
        </w:rPr>
        <w:t xml:space="preserve">. However, if a previous inspection of </w:t>
      </w:r>
      <w:r>
        <w:rPr>
          <w:rFonts w:asciiTheme="minorHAnsi" w:hAnsiTheme="minorHAnsi"/>
        </w:rPr>
        <w:t xml:space="preserve">a </w:t>
      </w:r>
      <w:r w:rsidRPr="00C366F6">
        <w:rPr>
          <w:rFonts w:asciiTheme="minorHAnsi" w:hAnsiTheme="minorHAnsi"/>
        </w:rPr>
        <w:t xml:space="preserve">clinical </w:t>
      </w:r>
      <w:r w:rsidRPr="00C366F6">
        <w:rPr>
          <w:rFonts w:asciiTheme="minorHAnsi" w:hAnsiTheme="minorHAnsi"/>
        </w:rPr>
        <w:lastRenderedPageBreak/>
        <w:t>trial identified noncompliance this may increase the chance you will be inspected at some time in the future</w:t>
      </w:r>
      <w:r w:rsidR="00804E2E">
        <w:rPr>
          <w:rFonts w:asciiTheme="minorHAnsi" w:hAnsiTheme="minorHAnsi"/>
        </w:rPr>
        <w:t>.</w:t>
      </w:r>
      <w:r w:rsidRPr="00C366F6">
        <w:rPr>
          <w:rFonts w:asciiTheme="minorHAnsi" w:hAnsiTheme="minorHAnsi"/>
        </w:rPr>
        <w:t xml:space="preserve"> </w:t>
      </w:r>
      <w:r w:rsidR="00804E2E">
        <w:rPr>
          <w:rFonts w:asciiTheme="minorHAnsi" w:hAnsiTheme="minorHAnsi"/>
        </w:rPr>
        <w:t>F</w:t>
      </w:r>
      <w:r w:rsidRPr="00C366F6">
        <w:rPr>
          <w:rFonts w:asciiTheme="minorHAnsi" w:hAnsiTheme="minorHAnsi"/>
        </w:rPr>
        <w:t>or example</w:t>
      </w:r>
      <w:r w:rsidR="00124ACB">
        <w:rPr>
          <w:rFonts w:asciiTheme="minorHAnsi" w:hAnsiTheme="minorHAnsi"/>
        </w:rPr>
        <w:t>, we may re-inspect</w:t>
      </w:r>
      <w:r w:rsidRPr="00C366F6">
        <w:rPr>
          <w:rFonts w:asciiTheme="minorHAnsi" w:hAnsiTheme="minorHAnsi"/>
        </w:rPr>
        <w:t>:</w:t>
      </w:r>
    </w:p>
    <w:p w14:paraId="42909828" w14:textId="77777777" w:rsidR="00227F31" w:rsidRPr="00C366F6" w:rsidRDefault="00227F31" w:rsidP="000E36C7">
      <w:pPr>
        <w:pStyle w:val="ListBullet"/>
      </w:pPr>
      <w:r w:rsidRPr="00C366F6">
        <w:t>where we have identified significant noncompliance</w:t>
      </w:r>
    </w:p>
    <w:p w14:paraId="402A1C36" w14:textId="77777777" w:rsidR="00227F31" w:rsidRPr="00C366F6" w:rsidRDefault="00227F31" w:rsidP="000E36C7">
      <w:pPr>
        <w:pStyle w:val="ListBullet"/>
      </w:pPr>
      <w:r w:rsidRPr="00C366F6">
        <w:t xml:space="preserve">to evaluate your ongoing compliance with </w:t>
      </w:r>
      <w:r>
        <w:t>requirements</w:t>
      </w:r>
      <w:r w:rsidRPr="00C366F6">
        <w:t xml:space="preserve"> and evaluate changes to your clinical trial management systems</w:t>
      </w:r>
      <w:r>
        <w:t>.</w:t>
      </w:r>
    </w:p>
    <w:p w14:paraId="2A8909C0" w14:textId="01686FEC" w:rsidR="00227F31" w:rsidRPr="00C366F6" w:rsidRDefault="00227F31" w:rsidP="000E36C7">
      <w:pPr>
        <w:pStyle w:val="ListBullet"/>
      </w:pPr>
      <w:r w:rsidRPr="00C366F6">
        <w:t xml:space="preserve">to verify you have taken appropriate corrective and preventative action in response to </w:t>
      </w:r>
      <w:r>
        <w:t xml:space="preserve">address </w:t>
      </w:r>
      <w:r w:rsidRPr="00C366F6">
        <w:t>noncompliance</w:t>
      </w:r>
      <w:r w:rsidR="00124ACB" w:rsidRPr="00C366F6">
        <w:t>, particularly ‘for cause’ inspections</w:t>
      </w:r>
      <w:r w:rsidRPr="00C366F6">
        <w:t xml:space="preserve">. </w:t>
      </w:r>
    </w:p>
    <w:p w14:paraId="6647E530" w14:textId="56C86A0C" w:rsidR="00227F31" w:rsidRPr="00C366F6" w:rsidRDefault="00227F31" w:rsidP="008C2251">
      <w:pPr>
        <w:pStyle w:val="Heading3"/>
      </w:pPr>
      <w:bookmarkStart w:id="21" w:name="_Toc166488039"/>
      <w:r w:rsidRPr="00C366F6">
        <w:t>Remote</w:t>
      </w:r>
      <w:r w:rsidR="00DC2D3D">
        <w:t>/Hybrid</w:t>
      </w:r>
      <w:r w:rsidRPr="00C366F6">
        <w:t xml:space="preserve"> inspections</w:t>
      </w:r>
      <w:bookmarkEnd w:id="21"/>
    </w:p>
    <w:p w14:paraId="6F30457D" w14:textId="4DCA3A01" w:rsidR="00227F31" w:rsidRPr="00C366F6" w:rsidRDefault="00227F31" w:rsidP="00227F31">
      <w:pPr>
        <w:rPr>
          <w:rFonts w:asciiTheme="minorHAnsi" w:hAnsiTheme="minorHAnsi"/>
        </w:rPr>
      </w:pPr>
      <w:bookmarkStart w:id="22" w:name="_Toc101867037"/>
      <w:r>
        <w:rPr>
          <w:rFonts w:asciiTheme="minorHAnsi" w:hAnsiTheme="minorHAnsi"/>
        </w:rPr>
        <w:t>Sometimes we will perform</w:t>
      </w:r>
      <w:r w:rsidRPr="00C366F6">
        <w:rPr>
          <w:rFonts w:asciiTheme="minorHAnsi" w:hAnsiTheme="minorHAnsi"/>
        </w:rPr>
        <w:t xml:space="preserve"> GCP inspections remotely using video</w:t>
      </w:r>
      <w:r w:rsidR="007D3E3D">
        <w:rPr>
          <w:rFonts w:asciiTheme="minorHAnsi" w:hAnsiTheme="minorHAnsi"/>
        </w:rPr>
        <w:t xml:space="preserve"> </w:t>
      </w:r>
      <w:r>
        <w:rPr>
          <w:rFonts w:asciiTheme="minorHAnsi" w:hAnsiTheme="minorHAnsi"/>
        </w:rPr>
        <w:t xml:space="preserve">or </w:t>
      </w:r>
      <w:r w:rsidRPr="00C366F6">
        <w:rPr>
          <w:rFonts w:asciiTheme="minorHAnsi" w:hAnsiTheme="minorHAnsi"/>
        </w:rPr>
        <w:t>teleconferencing</w:t>
      </w:r>
      <w:r w:rsidR="007D3E3D">
        <w:rPr>
          <w:rFonts w:asciiTheme="minorHAnsi" w:hAnsiTheme="minorHAnsi"/>
        </w:rPr>
        <w:t>.</w:t>
      </w:r>
      <w:r w:rsidRPr="00C366F6">
        <w:rPr>
          <w:rFonts w:asciiTheme="minorHAnsi" w:hAnsiTheme="minorHAnsi"/>
        </w:rPr>
        <w:t xml:space="preserve"> </w:t>
      </w:r>
      <w:r w:rsidR="007D3E3D">
        <w:rPr>
          <w:rFonts w:asciiTheme="minorHAnsi" w:hAnsiTheme="minorHAnsi"/>
        </w:rPr>
        <w:t>F</w:t>
      </w:r>
      <w:r w:rsidRPr="00C366F6">
        <w:rPr>
          <w:rFonts w:asciiTheme="minorHAnsi" w:hAnsiTheme="minorHAnsi"/>
        </w:rPr>
        <w:t>or example, where access to the investigator</w:t>
      </w:r>
      <w:r>
        <w:rPr>
          <w:rFonts w:asciiTheme="minorHAnsi" w:hAnsiTheme="minorHAnsi"/>
        </w:rPr>
        <w:t xml:space="preserve"> sites</w:t>
      </w:r>
      <w:r w:rsidRPr="00C366F6">
        <w:rPr>
          <w:rFonts w:asciiTheme="minorHAnsi" w:hAnsiTheme="minorHAnsi"/>
        </w:rPr>
        <w:t xml:space="preserve"> or other sites is </w:t>
      </w:r>
      <w:r w:rsidRPr="00FF0579">
        <w:rPr>
          <w:rFonts w:asciiTheme="minorHAnsi" w:hAnsiTheme="minorHAnsi"/>
        </w:rPr>
        <w:t>difficult</w:t>
      </w:r>
      <w:r w:rsidRPr="00C366F6">
        <w:rPr>
          <w:rFonts w:asciiTheme="minorHAnsi" w:hAnsiTheme="minorHAnsi"/>
        </w:rPr>
        <w:t xml:space="preserve">. If a remote inspection reveals issues that </w:t>
      </w:r>
      <w:r w:rsidR="00804E2E">
        <w:rPr>
          <w:rFonts w:asciiTheme="minorHAnsi" w:hAnsiTheme="minorHAnsi"/>
        </w:rPr>
        <w:t>need an</w:t>
      </w:r>
      <w:r w:rsidRPr="00C366F6">
        <w:rPr>
          <w:rFonts w:asciiTheme="minorHAnsi" w:hAnsiTheme="minorHAnsi"/>
        </w:rPr>
        <w:t xml:space="preserve"> on-site inspection, or the inspection objectives could not be met remotely, we may visit the inspection site.</w:t>
      </w:r>
    </w:p>
    <w:p w14:paraId="595A9AC3" w14:textId="77777777" w:rsidR="008D71F1" w:rsidRDefault="008D71F1" w:rsidP="008D71F1">
      <w:pPr>
        <w:pStyle w:val="Heading2"/>
      </w:pPr>
      <w:bookmarkStart w:id="23" w:name="_Toc101867038"/>
      <w:bookmarkStart w:id="24" w:name="_Toc166488040"/>
      <w:bookmarkEnd w:id="22"/>
      <w:r w:rsidRPr="00C366F6">
        <w:t>Inspection process</w:t>
      </w:r>
      <w:bookmarkEnd w:id="23"/>
      <w:bookmarkEnd w:id="24"/>
    </w:p>
    <w:p w14:paraId="03F02367" w14:textId="72C9AD40" w:rsidR="008D71F1" w:rsidRPr="00C366F6" w:rsidRDefault="00CB408A" w:rsidP="008C2251">
      <w:pPr>
        <w:pStyle w:val="Heading3"/>
      </w:pPr>
      <w:bookmarkStart w:id="25" w:name="_Inspection_prioritisation"/>
      <w:bookmarkStart w:id="26" w:name="_Toc166488041"/>
      <w:bookmarkStart w:id="27" w:name="_Toc101867039"/>
      <w:bookmarkEnd w:id="25"/>
      <w:r>
        <w:t>Site selection</w:t>
      </w:r>
      <w:bookmarkEnd w:id="26"/>
      <w:r>
        <w:t xml:space="preserve"> </w:t>
      </w:r>
      <w:bookmarkEnd w:id="27"/>
    </w:p>
    <w:p w14:paraId="3B7941C6" w14:textId="2FBD9F80" w:rsidR="00124ACB" w:rsidRDefault="00124ACB" w:rsidP="00124ACB">
      <w:pPr>
        <w:rPr>
          <w:rFonts w:asciiTheme="minorHAnsi" w:hAnsiTheme="minorHAnsi"/>
        </w:rPr>
      </w:pPr>
      <w:r>
        <w:rPr>
          <w:rFonts w:asciiTheme="minorHAnsi" w:hAnsiTheme="minorHAnsi"/>
        </w:rPr>
        <w:t>Most</w:t>
      </w:r>
      <w:r w:rsidRPr="00DB1031">
        <w:rPr>
          <w:rFonts w:asciiTheme="minorHAnsi" w:hAnsiTheme="minorHAnsi"/>
        </w:rPr>
        <w:t xml:space="preserve"> GCP inspections will be trial</w:t>
      </w:r>
      <w:r>
        <w:rPr>
          <w:rFonts w:asciiTheme="minorHAnsi" w:hAnsiTheme="minorHAnsi"/>
        </w:rPr>
        <w:t>-</w:t>
      </w:r>
      <w:r w:rsidRPr="00DB1031">
        <w:rPr>
          <w:rFonts w:asciiTheme="minorHAnsi" w:hAnsiTheme="minorHAnsi"/>
        </w:rPr>
        <w:t>specific</w:t>
      </w:r>
      <w:r>
        <w:rPr>
          <w:rFonts w:asciiTheme="minorHAnsi" w:hAnsiTheme="minorHAnsi"/>
        </w:rPr>
        <w:t>,</w:t>
      </w:r>
      <w:r w:rsidRPr="00DB1031">
        <w:rPr>
          <w:rFonts w:asciiTheme="minorHAnsi" w:hAnsiTheme="minorHAnsi"/>
        </w:rPr>
        <w:t xml:space="preserve"> routine inspections of </w:t>
      </w:r>
      <w:r>
        <w:rPr>
          <w:rFonts w:asciiTheme="minorHAnsi" w:hAnsiTheme="minorHAnsi"/>
        </w:rPr>
        <w:t xml:space="preserve">regulated </w:t>
      </w:r>
      <w:r w:rsidRPr="00DB1031">
        <w:rPr>
          <w:rFonts w:asciiTheme="minorHAnsi" w:hAnsiTheme="minorHAnsi"/>
        </w:rPr>
        <w:t>clinical trials.</w:t>
      </w:r>
      <w:r>
        <w:rPr>
          <w:rFonts w:asciiTheme="minorHAnsi" w:hAnsiTheme="minorHAnsi"/>
        </w:rPr>
        <w:t xml:space="preserve"> </w:t>
      </w:r>
      <w:r w:rsidRPr="00C366F6">
        <w:rPr>
          <w:rFonts w:asciiTheme="minorHAnsi" w:hAnsiTheme="minorHAnsi"/>
        </w:rPr>
        <w:t xml:space="preserve">However, </w:t>
      </w:r>
      <w:r>
        <w:rPr>
          <w:rFonts w:asciiTheme="minorHAnsi" w:hAnsiTheme="minorHAnsi"/>
        </w:rPr>
        <w:t xml:space="preserve">other types of inspections including </w:t>
      </w:r>
      <w:r w:rsidRPr="00C366F6">
        <w:rPr>
          <w:rFonts w:asciiTheme="minorHAnsi" w:hAnsiTheme="minorHAnsi"/>
        </w:rPr>
        <w:t xml:space="preserve">‘for cause’ inspections may also occur. </w:t>
      </w:r>
    </w:p>
    <w:p w14:paraId="49113AC1" w14:textId="41552B80" w:rsidR="00FB5A8B" w:rsidRDefault="00D94DC3" w:rsidP="008D71F1">
      <w:pPr>
        <w:rPr>
          <w:rFonts w:asciiTheme="minorHAnsi" w:hAnsiTheme="minorHAnsi"/>
        </w:rPr>
      </w:pPr>
      <w:r>
        <w:rPr>
          <w:rFonts w:asciiTheme="minorHAnsi" w:hAnsiTheme="minorHAnsi"/>
        </w:rPr>
        <w:t>A</w:t>
      </w:r>
      <w:r w:rsidR="008D71F1" w:rsidRPr="00C366F6">
        <w:rPr>
          <w:rFonts w:asciiTheme="minorHAnsi" w:hAnsiTheme="minorHAnsi"/>
        </w:rPr>
        <w:t xml:space="preserve"> risk-based approach</w:t>
      </w:r>
      <w:r>
        <w:rPr>
          <w:rFonts w:asciiTheme="minorHAnsi" w:hAnsiTheme="minorHAnsi"/>
        </w:rPr>
        <w:t xml:space="preserve"> is undertaken</w:t>
      </w:r>
      <w:r w:rsidR="008D71F1" w:rsidRPr="00C366F6">
        <w:rPr>
          <w:rFonts w:asciiTheme="minorHAnsi" w:hAnsiTheme="minorHAnsi"/>
        </w:rPr>
        <w:t xml:space="preserve"> </w:t>
      </w:r>
      <w:r w:rsidR="00912D3B">
        <w:rPr>
          <w:rFonts w:asciiTheme="minorHAnsi" w:hAnsiTheme="minorHAnsi"/>
        </w:rPr>
        <w:t>in</w:t>
      </w:r>
      <w:r w:rsidR="008D71F1" w:rsidRPr="00C366F6">
        <w:rPr>
          <w:rFonts w:asciiTheme="minorHAnsi" w:hAnsiTheme="minorHAnsi"/>
        </w:rPr>
        <w:t xml:space="preserve"> </w:t>
      </w:r>
      <w:r w:rsidR="008D71F1">
        <w:rPr>
          <w:rFonts w:asciiTheme="minorHAnsi" w:hAnsiTheme="minorHAnsi"/>
        </w:rPr>
        <w:t xml:space="preserve">selecting </w:t>
      </w:r>
      <w:r w:rsidR="00E056A2">
        <w:rPr>
          <w:rFonts w:asciiTheme="minorHAnsi" w:hAnsiTheme="minorHAnsi"/>
        </w:rPr>
        <w:t xml:space="preserve">and prioritising clinical </w:t>
      </w:r>
      <w:r w:rsidR="00E330A1">
        <w:rPr>
          <w:rFonts w:asciiTheme="minorHAnsi" w:hAnsiTheme="minorHAnsi"/>
        </w:rPr>
        <w:t xml:space="preserve">trial </w:t>
      </w:r>
      <w:r w:rsidR="008D71F1">
        <w:rPr>
          <w:rFonts w:asciiTheme="minorHAnsi" w:hAnsiTheme="minorHAnsi"/>
        </w:rPr>
        <w:t>sites for</w:t>
      </w:r>
      <w:r w:rsidR="008D71F1" w:rsidRPr="00C366F6">
        <w:rPr>
          <w:rFonts w:asciiTheme="minorHAnsi" w:hAnsiTheme="minorHAnsi"/>
        </w:rPr>
        <w:t xml:space="preserve"> GCP inspections.</w:t>
      </w:r>
      <w:r w:rsidR="00804E2E">
        <w:rPr>
          <w:rFonts w:asciiTheme="minorHAnsi" w:hAnsiTheme="minorHAnsi"/>
        </w:rPr>
        <w:t xml:space="preserve"> We</w:t>
      </w:r>
      <w:r w:rsidR="00EE74CA">
        <w:rPr>
          <w:rFonts w:asciiTheme="minorHAnsi" w:hAnsiTheme="minorHAnsi"/>
        </w:rPr>
        <w:t xml:space="preserve"> </w:t>
      </w:r>
      <w:r w:rsidR="00804E2E">
        <w:rPr>
          <w:rFonts w:asciiTheme="minorHAnsi" w:hAnsiTheme="minorHAnsi"/>
        </w:rPr>
        <w:t>f</w:t>
      </w:r>
      <w:r w:rsidR="00901F65">
        <w:rPr>
          <w:rFonts w:asciiTheme="minorHAnsi" w:hAnsiTheme="minorHAnsi"/>
        </w:rPr>
        <w:t>ocus</w:t>
      </w:r>
      <w:r w:rsidR="00EE74CA">
        <w:rPr>
          <w:rFonts w:asciiTheme="minorHAnsi" w:hAnsiTheme="minorHAnsi"/>
        </w:rPr>
        <w:t xml:space="preserve"> </w:t>
      </w:r>
      <w:r w:rsidR="00804E2E">
        <w:rPr>
          <w:rFonts w:asciiTheme="minorHAnsi" w:hAnsiTheme="minorHAnsi"/>
        </w:rPr>
        <w:t>on</w:t>
      </w:r>
      <w:r w:rsidR="00EE74CA" w:rsidRPr="00C366F6">
        <w:rPr>
          <w:rFonts w:asciiTheme="minorHAnsi" w:hAnsiTheme="minorHAnsi"/>
        </w:rPr>
        <w:t xml:space="preserve"> early phase trials of new medicines</w:t>
      </w:r>
      <w:r w:rsidR="00EE74CA">
        <w:rPr>
          <w:rFonts w:asciiTheme="minorHAnsi" w:hAnsiTheme="minorHAnsi"/>
        </w:rPr>
        <w:t>,</w:t>
      </w:r>
      <w:r w:rsidR="0084123E">
        <w:rPr>
          <w:rFonts w:asciiTheme="minorHAnsi" w:hAnsiTheme="minorHAnsi"/>
        </w:rPr>
        <w:t xml:space="preserve"> biologicals,</w:t>
      </w:r>
      <w:r w:rsidR="00EE74CA">
        <w:rPr>
          <w:rFonts w:asciiTheme="minorHAnsi" w:hAnsiTheme="minorHAnsi"/>
        </w:rPr>
        <w:t xml:space="preserve"> </w:t>
      </w:r>
      <w:hyperlink r:id="rId20" w:history="1">
        <w:r w:rsidR="00EE74CA" w:rsidRPr="00083C72">
          <w:rPr>
            <w:rStyle w:val="Hyperlink"/>
            <w:rFonts w:asciiTheme="minorHAnsi" w:hAnsiTheme="minorHAnsi"/>
          </w:rPr>
          <w:t>high risk medical devices</w:t>
        </w:r>
      </w:hyperlink>
      <w:r w:rsidR="00DC2D3D">
        <w:rPr>
          <w:rFonts w:asciiTheme="minorHAnsi" w:hAnsiTheme="minorHAnsi"/>
        </w:rPr>
        <w:t xml:space="preserve">, </w:t>
      </w:r>
      <w:r w:rsidR="00EE74CA" w:rsidRPr="00C366F6">
        <w:rPr>
          <w:rFonts w:asciiTheme="minorHAnsi" w:hAnsiTheme="minorHAnsi"/>
        </w:rPr>
        <w:t xml:space="preserve">combinations of medicines, or where there may be safety or other concerns. </w:t>
      </w:r>
      <w:r w:rsidR="008D71F1" w:rsidRPr="00C366F6">
        <w:rPr>
          <w:rFonts w:asciiTheme="minorHAnsi" w:hAnsiTheme="minorHAnsi"/>
        </w:rPr>
        <w:t>Trials with higher risk are more likely to be inspected.</w:t>
      </w:r>
      <w:r w:rsidR="00657E51" w:rsidRPr="00657E51">
        <w:rPr>
          <w:rFonts w:asciiTheme="minorHAnsi" w:hAnsiTheme="minorHAnsi"/>
        </w:rPr>
        <w:t xml:space="preserve"> </w:t>
      </w:r>
    </w:p>
    <w:p w14:paraId="565DC2E1" w14:textId="70C8960B" w:rsidR="00D7283B" w:rsidRPr="000F6450" w:rsidRDefault="006C2FCC" w:rsidP="008D71F1">
      <w:pPr>
        <w:rPr>
          <w:rFonts w:asciiTheme="minorHAnsi" w:hAnsiTheme="minorHAnsi"/>
        </w:rPr>
      </w:pPr>
      <w:r>
        <w:rPr>
          <w:rFonts w:asciiTheme="minorHAnsi" w:hAnsiTheme="minorHAnsi"/>
        </w:rPr>
        <w:t>Site selection</w:t>
      </w:r>
      <w:r w:rsidR="008D71F1" w:rsidRPr="00C366F6">
        <w:rPr>
          <w:rFonts w:asciiTheme="minorHAnsi" w:hAnsiTheme="minorHAnsi"/>
        </w:rPr>
        <w:t xml:space="preserve"> </w:t>
      </w:r>
      <w:r w:rsidR="008D71F1">
        <w:rPr>
          <w:rFonts w:asciiTheme="minorHAnsi" w:hAnsiTheme="minorHAnsi"/>
        </w:rPr>
        <w:t>is</w:t>
      </w:r>
      <w:r w:rsidR="008D71F1" w:rsidRPr="00C366F6">
        <w:rPr>
          <w:rFonts w:asciiTheme="minorHAnsi" w:hAnsiTheme="minorHAnsi"/>
        </w:rPr>
        <w:t xml:space="preserve"> based on </w:t>
      </w:r>
      <w:r w:rsidR="008D71F1">
        <w:rPr>
          <w:rFonts w:asciiTheme="minorHAnsi" w:hAnsiTheme="minorHAnsi"/>
        </w:rPr>
        <w:t>r</w:t>
      </w:r>
      <w:r w:rsidR="008D71F1" w:rsidRPr="00DB1031">
        <w:rPr>
          <w:rFonts w:asciiTheme="minorHAnsi" w:hAnsiTheme="minorHAnsi"/>
        </w:rPr>
        <w:t xml:space="preserve">isk </w:t>
      </w:r>
      <w:r w:rsidR="008D71F1">
        <w:rPr>
          <w:rFonts w:asciiTheme="minorHAnsi" w:hAnsiTheme="minorHAnsi"/>
        </w:rPr>
        <w:t>a</w:t>
      </w:r>
      <w:r w:rsidR="008D71F1" w:rsidRPr="00DB1031">
        <w:rPr>
          <w:rFonts w:asciiTheme="minorHAnsi" w:hAnsiTheme="minorHAnsi"/>
        </w:rPr>
        <w:t xml:space="preserve">ssessment proposed by the National Health and Medical Research Council (NHMRC) in </w:t>
      </w:r>
      <w:hyperlink r:id="rId21" w:history="1">
        <w:r w:rsidR="008D71F1" w:rsidRPr="00FD62B6">
          <w:rPr>
            <w:rStyle w:val="Hyperlink"/>
            <w:rFonts w:asciiTheme="minorHAnsi" w:hAnsiTheme="minorHAnsi"/>
          </w:rPr>
          <w:t>Risk-based Management and Monitoring of Clinical Trials Involving Therapeutic Goods</w:t>
        </w:r>
      </w:hyperlink>
      <w:r w:rsidR="00C53AD4">
        <w:rPr>
          <w:rStyle w:val="Hyperlink"/>
          <w:rFonts w:asciiTheme="minorHAnsi" w:hAnsiTheme="minorHAnsi"/>
        </w:rPr>
        <w:t>.</w:t>
      </w:r>
      <w:r w:rsidR="000F6450">
        <w:rPr>
          <w:rFonts w:asciiTheme="minorHAnsi" w:hAnsiTheme="minorHAnsi"/>
        </w:rPr>
        <w:t xml:space="preserve"> </w:t>
      </w:r>
    </w:p>
    <w:p w14:paraId="3927B622" w14:textId="1C0E3238" w:rsidR="008D71F1" w:rsidRPr="00C366F6" w:rsidRDefault="008D71F1" w:rsidP="008D71F1">
      <w:pPr>
        <w:rPr>
          <w:rFonts w:asciiTheme="minorHAnsi" w:hAnsiTheme="minorHAnsi"/>
        </w:rPr>
      </w:pPr>
      <w:r w:rsidRPr="00FF5970">
        <w:rPr>
          <w:rFonts w:asciiTheme="minorHAnsi" w:hAnsiTheme="minorHAnsi"/>
        </w:rPr>
        <w:t xml:space="preserve">The </w:t>
      </w:r>
      <w:r w:rsidRPr="00C366F6">
        <w:rPr>
          <w:rFonts w:asciiTheme="minorHAnsi" w:hAnsiTheme="minorHAnsi"/>
        </w:rPr>
        <w:t xml:space="preserve">risk criteria </w:t>
      </w:r>
      <w:r>
        <w:rPr>
          <w:rFonts w:asciiTheme="minorHAnsi" w:hAnsiTheme="minorHAnsi"/>
        </w:rPr>
        <w:t>fall</w:t>
      </w:r>
      <w:r w:rsidRPr="00FF5970">
        <w:rPr>
          <w:rFonts w:asciiTheme="minorHAnsi" w:hAnsiTheme="minorHAnsi"/>
        </w:rPr>
        <w:t xml:space="preserve"> into </w:t>
      </w:r>
      <w:r>
        <w:rPr>
          <w:rFonts w:asciiTheme="minorHAnsi" w:hAnsiTheme="minorHAnsi"/>
        </w:rPr>
        <w:t>2</w:t>
      </w:r>
      <w:r w:rsidRPr="00C366F6">
        <w:rPr>
          <w:rFonts w:asciiTheme="minorHAnsi" w:hAnsiTheme="minorHAnsi"/>
        </w:rPr>
        <w:t xml:space="preserve"> categories: </w:t>
      </w:r>
    </w:p>
    <w:p w14:paraId="4383100A" w14:textId="700E98AD" w:rsidR="008D71F1" w:rsidRPr="00C366F6" w:rsidRDefault="009F178C">
      <w:pPr>
        <w:pStyle w:val="ListBullet"/>
      </w:pPr>
      <w:r>
        <w:t>i</w:t>
      </w:r>
      <w:r w:rsidR="008D71F1" w:rsidRPr="00C366F6">
        <w:t>nvestigational product</w:t>
      </w:r>
      <w:r w:rsidR="00E421FC">
        <w:t xml:space="preserve"> </w:t>
      </w:r>
      <w:r w:rsidR="00C41925">
        <w:t>(medicine, biological, device)</w:t>
      </w:r>
    </w:p>
    <w:p w14:paraId="160B39BC" w14:textId="77777777" w:rsidR="008D71F1" w:rsidRPr="00C366F6" w:rsidRDefault="008D71F1">
      <w:pPr>
        <w:pStyle w:val="ListBullet"/>
      </w:pPr>
      <w:r w:rsidRPr="00C366F6">
        <w:t>trial conduct, design, and methods.</w:t>
      </w:r>
    </w:p>
    <w:p w14:paraId="47B29C91" w14:textId="77777777" w:rsidR="008D71F1" w:rsidRPr="00C366F6" w:rsidDel="004F4C23" w:rsidRDefault="008D71F1" w:rsidP="008D71F1">
      <w:pPr>
        <w:rPr>
          <w:rFonts w:asciiTheme="minorHAnsi" w:hAnsiTheme="minorHAnsi"/>
        </w:rPr>
      </w:pPr>
      <w:r w:rsidRPr="005D1CC4">
        <w:rPr>
          <w:rFonts w:asciiTheme="minorHAnsi" w:hAnsiTheme="minorHAnsi"/>
        </w:rPr>
        <w:t xml:space="preserve">In addition, we </w:t>
      </w:r>
      <w:r w:rsidRPr="00C366F6">
        <w:rPr>
          <w:rFonts w:asciiTheme="minorHAnsi" w:hAnsiTheme="minorHAnsi"/>
        </w:rPr>
        <w:t>will</w:t>
      </w:r>
      <w:r w:rsidRPr="005D1CC4">
        <w:rPr>
          <w:rFonts w:asciiTheme="minorHAnsi" w:hAnsiTheme="minorHAnsi"/>
        </w:rPr>
        <w:t xml:space="preserve"> consider other elements</w:t>
      </w:r>
      <w:r w:rsidRPr="00C366F6" w:rsidDel="004F4C23">
        <w:rPr>
          <w:rFonts w:asciiTheme="minorHAnsi" w:hAnsiTheme="minorHAnsi"/>
        </w:rPr>
        <w:t>, including but not limited to the following:</w:t>
      </w:r>
    </w:p>
    <w:p w14:paraId="2A2D3427" w14:textId="1B9E6774" w:rsidR="008D71F1" w:rsidRPr="00C366F6" w:rsidDel="004F4C23" w:rsidRDefault="008D71F1">
      <w:pPr>
        <w:pStyle w:val="ListBullet"/>
      </w:pPr>
      <w:r w:rsidRPr="00C366F6" w:rsidDel="004F4C23">
        <w:t xml:space="preserve">type of site </w:t>
      </w:r>
      <w:proofErr w:type="gramStart"/>
      <w:r w:rsidR="00C33684" w:rsidRPr="00C366F6" w:rsidDel="004F4C23">
        <w:t>i.e.</w:t>
      </w:r>
      <w:proofErr w:type="gramEnd"/>
      <w:r w:rsidRPr="00C366F6" w:rsidDel="004F4C23">
        <w:t xml:space="preserve"> located at large institution vs. small clinic</w:t>
      </w:r>
    </w:p>
    <w:p w14:paraId="23368EF7" w14:textId="42ACCD16" w:rsidR="008D71F1" w:rsidRPr="00C366F6" w:rsidDel="004F4C23" w:rsidRDefault="008D71F1">
      <w:pPr>
        <w:pStyle w:val="ListBullet"/>
      </w:pPr>
      <w:r w:rsidRPr="00C366F6" w:rsidDel="004F4C23">
        <w:t>geographic location</w:t>
      </w:r>
      <w:r w:rsidR="00133764">
        <w:t xml:space="preserve"> </w:t>
      </w:r>
      <w:proofErr w:type="gramStart"/>
      <w:r w:rsidR="00C33684">
        <w:t>i.e.</w:t>
      </w:r>
      <w:proofErr w:type="gramEnd"/>
      <w:r w:rsidR="00133764">
        <w:t xml:space="preserve"> sites are selected from all over Australia including regional and metropolitan areas </w:t>
      </w:r>
    </w:p>
    <w:p w14:paraId="7F17688D" w14:textId="77777777" w:rsidR="008D71F1" w:rsidRPr="00C366F6" w:rsidDel="004F4C23" w:rsidRDefault="008D71F1">
      <w:pPr>
        <w:pStyle w:val="ListBullet"/>
      </w:pPr>
      <w:r w:rsidRPr="00C366F6" w:rsidDel="004F4C23">
        <w:t xml:space="preserve">number of </w:t>
      </w:r>
      <w:r w:rsidRPr="005D1CC4">
        <w:t>participants screened, enrolled</w:t>
      </w:r>
      <w:r>
        <w:t>,</w:t>
      </w:r>
      <w:r w:rsidRPr="005D1CC4">
        <w:t xml:space="preserve"> and withdrawn for the trial</w:t>
      </w:r>
      <w:r>
        <w:t>s</w:t>
      </w:r>
      <w:r w:rsidRPr="005D1CC4">
        <w:t xml:space="preserve"> </w:t>
      </w:r>
      <w:r w:rsidRPr="00C366F6" w:rsidDel="004F4C23">
        <w:t>at the site</w:t>
      </w:r>
    </w:p>
    <w:p w14:paraId="2D16EB54" w14:textId="77777777" w:rsidR="00124ACB" w:rsidRDefault="008D71F1" w:rsidP="00474777">
      <w:pPr>
        <w:pStyle w:val="ListBullet"/>
        <w:rPr>
          <w:rFonts w:asciiTheme="minorHAnsi" w:hAnsiTheme="minorHAnsi"/>
        </w:rPr>
      </w:pPr>
      <w:r w:rsidRPr="00E1481D">
        <w:t xml:space="preserve">compliance history of the investigator sites and sponsor, including </w:t>
      </w:r>
      <w:r w:rsidRPr="00120E59">
        <w:t xml:space="preserve">findings </w:t>
      </w:r>
      <w:r>
        <w:t xml:space="preserve">from </w:t>
      </w:r>
      <w:r w:rsidRPr="00E1481D">
        <w:t>previous GCP inspection</w:t>
      </w:r>
      <w:r>
        <w:t>s of</w:t>
      </w:r>
      <w:r w:rsidRPr="00E1481D">
        <w:t xml:space="preserve"> investigator sites</w:t>
      </w:r>
      <w:r>
        <w:t>.</w:t>
      </w:r>
      <w:r w:rsidR="00124ACB" w:rsidRPr="00124ACB">
        <w:rPr>
          <w:rFonts w:asciiTheme="minorHAnsi" w:hAnsiTheme="minorHAnsi"/>
        </w:rPr>
        <w:t xml:space="preserve"> </w:t>
      </w:r>
    </w:p>
    <w:p w14:paraId="1312D6DD" w14:textId="6E9389B6" w:rsidR="00124ACB" w:rsidRPr="00C366F6" w:rsidRDefault="00124ACB" w:rsidP="00124ACB">
      <w:pPr>
        <w:rPr>
          <w:rFonts w:asciiTheme="minorHAnsi" w:hAnsiTheme="minorHAnsi"/>
        </w:rPr>
      </w:pPr>
      <w:r>
        <w:rPr>
          <w:rFonts w:asciiTheme="minorHAnsi" w:hAnsiTheme="minorHAnsi"/>
        </w:rPr>
        <w:t>We</w:t>
      </w:r>
      <w:r w:rsidRPr="00A8714B">
        <w:rPr>
          <w:rFonts w:asciiTheme="minorHAnsi" w:hAnsiTheme="minorHAnsi"/>
        </w:rPr>
        <w:t xml:space="preserve"> will not inspect every </w:t>
      </w:r>
      <w:r>
        <w:rPr>
          <w:rFonts w:asciiTheme="minorHAnsi" w:hAnsiTheme="minorHAnsi"/>
        </w:rPr>
        <w:t>CTN</w:t>
      </w:r>
      <w:r w:rsidRPr="00DE4C83">
        <w:rPr>
          <w:rFonts w:asciiTheme="minorHAnsi" w:hAnsiTheme="minorHAnsi"/>
        </w:rPr>
        <w:t xml:space="preserve"> or </w:t>
      </w:r>
      <w:r>
        <w:rPr>
          <w:rFonts w:asciiTheme="minorHAnsi" w:hAnsiTheme="minorHAnsi"/>
        </w:rPr>
        <w:t xml:space="preserve">CTA trial. Our GCP inspection procedures </w:t>
      </w:r>
      <w:r w:rsidRPr="00803EF5">
        <w:rPr>
          <w:rFonts w:asciiTheme="minorHAnsi" w:hAnsiTheme="minorHAnsi"/>
        </w:rPr>
        <w:t>have been modelled on those published by the European Medicines Agency (EMA).</w:t>
      </w:r>
      <w:r>
        <w:rPr>
          <w:rFonts w:asciiTheme="minorHAnsi" w:hAnsiTheme="minorHAnsi"/>
        </w:rPr>
        <w:t xml:space="preserve"> </w:t>
      </w:r>
      <w:r w:rsidRPr="00C366F6">
        <w:rPr>
          <w:rFonts w:asciiTheme="minorHAnsi" w:hAnsiTheme="minorHAnsi"/>
        </w:rPr>
        <w:t xml:space="preserve">Most international regulators </w:t>
      </w:r>
      <w:r>
        <w:rPr>
          <w:rFonts w:asciiTheme="minorHAnsi" w:hAnsiTheme="minorHAnsi"/>
        </w:rPr>
        <w:t>choose</w:t>
      </w:r>
      <w:r w:rsidRPr="00C366F6">
        <w:rPr>
          <w:rFonts w:asciiTheme="minorHAnsi" w:hAnsiTheme="minorHAnsi"/>
        </w:rPr>
        <w:t xml:space="preserve"> a small percentage</w:t>
      </w:r>
      <w:r>
        <w:rPr>
          <w:rFonts w:asciiTheme="minorHAnsi" w:hAnsiTheme="minorHAnsi"/>
        </w:rPr>
        <w:t xml:space="preserve">, </w:t>
      </w:r>
      <w:r w:rsidRPr="00C366F6">
        <w:rPr>
          <w:rFonts w:asciiTheme="minorHAnsi" w:hAnsiTheme="minorHAnsi"/>
        </w:rPr>
        <w:t>between 1 and 3%</w:t>
      </w:r>
      <w:r>
        <w:rPr>
          <w:rFonts w:asciiTheme="minorHAnsi" w:hAnsiTheme="minorHAnsi"/>
        </w:rPr>
        <w:t>,</w:t>
      </w:r>
      <w:r w:rsidRPr="00C366F6">
        <w:rPr>
          <w:rFonts w:asciiTheme="minorHAnsi" w:hAnsiTheme="minorHAnsi"/>
        </w:rPr>
        <w:t xml:space="preserve"> of regulated clinical trials for inspection each year</w:t>
      </w:r>
      <w:r>
        <w:rPr>
          <w:rFonts w:asciiTheme="minorHAnsi" w:hAnsiTheme="minorHAnsi"/>
        </w:rPr>
        <w:t>.</w:t>
      </w:r>
      <w:r w:rsidRPr="00C366F6">
        <w:rPr>
          <w:rFonts w:asciiTheme="minorHAnsi" w:hAnsiTheme="minorHAnsi"/>
        </w:rPr>
        <w:t xml:space="preserve"> </w:t>
      </w:r>
    </w:p>
    <w:p w14:paraId="053B6CAC" w14:textId="54C98F63" w:rsidR="007606A4" w:rsidRDefault="007606A4" w:rsidP="00474777">
      <w:pPr>
        <w:pStyle w:val="ListBullet"/>
        <w:numPr>
          <w:ilvl w:val="0"/>
          <w:numId w:val="0"/>
        </w:numPr>
        <w:ind w:left="360"/>
      </w:pPr>
    </w:p>
    <w:p w14:paraId="060632B1" w14:textId="12C1FA47" w:rsidR="007606A4" w:rsidRDefault="007606A4" w:rsidP="008C2251">
      <w:pPr>
        <w:pStyle w:val="Heading3"/>
      </w:pPr>
      <w:bookmarkStart w:id="28" w:name="_Toc166488042"/>
      <w:r>
        <w:lastRenderedPageBreak/>
        <w:t>Inspection announcement</w:t>
      </w:r>
      <w:bookmarkEnd w:id="28"/>
      <w:r>
        <w:t xml:space="preserve"> </w:t>
      </w:r>
    </w:p>
    <w:p w14:paraId="4A3192C1" w14:textId="4E6CC6E9" w:rsidR="007606A4" w:rsidRDefault="007606A4" w:rsidP="007606A4">
      <w:r>
        <w:t>We will issue the inspection notification announcement to the PI or a representative of the site to be inspected. We will:</w:t>
      </w:r>
    </w:p>
    <w:p w14:paraId="6AD7BFEA" w14:textId="1C01838D" w:rsidR="007606A4" w:rsidRDefault="007606A4" w:rsidP="007606A4">
      <w:r>
        <w:t>•</w:t>
      </w:r>
      <w:r>
        <w:tab/>
        <w:t>request confirmation of the site PI’s availability</w:t>
      </w:r>
    </w:p>
    <w:p w14:paraId="71EA70FC" w14:textId="77777777" w:rsidR="007606A4" w:rsidRDefault="007606A4" w:rsidP="007606A4">
      <w:r>
        <w:t>•</w:t>
      </w:r>
      <w:r>
        <w:tab/>
        <w:t>ask for the cooperation of all parties</w:t>
      </w:r>
    </w:p>
    <w:p w14:paraId="49FD72DA" w14:textId="77777777" w:rsidR="007606A4" w:rsidRDefault="007606A4" w:rsidP="007606A4">
      <w:r>
        <w:t>•</w:t>
      </w:r>
      <w:r>
        <w:tab/>
        <w:t xml:space="preserve">confirm in writing that the PI agrees to the inspection of all relevant sites </w:t>
      </w:r>
    </w:p>
    <w:p w14:paraId="1B2BE00D" w14:textId="77777777" w:rsidR="007606A4" w:rsidRDefault="007606A4" w:rsidP="007606A4">
      <w:r>
        <w:t>•</w:t>
      </w:r>
      <w:r>
        <w:tab/>
        <w:t xml:space="preserve">ask you to make all required documents and databases directly accessible to our inspectors. </w:t>
      </w:r>
    </w:p>
    <w:p w14:paraId="7D3F17CE" w14:textId="77777777" w:rsidR="007606A4" w:rsidRDefault="007606A4" w:rsidP="007606A4">
      <w:r>
        <w:t xml:space="preserve">We will normally give you advance notice of our intention to conduct a GCP inspection. However, we have the right to perform a GCP inspection at any time. In exceptional circumstances, we can perform an inspection without notice. </w:t>
      </w:r>
    </w:p>
    <w:p w14:paraId="788125CE" w14:textId="497AD5DA" w:rsidR="007606A4" w:rsidRDefault="007606A4" w:rsidP="007606A4">
      <w:r>
        <w:t>The time between the inspection announcement and the start of the inspection period of notice served should be sufficient for you to make logistic arrangements</w:t>
      </w:r>
      <w:r w:rsidR="003F7D81">
        <w:t xml:space="preserve">. You should </w:t>
      </w:r>
      <w:r>
        <w:t>ensure key personnel are available that have access to relevant data. As a guide, we consider four</w:t>
      </w:r>
      <w:r w:rsidR="00124ACB">
        <w:t xml:space="preserve"> </w:t>
      </w:r>
      <w:r>
        <w:t>weeks’ notice to be sufficient for a routine inspection.</w:t>
      </w:r>
    </w:p>
    <w:p w14:paraId="0D94464D" w14:textId="4953B015" w:rsidR="007606A4" w:rsidRDefault="007606A4" w:rsidP="007606A4">
      <w:r>
        <w:t>Notice of the inspection would include:</w:t>
      </w:r>
    </w:p>
    <w:p w14:paraId="0C59B232" w14:textId="01207B9B" w:rsidR="007606A4" w:rsidRDefault="007606A4" w:rsidP="007606A4">
      <w:r>
        <w:t>•</w:t>
      </w:r>
      <w:r>
        <w:tab/>
        <w:t>the GCP inspector’s name(s)</w:t>
      </w:r>
    </w:p>
    <w:p w14:paraId="6815E0CF" w14:textId="77777777" w:rsidR="007606A4" w:rsidRDefault="007606A4" w:rsidP="007606A4">
      <w:r>
        <w:t>•</w:t>
      </w:r>
      <w:r>
        <w:tab/>
        <w:t>the inspection’s objectives and nature</w:t>
      </w:r>
    </w:p>
    <w:p w14:paraId="2A5E4B54" w14:textId="702AAA54" w:rsidR="007606A4" w:rsidRDefault="007606A4" w:rsidP="007606A4">
      <w:r>
        <w:t>•</w:t>
      </w:r>
      <w:r>
        <w:tab/>
        <w:t>the inspection date</w:t>
      </w:r>
      <w:r w:rsidR="00124ACB">
        <w:t>s</w:t>
      </w:r>
      <w:r>
        <w:t xml:space="preserve"> </w:t>
      </w:r>
    </w:p>
    <w:p w14:paraId="7E7C9F17" w14:textId="77777777" w:rsidR="007606A4" w:rsidRDefault="007606A4" w:rsidP="007606A4">
      <w:r>
        <w:t>•</w:t>
      </w:r>
      <w:r>
        <w:tab/>
        <w:t xml:space="preserve">the address(es) to be inspected. </w:t>
      </w:r>
    </w:p>
    <w:p w14:paraId="29D5CAC2" w14:textId="0DF043CC" w:rsidR="007606A4" w:rsidRPr="007606A4" w:rsidRDefault="007606A4" w:rsidP="007606A4">
      <w:r>
        <w:t>We may also request information about the clinical trial so we can plan the inspection.</w:t>
      </w:r>
    </w:p>
    <w:p w14:paraId="01A97CDA" w14:textId="4A04F95C" w:rsidR="00AD7E61" w:rsidRDefault="00AD7E61" w:rsidP="00DA3702">
      <w:pPr>
        <w:pStyle w:val="Heading2"/>
      </w:pPr>
      <w:bookmarkStart w:id="29" w:name="_Toc166488043"/>
      <w:r>
        <w:t>Pre-inspection</w:t>
      </w:r>
      <w:bookmarkEnd w:id="29"/>
    </w:p>
    <w:p w14:paraId="06918E41" w14:textId="59626DFB" w:rsidR="00AD7E61" w:rsidRDefault="00AD7E61" w:rsidP="00AD7E61">
      <w:r>
        <w:t xml:space="preserve">We will invite you to attend a remote pre-inspection meeting to introduce the inspection team, including </w:t>
      </w:r>
      <w:r w:rsidR="00CD77B5">
        <w:t xml:space="preserve">our </w:t>
      </w:r>
      <w:r>
        <w:t xml:space="preserve">observer(s) if any. </w:t>
      </w:r>
    </w:p>
    <w:p w14:paraId="31C24C40" w14:textId="06D077D3" w:rsidR="00AD7E61" w:rsidRDefault="00AD7E61" w:rsidP="00AD7E61">
      <w:r w:rsidRPr="00C366F6">
        <w:t>We may also request trial-related documents including, but not limited to</w:t>
      </w:r>
      <w:r>
        <w:t>:</w:t>
      </w:r>
    </w:p>
    <w:p w14:paraId="05F3F318" w14:textId="73C96E64" w:rsidR="00AD7E61" w:rsidRDefault="00AD7E61" w:rsidP="00AD7E61">
      <w:pPr>
        <w:pStyle w:val="ListBullet"/>
      </w:pPr>
      <w:r w:rsidRPr="00C366F6">
        <w:t>copies of the clinical trial protocol</w:t>
      </w:r>
    </w:p>
    <w:p w14:paraId="7AC189E6" w14:textId="77777777" w:rsidR="00AD7E61" w:rsidRDefault="00AD7E61" w:rsidP="00AD7E61">
      <w:pPr>
        <w:pStyle w:val="ListBullet"/>
      </w:pPr>
      <w:r w:rsidRPr="00C366F6">
        <w:t>investigator’s brochure</w:t>
      </w:r>
    </w:p>
    <w:p w14:paraId="6DD446DF" w14:textId="77777777" w:rsidR="00AD7E61" w:rsidRDefault="00AD7E61" w:rsidP="00AD7E61">
      <w:pPr>
        <w:pStyle w:val="ListBullet"/>
      </w:pPr>
      <w:r w:rsidRPr="00C366F6">
        <w:t xml:space="preserve">monitoring </w:t>
      </w:r>
      <w:r>
        <w:t>letters</w:t>
      </w:r>
    </w:p>
    <w:p w14:paraId="03AFBED8" w14:textId="77777777" w:rsidR="00AD7E61" w:rsidRDefault="00AD7E61" w:rsidP="00AD7E61">
      <w:pPr>
        <w:pStyle w:val="ListBullet"/>
      </w:pPr>
      <w:r w:rsidRPr="00C366F6">
        <w:t>research governance standard operating procedures</w:t>
      </w:r>
      <w:r>
        <w:t xml:space="preserve"> (</w:t>
      </w:r>
      <w:r w:rsidRPr="00120E59">
        <w:t>SOPs</w:t>
      </w:r>
      <w:r w:rsidRPr="00C366F6">
        <w:t>)</w:t>
      </w:r>
    </w:p>
    <w:p w14:paraId="36889CB3" w14:textId="1CAAAC39" w:rsidR="0084123E" w:rsidRDefault="00AD7E61" w:rsidP="00AD7E61">
      <w:pPr>
        <w:pStyle w:val="ListBullet"/>
      </w:pPr>
      <w:r w:rsidRPr="00C366F6">
        <w:t xml:space="preserve">trial specific user manuals </w:t>
      </w:r>
    </w:p>
    <w:p w14:paraId="08391241" w14:textId="79F13B9B" w:rsidR="00AD7E61" w:rsidRDefault="00AD7E61" w:rsidP="00AD7E61">
      <w:pPr>
        <w:pStyle w:val="ListBullet"/>
      </w:pPr>
      <w:r w:rsidRPr="00C366F6">
        <w:t xml:space="preserve">statistical analysis plans. </w:t>
      </w:r>
    </w:p>
    <w:p w14:paraId="107DFA6B" w14:textId="77777777" w:rsidR="00AD7E61" w:rsidRDefault="00AD7E61" w:rsidP="00AD7E61">
      <w:pPr>
        <w:pStyle w:val="ListBullet"/>
        <w:numPr>
          <w:ilvl w:val="0"/>
          <w:numId w:val="0"/>
        </w:numPr>
      </w:pPr>
      <w:r w:rsidRPr="00C366F6">
        <w:t>We will give you clear advice on when and how to submit these.</w:t>
      </w:r>
    </w:p>
    <w:p w14:paraId="02E2BA20" w14:textId="3C7222B0" w:rsidR="008D71F1" w:rsidRPr="00C366F6" w:rsidRDefault="00D42F0C" w:rsidP="00DA3702">
      <w:pPr>
        <w:pStyle w:val="Heading2"/>
      </w:pPr>
      <w:bookmarkStart w:id="30" w:name="_Toc166488044"/>
      <w:r>
        <w:t>D</w:t>
      </w:r>
      <w:r w:rsidR="008755C9">
        <w:t>uring an inspection</w:t>
      </w:r>
      <w:bookmarkEnd w:id="30"/>
      <w:r w:rsidR="008755C9">
        <w:t xml:space="preserve"> </w:t>
      </w:r>
    </w:p>
    <w:p w14:paraId="00F772C0" w14:textId="3ED145DB" w:rsidR="00B46D28" w:rsidRDefault="008D71F1" w:rsidP="008D71F1">
      <w:r w:rsidRPr="00C366F6">
        <w:t xml:space="preserve">The inspection will proceed according to the details set out in the inspection plan. </w:t>
      </w:r>
      <w:r w:rsidR="006F63E4">
        <w:t>We</w:t>
      </w:r>
      <w:r w:rsidR="006F63E4" w:rsidRPr="00C366F6">
        <w:t xml:space="preserve"> </w:t>
      </w:r>
      <w:r w:rsidRPr="00C366F6">
        <w:t xml:space="preserve">will negotiate </w:t>
      </w:r>
      <w:r w:rsidR="006F63E4">
        <w:t xml:space="preserve">these details </w:t>
      </w:r>
      <w:r w:rsidR="0082018D">
        <w:t xml:space="preserve">with you </w:t>
      </w:r>
      <w:r w:rsidR="00307AFC">
        <w:t>before</w:t>
      </w:r>
      <w:r w:rsidRPr="00C366F6">
        <w:t xml:space="preserve"> the inspection</w:t>
      </w:r>
      <w:r w:rsidR="0082018D">
        <w:t>. They</w:t>
      </w:r>
      <w:r w:rsidRPr="00C366F6">
        <w:t xml:space="preserve"> can be amended during the inspection to ensure we achieve the inspection objectives. </w:t>
      </w:r>
    </w:p>
    <w:p w14:paraId="489E8328" w14:textId="4FF18E93" w:rsidR="006246F9" w:rsidRPr="00C366F6" w:rsidRDefault="008D71F1" w:rsidP="008D71F1">
      <w:r w:rsidRPr="00C366F6">
        <w:t>Any amendment to the plan will be documented. The inspection will take place over several days, typically 3 consecutive days, depending on the complexity of the trial.</w:t>
      </w:r>
      <w:r w:rsidR="00C7571C">
        <w:t xml:space="preserve"> </w:t>
      </w:r>
    </w:p>
    <w:p w14:paraId="7936C61D" w14:textId="77777777" w:rsidR="008D71F1" w:rsidRPr="00C366F6" w:rsidRDefault="008D71F1" w:rsidP="00C7571C">
      <w:pPr>
        <w:rPr>
          <w:rFonts w:asciiTheme="minorHAnsi" w:hAnsiTheme="minorHAnsi"/>
        </w:rPr>
      </w:pPr>
      <w:r w:rsidRPr="00C366F6">
        <w:rPr>
          <w:rFonts w:asciiTheme="minorHAnsi" w:hAnsiTheme="minorHAnsi"/>
        </w:rPr>
        <w:lastRenderedPageBreak/>
        <w:t>We may collect relevant information to support the inspection and verify compliance with the study protocol, the GCP guideline</w:t>
      </w:r>
      <w:r>
        <w:rPr>
          <w:rFonts w:asciiTheme="minorHAnsi" w:hAnsiTheme="minorHAnsi"/>
        </w:rPr>
        <w:t>(s)</w:t>
      </w:r>
      <w:r w:rsidRPr="00C366F6">
        <w:rPr>
          <w:rFonts w:asciiTheme="minorHAnsi" w:hAnsiTheme="minorHAnsi"/>
        </w:rPr>
        <w:t xml:space="preserve"> and the National Statement by, for example:</w:t>
      </w:r>
    </w:p>
    <w:p w14:paraId="455B39ED" w14:textId="077C74F7" w:rsidR="008D71F1" w:rsidRPr="00C366F6" w:rsidRDefault="008D71F1">
      <w:pPr>
        <w:pStyle w:val="ListBullet"/>
      </w:pPr>
      <w:r w:rsidRPr="00C366F6">
        <w:t xml:space="preserve">interviewing appropriate staff members </w:t>
      </w:r>
      <w:r w:rsidR="00DB23AD">
        <w:t>about</w:t>
      </w:r>
      <w:r w:rsidRPr="00C366F6">
        <w:t xml:space="preserve"> trial related activities</w:t>
      </w:r>
    </w:p>
    <w:p w14:paraId="57CA0872" w14:textId="77777777" w:rsidR="008D71F1" w:rsidRPr="00C366F6" w:rsidRDefault="008D71F1">
      <w:pPr>
        <w:pStyle w:val="ListBullet"/>
      </w:pPr>
      <w:r w:rsidRPr="00C366F6">
        <w:t>reviewing applicable site policies and procedures regarding research governance activities</w:t>
      </w:r>
    </w:p>
    <w:p w14:paraId="7CB2E4F6" w14:textId="5A8210D7" w:rsidR="008D71F1" w:rsidRPr="00C366F6" w:rsidRDefault="008D71F1">
      <w:pPr>
        <w:pStyle w:val="ListBullet"/>
      </w:pPr>
      <w:r w:rsidRPr="00C366F6">
        <w:t xml:space="preserve">examination or demonstration of computers, electronic systems, and databases, where required, to </w:t>
      </w:r>
      <w:r w:rsidR="003850F4">
        <w:t>access</w:t>
      </w:r>
      <w:r w:rsidR="003850F4" w:rsidRPr="00C366F6">
        <w:t xml:space="preserve"> </w:t>
      </w:r>
      <w:r w:rsidRPr="00C366F6">
        <w:t>clinical trial data</w:t>
      </w:r>
    </w:p>
    <w:p w14:paraId="7606B29E" w14:textId="77777777" w:rsidR="008D71F1" w:rsidRPr="00C366F6" w:rsidRDefault="008D71F1">
      <w:pPr>
        <w:pStyle w:val="ListBullet"/>
      </w:pPr>
      <w:r w:rsidRPr="00C366F6">
        <w:t>reviewing adverse event case documentation</w:t>
      </w:r>
    </w:p>
    <w:p w14:paraId="79FF3DF9" w14:textId="77777777" w:rsidR="008D71F1" w:rsidRPr="00C366F6" w:rsidRDefault="008D71F1">
      <w:pPr>
        <w:pStyle w:val="ListBullet"/>
      </w:pPr>
      <w:r w:rsidRPr="00C366F6">
        <w:t>reviewing internal and external communication relevant to HREC or site governance</w:t>
      </w:r>
    </w:p>
    <w:p w14:paraId="4FF96CEC" w14:textId="77777777" w:rsidR="008D71F1" w:rsidRDefault="008D71F1" w:rsidP="000E36C7">
      <w:pPr>
        <w:pStyle w:val="ListBullet"/>
      </w:pPr>
      <w:r w:rsidRPr="00C366F6">
        <w:t>reviewing staff training records in relation trial related activities.</w:t>
      </w:r>
    </w:p>
    <w:p w14:paraId="26DE6606" w14:textId="77777777" w:rsidR="008D71F1" w:rsidRPr="00C366F6" w:rsidRDefault="008D71F1" w:rsidP="008C2251">
      <w:pPr>
        <w:pStyle w:val="Heading3"/>
      </w:pPr>
      <w:bookmarkStart w:id="31" w:name="_Toc101867050"/>
      <w:bookmarkStart w:id="32" w:name="_Toc166488045"/>
      <w:r w:rsidRPr="00C366F6">
        <w:t>Opening meeting</w:t>
      </w:r>
      <w:bookmarkEnd w:id="31"/>
      <w:bookmarkEnd w:id="32"/>
    </w:p>
    <w:p w14:paraId="3CFCCB52" w14:textId="6DD51840" w:rsidR="008D71F1" w:rsidRPr="00C366F6" w:rsidRDefault="008D71F1" w:rsidP="008D71F1">
      <w:r w:rsidRPr="00C366F6">
        <w:t xml:space="preserve">Our inspection team will have an opening meeting with the study site principal investigator, other site staff, and institution and sponsor representatives by invitation before the inspection begins. </w:t>
      </w:r>
    </w:p>
    <w:p w14:paraId="4910EC25" w14:textId="77777777" w:rsidR="008D71F1" w:rsidRPr="00C366F6" w:rsidRDefault="008D71F1" w:rsidP="008D71F1">
      <w:pPr>
        <w:rPr>
          <w:rFonts w:asciiTheme="minorHAnsi" w:hAnsiTheme="minorHAnsi"/>
        </w:rPr>
      </w:pPr>
      <w:r w:rsidRPr="00C366F6">
        <w:rPr>
          <w:rFonts w:asciiTheme="minorHAnsi" w:hAnsiTheme="minorHAnsi"/>
        </w:rPr>
        <w:t>The purpose of the opening meeting is to:</w:t>
      </w:r>
    </w:p>
    <w:p w14:paraId="29401BBD" w14:textId="77777777" w:rsidR="008D71F1" w:rsidRPr="00C366F6" w:rsidRDefault="008D71F1">
      <w:pPr>
        <w:pStyle w:val="ListBullet"/>
      </w:pPr>
      <w:r w:rsidRPr="00C366F6">
        <w:t>introduce the inspection team</w:t>
      </w:r>
    </w:p>
    <w:p w14:paraId="1B74E267" w14:textId="23103C46" w:rsidR="008D71F1" w:rsidRPr="00C366F6" w:rsidRDefault="00AD7E61">
      <w:pPr>
        <w:pStyle w:val="ListBullet"/>
      </w:pPr>
      <w:r>
        <w:t xml:space="preserve">inform about </w:t>
      </w:r>
      <w:r w:rsidR="008D71F1" w:rsidRPr="00C366F6">
        <w:t>the regulatory framework for conducting the inspection</w:t>
      </w:r>
    </w:p>
    <w:p w14:paraId="6E1E3A7E" w14:textId="2D09CDA0" w:rsidR="008D71F1" w:rsidRPr="00C366F6" w:rsidRDefault="00DB23AD">
      <w:pPr>
        <w:pStyle w:val="ListBullet"/>
      </w:pPr>
      <w:r>
        <w:t>give</w:t>
      </w:r>
      <w:r w:rsidR="008D71F1" w:rsidRPr="00C366F6">
        <w:t xml:space="preserve"> information about the inspection’s scope and objectives</w:t>
      </w:r>
    </w:p>
    <w:p w14:paraId="18B6F301" w14:textId="77777777" w:rsidR="008D71F1" w:rsidRPr="00C366F6" w:rsidRDefault="008D71F1">
      <w:pPr>
        <w:pStyle w:val="ListBullet"/>
      </w:pPr>
      <w:r w:rsidRPr="00C366F6">
        <w:t>clarify logistics, timeframes and other matters referred to in the inspection plan</w:t>
      </w:r>
    </w:p>
    <w:p w14:paraId="3D953153" w14:textId="77777777" w:rsidR="008D71F1" w:rsidRPr="00C366F6" w:rsidRDefault="008D71F1">
      <w:pPr>
        <w:pStyle w:val="ListBullet"/>
      </w:pPr>
      <w:r w:rsidRPr="00C366F6">
        <w:t>allow you to introduce your representatives attending the inspection</w:t>
      </w:r>
    </w:p>
    <w:p w14:paraId="1F920D54" w14:textId="77777777" w:rsidR="008D71F1" w:rsidRPr="00C366F6" w:rsidRDefault="008D71F1">
      <w:pPr>
        <w:pStyle w:val="ListBullet"/>
      </w:pPr>
      <w:r w:rsidRPr="00C366F6">
        <w:t>allow you to present an overview of the conduct of the trial at your site</w:t>
      </w:r>
    </w:p>
    <w:p w14:paraId="411610A1" w14:textId="69EE1206" w:rsidR="008D71F1" w:rsidRPr="00C366F6" w:rsidRDefault="008D71F1">
      <w:pPr>
        <w:pStyle w:val="ListBullet"/>
      </w:pPr>
      <w:r w:rsidRPr="00C366F6">
        <w:t xml:space="preserve">clarify with you whether there are any anticipated difficulties </w:t>
      </w:r>
      <w:r w:rsidR="00DB23AD">
        <w:t>about</w:t>
      </w:r>
      <w:r w:rsidRPr="00C366F6">
        <w:t xml:space="preserve"> the conduct of the inspection.</w:t>
      </w:r>
    </w:p>
    <w:p w14:paraId="0DC25560" w14:textId="77777777" w:rsidR="008D71F1" w:rsidRPr="00C366F6" w:rsidRDefault="008D71F1" w:rsidP="008C2251">
      <w:pPr>
        <w:pStyle w:val="Heading3"/>
      </w:pPr>
      <w:bookmarkStart w:id="33" w:name="_Toc101867052"/>
      <w:bookmarkStart w:id="34" w:name="_Toc166488046"/>
      <w:r w:rsidRPr="00C366F6">
        <w:t>Closing meeting</w:t>
      </w:r>
      <w:bookmarkEnd w:id="33"/>
      <w:bookmarkEnd w:id="34"/>
    </w:p>
    <w:p w14:paraId="7351F939" w14:textId="77777777" w:rsidR="008D71F1" w:rsidRPr="00C366F6" w:rsidRDefault="008D71F1" w:rsidP="008D71F1">
      <w:pPr>
        <w:rPr>
          <w:rFonts w:asciiTheme="minorHAnsi" w:hAnsiTheme="minorHAnsi"/>
        </w:rPr>
      </w:pPr>
      <w:r w:rsidRPr="00C366F6">
        <w:rPr>
          <w:rFonts w:asciiTheme="minorHAnsi" w:hAnsiTheme="minorHAnsi"/>
        </w:rPr>
        <w:t>At the end of the inspection, our inspectors will conduct a closing meeting with the study site principal investigator, members of the study team, and by invitation representatives of the institution and study sponsor. The purpose of the meeting is to:</w:t>
      </w:r>
    </w:p>
    <w:p w14:paraId="2AD2E623" w14:textId="77777777" w:rsidR="008D71F1" w:rsidRPr="00C366F6" w:rsidRDefault="008D71F1">
      <w:pPr>
        <w:pStyle w:val="ListBullet"/>
      </w:pPr>
      <w:r w:rsidRPr="00C366F6">
        <w:t xml:space="preserve">summarise the </w:t>
      </w:r>
      <w:r>
        <w:t xml:space="preserve">list of observations identified during the inspection </w:t>
      </w:r>
      <w:r w:rsidRPr="00C366F6">
        <w:t xml:space="preserve">to ensure you clearly understand </w:t>
      </w:r>
      <w:r>
        <w:t>them</w:t>
      </w:r>
    </w:p>
    <w:p w14:paraId="77D38BE0" w14:textId="77777777" w:rsidR="008D71F1" w:rsidRPr="00C366F6" w:rsidRDefault="008D71F1">
      <w:pPr>
        <w:pStyle w:val="ListBullet"/>
      </w:pPr>
      <w:r w:rsidRPr="00C366F6">
        <w:t>explain the procedures and timelines for distribution of our inspection report, your response, and any follow-up measures</w:t>
      </w:r>
    </w:p>
    <w:p w14:paraId="09AA154D" w14:textId="0E3558C9" w:rsidR="008D71F1" w:rsidRPr="00C366F6" w:rsidRDefault="00DB23AD">
      <w:pPr>
        <w:pStyle w:val="ListBullet"/>
      </w:pPr>
      <w:r>
        <w:t>give</w:t>
      </w:r>
      <w:r w:rsidR="008D71F1" w:rsidRPr="00C366F6">
        <w:t xml:space="preserve"> you an opportunity to correct any misconceptions and misunderstandings in the </w:t>
      </w:r>
      <w:r w:rsidR="008D71F1">
        <w:t>observations</w:t>
      </w:r>
      <w:r w:rsidR="008D71F1" w:rsidRPr="00C366F6">
        <w:t>.</w:t>
      </w:r>
    </w:p>
    <w:p w14:paraId="5CFFE770" w14:textId="40E8D55A" w:rsidR="008D71F1" w:rsidRPr="00C366F6" w:rsidRDefault="008D71F1" w:rsidP="008D71F1">
      <w:pPr>
        <w:rPr>
          <w:rFonts w:asciiTheme="minorHAnsi" w:hAnsiTheme="minorHAnsi"/>
        </w:rPr>
      </w:pPr>
      <w:r w:rsidRPr="00C366F6">
        <w:rPr>
          <w:rFonts w:asciiTheme="minorHAnsi" w:hAnsiTheme="minorHAnsi"/>
        </w:rPr>
        <w:t xml:space="preserve">If the inspection is prematurely terminated </w:t>
      </w:r>
      <w:r w:rsidR="00DB23AD">
        <w:rPr>
          <w:rFonts w:asciiTheme="minorHAnsi" w:hAnsiTheme="minorHAnsi"/>
        </w:rPr>
        <w:t>because of</w:t>
      </w:r>
      <w:r w:rsidRPr="00C366F6">
        <w:rPr>
          <w:rFonts w:asciiTheme="minorHAnsi" w:hAnsiTheme="minorHAnsi"/>
        </w:rPr>
        <w:t xml:space="preserve"> exceptional circumstances, we will document the reason for the early termination and any deviations from the inspection plan in the inspection report. </w:t>
      </w:r>
    </w:p>
    <w:p w14:paraId="605EA3EE" w14:textId="15C6ED17" w:rsidR="008D71F1" w:rsidRPr="00C366F6" w:rsidRDefault="0027569D" w:rsidP="008D71F1">
      <w:pPr>
        <w:pStyle w:val="Heading2"/>
      </w:pPr>
      <w:bookmarkStart w:id="35" w:name="_Toc166488047"/>
      <w:r>
        <w:lastRenderedPageBreak/>
        <w:t>A</w:t>
      </w:r>
      <w:r w:rsidR="008755C9">
        <w:t>fter an inspection</w:t>
      </w:r>
      <w:bookmarkEnd w:id="35"/>
      <w:r w:rsidR="008755C9">
        <w:t xml:space="preserve"> </w:t>
      </w:r>
    </w:p>
    <w:p w14:paraId="43D783B3" w14:textId="634EC9AD" w:rsidR="00203CA1" w:rsidRPr="00474777" w:rsidRDefault="00312808" w:rsidP="00203CA1">
      <w:r>
        <w:t>I</w:t>
      </w:r>
      <w:r w:rsidR="000413D2" w:rsidRPr="00C366F6">
        <w:t>nspectors will</w:t>
      </w:r>
      <w:r w:rsidR="000413D2">
        <w:t xml:space="preserve"> usually</w:t>
      </w:r>
      <w:r w:rsidR="000413D2" w:rsidRPr="00C366F6">
        <w:t xml:space="preserve"> issue the GCP inspection report and cover letter within 30 days of completing the inspection.</w:t>
      </w:r>
      <w:r w:rsidRPr="00312808">
        <w:t xml:space="preserve"> </w:t>
      </w:r>
      <w:r w:rsidRPr="00C366F6">
        <w:t>You will not be issued with a compliance certificate or any form of clearance, registration, or accreditation</w:t>
      </w:r>
      <w:r>
        <w:t xml:space="preserve">. </w:t>
      </w:r>
    </w:p>
    <w:p w14:paraId="6FA95F91" w14:textId="20E1C73E" w:rsidR="00B46D28" w:rsidRDefault="00203CA1" w:rsidP="008D71F1">
      <w:pPr>
        <w:rPr>
          <w:rFonts w:asciiTheme="minorHAnsi" w:hAnsiTheme="minorHAnsi"/>
        </w:rPr>
      </w:pPr>
      <w:r w:rsidRPr="00C366F6">
        <w:rPr>
          <w:rFonts w:asciiTheme="minorHAnsi" w:hAnsiTheme="minorHAnsi"/>
        </w:rPr>
        <w:t xml:space="preserve">We </w:t>
      </w:r>
      <w:r w:rsidR="00D955E3">
        <w:rPr>
          <w:rFonts w:asciiTheme="minorHAnsi" w:hAnsiTheme="minorHAnsi"/>
        </w:rPr>
        <w:t xml:space="preserve">will keep a </w:t>
      </w:r>
      <w:r w:rsidRPr="00C366F6">
        <w:rPr>
          <w:rFonts w:asciiTheme="minorHAnsi" w:hAnsiTheme="minorHAnsi"/>
        </w:rPr>
        <w:t xml:space="preserve">record </w:t>
      </w:r>
      <w:r w:rsidR="00D955E3">
        <w:rPr>
          <w:rFonts w:asciiTheme="minorHAnsi" w:hAnsiTheme="minorHAnsi"/>
        </w:rPr>
        <w:t xml:space="preserve">of </w:t>
      </w:r>
      <w:r w:rsidRPr="00C366F6">
        <w:rPr>
          <w:rFonts w:asciiTheme="minorHAnsi" w:hAnsiTheme="minorHAnsi"/>
        </w:rPr>
        <w:t xml:space="preserve">GCP inspection data, including inspection plans, finalised inspection reports and close-out </w:t>
      </w:r>
      <w:r w:rsidR="00EA38A8">
        <w:rPr>
          <w:rFonts w:asciiTheme="minorHAnsi" w:hAnsiTheme="minorHAnsi"/>
        </w:rPr>
        <w:t>letters</w:t>
      </w:r>
      <w:r w:rsidRPr="00C366F6">
        <w:rPr>
          <w:rFonts w:asciiTheme="minorHAnsi" w:hAnsiTheme="minorHAnsi"/>
        </w:rPr>
        <w:t xml:space="preserve">, as well as any evidence of confirmed deficiencies. We handle and store this information in a way that allows it to be accurately reported, </w:t>
      </w:r>
      <w:proofErr w:type="gramStart"/>
      <w:r w:rsidRPr="00C366F6">
        <w:rPr>
          <w:rFonts w:asciiTheme="minorHAnsi" w:hAnsiTheme="minorHAnsi"/>
        </w:rPr>
        <w:t>interpreted</w:t>
      </w:r>
      <w:proofErr w:type="gramEnd"/>
      <w:r w:rsidRPr="00C366F6">
        <w:rPr>
          <w:rFonts w:asciiTheme="minorHAnsi" w:hAnsiTheme="minorHAnsi"/>
        </w:rPr>
        <w:t xml:space="preserve"> and verified. </w:t>
      </w:r>
    </w:p>
    <w:p w14:paraId="57ED507F" w14:textId="23542F5A" w:rsidR="00203CA1" w:rsidRDefault="00203CA1" w:rsidP="008D71F1">
      <w:pPr>
        <w:rPr>
          <w:rFonts w:asciiTheme="minorHAnsi" w:hAnsiTheme="minorHAnsi"/>
        </w:rPr>
      </w:pPr>
      <w:r w:rsidRPr="00C366F6">
        <w:rPr>
          <w:rFonts w:asciiTheme="minorHAnsi" w:hAnsiTheme="minorHAnsi"/>
        </w:rPr>
        <w:t>Our records management system for documents related to GCP inspection planning and reporting ensures the documents can be retrieved, and that measures taken to investigate deviations from regulatory compliance or GCP concerns can be traced.</w:t>
      </w:r>
    </w:p>
    <w:p w14:paraId="48723C52" w14:textId="77777777" w:rsidR="002F65B1" w:rsidRPr="00C366F6" w:rsidRDefault="002F65B1" w:rsidP="008C2251">
      <w:pPr>
        <w:pStyle w:val="Heading3"/>
      </w:pPr>
      <w:bookmarkStart w:id="36" w:name="_Toc166488048"/>
      <w:r>
        <w:t>Inspection report</w:t>
      </w:r>
      <w:bookmarkEnd w:id="36"/>
      <w:r>
        <w:t xml:space="preserve"> </w:t>
      </w:r>
    </w:p>
    <w:p w14:paraId="6180FE3D" w14:textId="5FA97963" w:rsidR="002F65B1" w:rsidRDefault="002F65B1" w:rsidP="002F65B1">
      <w:r w:rsidRPr="00C366F6">
        <w:t xml:space="preserve">If </w:t>
      </w:r>
      <w:r>
        <w:t>our inspection identifies deficiencies</w:t>
      </w:r>
      <w:r w:rsidR="005108D1">
        <w:t>, the outcome</w:t>
      </w:r>
      <w:r w:rsidR="00346935">
        <w:t>s</w:t>
      </w:r>
      <w:r w:rsidR="005108D1">
        <w:t xml:space="preserve"> of the inspection may include but</w:t>
      </w:r>
      <w:r w:rsidR="00D43C18">
        <w:t xml:space="preserve"> are</w:t>
      </w:r>
      <w:r w:rsidR="005108D1">
        <w:t xml:space="preserve"> not limited to</w:t>
      </w:r>
      <w:r>
        <w:t>:</w:t>
      </w:r>
    </w:p>
    <w:p w14:paraId="2CA64BF1" w14:textId="0838B4A3" w:rsidR="002F65B1" w:rsidRDefault="002F65B1" w:rsidP="002F65B1">
      <w:pPr>
        <w:pStyle w:val="ListBullet"/>
      </w:pPr>
      <w:r>
        <w:t xml:space="preserve">we may ask you </w:t>
      </w:r>
      <w:r w:rsidRPr="00C366F6">
        <w:t xml:space="preserve">to prepare a </w:t>
      </w:r>
      <w:r w:rsidR="008C2251" w:rsidRPr="008C2251">
        <w:t xml:space="preserve">Corrective </w:t>
      </w:r>
      <w:proofErr w:type="gramStart"/>
      <w:r w:rsidR="008C2251" w:rsidRPr="008C2251">
        <w:t>And</w:t>
      </w:r>
      <w:proofErr w:type="gramEnd"/>
      <w:r w:rsidR="008C2251" w:rsidRPr="008C2251">
        <w:t xml:space="preserve"> Preventative Action </w:t>
      </w:r>
      <w:r w:rsidR="008C2251">
        <w:t>(</w:t>
      </w:r>
      <w:r w:rsidRPr="00C366F6">
        <w:t>CAPA</w:t>
      </w:r>
      <w:r w:rsidR="008C2251">
        <w:t>)</w:t>
      </w:r>
      <w:r w:rsidRPr="00C366F6">
        <w:t xml:space="preserve"> plan on the template provided with the inspection report</w:t>
      </w:r>
      <w:r>
        <w:t>;</w:t>
      </w:r>
    </w:p>
    <w:p w14:paraId="02BC37F8" w14:textId="63167137" w:rsidR="002F65B1" w:rsidRDefault="002F65B1" w:rsidP="008C2251">
      <w:pPr>
        <w:pStyle w:val="ListBullet"/>
      </w:pPr>
      <w:r>
        <w:t xml:space="preserve">enforcement action may be taken under the Therapeutic Goods legislation if required. This may include </w:t>
      </w:r>
      <w:r w:rsidR="00346935">
        <w:t xml:space="preserve">action to </w:t>
      </w:r>
      <w:r>
        <w:t>stop your trial</w:t>
      </w:r>
      <w:r w:rsidR="008C2251">
        <w:t>.</w:t>
      </w:r>
      <w:r>
        <w:t xml:space="preserve"> </w:t>
      </w:r>
    </w:p>
    <w:p w14:paraId="09BBC94A" w14:textId="77777777" w:rsidR="002F65B1" w:rsidRDefault="002F65B1" w:rsidP="002F65B1">
      <w:r>
        <w:t>If you are asked to prepare a CAPA plan, y</w:t>
      </w:r>
      <w:r w:rsidRPr="00C366F6">
        <w:t>ou should provide t</w:t>
      </w:r>
      <w:r>
        <w:t>his to the</w:t>
      </w:r>
      <w:r w:rsidRPr="00C366F6">
        <w:t xml:space="preserve"> inspectors </w:t>
      </w:r>
      <w:r>
        <w:t xml:space="preserve">within the agreed timeline, usually </w:t>
      </w:r>
      <w:r w:rsidRPr="00C366F6">
        <w:t xml:space="preserve">within 30 days of receiving the inspection report. </w:t>
      </w:r>
      <w:r>
        <w:t>When you submit the</w:t>
      </w:r>
      <w:r w:rsidRPr="00C366F6">
        <w:t xml:space="preserve"> </w:t>
      </w:r>
      <w:r>
        <w:t>CAPA plan</w:t>
      </w:r>
      <w:r w:rsidRPr="00C366F6">
        <w:t xml:space="preserve">, you </w:t>
      </w:r>
      <w:r>
        <w:t>may</w:t>
      </w:r>
      <w:r w:rsidRPr="00C366F6">
        <w:t xml:space="preserve"> also comment on any major factual errors in the inspection report</w:t>
      </w:r>
      <w:r>
        <w:t>, if any</w:t>
      </w:r>
      <w:r w:rsidRPr="00C366F6">
        <w:t xml:space="preserve">. If we do not receive </w:t>
      </w:r>
      <w:r>
        <w:t>your</w:t>
      </w:r>
      <w:r w:rsidRPr="00C366F6">
        <w:t xml:space="preserve"> response within the agreed time, this will be recorded in the</w:t>
      </w:r>
      <w:r>
        <w:t xml:space="preserve"> inspection related documentation</w:t>
      </w:r>
      <w:r w:rsidRPr="00C366F6">
        <w:t>.</w:t>
      </w:r>
    </w:p>
    <w:p w14:paraId="0425C51A" w14:textId="77777777" w:rsidR="002F65B1" w:rsidRPr="00C366F6" w:rsidRDefault="002F65B1" w:rsidP="002F65B1">
      <w:r>
        <w:t xml:space="preserve">You can request a meeting with the inspectors to discuss your CAPA plan. </w:t>
      </w:r>
      <w:r w:rsidRPr="00223163">
        <w:t xml:space="preserve">We will review the CAPA Plan and may request additional objective evidence to verify the completion of corrective actions for some deficiencies. </w:t>
      </w:r>
      <w:r>
        <w:t xml:space="preserve">We will assess </w:t>
      </w:r>
      <w:r w:rsidRPr="00C366F6">
        <w:t xml:space="preserve">the impact of any comments on the inspection findings and the </w:t>
      </w:r>
      <w:r>
        <w:t xml:space="preserve">appropriateness </w:t>
      </w:r>
      <w:r w:rsidRPr="00C366F6">
        <w:t>of the proposed CAPA and proposed time frames.</w:t>
      </w:r>
    </w:p>
    <w:p w14:paraId="380716CE" w14:textId="77777777" w:rsidR="002F65B1" w:rsidRPr="00C366F6" w:rsidRDefault="002F65B1" w:rsidP="002F65B1">
      <w:r>
        <w:t>We will document our</w:t>
      </w:r>
      <w:r w:rsidRPr="00C366F6">
        <w:t xml:space="preserve"> assessment of the CAPA </w:t>
      </w:r>
      <w:r>
        <w:t>plan</w:t>
      </w:r>
      <w:r w:rsidRPr="00C366F6">
        <w:t xml:space="preserve">. If we do not accept </w:t>
      </w:r>
      <w:r>
        <w:t xml:space="preserve">your </w:t>
      </w:r>
      <w:r w:rsidRPr="00C366F6">
        <w:t xml:space="preserve">proposed CAPA or timeframes </w:t>
      </w:r>
      <w:r>
        <w:t>for</w:t>
      </w:r>
      <w:r w:rsidRPr="00C366F6">
        <w:t xml:space="preserve"> actions, additional follow-up will occur</w:t>
      </w:r>
      <w:r>
        <w:t xml:space="preserve"> to reach an</w:t>
      </w:r>
      <w:r w:rsidRPr="00C366F6">
        <w:t xml:space="preserve"> agreement.</w:t>
      </w:r>
    </w:p>
    <w:p w14:paraId="0302B968" w14:textId="77777777" w:rsidR="002F65B1" w:rsidRPr="00C366F6" w:rsidRDefault="002F65B1" w:rsidP="002F65B1">
      <w:r w:rsidRPr="00C366F6">
        <w:t xml:space="preserve">We will close the inspection when we have agreed on an acceptable CAPA plan. </w:t>
      </w:r>
      <w:r>
        <w:t>T</w:t>
      </w:r>
      <w:r w:rsidRPr="00C366F6">
        <w:t xml:space="preserve">he lead inspector will sign the final inspection report and associated close-out </w:t>
      </w:r>
      <w:r>
        <w:t>letter</w:t>
      </w:r>
      <w:r w:rsidRPr="00C366F6">
        <w:t xml:space="preserve"> and issue these to you.</w:t>
      </w:r>
    </w:p>
    <w:p w14:paraId="6A6F12E4" w14:textId="02A0CFD6" w:rsidR="002F65B1" w:rsidRPr="00474777" w:rsidRDefault="002F65B1" w:rsidP="008D71F1">
      <w:r w:rsidRPr="00C366F6">
        <w:t>Our inspectors may ask you for ongoing evidence of completion or updates on your CAPA activities.</w:t>
      </w:r>
      <w:r>
        <w:t xml:space="preserve"> This evidence is required to be filed at your site. This evidence may be reviewed by the inspectors during another inspection at your site, if applicable.</w:t>
      </w:r>
    </w:p>
    <w:p w14:paraId="2C9E7CCE" w14:textId="77777777" w:rsidR="00DA3702" w:rsidRDefault="00DA3702" w:rsidP="00DA3702">
      <w:pPr>
        <w:pStyle w:val="Heading2"/>
      </w:pPr>
      <w:bookmarkStart w:id="37" w:name="_Toc166488049"/>
      <w:r w:rsidRPr="00C366F6">
        <w:t xml:space="preserve">Grading </w:t>
      </w:r>
      <w:r>
        <w:t>of inspection findings</w:t>
      </w:r>
      <w:bookmarkEnd w:id="37"/>
    </w:p>
    <w:p w14:paraId="26F7CE13" w14:textId="29A58680" w:rsidR="006A1FF3" w:rsidRDefault="006A1FF3" w:rsidP="006A1FF3">
      <w:r>
        <w:t xml:space="preserve">Deficiencies are classified by the assessed risk level and may vary depending on the nature of the investigational product. </w:t>
      </w:r>
    </w:p>
    <w:p w14:paraId="7A3D6F70" w14:textId="77777777" w:rsidR="00B46D28" w:rsidRDefault="006A1FF3">
      <w:r>
        <w:t xml:space="preserve">Deficiencies found during the inspections are graded at </w:t>
      </w:r>
      <w:r w:rsidR="00312808">
        <w:t>three</w:t>
      </w:r>
      <w:r>
        <w:t xml:space="preserve"> levels (critical, major, minor)</w:t>
      </w:r>
      <w:r w:rsidR="00223163">
        <w:t xml:space="preserve">. </w:t>
      </w:r>
      <w:r w:rsidR="00223163" w:rsidRPr="00223163">
        <w:t xml:space="preserve">A deficiency recorded for one of the five main categories may be comprised of </w:t>
      </w:r>
      <w:proofErr w:type="gramStart"/>
      <w:r w:rsidR="00223163" w:rsidRPr="00223163">
        <w:t>a number of</w:t>
      </w:r>
      <w:proofErr w:type="gramEnd"/>
      <w:r w:rsidR="00223163" w:rsidRPr="00223163">
        <w:t xml:space="preserve"> minor, major and critical findings. </w:t>
      </w:r>
    </w:p>
    <w:p w14:paraId="7D81E172" w14:textId="77777777" w:rsidR="00E77189" w:rsidRDefault="00223163" w:rsidP="00640E7D">
      <w:r w:rsidRPr="00223163">
        <w:t xml:space="preserve">The grading recorded for the main category deficiency is set to the highest-level finding. </w:t>
      </w:r>
    </w:p>
    <w:p w14:paraId="118014E8" w14:textId="7956828A" w:rsidR="006A1FF3" w:rsidRPr="006A1FF3" w:rsidRDefault="00223163" w:rsidP="00640E7D">
      <w:r w:rsidRPr="00223163">
        <w:t xml:space="preserve">The inspection report may include </w:t>
      </w:r>
      <w:r w:rsidR="00E51E2D">
        <w:t xml:space="preserve">comments on </w:t>
      </w:r>
      <w:r w:rsidRPr="00223163">
        <w:t>observations</w:t>
      </w:r>
      <w:r w:rsidR="007811AA">
        <w:t>. These comments</w:t>
      </w:r>
      <w:r w:rsidRPr="00223163">
        <w:t xml:space="preserve"> might lead to suggestions on how to improve quality or reduce the potential for a deviation to occur in the future.</w:t>
      </w:r>
    </w:p>
    <w:p w14:paraId="4433223F" w14:textId="77777777" w:rsidR="00DA3702" w:rsidRPr="00C366F6" w:rsidRDefault="00DA3702" w:rsidP="008C2251">
      <w:pPr>
        <w:pStyle w:val="Heading3"/>
      </w:pPr>
      <w:bookmarkStart w:id="38" w:name="_Toc166488050"/>
      <w:r w:rsidRPr="00C366F6">
        <w:lastRenderedPageBreak/>
        <w:t>Critical deficiency</w:t>
      </w:r>
      <w:bookmarkEnd w:id="38"/>
    </w:p>
    <w:p w14:paraId="068027B2" w14:textId="3677378F" w:rsidR="002F65B1" w:rsidRDefault="00DA3702" w:rsidP="00DA3702">
      <w:pPr>
        <w:rPr>
          <w:rFonts w:asciiTheme="minorHAnsi" w:hAnsiTheme="minorHAnsi"/>
        </w:rPr>
      </w:pPr>
      <w:r w:rsidRPr="00C366F6">
        <w:rPr>
          <w:rFonts w:asciiTheme="minorHAnsi" w:hAnsiTheme="minorHAnsi"/>
        </w:rPr>
        <w:t xml:space="preserve">A </w:t>
      </w:r>
      <w:r w:rsidR="002F65B1">
        <w:rPr>
          <w:rFonts w:asciiTheme="minorHAnsi" w:hAnsiTheme="minorHAnsi"/>
        </w:rPr>
        <w:t xml:space="preserve">‘critical </w:t>
      </w:r>
      <w:r w:rsidRPr="00C366F6">
        <w:rPr>
          <w:rFonts w:asciiTheme="minorHAnsi" w:hAnsiTheme="minorHAnsi"/>
        </w:rPr>
        <w:t>deficiency</w:t>
      </w:r>
      <w:r w:rsidR="002F65B1">
        <w:rPr>
          <w:rFonts w:asciiTheme="minorHAnsi" w:hAnsiTheme="minorHAnsi"/>
        </w:rPr>
        <w:t>’</w:t>
      </w:r>
      <w:r w:rsidRPr="00C366F6">
        <w:rPr>
          <w:rFonts w:asciiTheme="minorHAnsi" w:hAnsiTheme="minorHAnsi"/>
        </w:rPr>
        <w:t xml:space="preserve"> </w:t>
      </w:r>
      <w:r w:rsidR="002F65B1">
        <w:rPr>
          <w:rFonts w:asciiTheme="minorHAnsi" w:hAnsiTheme="minorHAnsi"/>
        </w:rPr>
        <w:t xml:space="preserve">is an issue </w:t>
      </w:r>
      <w:r w:rsidRPr="00C366F6">
        <w:rPr>
          <w:rFonts w:asciiTheme="minorHAnsi" w:hAnsiTheme="minorHAnsi"/>
        </w:rPr>
        <w:t xml:space="preserve">in clinical trial systems, </w:t>
      </w:r>
      <w:proofErr w:type="gramStart"/>
      <w:r w:rsidRPr="00C366F6">
        <w:rPr>
          <w:rFonts w:asciiTheme="minorHAnsi" w:hAnsiTheme="minorHAnsi"/>
        </w:rPr>
        <w:t>practices</w:t>
      </w:r>
      <w:proofErr w:type="gramEnd"/>
      <w:r w:rsidRPr="00C366F6">
        <w:rPr>
          <w:rFonts w:asciiTheme="minorHAnsi" w:hAnsiTheme="minorHAnsi"/>
        </w:rPr>
        <w:t xml:space="preserve"> or processes that</w:t>
      </w:r>
      <w:r w:rsidR="002F65B1">
        <w:rPr>
          <w:rFonts w:asciiTheme="minorHAnsi" w:hAnsiTheme="minorHAnsi"/>
        </w:rPr>
        <w:t>:</w:t>
      </w:r>
    </w:p>
    <w:p w14:paraId="627E4089" w14:textId="750609E2" w:rsidR="002F65B1" w:rsidRPr="00474777" w:rsidRDefault="00DA3702" w:rsidP="00793044">
      <w:pPr>
        <w:pStyle w:val="ListParagraph"/>
      </w:pPr>
      <w:r w:rsidRPr="00474777">
        <w:t xml:space="preserve">adversely affects the rights, </w:t>
      </w:r>
      <w:proofErr w:type="gramStart"/>
      <w:r w:rsidRPr="00474777">
        <w:t>safety</w:t>
      </w:r>
      <w:proofErr w:type="gramEnd"/>
      <w:r w:rsidRPr="00474777">
        <w:t xml:space="preserve"> or well-being of clinical trial participants</w:t>
      </w:r>
      <w:r w:rsidR="002F65B1" w:rsidRPr="00474777">
        <w:t xml:space="preserve">; </w:t>
      </w:r>
      <w:r w:rsidRPr="00474777">
        <w:t xml:space="preserve">or </w:t>
      </w:r>
    </w:p>
    <w:p w14:paraId="75798AF1" w14:textId="049438E4" w:rsidR="002F65B1" w:rsidRPr="00474777" w:rsidRDefault="002F65B1" w:rsidP="00793044">
      <w:pPr>
        <w:pStyle w:val="ListParagraph"/>
      </w:pPr>
      <w:r w:rsidRPr="00474777">
        <w:t xml:space="preserve">adversely affects </w:t>
      </w:r>
      <w:r w:rsidR="00DA3702" w:rsidRPr="00474777">
        <w:t>the quality or integrity of data</w:t>
      </w:r>
      <w:r w:rsidRPr="00474777">
        <w:t xml:space="preserve">; </w:t>
      </w:r>
      <w:r w:rsidR="00DA3702" w:rsidRPr="00474777">
        <w:t xml:space="preserve">or </w:t>
      </w:r>
    </w:p>
    <w:p w14:paraId="78B59C68" w14:textId="05CB0D0F" w:rsidR="00DA3702" w:rsidRPr="00474777" w:rsidRDefault="00DA3702" w:rsidP="00793044">
      <w:pPr>
        <w:pStyle w:val="ListParagraph"/>
      </w:pPr>
      <w:r w:rsidRPr="00474777">
        <w:t>represents a serious violation of applicable legislation and guidelines.</w:t>
      </w:r>
    </w:p>
    <w:p w14:paraId="6A3E4A99" w14:textId="77777777" w:rsidR="00DA3702" w:rsidRPr="00C366F6" w:rsidRDefault="00DA3702" w:rsidP="00DA3702">
      <w:pPr>
        <w:rPr>
          <w:rFonts w:asciiTheme="minorHAnsi" w:hAnsiTheme="minorHAnsi"/>
        </w:rPr>
      </w:pPr>
      <w:r w:rsidRPr="00C366F6">
        <w:rPr>
          <w:rFonts w:asciiTheme="minorHAnsi" w:hAnsiTheme="minorHAnsi"/>
        </w:rPr>
        <w:t>Deficiencies classified as critical may include a pattern of deviations classified as major.</w:t>
      </w:r>
    </w:p>
    <w:p w14:paraId="72C0C37E" w14:textId="77777777" w:rsidR="00DA3702" w:rsidRDefault="00DA3702" w:rsidP="00DA3702">
      <w:pPr>
        <w:rPr>
          <w:rFonts w:asciiTheme="minorHAnsi" w:hAnsiTheme="minorHAnsi"/>
        </w:rPr>
      </w:pPr>
      <w:r w:rsidRPr="00C366F6">
        <w:rPr>
          <w:rFonts w:asciiTheme="minorHAnsi" w:hAnsiTheme="minorHAnsi"/>
        </w:rPr>
        <w:t>A critical deficiency also occurs when a party is observed to have engaged in fraud, misrepresentation, or falsification of data.</w:t>
      </w:r>
    </w:p>
    <w:p w14:paraId="6DFB0935" w14:textId="0B65C2DD" w:rsidR="009128E4" w:rsidRPr="00C366F6" w:rsidRDefault="009128E4" w:rsidP="00DA3702">
      <w:pPr>
        <w:rPr>
          <w:rFonts w:asciiTheme="minorHAnsi" w:hAnsiTheme="minorHAnsi"/>
        </w:rPr>
      </w:pPr>
      <w:r>
        <w:t>In some circumstances an otherwise major deficiency may be categorised as critical. For example, a deficiency reported after a previous inspection and not corrected may be given higher classification.</w:t>
      </w:r>
    </w:p>
    <w:p w14:paraId="6818B8E6" w14:textId="77777777" w:rsidR="00DA3702" w:rsidRPr="00C366F6" w:rsidRDefault="00DA3702" w:rsidP="008C2251">
      <w:pPr>
        <w:pStyle w:val="Heading3"/>
      </w:pPr>
      <w:bookmarkStart w:id="39" w:name="_Toc166488051"/>
      <w:r w:rsidRPr="00C366F6">
        <w:t>Major deficiency</w:t>
      </w:r>
      <w:bookmarkEnd w:id="39"/>
    </w:p>
    <w:p w14:paraId="58FD7E39" w14:textId="77777777" w:rsidR="002F65B1" w:rsidRDefault="00DA3702" w:rsidP="00DA3702">
      <w:pPr>
        <w:rPr>
          <w:rFonts w:asciiTheme="minorHAnsi" w:hAnsiTheme="minorHAnsi"/>
        </w:rPr>
      </w:pPr>
      <w:r w:rsidRPr="00C366F6">
        <w:rPr>
          <w:rFonts w:asciiTheme="minorHAnsi" w:hAnsiTheme="minorHAnsi"/>
        </w:rPr>
        <w:t xml:space="preserve">A </w:t>
      </w:r>
      <w:r w:rsidR="002F65B1">
        <w:rPr>
          <w:rFonts w:asciiTheme="minorHAnsi" w:hAnsiTheme="minorHAnsi"/>
        </w:rPr>
        <w:t xml:space="preserve">‘major </w:t>
      </w:r>
      <w:r w:rsidRPr="00C366F6">
        <w:rPr>
          <w:rFonts w:asciiTheme="minorHAnsi" w:hAnsiTheme="minorHAnsi"/>
        </w:rPr>
        <w:t>deficiency</w:t>
      </w:r>
      <w:r w:rsidR="002F65B1">
        <w:rPr>
          <w:rFonts w:asciiTheme="minorHAnsi" w:hAnsiTheme="minorHAnsi"/>
        </w:rPr>
        <w:t>’ is an issue</w:t>
      </w:r>
      <w:r w:rsidRPr="00C366F6">
        <w:rPr>
          <w:rFonts w:asciiTheme="minorHAnsi" w:hAnsiTheme="minorHAnsi"/>
        </w:rPr>
        <w:t xml:space="preserve"> in clinical trial systems, </w:t>
      </w:r>
      <w:proofErr w:type="gramStart"/>
      <w:r w:rsidRPr="00C366F6">
        <w:rPr>
          <w:rFonts w:asciiTheme="minorHAnsi" w:hAnsiTheme="minorHAnsi"/>
        </w:rPr>
        <w:t>practices</w:t>
      </w:r>
      <w:proofErr w:type="gramEnd"/>
      <w:r w:rsidRPr="00C366F6">
        <w:rPr>
          <w:rFonts w:asciiTheme="minorHAnsi" w:hAnsiTheme="minorHAnsi"/>
        </w:rPr>
        <w:t xml:space="preserve"> or processes that</w:t>
      </w:r>
      <w:r w:rsidR="002F65B1">
        <w:rPr>
          <w:rFonts w:asciiTheme="minorHAnsi" w:hAnsiTheme="minorHAnsi"/>
        </w:rPr>
        <w:t>:</w:t>
      </w:r>
    </w:p>
    <w:p w14:paraId="3C6D1F90" w14:textId="4C17E6C2" w:rsidR="002F65B1" w:rsidRPr="00474777" w:rsidRDefault="00DA3702" w:rsidP="002B2EFD">
      <w:pPr>
        <w:pStyle w:val="ListBullet"/>
      </w:pPr>
      <w:r w:rsidRPr="00474777">
        <w:t xml:space="preserve">could adversely affect the rights, </w:t>
      </w:r>
      <w:proofErr w:type="gramStart"/>
      <w:r w:rsidRPr="00474777">
        <w:t>safety</w:t>
      </w:r>
      <w:proofErr w:type="gramEnd"/>
      <w:r w:rsidRPr="00474777">
        <w:t xml:space="preserve"> or well-being of clinical trial participants, </w:t>
      </w:r>
    </w:p>
    <w:p w14:paraId="6F84A2E8" w14:textId="0E29A292" w:rsidR="002F65B1" w:rsidRPr="00474777" w:rsidRDefault="002F65B1" w:rsidP="002B2EFD">
      <w:pPr>
        <w:pStyle w:val="ListBullet"/>
      </w:pPr>
      <w:r w:rsidRPr="00474777">
        <w:t xml:space="preserve">could adversely affects </w:t>
      </w:r>
      <w:r w:rsidR="00DA3702" w:rsidRPr="00474777">
        <w:t>the quality or integrity of data</w:t>
      </w:r>
      <w:r w:rsidRPr="00474777">
        <w:t xml:space="preserve">; </w:t>
      </w:r>
      <w:r w:rsidR="00DA3702" w:rsidRPr="00474777">
        <w:t>or</w:t>
      </w:r>
    </w:p>
    <w:p w14:paraId="177A40C6" w14:textId="41337E64" w:rsidR="00DA3702" w:rsidRPr="00474777" w:rsidRDefault="00DA3702" w:rsidP="002B2EFD">
      <w:pPr>
        <w:pStyle w:val="ListBullet"/>
      </w:pPr>
      <w:r w:rsidRPr="00474777">
        <w:t>represents a violation of applicable legislation and guidelines.</w:t>
      </w:r>
    </w:p>
    <w:p w14:paraId="4813B103" w14:textId="77777777" w:rsidR="00DA3702" w:rsidRPr="00C366F6" w:rsidRDefault="00DA3702" w:rsidP="00DA3702">
      <w:pPr>
        <w:rPr>
          <w:rFonts w:asciiTheme="minorHAnsi" w:hAnsiTheme="minorHAnsi"/>
        </w:rPr>
      </w:pPr>
      <w:r w:rsidRPr="00C366F6">
        <w:rPr>
          <w:rFonts w:asciiTheme="minorHAnsi" w:hAnsiTheme="minorHAnsi"/>
        </w:rPr>
        <w:t>Deficiencies classified as major may include a pattern of deviations classified as minor.</w:t>
      </w:r>
    </w:p>
    <w:p w14:paraId="367AAC10" w14:textId="77777777" w:rsidR="00DA3702" w:rsidRPr="00C366F6" w:rsidRDefault="00DA3702" w:rsidP="008C2251">
      <w:pPr>
        <w:pStyle w:val="Heading3"/>
      </w:pPr>
      <w:bookmarkStart w:id="40" w:name="_Toc166488052"/>
      <w:r w:rsidRPr="00C366F6">
        <w:t>Minor deficiency</w:t>
      </w:r>
      <w:bookmarkEnd w:id="40"/>
    </w:p>
    <w:p w14:paraId="7B0C4912" w14:textId="77777777" w:rsidR="002F65B1" w:rsidRDefault="00DA3702" w:rsidP="00DA3702">
      <w:pPr>
        <w:rPr>
          <w:rFonts w:asciiTheme="minorHAnsi" w:hAnsiTheme="minorHAnsi"/>
        </w:rPr>
      </w:pPr>
      <w:r w:rsidRPr="00C366F6">
        <w:rPr>
          <w:rFonts w:asciiTheme="minorHAnsi" w:hAnsiTheme="minorHAnsi"/>
        </w:rPr>
        <w:t xml:space="preserve">A </w:t>
      </w:r>
      <w:r w:rsidR="002F65B1">
        <w:rPr>
          <w:rFonts w:asciiTheme="minorHAnsi" w:hAnsiTheme="minorHAnsi"/>
        </w:rPr>
        <w:t xml:space="preserve">‘minor </w:t>
      </w:r>
      <w:r w:rsidRPr="00C366F6">
        <w:rPr>
          <w:rFonts w:asciiTheme="minorHAnsi" w:hAnsiTheme="minorHAnsi"/>
        </w:rPr>
        <w:t>deficiency</w:t>
      </w:r>
      <w:r w:rsidR="002F65B1">
        <w:rPr>
          <w:rFonts w:asciiTheme="minorHAnsi" w:hAnsiTheme="minorHAnsi"/>
        </w:rPr>
        <w:t>’ is an issue</w:t>
      </w:r>
      <w:r w:rsidRPr="00C366F6">
        <w:rPr>
          <w:rFonts w:asciiTheme="minorHAnsi" w:hAnsiTheme="minorHAnsi"/>
        </w:rPr>
        <w:t xml:space="preserve"> in clinical trial systems, practices or processes that would </w:t>
      </w:r>
      <w:r w:rsidRPr="00474777">
        <w:rPr>
          <w:rFonts w:asciiTheme="minorHAnsi" w:hAnsiTheme="minorHAnsi"/>
          <w:b/>
          <w:bCs/>
        </w:rPr>
        <w:t xml:space="preserve">not </w:t>
      </w:r>
      <w:r w:rsidRPr="00C366F6">
        <w:rPr>
          <w:rFonts w:asciiTheme="minorHAnsi" w:hAnsiTheme="minorHAnsi"/>
        </w:rPr>
        <w:t>be expected to adversely affect the</w:t>
      </w:r>
      <w:r w:rsidR="002F65B1">
        <w:rPr>
          <w:rFonts w:asciiTheme="minorHAnsi" w:hAnsiTheme="minorHAnsi"/>
        </w:rPr>
        <w:t>:</w:t>
      </w:r>
    </w:p>
    <w:p w14:paraId="432A78B0" w14:textId="2205E250" w:rsidR="002F65B1" w:rsidRPr="00474777" w:rsidRDefault="00DA3702" w:rsidP="002B2EFD">
      <w:pPr>
        <w:pStyle w:val="ListBullet"/>
      </w:pPr>
      <w:r w:rsidRPr="00474777">
        <w:t xml:space="preserve">rights, </w:t>
      </w:r>
      <w:proofErr w:type="gramStart"/>
      <w:r w:rsidRPr="00474777">
        <w:t>safety</w:t>
      </w:r>
      <w:proofErr w:type="gramEnd"/>
      <w:r w:rsidRPr="00474777">
        <w:t xml:space="preserve"> or well-being of clinical trial participants</w:t>
      </w:r>
      <w:r w:rsidR="002F65B1" w:rsidRPr="00474777">
        <w:t xml:space="preserve">; </w:t>
      </w:r>
      <w:r w:rsidRPr="00474777">
        <w:t xml:space="preserve">or </w:t>
      </w:r>
    </w:p>
    <w:p w14:paraId="1B27B1D7" w14:textId="0CEEE095" w:rsidR="00DA3702" w:rsidRPr="00474777" w:rsidRDefault="00DA3702" w:rsidP="002B2EFD">
      <w:pPr>
        <w:pStyle w:val="ListBullet"/>
      </w:pPr>
      <w:r w:rsidRPr="00474777">
        <w:t>quality or integrity of data.</w:t>
      </w:r>
    </w:p>
    <w:p w14:paraId="16B6284D" w14:textId="77777777" w:rsidR="008D71F1" w:rsidRPr="00C366F6" w:rsidRDefault="008D71F1" w:rsidP="00DA3702">
      <w:pPr>
        <w:pStyle w:val="Heading2"/>
      </w:pPr>
      <w:bookmarkStart w:id="41" w:name="_Compliance_and_enforcement"/>
      <w:bookmarkStart w:id="42" w:name="_Toc101867058"/>
      <w:bookmarkStart w:id="43" w:name="_Toc166488053"/>
      <w:bookmarkEnd w:id="41"/>
      <w:r w:rsidRPr="00DA3702">
        <w:t>Compliance</w:t>
      </w:r>
      <w:r w:rsidRPr="00C366F6">
        <w:t xml:space="preserve"> and enforcement</w:t>
      </w:r>
      <w:bookmarkEnd w:id="42"/>
      <w:bookmarkEnd w:id="43"/>
    </w:p>
    <w:p w14:paraId="6534DE06" w14:textId="3E598FC9" w:rsidR="008D71F1" w:rsidRPr="00C366F6" w:rsidRDefault="008D71F1" w:rsidP="008D71F1">
      <w:pPr>
        <w:rPr>
          <w:rFonts w:asciiTheme="minorHAnsi" w:hAnsiTheme="minorHAnsi"/>
        </w:rPr>
      </w:pPr>
      <w:r w:rsidRPr="00C366F6">
        <w:rPr>
          <w:rFonts w:asciiTheme="minorHAnsi" w:hAnsiTheme="minorHAnsi"/>
        </w:rPr>
        <w:t xml:space="preserve">The </w:t>
      </w:r>
      <w:hyperlink r:id="rId22" w:history="1">
        <w:r w:rsidRPr="00C366F6">
          <w:rPr>
            <w:rStyle w:val="Hyperlink"/>
            <w:rFonts w:asciiTheme="minorHAnsi" w:hAnsiTheme="minorHAnsi"/>
          </w:rPr>
          <w:t>Regulatory Compliance Framework</w:t>
        </w:r>
      </w:hyperlink>
      <w:r w:rsidRPr="00C366F6">
        <w:rPr>
          <w:rFonts w:asciiTheme="minorHAnsi" w:hAnsiTheme="minorHAnsi"/>
        </w:rPr>
        <w:t xml:space="preserve"> sets out </w:t>
      </w:r>
      <w:r w:rsidR="0082018D">
        <w:rPr>
          <w:rFonts w:asciiTheme="minorHAnsi" w:hAnsiTheme="minorHAnsi"/>
        </w:rPr>
        <w:t>our</w:t>
      </w:r>
      <w:r w:rsidRPr="00C366F6">
        <w:rPr>
          <w:rFonts w:asciiTheme="minorHAnsi" w:hAnsiTheme="minorHAnsi"/>
        </w:rPr>
        <w:t xml:space="preserve"> overall approach to compliance.</w:t>
      </w:r>
      <w:r w:rsidR="00DD381B" w:rsidRPr="00DD381B">
        <w:rPr>
          <w:rFonts w:asciiTheme="minorHAnsi" w:hAnsiTheme="minorHAnsi"/>
        </w:rPr>
        <w:t xml:space="preserve"> </w:t>
      </w:r>
      <w:r w:rsidR="00DD381B">
        <w:rPr>
          <w:rFonts w:asciiTheme="minorHAnsi" w:hAnsiTheme="minorHAnsi"/>
        </w:rPr>
        <w:t>I</w:t>
      </w:r>
      <w:r w:rsidR="00DD381B" w:rsidRPr="00C366F6">
        <w:rPr>
          <w:rFonts w:asciiTheme="minorHAnsi" w:hAnsiTheme="minorHAnsi"/>
        </w:rPr>
        <w:t xml:space="preserve">f an inspection leads to regulatory actions being taken under the Act, this information will be published in line with </w:t>
      </w:r>
      <w:r w:rsidR="0082018D">
        <w:rPr>
          <w:rFonts w:asciiTheme="minorHAnsi" w:hAnsiTheme="minorHAnsi"/>
        </w:rPr>
        <w:t>our</w:t>
      </w:r>
      <w:r w:rsidR="00DD381B" w:rsidRPr="00C366F6">
        <w:rPr>
          <w:rFonts w:asciiTheme="minorHAnsi" w:hAnsiTheme="minorHAnsi"/>
        </w:rPr>
        <w:t xml:space="preserve"> </w:t>
      </w:r>
      <w:r w:rsidR="00A63953" w:rsidRPr="00CD77B5">
        <w:t>compliance and enforcement procedures</w:t>
      </w:r>
      <w:r w:rsidR="00C4357D">
        <w:rPr>
          <w:rFonts w:asciiTheme="minorHAnsi" w:hAnsiTheme="minorHAnsi"/>
        </w:rPr>
        <w:t xml:space="preserve">. </w:t>
      </w:r>
      <w:r w:rsidR="0082018D">
        <w:rPr>
          <w:rFonts w:asciiTheme="minorHAnsi" w:hAnsiTheme="minorHAnsi"/>
        </w:rPr>
        <w:t>Such publications</w:t>
      </w:r>
      <w:r w:rsidR="00C4357D">
        <w:rPr>
          <w:rFonts w:asciiTheme="minorHAnsi" w:hAnsiTheme="minorHAnsi"/>
        </w:rPr>
        <w:t xml:space="preserve"> </w:t>
      </w:r>
      <w:r w:rsidR="00DD381B" w:rsidRPr="00C366F6">
        <w:rPr>
          <w:rFonts w:asciiTheme="minorHAnsi" w:hAnsiTheme="minorHAnsi"/>
        </w:rPr>
        <w:t>can include identification of the parties and offences for more serious contraventions of the Act and/or Regulations.</w:t>
      </w:r>
    </w:p>
    <w:p w14:paraId="38367408" w14:textId="7807353D" w:rsidR="008D71F1" w:rsidRPr="00C366F6" w:rsidRDefault="008D71F1" w:rsidP="008D71F1">
      <w:pPr>
        <w:rPr>
          <w:rFonts w:asciiTheme="minorHAnsi" w:hAnsiTheme="minorHAnsi"/>
        </w:rPr>
      </w:pPr>
      <w:r w:rsidRPr="00C366F6">
        <w:rPr>
          <w:rFonts w:asciiTheme="minorHAnsi" w:hAnsiTheme="minorHAnsi"/>
        </w:rPr>
        <w:t xml:space="preserve">Where the GCP inspection process identifies </w:t>
      </w:r>
      <w:r w:rsidR="0082018D" w:rsidRPr="00C366F6">
        <w:rPr>
          <w:rFonts w:asciiTheme="minorHAnsi" w:hAnsiTheme="minorHAnsi"/>
        </w:rPr>
        <w:t>deficiencies,</w:t>
      </w:r>
      <w:r w:rsidRPr="00C366F6">
        <w:rPr>
          <w:rFonts w:asciiTheme="minorHAnsi" w:hAnsiTheme="minorHAnsi"/>
        </w:rPr>
        <w:t xml:space="preserve"> we will</w:t>
      </w:r>
      <w:r w:rsidR="0086785D">
        <w:rPr>
          <w:rFonts w:asciiTheme="minorHAnsi" w:hAnsiTheme="minorHAnsi"/>
        </w:rPr>
        <w:t xml:space="preserve"> </w:t>
      </w:r>
      <w:r w:rsidRPr="00C366F6">
        <w:rPr>
          <w:rFonts w:asciiTheme="minorHAnsi" w:hAnsiTheme="minorHAnsi"/>
        </w:rPr>
        <w:t>work with you to address the deficiencies</w:t>
      </w:r>
      <w:r w:rsidR="0086785D">
        <w:rPr>
          <w:rFonts w:asciiTheme="minorHAnsi" w:hAnsiTheme="minorHAnsi"/>
        </w:rPr>
        <w:t>.</w:t>
      </w:r>
      <w:r w:rsidR="0086785D" w:rsidRPr="00C366F6">
        <w:rPr>
          <w:rFonts w:asciiTheme="minorHAnsi" w:hAnsiTheme="minorHAnsi"/>
        </w:rPr>
        <w:t xml:space="preserve"> </w:t>
      </w:r>
      <w:r w:rsidR="0086785D">
        <w:rPr>
          <w:rFonts w:asciiTheme="minorHAnsi" w:hAnsiTheme="minorHAnsi"/>
        </w:rPr>
        <w:t>F</w:t>
      </w:r>
      <w:r w:rsidR="0086785D" w:rsidRPr="00C366F6">
        <w:rPr>
          <w:rFonts w:asciiTheme="minorHAnsi" w:hAnsiTheme="minorHAnsi"/>
        </w:rPr>
        <w:t xml:space="preserve">or </w:t>
      </w:r>
      <w:r w:rsidRPr="00C366F6">
        <w:rPr>
          <w:rFonts w:asciiTheme="minorHAnsi" w:hAnsiTheme="minorHAnsi"/>
        </w:rPr>
        <w:t>example</w:t>
      </w:r>
      <w:r w:rsidR="00474777">
        <w:rPr>
          <w:rFonts w:asciiTheme="minorHAnsi" w:hAnsiTheme="minorHAnsi"/>
        </w:rPr>
        <w:t>,</w:t>
      </w:r>
      <w:r w:rsidRPr="00C366F6">
        <w:rPr>
          <w:rFonts w:asciiTheme="minorHAnsi" w:hAnsiTheme="minorHAnsi"/>
        </w:rPr>
        <w:t xml:space="preserve"> by providing you with guidance and examples of best practice where available.</w:t>
      </w:r>
      <w:r w:rsidR="000236D0">
        <w:rPr>
          <w:rFonts w:asciiTheme="minorHAnsi" w:hAnsiTheme="minorHAnsi"/>
        </w:rPr>
        <w:t xml:space="preserve"> </w:t>
      </w:r>
      <w:r w:rsidR="00771E5C">
        <w:rPr>
          <w:rFonts w:asciiTheme="minorHAnsi" w:hAnsiTheme="minorHAnsi"/>
        </w:rPr>
        <w:t xml:space="preserve"> </w:t>
      </w:r>
      <w:r w:rsidR="00771E5C" w:rsidRPr="00217A99">
        <w:rPr>
          <w:rFonts w:asciiTheme="minorHAnsi" w:hAnsiTheme="minorHAnsi"/>
        </w:rPr>
        <w:t xml:space="preserve">If </w:t>
      </w:r>
      <w:r w:rsidR="0082018D" w:rsidRPr="00217A99">
        <w:rPr>
          <w:rFonts w:asciiTheme="minorHAnsi" w:hAnsiTheme="minorHAnsi"/>
        </w:rPr>
        <w:t>necessary,</w:t>
      </w:r>
      <w:r w:rsidR="00771E5C" w:rsidRPr="00217A99">
        <w:rPr>
          <w:rFonts w:asciiTheme="minorHAnsi" w:hAnsiTheme="minorHAnsi"/>
        </w:rPr>
        <w:t xml:space="preserve"> we may </w:t>
      </w:r>
      <w:r w:rsidR="002A0EF4">
        <w:rPr>
          <w:rFonts w:asciiTheme="minorHAnsi" w:hAnsiTheme="minorHAnsi"/>
        </w:rPr>
        <w:t xml:space="preserve">take enforcement action, which could include action to </w:t>
      </w:r>
      <w:r w:rsidR="00771E5C" w:rsidRPr="00217A99">
        <w:rPr>
          <w:rFonts w:asciiTheme="minorHAnsi" w:hAnsiTheme="minorHAnsi"/>
        </w:rPr>
        <w:t>stop your trial.</w:t>
      </w:r>
      <w:r w:rsidR="00771E5C">
        <w:rPr>
          <w:rFonts w:asciiTheme="minorHAnsi" w:hAnsiTheme="minorHAnsi"/>
        </w:rPr>
        <w:t xml:space="preserve"> </w:t>
      </w:r>
    </w:p>
    <w:p w14:paraId="29CEB79E" w14:textId="45F82EFC" w:rsidR="008D71F1" w:rsidRDefault="004A5966" w:rsidP="00CD77B5">
      <w:r>
        <w:t>I</w:t>
      </w:r>
      <w:r w:rsidR="00162A02" w:rsidRPr="00C366F6">
        <w:t>nspection</w:t>
      </w:r>
      <w:r w:rsidR="008D71F1" w:rsidRPr="00C366F6">
        <w:t xml:space="preserve"> finding</w:t>
      </w:r>
      <w:r>
        <w:t>s, including the inspection reports and other associated documents, can be</w:t>
      </w:r>
      <w:r w:rsidR="008D71F1" w:rsidRPr="00C366F6">
        <w:t xml:space="preserve"> </w:t>
      </w:r>
      <w:r>
        <w:t>released to the</w:t>
      </w:r>
      <w:r w:rsidR="008D71F1" w:rsidRPr="00C366F6">
        <w:t xml:space="preserve"> approving authority and/or approving HREC under </w:t>
      </w:r>
      <w:r w:rsidR="008D71F1" w:rsidRPr="00CD77B5">
        <w:rPr>
          <w:i/>
          <w:iCs/>
        </w:rPr>
        <w:t xml:space="preserve">the </w:t>
      </w:r>
      <w:hyperlink r:id="rId23" w:history="1">
        <w:r w:rsidR="008D71F1" w:rsidRPr="00CD77B5">
          <w:rPr>
            <w:rStyle w:val="Hyperlink"/>
            <w:rFonts w:asciiTheme="minorHAnsi" w:hAnsiTheme="minorHAnsi"/>
            <w:i/>
            <w:iCs/>
          </w:rPr>
          <w:t>Therapeutic Goods (Clinical Trial Inspections) Specification 2020 (No.2)</w:t>
        </w:r>
      </w:hyperlink>
      <w:r w:rsidR="008D71F1" w:rsidRPr="00C366F6">
        <w:t xml:space="preserve"> (“the Specification”)</w:t>
      </w:r>
      <w:r w:rsidR="008D71F1">
        <w:t xml:space="preserve">. </w:t>
      </w:r>
      <w:r w:rsidR="008D71F1" w:rsidRPr="00C366F6">
        <w:t>This information does not include any personal or sensitive information in relation to participants of the clinical trial</w:t>
      </w:r>
      <w:r w:rsidR="008D71F1">
        <w:t xml:space="preserve">. </w:t>
      </w:r>
    </w:p>
    <w:p w14:paraId="0860D5D0" w14:textId="4B16FDC8" w:rsidR="005B3B19" w:rsidRPr="00C366F6" w:rsidRDefault="005B3B19" w:rsidP="000413D2">
      <w:pPr>
        <w:pStyle w:val="ListBullet"/>
        <w:numPr>
          <w:ilvl w:val="0"/>
          <w:numId w:val="0"/>
        </w:numPr>
      </w:pPr>
      <w:r w:rsidRPr="00C366F6">
        <w:t xml:space="preserve">If you refuse us access to any relevant record or documentation that our inspectors have a legal right to access, this will be documented in the inspection report so we can </w:t>
      </w:r>
      <w:r>
        <w:t>determine</w:t>
      </w:r>
      <w:r w:rsidRPr="00C366F6">
        <w:t xml:space="preserve"> further action and consequences.</w:t>
      </w:r>
      <w:r>
        <w:t xml:space="preserve"> </w:t>
      </w:r>
    </w:p>
    <w:p w14:paraId="552C12C5" w14:textId="7CCADDEB" w:rsidR="00365D45" w:rsidRDefault="00365D45" w:rsidP="00365D45">
      <w:pPr>
        <w:pStyle w:val="Heading2"/>
      </w:pPr>
      <w:bookmarkStart w:id="44" w:name="_Toc166488054"/>
      <w:r>
        <w:lastRenderedPageBreak/>
        <w:t>Contacts</w:t>
      </w:r>
      <w:bookmarkEnd w:id="44"/>
    </w:p>
    <w:p w14:paraId="43AF4246" w14:textId="23E193FB" w:rsidR="00365D45" w:rsidRPr="00365D45" w:rsidRDefault="00365D45" w:rsidP="00365D45">
      <w:r w:rsidRPr="00365D45">
        <w:t>For any GCP-related enquiries, please email </w:t>
      </w:r>
      <w:hyperlink r:id="rId24" w:tooltip="email link" w:history="1">
        <w:r w:rsidRPr="00365D45">
          <w:t>GCP.Inspection@health.gov.au</w:t>
        </w:r>
      </w:hyperlink>
      <w:r>
        <w:t>.</w:t>
      </w:r>
    </w:p>
    <w:p w14:paraId="171C9DE3" w14:textId="77777777" w:rsidR="00365D45" w:rsidRPr="00365D45" w:rsidRDefault="00365D45" w:rsidP="003049B1">
      <w:pPr>
        <w:pStyle w:val="ListBullet"/>
        <w:numPr>
          <w:ilvl w:val="0"/>
          <w:numId w:val="0"/>
        </w:numPr>
        <w:rPr>
          <w:b/>
          <w:bCs/>
        </w:rPr>
      </w:pPr>
    </w:p>
    <w:p w14:paraId="4DEB6597" w14:textId="77777777" w:rsidR="000413D2" w:rsidRDefault="000413D2">
      <w:pPr>
        <w:rPr>
          <w:rFonts w:eastAsia="Times New Roman" w:cs="Times New Roman"/>
          <w:b/>
          <w:bCs/>
          <w:color w:val="001871"/>
          <w:sz w:val="38"/>
          <w:szCs w:val="38"/>
        </w:rPr>
      </w:pPr>
      <w:bookmarkStart w:id="45" w:name="_Legal_basis_for"/>
      <w:bookmarkStart w:id="46" w:name="_Grading_deficiencies"/>
      <w:bookmarkEnd w:id="45"/>
      <w:bookmarkEnd w:id="46"/>
      <w:r>
        <w:br w:type="page"/>
      </w:r>
    </w:p>
    <w:p w14:paraId="5A1A16C6" w14:textId="4D659AAB" w:rsidR="0089410A" w:rsidRPr="00215D48" w:rsidRDefault="0089410A" w:rsidP="00DA3702">
      <w:pPr>
        <w:pStyle w:val="Heading2"/>
      </w:pPr>
      <w:bookmarkStart w:id="47" w:name="_Toc166488055"/>
      <w:r w:rsidRPr="00215D48">
        <w:lastRenderedPageBreak/>
        <w:t>Version history</w:t>
      </w:r>
      <w:bookmarkEnd w:id="47"/>
    </w:p>
    <w:tbl>
      <w:tblPr>
        <w:tblStyle w:val="TGABlack2023"/>
        <w:tblW w:w="9038" w:type="dxa"/>
        <w:tblLayout w:type="fixed"/>
        <w:tblLook w:val="04A0" w:firstRow="1" w:lastRow="0" w:firstColumn="1" w:lastColumn="0" w:noHBand="0" w:noVBand="1"/>
      </w:tblPr>
      <w:tblGrid>
        <w:gridCol w:w="1276"/>
        <w:gridCol w:w="3242"/>
        <w:gridCol w:w="2712"/>
        <w:gridCol w:w="1808"/>
      </w:tblGrid>
      <w:tr w:rsidR="0089410A" w:rsidRPr="00215D48" w14:paraId="21EF8AFC" w14:textId="77777777" w:rsidTr="00210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5E88139" w14:textId="77777777" w:rsidR="0089410A" w:rsidRPr="00215D48" w:rsidRDefault="0089410A" w:rsidP="00210DAD">
            <w:bookmarkStart w:id="48" w:name="ColumnTitle_4"/>
            <w:r w:rsidRPr="00215D48">
              <w:t>Version</w:t>
            </w:r>
          </w:p>
        </w:tc>
        <w:tc>
          <w:tcPr>
            <w:tcW w:w="3242" w:type="dxa"/>
          </w:tcPr>
          <w:p w14:paraId="33B232A3" w14:textId="77777777" w:rsidR="0089410A" w:rsidRPr="00215D48" w:rsidRDefault="0089410A" w:rsidP="00210DAD">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564D6344" w14:textId="77777777" w:rsidR="0089410A" w:rsidRPr="00215D48" w:rsidRDefault="0089410A" w:rsidP="00210DAD">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71E60F8D" w14:textId="77777777" w:rsidR="0089410A" w:rsidRPr="00215D48" w:rsidRDefault="0089410A" w:rsidP="00210DAD">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48"/>
      <w:tr w:rsidR="0089410A" w:rsidRPr="00215D48" w14:paraId="2C8D3305" w14:textId="77777777" w:rsidTr="00210DAD">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DB3BBA3" w14:textId="77777777" w:rsidR="0089410A" w:rsidRPr="00215D48" w:rsidRDefault="0089410A" w:rsidP="00210DAD">
            <w:r w:rsidRPr="00215D48">
              <w:t>V1.0</w:t>
            </w:r>
          </w:p>
        </w:tc>
        <w:tc>
          <w:tcPr>
            <w:tcW w:w="3242" w:type="dxa"/>
          </w:tcPr>
          <w:p w14:paraId="7332511A" w14:textId="3095F9FC" w:rsidR="0089410A" w:rsidRPr="00215D48" w:rsidRDefault="00043BE6" w:rsidP="00210DAD">
            <w:pPr>
              <w:cnfStyle w:val="000000000000" w:firstRow="0" w:lastRow="0" w:firstColumn="0" w:lastColumn="0" w:oddVBand="0" w:evenVBand="0" w:oddHBand="0" w:evenHBand="0" w:firstRowFirstColumn="0" w:firstRowLastColumn="0" w:lastRowFirstColumn="0" w:lastRowLastColumn="0"/>
            </w:pPr>
            <w:r>
              <w:t xml:space="preserve">Original </w:t>
            </w:r>
            <w:r w:rsidR="003525EF">
              <w:t>guidance</w:t>
            </w:r>
            <w:r w:rsidR="00D8079A">
              <w:t xml:space="preserve"> </w:t>
            </w:r>
          </w:p>
        </w:tc>
        <w:tc>
          <w:tcPr>
            <w:tcW w:w="2712" w:type="dxa"/>
          </w:tcPr>
          <w:p w14:paraId="6C5E3A12" w14:textId="6B4A34DF" w:rsidR="0089410A" w:rsidRPr="00215D48" w:rsidRDefault="00CD5DF1" w:rsidP="00210DAD">
            <w:pPr>
              <w:cnfStyle w:val="000000000000" w:firstRow="0" w:lastRow="0" w:firstColumn="0" w:lastColumn="0" w:oddVBand="0" w:evenVBand="0" w:oddHBand="0" w:evenHBand="0" w:firstRowFirstColumn="0" w:firstRowLastColumn="0" w:lastRowFirstColumn="0" w:lastRowLastColumn="0"/>
            </w:pPr>
            <w:r w:rsidRPr="00CD5DF1">
              <w:t>Pharmacovigilance Branch</w:t>
            </w:r>
            <w:r w:rsidR="005E6AB5">
              <w:t xml:space="preserve">, Therapeutic Goods Administration </w:t>
            </w:r>
          </w:p>
        </w:tc>
        <w:tc>
          <w:tcPr>
            <w:tcW w:w="1808" w:type="dxa"/>
          </w:tcPr>
          <w:p w14:paraId="75E6A678" w14:textId="5B807CAE" w:rsidR="0089410A" w:rsidRPr="00215D48" w:rsidRDefault="003D70AC" w:rsidP="00210DAD">
            <w:pPr>
              <w:cnfStyle w:val="000000000000" w:firstRow="0" w:lastRow="0" w:firstColumn="0" w:lastColumn="0" w:oddVBand="0" w:evenVBand="0" w:oddHBand="0" w:evenHBand="0" w:firstRowFirstColumn="0" w:firstRowLastColumn="0" w:lastRowFirstColumn="0" w:lastRowLastColumn="0"/>
            </w:pPr>
            <w:r w:rsidRPr="003D70AC">
              <w:t>April 2022</w:t>
            </w:r>
          </w:p>
        </w:tc>
      </w:tr>
      <w:tr w:rsidR="002A2336" w:rsidRPr="00215D48" w14:paraId="59EBE5DF" w14:textId="77777777" w:rsidTr="00640E7D">
        <w:trPr>
          <w:trHeight w:val="1171"/>
        </w:trPr>
        <w:tc>
          <w:tcPr>
            <w:cnfStyle w:val="001000000000" w:firstRow="0" w:lastRow="0" w:firstColumn="1" w:lastColumn="0" w:oddVBand="0" w:evenVBand="0" w:oddHBand="0" w:evenHBand="0" w:firstRowFirstColumn="0" w:firstRowLastColumn="0" w:lastRowFirstColumn="0" w:lastRowLastColumn="0"/>
            <w:tcW w:w="1276" w:type="dxa"/>
          </w:tcPr>
          <w:p w14:paraId="4ADA1A28" w14:textId="3C6CEB89" w:rsidR="002A2336" w:rsidRPr="00215D48" w:rsidRDefault="007D619E" w:rsidP="00210DAD">
            <w:r w:rsidRPr="00BD1AE9">
              <w:t>V2</w:t>
            </w:r>
            <w:r w:rsidR="002A2336" w:rsidRPr="00BD1AE9">
              <w:t>.0</w:t>
            </w:r>
          </w:p>
        </w:tc>
        <w:tc>
          <w:tcPr>
            <w:tcW w:w="3242" w:type="dxa"/>
          </w:tcPr>
          <w:p w14:paraId="17AE7105" w14:textId="77777777" w:rsidR="002A2336" w:rsidRDefault="002A2336" w:rsidP="00210DAD">
            <w:pPr>
              <w:cnfStyle w:val="000000000000" w:firstRow="0" w:lastRow="0" w:firstColumn="0" w:lastColumn="0" w:oddVBand="0" w:evenVBand="0" w:oddHBand="0" w:evenHBand="0" w:firstRowFirstColumn="0" w:firstRowLastColumn="0" w:lastRowFirstColumn="0" w:lastRowLastColumn="0"/>
            </w:pPr>
            <w:r>
              <w:t>Incorporation of medical devices into the GCP inspection program</w:t>
            </w:r>
          </w:p>
          <w:p w14:paraId="3670F7C0" w14:textId="77777777" w:rsidR="002A2336" w:rsidRDefault="002A2336" w:rsidP="00210DAD">
            <w:pPr>
              <w:cnfStyle w:val="000000000000" w:firstRow="0" w:lastRow="0" w:firstColumn="0" w:lastColumn="0" w:oddVBand="0" w:evenVBand="0" w:oddHBand="0" w:evenHBand="0" w:firstRowFirstColumn="0" w:firstRowLastColumn="0" w:lastRowFirstColumn="0" w:lastRowLastColumn="0"/>
            </w:pPr>
            <w:r>
              <w:t xml:space="preserve">Minor updates and </w:t>
            </w:r>
            <w:r w:rsidR="00FC1A79">
              <w:t>clarifications</w:t>
            </w:r>
            <w:r w:rsidR="00C223AE">
              <w:t xml:space="preserve"> for currency</w:t>
            </w:r>
          </w:p>
          <w:p w14:paraId="68160797" w14:textId="77777777" w:rsidR="00C223AE" w:rsidRDefault="00C223AE" w:rsidP="00210DAD">
            <w:pPr>
              <w:cnfStyle w:val="000000000000" w:firstRow="0" w:lastRow="0" w:firstColumn="0" w:lastColumn="0" w:oddVBand="0" w:evenVBand="0" w:oddHBand="0" w:evenHBand="0" w:firstRowFirstColumn="0" w:firstRowLastColumn="0" w:lastRowFirstColumn="0" w:lastRowLastColumn="0"/>
            </w:pPr>
            <w:r>
              <w:t>Restructure to improve readability</w:t>
            </w:r>
          </w:p>
          <w:p w14:paraId="2C2A3DEF" w14:textId="609DBDF3" w:rsidR="00C223AE" w:rsidRDefault="00C223AE" w:rsidP="00210DAD">
            <w:pPr>
              <w:cnfStyle w:val="000000000000" w:firstRow="0" w:lastRow="0" w:firstColumn="0" w:lastColumn="0" w:oddVBand="0" w:evenVBand="0" w:oddHBand="0" w:evenHBand="0" w:firstRowFirstColumn="0" w:firstRowLastColumn="0" w:lastRowFirstColumn="0" w:lastRowLastColumn="0"/>
            </w:pPr>
            <w:r>
              <w:t xml:space="preserve">Deletion </w:t>
            </w:r>
            <w:r w:rsidR="00F41B33">
              <w:t>of material on</w:t>
            </w:r>
            <w:r>
              <w:t xml:space="preserve"> </w:t>
            </w:r>
            <w:r w:rsidR="00F41B33">
              <w:t>legal framework</w:t>
            </w:r>
            <w:r>
              <w:t xml:space="preserve"> </w:t>
            </w:r>
            <w:r w:rsidR="00F41B33">
              <w:t xml:space="preserve">and responsibilities which are </w:t>
            </w:r>
            <w:r>
              <w:t xml:space="preserve">covered in the </w:t>
            </w:r>
            <w:hyperlink r:id="rId25" w:history="1">
              <w:r w:rsidRPr="00F41B33">
                <w:rPr>
                  <w:rStyle w:val="Hyperlink"/>
                </w:rPr>
                <w:t>Australian Clinical Trials Handbook</w:t>
              </w:r>
            </w:hyperlink>
          </w:p>
        </w:tc>
        <w:tc>
          <w:tcPr>
            <w:tcW w:w="2712" w:type="dxa"/>
          </w:tcPr>
          <w:p w14:paraId="6B96C5A6" w14:textId="6D1B1957" w:rsidR="002A2336" w:rsidRPr="00CD5DF1" w:rsidRDefault="002A2336" w:rsidP="00210DAD">
            <w:pPr>
              <w:cnfStyle w:val="000000000000" w:firstRow="0" w:lastRow="0" w:firstColumn="0" w:lastColumn="0" w:oddVBand="0" w:evenVBand="0" w:oddHBand="0" w:evenHBand="0" w:firstRowFirstColumn="0" w:firstRowLastColumn="0" w:lastRowFirstColumn="0" w:lastRowLastColumn="0"/>
            </w:pPr>
            <w:r w:rsidRPr="00CD5DF1">
              <w:t>Pharmacovigilance Branch</w:t>
            </w:r>
            <w:r w:rsidR="005E6AB5">
              <w:t>, Therapeutic Goods Administration</w:t>
            </w:r>
          </w:p>
        </w:tc>
        <w:tc>
          <w:tcPr>
            <w:tcW w:w="1808" w:type="dxa"/>
          </w:tcPr>
          <w:p w14:paraId="12296A9E" w14:textId="3EDA688F" w:rsidR="002A2336" w:rsidRPr="003D70AC" w:rsidRDefault="002A2336" w:rsidP="00210DAD">
            <w:pPr>
              <w:cnfStyle w:val="000000000000" w:firstRow="0" w:lastRow="0" w:firstColumn="0" w:lastColumn="0" w:oddVBand="0" w:evenVBand="0" w:oddHBand="0" w:evenHBand="0" w:firstRowFirstColumn="0" w:firstRowLastColumn="0" w:lastRowFirstColumn="0" w:lastRowLastColumn="0"/>
            </w:pPr>
            <w:r w:rsidRPr="00BD1AE9">
              <w:t>May 2024</w:t>
            </w:r>
          </w:p>
        </w:tc>
      </w:tr>
    </w:tbl>
    <w:p w14:paraId="3FEB102C" w14:textId="77777777" w:rsidR="0089410A" w:rsidRDefault="0089410A" w:rsidP="00DD3815">
      <w:pPr>
        <w:pStyle w:val="LegalSubheading"/>
        <w:rPr>
          <w:b/>
          <w:bCs/>
        </w:rPr>
      </w:pPr>
    </w:p>
    <w:p w14:paraId="37D83B28" w14:textId="77777777" w:rsidR="00B528AB" w:rsidRDefault="00B528AB" w:rsidP="00DD3815">
      <w:pPr>
        <w:pStyle w:val="LegalSubheading"/>
        <w:rPr>
          <w:b/>
          <w:bCs/>
        </w:rPr>
        <w:sectPr w:rsidR="00B528AB" w:rsidSect="00537B47">
          <w:headerReference w:type="default"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pPr>
    </w:p>
    <w:p w14:paraId="007EB1BE" w14:textId="36D7C5E0" w:rsidR="003E2AF6" w:rsidRPr="003E2AF6" w:rsidRDefault="003E2AF6" w:rsidP="002B2EFD">
      <w:pPr>
        <w:tabs>
          <w:tab w:val="left" w:pos="3807"/>
        </w:tabs>
      </w:pPr>
    </w:p>
    <w:sectPr w:rsidR="003E2AF6" w:rsidRPr="003E2AF6" w:rsidSect="00537B47">
      <w:headerReference w:type="first" r:id="rId30"/>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3814" w14:textId="77777777" w:rsidR="006D3898" w:rsidRDefault="006D3898" w:rsidP="00537B47">
      <w:pPr>
        <w:spacing w:after="0" w:line="240" w:lineRule="auto"/>
      </w:pPr>
      <w:r>
        <w:separator/>
      </w:r>
    </w:p>
  </w:endnote>
  <w:endnote w:type="continuationSeparator" w:id="0">
    <w:p w14:paraId="5E380EF3" w14:textId="77777777" w:rsidR="006D3898" w:rsidRDefault="006D3898"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92B5" w14:textId="5C04819B" w:rsidR="00AE0637"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7E8BDFA5" wp14:editId="7697F3D5">
              <wp:simplePos x="0" y="0"/>
              <wp:positionH relativeFrom="column">
                <wp:posOffset>9525</wp:posOffset>
              </wp:positionH>
              <wp:positionV relativeFrom="paragraph">
                <wp:posOffset>-59690</wp:posOffset>
              </wp:positionV>
              <wp:extent cx="579120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7AB64" id="Straight Connector 8"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EF3B91" w:rsidRPr="00EF3B91">
      <w:t>GCP inspection program</w:t>
    </w:r>
    <w:r w:rsidR="00AE0637">
      <w:t xml:space="preserve"> for clinical trials</w:t>
    </w:r>
    <w:r w:rsidR="00EF3B91" w:rsidRPr="00EF3B91">
      <w:t xml:space="preserve">: Guidance for </w:t>
    </w:r>
    <w:r w:rsidR="00C663C5" w:rsidRPr="00C663C5">
      <w:t>clinical trial</w:t>
    </w:r>
    <w:r w:rsidR="00FF6FB9">
      <w:t xml:space="preserve"> investigator</w:t>
    </w:r>
    <w:r w:rsidR="00C663C5" w:rsidRPr="00C663C5">
      <w:t xml:space="preserve"> sites on what to expect and how to prepare for an inspection  </w:t>
    </w:r>
    <w:r w:rsidR="00C663C5">
      <w:t xml:space="preserve">          </w:t>
    </w:r>
  </w:p>
  <w:p w14:paraId="2C2362A7" w14:textId="37E89AA7" w:rsidR="00DD3815" w:rsidRPr="00DD3815" w:rsidRDefault="002E4D89" w:rsidP="00DD3815">
    <w:pPr>
      <w:pStyle w:val="Footer"/>
    </w:pPr>
    <w:r w:rsidRPr="00BD1AE9">
      <w:t>V</w:t>
    </w:r>
    <w:r w:rsidR="007D619E" w:rsidRPr="00BD1AE9">
      <w:t>2.0</w:t>
    </w:r>
    <w:r w:rsidRPr="00BD1AE9">
      <w:t xml:space="preserve"> </w:t>
    </w:r>
    <w:r w:rsidR="00C663C5" w:rsidRPr="00BD1AE9">
      <w:t>May</w:t>
    </w:r>
    <w:r w:rsidRPr="00BD1AE9">
      <w:t xml:space="preserve"> 202</w:t>
    </w:r>
    <w:r w:rsidR="00C663C5" w:rsidRPr="00BD1AE9">
      <w:t>4</w:t>
    </w:r>
    <w:r w:rsidR="00DD3815" w:rsidRPr="00DD3815">
      <w:tab/>
    </w:r>
    <w:r w:rsidR="00DD3815" w:rsidRPr="00DD3815">
      <w:tab/>
      <w:t xml:space="preserve">Page </w:t>
    </w:r>
    <w:r w:rsidR="00DD3815" w:rsidRPr="00DD3815">
      <w:fldChar w:fldCharType="begin"/>
    </w:r>
    <w:r w:rsidR="00DD3815" w:rsidRPr="00DD3815">
      <w:instrText xml:space="preserve"> PAGE  \* Arabic  \* MERGEFORMAT </w:instrText>
    </w:r>
    <w:r w:rsidR="00DD3815" w:rsidRPr="00DD3815">
      <w:fldChar w:fldCharType="separate"/>
    </w:r>
    <w:r w:rsidR="00DD3815" w:rsidRPr="00DD3815">
      <w:t>1</w:t>
    </w:r>
    <w:r w:rsidR="00DD3815" w:rsidRPr="00DD3815">
      <w:fldChar w:fldCharType="end"/>
    </w:r>
    <w:r w:rsidR="00DD3815" w:rsidRPr="00DD3815">
      <w:t xml:space="preserve"> of </w:t>
    </w:r>
    <w:r w:rsidR="002B2EFD">
      <w:fldChar w:fldCharType="begin"/>
    </w:r>
    <w:r w:rsidR="002B2EFD">
      <w:instrText xml:space="preserve"> NUMPAGES  \* Arabic  \* MERGEFORMAT </w:instrText>
    </w:r>
    <w:r w:rsidR="002B2EFD">
      <w:fldChar w:fldCharType="separate"/>
    </w:r>
    <w:r w:rsidR="00DD3815" w:rsidRPr="00DD3815">
      <w:t>2</w:t>
    </w:r>
    <w:r w:rsidR="002B2EF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236185"/>
      <w:showingPlcHdr/>
      <w:picture/>
    </w:sdtPr>
    <w:sdtEndPr/>
    <w:sdtContent>
      <w:p w14:paraId="063BFF8E" w14:textId="77777777" w:rsidR="00537B47" w:rsidRDefault="00977F26">
        <w:pPr>
          <w:pStyle w:val="Footer"/>
        </w:pPr>
        <w:r>
          <w:rPr>
            <w:rFonts w:eastAsiaTheme="minorHAnsi" w:cstheme="minorBidi"/>
            <w:noProof/>
            <w:color w:val="auto"/>
            <w:sz w:val="20"/>
          </w:rPr>
          <w:drawing>
            <wp:anchor distT="0" distB="0" distL="114300" distR="114300" simplePos="0" relativeHeight="251657215" behindDoc="1" locked="0" layoutInCell="1" allowOverlap="1" wp14:anchorId="10AF96BB" wp14:editId="3E721E80">
              <wp:simplePos x="0" y="0"/>
              <wp:positionH relativeFrom="column">
                <wp:posOffset>-918210</wp:posOffset>
              </wp:positionH>
              <wp:positionV relativeFrom="paragraph">
                <wp:posOffset>-4500880</wp:posOffset>
              </wp:positionV>
              <wp:extent cx="7567200" cy="5076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507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7848136C" w14:textId="77777777" w:rsidTr="00210DAD">
      <w:trPr>
        <w:trHeight w:hRule="exact" w:val="565"/>
        <w:jc w:val="center"/>
      </w:trPr>
      <w:tc>
        <w:tcPr>
          <w:tcW w:w="9145" w:type="dxa"/>
        </w:tcPr>
        <w:p w14:paraId="2E33120C" w14:textId="77777777" w:rsidR="00B528AB" w:rsidRPr="00215D48" w:rsidRDefault="00B528AB" w:rsidP="00B528AB">
          <w:pPr>
            <w:pStyle w:val="TGASignoff"/>
          </w:pPr>
          <w:r w:rsidRPr="00215D48">
            <w:t>Therapeutic Goods Administration</w:t>
          </w:r>
        </w:p>
      </w:tc>
    </w:tr>
    <w:tr w:rsidR="00B528AB" w:rsidRPr="00215D48" w14:paraId="31D201CF" w14:textId="77777777" w:rsidTr="00210DAD">
      <w:trPr>
        <w:trHeight w:val="963"/>
        <w:jc w:val="center"/>
      </w:trPr>
      <w:tc>
        <w:tcPr>
          <w:tcW w:w="9145" w:type="dxa"/>
          <w:tcMar>
            <w:top w:w="28" w:type="dxa"/>
          </w:tcMar>
        </w:tcPr>
        <w:p w14:paraId="001E17DD" w14:textId="77777777" w:rsidR="00B528AB" w:rsidRPr="00215D48" w:rsidRDefault="00B528AB" w:rsidP="00B528AB">
          <w:pPr>
            <w:pStyle w:val="Address"/>
            <w:jc w:val="center"/>
          </w:pPr>
          <w:r w:rsidRPr="00215D48">
            <w:t>PO Box 100 Woden ACT 2606 Australia</w:t>
          </w:r>
        </w:p>
        <w:p w14:paraId="1D86360E"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40D4767A"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63790BA8" w14:textId="77777777" w:rsidTr="00210DAD">
      <w:trPr>
        <w:trHeight w:val="251"/>
        <w:jc w:val="center"/>
      </w:trPr>
      <w:tc>
        <w:tcPr>
          <w:tcW w:w="9145" w:type="dxa"/>
          <w:tcMar>
            <w:top w:w="28" w:type="dxa"/>
          </w:tcMar>
        </w:tcPr>
        <w:p w14:paraId="609C33B8" w14:textId="6D0586B4" w:rsidR="00B528AB" w:rsidRPr="00215D48" w:rsidRDefault="00B528AB" w:rsidP="00B528AB">
          <w:pPr>
            <w:pStyle w:val="Address"/>
            <w:jc w:val="center"/>
          </w:pPr>
          <w:r w:rsidRPr="00215D48">
            <w:t>Reference #</w:t>
          </w:r>
          <w:r w:rsidR="00740C8B">
            <w:t xml:space="preserve"> </w:t>
          </w:r>
          <w:hyperlink r:id="rId3" w:history="1">
            <w:r w:rsidR="00740C8B">
              <w:rPr>
                <w:rStyle w:val="Hyperlink"/>
              </w:rPr>
              <w:t>D23-5193810</w:t>
            </w:r>
          </w:hyperlink>
        </w:p>
      </w:tc>
    </w:tr>
  </w:tbl>
  <w:p w14:paraId="35C128DD"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FCC5A" w14:textId="77777777" w:rsidR="006D3898" w:rsidRDefault="006D3898" w:rsidP="00537B47">
      <w:pPr>
        <w:spacing w:after="0" w:line="240" w:lineRule="auto"/>
      </w:pPr>
      <w:r>
        <w:separator/>
      </w:r>
    </w:p>
  </w:footnote>
  <w:footnote w:type="continuationSeparator" w:id="0">
    <w:p w14:paraId="5A52ADEB" w14:textId="77777777" w:rsidR="006D3898" w:rsidRDefault="006D3898" w:rsidP="0053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8B6C"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BDEF" w14:textId="77777777" w:rsidR="00537B47" w:rsidRDefault="005F6958" w:rsidP="005F6958">
    <w:r>
      <w:rPr>
        <w:noProof/>
      </w:rPr>
      <w:drawing>
        <wp:anchor distT="0" distB="0" distL="114300" distR="114300" simplePos="0" relativeHeight="251659264" behindDoc="1" locked="0" layoutInCell="1" allowOverlap="1" wp14:anchorId="107F15B6" wp14:editId="1F387578">
          <wp:simplePos x="0" y="0"/>
          <wp:positionH relativeFrom="column">
            <wp:posOffset>-228600</wp:posOffset>
          </wp:positionH>
          <wp:positionV relativeFrom="paragraph">
            <wp:posOffset>72390</wp:posOffset>
          </wp:positionV>
          <wp:extent cx="2245311" cy="521970"/>
          <wp:effectExtent l="0" t="0" r="3175" b="0"/>
          <wp:wrapNone/>
          <wp:docPr id="1" name="Picture 1" descr="Australian Government, Department of Health and Aged Care, 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ealth and Aged Care, Therapeutic Goods Administration"/>
                  <pic:cNvPicPr/>
                </pic:nvPicPr>
                <pic:blipFill>
                  <a:blip r:embed="rId1">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940A6E1" wp14:editId="3ADDB4DF">
          <wp:simplePos x="0" y="0"/>
          <wp:positionH relativeFrom="page">
            <wp:align>right</wp:align>
          </wp:positionH>
          <wp:positionV relativeFrom="paragraph">
            <wp:posOffset>3122930</wp:posOffset>
          </wp:positionV>
          <wp:extent cx="7553325" cy="4260356"/>
          <wp:effectExtent l="0" t="0" r="0"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87B3"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25EC80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2941CD"/>
    <w:multiLevelType w:val="hybridMultilevel"/>
    <w:tmpl w:val="4784121E"/>
    <w:lvl w:ilvl="0" w:tplc="4D8C8BF4">
      <w:start w:val="1"/>
      <w:numFmt w:val="bullet"/>
      <w:lvlText w:val=""/>
      <w:lvlJc w:val="left"/>
      <w:pPr>
        <w:ind w:left="1440" w:hanging="360"/>
      </w:pPr>
      <w:rPr>
        <w:rFonts w:ascii="Symbol" w:hAnsi="Symbol"/>
      </w:rPr>
    </w:lvl>
    <w:lvl w:ilvl="1" w:tplc="7DC0D398">
      <w:start w:val="1"/>
      <w:numFmt w:val="bullet"/>
      <w:lvlText w:val=""/>
      <w:lvlJc w:val="left"/>
      <w:pPr>
        <w:ind w:left="1440" w:hanging="360"/>
      </w:pPr>
      <w:rPr>
        <w:rFonts w:ascii="Symbol" w:hAnsi="Symbol"/>
      </w:rPr>
    </w:lvl>
    <w:lvl w:ilvl="2" w:tplc="0AD4B5EA">
      <w:start w:val="1"/>
      <w:numFmt w:val="bullet"/>
      <w:lvlText w:val=""/>
      <w:lvlJc w:val="left"/>
      <w:pPr>
        <w:ind w:left="1440" w:hanging="360"/>
      </w:pPr>
      <w:rPr>
        <w:rFonts w:ascii="Symbol" w:hAnsi="Symbol"/>
      </w:rPr>
    </w:lvl>
    <w:lvl w:ilvl="3" w:tplc="4CCED7EE">
      <w:start w:val="1"/>
      <w:numFmt w:val="bullet"/>
      <w:lvlText w:val=""/>
      <w:lvlJc w:val="left"/>
      <w:pPr>
        <w:ind w:left="1440" w:hanging="360"/>
      </w:pPr>
      <w:rPr>
        <w:rFonts w:ascii="Symbol" w:hAnsi="Symbol"/>
      </w:rPr>
    </w:lvl>
    <w:lvl w:ilvl="4" w:tplc="698EFE6C">
      <w:start w:val="1"/>
      <w:numFmt w:val="bullet"/>
      <w:lvlText w:val=""/>
      <w:lvlJc w:val="left"/>
      <w:pPr>
        <w:ind w:left="1440" w:hanging="360"/>
      </w:pPr>
      <w:rPr>
        <w:rFonts w:ascii="Symbol" w:hAnsi="Symbol"/>
      </w:rPr>
    </w:lvl>
    <w:lvl w:ilvl="5" w:tplc="15B896A4">
      <w:start w:val="1"/>
      <w:numFmt w:val="bullet"/>
      <w:lvlText w:val=""/>
      <w:lvlJc w:val="left"/>
      <w:pPr>
        <w:ind w:left="1440" w:hanging="360"/>
      </w:pPr>
      <w:rPr>
        <w:rFonts w:ascii="Symbol" w:hAnsi="Symbol"/>
      </w:rPr>
    </w:lvl>
    <w:lvl w:ilvl="6" w:tplc="AF9A450E">
      <w:start w:val="1"/>
      <w:numFmt w:val="bullet"/>
      <w:lvlText w:val=""/>
      <w:lvlJc w:val="left"/>
      <w:pPr>
        <w:ind w:left="1440" w:hanging="360"/>
      </w:pPr>
      <w:rPr>
        <w:rFonts w:ascii="Symbol" w:hAnsi="Symbol"/>
      </w:rPr>
    </w:lvl>
    <w:lvl w:ilvl="7" w:tplc="BCE2DB16">
      <w:start w:val="1"/>
      <w:numFmt w:val="bullet"/>
      <w:lvlText w:val=""/>
      <w:lvlJc w:val="left"/>
      <w:pPr>
        <w:ind w:left="1440" w:hanging="360"/>
      </w:pPr>
      <w:rPr>
        <w:rFonts w:ascii="Symbol" w:hAnsi="Symbol"/>
      </w:rPr>
    </w:lvl>
    <w:lvl w:ilvl="8" w:tplc="9A567288">
      <w:start w:val="1"/>
      <w:numFmt w:val="bullet"/>
      <w:lvlText w:val=""/>
      <w:lvlJc w:val="left"/>
      <w:pPr>
        <w:ind w:left="1440" w:hanging="360"/>
      </w:pPr>
      <w:rPr>
        <w:rFonts w:ascii="Symbol" w:hAnsi="Symbol"/>
      </w:rPr>
    </w:lvl>
  </w:abstractNum>
  <w:abstractNum w:abstractNumId="5"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486104B"/>
    <w:multiLevelType w:val="hybridMultilevel"/>
    <w:tmpl w:val="750E18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715690F0"/>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709732D"/>
    <w:multiLevelType w:val="hybridMultilevel"/>
    <w:tmpl w:val="A22AA8F4"/>
    <w:lvl w:ilvl="0" w:tplc="14CE7B8E">
      <w:start w:val="1"/>
      <w:numFmt w:val="bullet"/>
      <w:lvlText w:val=""/>
      <w:lvlJc w:val="left"/>
      <w:pPr>
        <w:ind w:left="1500" w:hanging="360"/>
      </w:pPr>
      <w:rPr>
        <w:rFonts w:ascii="Symbol" w:hAnsi="Symbol"/>
      </w:rPr>
    </w:lvl>
    <w:lvl w:ilvl="1" w:tplc="64EC44DA">
      <w:start w:val="1"/>
      <w:numFmt w:val="bullet"/>
      <w:lvlText w:val=""/>
      <w:lvlJc w:val="left"/>
      <w:pPr>
        <w:ind w:left="1500" w:hanging="360"/>
      </w:pPr>
      <w:rPr>
        <w:rFonts w:ascii="Symbol" w:hAnsi="Symbol"/>
      </w:rPr>
    </w:lvl>
    <w:lvl w:ilvl="2" w:tplc="EFE6EA18">
      <w:start w:val="1"/>
      <w:numFmt w:val="bullet"/>
      <w:lvlText w:val=""/>
      <w:lvlJc w:val="left"/>
      <w:pPr>
        <w:ind w:left="1500" w:hanging="360"/>
      </w:pPr>
      <w:rPr>
        <w:rFonts w:ascii="Symbol" w:hAnsi="Symbol"/>
      </w:rPr>
    </w:lvl>
    <w:lvl w:ilvl="3" w:tplc="1D665D20">
      <w:start w:val="1"/>
      <w:numFmt w:val="bullet"/>
      <w:lvlText w:val=""/>
      <w:lvlJc w:val="left"/>
      <w:pPr>
        <w:ind w:left="1500" w:hanging="360"/>
      </w:pPr>
      <w:rPr>
        <w:rFonts w:ascii="Symbol" w:hAnsi="Symbol"/>
      </w:rPr>
    </w:lvl>
    <w:lvl w:ilvl="4" w:tplc="2A487EB8">
      <w:start w:val="1"/>
      <w:numFmt w:val="bullet"/>
      <w:lvlText w:val=""/>
      <w:lvlJc w:val="left"/>
      <w:pPr>
        <w:ind w:left="1500" w:hanging="360"/>
      </w:pPr>
      <w:rPr>
        <w:rFonts w:ascii="Symbol" w:hAnsi="Symbol"/>
      </w:rPr>
    </w:lvl>
    <w:lvl w:ilvl="5" w:tplc="0068F894">
      <w:start w:val="1"/>
      <w:numFmt w:val="bullet"/>
      <w:lvlText w:val=""/>
      <w:lvlJc w:val="left"/>
      <w:pPr>
        <w:ind w:left="1500" w:hanging="360"/>
      </w:pPr>
      <w:rPr>
        <w:rFonts w:ascii="Symbol" w:hAnsi="Symbol"/>
      </w:rPr>
    </w:lvl>
    <w:lvl w:ilvl="6" w:tplc="F6CA33E2">
      <w:start w:val="1"/>
      <w:numFmt w:val="bullet"/>
      <w:lvlText w:val=""/>
      <w:lvlJc w:val="left"/>
      <w:pPr>
        <w:ind w:left="1500" w:hanging="360"/>
      </w:pPr>
      <w:rPr>
        <w:rFonts w:ascii="Symbol" w:hAnsi="Symbol"/>
      </w:rPr>
    </w:lvl>
    <w:lvl w:ilvl="7" w:tplc="F74498BC">
      <w:start w:val="1"/>
      <w:numFmt w:val="bullet"/>
      <w:lvlText w:val=""/>
      <w:lvlJc w:val="left"/>
      <w:pPr>
        <w:ind w:left="1500" w:hanging="360"/>
      </w:pPr>
      <w:rPr>
        <w:rFonts w:ascii="Symbol" w:hAnsi="Symbol"/>
      </w:rPr>
    </w:lvl>
    <w:lvl w:ilvl="8" w:tplc="D86E7806">
      <w:start w:val="1"/>
      <w:numFmt w:val="bullet"/>
      <w:lvlText w:val=""/>
      <w:lvlJc w:val="left"/>
      <w:pPr>
        <w:ind w:left="1500" w:hanging="360"/>
      </w:pPr>
      <w:rPr>
        <w:rFonts w:ascii="Symbol" w:hAnsi="Symbol"/>
      </w:rPr>
    </w:lvl>
  </w:abstractNum>
  <w:abstractNum w:abstractNumId="10" w15:restartNumberingAfterBreak="0">
    <w:nsid w:val="1C2B66C9"/>
    <w:multiLevelType w:val="hybridMultilevel"/>
    <w:tmpl w:val="FEDAB6F2"/>
    <w:lvl w:ilvl="0" w:tplc="0F0E09D8">
      <w:start w:val="1"/>
      <w:numFmt w:val="bullet"/>
      <w:lvlText w:val=""/>
      <w:lvlJc w:val="left"/>
      <w:pPr>
        <w:ind w:left="1440" w:hanging="360"/>
      </w:pPr>
      <w:rPr>
        <w:rFonts w:ascii="Symbol" w:hAnsi="Symbol"/>
      </w:rPr>
    </w:lvl>
    <w:lvl w:ilvl="1" w:tplc="271246B0">
      <w:start w:val="1"/>
      <w:numFmt w:val="bullet"/>
      <w:lvlText w:val=""/>
      <w:lvlJc w:val="left"/>
      <w:pPr>
        <w:ind w:left="1440" w:hanging="360"/>
      </w:pPr>
      <w:rPr>
        <w:rFonts w:ascii="Symbol" w:hAnsi="Symbol"/>
      </w:rPr>
    </w:lvl>
    <w:lvl w:ilvl="2" w:tplc="1E32D37E">
      <w:start w:val="1"/>
      <w:numFmt w:val="bullet"/>
      <w:lvlText w:val=""/>
      <w:lvlJc w:val="left"/>
      <w:pPr>
        <w:ind w:left="1440" w:hanging="360"/>
      </w:pPr>
      <w:rPr>
        <w:rFonts w:ascii="Symbol" w:hAnsi="Symbol"/>
      </w:rPr>
    </w:lvl>
    <w:lvl w:ilvl="3" w:tplc="1A68786C">
      <w:start w:val="1"/>
      <w:numFmt w:val="bullet"/>
      <w:lvlText w:val=""/>
      <w:lvlJc w:val="left"/>
      <w:pPr>
        <w:ind w:left="1440" w:hanging="360"/>
      </w:pPr>
      <w:rPr>
        <w:rFonts w:ascii="Symbol" w:hAnsi="Symbol"/>
      </w:rPr>
    </w:lvl>
    <w:lvl w:ilvl="4" w:tplc="398CF92A">
      <w:start w:val="1"/>
      <w:numFmt w:val="bullet"/>
      <w:lvlText w:val=""/>
      <w:lvlJc w:val="left"/>
      <w:pPr>
        <w:ind w:left="1440" w:hanging="360"/>
      </w:pPr>
      <w:rPr>
        <w:rFonts w:ascii="Symbol" w:hAnsi="Symbol"/>
      </w:rPr>
    </w:lvl>
    <w:lvl w:ilvl="5" w:tplc="8ACA0910">
      <w:start w:val="1"/>
      <w:numFmt w:val="bullet"/>
      <w:lvlText w:val=""/>
      <w:lvlJc w:val="left"/>
      <w:pPr>
        <w:ind w:left="1440" w:hanging="360"/>
      </w:pPr>
      <w:rPr>
        <w:rFonts w:ascii="Symbol" w:hAnsi="Symbol"/>
      </w:rPr>
    </w:lvl>
    <w:lvl w:ilvl="6" w:tplc="1B12E598">
      <w:start w:val="1"/>
      <w:numFmt w:val="bullet"/>
      <w:lvlText w:val=""/>
      <w:lvlJc w:val="left"/>
      <w:pPr>
        <w:ind w:left="1440" w:hanging="360"/>
      </w:pPr>
      <w:rPr>
        <w:rFonts w:ascii="Symbol" w:hAnsi="Symbol"/>
      </w:rPr>
    </w:lvl>
    <w:lvl w:ilvl="7" w:tplc="8626FC22">
      <w:start w:val="1"/>
      <w:numFmt w:val="bullet"/>
      <w:lvlText w:val=""/>
      <w:lvlJc w:val="left"/>
      <w:pPr>
        <w:ind w:left="1440" w:hanging="360"/>
      </w:pPr>
      <w:rPr>
        <w:rFonts w:ascii="Symbol" w:hAnsi="Symbol"/>
      </w:rPr>
    </w:lvl>
    <w:lvl w:ilvl="8" w:tplc="3E22322E">
      <w:start w:val="1"/>
      <w:numFmt w:val="bullet"/>
      <w:lvlText w:val=""/>
      <w:lvlJc w:val="left"/>
      <w:pPr>
        <w:ind w:left="1440" w:hanging="360"/>
      </w:pPr>
      <w:rPr>
        <w:rFonts w:ascii="Symbol" w:hAnsi="Symbol"/>
      </w:rPr>
    </w:lvl>
  </w:abstractNum>
  <w:abstractNum w:abstractNumId="11" w15:restartNumberingAfterBreak="0">
    <w:nsid w:val="1D186467"/>
    <w:multiLevelType w:val="hybridMultilevel"/>
    <w:tmpl w:val="3A403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2680375C"/>
    <w:multiLevelType w:val="hybridMultilevel"/>
    <w:tmpl w:val="B446562A"/>
    <w:lvl w:ilvl="0" w:tplc="DEFCFD62">
      <w:start w:val="1"/>
      <w:numFmt w:val="bullet"/>
      <w:pStyle w:val="ListParagraph"/>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4" w15:restartNumberingAfterBreak="0">
    <w:nsid w:val="2F9F340C"/>
    <w:multiLevelType w:val="hybridMultilevel"/>
    <w:tmpl w:val="D1ECDF76"/>
    <w:lvl w:ilvl="0" w:tplc="4462AF14">
      <w:start w:val="1"/>
      <w:numFmt w:val="bullet"/>
      <w:lvlText w:val=""/>
      <w:lvlJc w:val="left"/>
      <w:pPr>
        <w:ind w:left="1500" w:hanging="360"/>
      </w:pPr>
      <w:rPr>
        <w:rFonts w:ascii="Symbol" w:hAnsi="Symbol"/>
      </w:rPr>
    </w:lvl>
    <w:lvl w:ilvl="1" w:tplc="11F0649E">
      <w:start w:val="1"/>
      <w:numFmt w:val="bullet"/>
      <w:lvlText w:val=""/>
      <w:lvlJc w:val="left"/>
      <w:pPr>
        <w:ind w:left="1500" w:hanging="360"/>
      </w:pPr>
      <w:rPr>
        <w:rFonts w:ascii="Symbol" w:hAnsi="Symbol"/>
      </w:rPr>
    </w:lvl>
    <w:lvl w:ilvl="2" w:tplc="75744F32">
      <w:start w:val="1"/>
      <w:numFmt w:val="bullet"/>
      <w:lvlText w:val=""/>
      <w:lvlJc w:val="left"/>
      <w:pPr>
        <w:ind w:left="1500" w:hanging="360"/>
      </w:pPr>
      <w:rPr>
        <w:rFonts w:ascii="Symbol" w:hAnsi="Symbol"/>
      </w:rPr>
    </w:lvl>
    <w:lvl w:ilvl="3" w:tplc="BE0C5056">
      <w:start w:val="1"/>
      <w:numFmt w:val="bullet"/>
      <w:lvlText w:val=""/>
      <w:lvlJc w:val="left"/>
      <w:pPr>
        <w:ind w:left="1500" w:hanging="360"/>
      </w:pPr>
      <w:rPr>
        <w:rFonts w:ascii="Symbol" w:hAnsi="Symbol"/>
      </w:rPr>
    </w:lvl>
    <w:lvl w:ilvl="4" w:tplc="8A62562E">
      <w:start w:val="1"/>
      <w:numFmt w:val="bullet"/>
      <w:lvlText w:val=""/>
      <w:lvlJc w:val="left"/>
      <w:pPr>
        <w:ind w:left="1500" w:hanging="360"/>
      </w:pPr>
      <w:rPr>
        <w:rFonts w:ascii="Symbol" w:hAnsi="Symbol"/>
      </w:rPr>
    </w:lvl>
    <w:lvl w:ilvl="5" w:tplc="897E47E0">
      <w:start w:val="1"/>
      <w:numFmt w:val="bullet"/>
      <w:lvlText w:val=""/>
      <w:lvlJc w:val="left"/>
      <w:pPr>
        <w:ind w:left="1500" w:hanging="360"/>
      </w:pPr>
      <w:rPr>
        <w:rFonts w:ascii="Symbol" w:hAnsi="Symbol"/>
      </w:rPr>
    </w:lvl>
    <w:lvl w:ilvl="6" w:tplc="C4A470F0">
      <w:start w:val="1"/>
      <w:numFmt w:val="bullet"/>
      <w:lvlText w:val=""/>
      <w:lvlJc w:val="left"/>
      <w:pPr>
        <w:ind w:left="1500" w:hanging="360"/>
      </w:pPr>
      <w:rPr>
        <w:rFonts w:ascii="Symbol" w:hAnsi="Symbol"/>
      </w:rPr>
    </w:lvl>
    <w:lvl w:ilvl="7" w:tplc="3F6A38B8">
      <w:start w:val="1"/>
      <w:numFmt w:val="bullet"/>
      <w:lvlText w:val=""/>
      <w:lvlJc w:val="left"/>
      <w:pPr>
        <w:ind w:left="1500" w:hanging="360"/>
      </w:pPr>
      <w:rPr>
        <w:rFonts w:ascii="Symbol" w:hAnsi="Symbol"/>
      </w:rPr>
    </w:lvl>
    <w:lvl w:ilvl="8" w:tplc="3CB69526">
      <w:start w:val="1"/>
      <w:numFmt w:val="bullet"/>
      <w:lvlText w:val=""/>
      <w:lvlJc w:val="left"/>
      <w:pPr>
        <w:ind w:left="1500" w:hanging="360"/>
      </w:pPr>
      <w:rPr>
        <w:rFonts w:ascii="Symbol" w:hAnsi="Symbol"/>
      </w:rPr>
    </w:lvl>
  </w:abstractNum>
  <w:abstractNum w:abstractNumId="15" w15:restartNumberingAfterBreak="0">
    <w:nsid w:val="3EC26164"/>
    <w:multiLevelType w:val="hybridMultilevel"/>
    <w:tmpl w:val="E99A6196"/>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6"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770F0F"/>
    <w:multiLevelType w:val="hybridMultilevel"/>
    <w:tmpl w:val="EFDA0050"/>
    <w:lvl w:ilvl="0" w:tplc="7F50B36C">
      <w:start w:val="1"/>
      <w:numFmt w:val="bullet"/>
      <w:lvlText w:val=""/>
      <w:lvlJc w:val="left"/>
      <w:pPr>
        <w:ind w:left="1440" w:hanging="360"/>
      </w:pPr>
      <w:rPr>
        <w:rFonts w:ascii="Symbol" w:hAnsi="Symbol"/>
      </w:rPr>
    </w:lvl>
    <w:lvl w:ilvl="1" w:tplc="B82CFCEA">
      <w:start w:val="1"/>
      <w:numFmt w:val="bullet"/>
      <w:lvlText w:val=""/>
      <w:lvlJc w:val="left"/>
      <w:pPr>
        <w:ind w:left="1440" w:hanging="360"/>
      </w:pPr>
      <w:rPr>
        <w:rFonts w:ascii="Symbol" w:hAnsi="Symbol"/>
      </w:rPr>
    </w:lvl>
    <w:lvl w:ilvl="2" w:tplc="66A2C134">
      <w:start w:val="1"/>
      <w:numFmt w:val="bullet"/>
      <w:lvlText w:val=""/>
      <w:lvlJc w:val="left"/>
      <w:pPr>
        <w:ind w:left="1440" w:hanging="360"/>
      </w:pPr>
      <w:rPr>
        <w:rFonts w:ascii="Symbol" w:hAnsi="Symbol"/>
      </w:rPr>
    </w:lvl>
    <w:lvl w:ilvl="3" w:tplc="9E58255E">
      <w:start w:val="1"/>
      <w:numFmt w:val="bullet"/>
      <w:lvlText w:val=""/>
      <w:lvlJc w:val="left"/>
      <w:pPr>
        <w:ind w:left="1440" w:hanging="360"/>
      </w:pPr>
      <w:rPr>
        <w:rFonts w:ascii="Symbol" w:hAnsi="Symbol"/>
      </w:rPr>
    </w:lvl>
    <w:lvl w:ilvl="4" w:tplc="EB6E59C0">
      <w:start w:val="1"/>
      <w:numFmt w:val="bullet"/>
      <w:lvlText w:val=""/>
      <w:lvlJc w:val="left"/>
      <w:pPr>
        <w:ind w:left="1440" w:hanging="360"/>
      </w:pPr>
      <w:rPr>
        <w:rFonts w:ascii="Symbol" w:hAnsi="Symbol"/>
      </w:rPr>
    </w:lvl>
    <w:lvl w:ilvl="5" w:tplc="89F4D22C">
      <w:start w:val="1"/>
      <w:numFmt w:val="bullet"/>
      <w:lvlText w:val=""/>
      <w:lvlJc w:val="left"/>
      <w:pPr>
        <w:ind w:left="1440" w:hanging="360"/>
      </w:pPr>
      <w:rPr>
        <w:rFonts w:ascii="Symbol" w:hAnsi="Symbol"/>
      </w:rPr>
    </w:lvl>
    <w:lvl w:ilvl="6" w:tplc="89863CE8">
      <w:start w:val="1"/>
      <w:numFmt w:val="bullet"/>
      <w:lvlText w:val=""/>
      <w:lvlJc w:val="left"/>
      <w:pPr>
        <w:ind w:left="1440" w:hanging="360"/>
      </w:pPr>
      <w:rPr>
        <w:rFonts w:ascii="Symbol" w:hAnsi="Symbol"/>
      </w:rPr>
    </w:lvl>
    <w:lvl w:ilvl="7" w:tplc="F7EA63E4">
      <w:start w:val="1"/>
      <w:numFmt w:val="bullet"/>
      <w:lvlText w:val=""/>
      <w:lvlJc w:val="left"/>
      <w:pPr>
        <w:ind w:left="1440" w:hanging="360"/>
      </w:pPr>
      <w:rPr>
        <w:rFonts w:ascii="Symbol" w:hAnsi="Symbol"/>
      </w:rPr>
    </w:lvl>
    <w:lvl w:ilvl="8" w:tplc="995AB7B2">
      <w:start w:val="1"/>
      <w:numFmt w:val="bullet"/>
      <w:lvlText w:val=""/>
      <w:lvlJc w:val="left"/>
      <w:pPr>
        <w:ind w:left="1440" w:hanging="360"/>
      </w:pPr>
      <w:rPr>
        <w:rFonts w:ascii="Symbol" w:hAnsi="Symbol"/>
      </w:rPr>
    </w:lvl>
  </w:abstractNum>
  <w:abstractNum w:abstractNumId="19" w15:restartNumberingAfterBreak="0">
    <w:nsid w:val="63DB2404"/>
    <w:multiLevelType w:val="hybridMultilevel"/>
    <w:tmpl w:val="642ED950"/>
    <w:lvl w:ilvl="0" w:tplc="71DC5ED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6A57C34"/>
    <w:multiLevelType w:val="hybridMultilevel"/>
    <w:tmpl w:val="BB5ADB3A"/>
    <w:lvl w:ilvl="0" w:tplc="E98652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9737033">
    <w:abstractNumId w:val="2"/>
  </w:num>
  <w:num w:numId="2" w16cid:durableId="1244874731">
    <w:abstractNumId w:val="8"/>
  </w:num>
  <w:num w:numId="3" w16cid:durableId="1834369178">
    <w:abstractNumId w:val="5"/>
  </w:num>
  <w:num w:numId="4" w16cid:durableId="729621980">
    <w:abstractNumId w:val="3"/>
  </w:num>
  <w:num w:numId="5" w16cid:durableId="467238759">
    <w:abstractNumId w:val="12"/>
  </w:num>
  <w:num w:numId="6" w16cid:durableId="1237932114">
    <w:abstractNumId w:val="16"/>
  </w:num>
  <w:num w:numId="7" w16cid:durableId="1799059278">
    <w:abstractNumId w:val="1"/>
  </w:num>
  <w:num w:numId="8" w16cid:durableId="1712530828">
    <w:abstractNumId w:val="8"/>
  </w:num>
  <w:num w:numId="9" w16cid:durableId="1529752905">
    <w:abstractNumId w:val="0"/>
  </w:num>
  <w:num w:numId="10" w16cid:durableId="1693191331">
    <w:abstractNumId w:val="7"/>
  </w:num>
  <w:num w:numId="11" w16cid:durableId="1110271873">
    <w:abstractNumId w:val="8"/>
  </w:num>
  <w:num w:numId="12" w16cid:durableId="991257336">
    <w:abstractNumId w:val="5"/>
  </w:num>
  <w:num w:numId="13" w16cid:durableId="1860776656">
    <w:abstractNumId w:val="17"/>
  </w:num>
  <w:num w:numId="14" w16cid:durableId="52388051">
    <w:abstractNumId w:val="5"/>
  </w:num>
  <w:num w:numId="15" w16cid:durableId="16245372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5434137">
    <w:abstractNumId w:val="2"/>
  </w:num>
  <w:num w:numId="17" w16cid:durableId="1658532647">
    <w:abstractNumId w:val="6"/>
  </w:num>
  <w:num w:numId="18" w16cid:durableId="603995212">
    <w:abstractNumId w:val="20"/>
  </w:num>
  <w:num w:numId="19" w16cid:durableId="928660552">
    <w:abstractNumId w:val="2"/>
  </w:num>
  <w:num w:numId="20" w16cid:durableId="413481302">
    <w:abstractNumId w:val="19"/>
  </w:num>
  <w:num w:numId="21" w16cid:durableId="1733696865">
    <w:abstractNumId w:val="8"/>
  </w:num>
  <w:num w:numId="22" w16cid:durableId="587621840">
    <w:abstractNumId w:val="8"/>
  </w:num>
  <w:num w:numId="23" w16cid:durableId="1394113051">
    <w:abstractNumId w:val="2"/>
  </w:num>
  <w:num w:numId="24" w16cid:durableId="1614244911">
    <w:abstractNumId w:val="2"/>
  </w:num>
  <w:num w:numId="25" w16cid:durableId="1759643262">
    <w:abstractNumId w:val="2"/>
  </w:num>
  <w:num w:numId="26" w16cid:durableId="923338882">
    <w:abstractNumId w:val="2"/>
  </w:num>
  <w:num w:numId="27" w16cid:durableId="1209758330">
    <w:abstractNumId w:val="2"/>
  </w:num>
  <w:num w:numId="28" w16cid:durableId="1945765841">
    <w:abstractNumId w:val="2"/>
  </w:num>
  <w:num w:numId="29" w16cid:durableId="1286689984">
    <w:abstractNumId w:val="2"/>
  </w:num>
  <w:num w:numId="30" w16cid:durableId="886183668">
    <w:abstractNumId w:val="4"/>
  </w:num>
  <w:num w:numId="31" w16cid:durableId="763258061">
    <w:abstractNumId w:val="14"/>
  </w:num>
  <w:num w:numId="32" w16cid:durableId="1823153810">
    <w:abstractNumId w:val="18"/>
  </w:num>
  <w:num w:numId="33" w16cid:durableId="2127652851">
    <w:abstractNumId w:val="9"/>
  </w:num>
  <w:num w:numId="34" w16cid:durableId="999232369">
    <w:abstractNumId w:val="10"/>
  </w:num>
  <w:num w:numId="35" w16cid:durableId="575632375">
    <w:abstractNumId w:val="13"/>
  </w:num>
  <w:num w:numId="36" w16cid:durableId="380253211">
    <w:abstractNumId w:val="11"/>
  </w:num>
  <w:num w:numId="37" w16cid:durableId="1055660485">
    <w:abstractNumId w:val="15"/>
  </w:num>
  <w:num w:numId="38" w16cid:durableId="660239018">
    <w:abstractNumId w:val="2"/>
  </w:num>
  <w:num w:numId="39" w16cid:durableId="1610745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8F"/>
    <w:rsid w:val="0000215A"/>
    <w:rsid w:val="000029FD"/>
    <w:rsid w:val="00002A83"/>
    <w:rsid w:val="00005928"/>
    <w:rsid w:val="0000598B"/>
    <w:rsid w:val="00005EF7"/>
    <w:rsid w:val="00011833"/>
    <w:rsid w:val="00011D11"/>
    <w:rsid w:val="000221A8"/>
    <w:rsid w:val="000236D0"/>
    <w:rsid w:val="000239F3"/>
    <w:rsid w:val="00026A8F"/>
    <w:rsid w:val="00027A70"/>
    <w:rsid w:val="00031114"/>
    <w:rsid w:val="000318F3"/>
    <w:rsid w:val="00031FD4"/>
    <w:rsid w:val="00033D7F"/>
    <w:rsid w:val="00034690"/>
    <w:rsid w:val="00036747"/>
    <w:rsid w:val="000413D2"/>
    <w:rsid w:val="00042508"/>
    <w:rsid w:val="00043BE6"/>
    <w:rsid w:val="00043D80"/>
    <w:rsid w:val="00046C57"/>
    <w:rsid w:val="00046F3C"/>
    <w:rsid w:val="00047C4B"/>
    <w:rsid w:val="0005697E"/>
    <w:rsid w:val="000615D0"/>
    <w:rsid w:val="0006375C"/>
    <w:rsid w:val="00066723"/>
    <w:rsid w:val="0007085D"/>
    <w:rsid w:val="00076075"/>
    <w:rsid w:val="00083020"/>
    <w:rsid w:val="00083C72"/>
    <w:rsid w:val="0008518C"/>
    <w:rsid w:val="000856B5"/>
    <w:rsid w:val="00086DA4"/>
    <w:rsid w:val="000A1CD8"/>
    <w:rsid w:val="000A61D6"/>
    <w:rsid w:val="000B1096"/>
    <w:rsid w:val="000B3A08"/>
    <w:rsid w:val="000B4202"/>
    <w:rsid w:val="000B4A77"/>
    <w:rsid w:val="000B550E"/>
    <w:rsid w:val="000D5327"/>
    <w:rsid w:val="000D6799"/>
    <w:rsid w:val="000D7159"/>
    <w:rsid w:val="000D7B64"/>
    <w:rsid w:val="000D7DAB"/>
    <w:rsid w:val="000E36C7"/>
    <w:rsid w:val="000F0738"/>
    <w:rsid w:val="000F1C89"/>
    <w:rsid w:val="000F4241"/>
    <w:rsid w:val="000F5CEC"/>
    <w:rsid w:val="000F6450"/>
    <w:rsid w:val="001061E0"/>
    <w:rsid w:val="0010759A"/>
    <w:rsid w:val="00114420"/>
    <w:rsid w:val="0012034D"/>
    <w:rsid w:val="00124891"/>
    <w:rsid w:val="00124ACB"/>
    <w:rsid w:val="00127251"/>
    <w:rsid w:val="001277D4"/>
    <w:rsid w:val="00130E96"/>
    <w:rsid w:val="00132B52"/>
    <w:rsid w:val="00133764"/>
    <w:rsid w:val="00133D00"/>
    <w:rsid w:val="00141914"/>
    <w:rsid w:val="00143E72"/>
    <w:rsid w:val="0014571A"/>
    <w:rsid w:val="00147E33"/>
    <w:rsid w:val="00157D29"/>
    <w:rsid w:val="0016273B"/>
    <w:rsid w:val="00162A02"/>
    <w:rsid w:val="00163E83"/>
    <w:rsid w:val="0016606E"/>
    <w:rsid w:val="00173332"/>
    <w:rsid w:val="001872F5"/>
    <w:rsid w:val="001951FE"/>
    <w:rsid w:val="00197950"/>
    <w:rsid w:val="001A106D"/>
    <w:rsid w:val="001A2BAC"/>
    <w:rsid w:val="001A30FE"/>
    <w:rsid w:val="001A526D"/>
    <w:rsid w:val="001A5C52"/>
    <w:rsid w:val="001A5CB6"/>
    <w:rsid w:val="001A62E6"/>
    <w:rsid w:val="001A6E57"/>
    <w:rsid w:val="001A7A75"/>
    <w:rsid w:val="001B001E"/>
    <w:rsid w:val="001B0313"/>
    <w:rsid w:val="001B4826"/>
    <w:rsid w:val="001B5269"/>
    <w:rsid w:val="001B630E"/>
    <w:rsid w:val="001C38D1"/>
    <w:rsid w:val="001C3BB8"/>
    <w:rsid w:val="001C3DC0"/>
    <w:rsid w:val="001C731D"/>
    <w:rsid w:val="001D33B4"/>
    <w:rsid w:val="001E1393"/>
    <w:rsid w:val="001E3499"/>
    <w:rsid w:val="001E4069"/>
    <w:rsid w:val="001E4F30"/>
    <w:rsid w:val="001E7DF1"/>
    <w:rsid w:val="00202EBE"/>
    <w:rsid w:val="0020324F"/>
    <w:rsid w:val="00203CA1"/>
    <w:rsid w:val="00206DF9"/>
    <w:rsid w:val="00210DAD"/>
    <w:rsid w:val="002161DA"/>
    <w:rsid w:val="002178DE"/>
    <w:rsid w:val="00217A99"/>
    <w:rsid w:val="002229CA"/>
    <w:rsid w:val="00223163"/>
    <w:rsid w:val="00223FD8"/>
    <w:rsid w:val="00224C33"/>
    <w:rsid w:val="002277D1"/>
    <w:rsid w:val="00227F31"/>
    <w:rsid w:val="00235315"/>
    <w:rsid w:val="00241809"/>
    <w:rsid w:val="00246100"/>
    <w:rsid w:val="002473A0"/>
    <w:rsid w:val="00256253"/>
    <w:rsid w:val="0025783C"/>
    <w:rsid w:val="00261209"/>
    <w:rsid w:val="00261232"/>
    <w:rsid w:val="002625EF"/>
    <w:rsid w:val="00264D0B"/>
    <w:rsid w:val="00266A38"/>
    <w:rsid w:val="00266AB2"/>
    <w:rsid w:val="00271335"/>
    <w:rsid w:val="0027195C"/>
    <w:rsid w:val="0027569D"/>
    <w:rsid w:val="00276E71"/>
    <w:rsid w:val="002927AC"/>
    <w:rsid w:val="00297718"/>
    <w:rsid w:val="002A0D54"/>
    <w:rsid w:val="002A0EF4"/>
    <w:rsid w:val="002A2336"/>
    <w:rsid w:val="002A358C"/>
    <w:rsid w:val="002A7DB5"/>
    <w:rsid w:val="002B2EFD"/>
    <w:rsid w:val="002B4F1D"/>
    <w:rsid w:val="002B59EB"/>
    <w:rsid w:val="002C32A6"/>
    <w:rsid w:val="002C4B4D"/>
    <w:rsid w:val="002C504D"/>
    <w:rsid w:val="002E3A27"/>
    <w:rsid w:val="002E4D89"/>
    <w:rsid w:val="002F08AA"/>
    <w:rsid w:val="002F13B3"/>
    <w:rsid w:val="002F65B1"/>
    <w:rsid w:val="002F6915"/>
    <w:rsid w:val="003049B1"/>
    <w:rsid w:val="00305BB8"/>
    <w:rsid w:val="00307AFC"/>
    <w:rsid w:val="00312808"/>
    <w:rsid w:val="00321C5E"/>
    <w:rsid w:val="00324B8F"/>
    <w:rsid w:val="00332BC2"/>
    <w:rsid w:val="00335B7E"/>
    <w:rsid w:val="00346935"/>
    <w:rsid w:val="003525EF"/>
    <w:rsid w:val="00361A8A"/>
    <w:rsid w:val="00361C71"/>
    <w:rsid w:val="00364702"/>
    <w:rsid w:val="0036474B"/>
    <w:rsid w:val="0036520F"/>
    <w:rsid w:val="00365D45"/>
    <w:rsid w:val="00375584"/>
    <w:rsid w:val="00385041"/>
    <w:rsid w:val="003850F4"/>
    <w:rsid w:val="00386FBA"/>
    <w:rsid w:val="00391369"/>
    <w:rsid w:val="00397F62"/>
    <w:rsid w:val="003A3920"/>
    <w:rsid w:val="003A41D9"/>
    <w:rsid w:val="003A574E"/>
    <w:rsid w:val="003A7278"/>
    <w:rsid w:val="003B4E91"/>
    <w:rsid w:val="003C37F7"/>
    <w:rsid w:val="003D3A7F"/>
    <w:rsid w:val="003D3E68"/>
    <w:rsid w:val="003D43E1"/>
    <w:rsid w:val="003D5946"/>
    <w:rsid w:val="003D70AC"/>
    <w:rsid w:val="003D7856"/>
    <w:rsid w:val="003E2AF6"/>
    <w:rsid w:val="003E38FF"/>
    <w:rsid w:val="003F13E3"/>
    <w:rsid w:val="003F1A32"/>
    <w:rsid w:val="003F27E6"/>
    <w:rsid w:val="003F2C62"/>
    <w:rsid w:val="003F4CB0"/>
    <w:rsid w:val="003F5590"/>
    <w:rsid w:val="003F76D0"/>
    <w:rsid w:val="003F7D81"/>
    <w:rsid w:val="004058B4"/>
    <w:rsid w:val="00410767"/>
    <w:rsid w:val="00410A63"/>
    <w:rsid w:val="004111F7"/>
    <w:rsid w:val="00414FA4"/>
    <w:rsid w:val="00415F51"/>
    <w:rsid w:val="00420E65"/>
    <w:rsid w:val="00425006"/>
    <w:rsid w:val="00425B0F"/>
    <w:rsid w:val="00433A11"/>
    <w:rsid w:val="00435361"/>
    <w:rsid w:val="00435FCF"/>
    <w:rsid w:val="00444E0E"/>
    <w:rsid w:val="004468B9"/>
    <w:rsid w:val="0045152B"/>
    <w:rsid w:val="00455BFE"/>
    <w:rsid w:val="00455E32"/>
    <w:rsid w:val="004612E8"/>
    <w:rsid w:val="00462904"/>
    <w:rsid w:val="00473601"/>
    <w:rsid w:val="00474777"/>
    <w:rsid w:val="0048484B"/>
    <w:rsid w:val="0049494A"/>
    <w:rsid w:val="00496C72"/>
    <w:rsid w:val="00497A54"/>
    <w:rsid w:val="004A527E"/>
    <w:rsid w:val="004A5966"/>
    <w:rsid w:val="004B3F8F"/>
    <w:rsid w:val="004C3698"/>
    <w:rsid w:val="004C3FF9"/>
    <w:rsid w:val="004D4D28"/>
    <w:rsid w:val="004D56DE"/>
    <w:rsid w:val="004D5FF7"/>
    <w:rsid w:val="004E01F0"/>
    <w:rsid w:val="004E217C"/>
    <w:rsid w:val="004E2F19"/>
    <w:rsid w:val="004E4003"/>
    <w:rsid w:val="004F28A0"/>
    <w:rsid w:val="004F4601"/>
    <w:rsid w:val="004F6647"/>
    <w:rsid w:val="00502948"/>
    <w:rsid w:val="00503C5C"/>
    <w:rsid w:val="00504B9C"/>
    <w:rsid w:val="005060A2"/>
    <w:rsid w:val="005108D1"/>
    <w:rsid w:val="00510BF6"/>
    <w:rsid w:val="00510E3F"/>
    <w:rsid w:val="005125B6"/>
    <w:rsid w:val="00513531"/>
    <w:rsid w:val="00515662"/>
    <w:rsid w:val="005161BE"/>
    <w:rsid w:val="00524898"/>
    <w:rsid w:val="00525086"/>
    <w:rsid w:val="005250BD"/>
    <w:rsid w:val="00525F5D"/>
    <w:rsid w:val="0053318D"/>
    <w:rsid w:val="00535A25"/>
    <w:rsid w:val="00537B47"/>
    <w:rsid w:val="00540755"/>
    <w:rsid w:val="00540AB6"/>
    <w:rsid w:val="00545114"/>
    <w:rsid w:val="005458A8"/>
    <w:rsid w:val="0055701E"/>
    <w:rsid w:val="00561014"/>
    <w:rsid w:val="00561083"/>
    <w:rsid w:val="00562F7D"/>
    <w:rsid w:val="005674A1"/>
    <w:rsid w:val="00570C2A"/>
    <w:rsid w:val="00572512"/>
    <w:rsid w:val="00574AB1"/>
    <w:rsid w:val="00574FF8"/>
    <w:rsid w:val="00577C61"/>
    <w:rsid w:val="00580543"/>
    <w:rsid w:val="0058575E"/>
    <w:rsid w:val="0059491C"/>
    <w:rsid w:val="00594BF2"/>
    <w:rsid w:val="00594FAF"/>
    <w:rsid w:val="005A0282"/>
    <w:rsid w:val="005A3356"/>
    <w:rsid w:val="005A3F82"/>
    <w:rsid w:val="005A6F2E"/>
    <w:rsid w:val="005B3B19"/>
    <w:rsid w:val="005B5705"/>
    <w:rsid w:val="005B7902"/>
    <w:rsid w:val="005C184F"/>
    <w:rsid w:val="005C4E17"/>
    <w:rsid w:val="005C67C8"/>
    <w:rsid w:val="005D3F6C"/>
    <w:rsid w:val="005D4DBC"/>
    <w:rsid w:val="005D5A66"/>
    <w:rsid w:val="005D7574"/>
    <w:rsid w:val="005E0827"/>
    <w:rsid w:val="005E661F"/>
    <w:rsid w:val="005E6AA4"/>
    <w:rsid w:val="005E6AB5"/>
    <w:rsid w:val="005F066A"/>
    <w:rsid w:val="005F4D25"/>
    <w:rsid w:val="005F6958"/>
    <w:rsid w:val="005F7D0B"/>
    <w:rsid w:val="00601D4B"/>
    <w:rsid w:val="00605031"/>
    <w:rsid w:val="006149D6"/>
    <w:rsid w:val="006158D7"/>
    <w:rsid w:val="006222D2"/>
    <w:rsid w:val="006246F9"/>
    <w:rsid w:val="0063033A"/>
    <w:rsid w:val="00630EA8"/>
    <w:rsid w:val="00631705"/>
    <w:rsid w:val="00632BCA"/>
    <w:rsid w:val="00636554"/>
    <w:rsid w:val="00640E7D"/>
    <w:rsid w:val="00640EBD"/>
    <w:rsid w:val="006426CA"/>
    <w:rsid w:val="006510C1"/>
    <w:rsid w:val="0065473E"/>
    <w:rsid w:val="00657E51"/>
    <w:rsid w:val="00660229"/>
    <w:rsid w:val="006626EC"/>
    <w:rsid w:val="00664031"/>
    <w:rsid w:val="00672AB0"/>
    <w:rsid w:val="0067519B"/>
    <w:rsid w:val="00677CB5"/>
    <w:rsid w:val="00677ED3"/>
    <w:rsid w:val="00680681"/>
    <w:rsid w:val="006819E2"/>
    <w:rsid w:val="00683A72"/>
    <w:rsid w:val="006865B3"/>
    <w:rsid w:val="00686B06"/>
    <w:rsid w:val="00686B5C"/>
    <w:rsid w:val="00687CBA"/>
    <w:rsid w:val="0069432D"/>
    <w:rsid w:val="006950F6"/>
    <w:rsid w:val="006A10AE"/>
    <w:rsid w:val="006A1FF3"/>
    <w:rsid w:val="006B19D8"/>
    <w:rsid w:val="006B2DCE"/>
    <w:rsid w:val="006C0FBB"/>
    <w:rsid w:val="006C10A0"/>
    <w:rsid w:val="006C1996"/>
    <w:rsid w:val="006C2FCC"/>
    <w:rsid w:val="006C7229"/>
    <w:rsid w:val="006D2DE0"/>
    <w:rsid w:val="006D3898"/>
    <w:rsid w:val="006D441D"/>
    <w:rsid w:val="006D4EBF"/>
    <w:rsid w:val="006D517B"/>
    <w:rsid w:val="006E052C"/>
    <w:rsid w:val="006E4B9C"/>
    <w:rsid w:val="006E794F"/>
    <w:rsid w:val="006E7BF9"/>
    <w:rsid w:val="006F4515"/>
    <w:rsid w:val="006F63E4"/>
    <w:rsid w:val="007039BD"/>
    <w:rsid w:val="0070624B"/>
    <w:rsid w:val="00707B89"/>
    <w:rsid w:val="00710B4E"/>
    <w:rsid w:val="007155F3"/>
    <w:rsid w:val="007169E8"/>
    <w:rsid w:val="0072133D"/>
    <w:rsid w:val="007227CD"/>
    <w:rsid w:val="00722954"/>
    <w:rsid w:val="007234EB"/>
    <w:rsid w:val="00731DE8"/>
    <w:rsid w:val="00735C58"/>
    <w:rsid w:val="00737F4E"/>
    <w:rsid w:val="00740C8B"/>
    <w:rsid w:val="00744EE0"/>
    <w:rsid w:val="0074546F"/>
    <w:rsid w:val="00745F5E"/>
    <w:rsid w:val="007519C8"/>
    <w:rsid w:val="007602C2"/>
    <w:rsid w:val="007606A4"/>
    <w:rsid w:val="00761D1E"/>
    <w:rsid w:val="007633FE"/>
    <w:rsid w:val="007702B8"/>
    <w:rsid w:val="00771E5C"/>
    <w:rsid w:val="00776B25"/>
    <w:rsid w:val="00780A21"/>
    <w:rsid w:val="00780E12"/>
    <w:rsid w:val="007811AA"/>
    <w:rsid w:val="00790744"/>
    <w:rsid w:val="0079079D"/>
    <w:rsid w:val="007924E3"/>
    <w:rsid w:val="007929E0"/>
    <w:rsid w:val="00792DD7"/>
    <w:rsid w:val="00793044"/>
    <w:rsid w:val="007937D3"/>
    <w:rsid w:val="007942B3"/>
    <w:rsid w:val="007A0C39"/>
    <w:rsid w:val="007A26EA"/>
    <w:rsid w:val="007A3873"/>
    <w:rsid w:val="007A78AA"/>
    <w:rsid w:val="007B09C3"/>
    <w:rsid w:val="007B49CD"/>
    <w:rsid w:val="007C1571"/>
    <w:rsid w:val="007C3F41"/>
    <w:rsid w:val="007C5F7A"/>
    <w:rsid w:val="007D096E"/>
    <w:rsid w:val="007D3E3D"/>
    <w:rsid w:val="007D619E"/>
    <w:rsid w:val="007E22ED"/>
    <w:rsid w:val="007F07AC"/>
    <w:rsid w:val="007F0A77"/>
    <w:rsid w:val="007F122E"/>
    <w:rsid w:val="007F382A"/>
    <w:rsid w:val="007F4C3E"/>
    <w:rsid w:val="007F54E4"/>
    <w:rsid w:val="007F552D"/>
    <w:rsid w:val="007F5F27"/>
    <w:rsid w:val="00803EF5"/>
    <w:rsid w:val="00804E2E"/>
    <w:rsid w:val="00805B79"/>
    <w:rsid w:val="008102EC"/>
    <w:rsid w:val="00810E9D"/>
    <w:rsid w:val="00813312"/>
    <w:rsid w:val="00815B8F"/>
    <w:rsid w:val="00816C57"/>
    <w:rsid w:val="0082018D"/>
    <w:rsid w:val="008203F8"/>
    <w:rsid w:val="00820CF4"/>
    <w:rsid w:val="00825156"/>
    <w:rsid w:val="008265C9"/>
    <w:rsid w:val="008309A9"/>
    <w:rsid w:val="00830C91"/>
    <w:rsid w:val="00830DCD"/>
    <w:rsid w:val="00831827"/>
    <w:rsid w:val="008356AD"/>
    <w:rsid w:val="00837D15"/>
    <w:rsid w:val="0084123E"/>
    <w:rsid w:val="00844C17"/>
    <w:rsid w:val="0084574B"/>
    <w:rsid w:val="008474C3"/>
    <w:rsid w:val="00847D0D"/>
    <w:rsid w:val="008535FE"/>
    <w:rsid w:val="00855056"/>
    <w:rsid w:val="00862D93"/>
    <w:rsid w:val="00864630"/>
    <w:rsid w:val="008650B3"/>
    <w:rsid w:val="00866C60"/>
    <w:rsid w:val="0086785D"/>
    <w:rsid w:val="008701FB"/>
    <w:rsid w:val="00875093"/>
    <w:rsid w:val="008755C9"/>
    <w:rsid w:val="00876813"/>
    <w:rsid w:val="008924A9"/>
    <w:rsid w:val="0089410A"/>
    <w:rsid w:val="0089509F"/>
    <w:rsid w:val="008A376A"/>
    <w:rsid w:val="008A483A"/>
    <w:rsid w:val="008A5CF7"/>
    <w:rsid w:val="008B0842"/>
    <w:rsid w:val="008B6778"/>
    <w:rsid w:val="008B680B"/>
    <w:rsid w:val="008C2251"/>
    <w:rsid w:val="008C27F9"/>
    <w:rsid w:val="008C506A"/>
    <w:rsid w:val="008C6BD9"/>
    <w:rsid w:val="008C7764"/>
    <w:rsid w:val="008D028B"/>
    <w:rsid w:val="008D0C2C"/>
    <w:rsid w:val="008D0E72"/>
    <w:rsid w:val="008D71F1"/>
    <w:rsid w:val="008E1F92"/>
    <w:rsid w:val="008E46BF"/>
    <w:rsid w:val="008E48B0"/>
    <w:rsid w:val="008E6696"/>
    <w:rsid w:val="008E728F"/>
    <w:rsid w:val="008F13CA"/>
    <w:rsid w:val="008F16D3"/>
    <w:rsid w:val="008F65DB"/>
    <w:rsid w:val="00901F65"/>
    <w:rsid w:val="00904DC7"/>
    <w:rsid w:val="00911A2C"/>
    <w:rsid w:val="009128E4"/>
    <w:rsid w:val="00912D3B"/>
    <w:rsid w:val="009160BD"/>
    <w:rsid w:val="00916262"/>
    <w:rsid w:val="00925A93"/>
    <w:rsid w:val="009322F4"/>
    <w:rsid w:val="0093707F"/>
    <w:rsid w:val="00945385"/>
    <w:rsid w:val="00945D1D"/>
    <w:rsid w:val="0095067D"/>
    <w:rsid w:val="009543AD"/>
    <w:rsid w:val="00954A66"/>
    <w:rsid w:val="00954F39"/>
    <w:rsid w:val="00962DF2"/>
    <w:rsid w:val="009656E8"/>
    <w:rsid w:val="009661B9"/>
    <w:rsid w:val="00966877"/>
    <w:rsid w:val="00966EE6"/>
    <w:rsid w:val="00973D31"/>
    <w:rsid w:val="00977F26"/>
    <w:rsid w:val="0098116A"/>
    <w:rsid w:val="00986E81"/>
    <w:rsid w:val="00986F89"/>
    <w:rsid w:val="009A15DA"/>
    <w:rsid w:val="009A4C15"/>
    <w:rsid w:val="009B408B"/>
    <w:rsid w:val="009C1FA9"/>
    <w:rsid w:val="009C3103"/>
    <w:rsid w:val="009C4B31"/>
    <w:rsid w:val="009C721F"/>
    <w:rsid w:val="009D1ED8"/>
    <w:rsid w:val="009D5A19"/>
    <w:rsid w:val="009D5A22"/>
    <w:rsid w:val="009D6D90"/>
    <w:rsid w:val="009E055F"/>
    <w:rsid w:val="009E639A"/>
    <w:rsid w:val="009F178C"/>
    <w:rsid w:val="009F3C0F"/>
    <w:rsid w:val="009F44ED"/>
    <w:rsid w:val="009F715B"/>
    <w:rsid w:val="009F7B77"/>
    <w:rsid w:val="00A00470"/>
    <w:rsid w:val="00A0048A"/>
    <w:rsid w:val="00A00CB9"/>
    <w:rsid w:val="00A01118"/>
    <w:rsid w:val="00A01EA1"/>
    <w:rsid w:val="00A07314"/>
    <w:rsid w:val="00A11920"/>
    <w:rsid w:val="00A21A74"/>
    <w:rsid w:val="00A25759"/>
    <w:rsid w:val="00A26386"/>
    <w:rsid w:val="00A32D7F"/>
    <w:rsid w:val="00A42DD7"/>
    <w:rsid w:val="00A4318B"/>
    <w:rsid w:val="00A46FAA"/>
    <w:rsid w:val="00A51BC4"/>
    <w:rsid w:val="00A57B24"/>
    <w:rsid w:val="00A57D7E"/>
    <w:rsid w:val="00A62982"/>
    <w:rsid w:val="00A63953"/>
    <w:rsid w:val="00A8124D"/>
    <w:rsid w:val="00A855A1"/>
    <w:rsid w:val="00A864AC"/>
    <w:rsid w:val="00A87A18"/>
    <w:rsid w:val="00A923FA"/>
    <w:rsid w:val="00AA1C0B"/>
    <w:rsid w:val="00AA2306"/>
    <w:rsid w:val="00AA6060"/>
    <w:rsid w:val="00AA64D3"/>
    <w:rsid w:val="00AA67E0"/>
    <w:rsid w:val="00AA6BBA"/>
    <w:rsid w:val="00AB42B1"/>
    <w:rsid w:val="00AC57D6"/>
    <w:rsid w:val="00AC76F1"/>
    <w:rsid w:val="00AD11CC"/>
    <w:rsid w:val="00AD1D70"/>
    <w:rsid w:val="00AD3CD0"/>
    <w:rsid w:val="00AD7E61"/>
    <w:rsid w:val="00AE0637"/>
    <w:rsid w:val="00AE2113"/>
    <w:rsid w:val="00AE66EB"/>
    <w:rsid w:val="00AF0347"/>
    <w:rsid w:val="00AF0903"/>
    <w:rsid w:val="00AF52AF"/>
    <w:rsid w:val="00AF7241"/>
    <w:rsid w:val="00B00514"/>
    <w:rsid w:val="00B00812"/>
    <w:rsid w:val="00B01609"/>
    <w:rsid w:val="00B05495"/>
    <w:rsid w:val="00B14279"/>
    <w:rsid w:val="00B1577C"/>
    <w:rsid w:val="00B16342"/>
    <w:rsid w:val="00B20CEB"/>
    <w:rsid w:val="00B26F8E"/>
    <w:rsid w:val="00B27000"/>
    <w:rsid w:val="00B34B75"/>
    <w:rsid w:val="00B40584"/>
    <w:rsid w:val="00B423B8"/>
    <w:rsid w:val="00B45F59"/>
    <w:rsid w:val="00B4601B"/>
    <w:rsid w:val="00B46D28"/>
    <w:rsid w:val="00B46F5B"/>
    <w:rsid w:val="00B521AB"/>
    <w:rsid w:val="00B528AB"/>
    <w:rsid w:val="00B53311"/>
    <w:rsid w:val="00B55641"/>
    <w:rsid w:val="00B6647B"/>
    <w:rsid w:val="00B725BE"/>
    <w:rsid w:val="00B74763"/>
    <w:rsid w:val="00B7564C"/>
    <w:rsid w:val="00B84EC8"/>
    <w:rsid w:val="00B87DD6"/>
    <w:rsid w:val="00B91D56"/>
    <w:rsid w:val="00B93B8D"/>
    <w:rsid w:val="00B93E09"/>
    <w:rsid w:val="00B94D53"/>
    <w:rsid w:val="00BA19A1"/>
    <w:rsid w:val="00BA2108"/>
    <w:rsid w:val="00BA2E6D"/>
    <w:rsid w:val="00BA389C"/>
    <w:rsid w:val="00BA3DE5"/>
    <w:rsid w:val="00BA522E"/>
    <w:rsid w:val="00BA75F1"/>
    <w:rsid w:val="00BA7743"/>
    <w:rsid w:val="00BB2E8C"/>
    <w:rsid w:val="00BB40F2"/>
    <w:rsid w:val="00BB7829"/>
    <w:rsid w:val="00BC4008"/>
    <w:rsid w:val="00BC6D4B"/>
    <w:rsid w:val="00BD1AE9"/>
    <w:rsid w:val="00BD3501"/>
    <w:rsid w:val="00BD3BD7"/>
    <w:rsid w:val="00BE10D8"/>
    <w:rsid w:val="00BF11FE"/>
    <w:rsid w:val="00BF4CBD"/>
    <w:rsid w:val="00C03298"/>
    <w:rsid w:val="00C048D4"/>
    <w:rsid w:val="00C12A2D"/>
    <w:rsid w:val="00C13487"/>
    <w:rsid w:val="00C160E4"/>
    <w:rsid w:val="00C16D8F"/>
    <w:rsid w:val="00C223AE"/>
    <w:rsid w:val="00C267B7"/>
    <w:rsid w:val="00C331F4"/>
    <w:rsid w:val="00C33684"/>
    <w:rsid w:val="00C35085"/>
    <w:rsid w:val="00C41925"/>
    <w:rsid w:val="00C42216"/>
    <w:rsid w:val="00C423C6"/>
    <w:rsid w:val="00C42A01"/>
    <w:rsid w:val="00C4357D"/>
    <w:rsid w:val="00C44DF5"/>
    <w:rsid w:val="00C450F6"/>
    <w:rsid w:val="00C4789D"/>
    <w:rsid w:val="00C53AD4"/>
    <w:rsid w:val="00C6237A"/>
    <w:rsid w:val="00C663C5"/>
    <w:rsid w:val="00C670E9"/>
    <w:rsid w:val="00C711A4"/>
    <w:rsid w:val="00C7314D"/>
    <w:rsid w:val="00C74F94"/>
    <w:rsid w:val="00C7571C"/>
    <w:rsid w:val="00C805C0"/>
    <w:rsid w:val="00C940C2"/>
    <w:rsid w:val="00C96606"/>
    <w:rsid w:val="00CA197A"/>
    <w:rsid w:val="00CA7428"/>
    <w:rsid w:val="00CB0C9B"/>
    <w:rsid w:val="00CB343E"/>
    <w:rsid w:val="00CB408A"/>
    <w:rsid w:val="00CB58C9"/>
    <w:rsid w:val="00CB7787"/>
    <w:rsid w:val="00CC24D4"/>
    <w:rsid w:val="00CC3276"/>
    <w:rsid w:val="00CC7056"/>
    <w:rsid w:val="00CD0B5E"/>
    <w:rsid w:val="00CD10DA"/>
    <w:rsid w:val="00CD5DF1"/>
    <w:rsid w:val="00CD76E7"/>
    <w:rsid w:val="00CD77B5"/>
    <w:rsid w:val="00CE22A2"/>
    <w:rsid w:val="00CE4901"/>
    <w:rsid w:val="00CF28DE"/>
    <w:rsid w:val="00CF36C8"/>
    <w:rsid w:val="00D01421"/>
    <w:rsid w:val="00D021B2"/>
    <w:rsid w:val="00D065FE"/>
    <w:rsid w:val="00D06AC0"/>
    <w:rsid w:val="00D13F8A"/>
    <w:rsid w:val="00D16A55"/>
    <w:rsid w:val="00D209F6"/>
    <w:rsid w:val="00D20D43"/>
    <w:rsid w:val="00D2401E"/>
    <w:rsid w:val="00D3033B"/>
    <w:rsid w:val="00D30531"/>
    <w:rsid w:val="00D31C05"/>
    <w:rsid w:val="00D334B1"/>
    <w:rsid w:val="00D34D5C"/>
    <w:rsid w:val="00D40A2D"/>
    <w:rsid w:val="00D42F0C"/>
    <w:rsid w:val="00D43C18"/>
    <w:rsid w:val="00D47FA7"/>
    <w:rsid w:val="00D60B08"/>
    <w:rsid w:val="00D67EE9"/>
    <w:rsid w:val="00D72267"/>
    <w:rsid w:val="00D7283B"/>
    <w:rsid w:val="00D75480"/>
    <w:rsid w:val="00D8079A"/>
    <w:rsid w:val="00D82083"/>
    <w:rsid w:val="00D82DB3"/>
    <w:rsid w:val="00D86114"/>
    <w:rsid w:val="00D90BE3"/>
    <w:rsid w:val="00D918D5"/>
    <w:rsid w:val="00D93667"/>
    <w:rsid w:val="00D94DC3"/>
    <w:rsid w:val="00D955E3"/>
    <w:rsid w:val="00D955F9"/>
    <w:rsid w:val="00D95ECE"/>
    <w:rsid w:val="00DA0212"/>
    <w:rsid w:val="00DA3702"/>
    <w:rsid w:val="00DA522B"/>
    <w:rsid w:val="00DB23AD"/>
    <w:rsid w:val="00DB253F"/>
    <w:rsid w:val="00DB50CA"/>
    <w:rsid w:val="00DB6D12"/>
    <w:rsid w:val="00DC0A93"/>
    <w:rsid w:val="00DC2D3D"/>
    <w:rsid w:val="00DC3C53"/>
    <w:rsid w:val="00DC79E8"/>
    <w:rsid w:val="00DD12F7"/>
    <w:rsid w:val="00DD3815"/>
    <w:rsid w:val="00DD381B"/>
    <w:rsid w:val="00DD4602"/>
    <w:rsid w:val="00DD666C"/>
    <w:rsid w:val="00DD66E5"/>
    <w:rsid w:val="00DD67D5"/>
    <w:rsid w:val="00DD70BD"/>
    <w:rsid w:val="00DD79B3"/>
    <w:rsid w:val="00DE5684"/>
    <w:rsid w:val="00DF6CA3"/>
    <w:rsid w:val="00E00222"/>
    <w:rsid w:val="00E00AF4"/>
    <w:rsid w:val="00E019FE"/>
    <w:rsid w:val="00E037AF"/>
    <w:rsid w:val="00E041C2"/>
    <w:rsid w:val="00E056A2"/>
    <w:rsid w:val="00E06AB0"/>
    <w:rsid w:val="00E129C4"/>
    <w:rsid w:val="00E154B3"/>
    <w:rsid w:val="00E17BB6"/>
    <w:rsid w:val="00E17F93"/>
    <w:rsid w:val="00E21849"/>
    <w:rsid w:val="00E24280"/>
    <w:rsid w:val="00E25A52"/>
    <w:rsid w:val="00E26395"/>
    <w:rsid w:val="00E263B1"/>
    <w:rsid w:val="00E27E3D"/>
    <w:rsid w:val="00E330A1"/>
    <w:rsid w:val="00E356E8"/>
    <w:rsid w:val="00E37CA1"/>
    <w:rsid w:val="00E421FC"/>
    <w:rsid w:val="00E42B21"/>
    <w:rsid w:val="00E42DA8"/>
    <w:rsid w:val="00E43714"/>
    <w:rsid w:val="00E458BD"/>
    <w:rsid w:val="00E5077E"/>
    <w:rsid w:val="00E511F1"/>
    <w:rsid w:val="00E51B40"/>
    <w:rsid w:val="00E51E24"/>
    <w:rsid w:val="00E51E2D"/>
    <w:rsid w:val="00E56D6C"/>
    <w:rsid w:val="00E61A8E"/>
    <w:rsid w:val="00E679D5"/>
    <w:rsid w:val="00E7330E"/>
    <w:rsid w:val="00E77189"/>
    <w:rsid w:val="00E80BEE"/>
    <w:rsid w:val="00E812B8"/>
    <w:rsid w:val="00E82595"/>
    <w:rsid w:val="00E85DBC"/>
    <w:rsid w:val="00E87A6E"/>
    <w:rsid w:val="00E905BC"/>
    <w:rsid w:val="00EA0A44"/>
    <w:rsid w:val="00EA3131"/>
    <w:rsid w:val="00EA38A8"/>
    <w:rsid w:val="00EA4FA8"/>
    <w:rsid w:val="00EA54D2"/>
    <w:rsid w:val="00EB1350"/>
    <w:rsid w:val="00EB1567"/>
    <w:rsid w:val="00EB74D5"/>
    <w:rsid w:val="00EB76AD"/>
    <w:rsid w:val="00EB7D62"/>
    <w:rsid w:val="00EC2C0A"/>
    <w:rsid w:val="00EC502C"/>
    <w:rsid w:val="00EE0EE1"/>
    <w:rsid w:val="00EE3AD9"/>
    <w:rsid w:val="00EE719D"/>
    <w:rsid w:val="00EE74CA"/>
    <w:rsid w:val="00EF2738"/>
    <w:rsid w:val="00EF2B7C"/>
    <w:rsid w:val="00EF3B91"/>
    <w:rsid w:val="00EF5C38"/>
    <w:rsid w:val="00EF787D"/>
    <w:rsid w:val="00F02A55"/>
    <w:rsid w:val="00F02FF9"/>
    <w:rsid w:val="00F044B9"/>
    <w:rsid w:val="00F04885"/>
    <w:rsid w:val="00F07D54"/>
    <w:rsid w:val="00F108CA"/>
    <w:rsid w:val="00F120E7"/>
    <w:rsid w:val="00F165A8"/>
    <w:rsid w:val="00F16B6C"/>
    <w:rsid w:val="00F23E63"/>
    <w:rsid w:val="00F275D1"/>
    <w:rsid w:val="00F339AF"/>
    <w:rsid w:val="00F35094"/>
    <w:rsid w:val="00F37EAA"/>
    <w:rsid w:val="00F41B33"/>
    <w:rsid w:val="00F45295"/>
    <w:rsid w:val="00F503C2"/>
    <w:rsid w:val="00F50A10"/>
    <w:rsid w:val="00F534B5"/>
    <w:rsid w:val="00F5451C"/>
    <w:rsid w:val="00F5466C"/>
    <w:rsid w:val="00F620BA"/>
    <w:rsid w:val="00F6498B"/>
    <w:rsid w:val="00F7087B"/>
    <w:rsid w:val="00F741D6"/>
    <w:rsid w:val="00F74F43"/>
    <w:rsid w:val="00F860E1"/>
    <w:rsid w:val="00F8717B"/>
    <w:rsid w:val="00F919C5"/>
    <w:rsid w:val="00F9250C"/>
    <w:rsid w:val="00F94C07"/>
    <w:rsid w:val="00F95D19"/>
    <w:rsid w:val="00FA027C"/>
    <w:rsid w:val="00FB31BC"/>
    <w:rsid w:val="00FB5A8B"/>
    <w:rsid w:val="00FC0BD2"/>
    <w:rsid w:val="00FC1A79"/>
    <w:rsid w:val="00FC63D0"/>
    <w:rsid w:val="00FC7491"/>
    <w:rsid w:val="00FD6E5E"/>
    <w:rsid w:val="00FE1AD5"/>
    <w:rsid w:val="00FF37CB"/>
    <w:rsid w:val="00FF6FB9"/>
    <w:rsid w:val="00FF76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8D1E9"/>
  <w15:docId w15:val="{FB3F8B9B-4213-4F15-A340-250C67F6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8C2251"/>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D47FA7"/>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8C2251"/>
    <w:rPr>
      <w:rFonts w:eastAsia="Times New Roman" w:cs="Times New Roman"/>
      <w:b/>
      <w:bCs/>
      <w:color w:val="001871"/>
      <w:sz w:val="32"/>
      <w:szCs w:val="32"/>
    </w:rPr>
  </w:style>
  <w:style w:type="character" w:customStyle="1" w:styleId="Heading4Char">
    <w:name w:val="Heading 4 Char"/>
    <w:basedOn w:val="DefaultParagraphFont"/>
    <w:link w:val="Heading4"/>
    <w:rsid w:val="00D47FA7"/>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uiPriority w:val="2"/>
    <w:qFormat/>
    <w:rsid w:val="000E36C7"/>
    <w:pPr>
      <w:numPr>
        <w:numId w:val="2"/>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2"/>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7E22ED"/>
    <w:pPr>
      <w:keepNext/>
      <w:keepLines/>
      <w:tabs>
        <w:tab w:val="right" w:leader="underscore" w:pos="8505"/>
      </w:tabs>
      <w:spacing w:before="240" w:after="0" w:line="240" w:lineRule="atLeast"/>
    </w:pPr>
    <w:rPr>
      <w:rFonts w:eastAsia="Cambria" w:cs="Times New Roman"/>
      <w:b/>
      <w:noProof/>
      <w:color w:val="333F48"/>
      <w:sz w:val="28"/>
      <w:szCs w:val="28"/>
    </w:rPr>
  </w:style>
  <w:style w:type="paragraph" w:styleId="TOC2">
    <w:name w:val="toc 2"/>
    <w:basedOn w:val="Normal"/>
    <w:next w:val="Normal"/>
    <w:autoRedefine/>
    <w:uiPriority w:val="39"/>
    <w:unhideWhenUsed/>
    <w:rsid w:val="00F5466C"/>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793044"/>
    <w:pPr>
      <w:numPr>
        <w:numId w:val="35"/>
      </w:numPr>
      <w:ind w:left="426" w:hanging="426"/>
    </w:pPr>
  </w:style>
  <w:style w:type="paragraph" w:styleId="Revision">
    <w:name w:val="Revision"/>
    <w:hidden/>
    <w:uiPriority w:val="99"/>
    <w:semiHidden/>
    <w:rsid w:val="008F16D3"/>
    <w:pPr>
      <w:spacing w:after="0" w:line="240" w:lineRule="auto"/>
    </w:pPr>
  </w:style>
  <w:style w:type="character" w:styleId="FollowedHyperlink">
    <w:name w:val="FollowedHyperlink"/>
    <w:basedOn w:val="DefaultParagraphFont"/>
    <w:uiPriority w:val="99"/>
    <w:semiHidden/>
    <w:unhideWhenUsed/>
    <w:rsid w:val="004058B4"/>
    <w:rPr>
      <w:color w:val="6E2B62" w:themeColor="followedHyperlink"/>
      <w:u w:val="single"/>
    </w:rPr>
  </w:style>
  <w:style w:type="character" w:styleId="UnresolvedMention">
    <w:name w:val="Unresolved Mention"/>
    <w:basedOn w:val="DefaultParagraphFont"/>
    <w:uiPriority w:val="99"/>
    <w:semiHidden/>
    <w:unhideWhenUsed/>
    <w:rsid w:val="000029FD"/>
    <w:rPr>
      <w:color w:val="605E5C"/>
      <w:shd w:val="clear" w:color="auto" w:fill="E1DFDD"/>
    </w:rPr>
  </w:style>
  <w:style w:type="character" w:styleId="CommentReference">
    <w:name w:val="annotation reference"/>
    <w:basedOn w:val="DefaultParagraphFont"/>
    <w:uiPriority w:val="99"/>
    <w:semiHidden/>
    <w:unhideWhenUsed/>
    <w:rsid w:val="000029FD"/>
    <w:rPr>
      <w:sz w:val="16"/>
      <w:szCs w:val="16"/>
    </w:rPr>
  </w:style>
  <w:style w:type="paragraph" w:styleId="CommentText">
    <w:name w:val="annotation text"/>
    <w:basedOn w:val="Normal"/>
    <w:link w:val="CommentTextChar"/>
    <w:uiPriority w:val="99"/>
    <w:unhideWhenUsed/>
    <w:rsid w:val="000029FD"/>
    <w:pPr>
      <w:spacing w:line="240" w:lineRule="auto"/>
    </w:pPr>
  </w:style>
  <w:style w:type="character" w:customStyle="1" w:styleId="CommentTextChar">
    <w:name w:val="Comment Text Char"/>
    <w:basedOn w:val="DefaultParagraphFont"/>
    <w:link w:val="CommentText"/>
    <w:uiPriority w:val="99"/>
    <w:rsid w:val="000029FD"/>
  </w:style>
  <w:style w:type="paragraph" w:styleId="CommentSubject">
    <w:name w:val="annotation subject"/>
    <w:basedOn w:val="CommentText"/>
    <w:next w:val="CommentText"/>
    <w:link w:val="CommentSubjectChar"/>
    <w:uiPriority w:val="99"/>
    <w:semiHidden/>
    <w:unhideWhenUsed/>
    <w:rsid w:val="000029FD"/>
    <w:rPr>
      <w:b/>
      <w:bCs/>
    </w:rPr>
  </w:style>
  <w:style w:type="character" w:customStyle="1" w:styleId="CommentSubjectChar">
    <w:name w:val="Comment Subject Char"/>
    <w:basedOn w:val="CommentTextChar"/>
    <w:link w:val="CommentSubject"/>
    <w:uiPriority w:val="99"/>
    <w:semiHidden/>
    <w:rsid w:val="000029FD"/>
    <w:rPr>
      <w:b/>
      <w:bCs/>
    </w:rPr>
  </w:style>
  <w:style w:type="numbering" w:customStyle="1" w:styleId="ListBullets1">
    <w:name w:val="ListBullets1"/>
    <w:uiPriority w:val="99"/>
    <w:locked/>
    <w:rsid w:val="002A3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564491">
      <w:bodyDiv w:val="1"/>
      <w:marLeft w:val="0"/>
      <w:marRight w:val="0"/>
      <w:marTop w:val="0"/>
      <w:marBottom w:val="0"/>
      <w:divBdr>
        <w:top w:val="none" w:sz="0" w:space="0" w:color="auto"/>
        <w:left w:val="none" w:sz="0" w:space="0" w:color="auto"/>
        <w:bottom w:val="none" w:sz="0" w:space="0" w:color="auto"/>
        <w:right w:val="none" w:sz="0" w:space="0" w:color="auto"/>
      </w:divBdr>
    </w:div>
    <w:div w:id="998070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copyright@tga.gov.au" TargetMode="External"/><Relationship Id="rId13" Type="http://schemas.openxmlformats.org/officeDocument/2006/relationships/hyperlink" Target="https://www.legislation.gov.au/F2002B00237/latest/versions" TargetMode="External"/><Relationship Id="rId18" Type="http://schemas.openxmlformats.org/officeDocument/2006/relationships/hyperlink" Target="https://www.tga.gov.au/resources/resource/guidance/good-clinical-practice-gcp-inspection-progra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hmrc.gov.au/about-us/publications/safety-monitoring-and-reporting-clinical-trials-involving-therapeutic-goods" TargetMode="External"/><Relationship Id="rId7" Type="http://schemas.openxmlformats.org/officeDocument/2006/relationships/endnotes" Target="endnotes.xml"/><Relationship Id="rId12" Type="http://schemas.openxmlformats.org/officeDocument/2006/relationships/hyperlink" Target="https://www.legislation.gov.au/Series/F1996B00406" TargetMode="External"/><Relationship Id="rId17" Type="http://schemas.openxmlformats.org/officeDocument/2006/relationships/hyperlink" Target="https://www.health.gov.au/resources/publications/national-standard-operating-procedures-for-clinical-trials?language=en" TargetMode="External"/><Relationship Id="rId25" Type="http://schemas.openxmlformats.org/officeDocument/2006/relationships/hyperlink" Target="https://www.tga.gov.au/resources/resource/guidance/australian-clinical-trial-handboo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resources/resource/guidance/australian-clinical-trial-handbook" TargetMode="External"/><Relationship Id="rId20" Type="http://schemas.openxmlformats.org/officeDocument/2006/relationships/hyperlink" Target="https://www.tga.gov.au/products/medical-devic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C2004A03952" TargetMode="External"/><Relationship Id="rId24" Type="http://schemas.openxmlformats.org/officeDocument/2006/relationships/hyperlink" Target="mailto:GCP.Inspection@health.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hmrc.gov.au/about-us/publications/national-statement-ethical-conduct-human-research-2023" TargetMode="External"/><Relationship Id="rId23" Type="http://schemas.openxmlformats.org/officeDocument/2006/relationships/hyperlink" Target="https://www.legislation.gov.au/Series/F2020L01017" TargetMode="External"/><Relationship Id="rId28" Type="http://schemas.openxmlformats.org/officeDocument/2006/relationships/header" Target="header2.xml"/><Relationship Id="rId10" Type="http://schemas.openxmlformats.org/officeDocument/2006/relationships/hyperlink" Target="https://www.tga.gov.au/resources/publication/publications/ich-guideline-good-clinical-practice" TargetMode="External"/><Relationship Id="rId19" Type="http://schemas.openxmlformats.org/officeDocument/2006/relationships/hyperlink" Target="https://www.tga.gov.au/resources/resource/guidance/good-clinical-practice-gcp-inspection-progra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ga.gov.au/publication/pharmacovigilance-responsibilities-medicine-sponsors" TargetMode="External"/><Relationship Id="rId22" Type="http://schemas.openxmlformats.org/officeDocument/2006/relationships/hyperlink" Target="https://www.tga.gov.au/tga-regulatory-framework" TargetMode="External"/><Relationship Id="rId27" Type="http://schemas.openxmlformats.org/officeDocument/2006/relationships/footer" Target="footer1.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el://D23-5193810?db=A7&amp;open" TargetMode="External"/><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25EA0-4205-4D4A-BAF0-4096A603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9</TotalTime>
  <Pages>17</Pages>
  <Words>5355</Words>
  <Characters>28276</Characters>
  <Application>Microsoft Office Word</Application>
  <DocSecurity>0</DocSecurity>
  <Lines>1229</Lines>
  <Paragraphs>960</Paragraphs>
  <ScaleCrop>false</ScaleCrop>
  <HeadingPairs>
    <vt:vector size="2" baseType="variant">
      <vt:variant>
        <vt:lpstr>Title</vt:lpstr>
      </vt:variant>
      <vt:variant>
        <vt:i4>1</vt:i4>
      </vt:variant>
    </vt:vector>
  </HeadingPairs>
  <TitlesOfParts>
    <vt:vector size="1" baseType="lpstr">
      <vt:lpstr>Good Clinical Practice (GCP) inspection program for clinical trials</vt:lpstr>
    </vt:vector>
  </TitlesOfParts>
  <Company>Department of Health and Aged Care</Company>
  <LinksUpToDate>false</LinksUpToDate>
  <CharactersWithSpaces>32671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Clinical Practice (GCP) inspection program for clinical trials</dc:title>
  <dc:subject>guidance</dc:subject>
  <dc:creator>Therapeutic Goods Administration</dc:creator>
  <cp:keywords/>
  <dc:description/>
  <cp:lastModifiedBy>LACK, Janet</cp:lastModifiedBy>
  <cp:revision>3</cp:revision>
  <dcterms:created xsi:type="dcterms:W3CDTF">2024-05-14T05:42:00Z</dcterms:created>
  <dcterms:modified xsi:type="dcterms:W3CDTF">2024-05-14T05:49:00Z</dcterms:modified>
</cp:coreProperties>
</file>