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13059FC2" w:rsidR="00F02AEC" w:rsidRPr="00215D48" w:rsidRDefault="00346EC2" w:rsidP="007452E8">
            <w:pPr>
              <w:pStyle w:val="Title"/>
            </w:pPr>
            <w:r w:rsidRPr="00346EC2">
              <w:t xml:space="preserve">Australian Public Assessment Report for </w:t>
            </w:r>
            <w:r w:rsidR="00143C32">
              <w:t>RANIVIZ</w:t>
            </w:r>
          </w:p>
        </w:tc>
      </w:tr>
      <w:tr w:rsidR="00F02AEC" w:rsidRPr="00215D48" w14:paraId="318A40A3" w14:textId="77777777" w:rsidTr="00346EC2">
        <w:trPr>
          <w:trHeight w:val="995"/>
        </w:trPr>
        <w:tc>
          <w:tcPr>
            <w:tcW w:w="8720" w:type="dxa"/>
          </w:tcPr>
          <w:p w14:paraId="1AA7C701" w14:textId="6E3216F1" w:rsidR="00F02AEC" w:rsidRPr="00215D48" w:rsidRDefault="00346EC2" w:rsidP="007452E8">
            <w:pPr>
              <w:pStyle w:val="Subtitle"/>
              <w:ind w:left="0"/>
            </w:pPr>
            <w:r w:rsidRPr="00346EC2">
              <w:t>Active ingredient:</w:t>
            </w:r>
            <w:r w:rsidR="00466644">
              <w:t xml:space="preserve"> </w:t>
            </w:r>
            <w:r w:rsidR="00F346B4">
              <w:t>ranibizumab</w:t>
            </w:r>
          </w:p>
        </w:tc>
      </w:tr>
      <w:tr w:rsidR="00346EC2" w:rsidRPr="00215D48" w14:paraId="362CCAE4" w14:textId="77777777" w:rsidTr="007452E8">
        <w:trPr>
          <w:trHeight w:val="1916"/>
        </w:trPr>
        <w:tc>
          <w:tcPr>
            <w:tcW w:w="8720" w:type="dxa"/>
          </w:tcPr>
          <w:p w14:paraId="709C45C0" w14:textId="11211BCF" w:rsidR="00346EC2" w:rsidRPr="00215D48" w:rsidRDefault="00346EC2" w:rsidP="007452E8">
            <w:pPr>
              <w:pStyle w:val="Subtitle"/>
              <w:ind w:left="0"/>
            </w:pPr>
            <w:r w:rsidRPr="00346EC2">
              <w:t>Sponsor:</w:t>
            </w:r>
            <w:r w:rsidR="00F346B4">
              <w:t xml:space="preserve"> Actor Pharmaceuticals Pty Ltd </w:t>
            </w:r>
          </w:p>
        </w:tc>
      </w:tr>
      <w:tr w:rsidR="00F02AEC" w:rsidRPr="00215D48" w14:paraId="37F2AA1F" w14:textId="77777777" w:rsidTr="007452E8">
        <w:tc>
          <w:tcPr>
            <w:tcW w:w="8720" w:type="dxa"/>
          </w:tcPr>
          <w:p w14:paraId="1FDE8DCD" w14:textId="1F94B4F0" w:rsidR="00F02AEC" w:rsidRPr="00215D48" w:rsidRDefault="00EF33DE" w:rsidP="007452E8">
            <w:pPr>
              <w:pStyle w:val="Date"/>
            </w:pPr>
            <w:r>
              <w:t>June</w:t>
            </w:r>
            <w:r w:rsidR="00F346B4">
              <w:t xml:space="preserve"> 2024</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C976CB8"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5" w:history="1">
        <w:r w:rsidRPr="00A63C07">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010FE2EE"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6"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005FC09D" w:rsidR="00175CD8" w:rsidRPr="00346EC2" w:rsidRDefault="00F02AEC" w:rsidP="00346EC2">
      <w:pPr>
        <w:pStyle w:val="LegalCopy"/>
        <w:rPr>
          <w:rFonts w:cs="Arial"/>
        </w:rPr>
      </w:pPr>
      <w:r w:rsidRPr="00215D48">
        <w:rPr>
          <w:rFonts w:cs="Arial"/>
        </w:rPr>
        <w:t>© Commonwealth of Australia 20</w:t>
      </w:r>
      <w:r>
        <w:rPr>
          <w:rFonts w:cs="Arial"/>
        </w:rPr>
        <w:t>2</w:t>
      </w:r>
      <w:r w:rsidR="00C90965">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4E9194ED" w14:textId="189A9F0C" w:rsidR="00B067D8"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9183788" w:history="1">
            <w:r w:rsidR="00B067D8" w:rsidRPr="0088736A">
              <w:rPr>
                <w:rStyle w:val="Hyperlink"/>
                <w:noProof/>
              </w:rPr>
              <w:t>List of abbreviations</w:t>
            </w:r>
            <w:r w:rsidR="00B067D8">
              <w:rPr>
                <w:noProof/>
                <w:webHidden/>
              </w:rPr>
              <w:tab/>
            </w:r>
            <w:r w:rsidR="00B067D8">
              <w:rPr>
                <w:noProof/>
                <w:webHidden/>
              </w:rPr>
              <w:fldChar w:fldCharType="begin"/>
            </w:r>
            <w:r w:rsidR="00B067D8">
              <w:rPr>
                <w:noProof/>
                <w:webHidden/>
              </w:rPr>
              <w:instrText xml:space="preserve"> PAGEREF _Toc169183788 \h </w:instrText>
            </w:r>
            <w:r w:rsidR="00B067D8">
              <w:rPr>
                <w:noProof/>
                <w:webHidden/>
              </w:rPr>
            </w:r>
            <w:r w:rsidR="00B067D8">
              <w:rPr>
                <w:noProof/>
                <w:webHidden/>
              </w:rPr>
              <w:fldChar w:fldCharType="separate"/>
            </w:r>
            <w:r w:rsidR="00B067D8">
              <w:rPr>
                <w:noProof/>
                <w:webHidden/>
              </w:rPr>
              <w:t>4</w:t>
            </w:r>
            <w:r w:rsidR="00B067D8">
              <w:rPr>
                <w:noProof/>
                <w:webHidden/>
              </w:rPr>
              <w:fldChar w:fldCharType="end"/>
            </w:r>
          </w:hyperlink>
        </w:p>
        <w:p w14:paraId="420B14AD" w14:textId="157B324F" w:rsidR="00B067D8" w:rsidRDefault="0007423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183789" w:history="1">
            <w:r w:rsidR="00B067D8" w:rsidRPr="0088736A">
              <w:rPr>
                <w:rStyle w:val="Hyperlink"/>
                <w:noProof/>
              </w:rPr>
              <w:t>Product submission</w:t>
            </w:r>
            <w:r w:rsidR="00B067D8">
              <w:rPr>
                <w:noProof/>
                <w:webHidden/>
              </w:rPr>
              <w:tab/>
            </w:r>
            <w:r w:rsidR="00B067D8">
              <w:rPr>
                <w:noProof/>
                <w:webHidden/>
              </w:rPr>
              <w:fldChar w:fldCharType="begin"/>
            </w:r>
            <w:r w:rsidR="00B067D8">
              <w:rPr>
                <w:noProof/>
                <w:webHidden/>
              </w:rPr>
              <w:instrText xml:space="preserve"> PAGEREF _Toc169183789 \h </w:instrText>
            </w:r>
            <w:r w:rsidR="00B067D8">
              <w:rPr>
                <w:noProof/>
                <w:webHidden/>
              </w:rPr>
            </w:r>
            <w:r w:rsidR="00B067D8">
              <w:rPr>
                <w:noProof/>
                <w:webHidden/>
              </w:rPr>
              <w:fldChar w:fldCharType="separate"/>
            </w:r>
            <w:r w:rsidR="00B067D8">
              <w:rPr>
                <w:noProof/>
                <w:webHidden/>
              </w:rPr>
              <w:t>5</w:t>
            </w:r>
            <w:r w:rsidR="00B067D8">
              <w:rPr>
                <w:noProof/>
                <w:webHidden/>
              </w:rPr>
              <w:fldChar w:fldCharType="end"/>
            </w:r>
          </w:hyperlink>
        </w:p>
        <w:p w14:paraId="3E24FCC0" w14:textId="6332B2A4"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790" w:history="1">
            <w:r w:rsidR="00B067D8" w:rsidRPr="0088736A">
              <w:rPr>
                <w:rStyle w:val="Hyperlink"/>
                <w:noProof/>
                <w:lang w:eastAsia="en-AU"/>
              </w:rPr>
              <w:t>Submission details</w:t>
            </w:r>
            <w:r w:rsidR="00B067D8">
              <w:rPr>
                <w:noProof/>
                <w:webHidden/>
              </w:rPr>
              <w:tab/>
            </w:r>
            <w:r w:rsidR="00B067D8">
              <w:rPr>
                <w:noProof/>
                <w:webHidden/>
              </w:rPr>
              <w:fldChar w:fldCharType="begin"/>
            </w:r>
            <w:r w:rsidR="00B067D8">
              <w:rPr>
                <w:noProof/>
                <w:webHidden/>
              </w:rPr>
              <w:instrText xml:space="preserve"> PAGEREF _Toc169183790 \h </w:instrText>
            </w:r>
            <w:r w:rsidR="00B067D8">
              <w:rPr>
                <w:noProof/>
                <w:webHidden/>
              </w:rPr>
            </w:r>
            <w:r w:rsidR="00B067D8">
              <w:rPr>
                <w:noProof/>
                <w:webHidden/>
              </w:rPr>
              <w:fldChar w:fldCharType="separate"/>
            </w:r>
            <w:r w:rsidR="00B067D8">
              <w:rPr>
                <w:noProof/>
                <w:webHidden/>
              </w:rPr>
              <w:t>5</w:t>
            </w:r>
            <w:r w:rsidR="00B067D8">
              <w:rPr>
                <w:noProof/>
                <w:webHidden/>
              </w:rPr>
              <w:fldChar w:fldCharType="end"/>
            </w:r>
          </w:hyperlink>
        </w:p>
        <w:p w14:paraId="2C012BAA" w14:textId="67FDC4F4"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791" w:history="1">
            <w:r w:rsidR="00B067D8" w:rsidRPr="0088736A">
              <w:rPr>
                <w:rStyle w:val="Hyperlink"/>
                <w:noProof/>
              </w:rPr>
              <w:t>Product background</w:t>
            </w:r>
            <w:r w:rsidR="00B067D8">
              <w:rPr>
                <w:noProof/>
                <w:webHidden/>
              </w:rPr>
              <w:tab/>
            </w:r>
            <w:r w:rsidR="00B067D8">
              <w:rPr>
                <w:noProof/>
                <w:webHidden/>
              </w:rPr>
              <w:fldChar w:fldCharType="begin"/>
            </w:r>
            <w:r w:rsidR="00B067D8">
              <w:rPr>
                <w:noProof/>
                <w:webHidden/>
              </w:rPr>
              <w:instrText xml:space="preserve"> PAGEREF _Toc169183791 \h </w:instrText>
            </w:r>
            <w:r w:rsidR="00B067D8">
              <w:rPr>
                <w:noProof/>
                <w:webHidden/>
              </w:rPr>
            </w:r>
            <w:r w:rsidR="00B067D8">
              <w:rPr>
                <w:noProof/>
                <w:webHidden/>
              </w:rPr>
              <w:fldChar w:fldCharType="separate"/>
            </w:r>
            <w:r w:rsidR="00B067D8">
              <w:rPr>
                <w:noProof/>
                <w:webHidden/>
              </w:rPr>
              <w:t>6</w:t>
            </w:r>
            <w:r w:rsidR="00B067D8">
              <w:rPr>
                <w:noProof/>
                <w:webHidden/>
              </w:rPr>
              <w:fldChar w:fldCharType="end"/>
            </w:r>
          </w:hyperlink>
        </w:p>
        <w:p w14:paraId="43F4F166" w14:textId="412D13B8"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792" w:history="1">
            <w:r w:rsidR="00B067D8" w:rsidRPr="0088736A">
              <w:rPr>
                <w:rStyle w:val="Hyperlink"/>
                <w:noProof/>
              </w:rPr>
              <w:t>The disease/condition</w:t>
            </w:r>
            <w:r w:rsidR="00B067D8">
              <w:rPr>
                <w:noProof/>
                <w:webHidden/>
              </w:rPr>
              <w:tab/>
            </w:r>
            <w:r w:rsidR="00B067D8">
              <w:rPr>
                <w:noProof/>
                <w:webHidden/>
              </w:rPr>
              <w:fldChar w:fldCharType="begin"/>
            </w:r>
            <w:r w:rsidR="00B067D8">
              <w:rPr>
                <w:noProof/>
                <w:webHidden/>
              </w:rPr>
              <w:instrText xml:space="preserve"> PAGEREF _Toc169183792 \h </w:instrText>
            </w:r>
            <w:r w:rsidR="00B067D8">
              <w:rPr>
                <w:noProof/>
                <w:webHidden/>
              </w:rPr>
            </w:r>
            <w:r w:rsidR="00B067D8">
              <w:rPr>
                <w:noProof/>
                <w:webHidden/>
              </w:rPr>
              <w:fldChar w:fldCharType="separate"/>
            </w:r>
            <w:r w:rsidR="00B067D8">
              <w:rPr>
                <w:noProof/>
                <w:webHidden/>
              </w:rPr>
              <w:t>6</w:t>
            </w:r>
            <w:r w:rsidR="00B067D8">
              <w:rPr>
                <w:noProof/>
                <w:webHidden/>
              </w:rPr>
              <w:fldChar w:fldCharType="end"/>
            </w:r>
          </w:hyperlink>
        </w:p>
        <w:p w14:paraId="26DDAB53" w14:textId="5F0DFD8F"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793" w:history="1">
            <w:r w:rsidR="00B067D8" w:rsidRPr="0088736A">
              <w:rPr>
                <w:rStyle w:val="Hyperlink"/>
                <w:noProof/>
              </w:rPr>
              <w:t>Current treatment options</w:t>
            </w:r>
            <w:r w:rsidR="00B067D8">
              <w:rPr>
                <w:noProof/>
                <w:webHidden/>
              </w:rPr>
              <w:tab/>
            </w:r>
            <w:r w:rsidR="00B067D8">
              <w:rPr>
                <w:noProof/>
                <w:webHidden/>
              </w:rPr>
              <w:fldChar w:fldCharType="begin"/>
            </w:r>
            <w:r w:rsidR="00B067D8">
              <w:rPr>
                <w:noProof/>
                <w:webHidden/>
              </w:rPr>
              <w:instrText xml:space="preserve"> PAGEREF _Toc169183793 \h </w:instrText>
            </w:r>
            <w:r w:rsidR="00B067D8">
              <w:rPr>
                <w:noProof/>
                <w:webHidden/>
              </w:rPr>
            </w:r>
            <w:r w:rsidR="00B067D8">
              <w:rPr>
                <w:noProof/>
                <w:webHidden/>
              </w:rPr>
              <w:fldChar w:fldCharType="separate"/>
            </w:r>
            <w:r w:rsidR="00B067D8">
              <w:rPr>
                <w:noProof/>
                <w:webHidden/>
              </w:rPr>
              <w:t>6</w:t>
            </w:r>
            <w:r w:rsidR="00B067D8">
              <w:rPr>
                <w:noProof/>
                <w:webHidden/>
              </w:rPr>
              <w:fldChar w:fldCharType="end"/>
            </w:r>
          </w:hyperlink>
        </w:p>
        <w:p w14:paraId="21025DC1" w14:textId="12878EDA"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794" w:history="1">
            <w:r w:rsidR="00B067D8" w:rsidRPr="0088736A">
              <w:rPr>
                <w:rStyle w:val="Hyperlink"/>
                <w:noProof/>
              </w:rPr>
              <w:t>Clinical rationale</w:t>
            </w:r>
            <w:r w:rsidR="00B067D8">
              <w:rPr>
                <w:noProof/>
                <w:webHidden/>
              </w:rPr>
              <w:tab/>
            </w:r>
            <w:r w:rsidR="00B067D8">
              <w:rPr>
                <w:noProof/>
                <w:webHidden/>
              </w:rPr>
              <w:fldChar w:fldCharType="begin"/>
            </w:r>
            <w:r w:rsidR="00B067D8">
              <w:rPr>
                <w:noProof/>
                <w:webHidden/>
              </w:rPr>
              <w:instrText xml:space="preserve"> PAGEREF _Toc169183794 \h </w:instrText>
            </w:r>
            <w:r w:rsidR="00B067D8">
              <w:rPr>
                <w:noProof/>
                <w:webHidden/>
              </w:rPr>
            </w:r>
            <w:r w:rsidR="00B067D8">
              <w:rPr>
                <w:noProof/>
                <w:webHidden/>
              </w:rPr>
              <w:fldChar w:fldCharType="separate"/>
            </w:r>
            <w:r w:rsidR="00B067D8">
              <w:rPr>
                <w:noProof/>
                <w:webHidden/>
              </w:rPr>
              <w:t>7</w:t>
            </w:r>
            <w:r w:rsidR="00B067D8">
              <w:rPr>
                <w:noProof/>
                <w:webHidden/>
              </w:rPr>
              <w:fldChar w:fldCharType="end"/>
            </w:r>
          </w:hyperlink>
        </w:p>
        <w:p w14:paraId="72D37D57" w14:textId="12DC05D3"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795" w:history="1">
            <w:r w:rsidR="00B067D8" w:rsidRPr="0088736A">
              <w:rPr>
                <w:rStyle w:val="Hyperlink"/>
                <w:noProof/>
              </w:rPr>
              <w:t>Regulatory status</w:t>
            </w:r>
            <w:r w:rsidR="00B067D8">
              <w:rPr>
                <w:noProof/>
                <w:webHidden/>
              </w:rPr>
              <w:tab/>
            </w:r>
            <w:r w:rsidR="00B067D8">
              <w:rPr>
                <w:noProof/>
                <w:webHidden/>
              </w:rPr>
              <w:fldChar w:fldCharType="begin"/>
            </w:r>
            <w:r w:rsidR="00B067D8">
              <w:rPr>
                <w:noProof/>
                <w:webHidden/>
              </w:rPr>
              <w:instrText xml:space="preserve"> PAGEREF _Toc169183795 \h </w:instrText>
            </w:r>
            <w:r w:rsidR="00B067D8">
              <w:rPr>
                <w:noProof/>
                <w:webHidden/>
              </w:rPr>
            </w:r>
            <w:r w:rsidR="00B067D8">
              <w:rPr>
                <w:noProof/>
                <w:webHidden/>
              </w:rPr>
              <w:fldChar w:fldCharType="separate"/>
            </w:r>
            <w:r w:rsidR="00B067D8">
              <w:rPr>
                <w:noProof/>
                <w:webHidden/>
              </w:rPr>
              <w:t>7</w:t>
            </w:r>
            <w:r w:rsidR="00B067D8">
              <w:rPr>
                <w:noProof/>
                <w:webHidden/>
              </w:rPr>
              <w:fldChar w:fldCharType="end"/>
            </w:r>
          </w:hyperlink>
        </w:p>
        <w:p w14:paraId="367C76B4" w14:textId="159C3A25"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796" w:history="1">
            <w:r w:rsidR="00B067D8" w:rsidRPr="0088736A">
              <w:rPr>
                <w:rStyle w:val="Hyperlink"/>
                <w:noProof/>
              </w:rPr>
              <w:t>Australian regulatory status</w:t>
            </w:r>
            <w:r w:rsidR="00B067D8">
              <w:rPr>
                <w:noProof/>
                <w:webHidden/>
              </w:rPr>
              <w:tab/>
            </w:r>
            <w:r w:rsidR="00B067D8">
              <w:rPr>
                <w:noProof/>
                <w:webHidden/>
              </w:rPr>
              <w:fldChar w:fldCharType="begin"/>
            </w:r>
            <w:r w:rsidR="00B067D8">
              <w:rPr>
                <w:noProof/>
                <w:webHidden/>
              </w:rPr>
              <w:instrText xml:space="preserve"> PAGEREF _Toc169183796 \h </w:instrText>
            </w:r>
            <w:r w:rsidR="00B067D8">
              <w:rPr>
                <w:noProof/>
                <w:webHidden/>
              </w:rPr>
            </w:r>
            <w:r w:rsidR="00B067D8">
              <w:rPr>
                <w:noProof/>
                <w:webHidden/>
              </w:rPr>
              <w:fldChar w:fldCharType="separate"/>
            </w:r>
            <w:r w:rsidR="00B067D8">
              <w:rPr>
                <w:noProof/>
                <w:webHidden/>
              </w:rPr>
              <w:t>7</w:t>
            </w:r>
            <w:r w:rsidR="00B067D8">
              <w:rPr>
                <w:noProof/>
                <w:webHidden/>
              </w:rPr>
              <w:fldChar w:fldCharType="end"/>
            </w:r>
          </w:hyperlink>
        </w:p>
        <w:p w14:paraId="5FE2BA38" w14:textId="1E1BE824"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797" w:history="1">
            <w:r w:rsidR="00B067D8" w:rsidRPr="0088736A">
              <w:rPr>
                <w:rStyle w:val="Hyperlink"/>
                <w:noProof/>
              </w:rPr>
              <w:t>Foreign regulatory status</w:t>
            </w:r>
            <w:r w:rsidR="00B067D8">
              <w:rPr>
                <w:noProof/>
                <w:webHidden/>
              </w:rPr>
              <w:tab/>
            </w:r>
            <w:r w:rsidR="00B067D8">
              <w:rPr>
                <w:noProof/>
                <w:webHidden/>
              </w:rPr>
              <w:fldChar w:fldCharType="begin"/>
            </w:r>
            <w:r w:rsidR="00B067D8">
              <w:rPr>
                <w:noProof/>
                <w:webHidden/>
              </w:rPr>
              <w:instrText xml:space="preserve"> PAGEREF _Toc169183797 \h </w:instrText>
            </w:r>
            <w:r w:rsidR="00B067D8">
              <w:rPr>
                <w:noProof/>
                <w:webHidden/>
              </w:rPr>
            </w:r>
            <w:r w:rsidR="00B067D8">
              <w:rPr>
                <w:noProof/>
                <w:webHidden/>
              </w:rPr>
              <w:fldChar w:fldCharType="separate"/>
            </w:r>
            <w:r w:rsidR="00B067D8">
              <w:rPr>
                <w:noProof/>
                <w:webHidden/>
              </w:rPr>
              <w:t>7</w:t>
            </w:r>
            <w:r w:rsidR="00B067D8">
              <w:rPr>
                <w:noProof/>
                <w:webHidden/>
              </w:rPr>
              <w:fldChar w:fldCharType="end"/>
            </w:r>
          </w:hyperlink>
        </w:p>
        <w:p w14:paraId="180EE697" w14:textId="1C4DB816" w:rsidR="00B067D8" w:rsidRDefault="0007423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183798" w:history="1">
            <w:r w:rsidR="00B067D8" w:rsidRPr="0088736A">
              <w:rPr>
                <w:rStyle w:val="Hyperlink"/>
                <w:noProof/>
              </w:rPr>
              <w:t>Registration timeline</w:t>
            </w:r>
            <w:r w:rsidR="00B067D8">
              <w:rPr>
                <w:noProof/>
                <w:webHidden/>
              </w:rPr>
              <w:tab/>
            </w:r>
            <w:r w:rsidR="00B067D8">
              <w:rPr>
                <w:noProof/>
                <w:webHidden/>
              </w:rPr>
              <w:fldChar w:fldCharType="begin"/>
            </w:r>
            <w:r w:rsidR="00B067D8">
              <w:rPr>
                <w:noProof/>
                <w:webHidden/>
              </w:rPr>
              <w:instrText xml:space="preserve"> PAGEREF _Toc169183798 \h </w:instrText>
            </w:r>
            <w:r w:rsidR="00B067D8">
              <w:rPr>
                <w:noProof/>
                <w:webHidden/>
              </w:rPr>
            </w:r>
            <w:r w:rsidR="00B067D8">
              <w:rPr>
                <w:noProof/>
                <w:webHidden/>
              </w:rPr>
              <w:fldChar w:fldCharType="separate"/>
            </w:r>
            <w:r w:rsidR="00B067D8">
              <w:rPr>
                <w:noProof/>
                <w:webHidden/>
              </w:rPr>
              <w:t>7</w:t>
            </w:r>
            <w:r w:rsidR="00B067D8">
              <w:rPr>
                <w:noProof/>
                <w:webHidden/>
              </w:rPr>
              <w:fldChar w:fldCharType="end"/>
            </w:r>
          </w:hyperlink>
        </w:p>
        <w:p w14:paraId="0EB0E615" w14:textId="01374D82" w:rsidR="00B067D8" w:rsidRDefault="0007423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183799" w:history="1">
            <w:r w:rsidR="00B067D8" w:rsidRPr="0088736A">
              <w:rPr>
                <w:rStyle w:val="Hyperlink"/>
                <w:noProof/>
              </w:rPr>
              <w:t>Submission overview and risk/benefit assessment</w:t>
            </w:r>
            <w:r w:rsidR="00B067D8">
              <w:rPr>
                <w:noProof/>
                <w:webHidden/>
              </w:rPr>
              <w:tab/>
            </w:r>
            <w:r w:rsidR="00B067D8">
              <w:rPr>
                <w:noProof/>
                <w:webHidden/>
              </w:rPr>
              <w:fldChar w:fldCharType="begin"/>
            </w:r>
            <w:r w:rsidR="00B067D8">
              <w:rPr>
                <w:noProof/>
                <w:webHidden/>
              </w:rPr>
              <w:instrText xml:space="preserve"> PAGEREF _Toc169183799 \h </w:instrText>
            </w:r>
            <w:r w:rsidR="00B067D8">
              <w:rPr>
                <w:noProof/>
                <w:webHidden/>
              </w:rPr>
            </w:r>
            <w:r w:rsidR="00B067D8">
              <w:rPr>
                <w:noProof/>
                <w:webHidden/>
              </w:rPr>
              <w:fldChar w:fldCharType="separate"/>
            </w:r>
            <w:r w:rsidR="00B067D8">
              <w:rPr>
                <w:noProof/>
                <w:webHidden/>
              </w:rPr>
              <w:t>8</w:t>
            </w:r>
            <w:r w:rsidR="00B067D8">
              <w:rPr>
                <w:noProof/>
                <w:webHidden/>
              </w:rPr>
              <w:fldChar w:fldCharType="end"/>
            </w:r>
          </w:hyperlink>
        </w:p>
        <w:p w14:paraId="33776216" w14:textId="543F0B88"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0" w:history="1">
            <w:r w:rsidR="00B067D8" w:rsidRPr="0088736A">
              <w:rPr>
                <w:rStyle w:val="Hyperlink"/>
                <w:noProof/>
              </w:rPr>
              <w:t>Quality</w:t>
            </w:r>
            <w:r w:rsidR="00B067D8">
              <w:rPr>
                <w:noProof/>
                <w:webHidden/>
              </w:rPr>
              <w:tab/>
            </w:r>
            <w:r w:rsidR="00B067D8">
              <w:rPr>
                <w:noProof/>
                <w:webHidden/>
              </w:rPr>
              <w:fldChar w:fldCharType="begin"/>
            </w:r>
            <w:r w:rsidR="00B067D8">
              <w:rPr>
                <w:noProof/>
                <w:webHidden/>
              </w:rPr>
              <w:instrText xml:space="preserve"> PAGEREF _Toc169183800 \h </w:instrText>
            </w:r>
            <w:r w:rsidR="00B067D8">
              <w:rPr>
                <w:noProof/>
                <w:webHidden/>
              </w:rPr>
            </w:r>
            <w:r w:rsidR="00B067D8">
              <w:rPr>
                <w:noProof/>
                <w:webHidden/>
              </w:rPr>
              <w:fldChar w:fldCharType="separate"/>
            </w:r>
            <w:r w:rsidR="00B067D8">
              <w:rPr>
                <w:noProof/>
                <w:webHidden/>
              </w:rPr>
              <w:t>8</w:t>
            </w:r>
            <w:r w:rsidR="00B067D8">
              <w:rPr>
                <w:noProof/>
                <w:webHidden/>
              </w:rPr>
              <w:fldChar w:fldCharType="end"/>
            </w:r>
          </w:hyperlink>
        </w:p>
        <w:p w14:paraId="05FAB126" w14:textId="018BFC31"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1" w:history="1">
            <w:r w:rsidR="00B067D8" w:rsidRPr="0088736A">
              <w:rPr>
                <w:rStyle w:val="Hyperlink"/>
                <w:noProof/>
              </w:rPr>
              <w:t>Nonclinical</w:t>
            </w:r>
            <w:r w:rsidR="00B067D8">
              <w:rPr>
                <w:noProof/>
                <w:webHidden/>
              </w:rPr>
              <w:tab/>
            </w:r>
            <w:r w:rsidR="00B067D8">
              <w:rPr>
                <w:noProof/>
                <w:webHidden/>
              </w:rPr>
              <w:fldChar w:fldCharType="begin"/>
            </w:r>
            <w:r w:rsidR="00B067D8">
              <w:rPr>
                <w:noProof/>
                <w:webHidden/>
              </w:rPr>
              <w:instrText xml:space="preserve"> PAGEREF _Toc169183801 \h </w:instrText>
            </w:r>
            <w:r w:rsidR="00B067D8">
              <w:rPr>
                <w:noProof/>
                <w:webHidden/>
              </w:rPr>
            </w:r>
            <w:r w:rsidR="00B067D8">
              <w:rPr>
                <w:noProof/>
                <w:webHidden/>
              </w:rPr>
              <w:fldChar w:fldCharType="separate"/>
            </w:r>
            <w:r w:rsidR="00B067D8">
              <w:rPr>
                <w:noProof/>
                <w:webHidden/>
              </w:rPr>
              <w:t>8</w:t>
            </w:r>
            <w:r w:rsidR="00B067D8">
              <w:rPr>
                <w:noProof/>
                <w:webHidden/>
              </w:rPr>
              <w:fldChar w:fldCharType="end"/>
            </w:r>
          </w:hyperlink>
        </w:p>
        <w:p w14:paraId="7D6AB965" w14:textId="294AD967"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2" w:history="1">
            <w:r w:rsidR="00B067D8" w:rsidRPr="0088736A">
              <w:rPr>
                <w:rStyle w:val="Hyperlink"/>
                <w:noProof/>
              </w:rPr>
              <w:t>Clinical</w:t>
            </w:r>
            <w:r w:rsidR="00B067D8">
              <w:rPr>
                <w:noProof/>
                <w:webHidden/>
              </w:rPr>
              <w:tab/>
            </w:r>
            <w:r w:rsidR="00B067D8">
              <w:rPr>
                <w:noProof/>
                <w:webHidden/>
              </w:rPr>
              <w:fldChar w:fldCharType="begin"/>
            </w:r>
            <w:r w:rsidR="00B067D8">
              <w:rPr>
                <w:noProof/>
                <w:webHidden/>
              </w:rPr>
              <w:instrText xml:space="preserve"> PAGEREF _Toc169183802 \h </w:instrText>
            </w:r>
            <w:r w:rsidR="00B067D8">
              <w:rPr>
                <w:noProof/>
                <w:webHidden/>
              </w:rPr>
            </w:r>
            <w:r w:rsidR="00B067D8">
              <w:rPr>
                <w:noProof/>
                <w:webHidden/>
              </w:rPr>
              <w:fldChar w:fldCharType="separate"/>
            </w:r>
            <w:r w:rsidR="00B067D8">
              <w:rPr>
                <w:noProof/>
                <w:webHidden/>
              </w:rPr>
              <w:t>9</w:t>
            </w:r>
            <w:r w:rsidR="00B067D8">
              <w:rPr>
                <w:noProof/>
                <w:webHidden/>
              </w:rPr>
              <w:fldChar w:fldCharType="end"/>
            </w:r>
          </w:hyperlink>
        </w:p>
        <w:p w14:paraId="0257598C" w14:textId="2EA416BF"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3" w:history="1">
            <w:r w:rsidR="00B067D8" w:rsidRPr="0088736A">
              <w:rPr>
                <w:rStyle w:val="Hyperlink"/>
                <w:noProof/>
              </w:rPr>
              <w:t>Pharmacology</w:t>
            </w:r>
            <w:r w:rsidR="00B067D8">
              <w:rPr>
                <w:noProof/>
                <w:webHidden/>
              </w:rPr>
              <w:tab/>
            </w:r>
            <w:r w:rsidR="00B067D8">
              <w:rPr>
                <w:noProof/>
                <w:webHidden/>
              </w:rPr>
              <w:fldChar w:fldCharType="begin"/>
            </w:r>
            <w:r w:rsidR="00B067D8">
              <w:rPr>
                <w:noProof/>
                <w:webHidden/>
              </w:rPr>
              <w:instrText xml:space="preserve"> PAGEREF _Toc169183803 \h </w:instrText>
            </w:r>
            <w:r w:rsidR="00B067D8">
              <w:rPr>
                <w:noProof/>
                <w:webHidden/>
              </w:rPr>
            </w:r>
            <w:r w:rsidR="00B067D8">
              <w:rPr>
                <w:noProof/>
                <w:webHidden/>
              </w:rPr>
              <w:fldChar w:fldCharType="separate"/>
            </w:r>
            <w:r w:rsidR="00B067D8">
              <w:rPr>
                <w:noProof/>
                <w:webHidden/>
              </w:rPr>
              <w:t>9</w:t>
            </w:r>
            <w:r w:rsidR="00B067D8">
              <w:rPr>
                <w:noProof/>
                <w:webHidden/>
              </w:rPr>
              <w:fldChar w:fldCharType="end"/>
            </w:r>
          </w:hyperlink>
        </w:p>
        <w:p w14:paraId="6C12FB17" w14:textId="73D07CA9"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804" w:history="1">
            <w:r w:rsidR="00B067D8" w:rsidRPr="0088736A">
              <w:rPr>
                <w:rStyle w:val="Hyperlink"/>
                <w:noProof/>
              </w:rPr>
              <w:t>Pharmacokinetics (PK)</w:t>
            </w:r>
            <w:r w:rsidR="00B067D8">
              <w:rPr>
                <w:noProof/>
                <w:webHidden/>
              </w:rPr>
              <w:tab/>
            </w:r>
            <w:r w:rsidR="00B067D8">
              <w:rPr>
                <w:noProof/>
                <w:webHidden/>
              </w:rPr>
              <w:fldChar w:fldCharType="begin"/>
            </w:r>
            <w:r w:rsidR="00B067D8">
              <w:rPr>
                <w:noProof/>
                <w:webHidden/>
              </w:rPr>
              <w:instrText xml:space="preserve"> PAGEREF _Toc169183804 \h </w:instrText>
            </w:r>
            <w:r w:rsidR="00B067D8">
              <w:rPr>
                <w:noProof/>
                <w:webHidden/>
              </w:rPr>
            </w:r>
            <w:r w:rsidR="00B067D8">
              <w:rPr>
                <w:noProof/>
                <w:webHidden/>
              </w:rPr>
              <w:fldChar w:fldCharType="separate"/>
            </w:r>
            <w:r w:rsidR="00B067D8">
              <w:rPr>
                <w:noProof/>
                <w:webHidden/>
              </w:rPr>
              <w:t>9</w:t>
            </w:r>
            <w:r w:rsidR="00B067D8">
              <w:rPr>
                <w:noProof/>
                <w:webHidden/>
              </w:rPr>
              <w:fldChar w:fldCharType="end"/>
            </w:r>
          </w:hyperlink>
        </w:p>
        <w:p w14:paraId="2F379A25" w14:textId="5DB4FA28"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805" w:history="1">
            <w:r w:rsidR="00B067D8" w:rsidRPr="0088736A">
              <w:rPr>
                <w:rStyle w:val="Hyperlink"/>
                <w:noProof/>
              </w:rPr>
              <w:t>Pharmacodynamics (PD)</w:t>
            </w:r>
            <w:r w:rsidR="00B067D8">
              <w:rPr>
                <w:noProof/>
                <w:webHidden/>
              </w:rPr>
              <w:tab/>
            </w:r>
            <w:r w:rsidR="00B067D8">
              <w:rPr>
                <w:noProof/>
                <w:webHidden/>
              </w:rPr>
              <w:fldChar w:fldCharType="begin"/>
            </w:r>
            <w:r w:rsidR="00B067D8">
              <w:rPr>
                <w:noProof/>
                <w:webHidden/>
              </w:rPr>
              <w:instrText xml:space="preserve"> PAGEREF _Toc169183805 \h </w:instrText>
            </w:r>
            <w:r w:rsidR="00B067D8">
              <w:rPr>
                <w:noProof/>
                <w:webHidden/>
              </w:rPr>
            </w:r>
            <w:r w:rsidR="00B067D8">
              <w:rPr>
                <w:noProof/>
                <w:webHidden/>
              </w:rPr>
              <w:fldChar w:fldCharType="separate"/>
            </w:r>
            <w:r w:rsidR="00B067D8">
              <w:rPr>
                <w:noProof/>
                <w:webHidden/>
              </w:rPr>
              <w:t>9</w:t>
            </w:r>
            <w:r w:rsidR="00B067D8">
              <w:rPr>
                <w:noProof/>
                <w:webHidden/>
              </w:rPr>
              <w:fldChar w:fldCharType="end"/>
            </w:r>
          </w:hyperlink>
        </w:p>
        <w:p w14:paraId="03214082" w14:textId="2E1C45DA"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6" w:history="1">
            <w:r w:rsidR="00B067D8" w:rsidRPr="0088736A">
              <w:rPr>
                <w:rStyle w:val="Hyperlink"/>
                <w:noProof/>
              </w:rPr>
              <w:t>Efficacy</w:t>
            </w:r>
            <w:r w:rsidR="00B067D8">
              <w:rPr>
                <w:noProof/>
                <w:webHidden/>
              </w:rPr>
              <w:tab/>
            </w:r>
            <w:r w:rsidR="00B067D8">
              <w:rPr>
                <w:noProof/>
                <w:webHidden/>
              </w:rPr>
              <w:fldChar w:fldCharType="begin"/>
            </w:r>
            <w:r w:rsidR="00B067D8">
              <w:rPr>
                <w:noProof/>
                <w:webHidden/>
              </w:rPr>
              <w:instrText xml:space="preserve"> PAGEREF _Toc169183806 \h </w:instrText>
            </w:r>
            <w:r w:rsidR="00B067D8">
              <w:rPr>
                <w:noProof/>
                <w:webHidden/>
              </w:rPr>
            </w:r>
            <w:r w:rsidR="00B067D8">
              <w:rPr>
                <w:noProof/>
                <w:webHidden/>
              </w:rPr>
              <w:fldChar w:fldCharType="separate"/>
            </w:r>
            <w:r w:rsidR="00B067D8">
              <w:rPr>
                <w:noProof/>
                <w:webHidden/>
              </w:rPr>
              <w:t>9</w:t>
            </w:r>
            <w:r w:rsidR="00B067D8">
              <w:rPr>
                <w:noProof/>
                <w:webHidden/>
              </w:rPr>
              <w:fldChar w:fldCharType="end"/>
            </w:r>
          </w:hyperlink>
        </w:p>
        <w:p w14:paraId="2DB45E25" w14:textId="765C9D30"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7" w:history="1">
            <w:r w:rsidR="00B067D8" w:rsidRPr="0088736A">
              <w:rPr>
                <w:rStyle w:val="Hyperlink"/>
                <w:noProof/>
              </w:rPr>
              <w:t>Safety</w:t>
            </w:r>
            <w:r w:rsidR="00B067D8">
              <w:rPr>
                <w:noProof/>
                <w:webHidden/>
              </w:rPr>
              <w:tab/>
            </w:r>
            <w:r w:rsidR="00B067D8">
              <w:rPr>
                <w:noProof/>
                <w:webHidden/>
              </w:rPr>
              <w:fldChar w:fldCharType="begin"/>
            </w:r>
            <w:r w:rsidR="00B067D8">
              <w:rPr>
                <w:noProof/>
                <w:webHidden/>
              </w:rPr>
              <w:instrText xml:space="preserve"> PAGEREF _Toc169183807 \h </w:instrText>
            </w:r>
            <w:r w:rsidR="00B067D8">
              <w:rPr>
                <w:noProof/>
                <w:webHidden/>
              </w:rPr>
            </w:r>
            <w:r w:rsidR="00B067D8">
              <w:rPr>
                <w:noProof/>
                <w:webHidden/>
              </w:rPr>
              <w:fldChar w:fldCharType="separate"/>
            </w:r>
            <w:r w:rsidR="00B067D8">
              <w:rPr>
                <w:noProof/>
                <w:webHidden/>
              </w:rPr>
              <w:t>11</w:t>
            </w:r>
            <w:r w:rsidR="00B067D8">
              <w:rPr>
                <w:noProof/>
                <w:webHidden/>
              </w:rPr>
              <w:fldChar w:fldCharType="end"/>
            </w:r>
          </w:hyperlink>
        </w:p>
        <w:p w14:paraId="7B8C7DA4" w14:textId="0187A5D8"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8" w:history="1">
            <w:r w:rsidR="00B067D8" w:rsidRPr="0088736A">
              <w:rPr>
                <w:rStyle w:val="Hyperlink"/>
                <w:noProof/>
                <w:lang w:eastAsia="en-AU"/>
              </w:rPr>
              <w:t>Risk management plan</w:t>
            </w:r>
            <w:r w:rsidR="00B067D8">
              <w:rPr>
                <w:noProof/>
                <w:webHidden/>
              </w:rPr>
              <w:tab/>
            </w:r>
            <w:r w:rsidR="00B067D8">
              <w:rPr>
                <w:noProof/>
                <w:webHidden/>
              </w:rPr>
              <w:fldChar w:fldCharType="begin"/>
            </w:r>
            <w:r w:rsidR="00B067D8">
              <w:rPr>
                <w:noProof/>
                <w:webHidden/>
              </w:rPr>
              <w:instrText xml:space="preserve"> PAGEREF _Toc169183808 \h </w:instrText>
            </w:r>
            <w:r w:rsidR="00B067D8">
              <w:rPr>
                <w:noProof/>
                <w:webHidden/>
              </w:rPr>
            </w:r>
            <w:r w:rsidR="00B067D8">
              <w:rPr>
                <w:noProof/>
                <w:webHidden/>
              </w:rPr>
              <w:fldChar w:fldCharType="separate"/>
            </w:r>
            <w:r w:rsidR="00B067D8">
              <w:rPr>
                <w:noProof/>
                <w:webHidden/>
              </w:rPr>
              <w:t>13</w:t>
            </w:r>
            <w:r w:rsidR="00B067D8">
              <w:rPr>
                <w:noProof/>
                <w:webHidden/>
              </w:rPr>
              <w:fldChar w:fldCharType="end"/>
            </w:r>
          </w:hyperlink>
        </w:p>
        <w:p w14:paraId="57BD095E" w14:textId="4EA02050" w:rsidR="00B067D8" w:rsidRDefault="0007423B">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83809" w:history="1">
            <w:r w:rsidR="00B067D8" w:rsidRPr="0088736A">
              <w:rPr>
                <w:rStyle w:val="Hyperlink"/>
                <w:noProof/>
              </w:rPr>
              <w:t>Risk-benefit analysis</w:t>
            </w:r>
            <w:r w:rsidR="00B067D8">
              <w:rPr>
                <w:noProof/>
                <w:webHidden/>
              </w:rPr>
              <w:tab/>
            </w:r>
            <w:r w:rsidR="00B067D8">
              <w:rPr>
                <w:noProof/>
                <w:webHidden/>
              </w:rPr>
              <w:fldChar w:fldCharType="begin"/>
            </w:r>
            <w:r w:rsidR="00B067D8">
              <w:rPr>
                <w:noProof/>
                <w:webHidden/>
              </w:rPr>
              <w:instrText xml:space="preserve"> PAGEREF _Toc169183809 \h </w:instrText>
            </w:r>
            <w:r w:rsidR="00B067D8">
              <w:rPr>
                <w:noProof/>
                <w:webHidden/>
              </w:rPr>
            </w:r>
            <w:r w:rsidR="00B067D8">
              <w:rPr>
                <w:noProof/>
                <w:webHidden/>
              </w:rPr>
              <w:fldChar w:fldCharType="separate"/>
            </w:r>
            <w:r w:rsidR="00B067D8">
              <w:rPr>
                <w:noProof/>
                <w:webHidden/>
              </w:rPr>
              <w:t>14</w:t>
            </w:r>
            <w:r w:rsidR="00B067D8">
              <w:rPr>
                <w:noProof/>
                <w:webHidden/>
              </w:rPr>
              <w:fldChar w:fldCharType="end"/>
            </w:r>
          </w:hyperlink>
        </w:p>
        <w:p w14:paraId="0A1D40AE" w14:textId="3A79A1E7"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810" w:history="1">
            <w:r w:rsidR="00B067D8" w:rsidRPr="0088736A">
              <w:rPr>
                <w:rStyle w:val="Hyperlink"/>
                <w:noProof/>
              </w:rPr>
              <w:t>Delegate’s considerations</w:t>
            </w:r>
            <w:r w:rsidR="00B067D8">
              <w:rPr>
                <w:noProof/>
                <w:webHidden/>
              </w:rPr>
              <w:tab/>
            </w:r>
            <w:r w:rsidR="00B067D8">
              <w:rPr>
                <w:noProof/>
                <w:webHidden/>
              </w:rPr>
              <w:fldChar w:fldCharType="begin"/>
            </w:r>
            <w:r w:rsidR="00B067D8">
              <w:rPr>
                <w:noProof/>
                <w:webHidden/>
              </w:rPr>
              <w:instrText xml:space="preserve"> PAGEREF _Toc169183810 \h </w:instrText>
            </w:r>
            <w:r w:rsidR="00B067D8">
              <w:rPr>
                <w:noProof/>
                <w:webHidden/>
              </w:rPr>
            </w:r>
            <w:r w:rsidR="00B067D8">
              <w:rPr>
                <w:noProof/>
                <w:webHidden/>
              </w:rPr>
              <w:fldChar w:fldCharType="separate"/>
            </w:r>
            <w:r w:rsidR="00B067D8">
              <w:rPr>
                <w:noProof/>
                <w:webHidden/>
              </w:rPr>
              <w:t>14</w:t>
            </w:r>
            <w:r w:rsidR="00B067D8">
              <w:rPr>
                <w:noProof/>
                <w:webHidden/>
              </w:rPr>
              <w:fldChar w:fldCharType="end"/>
            </w:r>
          </w:hyperlink>
        </w:p>
        <w:p w14:paraId="1F470B69" w14:textId="059A8831" w:rsidR="00B067D8" w:rsidRDefault="0007423B">
          <w:pPr>
            <w:pStyle w:val="TOC3"/>
            <w:rPr>
              <w:rFonts w:asciiTheme="minorHAnsi" w:eastAsiaTheme="minorEastAsia" w:hAnsiTheme="minorHAnsi" w:cstheme="minorBidi"/>
              <w:b w:val="0"/>
              <w:noProof/>
              <w:color w:val="auto"/>
              <w:kern w:val="2"/>
              <w:szCs w:val="22"/>
              <w:lang w:eastAsia="en-AU"/>
              <w14:ligatures w14:val="standardContextual"/>
            </w:rPr>
          </w:pPr>
          <w:hyperlink w:anchor="_Toc169183811" w:history="1">
            <w:r w:rsidR="00B067D8" w:rsidRPr="0088736A">
              <w:rPr>
                <w:rStyle w:val="Hyperlink"/>
                <w:noProof/>
              </w:rPr>
              <w:t>Proposed action</w:t>
            </w:r>
            <w:r w:rsidR="00B067D8">
              <w:rPr>
                <w:noProof/>
                <w:webHidden/>
              </w:rPr>
              <w:tab/>
            </w:r>
            <w:r w:rsidR="00B067D8">
              <w:rPr>
                <w:noProof/>
                <w:webHidden/>
              </w:rPr>
              <w:fldChar w:fldCharType="begin"/>
            </w:r>
            <w:r w:rsidR="00B067D8">
              <w:rPr>
                <w:noProof/>
                <w:webHidden/>
              </w:rPr>
              <w:instrText xml:space="preserve"> PAGEREF _Toc169183811 \h </w:instrText>
            </w:r>
            <w:r w:rsidR="00B067D8">
              <w:rPr>
                <w:noProof/>
                <w:webHidden/>
              </w:rPr>
            </w:r>
            <w:r w:rsidR="00B067D8">
              <w:rPr>
                <w:noProof/>
                <w:webHidden/>
              </w:rPr>
              <w:fldChar w:fldCharType="separate"/>
            </w:r>
            <w:r w:rsidR="00B067D8">
              <w:rPr>
                <w:noProof/>
                <w:webHidden/>
              </w:rPr>
              <w:t>16</w:t>
            </w:r>
            <w:r w:rsidR="00B067D8">
              <w:rPr>
                <w:noProof/>
                <w:webHidden/>
              </w:rPr>
              <w:fldChar w:fldCharType="end"/>
            </w:r>
          </w:hyperlink>
        </w:p>
        <w:p w14:paraId="038D7777" w14:textId="6D1AD691" w:rsidR="00B067D8" w:rsidRDefault="0007423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183812" w:history="1">
            <w:r w:rsidR="00B067D8" w:rsidRPr="0088736A">
              <w:rPr>
                <w:rStyle w:val="Hyperlink"/>
                <w:noProof/>
              </w:rPr>
              <w:t>Outcome</w:t>
            </w:r>
            <w:r w:rsidR="00B067D8">
              <w:rPr>
                <w:noProof/>
                <w:webHidden/>
              </w:rPr>
              <w:tab/>
            </w:r>
            <w:r w:rsidR="00B067D8">
              <w:rPr>
                <w:noProof/>
                <w:webHidden/>
              </w:rPr>
              <w:fldChar w:fldCharType="begin"/>
            </w:r>
            <w:r w:rsidR="00B067D8">
              <w:rPr>
                <w:noProof/>
                <w:webHidden/>
              </w:rPr>
              <w:instrText xml:space="preserve"> PAGEREF _Toc169183812 \h </w:instrText>
            </w:r>
            <w:r w:rsidR="00B067D8">
              <w:rPr>
                <w:noProof/>
                <w:webHidden/>
              </w:rPr>
            </w:r>
            <w:r w:rsidR="00B067D8">
              <w:rPr>
                <w:noProof/>
                <w:webHidden/>
              </w:rPr>
              <w:fldChar w:fldCharType="separate"/>
            </w:r>
            <w:r w:rsidR="00B067D8">
              <w:rPr>
                <w:noProof/>
                <w:webHidden/>
              </w:rPr>
              <w:t>16</w:t>
            </w:r>
            <w:r w:rsidR="00B067D8">
              <w:rPr>
                <w:noProof/>
                <w:webHidden/>
              </w:rPr>
              <w:fldChar w:fldCharType="end"/>
            </w:r>
          </w:hyperlink>
        </w:p>
        <w:p w14:paraId="77659F2D" w14:textId="652CCC2C"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69183788"/>
      <w:bookmarkStart w:id="3" w:name="_Toc323739589"/>
      <w:bookmarkStart w:id="4" w:name="_Toc356305216"/>
      <w:r>
        <w:lastRenderedPageBreak/>
        <w:t>List of abbreviations</w:t>
      </w:r>
      <w:bookmarkEnd w:id="0"/>
      <w:bookmarkEnd w:id="1"/>
      <w:bookmarkEnd w:id="2"/>
    </w:p>
    <w:p w14:paraId="58578454" w14:textId="7FD906FF" w:rsidR="00324B33" w:rsidRDefault="00324B33" w:rsidP="00324B33">
      <w:pPr>
        <w:rPr>
          <w:i/>
          <w:color w:val="007099"/>
        </w:rPr>
      </w:pPr>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324B33">
            <w:pPr>
              <w:rPr>
                <w:szCs w:val="22"/>
              </w:rPr>
            </w:pPr>
            <w:r w:rsidRPr="00D01DDB">
              <w:rPr>
                <w:szCs w:val="22"/>
              </w:rPr>
              <w:t>Abbreviation</w:t>
            </w:r>
          </w:p>
        </w:tc>
        <w:tc>
          <w:tcPr>
            <w:tcW w:w="3800" w:type="pct"/>
          </w:tcPr>
          <w:p w14:paraId="4CF6D0CD" w14:textId="2974FA0B"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324B33" w:rsidRPr="00D01DDB" w14:paraId="16C5C8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DE09A4" w14:textId="07A94E9E" w:rsidR="00324B33" w:rsidRPr="00D01DDB" w:rsidRDefault="00324B33" w:rsidP="00324B33">
            <w:pPr>
              <w:rPr>
                <w:szCs w:val="22"/>
              </w:rPr>
            </w:pPr>
            <w:r w:rsidRPr="00D01DDB">
              <w:rPr>
                <w:szCs w:val="22"/>
              </w:rPr>
              <w:t>ACM</w:t>
            </w:r>
          </w:p>
        </w:tc>
        <w:tc>
          <w:tcPr>
            <w:tcW w:w="3800" w:type="pct"/>
          </w:tcPr>
          <w:p w14:paraId="4F24A873" w14:textId="0539B5FB"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Medicines</w:t>
            </w:r>
          </w:p>
        </w:tc>
      </w:tr>
      <w:tr w:rsidR="000E1F54" w:rsidRPr="00D01DDB" w14:paraId="5BC2B5C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61DCE8E" w14:textId="2B8EFE7B" w:rsidR="000E1F54" w:rsidRPr="00D01DDB" w:rsidRDefault="000E1F54" w:rsidP="00324B33">
            <w:pPr>
              <w:rPr>
                <w:szCs w:val="22"/>
              </w:rPr>
            </w:pPr>
            <w:r>
              <w:rPr>
                <w:szCs w:val="22"/>
              </w:rPr>
              <w:t>AE</w:t>
            </w:r>
          </w:p>
        </w:tc>
        <w:tc>
          <w:tcPr>
            <w:tcW w:w="3800" w:type="pct"/>
          </w:tcPr>
          <w:p w14:paraId="508A1133" w14:textId="4AA1C64B" w:rsidR="000E1F54" w:rsidRPr="00D01DDB" w:rsidRDefault="000E1F5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Adverse Event</w:t>
            </w:r>
          </w:p>
        </w:tc>
      </w:tr>
      <w:tr w:rsidR="00211062" w:rsidRPr="00D01DDB" w14:paraId="666B364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1252862" w14:textId="180A7C9A" w:rsidR="00211062" w:rsidRDefault="00211062" w:rsidP="00324B33">
            <w:pPr>
              <w:rPr>
                <w:szCs w:val="22"/>
              </w:rPr>
            </w:pPr>
            <w:r>
              <w:rPr>
                <w:szCs w:val="22"/>
              </w:rPr>
              <w:t>AMD</w:t>
            </w:r>
          </w:p>
        </w:tc>
        <w:tc>
          <w:tcPr>
            <w:tcW w:w="3800" w:type="pct"/>
          </w:tcPr>
          <w:p w14:paraId="798B0C7E" w14:textId="0CEC4905" w:rsidR="00211062" w:rsidRDefault="0021106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w:t>
            </w:r>
            <w:r w:rsidRPr="00211062">
              <w:rPr>
                <w:szCs w:val="22"/>
              </w:rPr>
              <w:t>ge-related macular degeneration</w:t>
            </w:r>
          </w:p>
        </w:tc>
      </w:tr>
      <w:tr w:rsidR="00324B33" w:rsidRPr="00D01DDB"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01DDB" w:rsidRDefault="00324B33" w:rsidP="00324B33">
            <w:pPr>
              <w:rPr>
                <w:szCs w:val="22"/>
              </w:rPr>
            </w:pPr>
            <w:r w:rsidRPr="00D01DDB">
              <w:rPr>
                <w:szCs w:val="22"/>
              </w:rPr>
              <w:t>ARTG</w:t>
            </w:r>
          </w:p>
        </w:tc>
        <w:tc>
          <w:tcPr>
            <w:tcW w:w="3800" w:type="pct"/>
          </w:tcPr>
          <w:p w14:paraId="228A203A" w14:textId="47EBCFA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324B33" w:rsidRPr="00D01DDB" w14:paraId="053667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0516A80" w14:textId="1329E9D5" w:rsidR="00324B33" w:rsidRPr="00D01DDB" w:rsidRDefault="00324B33" w:rsidP="00324B33">
            <w:pPr>
              <w:rPr>
                <w:szCs w:val="22"/>
              </w:rPr>
            </w:pPr>
            <w:r w:rsidRPr="00D01DDB">
              <w:rPr>
                <w:szCs w:val="22"/>
              </w:rPr>
              <w:t>ASA</w:t>
            </w:r>
          </w:p>
        </w:tc>
        <w:tc>
          <w:tcPr>
            <w:tcW w:w="3800" w:type="pct"/>
          </w:tcPr>
          <w:p w14:paraId="4E6F5284" w14:textId="21C063B1"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w:t>
            </w:r>
            <w:r w:rsidR="00873D7A">
              <w:rPr>
                <w:szCs w:val="22"/>
              </w:rPr>
              <w:noBreakHyphen/>
            </w:r>
            <w:r w:rsidRPr="00D01DDB">
              <w:rPr>
                <w:szCs w:val="22"/>
              </w:rPr>
              <w:t>specific annex</w:t>
            </w:r>
          </w:p>
        </w:tc>
      </w:tr>
      <w:tr w:rsidR="001D1C49" w:rsidRPr="00D01DDB" w14:paraId="5D5E191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81779A1" w14:textId="7685A7A9" w:rsidR="001D1C49" w:rsidRPr="001D1C49" w:rsidRDefault="001D1C49" w:rsidP="00324B33">
            <w:pPr>
              <w:rPr>
                <w:b/>
                <w:bCs/>
                <w:szCs w:val="22"/>
              </w:rPr>
            </w:pPr>
            <w:r>
              <w:t>BCVA</w:t>
            </w:r>
          </w:p>
        </w:tc>
        <w:tc>
          <w:tcPr>
            <w:tcW w:w="3800" w:type="pct"/>
          </w:tcPr>
          <w:p w14:paraId="37A2031C" w14:textId="742138A4" w:rsidR="001D1C49" w:rsidRPr="00D01DDB" w:rsidRDefault="001D1C49"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Best-corrected visual acuity </w:t>
            </w:r>
          </w:p>
        </w:tc>
      </w:tr>
      <w:tr w:rsidR="00395140" w:rsidRPr="00D01DDB"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395140" w:rsidRPr="00D01DDB" w:rsidRDefault="00395140" w:rsidP="00324B33">
            <w:pPr>
              <w:rPr>
                <w:szCs w:val="22"/>
              </w:rPr>
            </w:pPr>
            <w:r w:rsidRPr="00D01DDB">
              <w:rPr>
                <w:szCs w:val="22"/>
              </w:rPr>
              <w:t>CMI</w:t>
            </w:r>
          </w:p>
        </w:tc>
        <w:tc>
          <w:tcPr>
            <w:tcW w:w="3800" w:type="pct"/>
          </w:tcPr>
          <w:p w14:paraId="5D8C9DF5" w14:textId="60C23379"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5A5744" w:rsidRPr="00D01DDB" w14:paraId="7A67B23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F23D24" w14:textId="4E8C99E7" w:rsidR="005A5744" w:rsidRPr="00D01DDB" w:rsidRDefault="005A5744" w:rsidP="00324B33">
            <w:pPr>
              <w:rPr>
                <w:szCs w:val="22"/>
              </w:rPr>
            </w:pPr>
            <w:r w:rsidRPr="005A5744">
              <w:rPr>
                <w:szCs w:val="22"/>
              </w:rPr>
              <w:t>CNV</w:t>
            </w:r>
          </w:p>
        </w:tc>
        <w:tc>
          <w:tcPr>
            <w:tcW w:w="3800" w:type="pct"/>
          </w:tcPr>
          <w:p w14:paraId="542068F7" w14:textId="2A41E0D4" w:rsidR="005A5744" w:rsidRPr="00D01DDB" w:rsidRDefault="005A574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C</w:t>
            </w:r>
            <w:r w:rsidRPr="005A5744">
              <w:rPr>
                <w:szCs w:val="22"/>
              </w:rPr>
              <w:t>horoidal neovascularisatio</w:t>
            </w:r>
            <w:r>
              <w:rPr>
                <w:szCs w:val="22"/>
              </w:rPr>
              <w:t>n</w:t>
            </w:r>
          </w:p>
        </w:tc>
      </w:tr>
      <w:tr w:rsidR="005A5744" w:rsidRPr="00D01DDB" w14:paraId="11E114E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1948930" w14:textId="3DFAE197" w:rsidR="005A5744" w:rsidRPr="005A5744" w:rsidRDefault="005A5744" w:rsidP="00324B33">
            <w:pPr>
              <w:rPr>
                <w:szCs w:val="22"/>
              </w:rPr>
            </w:pPr>
            <w:r w:rsidRPr="005A5744">
              <w:rPr>
                <w:szCs w:val="22"/>
              </w:rPr>
              <w:t>COR</w:t>
            </w:r>
          </w:p>
        </w:tc>
        <w:tc>
          <w:tcPr>
            <w:tcW w:w="3800" w:type="pct"/>
          </w:tcPr>
          <w:p w14:paraId="0A5FA246" w14:textId="7ED3654D" w:rsidR="005A5744" w:rsidRDefault="005A574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Comparable overseas regulator</w:t>
            </w:r>
          </w:p>
        </w:tc>
      </w:tr>
      <w:tr w:rsidR="005A5744" w:rsidRPr="00D01DDB" w14:paraId="08EE09A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F721C0B" w14:textId="2FAB071A" w:rsidR="005A5744" w:rsidRPr="00D01DDB" w:rsidRDefault="005A5744" w:rsidP="00324B33">
            <w:pPr>
              <w:rPr>
                <w:szCs w:val="22"/>
              </w:rPr>
            </w:pPr>
            <w:r w:rsidRPr="005A5744">
              <w:rPr>
                <w:szCs w:val="22"/>
              </w:rPr>
              <w:t>DME</w:t>
            </w:r>
          </w:p>
        </w:tc>
        <w:tc>
          <w:tcPr>
            <w:tcW w:w="3800" w:type="pct"/>
          </w:tcPr>
          <w:p w14:paraId="17AAA7A4" w14:textId="47D262D9" w:rsidR="005A5744" w:rsidRPr="00D01DDB" w:rsidRDefault="005A574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D</w:t>
            </w:r>
            <w:r w:rsidRPr="005A5744">
              <w:rPr>
                <w:szCs w:val="22"/>
              </w:rPr>
              <w:t>iabetic macular oedema</w:t>
            </w:r>
          </w:p>
        </w:tc>
      </w:tr>
      <w:tr w:rsidR="00324B33" w:rsidRPr="00D01DDB" w14:paraId="7B87377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E05B04" w14:textId="0D6731AA" w:rsidR="00324B33" w:rsidRPr="00D01DDB" w:rsidRDefault="00324B33" w:rsidP="00324B33">
            <w:pPr>
              <w:rPr>
                <w:szCs w:val="22"/>
              </w:rPr>
            </w:pPr>
            <w:r w:rsidRPr="00D01DDB">
              <w:rPr>
                <w:szCs w:val="22"/>
              </w:rPr>
              <w:t>DLP</w:t>
            </w:r>
          </w:p>
        </w:tc>
        <w:tc>
          <w:tcPr>
            <w:tcW w:w="3800" w:type="pct"/>
          </w:tcPr>
          <w:p w14:paraId="26109D0B" w14:textId="4AE8F60A"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Data lock point</w:t>
            </w:r>
          </w:p>
        </w:tc>
      </w:tr>
      <w:tr w:rsidR="00C3522A" w:rsidRPr="00D01DDB" w14:paraId="2E0C1DD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95B9289" w14:textId="327E5FAB" w:rsidR="00C3522A" w:rsidRPr="00D01DDB" w:rsidRDefault="00C3522A" w:rsidP="00324B33">
            <w:pPr>
              <w:rPr>
                <w:szCs w:val="22"/>
              </w:rPr>
            </w:pPr>
            <w:r>
              <w:rPr>
                <w:szCs w:val="22"/>
              </w:rPr>
              <w:t>EMA</w:t>
            </w:r>
          </w:p>
        </w:tc>
        <w:tc>
          <w:tcPr>
            <w:tcW w:w="3800" w:type="pct"/>
          </w:tcPr>
          <w:p w14:paraId="791176EB" w14:textId="5AC66FED" w:rsidR="00C3522A" w:rsidRPr="00D01DDB" w:rsidRDefault="00C3522A"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European Medicines Agency</w:t>
            </w:r>
          </w:p>
        </w:tc>
      </w:tr>
      <w:tr w:rsidR="00D40446" w:rsidRPr="00D01DDB" w14:paraId="27248C4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BBA2AE8" w14:textId="74C76A01" w:rsidR="00D40446" w:rsidRDefault="00F147D2" w:rsidP="00324B33">
            <w:pPr>
              <w:rPr>
                <w:szCs w:val="22"/>
              </w:rPr>
            </w:pPr>
            <w:r>
              <w:t>ETDRS</w:t>
            </w:r>
          </w:p>
        </w:tc>
        <w:tc>
          <w:tcPr>
            <w:tcW w:w="3800" w:type="pct"/>
          </w:tcPr>
          <w:p w14:paraId="200CD3C2" w14:textId="12E322C1" w:rsidR="00D40446" w:rsidRDefault="00D40446" w:rsidP="00324B33">
            <w:pPr>
              <w:cnfStyle w:val="000000000000" w:firstRow="0" w:lastRow="0" w:firstColumn="0" w:lastColumn="0" w:oddVBand="0" w:evenVBand="0" w:oddHBand="0" w:evenHBand="0" w:firstRowFirstColumn="0" w:firstRowLastColumn="0" w:lastRowFirstColumn="0" w:lastRowLastColumn="0"/>
              <w:rPr>
                <w:szCs w:val="22"/>
              </w:rPr>
            </w:pPr>
            <w:r>
              <w:t>Early Treatment Diabetic Retinopathy Study</w:t>
            </w:r>
          </w:p>
        </w:tc>
      </w:tr>
      <w:tr w:rsidR="009B4DBC" w:rsidRPr="00D01DDB" w14:paraId="79BEB0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1A72D9D" w14:textId="642E1820" w:rsidR="009B4DBC" w:rsidRDefault="009B4DBC" w:rsidP="00324B33">
            <w:r>
              <w:t>FAS_EU</w:t>
            </w:r>
          </w:p>
        </w:tc>
        <w:tc>
          <w:tcPr>
            <w:tcW w:w="3800" w:type="pct"/>
          </w:tcPr>
          <w:p w14:paraId="158DBE00" w14:textId="37F2AE0D" w:rsidR="009B4DBC" w:rsidRDefault="009B4DBC" w:rsidP="00324B33">
            <w:pPr>
              <w:cnfStyle w:val="000000000000" w:firstRow="0" w:lastRow="0" w:firstColumn="0" w:lastColumn="0" w:oddVBand="0" w:evenVBand="0" w:oddHBand="0" w:evenHBand="0" w:firstRowFirstColumn="0" w:firstRowLastColumn="0" w:lastRowFirstColumn="0" w:lastRowLastColumn="0"/>
            </w:pPr>
            <w:r>
              <w:t>Full analysis set for the EU</w:t>
            </w:r>
          </w:p>
        </w:tc>
      </w:tr>
      <w:tr w:rsidR="002714AB" w:rsidRPr="00D01DDB" w14:paraId="12ED852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B9057C5" w14:textId="50BE146D" w:rsidR="002714AB" w:rsidRDefault="002714AB" w:rsidP="00324B33">
            <w:r>
              <w:t>GMP</w:t>
            </w:r>
          </w:p>
        </w:tc>
        <w:tc>
          <w:tcPr>
            <w:tcW w:w="3800" w:type="pct"/>
          </w:tcPr>
          <w:p w14:paraId="7B84062A" w14:textId="20B4A916" w:rsidR="002714AB" w:rsidRDefault="002714AB" w:rsidP="00324B33">
            <w:pPr>
              <w:cnfStyle w:val="000000000000" w:firstRow="0" w:lastRow="0" w:firstColumn="0" w:lastColumn="0" w:oddVBand="0" w:evenVBand="0" w:oddHBand="0" w:evenHBand="0" w:firstRowFirstColumn="0" w:firstRowLastColumn="0" w:lastRowFirstColumn="0" w:lastRowLastColumn="0"/>
            </w:pPr>
            <w:r>
              <w:t>Good manufacturing practice</w:t>
            </w:r>
          </w:p>
        </w:tc>
      </w:tr>
      <w:tr w:rsidR="00123625" w:rsidRPr="00D01DDB" w14:paraId="22CBA9E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D14D270" w14:textId="615B0F18" w:rsidR="00123625" w:rsidRDefault="00123625" w:rsidP="00324B33">
            <w:r>
              <w:t>IVT</w:t>
            </w:r>
          </w:p>
        </w:tc>
        <w:tc>
          <w:tcPr>
            <w:tcW w:w="3800" w:type="pct"/>
          </w:tcPr>
          <w:p w14:paraId="22DA1105" w14:textId="6EBC35F6" w:rsidR="00123625" w:rsidRDefault="00123625" w:rsidP="00324B33">
            <w:pPr>
              <w:cnfStyle w:val="000000000000" w:firstRow="0" w:lastRow="0" w:firstColumn="0" w:lastColumn="0" w:oddVBand="0" w:evenVBand="0" w:oddHBand="0" w:evenHBand="0" w:firstRowFirstColumn="0" w:firstRowLastColumn="0" w:lastRowFirstColumn="0" w:lastRowLastColumn="0"/>
            </w:pPr>
            <w:r>
              <w:t>Intravitreal</w:t>
            </w:r>
          </w:p>
        </w:tc>
      </w:tr>
      <w:tr w:rsidR="00211062" w:rsidRPr="00D01DDB" w14:paraId="470F2A0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B9D3A39" w14:textId="6E767D61" w:rsidR="00211062" w:rsidRDefault="00211062" w:rsidP="00324B33">
            <w:proofErr w:type="spellStart"/>
            <w:r w:rsidRPr="00211062">
              <w:t>nAMD</w:t>
            </w:r>
            <w:proofErr w:type="spellEnd"/>
          </w:p>
        </w:tc>
        <w:tc>
          <w:tcPr>
            <w:tcW w:w="3800" w:type="pct"/>
          </w:tcPr>
          <w:p w14:paraId="19CF76D9" w14:textId="7EA04870" w:rsidR="00211062" w:rsidRDefault="005A5744" w:rsidP="00324B33">
            <w:pPr>
              <w:cnfStyle w:val="000000000000" w:firstRow="0" w:lastRow="0" w:firstColumn="0" w:lastColumn="0" w:oddVBand="0" w:evenVBand="0" w:oddHBand="0" w:evenHBand="0" w:firstRowFirstColumn="0" w:firstRowLastColumn="0" w:lastRowFirstColumn="0" w:lastRowLastColumn="0"/>
            </w:pPr>
            <w:r>
              <w:t>N</w:t>
            </w:r>
            <w:r w:rsidR="00211062" w:rsidRPr="00211062">
              <w:t>eovascular (wet) AMD</w:t>
            </w:r>
          </w:p>
        </w:tc>
      </w:tr>
      <w:tr w:rsidR="005A5744" w:rsidRPr="00D01DDB" w14:paraId="5042D0F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83A9B06" w14:textId="1BFCC2EE" w:rsidR="005A5744" w:rsidRPr="00211062" w:rsidRDefault="005A5744" w:rsidP="00324B33">
            <w:r w:rsidRPr="005A5744">
              <w:t>PDR</w:t>
            </w:r>
          </w:p>
        </w:tc>
        <w:tc>
          <w:tcPr>
            <w:tcW w:w="3800" w:type="pct"/>
          </w:tcPr>
          <w:p w14:paraId="7B5A3F7E" w14:textId="5AED5E59" w:rsidR="005A5744" w:rsidRPr="00211062" w:rsidRDefault="005A5744" w:rsidP="00324B33">
            <w:pPr>
              <w:cnfStyle w:val="000000000000" w:firstRow="0" w:lastRow="0" w:firstColumn="0" w:lastColumn="0" w:oddVBand="0" w:evenVBand="0" w:oddHBand="0" w:evenHBand="0" w:firstRowFirstColumn="0" w:firstRowLastColumn="0" w:lastRowFirstColumn="0" w:lastRowLastColumn="0"/>
            </w:pPr>
            <w:r>
              <w:t>P</w:t>
            </w:r>
            <w:r w:rsidRPr="005A5744">
              <w:t>roliferative diabetic retinopathy</w:t>
            </w:r>
          </w:p>
        </w:tc>
      </w:tr>
      <w:tr w:rsidR="00395140" w:rsidRPr="00D01DDB"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395140" w:rsidRPr="00D01DDB" w:rsidRDefault="00395140" w:rsidP="00324B33">
            <w:pPr>
              <w:rPr>
                <w:szCs w:val="22"/>
              </w:rPr>
            </w:pPr>
            <w:r w:rsidRPr="00D01DDB">
              <w:rPr>
                <w:szCs w:val="22"/>
              </w:rPr>
              <w:t>PI</w:t>
            </w:r>
          </w:p>
        </w:tc>
        <w:tc>
          <w:tcPr>
            <w:tcW w:w="3800" w:type="pct"/>
          </w:tcPr>
          <w:p w14:paraId="354B5DB5" w14:textId="3DAE38C1"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211062" w:rsidRPr="00D01DDB" w14:paraId="5D0AAA5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FDB65DE" w14:textId="5C7D0E82" w:rsidR="00211062" w:rsidRPr="00D01DDB" w:rsidRDefault="005A5744" w:rsidP="00324B33">
            <w:pPr>
              <w:rPr>
                <w:szCs w:val="22"/>
              </w:rPr>
            </w:pPr>
            <w:r w:rsidRPr="005A5744">
              <w:rPr>
                <w:szCs w:val="22"/>
              </w:rPr>
              <w:t>PM</w:t>
            </w:r>
          </w:p>
        </w:tc>
        <w:tc>
          <w:tcPr>
            <w:tcW w:w="3800" w:type="pct"/>
          </w:tcPr>
          <w:p w14:paraId="2EDFDC14" w14:textId="1784632C" w:rsidR="00211062" w:rsidRPr="00D01DDB" w:rsidRDefault="005A574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P</w:t>
            </w:r>
            <w:r w:rsidRPr="005A5744">
              <w:rPr>
                <w:szCs w:val="22"/>
              </w:rPr>
              <w:t>athologic myopia</w:t>
            </w:r>
          </w:p>
        </w:tc>
      </w:tr>
      <w:tr w:rsidR="00A704DC" w:rsidRPr="00D01DDB" w14:paraId="3D3C703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6FC5D65" w14:textId="2915A0B8" w:rsidR="00A704DC" w:rsidRPr="00D01DDB" w:rsidRDefault="00A704DC" w:rsidP="00A704DC">
            <w:pPr>
              <w:rPr>
                <w:szCs w:val="22"/>
              </w:rPr>
            </w:pPr>
            <w:r w:rsidRPr="00D01DDB">
              <w:rPr>
                <w:szCs w:val="22"/>
              </w:rPr>
              <w:t>PSUR</w:t>
            </w:r>
          </w:p>
        </w:tc>
        <w:tc>
          <w:tcPr>
            <w:tcW w:w="3800" w:type="pct"/>
          </w:tcPr>
          <w:p w14:paraId="4A97D112" w14:textId="3DC38D82" w:rsidR="00A704DC" w:rsidRPr="00D01DDB" w:rsidRDefault="00A704DC" w:rsidP="00A704DC">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Periodic safety update report</w:t>
            </w:r>
          </w:p>
        </w:tc>
      </w:tr>
      <w:tr w:rsidR="00A704DC" w:rsidRPr="00D01DDB"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A704DC" w:rsidRPr="00D01DDB" w:rsidRDefault="00A704DC" w:rsidP="00A704DC">
            <w:pPr>
              <w:rPr>
                <w:szCs w:val="22"/>
              </w:rPr>
            </w:pPr>
            <w:r w:rsidRPr="00D01DDB">
              <w:rPr>
                <w:szCs w:val="22"/>
              </w:rPr>
              <w:t>RMP</w:t>
            </w:r>
          </w:p>
        </w:tc>
        <w:tc>
          <w:tcPr>
            <w:tcW w:w="3800" w:type="pct"/>
          </w:tcPr>
          <w:p w14:paraId="2C862F75" w14:textId="2355E842" w:rsidR="00A704DC" w:rsidRPr="00D01DDB" w:rsidRDefault="00A704DC" w:rsidP="00A704DC">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5A5744" w:rsidRPr="00D01DDB" w14:paraId="2A77F4C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FFC9A55" w14:textId="7A62A50A" w:rsidR="005A5744" w:rsidRPr="00D01DDB" w:rsidRDefault="005A5744" w:rsidP="00A704DC">
            <w:pPr>
              <w:rPr>
                <w:szCs w:val="22"/>
              </w:rPr>
            </w:pPr>
            <w:r w:rsidRPr="005A5744">
              <w:rPr>
                <w:szCs w:val="22"/>
              </w:rPr>
              <w:t>RVO</w:t>
            </w:r>
          </w:p>
        </w:tc>
        <w:tc>
          <w:tcPr>
            <w:tcW w:w="3800" w:type="pct"/>
          </w:tcPr>
          <w:p w14:paraId="68B95ED5" w14:textId="38F93711" w:rsidR="005A5744" w:rsidRPr="00D01DDB" w:rsidRDefault="005A5744"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R</w:t>
            </w:r>
            <w:r w:rsidRPr="005A5744">
              <w:rPr>
                <w:szCs w:val="22"/>
              </w:rPr>
              <w:t>etinal vein occlusion</w:t>
            </w:r>
          </w:p>
        </w:tc>
      </w:tr>
      <w:tr w:rsidR="00123625" w:rsidRPr="00D01DDB" w14:paraId="65BA2D70"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3BA23F1" w14:textId="1B11201B" w:rsidR="00123625" w:rsidRPr="005A5744" w:rsidRDefault="00123625" w:rsidP="00A704DC">
            <w:pPr>
              <w:rPr>
                <w:szCs w:val="22"/>
              </w:rPr>
            </w:pPr>
            <w:r>
              <w:rPr>
                <w:szCs w:val="22"/>
              </w:rPr>
              <w:t>SAE</w:t>
            </w:r>
          </w:p>
        </w:tc>
        <w:tc>
          <w:tcPr>
            <w:tcW w:w="3800" w:type="pct"/>
          </w:tcPr>
          <w:p w14:paraId="0701A8ED" w14:textId="53141F40" w:rsidR="00123625" w:rsidRDefault="00123625"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Serious adverse events</w:t>
            </w:r>
          </w:p>
        </w:tc>
      </w:tr>
      <w:tr w:rsidR="005A5744" w:rsidRPr="00D01DDB" w14:paraId="5E42ED3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3313A69" w14:textId="231F76C9" w:rsidR="005A5744" w:rsidRPr="005A5744" w:rsidRDefault="005A5744" w:rsidP="00A704DC">
            <w:pPr>
              <w:rPr>
                <w:szCs w:val="22"/>
              </w:rPr>
            </w:pPr>
            <w:r w:rsidRPr="005A5744">
              <w:rPr>
                <w:szCs w:val="22"/>
              </w:rPr>
              <w:t>SOC</w:t>
            </w:r>
          </w:p>
        </w:tc>
        <w:tc>
          <w:tcPr>
            <w:tcW w:w="3800" w:type="pct"/>
          </w:tcPr>
          <w:p w14:paraId="629A8DE8" w14:textId="2CCE4842" w:rsidR="005A5744" w:rsidRDefault="005A5744"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S</w:t>
            </w:r>
            <w:r w:rsidRPr="005A5744">
              <w:rPr>
                <w:szCs w:val="22"/>
              </w:rPr>
              <w:t>ystem organ class</w:t>
            </w:r>
          </w:p>
        </w:tc>
      </w:tr>
      <w:tr w:rsidR="000E1F54" w:rsidRPr="00D01DDB" w14:paraId="5E965C2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BA8962" w14:textId="4C57958C" w:rsidR="000E1F54" w:rsidRPr="00D01DDB" w:rsidRDefault="000E1F54" w:rsidP="00A704DC">
            <w:pPr>
              <w:rPr>
                <w:szCs w:val="22"/>
              </w:rPr>
            </w:pPr>
            <w:r>
              <w:rPr>
                <w:szCs w:val="22"/>
              </w:rPr>
              <w:t>TEAE</w:t>
            </w:r>
          </w:p>
        </w:tc>
        <w:tc>
          <w:tcPr>
            <w:tcW w:w="3800" w:type="pct"/>
          </w:tcPr>
          <w:p w14:paraId="73354B4A" w14:textId="56F8D3E1" w:rsidR="000E1F54" w:rsidRPr="00D01DDB" w:rsidRDefault="000E1F54"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Treatment-Emergent Adverse Event</w:t>
            </w:r>
          </w:p>
        </w:tc>
      </w:tr>
      <w:tr w:rsidR="00A704DC" w:rsidRPr="00D01DDB"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A704DC" w:rsidRPr="00D01DDB" w:rsidRDefault="00A704DC" w:rsidP="00A704DC">
            <w:pPr>
              <w:rPr>
                <w:szCs w:val="22"/>
              </w:rPr>
            </w:pPr>
            <w:r w:rsidRPr="00D01DDB">
              <w:rPr>
                <w:szCs w:val="22"/>
              </w:rPr>
              <w:t>TGA</w:t>
            </w:r>
          </w:p>
        </w:tc>
        <w:tc>
          <w:tcPr>
            <w:tcW w:w="3800" w:type="pct"/>
          </w:tcPr>
          <w:p w14:paraId="29EA6BA3" w14:textId="6F99059F" w:rsidR="00A704DC" w:rsidRPr="00D01DDB" w:rsidRDefault="00A704DC" w:rsidP="00A704DC">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r w:rsidR="00B16F63" w:rsidRPr="00D01DDB" w14:paraId="73F920E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61B0FF7" w14:textId="77570CDD" w:rsidR="00B16F63" w:rsidRPr="00D01DDB" w:rsidRDefault="00B16F63" w:rsidP="00A704DC">
            <w:pPr>
              <w:rPr>
                <w:szCs w:val="22"/>
              </w:rPr>
            </w:pPr>
            <w:r>
              <w:rPr>
                <w:szCs w:val="22"/>
              </w:rPr>
              <w:t>TP</w:t>
            </w:r>
          </w:p>
        </w:tc>
        <w:tc>
          <w:tcPr>
            <w:tcW w:w="3800" w:type="pct"/>
          </w:tcPr>
          <w:p w14:paraId="77402C87" w14:textId="72FD650C" w:rsidR="00B16F63" w:rsidRPr="00D01DDB" w:rsidRDefault="00B16F63"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Tipping point</w:t>
            </w:r>
          </w:p>
        </w:tc>
      </w:tr>
      <w:tr w:rsidR="00A704DC" w:rsidRPr="00D01DDB" w14:paraId="4BDC33D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1819C5F" w14:textId="1D5ED571" w:rsidR="00A704DC" w:rsidRPr="00D01DDB" w:rsidRDefault="005A5744" w:rsidP="00A704DC">
            <w:pPr>
              <w:rPr>
                <w:szCs w:val="22"/>
              </w:rPr>
            </w:pPr>
            <w:r>
              <w:rPr>
                <w:szCs w:val="22"/>
              </w:rPr>
              <w:t>VA</w:t>
            </w:r>
          </w:p>
        </w:tc>
        <w:tc>
          <w:tcPr>
            <w:tcW w:w="3800" w:type="pct"/>
          </w:tcPr>
          <w:p w14:paraId="4458E485" w14:textId="09362F32" w:rsidR="00A704DC" w:rsidRPr="00D01DDB" w:rsidRDefault="005A5744"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V</w:t>
            </w:r>
            <w:r w:rsidRPr="005A5744">
              <w:rPr>
                <w:szCs w:val="22"/>
              </w:rPr>
              <w:t>isual acuity</w:t>
            </w:r>
          </w:p>
        </w:tc>
      </w:tr>
      <w:tr w:rsidR="00A704DC" w:rsidRPr="00D01DDB" w14:paraId="2C8657A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46CFA8D" w14:textId="293C3B63" w:rsidR="00A704DC" w:rsidRPr="00D01DDB" w:rsidRDefault="005A5744" w:rsidP="00A704DC">
            <w:pPr>
              <w:rPr>
                <w:szCs w:val="22"/>
              </w:rPr>
            </w:pPr>
            <w:r w:rsidRPr="005A5744">
              <w:rPr>
                <w:szCs w:val="22"/>
              </w:rPr>
              <w:t>VEGF</w:t>
            </w:r>
          </w:p>
        </w:tc>
        <w:tc>
          <w:tcPr>
            <w:tcW w:w="3800" w:type="pct"/>
          </w:tcPr>
          <w:p w14:paraId="53D4D108" w14:textId="393B7FA5" w:rsidR="00A704DC" w:rsidRPr="00D01DDB" w:rsidRDefault="005A5744" w:rsidP="00A704DC">
            <w:pPr>
              <w:cnfStyle w:val="000000000000" w:firstRow="0" w:lastRow="0" w:firstColumn="0" w:lastColumn="0" w:oddVBand="0" w:evenVBand="0" w:oddHBand="0" w:evenHBand="0" w:firstRowFirstColumn="0" w:firstRowLastColumn="0" w:lastRowFirstColumn="0" w:lastRowLastColumn="0"/>
              <w:rPr>
                <w:szCs w:val="22"/>
              </w:rPr>
            </w:pPr>
            <w:r>
              <w:rPr>
                <w:szCs w:val="22"/>
              </w:rPr>
              <w:t>V</w:t>
            </w:r>
            <w:r w:rsidRPr="005A5744">
              <w:rPr>
                <w:szCs w:val="22"/>
              </w:rPr>
              <w:t xml:space="preserve">ascular </w:t>
            </w:r>
            <w:r>
              <w:rPr>
                <w:szCs w:val="22"/>
              </w:rPr>
              <w:t>E</w:t>
            </w:r>
            <w:r w:rsidRPr="005A5744">
              <w:rPr>
                <w:szCs w:val="22"/>
              </w:rPr>
              <w:t>ndothelial</w:t>
            </w:r>
            <w:r>
              <w:rPr>
                <w:szCs w:val="22"/>
              </w:rPr>
              <w:t xml:space="preserve"> G</w:t>
            </w:r>
            <w:r w:rsidRPr="005A5744">
              <w:rPr>
                <w:szCs w:val="22"/>
              </w:rPr>
              <w:t xml:space="preserve">rowth </w:t>
            </w:r>
            <w:r>
              <w:rPr>
                <w:szCs w:val="22"/>
              </w:rPr>
              <w:t>F</w:t>
            </w:r>
            <w:r w:rsidRPr="005A5744">
              <w:rPr>
                <w:szCs w:val="22"/>
              </w:rPr>
              <w:t>act</w:t>
            </w:r>
            <w:r>
              <w:rPr>
                <w:szCs w:val="22"/>
              </w:rPr>
              <w:t>or</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69183789"/>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69183790"/>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22414332" w:rsidR="00324B33" w:rsidRPr="00BD5DBD" w:rsidRDefault="00324B33" w:rsidP="007452E8">
            <w:pPr>
              <w:rPr>
                <w:i/>
                <w:szCs w:val="22"/>
              </w:rPr>
            </w:pPr>
            <w:r w:rsidRPr="00BD5DBD">
              <w:rPr>
                <w:i/>
                <w:szCs w:val="22"/>
              </w:rPr>
              <w:t>Type of submission:</w:t>
            </w:r>
          </w:p>
        </w:tc>
        <w:tc>
          <w:tcPr>
            <w:tcW w:w="3423" w:type="pct"/>
          </w:tcPr>
          <w:p w14:paraId="4F07C303" w14:textId="5438A3D2" w:rsidR="00324B33" w:rsidRPr="00BD5DBD" w:rsidRDefault="009E1F73" w:rsidP="007452E8">
            <w:pPr>
              <w:rPr>
                <w:szCs w:val="22"/>
              </w:rPr>
            </w:pPr>
            <w:r>
              <w:rPr>
                <w:szCs w:val="22"/>
              </w:rPr>
              <w:t xml:space="preserve">New biosimilar medicine </w:t>
            </w:r>
          </w:p>
        </w:tc>
      </w:tr>
      <w:tr w:rsidR="00324B33" w:rsidRPr="00BD5DBD" w14:paraId="13482B61" w14:textId="77777777" w:rsidTr="00F865A7">
        <w:tc>
          <w:tcPr>
            <w:tcW w:w="1577" w:type="pct"/>
          </w:tcPr>
          <w:p w14:paraId="2C427FCF" w14:textId="2A0B7192" w:rsidR="00324B33" w:rsidRPr="00BD5DBD" w:rsidRDefault="00324B33" w:rsidP="007452E8">
            <w:pPr>
              <w:rPr>
                <w:i/>
                <w:szCs w:val="22"/>
              </w:rPr>
            </w:pPr>
            <w:r w:rsidRPr="00BD5DBD">
              <w:rPr>
                <w:i/>
                <w:szCs w:val="22"/>
              </w:rPr>
              <w:t>Product name:</w:t>
            </w:r>
          </w:p>
        </w:tc>
        <w:tc>
          <w:tcPr>
            <w:tcW w:w="3423" w:type="pct"/>
          </w:tcPr>
          <w:p w14:paraId="0E2DEF76" w14:textId="2183B7FB" w:rsidR="00324B33" w:rsidRPr="00BD5DBD" w:rsidRDefault="00143C32" w:rsidP="007452E8">
            <w:pPr>
              <w:rPr>
                <w:szCs w:val="22"/>
              </w:rPr>
            </w:pPr>
            <w:r>
              <w:rPr>
                <w:szCs w:val="22"/>
              </w:rPr>
              <w:t>RANIVIZ</w:t>
            </w:r>
          </w:p>
        </w:tc>
      </w:tr>
      <w:tr w:rsidR="00324B33" w:rsidRPr="00BD5DBD" w14:paraId="01255B5B" w14:textId="77777777" w:rsidTr="00F865A7">
        <w:tc>
          <w:tcPr>
            <w:tcW w:w="1577" w:type="pct"/>
          </w:tcPr>
          <w:p w14:paraId="52B4F3D7" w14:textId="266F0578" w:rsidR="00324B33" w:rsidRPr="00BD5DBD" w:rsidRDefault="00324B33" w:rsidP="007452E8">
            <w:pPr>
              <w:rPr>
                <w:i/>
                <w:szCs w:val="22"/>
              </w:rPr>
            </w:pPr>
            <w:r w:rsidRPr="00BD5DBD">
              <w:rPr>
                <w:i/>
                <w:szCs w:val="22"/>
              </w:rPr>
              <w:t>Active ingredient:</w:t>
            </w:r>
          </w:p>
        </w:tc>
        <w:tc>
          <w:tcPr>
            <w:tcW w:w="3423" w:type="pct"/>
          </w:tcPr>
          <w:p w14:paraId="02FB6383" w14:textId="33DDDD1B" w:rsidR="00324B33" w:rsidRPr="00BD5DBD" w:rsidRDefault="009E1F73" w:rsidP="007452E8">
            <w:pPr>
              <w:rPr>
                <w:szCs w:val="22"/>
              </w:rPr>
            </w:pPr>
            <w:r>
              <w:rPr>
                <w:szCs w:val="22"/>
              </w:rPr>
              <w:t>Ranibizumab</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617836F7" w:rsidR="00324B33" w:rsidRPr="00BD5DBD" w:rsidRDefault="00324B33" w:rsidP="007452E8">
            <w:pPr>
              <w:rPr>
                <w:szCs w:val="22"/>
              </w:rPr>
            </w:pPr>
            <w:r w:rsidRPr="00BD5DBD">
              <w:rPr>
                <w:szCs w:val="22"/>
              </w:rPr>
              <w:t xml:space="preserve">Approved </w:t>
            </w:r>
          </w:p>
        </w:tc>
      </w:tr>
      <w:tr w:rsidR="00AE1947" w:rsidRPr="00BD5DBD" w14:paraId="32B72632" w14:textId="77777777" w:rsidTr="00F865A7">
        <w:tc>
          <w:tcPr>
            <w:tcW w:w="1577" w:type="pct"/>
          </w:tcPr>
          <w:p w14:paraId="332A5CD5" w14:textId="682CD1B3" w:rsidR="00AE1947" w:rsidRPr="00BD5DBD" w:rsidRDefault="00AE1947" w:rsidP="00C018DE">
            <w:r w:rsidRPr="00BD5DBD">
              <w:rPr>
                <w:i/>
                <w:szCs w:val="22"/>
              </w:rPr>
              <w:t>Date of decision:</w:t>
            </w:r>
          </w:p>
        </w:tc>
        <w:tc>
          <w:tcPr>
            <w:tcW w:w="3423" w:type="pct"/>
          </w:tcPr>
          <w:p w14:paraId="7B381CD6" w14:textId="7A064CCC" w:rsidR="00AE1947" w:rsidRPr="00BD5DBD" w:rsidRDefault="009E1F73" w:rsidP="00602658">
            <w:pPr>
              <w:rPr>
                <w:szCs w:val="22"/>
              </w:rPr>
            </w:pPr>
            <w:r>
              <w:rPr>
                <w:szCs w:val="22"/>
              </w:rPr>
              <w:t>12 December 2023</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7CB0D69A" w:rsidR="00324B33" w:rsidRPr="00BD5DBD" w:rsidRDefault="009E1F73" w:rsidP="007452E8">
            <w:pPr>
              <w:rPr>
                <w:szCs w:val="22"/>
              </w:rPr>
            </w:pPr>
            <w:r>
              <w:rPr>
                <w:szCs w:val="22"/>
              </w:rPr>
              <w:t>20 December 2023</w:t>
            </w:r>
          </w:p>
        </w:tc>
      </w:tr>
      <w:tr w:rsidR="00324B33" w:rsidRPr="00BD5DBD" w14:paraId="547E08D7" w14:textId="77777777" w:rsidTr="00F865A7">
        <w:tc>
          <w:tcPr>
            <w:tcW w:w="1577" w:type="pct"/>
          </w:tcPr>
          <w:p w14:paraId="5030EF30" w14:textId="3F39E3CB" w:rsidR="00324B33" w:rsidRPr="00BD5DBD" w:rsidRDefault="00324B33" w:rsidP="007452E8">
            <w:pPr>
              <w:rPr>
                <w:i/>
                <w:szCs w:val="22"/>
              </w:rPr>
            </w:pPr>
            <w:r w:rsidRPr="00BD5DBD">
              <w:rPr>
                <w:i/>
                <w:szCs w:val="22"/>
              </w:rPr>
              <w:t>ARTG numbe</w:t>
            </w:r>
            <w:r w:rsidR="00E96B1A">
              <w:rPr>
                <w:i/>
                <w:szCs w:val="22"/>
              </w:rPr>
              <w:t>r</w:t>
            </w:r>
            <w:r w:rsidRPr="00BD5DBD">
              <w:rPr>
                <w:i/>
                <w:szCs w:val="22"/>
              </w:rPr>
              <w:t>:</w:t>
            </w:r>
          </w:p>
        </w:tc>
        <w:tc>
          <w:tcPr>
            <w:tcW w:w="3423" w:type="pct"/>
          </w:tcPr>
          <w:p w14:paraId="0054E912" w14:textId="07F254FB" w:rsidR="00324B33" w:rsidRPr="00BD5DBD" w:rsidRDefault="009E1F73" w:rsidP="007452E8">
            <w:pPr>
              <w:rPr>
                <w:szCs w:val="22"/>
              </w:rPr>
            </w:pPr>
            <w:r>
              <w:rPr>
                <w:szCs w:val="22"/>
              </w:rPr>
              <w:t>400126</w:t>
            </w:r>
          </w:p>
        </w:tc>
      </w:tr>
      <w:tr w:rsidR="00324B33" w:rsidRPr="00BD5DBD" w14:paraId="7618393F" w14:textId="77777777" w:rsidTr="00F865A7">
        <w:tc>
          <w:tcPr>
            <w:tcW w:w="1577" w:type="pct"/>
          </w:tcPr>
          <w:p w14:paraId="02260DE2" w14:textId="4C4ED381" w:rsidR="00324B33" w:rsidRPr="00BD5DBD" w:rsidRDefault="00324B33" w:rsidP="008665DF">
            <w:pPr>
              <w:rPr>
                <w:i/>
                <w:szCs w:val="22"/>
              </w:rPr>
            </w:pPr>
            <w:r w:rsidRPr="00BD5DBD">
              <w:rPr>
                <w:rFonts w:ascii="Wingdings 3" w:hAnsi="Wingdings 3"/>
                <w:szCs w:val="22"/>
                <w:lang w:eastAsia="en-AU"/>
              </w:rPr>
              <w:t></w:t>
            </w:r>
            <w:hyperlink r:id="rId18" w:history="1">
              <w:r w:rsidRPr="00BD5DBD">
                <w:rPr>
                  <w:rStyle w:val="Hyperlink"/>
                  <w:i/>
                  <w:szCs w:val="22"/>
                </w:rPr>
                <w:t>Black Triangle Scheme</w:t>
              </w:r>
            </w:hyperlink>
          </w:p>
        </w:tc>
        <w:tc>
          <w:tcPr>
            <w:tcW w:w="3423" w:type="pct"/>
          </w:tcPr>
          <w:p w14:paraId="6FF3C6A2" w14:textId="45A012E6" w:rsidR="00324B33" w:rsidRPr="00BD5DBD" w:rsidRDefault="009E1F73" w:rsidP="007452E8">
            <w:pPr>
              <w:rPr>
                <w:szCs w:val="22"/>
              </w:rPr>
            </w:pPr>
            <w:r>
              <w:rPr>
                <w:szCs w:val="22"/>
              </w:rPr>
              <w:t>No</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68DD94B0" w14:textId="48AE0329" w:rsidR="00324B33" w:rsidRPr="00BD5DBD" w:rsidRDefault="009E1F73" w:rsidP="007452E8">
            <w:pPr>
              <w:rPr>
                <w:szCs w:val="22"/>
              </w:rPr>
            </w:pPr>
            <w:r>
              <w:rPr>
                <w:szCs w:val="22"/>
              </w:rPr>
              <w:t>Actor Pharmaceuticals Pty Ltd, Level 3 / 17 Randle Street, Surry Hills, NSW, 2010</w:t>
            </w:r>
          </w:p>
        </w:tc>
      </w:tr>
      <w:tr w:rsidR="00324B33" w:rsidRPr="00BD5DBD" w14:paraId="5322B989" w14:textId="77777777" w:rsidTr="00F865A7">
        <w:tc>
          <w:tcPr>
            <w:tcW w:w="1577" w:type="pct"/>
          </w:tcPr>
          <w:p w14:paraId="24F217E3" w14:textId="2C1455E1" w:rsidR="00324B33" w:rsidRPr="00BD5DBD" w:rsidRDefault="00324B33" w:rsidP="007452E8">
            <w:pPr>
              <w:rPr>
                <w:i/>
                <w:szCs w:val="22"/>
              </w:rPr>
            </w:pPr>
            <w:r w:rsidRPr="00BD5DBD">
              <w:rPr>
                <w:i/>
                <w:szCs w:val="22"/>
              </w:rPr>
              <w:t>Dose for</w:t>
            </w:r>
            <w:r w:rsidR="00E96B1A">
              <w:rPr>
                <w:i/>
                <w:szCs w:val="22"/>
              </w:rPr>
              <w:t>m</w:t>
            </w:r>
            <w:r w:rsidRPr="00BD5DBD">
              <w:rPr>
                <w:i/>
                <w:szCs w:val="22"/>
              </w:rPr>
              <w:t>:</w:t>
            </w:r>
          </w:p>
        </w:tc>
        <w:tc>
          <w:tcPr>
            <w:tcW w:w="3423" w:type="pct"/>
          </w:tcPr>
          <w:p w14:paraId="768B254C" w14:textId="47043010" w:rsidR="00324B33" w:rsidRPr="00BD5DBD" w:rsidRDefault="009E1F73" w:rsidP="007452E8">
            <w:pPr>
              <w:rPr>
                <w:szCs w:val="22"/>
              </w:rPr>
            </w:pPr>
            <w:r>
              <w:rPr>
                <w:szCs w:val="22"/>
              </w:rPr>
              <w:t>Injection, solution</w:t>
            </w:r>
          </w:p>
        </w:tc>
      </w:tr>
      <w:tr w:rsidR="00324B33" w:rsidRPr="00BD5DBD" w14:paraId="115243E6" w14:textId="77777777" w:rsidTr="00F865A7">
        <w:tc>
          <w:tcPr>
            <w:tcW w:w="1577" w:type="pct"/>
          </w:tcPr>
          <w:p w14:paraId="7634B062" w14:textId="76229AE9" w:rsidR="00324B33" w:rsidRPr="00BD5DBD" w:rsidRDefault="00324B33" w:rsidP="007452E8">
            <w:pPr>
              <w:rPr>
                <w:i/>
                <w:szCs w:val="22"/>
              </w:rPr>
            </w:pPr>
            <w:r w:rsidRPr="00BD5DBD">
              <w:rPr>
                <w:i/>
                <w:szCs w:val="22"/>
              </w:rPr>
              <w:t>Strength:</w:t>
            </w:r>
          </w:p>
        </w:tc>
        <w:tc>
          <w:tcPr>
            <w:tcW w:w="3423" w:type="pct"/>
          </w:tcPr>
          <w:p w14:paraId="5E5F83DB" w14:textId="75AB48AB" w:rsidR="00324B33" w:rsidRPr="00BD5DBD" w:rsidRDefault="009E1F73" w:rsidP="007452E8">
            <w:pPr>
              <w:rPr>
                <w:szCs w:val="22"/>
              </w:rPr>
            </w:pPr>
            <w:r>
              <w:rPr>
                <w:szCs w:val="22"/>
              </w:rPr>
              <w:t>10 mg / mL</w:t>
            </w:r>
          </w:p>
        </w:tc>
      </w:tr>
      <w:tr w:rsidR="00324B33" w:rsidRPr="00BD5DBD" w14:paraId="34B07BA6" w14:textId="77777777" w:rsidTr="00F865A7">
        <w:tc>
          <w:tcPr>
            <w:tcW w:w="1577" w:type="pct"/>
          </w:tcPr>
          <w:p w14:paraId="1C039224" w14:textId="043A082E" w:rsidR="00324B33" w:rsidRPr="00BD5DBD" w:rsidRDefault="00324B33" w:rsidP="007452E8">
            <w:pPr>
              <w:rPr>
                <w:i/>
                <w:szCs w:val="22"/>
              </w:rPr>
            </w:pPr>
            <w:r w:rsidRPr="00BD5DBD">
              <w:rPr>
                <w:i/>
                <w:szCs w:val="22"/>
              </w:rPr>
              <w:t>Container:</w:t>
            </w:r>
          </w:p>
        </w:tc>
        <w:tc>
          <w:tcPr>
            <w:tcW w:w="3423" w:type="pct"/>
          </w:tcPr>
          <w:p w14:paraId="500A42C6" w14:textId="4E1801A6" w:rsidR="00324B33" w:rsidRPr="00BD5DBD" w:rsidRDefault="009E1F73" w:rsidP="007452E8">
            <w:pPr>
              <w:rPr>
                <w:szCs w:val="22"/>
              </w:rPr>
            </w:pPr>
            <w:r>
              <w:rPr>
                <w:szCs w:val="22"/>
              </w:rPr>
              <w:t>Vial</w:t>
            </w:r>
          </w:p>
        </w:tc>
      </w:tr>
      <w:tr w:rsidR="00324B33" w:rsidRPr="00BD5DBD" w14:paraId="176B6773" w14:textId="77777777" w:rsidTr="00F865A7">
        <w:tc>
          <w:tcPr>
            <w:tcW w:w="1577" w:type="pct"/>
          </w:tcPr>
          <w:p w14:paraId="71846159" w14:textId="68EE1DD9" w:rsidR="00324B33" w:rsidRPr="00BD5DBD" w:rsidRDefault="00324B33" w:rsidP="007452E8">
            <w:pPr>
              <w:rPr>
                <w:i/>
                <w:szCs w:val="22"/>
              </w:rPr>
            </w:pPr>
            <w:r w:rsidRPr="00BD5DBD">
              <w:rPr>
                <w:i/>
                <w:szCs w:val="22"/>
              </w:rPr>
              <w:t>Pack size:</w:t>
            </w:r>
          </w:p>
        </w:tc>
        <w:tc>
          <w:tcPr>
            <w:tcW w:w="3423" w:type="pct"/>
          </w:tcPr>
          <w:p w14:paraId="7E978F8F" w14:textId="4B244B0E" w:rsidR="00324B33" w:rsidRPr="00BD5DBD" w:rsidRDefault="009E1F73" w:rsidP="007452E8">
            <w:pPr>
              <w:rPr>
                <w:szCs w:val="22"/>
              </w:rPr>
            </w:pPr>
            <w:r>
              <w:rPr>
                <w:szCs w:val="22"/>
              </w:rPr>
              <w:t xml:space="preserve">1 </w:t>
            </w:r>
          </w:p>
        </w:tc>
      </w:tr>
      <w:tr w:rsidR="00324B33" w:rsidRPr="00BD5DBD" w14:paraId="19A2544A" w14:textId="77777777" w:rsidTr="00F865A7">
        <w:tc>
          <w:tcPr>
            <w:tcW w:w="1577" w:type="pct"/>
          </w:tcPr>
          <w:p w14:paraId="0E6C5C0E" w14:textId="7DB3FC66" w:rsidR="00324B33" w:rsidRPr="00BD5DBD" w:rsidRDefault="00324B33" w:rsidP="007452E8">
            <w:pPr>
              <w:rPr>
                <w:i/>
                <w:szCs w:val="22"/>
              </w:rPr>
            </w:pPr>
            <w:r w:rsidRPr="00BD5DBD">
              <w:rPr>
                <w:i/>
                <w:szCs w:val="22"/>
              </w:rPr>
              <w:t>Approved therapeutic use</w:t>
            </w:r>
            <w:r w:rsidR="00E47E0C" w:rsidRPr="00BD5DBD">
              <w:rPr>
                <w:i/>
                <w:szCs w:val="22"/>
              </w:rPr>
              <w:t xml:space="preserve"> </w:t>
            </w:r>
            <w:r w:rsidR="007B04DE" w:rsidRPr="00BD5DBD">
              <w:rPr>
                <w:i/>
                <w:szCs w:val="22"/>
              </w:rPr>
              <w:t>for the current</w:t>
            </w:r>
            <w:r w:rsidR="00E47E0C" w:rsidRPr="00BD5DBD">
              <w:rPr>
                <w:i/>
                <w:szCs w:val="22"/>
              </w:rPr>
              <w:t xml:space="preserve"> submission</w:t>
            </w:r>
            <w:r w:rsidRPr="00BD5DBD">
              <w:rPr>
                <w:i/>
                <w:szCs w:val="22"/>
              </w:rPr>
              <w:t>:</w:t>
            </w:r>
          </w:p>
        </w:tc>
        <w:tc>
          <w:tcPr>
            <w:tcW w:w="3423" w:type="pct"/>
          </w:tcPr>
          <w:p w14:paraId="5B68D425" w14:textId="661A90AB" w:rsidR="009E1F73" w:rsidRPr="009E1F73" w:rsidRDefault="00143C32" w:rsidP="009E1F73">
            <w:pPr>
              <w:rPr>
                <w:szCs w:val="22"/>
              </w:rPr>
            </w:pPr>
            <w:r>
              <w:rPr>
                <w:szCs w:val="22"/>
              </w:rPr>
              <w:t>RANIVIZ</w:t>
            </w:r>
            <w:r w:rsidR="009E1F73" w:rsidRPr="009E1F73">
              <w:rPr>
                <w:szCs w:val="22"/>
              </w:rPr>
              <w:t xml:space="preserve"> (ranibizumab) is indicated in adults for:</w:t>
            </w:r>
          </w:p>
          <w:p w14:paraId="5F9F7305" w14:textId="2250F03E" w:rsidR="009E1F73" w:rsidRPr="009E1F73" w:rsidRDefault="009E1F73" w:rsidP="000F044C">
            <w:pPr>
              <w:pStyle w:val="ListBullet"/>
            </w:pPr>
            <w:r w:rsidRPr="009E1F73">
              <w:t xml:space="preserve">the treatment of neovascular (wet) </w:t>
            </w:r>
            <w:bookmarkStart w:id="11" w:name="_Hlk168248783"/>
            <w:r w:rsidRPr="009E1F73">
              <w:t>age-related macular degeneration (AMD),</w:t>
            </w:r>
          </w:p>
          <w:bookmarkEnd w:id="11"/>
          <w:p w14:paraId="030C7005" w14:textId="7B09EA2F" w:rsidR="009E1F73" w:rsidRPr="009E1F73" w:rsidRDefault="009E1F73" w:rsidP="000F044C">
            <w:pPr>
              <w:pStyle w:val="ListBullet"/>
            </w:pPr>
            <w:r w:rsidRPr="009E1F73">
              <w:t xml:space="preserve">the treatment of visual impairment due to </w:t>
            </w:r>
            <w:bookmarkStart w:id="12" w:name="_Hlk168248837"/>
            <w:r w:rsidRPr="009E1F73">
              <w:t>diabetic macular oedema (DME),</w:t>
            </w:r>
          </w:p>
          <w:bookmarkEnd w:id="12"/>
          <w:p w14:paraId="0F322432" w14:textId="6AA68FE7" w:rsidR="009E1F73" w:rsidRPr="009E1F73" w:rsidRDefault="009E1F73" w:rsidP="000F044C">
            <w:pPr>
              <w:pStyle w:val="ListBullet"/>
            </w:pPr>
            <w:r w:rsidRPr="009E1F73">
              <w:t xml:space="preserve">treatment of </w:t>
            </w:r>
            <w:bookmarkStart w:id="13" w:name="_Hlk168248832"/>
            <w:r w:rsidRPr="009E1F73">
              <w:t>proliferative diabetic retinopathy (PDR),</w:t>
            </w:r>
            <w:bookmarkEnd w:id="13"/>
          </w:p>
          <w:p w14:paraId="11A3445F" w14:textId="71818B90" w:rsidR="009E1F73" w:rsidRPr="009E1F73" w:rsidRDefault="009E1F73" w:rsidP="000F044C">
            <w:pPr>
              <w:pStyle w:val="ListBullet"/>
            </w:pPr>
            <w:r w:rsidRPr="009E1F73">
              <w:t>the treatment of visual impairment due to choroidal neovascularisation,</w:t>
            </w:r>
          </w:p>
          <w:p w14:paraId="1391BECC" w14:textId="0C1DCD65" w:rsidR="009E1F73" w:rsidRPr="009E1F73" w:rsidRDefault="009E1F73" w:rsidP="000F044C">
            <w:pPr>
              <w:pStyle w:val="ListBullet"/>
            </w:pPr>
            <w:r w:rsidRPr="009E1F73">
              <w:t xml:space="preserve">the treatment of visual impairment due to </w:t>
            </w:r>
            <w:bookmarkStart w:id="14" w:name="_Hlk168248850"/>
            <w:r w:rsidRPr="009E1F73">
              <w:t xml:space="preserve">choroidal neovascularisation (CNV) </w:t>
            </w:r>
            <w:bookmarkEnd w:id="14"/>
            <w:r w:rsidRPr="009E1F73">
              <w:t>secondary</w:t>
            </w:r>
            <w:r w:rsidR="00B127E4">
              <w:t xml:space="preserve"> </w:t>
            </w:r>
            <w:r w:rsidRPr="009E1F73">
              <w:t xml:space="preserve">to </w:t>
            </w:r>
            <w:bookmarkStart w:id="15" w:name="_Hlk168248860"/>
            <w:r w:rsidRPr="009E1F73">
              <w:t>pathologic myopia (PM),</w:t>
            </w:r>
          </w:p>
          <w:bookmarkEnd w:id="15"/>
          <w:p w14:paraId="4716CCE4" w14:textId="0F117B02" w:rsidR="00324B33" w:rsidRDefault="009E1F73" w:rsidP="000F044C">
            <w:pPr>
              <w:pStyle w:val="ListBullet"/>
            </w:pPr>
            <w:r w:rsidRPr="009E1F73">
              <w:t xml:space="preserve">the treatment of visual impairment due to macular oedema secondary to </w:t>
            </w:r>
            <w:bookmarkStart w:id="16" w:name="_Hlk168248870"/>
            <w:r w:rsidRPr="009E1F73">
              <w:t>retinal vein</w:t>
            </w:r>
            <w:r w:rsidR="00B127E4">
              <w:t xml:space="preserve"> </w:t>
            </w:r>
            <w:r w:rsidRPr="009E1F73">
              <w:t>occlusion (RVO).</w:t>
            </w:r>
            <w:bookmarkEnd w:id="16"/>
          </w:p>
          <w:p w14:paraId="6E143E2E" w14:textId="05B496DF" w:rsidR="00E23401" w:rsidRPr="00BD5DBD" w:rsidRDefault="00E23401" w:rsidP="00B127E4">
            <w:pPr>
              <w:rPr>
                <w:szCs w:val="22"/>
              </w:rPr>
            </w:pPr>
            <w:r w:rsidRPr="00E23401">
              <w:rPr>
                <w:szCs w:val="22"/>
                <w:lang w:val="en-US"/>
              </w:rPr>
              <w:t>Not recommended for use in preterm infants.</w:t>
            </w:r>
          </w:p>
        </w:tc>
      </w:tr>
      <w:tr w:rsidR="00324B33" w:rsidRPr="00BD5DBD" w14:paraId="5AFDEED3" w14:textId="77777777" w:rsidTr="00F865A7">
        <w:tc>
          <w:tcPr>
            <w:tcW w:w="1577" w:type="pct"/>
          </w:tcPr>
          <w:p w14:paraId="03884BD1" w14:textId="039B5C31" w:rsidR="00324B33" w:rsidRPr="00BD5DBD" w:rsidRDefault="00324B33" w:rsidP="007452E8">
            <w:pPr>
              <w:rPr>
                <w:i/>
                <w:szCs w:val="22"/>
              </w:rPr>
            </w:pPr>
            <w:r w:rsidRPr="00BD5DBD">
              <w:rPr>
                <w:i/>
                <w:szCs w:val="22"/>
              </w:rPr>
              <w:t>Route of administration:</w:t>
            </w:r>
          </w:p>
        </w:tc>
        <w:tc>
          <w:tcPr>
            <w:tcW w:w="3423" w:type="pct"/>
          </w:tcPr>
          <w:p w14:paraId="1ED1357E" w14:textId="2154EB68" w:rsidR="00324B33" w:rsidRPr="00BD5DBD" w:rsidRDefault="00BA6D03" w:rsidP="007452E8">
            <w:pPr>
              <w:rPr>
                <w:szCs w:val="22"/>
              </w:rPr>
            </w:pPr>
            <w:r>
              <w:rPr>
                <w:szCs w:val="22"/>
              </w:rPr>
              <w:t>I</w:t>
            </w:r>
            <w:r w:rsidRPr="00BA2C0F">
              <w:rPr>
                <w:szCs w:val="22"/>
              </w:rPr>
              <w:t xml:space="preserve">ntravitreal-Within </w:t>
            </w:r>
            <w:r w:rsidR="00B067D8" w:rsidRPr="00BA2C0F">
              <w:rPr>
                <w:szCs w:val="22"/>
              </w:rPr>
              <w:t>the</w:t>
            </w:r>
            <w:r w:rsidRPr="00BA2C0F">
              <w:rPr>
                <w:szCs w:val="22"/>
              </w:rPr>
              <w:t xml:space="preserve"> Vitreous Cavity </w:t>
            </w:r>
            <w:r w:rsidR="000F044C" w:rsidRPr="00BA2C0F">
              <w:rPr>
                <w:szCs w:val="22"/>
              </w:rPr>
              <w:t>of</w:t>
            </w:r>
            <w:r w:rsidRPr="00BA2C0F">
              <w:rPr>
                <w:szCs w:val="22"/>
              </w:rPr>
              <w:t xml:space="preserve"> The Eye</w:t>
            </w:r>
          </w:p>
        </w:tc>
      </w:tr>
      <w:tr w:rsidR="00324B33" w:rsidRPr="00BD5DBD" w14:paraId="70D7E9FA" w14:textId="77777777" w:rsidTr="00F865A7">
        <w:tc>
          <w:tcPr>
            <w:tcW w:w="1577" w:type="pct"/>
          </w:tcPr>
          <w:p w14:paraId="5ABFFC80" w14:textId="77777777" w:rsidR="00324B33" w:rsidRPr="00BD5DBD" w:rsidRDefault="00324B33" w:rsidP="007452E8">
            <w:pPr>
              <w:rPr>
                <w:i/>
                <w:szCs w:val="22"/>
              </w:rPr>
            </w:pPr>
            <w:r w:rsidRPr="00BD5DBD">
              <w:rPr>
                <w:i/>
                <w:szCs w:val="22"/>
              </w:rPr>
              <w:t>Dosage:</w:t>
            </w:r>
          </w:p>
        </w:tc>
        <w:tc>
          <w:tcPr>
            <w:tcW w:w="3423" w:type="pct"/>
          </w:tcPr>
          <w:p w14:paraId="3D0B2D5C" w14:textId="2D142A8E" w:rsidR="00324B33" w:rsidRPr="00BD5DBD" w:rsidRDefault="009E1F73" w:rsidP="000F044C">
            <w:pPr>
              <w:autoSpaceDE w:val="0"/>
              <w:autoSpaceDN w:val="0"/>
              <w:adjustRightInd w:val="0"/>
              <w:spacing w:after="0" w:line="240" w:lineRule="auto"/>
              <w:rPr>
                <w:szCs w:val="22"/>
              </w:rPr>
            </w:pPr>
            <w:r w:rsidRPr="009E1F73">
              <w:rPr>
                <w:rFonts w:cs="TimesNewRomanPSMT"/>
                <w:szCs w:val="22"/>
              </w:rPr>
              <w:t xml:space="preserve">The recommended dose for </w:t>
            </w:r>
            <w:r w:rsidR="00143C32">
              <w:rPr>
                <w:rFonts w:cs="TimesNewRomanPSMT"/>
                <w:szCs w:val="22"/>
              </w:rPr>
              <w:t>RANIVIZ</w:t>
            </w:r>
            <w:r w:rsidRPr="009E1F73">
              <w:rPr>
                <w:rFonts w:cs="TimesNewRomanPSMT"/>
                <w:szCs w:val="22"/>
              </w:rPr>
              <w:t xml:space="preserve"> in adults is 0.5 mg given as a single intravitreal injection. This</w:t>
            </w:r>
            <w:r>
              <w:rPr>
                <w:rFonts w:cs="TimesNewRomanPSMT"/>
                <w:szCs w:val="22"/>
              </w:rPr>
              <w:t xml:space="preserve"> </w:t>
            </w:r>
            <w:r w:rsidRPr="009E1F73">
              <w:rPr>
                <w:rFonts w:cs="TimesNewRomanPSMT"/>
                <w:szCs w:val="22"/>
              </w:rPr>
              <w:t xml:space="preserve">corresponds to an injection volume of 0.05 </w:t>
            </w:r>
            <w:proofErr w:type="spellStart"/>
            <w:r w:rsidRPr="009E1F73">
              <w:rPr>
                <w:rFonts w:cs="TimesNewRomanPSMT"/>
                <w:szCs w:val="22"/>
              </w:rPr>
              <w:t>mL.</w:t>
            </w:r>
            <w:proofErr w:type="spellEnd"/>
            <w:r w:rsidRPr="009E1F73">
              <w:rPr>
                <w:rFonts w:cs="TimesNewRomanPSMT"/>
                <w:szCs w:val="22"/>
              </w:rPr>
              <w:t xml:space="preserve"> The interval between two doses injected into the same</w:t>
            </w:r>
            <w:r>
              <w:rPr>
                <w:rFonts w:cs="TimesNewRomanPSMT"/>
                <w:szCs w:val="22"/>
              </w:rPr>
              <w:t xml:space="preserve"> </w:t>
            </w:r>
            <w:r w:rsidRPr="009E1F73">
              <w:rPr>
                <w:rFonts w:cs="TimesNewRomanPSMT"/>
                <w:szCs w:val="22"/>
              </w:rPr>
              <w:t>eye should be at least four weeks.</w:t>
            </w:r>
            <w:r>
              <w:rPr>
                <w:rFonts w:cs="TimesNewRomanPSMT"/>
                <w:szCs w:val="22"/>
              </w:rPr>
              <w:t xml:space="preserve"> </w:t>
            </w:r>
            <w:r w:rsidRPr="009E1F73">
              <w:rPr>
                <w:rFonts w:cs="TimesNewRomanPSMT"/>
                <w:szCs w:val="22"/>
              </w:rPr>
              <w:t>The recommended maximal dose (0.5 mg) should not be exceeded.</w:t>
            </w:r>
          </w:p>
        </w:tc>
      </w:tr>
      <w:tr w:rsidR="0017005C" w:rsidRPr="00BD5DBD" w14:paraId="7B7BB6AE" w14:textId="77777777" w:rsidTr="00F865A7">
        <w:tc>
          <w:tcPr>
            <w:tcW w:w="1577" w:type="pct"/>
          </w:tcPr>
          <w:p w14:paraId="3A76AFF7" w14:textId="7C436DD9" w:rsidR="0017005C" w:rsidRPr="00F8083B" w:rsidRDefault="0070330F" w:rsidP="0017005C">
            <w:r w:rsidRPr="00BD5DBD">
              <w:rPr>
                <w:i/>
                <w:szCs w:val="22"/>
              </w:rPr>
              <w:t>Pregnancy category:</w:t>
            </w:r>
          </w:p>
        </w:tc>
        <w:tc>
          <w:tcPr>
            <w:tcW w:w="3423" w:type="pct"/>
          </w:tcPr>
          <w:p w14:paraId="52C514A5" w14:textId="77777777" w:rsidR="00320254" w:rsidRDefault="00320254" w:rsidP="007967C3">
            <w:r>
              <w:t>D</w:t>
            </w:r>
          </w:p>
          <w:p w14:paraId="43127E15" w14:textId="77777777" w:rsidR="00B127E4" w:rsidRDefault="00320254" w:rsidP="00B127E4">
            <w:pPr>
              <w:rPr>
                <w:szCs w:val="22"/>
              </w:rPr>
            </w:pPr>
            <w:r w:rsidRPr="00320254">
              <w:rPr>
                <w:szCs w:val="22"/>
              </w:rPr>
              <w:lastRenderedPageBreak/>
              <w:t xml:space="preserve">Drugs which have caused, are suspected to have caused or may be expected to cause, an increased incidence of human fetal malformations or irreversible damage. These drugs may also have adverse pharmacological effects. </w:t>
            </w:r>
          </w:p>
          <w:p w14:paraId="76497789" w14:textId="1ACCEFA6" w:rsidR="0017005C" w:rsidRPr="00BD5DBD" w:rsidRDefault="0070330F" w:rsidP="00B127E4">
            <w:pPr>
              <w:rPr>
                <w:szCs w:val="22"/>
              </w:rPr>
            </w:pPr>
            <w:r w:rsidRPr="00BD5DBD">
              <w:rPr>
                <w:szCs w:val="22"/>
              </w:rPr>
              <w:t xml:space="preserve">The use of any medicine during pregnancy requires careful consideration of both risks and benefits by the treating health professional. </w:t>
            </w:r>
            <w:r w:rsidR="00721059">
              <w:rPr>
                <w:szCs w:val="22"/>
              </w:rPr>
              <w:t xml:space="preserve">The </w:t>
            </w:r>
            <w:hyperlink r:id="rId19" w:history="1">
              <w:r w:rsidR="00721059" w:rsidRPr="00065FDF">
                <w:rPr>
                  <w:rStyle w:val="Hyperlink"/>
                  <w:szCs w:val="22"/>
                </w:rPr>
                <w:t>pregnancy database</w:t>
              </w:r>
            </w:hyperlink>
            <w:r w:rsidR="00387984">
              <w:t xml:space="preserve"> </w:t>
            </w:r>
            <w:r w:rsidRPr="00BD5DBD">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20" w:history="1">
              <w:r w:rsidRPr="00C059D0">
                <w:rPr>
                  <w:rStyle w:val="Hyperlink"/>
                  <w:szCs w:val="22"/>
                </w:rPr>
                <w:t>obstetric drug information services</w:t>
              </w:r>
            </w:hyperlink>
            <w:r w:rsidRPr="00BD5DBD">
              <w:rPr>
                <w:szCs w:val="22"/>
              </w:rPr>
              <w:t xml:space="preserve"> in your </w:t>
            </w:r>
            <w:r w:rsidR="00306E72">
              <w:rPr>
                <w:szCs w:val="22"/>
              </w:rPr>
              <w:t>s</w:t>
            </w:r>
            <w:r w:rsidRPr="00BD5DBD">
              <w:rPr>
                <w:szCs w:val="22"/>
              </w:rPr>
              <w:t xml:space="preserve">tate or </w:t>
            </w:r>
            <w:r w:rsidR="00306E72">
              <w:rPr>
                <w:szCs w:val="22"/>
              </w:rPr>
              <w:t>t</w:t>
            </w:r>
            <w:r w:rsidRPr="00BD5DBD">
              <w:rPr>
                <w:szCs w:val="22"/>
              </w:rPr>
              <w:t>erritory.</w:t>
            </w:r>
          </w:p>
        </w:tc>
      </w:tr>
    </w:tbl>
    <w:p w14:paraId="51F2479F" w14:textId="1E34B277" w:rsidR="00324B33" w:rsidRDefault="00324B33" w:rsidP="00324B33">
      <w:pPr>
        <w:pStyle w:val="Heading3"/>
      </w:pPr>
      <w:bookmarkStart w:id="17" w:name="_Toc247691503"/>
      <w:bookmarkStart w:id="18" w:name="_Toc314842484"/>
      <w:bookmarkStart w:id="19" w:name="_Toc103679290"/>
      <w:bookmarkStart w:id="20" w:name="_Toc169183791"/>
      <w:r>
        <w:lastRenderedPageBreak/>
        <w:t>Product background</w:t>
      </w:r>
      <w:bookmarkEnd w:id="17"/>
      <w:bookmarkEnd w:id="18"/>
      <w:bookmarkEnd w:id="19"/>
      <w:bookmarkEnd w:id="20"/>
    </w:p>
    <w:p w14:paraId="59BF31D1" w14:textId="6AB12871" w:rsidR="001500A8" w:rsidRDefault="00324B33" w:rsidP="00065839">
      <w:pPr>
        <w:rPr>
          <w:highlight w:val="yellow"/>
        </w:rPr>
      </w:pPr>
      <w:r w:rsidRPr="00065839">
        <w:t xml:space="preserve">This AusPAR describes the submission by </w:t>
      </w:r>
      <w:r w:rsidR="00320254">
        <w:t xml:space="preserve">Actor Pharmaceuticals Pty Ltd </w:t>
      </w:r>
      <w:r w:rsidRPr="00065839">
        <w:t xml:space="preserve">(the sponsor) to register </w:t>
      </w:r>
      <w:r w:rsidR="00143C32">
        <w:t>RANIVIZ</w:t>
      </w:r>
      <w:r w:rsidR="00320254">
        <w:t xml:space="preserve"> (ranibizumab) 10 mg / mL solution, injection, vial</w:t>
      </w:r>
      <w:r w:rsidRPr="00065839">
        <w:t xml:space="preserve"> for the following proposed </w:t>
      </w:r>
      <w:r w:rsidRPr="00562385">
        <w:t>indication</w:t>
      </w:r>
      <w:r w:rsidR="00562385" w:rsidRPr="00562385">
        <w:t>s:</w:t>
      </w:r>
    </w:p>
    <w:p w14:paraId="74FC218A" w14:textId="38F83E3B" w:rsidR="00562385" w:rsidRPr="00562385" w:rsidRDefault="00562385" w:rsidP="00562385">
      <w:pPr>
        <w:pStyle w:val="ListBullet"/>
      </w:pPr>
      <w:r w:rsidRPr="00562385">
        <w:t>the treatment of neovascular (wet) age-related macular degeneration,</w:t>
      </w:r>
    </w:p>
    <w:p w14:paraId="079FAA4A" w14:textId="00D08E69" w:rsidR="00562385" w:rsidRPr="00562385" w:rsidRDefault="00562385" w:rsidP="00562385">
      <w:pPr>
        <w:pStyle w:val="ListBullet"/>
      </w:pPr>
      <w:r w:rsidRPr="00562385">
        <w:t>the treatment of visual impairment due to diabetic macular oedema,</w:t>
      </w:r>
    </w:p>
    <w:p w14:paraId="135495CD" w14:textId="40231CAB" w:rsidR="00562385" w:rsidRPr="00562385" w:rsidRDefault="00562385" w:rsidP="00562385">
      <w:pPr>
        <w:pStyle w:val="ListBullet"/>
      </w:pPr>
      <w:r w:rsidRPr="00562385">
        <w:t>treatment of proliferative diabetic retinopathy,</w:t>
      </w:r>
    </w:p>
    <w:p w14:paraId="2F03A6CD" w14:textId="43E1EAFC" w:rsidR="00562385" w:rsidRPr="00562385" w:rsidRDefault="00562385" w:rsidP="00562385">
      <w:pPr>
        <w:pStyle w:val="ListBullet"/>
      </w:pPr>
      <w:r w:rsidRPr="00562385">
        <w:t>the treatment of visual impairment due to choroidal neovascularisation,</w:t>
      </w:r>
    </w:p>
    <w:p w14:paraId="63DF52F2" w14:textId="3A6D990A" w:rsidR="00562385" w:rsidRPr="00562385" w:rsidRDefault="00562385" w:rsidP="00562385">
      <w:pPr>
        <w:pStyle w:val="ListBullet"/>
      </w:pPr>
      <w:r w:rsidRPr="00562385">
        <w:t>the treatment of visual impairment due to choroidal neovascularisation secondary</w:t>
      </w:r>
      <w:r>
        <w:t xml:space="preserve"> </w:t>
      </w:r>
      <w:r w:rsidRPr="00562385">
        <w:rPr>
          <w:rFonts w:cs="Calibri"/>
          <w:szCs w:val="22"/>
        </w:rPr>
        <w:t>to pathologic myopia,</w:t>
      </w:r>
    </w:p>
    <w:p w14:paraId="57E7BFB8" w14:textId="4BF15623" w:rsidR="00562385" w:rsidRPr="00562385" w:rsidRDefault="00562385" w:rsidP="00562385">
      <w:pPr>
        <w:pStyle w:val="ListBullet"/>
      </w:pPr>
      <w:r w:rsidRPr="00562385">
        <w:t>the treatment of visual impairment due to macular oedema secondary to retinal vein</w:t>
      </w:r>
      <w:r w:rsidR="00B127E4">
        <w:t xml:space="preserve"> </w:t>
      </w:r>
      <w:r w:rsidRPr="00562385">
        <w:rPr>
          <w:rFonts w:cs="Calibri"/>
          <w:szCs w:val="22"/>
        </w:rPr>
        <w:t>occlusion.</w:t>
      </w:r>
    </w:p>
    <w:p w14:paraId="1E63A2AE" w14:textId="74DB378C" w:rsidR="00CB6813" w:rsidRDefault="004444B0" w:rsidP="00CB6813">
      <w:pPr>
        <w:pStyle w:val="Heading4"/>
      </w:pPr>
      <w:bookmarkStart w:id="21" w:name="_Toc169183792"/>
      <w:bookmarkStart w:id="22" w:name="_Toc314842485"/>
      <w:bookmarkStart w:id="23" w:name="_Toc247691504"/>
      <w:r>
        <w:t>The d</w:t>
      </w:r>
      <w:r w:rsidR="00CB6813" w:rsidRPr="00C12D65">
        <w:t>isease</w:t>
      </w:r>
      <w:r w:rsidR="00E01E1E">
        <w:t>/condition</w:t>
      </w:r>
      <w:bookmarkEnd w:id="21"/>
    </w:p>
    <w:p w14:paraId="3352EE43" w14:textId="75D30D10" w:rsidR="00FD0D4E" w:rsidRDefault="00FD0D4E" w:rsidP="00CB6813">
      <w:pPr>
        <w:rPr>
          <w:i/>
          <w:color w:val="007099"/>
        </w:rPr>
      </w:pPr>
      <w:r>
        <w:rPr>
          <w:szCs w:val="22"/>
        </w:rPr>
        <w:t xml:space="preserve">Age-related macular degeneration is the most common cause of legal blindness in the elderly population of the developed world. VEGF-A, known to promote both vascular growth and permeability, </w:t>
      </w:r>
      <w:proofErr w:type="gramStart"/>
      <w:r>
        <w:rPr>
          <w:szCs w:val="22"/>
        </w:rPr>
        <w:t>is considered to be</w:t>
      </w:r>
      <w:proofErr w:type="gramEnd"/>
      <w:r>
        <w:rPr>
          <w:szCs w:val="22"/>
        </w:rPr>
        <w:t xml:space="preserve"> responsible for the abnormal CNV. The most severe form of AMD is the wet form, characterised by abnormal CNV associated with vascular leak of lipids, fluid and blood leading to retinal oedema and retinal thickening. This cascade of events can profoundly impair </w:t>
      </w:r>
      <w:bookmarkStart w:id="24" w:name="_Hlk168248972"/>
      <w:r>
        <w:rPr>
          <w:szCs w:val="22"/>
        </w:rPr>
        <w:t>visual acuity (VA)</w:t>
      </w:r>
      <w:bookmarkEnd w:id="24"/>
      <w:r>
        <w:rPr>
          <w:szCs w:val="22"/>
        </w:rPr>
        <w:t xml:space="preserve"> and ultimately produce a loss of vision. Besides </w:t>
      </w:r>
      <w:bookmarkStart w:id="25" w:name="_Hlk168324550"/>
      <w:r>
        <w:rPr>
          <w:szCs w:val="22"/>
        </w:rPr>
        <w:t>neovascular (wet) AMD (</w:t>
      </w:r>
      <w:proofErr w:type="spellStart"/>
      <w:r>
        <w:rPr>
          <w:szCs w:val="22"/>
        </w:rPr>
        <w:t>nAMD</w:t>
      </w:r>
      <w:proofErr w:type="spellEnd"/>
      <w:r>
        <w:rPr>
          <w:szCs w:val="22"/>
        </w:rPr>
        <w:t xml:space="preserve">), </w:t>
      </w:r>
      <w:bookmarkEnd w:id="25"/>
      <w:r>
        <w:rPr>
          <w:szCs w:val="22"/>
        </w:rPr>
        <w:t>VEGF-A is thought to contribute to the pathophysiology of visual impairment due to CNV, DME and macular oedema secondary to retinal vein occlusion ([RVO], branch RVO or central RVO), proliferative diabetic retinopathy (PDR) in adults.</w:t>
      </w:r>
    </w:p>
    <w:p w14:paraId="255E083A" w14:textId="77777777" w:rsidR="00CB6813" w:rsidRDefault="00CB6813" w:rsidP="00CB6813">
      <w:pPr>
        <w:pStyle w:val="Heading4"/>
      </w:pPr>
      <w:bookmarkStart w:id="26" w:name="_Toc169183793"/>
      <w:r>
        <w:t>Current treatment options</w:t>
      </w:r>
      <w:bookmarkEnd w:id="26"/>
    </w:p>
    <w:p w14:paraId="637D5A9D" w14:textId="2316A5AD" w:rsidR="00B067D8" w:rsidRDefault="004D7E7E" w:rsidP="008318E2">
      <w:pPr>
        <w:pStyle w:val="Default"/>
        <w:rPr>
          <w:sz w:val="22"/>
          <w:szCs w:val="22"/>
        </w:rPr>
      </w:pPr>
      <w:r>
        <w:rPr>
          <w:sz w:val="22"/>
          <w:szCs w:val="22"/>
        </w:rPr>
        <w:t xml:space="preserve">The sponsor refers to the </w:t>
      </w:r>
      <w:r w:rsidR="000D59C6">
        <w:rPr>
          <w:sz w:val="22"/>
          <w:szCs w:val="22"/>
        </w:rPr>
        <w:t>i</w:t>
      </w:r>
      <w:r>
        <w:rPr>
          <w:sz w:val="22"/>
          <w:szCs w:val="22"/>
        </w:rPr>
        <w:t xml:space="preserve">nnovator </w:t>
      </w:r>
      <w:r w:rsidR="00033703">
        <w:rPr>
          <w:sz w:val="22"/>
          <w:szCs w:val="22"/>
        </w:rPr>
        <w:t>LUCENTIS</w:t>
      </w:r>
      <w:r>
        <w:rPr>
          <w:sz w:val="22"/>
          <w:szCs w:val="22"/>
        </w:rPr>
        <w:t>.</w:t>
      </w:r>
    </w:p>
    <w:p w14:paraId="35D82E49" w14:textId="77777777" w:rsidR="008318E2" w:rsidRDefault="008318E2" w:rsidP="008318E2">
      <w:pPr>
        <w:pStyle w:val="Default"/>
        <w:rPr>
          <w:sz w:val="22"/>
          <w:szCs w:val="22"/>
        </w:rPr>
      </w:pPr>
    </w:p>
    <w:p w14:paraId="22C7AA31" w14:textId="5B30BBC7" w:rsidR="008318E2" w:rsidRPr="001D111E" w:rsidRDefault="008318E2" w:rsidP="008318E2">
      <w:pPr>
        <w:rPr>
          <w:i/>
          <w:color w:val="007099"/>
        </w:rPr>
      </w:pPr>
      <w:r>
        <w:rPr>
          <w:szCs w:val="22"/>
        </w:rPr>
        <w:t xml:space="preserve">Thermal laser photocoagulation and </w:t>
      </w:r>
      <w:bookmarkStart w:id="27" w:name="_Hlk168249227"/>
      <w:r>
        <w:rPr>
          <w:szCs w:val="22"/>
        </w:rPr>
        <w:t xml:space="preserve">photodynamic therapy </w:t>
      </w:r>
      <w:bookmarkEnd w:id="27"/>
      <w:r>
        <w:rPr>
          <w:szCs w:val="22"/>
        </w:rPr>
        <w:t xml:space="preserve">are now only considered in rare cases or in a subset of AMD – polypoidal choroidal vasculopathy, where laser or </w:t>
      </w:r>
      <w:r w:rsidR="000D59C6" w:rsidRPr="000D59C6">
        <w:rPr>
          <w:szCs w:val="22"/>
        </w:rPr>
        <w:t xml:space="preserve">photodynamic therapy </w:t>
      </w:r>
      <w:r>
        <w:rPr>
          <w:szCs w:val="22"/>
        </w:rPr>
        <w:t>is sometimes used when the neovascular lesion is well defined and extrafoveal.</w:t>
      </w:r>
    </w:p>
    <w:p w14:paraId="37C47E09" w14:textId="14D3762D" w:rsidR="00CB6813" w:rsidRDefault="00CB6813" w:rsidP="00CB6813">
      <w:pPr>
        <w:pStyle w:val="Heading4"/>
      </w:pPr>
      <w:bookmarkStart w:id="28" w:name="_Toc169183794"/>
      <w:r>
        <w:lastRenderedPageBreak/>
        <w:t>C</w:t>
      </w:r>
      <w:r w:rsidRPr="00DE1344">
        <w:t>linical rational</w:t>
      </w:r>
      <w:r w:rsidR="0025785B">
        <w:t>e</w:t>
      </w:r>
      <w:bookmarkEnd w:id="28"/>
    </w:p>
    <w:p w14:paraId="634811AA" w14:textId="29FEB0AE" w:rsidR="00427605" w:rsidRDefault="00143C32" w:rsidP="00427605">
      <w:bookmarkStart w:id="29" w:name="_Toc103679291"/>
      <w:r>
        <w:t>RANIVIZ</w:t>
      </w:r>
      <w:r w:rsidR="00427605">
        <w:t xml:space="preserve"> is developed to be a biosimilar to the biological reference product </w:t>
      </w:r>
      <w:r w:rsidR="00033703">
        <w:t>LUCENTIS</w:t>
      </w:r>
      <w:r w:rsidR="00427605">
        <w:t>, 10mg/ml solution for injection. Its active substance is ranibizumab, a recombinant, humanized antibody antigen-binding fragment (Fab) that binds selectively and with high affinity to vascular endothelial growth factor-A (VEGF-A). It belongs to the group of anti-neovascularization agents specifically developed for intraocular use. The binding prevents the interaction of VEGF-A with its receptors VEGFR-1 and VEGFR-2 on the surface of endothelial cells and thereby reduces neovascularization and vascular permeability as well as macular oedema and subsequent loss of vision.</w:t>
      </w:r>
    </w:p>
    <w:p w14:paraId="0D615854" w14:textId="77777777" w:rsidR="00324B33" w:rsidRPr="003F31A2" w:rsidRDefault="00324B33" w:rsidP="00324B33">
      <w:pPr>
        <w:pStyle w:val="Heading3"/>
      </w:pPr>
      <w:bookmarkStart w:id="30" w:name="_Toc169183795"/>
      <w:r>
        <w:t>Regulatory status</w:t>
      </w:r>
      <w:bookmarkEnd w:id="22"/>
      <w:bookmarkEnd w:id="23"/>
      <w:bookmarkEnd w:id="29"/>
      <w:bookmarkEnd w:id="30"/>
    </w:p>
    <w:p w14:paraId="72C889D6" w14:textId="7E200950" w:rsidR="0017005C" w:rsidRPr="00BD5DBD" w:rsidRDefault="0017005C" w:rsidP="00741AB9">
      <w:pPr>
        <w:pStyle w:val="Heading4"/>
      </w:pPr>
      <w:bookmarkStart w:id="31" w:name="_Toc169183796"/>
      <w:r w:rsidRPr="00BD5DBD">
        <w:t>Australian regulatory</w:t>
      </w:r>
      <w:r>
        <w:t xml:space="preserve"> sta</w:t>
      </w:r>
      <w:r w:rsidR="0025785B">
        <w:t>t</w:t>
      </w:r>
      <w:r>
        <w:t>us</w:t>
      </w:r>
      <w:bookmarkEnd w:id="31"/>
    </w:p>
    <w:p w14:paraId="6A8633FA" w14:textId="4A20367F" w:rsidR="00324B33" w:rsidRDefault="00324B33" w:rsidP="00324B33">
      <w:pPr>
        <w:rPr>
          <w:szCs w:val="22"/>
        </w:rPr>
      </w:pPr>
      <w:r w:rsidRPr="00BD5DBD">
        <w:rPr>
          <w:szCs w:val="22"/>
        </w:rPr>
        <w:t xml:space="preserve">This product is considered a </w:t>
      </w:r>
      <w:r w:rsidR="008C754C" w:rsidRPr="00BD5DBD">
        <w:rPr>
          <w:szCs w:val="22"/>
        </w:rPr>
        <w:t xml:space="preserve">new </w:t>
      </w:r>
      <w:r w:rsidRPr="00BD5DBD">
        <w:rPr>
          <w:szCs w:val="22"/>
        </w:rPr>
        <w:t>biosimilar medicine for Australian regulatory purposes.</w:t>
      </w:r>
    </w:p>
    <w:p w14:paraId="546C1031" w14:textId="5BAB9E2C" w:rsidR="0017005C" w:rsidRDefault="0017005C" w:rsidP="0017005C">
      <w:pPr>
        <w:pStyle w:val="Heading4"/>
      </w:pPr>
      <w:bookmarkStart w:id="32" w:name="_Toc169183797"/>
      <w:r>
        <w:t>Foreign</w:t>
      </w:r>
      <w:r w:rsidRPr="00BD5DBD">
        <w:t xml:space="preserve"> regulatory</w:t>
      </w:r>
      <w:r>
        <w:t xml:space="preserve"> status</w:t>
      </w:r>
      <w:bookmarkEnd w:id="32"/>
    </w:p>
    <w:p w14:paraId="35E9C13A" w14:textId="0FAF2531" w:rsidR="00005D32" w:rsidRPr="00005D32" w:rsidRDefault="00005D32" w:rsidP="00005D32">
      <w:r w:rsidRPr="00BD5DBD">
        <w:rPr>
          <w:szCs w:val="22"/>
        </w:rPr>
        <w:t xml:space="preserve">This submission was submitted through the TGA’s </w:t>
      </w:r>
      <w:hyperlink r:id="rId21" w:history="1">
        <w:r w:rsidRPr="00BD5DBD">
          <w:rPr>
            <w:rStyle w:val="Hyperlink"/>
            <w:szCs w:val="22"/>
          </w:rPr>
          <w:t>Comparable Overseas Regulator</w:t>
        </w:r>
      </w:hyperlink>
      <w:r w:rsidRPr="00BD5DBD">
        <w:rPr>
          <w:szCs w:val="22"/>
        </w:rPr>
        <w:t xml:space="preserve"> </w:t>
      </w:r>
      <w:r>
        <w:rPr>
          <w:szCs w:val="22"/>
        </w:rPr>
        <w:t>[</w:t>
      </w:r>
      <w:r w:rsidRPr="00BD5DBD">
        <w:rPr>
          <w:szCs w:val="22"/>
        </w:rPr>
        <w:t>B (COR-B)</w:t>
      </w:r>
      <w:r>
        <w:rPr>
          <w:szCs w:val="22"/>
        </w:rPr>
        <w:t>]</w:t>
      </w:r>
      <w:r w:rsidRPr="00BD5DBD">
        <w:rPr>
          <w:szCs w:val="22"/>
        </w:rPr>
        <w:t xml:space="preserve"> process, using evaluation reports from </w:t>
      </w:r>
      <w:r>
        <w:rPr>
          <w:color w:val="000000" w:themeColor="text1"/>
        </w:rPr>
        <w:t xml:space="preserve">European </w:t>
      </w:r>
      <w:r w:rsidR="00C3522A">
        <w:rPr>
          <w:color w:val="000000" w:themeColor="text1"/>
        </w:rPr>
        <w:t>Medicines Agency (EMA)</w:t>
      </w:r>
      <w:r w:rsidRPr="0017005C">
        <w:t>.</w:t>
      </w:r>
      <w:r w:rsidRPr="00BD5DBD">
        <w:rPr>
          <w:iCs/>
          <w:szCs w:val="22"/>
        </w:rPr>
        <w:t xml:space="preserve"> </w:t>
      </w:r>
      <w:r w:rsidRPr="00BD5DBD">
        <w:rPr>
          <w:szCs w:val="22"/>
        </w:rPr>
        <w:t>The full dossier was submitted to the TGA.</w:t>
      </w:r>
    </w:p>
    <w:p w14:paraId="02E90E03" w14:textId="1795E4B8" w:rsidR="008F4A62" w:rsidRDefault="008F4A62" w:rsidP="008F4A62">
      <w:pPr>
        <w:rPr>
          <w:rFonts w:eastAsia="Cambria" w:cs="Times New Roman"/>
          <w:i/>
          <w:color w:val="007099"/>
          <w:szCs w:val="22"/>
        </w:rPr>
      </w:pPr>
      <w:r w:rsidRPr="00BD5DBD">
        <w:rPr>
          <w:szCs w:val="22"/>
        </w:rPr>
        <w:t xml:space="preserve">At the time the TGA considered this submission, a similar submission had been approved in </w:t>
      </w:r>
      <w:r w:rsidR="00507EC1">
        <w:t>EU (25 August 2022), UK (16 May 2022) and USA (02 August 2022)</w:t>
      </w:r>
      <w:r w:rsidRPr="00BD5DBD">
        <w:rPr>
          <w:szCs w:val="22"/>
        </w:rPr>
        <w:t xml:space="preserve">. </w:t>
      </w:r>
      <w:r w:rsidR="008B2CFB">
        <w:rPr>
          <w:szCs w:val="22"/>
        </w:rPr>
        <w:t xml:space="preserve">However, while all the PIs include the proposed indication of the treatment of visual impairment due to choroidal neovascularisation, </w:t>
      </w:r>
      <w:r w:rsidR="00B067D8" w:rsidRPr="00B067D8">
        <w:rPr>
          <w:szCs w:val="22"/>
        </w:rPr>
        <w:t>all detail the treatment of visual impairment due to choroidal neovascularisation (CNV) secondary to pathologic myopia (PM) differently</w:t>
      </w:r>
      <w:r w:rsidR="008B2CFB">
        <w:rPr>
          <w:szCs w:val="22"/>
        </w:rPr>
        <w:t>, which is included in the innovator (</w:t>
      </w:r>
      <w:r w:rsidR="00033703">
        <w:rPr>
          <w:szCs w:val="22"/>
        </w:rPr>
        <w:t>LUCENTIS</w:t>
      </w:r>
      <w:r w:rsidR="008B2CFB">
        <w:rPr>
          <w:szCs w:val="22"/>
        </w:rPr>
        <w:t>) in Australia. Also, none approve use in pre-term infants.</w:t>
      </w:r>
    </w:p>
    <w:p w14:paraId="6D92589C" w14:textId="09786CEF" w:rsidR="00324B33" w:rsidRDefault="00324B33" w:rsidP="00324B33">
      <w:pPr>
        <w:pStyle w:val="Heading2"/>
      </w:pPr>
      <w:bookmarkStart w:id="33" w:name="_Toc504480011"/>
      <w:bookmarkStart w:id="34" w:name="_Toc103679293"/>
      <w:bookmarkStart w:id="35" w:name="_Toc169183798"/>
      <w:r>
        <w:t>Registration timeline</w:t>
      </w:r>
      <w:bookmarkEnd w:id="33"/>
      <w:bookmarkEnd w:id="34"/>
      <w:bookmarkEnd w:id="35"/>
    </w:p>
    <w:p w14:paraId="63072C81" w14:textId="0CB277AE" w:rsidR="000D59C6" w:rsidRDefault="000D59C6" w:rsidP="00324B33">
      <w:pPr>
        <w:rPr>
          <w:szCs w:val="22"/>
        </w:rPr>
      </w:pPr>
      <w:r w:rsidRPr="000D59C6">
        <w:rPr>
          <w:szCs w:val="22"/>
        </w:rPr>
        <w:t>This submission was evaluated under the standard prescription medicines registration process.</w:t>
      </w:r>
    </w:p>
    <w:p w14:paraId="225E3D87" w14:textId="6C8C723B" w:rsidR="00324B33" w:rsidRPr="00BD5DBD" w:rsidRDefault="000D59C6" w:rsidP="00324B33">
      <w:pPr>
        <w:rPr>
          <w:szCs w:val="22"/>
        </w:rPr>
      </w:pPr>
      <w:r>
        <w:rPr>
          <w:szCs w:val="22"/>
        </w:rPr>
        <w:t xml:space="preserve">Table 1 </w:t>
      </w:r>
      <w:r w:rsidR="00324B33" w:rsidRPr="00BD5DBD">
        <w:rPr>
          <w:szCs w:val="22"/>
        </w:rPr>
        <w:t>captures the key steps and dates for this submission.</w:t>
      </w:r>
    </w:p>
    <w:p w14:paraId="44628C5F" w14:textId="33D224D0" w:rsidR="00324B33" w:rsidRDefault="00324B33" w:rsidP="002C1232">
      <w:pPr>
        <w:pStyle w:val="TableTitle"/>
      </w:pPr>
      <w:r w:rsidRPr="002C1232">
        <w:t xml:space="preserve">Table </w:t>
      </w:r>
      <w:fldSimple w:instr=" SEQ Table \* ARABIC ">
        <w:r w:rsidR="00F9157A">
          <w:rPr>
            <w:noProof/>
          </w:rPr>
          <w:t>1</w:t>
        </w:r>
      </w:fldSimple>
      <w:r w:rsidRPr="002C1232">
        <w:t>: Timeline for Submission PM-202</w:t>
      </w:r>
      <w:r w:rsidR="00AD448A">
        <w:t>2</w:t>
      </w:r>
      <w:r w:rsidRPr="002C1232">
        <w:t>-</w:t>
      </w:r>
      <w:r w:rsidR="00AD448A">
        <w:t>04707</w:t>
      </w:r>
      <w:r w:rsidRPr="002C1232">
        <w:t>-1-</w:t>
      </w:r>
      <w:r w:rsidR="00AD448A">
        <w:t>5</w:t>
      </w:r>
    </w:p>
    <w:tbl>
      <w:tblPr>
        <w:tblStyle w:val="TableTGAblue2023"/>
        <w:tblW w:w="8642" w:type="dxa"/>
        <w:tblLook w:val="04A0" w:firstRow="1" w:lastRow="0" w:firstColumn="1" w:lastColumn="0" w:noHBand="0" w:noVBand="1"/>
      </w:tblPr>
      <w:tblGrid>
        <w:gridCol w:w="5665"/>
        <w:gridCol w:w="2977"/>
      </w:tblGrid>
      <w:tr w:rsidR="00324B33" w:rsidRPr="00D01DDB" w14:paraId="6C59BE9C" w14:textId="77777777" w:rsidTr="000D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6D80E78" w14:textId="3EC0CCAF" w:rsidR="00324B33" w:rsidRPr="00D01DDB" w:rsidRDefault="00324B33" w:rsidP="00324B33">
            <w:pPr>
              <w:rPr>
                <w:szCs w:val="22"/>
              </w:rPr>
            </w:pPr>
            <w:r w:rsidRPr="00D01DDB">
              <w:rPr>
                <w:szCs w:val="22"/>
              </w:rPr>
              <w:t>Description</w:t>
            </w:r>
          </w:p>
        </w:tc>
        <w:tc>
          <w:tcPr>
            <w:tcW w:w="2977"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759D2A12" w14:textId="0D705F83" w:rsidR="00324B33" w:rsidRPr="00E679D1" w:rsidRDefault="00324B33" w:rsidP="00E679D1">
            <w:r w:rsidRPr="00E679D1">
              <w:t>Submission dossier accepted and first round evaluation commenced</w:t>
            </w:r>
          </w:p>
        </w:tc>
        <w:tc>
          <w:tcPr>
            <w:tcW w:w="2977" w:type="dxa"/>
          </w:tcPr>
          <w:p w14:paraId="2963D9D8" w14:textId="1DF0F329" w:rsidR="00324B33" w:rsidRPr="00D01DDB" w:rsidRDefault="0071728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 January 2023</w:t>
            </w:r>
          </w:p>
        </w:tc>
      </w:tr>
      <w:tr w:rsidR="00324B33" w:rsidRPr="00D01DDB" w14:paraId="53437815"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4C037D4E" w14:textId="2B0CE255" w:rsidR="00324B33" w:rsidRPr="00E679D1" w:rsidRDefault="00324B33" w:rsidP="00E679D1">
            <w:r w:rsidRPr="00E679D1">
              <w:t>First round evaluation completed</w:t>
            </w:r>
          </w:p>
        </w:tc>
        <w:tc>
          <w:tcPr>
            <w:tcW w:w="2977" w:type="dxa"/>
          </w:tcPr>
          <w:p w14:paraId="3CEAFAAB" w14:textId="7CFF5B8F" w:rsidR="00324B33" w:rsidRPr="00D01DDB" w:rsidRDefault="0071728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w:t>
            </w:r>
            <w:r w:rsidR="009C6C12">
              <w:rPr>
                <w:szCs w:val="22"/>
              </w:rPr>
              <w:t>1</w:t>
            </w:r>
            <w:r>
              <w:rPr>
                <w:szCs w:val="22"/>
              </w:rPr>
              <w:t xml:space="preserve"> April 2023</w:t>
            </w:r>
          </w:p>
        </w:tc>
      </w:tr>
      <w:tr w:rsidR="00324B33" w:rsidRPr="00D01DDB" w14:paraId="60DA57CC"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02EA1147" w14:textId="2853A422" w:rsidR="00324B33" w:rsidRPr="00E679D1" w:rsidRDefault="00324B33" w:rsidP="00E679D1">
            <w:r w:rsidRPr="00E679D1">
              <w:t>Sponsor provides responses on questions raised in first round evaluation</w:t>
            </w:r>
          </w:p>
        </w:tc>
        <w:tc>
          <w:tcPr>
            <w:tcW w:w="2977" w:type="dxa"/>
          </w:tcPr>
          <w:p w14:paraId="68A577C1" w14:textId="1B8624B1" w:rsidR="00324B33" w:rsidRPr="00D01DDB" w:rsidRDefault="00F75BCA"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May 2023</w:t>
            </w:r>
          </w:p>
        </w:tc>
      </w:tr>
      <w:tr w:rsidR="00324B33" w:rsidRPr="00D01DDB" w14:paraId="767E33A4"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4AFC5B50" w14:textId="2BCC6A3E" w:rsidR="00324B33" w:rsidRPr="00E679D1" w:rsidRDefault="00324B33" w:rsidP="00E679D1">
            <w:r w:rsidRPr="00E679D1">
              <w:t>Second round evaluation completed</w:t>
            </w:r>
          </w:p>
        </w:tc>
        <w:tc>
          <w:tcPr>
            <w:tcW w:w="2977" w:type="dxa"/>
          </w:tcPr>
          <w:p w14:paraId="4E47DF62" w14:textId="4A585D91" w:rsidR="00324B33" w:rsidRPr="00D01DDB" w:rsidRDefault="001C00B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 July 2023</w:t>
            </w:r>
          </w:p>
        </w:tc>
      </w:tr>
      <w:tr w:rsidR="00020FF2" w:rsidRPr="00D01DDB" w14:paraId="6BE6DD33"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14764CC8" w14:textId="43DE44A7" w:rsidR="00020FF2" w:rsidRPr="00F45FFE" w:rsidRDefault="00020FF2" w:rsidP="00020FF2">
            <w:r w:rsidRPr="00F45FFE">
              <w:t>Sponsor’s notification to the TGA of errors/omissions in evaluation reports</w:t>
            </w:r>
          </w:p>
        </w:tc>
        <w:tc>
          <w:tcPr>
            <w:tcW w:w="2977" w:type="dxa"/>
          </w:tcPr>
          <w:p w14:paraId="196C5433" w14:textId="4D28BABF" w:rsidR="00020FF2" w:rsidRPr="00F45FFE" w:rsidRDefault="009C6C1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12 July</w:t>
            </w:r>
            <w:r w:rsidR="00F45FFE" w:rsidRPr="00F45FFE">
              <w:rPr>
                <w:szCs w:val="22"/>
              </w:rPr>
              <w:t xml:space="preserve"> 2023</w:t>
            </w:r>
          </w:p>
        </w:tc>
      </w:tr>
      <w:tr w:rsidR="00324B33" w:rsidRPr="00D01DDB" w14:paraId="302FCB45"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716E9DC1" w14:textId="4B8D56A6" w:rsidR="00324B33" w:rsidRPr="00F45FFE" w:rsidRDefault="00324B33" w:rsidP="00324B33">
            <w:pPr>
              <w:rPr>
                <w:szCs w:val="22"/>
              </w:rPr>
            </w:pPr>
            <w:r w:rsidRPr="00F45FFE">
              <w:rPr>
                <w:szCs w:val="22"/>
              </w:rPr>
              <w:lastRenderedPageBreak/>
              <w:t>Delegate’s</w:t>
            </w:r>
            <w:r w:rsidR="00500D68" w:rsidRPr="00F45FFE">
              <w:rPr>
                <w:rStyle w:val="FootnoteReference"/>
                <w:szCs w:val="22"/>
              </w:rPr>
              <w:footnoteReference w:id="1"/>
            </w:r>
            <w:r w:rsidRPr="00F45FFE">
              <w:rPr>
                <w:szCs w:val="22"/>
              </w:rPr>
              <w:t xml:space="preserve"> Overall benefit-risk assessment </w:t>
            </w:r>
          </w:p>
        </w:tc>
        <w:tc>
          <w:tcPr>
            <w:tcW w:w="2977" w:type="dxa"/>
          </w:tcPr>
          <w:p w14:paraId="3BA6EF79" w14:textId="3AD98B61" w:rsidR="00324B33" w:rsidRPr="00F45FFE" w:rsidRDefault="00F45FFE" w:rsidP="00324B33">
            <w:pPr>
              <w:cnfStyle w:val="000000000000" w:firstRow="0" w:lastRow="0" w:firstColumn="0" w:lastColumn="0" w:oddVBand="0" w:evenVBand="0" w:oddHBand="0" w:evenHBand="0" w:firstRowFirstColumn="0" w:firstRowLastColumn="0" w:lastRowFirstColumn="0" w:lastRowLastColumn="0"/>
              <w:rPr>
                <w:szCs w:val="22"/>
              </w:rPr>
            </w:pPr>
            <w:r w:rsidRPr="00F45FFE">
              <w:rPr>
                <w:szCs w:val="22"/>
              </w:rPr>
              <w:t>5 September 2023</w:t>
            </w:r>
          </w:p>
        </w:tc>
      </w:tr>
      <w:tr w:rsidR="00324B33" w:rsidRPr="00D01DDB" w14:paraId="6E5D32FE"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4E95C44C" w14:textId="7A91C710" w:rsidR="00324B33" w:rsidRPr="00E679D1" w:rsidRDefault="00324B33" w:rsidP="00E679D1">
            <w:r w:rsidRPr="00E679D1">
              <w:t>Registration decision (Outcome)</w:t>
            </w:r>
          </w:p>
        </w:tc>
        <w:tc>
          <w:tcPr>
            <w:tcW w:w="2977" w:type="dxa"/>
          </w:tcPr>
          <w:p w14:paraId="62987ABD" w14:textId="75DC464B" w:rsidR="00324B33" w:rsidRPr="00D01DDB" w:rsidRDefault="001C00B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12 December 2023 </w:t>
            </w:r>
          </w:p>
        </w:tc>
      </w:tr>
      <w:tr w:rsidR="00324B33" w:rsidRPr="00D01DDB" w14:paraId="6DDCDDA4"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192FD19D" w14:textId="3612A2E7" w:rsidR="00324B33" w:rsidRPr="00E679D1" w:rsidRDefault="0013132F" w:rsidP="00E679D1">
            <w:r w:rsidRPr="00E679D1">
              <w:t xml:space="preserve">Administrative activities and registration </w:t>
            </w:r>
            <w:r w:rsidR="005C4B46" w:rsidRPr="00E679D1">
              <w:t xml:space="preserve">in </w:t>
            </w:r>
            <w:r w:rsidRPr="00E679D1">
              <w:t>the ARTG completed</w:t>
            </w:r>
          </w:p>
        </w:tc>
        <w:tc>
          <w:tcPr>
            <w:tcW w:w="2977" w:type="dxa"/>
          </w:tcPr>
          <w:p w14:paraId="5A8923FD" w14:textId="37A18C3A" w:rsidR="00324B33" w:rsidRPr="00D01DDB" w:rsidRDefault="00C4447D"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20 December 2023</w:t>
            </w:r>
          </w:p>
        </w:tc>
      </w:tr>
      <w:tr w:rsidR="00324B33" w:rsidRPr="00D01DDB" w14:paraId="56D922E2" w14:textId="77777777" w:rsidTr="000D78EC">
        <w:tc>
          <w:tcPr>
            <w:cnfStyle w:val="001000000000" w:firstRow="0" w:lastRow="0" w:firstColumn="1" w:lastColumn="0" w:oddVBand="0" w:evenVBand="0" w:oddHBand="0" w:evenHBand="0" w:firstRowFirstColumn="0" w:firstRowLastColumn="0" w:lastRowFirstColumn="0" w:lastRowLastColumn="0"/>
            <w:tcW w:w="5665" w:type="dxa"/>
          </w:tcPr>
          <w:p w14:paraId="787FD8DD" w14:textId="0E0CF97F" w:rsidR="00324B33" w:rsidRPr="00E679D1" w:rsidRDefault="00324B33" w:rsidP="00E679D1">
            <w:r w:rsidRPr="00E679D1">
              <w:t>Number of working days from submission dossier acceptance to registration decision*</w:t>
            </w:r>
          </w:p>
        </w:tc>
        <w:tc>
          <w:tcPr>
            <w:tcW w:w="2977" w:type="dxa"/>
          </w:tcPr>
          <w:p w14:paraId="5BAF9FA1" w14:textId="5077FBF5" w:rsidR="00324B33" w:rsidRPr="00D01DDB" w:rsidRDefault="001C00B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134</w:t>
            </w:r>
          </w:p>
        </w:tc>
      </w:tr>
    </w:tbl>
    <w:p w14:paraId="7B02554C" w14:textId="77777777" w:rsidR="00433318" w:rsidRDefault="00433318" w:rsidP="00433318">
      <w:pPr>
        <w:pStyle w:val="TableDescription"/>
      </w:pPr>
      <w:r>
        <w:t>*</w:t>
      </w:r>
      <w:r w:rsidRPr="00BF3774">
        <w:t xml:space="preserve">Statutory </w:t>
      </w:r>
      <w:r>
        <w:t>timeframe for standard submissions is 255 working days</w:t>
      </w:r>
    </w:p>
    <w:p w14:paraId="238F34C7" w14:textId="77777777" w:rsidR="00433318" w:rsidRDefault="00433318" w:rsidP="00433318">
      <w:pPr>
        <w:pStyle w:val="TableDescription"/>
      </w:pPr>
      <w:r w:rsidRPr="00006FAB">
        <w:t>* The COR-A process has a 120 working day evaluation and decision timeframe.</w:t>
      </w:r>
    </w:p>
    <w:p w14:paraId="47E88CFC" w14:textId="52215AAF" w:rsidR="00433318" w:rsidRDefault="00433318" w:rsidP="00854D98">
      <w:pPr>
        <w:pStyle w:val="TableDescription"/>
      </w:pPr>
      <w:r w:rsidRPr="00006FAB">
        <w:t>* The COR-B process has a 175 working day evaluation and decision timeframe.</w:t>
      </w:r>
    </w:p>
    <w:p w14:paraId="220925F1" w14:textId="77777777" w:rsidR="00C22214" w:rsidRPr="00792A32" w:rsidRDefault="00C22214" w:rsidP="00C22214">
      <w:pPr>
        <w:pStyle w:val="Heading2"/>
      </w:pPr>
      <w:bookmarkStart w:id="36" w:name="_Toc196046504"/>
      <w:bookmarkStart w:id="37" w:name="_Toc247691527"/>
      <w:bookmarkStart w:id="38" w:name="_Toc314842510"/>
      <w:bookmarkStart w:id="39" w:name="_Toc103679294"/>
      <w:bookmarkStart w:id="40" w:name="_Toc169183799"/>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36"/>
      <w:bookmarkEnd w:id="37"/>
      <w:bookmarkEnd w:id="38"/>
      <w:bookmarkEnd w:id="39"/>
      <w:bookmarkEnd w:id="40"/>
    </w:p>
    <w:p w14:paraId="37F5A1C0" w14:textId="77777777" w:rsidR="00C22214" w:rsidRDefault="00C22214" w:rsidP="00C22214">
      <w:pPr>
        <w:pStyle w:val="Heading3"/>
      </w:pPr>
      <w:bookmarkStart w:id="41" w:name="_Toc247691528"/>
      <w:bookmarkStart w:id="42" w:name="_Toc314842511"/>
      <w:bookmarkStart w:id="43" w:name="_Toc103679295"/>
      <w:bookmarkStart w:id="44" w:name="_Toc169183800"/>
      <w:r>
        <w:t>Quality</w:t>
      </w:r>
      <w:bookmarkEnd w:id="41"/>
      <w:bookmarkEnd w:id="42"/>
      <w:bookmarkEnd w:id="43"/>
      <w:bookmarkEnd w:id="44"/>
    </w:p>
    <w:p w14:paraId="1132C4C3" w14:textId="13695066" w:rsidR="00191E73" w:rsidRDefault="00191E73" w:rsidP="00E532B3">
      <w:bookmarkStart w:id="45" w:name="_Toc314842512"/>
      <w:bookmarkStart w:id="46" w:name="_Toc103679296"/>
      <w:r>
        <w:t xml:space="preserve">The </w:t>
      </w:r>
      <w:r w:rsidR="002714AB">
        <w:t>quality</w:t>
      </w:r>
      <w:r>
        <w:t xml:space="preserve"> evaluator has confirmed</w:t>
      </w:r>
      <w:r w:rsidR="000819CB">
        <w:t xml:space="preserve"> that t</w:t>
      </w:r>
      <w:r>
        <w:t xml:space="preserve">here are no objections on quality grounds to the approval of </w:t>
      </w:r>
      <w:r w:rsidR="00143C32">
        <w:t>RANIVIZ</w:t>
      </w:r>
      <w:r w:rsidR="000D59C6">
        <w:t xml:space="preserve">. </w:t>
      </w:r>
    </w:p>
    <w:p w14:paraId="3780BB89" w14:textId="723F378D" w:rsidR="00191E73" w:rsidRDefault="00191E73" w:rsidP="00E532B3">
      <w:r>
        <w:t xml:space="preserve">The current application was submitted via the </w:t>
      </w:r>
      <w:bookmarkStart w:id="47" w:name="_Hlk168324725"/>
      <w:r>
        <w:t>COR</w:t>
      </w:r>
      <w:bookmarkEnd w:id="47"/>
      <w:r>
        <w:t xml:space="preserve">-B pathway. The quality evaluation report is based largely on the COR report from </w:t>
      </w:r>
      <w:bookmarkStart w:id="48" w:name="_Hlk168324731"/>
      <w:r>
        <w:t xml:space="preserve">EMA </w:t>
      </w:r>
      <w:bookmarkEnd w:id="48"/>
      <w:r>
        <w:t xml:space="preserve">and EMA’s other evaluation reports provided in Module 1.11.4 via the COR-B process. Additional assessment on the Product Information, labels and stability were carried out to ensure the product meets Australian requirements. </w:t>
      </w:r>
    </w:p>
    <w:p w14:paraId="2704790E" w14:textId="427ACEFE" w:rsidR="000819CB" w:rsidRDefault="000819CB" w:rsidP="00E532B3">
      <w:r w:rsidRPr="000819CB">
        <w:t xml:space="preserve">Comprehensive characterisation studies support </w:t>
      </w:r>
      <w:proofErr w:type="spellStart"/>
      <w:r w:rsidRPr="000819CB">
        <w:t>biosimilarity</w:t>
      </w:r>
      <w:proofErr w:type="spellEnd"/>
      <w:r w:rsidRPr="000819CB">
        <w:t xml:space="preserve"> between </w:t>
      </w:r>
      <w:r w:rsidR="00143C32">
        <w:t>RANIVIZ</w:t>
      </w:r>
      <w:r w:rsidRPr="000819CB">
        <w:t xml:space="preserve">, EU </w:t>
      </w:r>
      <w:r w:rsidR="00033703">
        <w:t>LUCENTIS</w:t>
      </w:r>
      <w:r w:rsidRPr="000819CB">
        <w:t xml:space="preserve">, US </w:t>
      </w:r>
      <w:proofErr w:type="gramStart"/>
      <w:r w:rsidR="00033703">
        <w:t>LUCENTIS</w:t>
      </w:r>
      <w:proofErr w:type="gramEnd"/>
      <w:r w:rsidRPr="000819CB">
        <w:t xml:space="preserve"> and AU </w:t>
      </w:r>
      <w:r w:rsidR="00033703">
        <w:t>LUCENTIS</w:t>
      </w:r>
      <w:r w:rsidRPr="000819CB">
        <w:t xml:space="preserve"> with respect to structural, physicochemical, and biological properties.</w:t>
      </w:r>
    </w:p>
    <w:p w14:paraId="2BE90AAE" w14:textId="68D4C8E7" w:rsidR="00C22214" w:rsidRDefault="00C22214" w:rsidP="00191E73">
      <w:pPr>
        <w:pStyle w:val="Heading3"/>
      </w:pPr>
      <w:bookmarkStart w:id="49" w:name="_Toc169183801"/>
      <w:r>
        <w:t>Nonclinical</w:t>
      </w:r>
      <w:bookmarkEnd w:id="45"/>
      <w:bookmarkEnd w:id="46"/>
      <w:bookmarkEnd w:id="49"/>
    </w:p>
    <w:p w14:paraId="6AEC7E5E" w14:textId="6FBD5609" w:rsidR="00C660D8" w:rsidRDefault="00C660D8" w:rsidP="00E532B3">
      <w:bookmarkStart w:id="50" w:name="_Toc247691530"/>
      <w:bookmarkStart w:id="51" w:name="_Toc314842513"/>
      <w:bookmarkStart w:id="52" w:name="_Toc103679297"/>
      <w:r>
        <w:t xml:space="preserve">The non-clinical evaluation dossier was in accordance with the relevant EU guideline for similar monoclonal antibodies.1 The non-clinical evaluation dossier comprised a GLP compliant in vivo comparative single-dose toxicity study (including pharmacokinetics). This study was conducted using EU- and US-sourced </w:t>
      </w:r>
      <w:r w:rsidR="00033703">
        <w:t>LUCENTIS</w:t>
      </w:r>
      <w:r>
        <w:t xml:space="preserve"> as the reference products. The non-clinical evaluation summary and conclusions are based on the EMA evaluation report. </w:t>
      </w:r>
    </w:p>
    <w:p w14:paraId="649E2E3A" w14:textId="6ADB29A3" w:rsidR="00C660D8" w:rsidRDefault="00C660D8" w:rsidP="00E532B3">
      <w:r w:rsidRPr="00C660D8">
        <w:t xml:space="preserve">The ability of the nonclinical studies to support comparability to </w:t>
      </w:r>
      <w:r w:rsidR="00143C32">
        <w:t>RANIVIZ</w:t>
      </w:r>
      <w:r w:rsidRPr="00C660D8">
        <w:t xml:space="preserve"> depends on the conclusion of the </w:t>
      </w:r>
      <w:r>
        <w:t>quality e</w:t>
      </w:r>
      <w:r w:rsidRPr="00C660D8">
        <w:t xml:space="preserve">valuator regarding the identity of ranibizumab-containing products across jurisdictions. Provided that EU– and US–sourced </w:t>
      </w:r>
      <w:r w:rsidR="00033703">
        <w:t>LUCENTIS</w:t>
      </w:r>
      <w:r w:rsidRPr="00C660D8">
        <w:t xml:space="preserve"> </w:t>
      </w:r>
      <w:proofErr w:type="gramStart"/>
      <w:r w:rsidRPr="00C660D8">
        <w:t>are considered to be</w:t>
      </w:r>
      <w:proofErr w:type="gramEnd"/>
      <w:r w:rsidRPr="00C660D8">
        <w:t xml:space="preserve"> identical or highly comparable to the proposed Australian product, there are no nonclinical objections to the registration of </w:t>
      </w:r>
      <w:r w:rsidR="00143C32">
        <w:t>RANIVIZ</w:t>
      </w:r>
      <w:r w:rsidRPr="00C660D8">
        <w:t>.</w:t>
      </w:r>
    </w:p>
    <w:p w14:paraId="35B580A5" w14:textId="517C11E6" w:rsidR="00C22214" w:rsidRDefault="00C22214" w:rsidP="00C660D8">
      <w:pPr>
        <w:pStyle w:val="Heading3"/>
      </w:pPr>
      <w:bookmarkStart w:id="53" w:name="_Toc169183802"/>
      <w:r>
        <w:lastRenderedPageBreak/>
        <w:t>Clinical</w:t>
      </w:r>
      <w:bookmarkEnd w:id="50"/>
      <w:bookmarkEnd w:id="51"/>
      <w:bookmarkEnd w:id="52"/>
      <w:bookmarkEnd w:id="53"/>
    </w:p>
    <w:p w14:paraId="0616F6CF" w14:textId="58E49E9B" w:rsidR="004D7E7E" w:rsidRPr="004D7E7E" w:rsidRDefault="004D7E7E" w:rsidP="004D7E7E">
      <w:r>
        <w:t>The following clinical studies were undertaken:</w:t>
      </w:r>
    </w:p>
    <w:p w14:paraId="5D251CF9" w14:textId="4681E4AC" w:rsidR="000A456F" w:rsidRPr="000A456F" w:rsidRDefault="000A456F" w:rsidP="000A456F">
      <w:pPr>
        <w:pStyle w:val="Heading3"/>
      </w:pPr>
      <w:bookmarkStart w:id="54" w:name="_Toc169183803"/>
      <w:r>
        <w:t>Pharmacology</w:t>
      </w:r>
      <w:bookmarkEnd w:id="54"/>
    </w:p>
    <w:p w14:paraId="1C5063E1" w14:textId="341678CD" w:rsidR="000A456F" w:rsidRDefault="000A456F" w:rsidP="000A456F">
      <w:pPr>
        <w:pStyle w:val="Heading4"/>
      </w:pPr>
      <w:bookmarkStart w:id="55" w:name="_Toc169183804"/>
      <w:r>
        <w:t>Pharmacokinetics (PK)</w:t>
      </w:r>
      <w:bookmarkEnd w:id="55"/>
      <w:r>
        <w:t xml:space="preserve"> </w:t>
      </w:r>
    </w:p>
    <w:p w14:paraId="53147552" w14:textId="72606E33" w:rsidR="000A456F" w:rsidRDefault="000A456F" w:rsidP="00E532B3">
      <w:r>
        <w:t xml:space="preserve">No PK studies in healthy volunteers were conducted for ethical and safety reasons (Intravitreal mode of application) and no pivotal PK study in the target population was performed. The comparative systemic exposure was to be shown as a safety endpoint in a subset of patients with neovascular AMD within the confirmatory comparative clinical safety and efficacy study FYB201-C2015- 01-P3. Overall, the total number of patients with positive ADAs in blood serum was low and comparable between treatment arms. This </w:t>
      </w:r>
      <w:r w:rsidR="0084424A">
        <w:t>is</w:t>
      </w:r>
      <w:r>
        <w:t xml:space="preserve"> </w:t>
      </w:r>
      <w:r w:rsidR="0084424A">
        <w:t xml:space="preserve">considered </w:t>
      </w:r>
      <w:r>
        <w:t xml:space="preserve">acceptable. </w:t>
      </w:r>
    </w:p>
    <w:p w14:paraId="52E5A8AC" w14:textId="77777777" w:rsidR="000A456F" w:rsidRDefault="000A456F" w:rsidP="000A456F">
      <w:pPr>
        <w:pStyle w:val="Heading4"/>
      </w:pPr>
      <w:bookmarkStart w:id="56" w:name="_Toc169183805"/>
      <w:r>
        <w:t>Pharmacodynamics (PD)</w:t>
      </w:r>
      <w:bookmarkEnd w:id="56"/>
      <w:r>
        <w:t xml:space="preserve"> </w:t>
      </w:r>
    </w:p>
    <w:p w14:paraId="1B50AD77" w14:textId="4F84BF2D" w:rsidR="000A456F" w:rsidRDefault="000A456F" w:rsidP="000A456F">
      <w:pPr>
        <w:rPr>
          <w:szCs w:val="22"/>
        </w:rPr>
      </w:pPr>
      <w:r>
        <w:rPr>
          <w:szCs w:val="22"/>
        </w:rPr>
        <w:t>From a PD perspective, the mechanism of action of ranibizumab is sufficiently described by the applicant and no concerns are raised given the absence of obvious PD biomarkers.</w:t>
      </w:r>
    </w:p>
    <w:p w14:paraId="47855E50" w14:textId="77777777" w:rsidR="00EC2D1B" w:rsidRDefault="00EC2D1B" w:rsidP="00EC2D1B">
      <w:pPr>
        <w:pStyle w:val="Heading3"/>
      </w:pPr>
      <w:bookmarkStart w:id="57" w:name="_Toc169183806"/>
      <w:r>
        <w:t>Efficacy</w:t>
      </w:r>
      <w:bookmarkEnd w:id="57"/>
      <w:r>
        <w:t xml:space="preserve"> </w:t>
      </w:r>
    </w:p>
    <w:p w14:paraId="627FF0B0" w14:textId="18E6BE2B" w:rsidR="00EC2D1B" w:rsidRDefault="00EC2D1B" w:rsidP="00E532B3">
      <w:r>
        <w:t xml:space="preserve">Test and reference product have the same qualitative and quantitative formulation and dose strength and use the same route of administration, dosage regimen and treatment duration based on the currently approved US Prescribing Information for </w:t>
      </w:r>
      <w:r w:rsidR="00033703">
        <w:t>LUCENTIS</w:t>
      </w:r>
      <w:r>
        <w:t xml:space="preserve">. </w:t>
      </w:r>
    </w:p>
    <w:p w14:paraId="614170AB" w14:textId="77777777" w:rsidR="00EC2D1B" w:rsidRDefault="00EC2D1B" w:rsidP="00E532B3">
      <w:r>
        <w:rPr>
          <w:b/>
          <w:bCs/>
          <w:i/>
          <w:iCs/>
        </w:rPr>
        <w:t xml:space="preserve">Study FYB201-C2015-01-P3 (COLUMBUS-AMD) </w:t>
      </w:r>
    </w:p>
    <w:p w14:paraId="791A6A22" w14:textId="2D152F5E" w:rsidR="0084424A" w:rsidRDefault="00EC2D1B" w:rsidP="00E532B3">
      <w:r>
        <w:t>This was a 12-month (48-week), Phase III, randomised, active-controlled, evaluation-masked, parallel group, multicentre study to demonstrate clinical equivalence in terms of clinical</w:t>
      </w:r>
      <w:r w:rsidRPr="00EC2D1B">
        <w:t xml:space="preserve"> </w:t>
      </w:r>
      <w:r>
        <w:t xml:space="preserve">pharmacology, </w:t>
      </w:r>
      <w:proofErr w:type="gramStart"/>
      <w:r>
        <w:t>efficacy</w:t>
      </w:r>
      <w:proofErr w:type="gramEnd"/>
      <w:r>
        <w:t xml:space="preserve"> and safety of </w:t>
      </w:r>
      <w:r w:rsidR="00143C32">
        <w:t>RANIVIZ</w:t>
      </w:r>
      <w:r>
        <w:t xml:space="preserve"> with US-</w:t>
      </w:r>
      <w:r w:rsidR="00033703">
        <w:t>LUCENTIS</w:t>
      </w:r>
      <w:r>
        <w:t xml:space="preserve"> in the treatment of patients with </w:t>
      </w:r>
      <w:r w:rsidR="000D59C6">
        <w:t>sub foveal</w:t>
      </w:r>
      <w:r>
        <w:t xml:space="preserve"> </w:t>
      </w:r>
      <w:proofErr w:type="spellStart"/>
      <w:r>
        <w:t>nAMD</w:t>
      </w:r>
      <w:proofErr w:type="spellEnd"/>
      <w:r>
        <w:t>.</w:t>
      </w:r>
    </w:p>
    <w:p w14:paraId="4544227D" w14:textId="4447EE3A" w:rsidR="00EC2D1B" w:rsidRDefault="001A2ED2" w:rsidP="001A2ED2">
      <w:pPr>
        <w:pStyle w:val="FigureTitle"/>
      </w:pPr>
      <w:r>
        <w:t>Figure 1</w:t>
      </w:r>
      <w:r w:rsidR="00EC2D1B">
        <w:rPr>
          <w:bCs/>
        </w:rPr>
        <w:t xml:space="preserve">: </w:t>
      </w:r>
      <w:r w:rsidR="00EC2D1B">
        <w:t>Schematic of study design</w:t>
      </w:r>
    </w:p>
    <w:p w14:paraId="3337DC92" w14:textId="72B4BD0B" w:rsidR="00EC2D1B" w:rsidRDefault="000C01D7" w:rsidP="00EC2D1B">
      <w:r w:rsidRPr="000C01D7">
        <w:rPr>
          <w:noProof/>
        </w:rPr>
        <w:drawing>
          <wp:inline distT="0" distB="0" distL="0" distR="0" wp14:anchorId="240C8EE2" wp14:editId="4E6B04C5">
            <wp:extent cx="5759450" cy="2713990"/>
            <wp:effectExtent l="0" t="0" r="0" b="0"/>
            <wp:docPr id="1" name="Picture 1" descr="Schematic of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 of study desig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713990"/>
                    </a:xfrm>
                    <a:prstGeom prst="rect">
                      <a:avLst/>
                    </a:prstGeom>
                    <a:noFill/>
                    <a:ln>
                      <a:noFill/>
                    </a:ln>
                  </pic:spPr>
                </pic:pic>
              </a:graphicData>
            </a:graphic>
          </wp:inline>
        </w:drawing>
      </w:r>
    </w:p>
    <w:p w14:paraId="5F3ABC5B" w14:textId="77777777" w:rsidR="00E35E49" w:rsidRPr="00033703" w:rsidRDefault="00E35E49" w:rsidP="00E532B3">
      <w:r w:rsidRPr="00033703">
        <w:lastRenderedPageBreak/>
        <w:t xml:space="preserve">All patients received monthly IVT injections for a period of approximately 12 months (48 weeks). Patients were studied for approximately 5 months (20 Weeks) and received 6 IVT injections up to the main analysis, and for 12 months (48 Weeks) receiving 12 IVT injections up to the final analysis. All patients had a final follow-up visit at Week 48 (Month 12). </w:t>
      </w:r>
    </w:p>
    <w:p w14:paraId="6B58E8E4" w14:textId="77777777" w:rsidR="00E35E49" w:rsidRPr="00033703" w:rsidRDefault="00E35E49" w:rsidP="00E532B3">
      <w:r w:rsidRPr="00033703">
        <w:t xml:space="preserve">Analysis of study data was performed after 24 Weeks (main analysis) and 48 Weeks (final analysis). No formal interim analysis was planned or performed for this study. </w:t>
      </w:r>
    </w:p>
    <w:p w14:paraId="4CEB5A01" w14:textId="20F3A4B7" w:rsidR="00E35E49" w:rsidRPr="00033703" w:rsidRDefault="00E35E49" w:rsidP="00E532B3">
      <w:r w:rsidRPr="00033703">
        <w:t xml:space="preserve">The primary objective was to evaluate and compare functional changes in </w:t>
      </w:r>
      <w:bookmarkStart w:id="58" w:name="_Hlk168324807"/>
      <w:r w:rsidRPr="00033703">
        <w:t xml:space="preserve">best corrected visual acuity (BCVA- by Early Treatment Diabetic Retinopathy Study (ETDRS)) </w:t>
      </w:r>
      <w:bookmarkEnd w:id="58"/>
      <w:r w:rsidRPr="00033703">
        <w:t xml:space="preserve">letters after 2 months (8 weeks) of treatment with </w:t>
      </w:r>
      <w:r w:rsidR="00143C32">
        <w:t>RANIVIZ</w:t>
      </w:r>
      <w:r w:rsidRPr="00033703">
        <w:t xml:space="preserve"> or </w:t>
      </w:r>
      <w:r w:rsidR="00033703">
        <w:t>LUCENTIS</w:t>
      </w:r>
      <w:r w:rsidRPr="00033703">
        <w:t xml:space="preserve">, compared to baseline BCVA. </w:t>
      </w:r>
    </w:p>
    <w:p w14:paraId="7BE8B6D8" w14:textId="4D67EAB8" w:rsidR="00E35E49" w:rsidRDefault="00E35E49" w:rsidP="00E532B3">
      <w:r>
        <w:t xml:space="preserve">Two analyses were to be conducted: </w:t>
      </w:r>
    </w:p>
    <w:p w14:paraId="29BB7E8C" w14:textId="77777777" w:rsidR="00E35E49" w:rsidRDefault="00E35E49" w:rsidP="00E532B3">
      <w:r>
        <w:t xml:space="preserve">A main analysis after all randomised patients </w:t>
      </w:r>
      <w:proofErr w:type="gramStart"/>
      <w:r>
        <w:t>have</w:t>
      </w:r>
      <w:proofErr w:type="gramEnd"/>
      <w:r>
        <w:t xml:space="preserve"> either completed the Week 24 assessments or have discontinued the study before 24 Weeks (database lock: 20-Apr-2018) </w:t>
      </w:r>
    </w:p>
    <w:p w14:paraId="18F280ED" w14:textId="77777777" w:rsidR="00E35E49" w:rsidRDefault="00E35E49" w:rsidP="00E532B3">
      <w:r>
        <w:t xml:space="preserve">A final analysis after all randomised patients </w:t>
      </w:r>
      <w:proofErr w:type="gramStart"/>
      <w:r>
        <w:t>have</w:t>
      </w:r>
      <w:proofErr w:type="gramEnd"/>
      <w:r>
        <w:t xml:space="preserve"> either completed the Week 48 assessments or have discontinued the study (database lock: 01-Oct-2018). </w:t>
      </w:r>
    </w:p>
    <w:p w14:paraId="52927A58" w14:textId="4E3C4E56" w:rsidR="001A2ED2" w:rsidRDefault="00E35E49" w:rsidP="00E532B3">
      <w:r>
        <w:t>Participant flow:</w:t>
      </w:r>
    </w:p>
    <w:p w14:paraId="3D93B33C" w14:textId="5BE0B0C8" w:rsidR="00E35E49" w:rsidRDefault="001A2ED2" w:rsidP="00E532B3">
      <w:pPr>
        <w:pStyle w:val="TableTitle"/>
      </w:pPr>
      <w:r>
        <w:rPr>
          <w:bCs/>
        </w:rPr>
        <w:t xml:space="preserve">Table </w:t>
      </w:r>
      <w:r w:rsidR="000D59C6">
        <w:rPr>
          <w:bCs/>
        </w:rPr>
        <w:t>2</w:t>
      </w:r>
      <w:r w:rsidR="00E35E49">
        <w:rPr>
          <w:bCs/>
        </w:rPr>
        <w:t xml:space="preserve">: </w:t>
      </w:r>
      <w:r w:rsidR="00E35E49">
        <w:t>Patients in each analysis set - All randomized patients</w:t>
      </w:r>
    </w:p>
    <w:p w14:paraId="6DF05590" w14:textId="7D496FC5" w:rsidR="001A2ED2" w:rsidRDefault="00431154" w:rsidP="00E532B3">
      <w:pPr>
        <w:rPr>
          <w:noProof/>
        </w:rPr>
      </w:pPr>
      <w:r w:rsidRPr="00431154">
        <w:rPr>
          <w:noProof/>
        </w:rPr>
        <w:drawing>
          <wp:inline distT="0" distB="0" distL="0" distR="0" wp14:anchorId="37559938" wp14:editId="3B5D1134">
            <wp:extent cx="5759450" cy="1526540"/>
            <wp:effectExtent l="0" t="0" r="0" b="0"/>
            <wp:docPr id="2" name="Picture 2" descr="Patients in each analysis set - All randomiz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tients in each analysis set - All randomized patie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526540"/>
                    </a:xfrm>
                    <a:prstGeom prst="rect">
                      <a:avLst/>
                    </a:prstGeom>
                    <a:noFill/>
                    <a:ln>
                      <a:noFill/>
                    </a:ln>
                  </pic:spPr>
                </pic:pic>
              </a:graphicData>
            </a:graphic>
          </wp:inline>
        </w:drawing>
      </w:r>
    </w:p>
    <w:p w14:paraId="015DD318" w14:textId="358F2E11" w:rsidR="00431154" w:rsidRDefault="00431154" w:rsidP="00E532B3">
      <w:pPr>
        <w:pStyle w:val="TableDescription"/>
      </w:pPr>
      <w:r>
        <w:t>N = total number of patients, n = number of patients in corresponding class, % = number of patients in corresponding class/ total number of patients x 100, SAF: Safety set, FAS_EU = Full analysis set for the EU; PPS_EU = Per protocol set for the EU Percentages are based on the number of patients randomized within each group, whereby the patients are tabulated according, to the planned treatment. Source: Table 28 CHMP assessment report day 210 page 111</w:t>
      </w:r>
    </w:p>
    <w:p w14:paraId="4E8B7711" w14:textId="2EDE78DC" w:rsidR="00431154" w:rsidRDefault="00950AB8" w:rsidP="00E532B3">
      <w:r>
        <w:t>Results for the primary efficacy outcome</w:t>
      </w:r>
    </w:p>
    <w:p w14:paraId="43218914" w14:textId="019CC4A9" w:rsidR="00950AB8" w:rsidRDefault="00950AB8" w:rsidP="00E532B3">
      <w:pPr>
        <w:rPr>
          <w:szCs w:val="22"/>
        </w:rPr>
      </w:pPr>
      <w:r>
        <w:rPr>
          <w:szCs w:val="22"/>
        </w:rPr>
        <w:t xml:space="preserve">The primary efficacy analysis for the change from BL in BCVA by ETDRS letters </w:t>
      </w:r>
      <w:proofErr w:type="spellStart"/>
      <w:r>
        <w:rPr>
          <w:szCs w:val="22"/>
        </w:rPr>
        <w:t>at</w:t>
      </w:r>
      <w:proofErr w:type="spellEnd"/>
      <w:r>
        <w:rPr>
          <w:szCs w:val="22"/>
        </w:rPr>
        <w:t xml:space="preserve"> Week 8 was based on the FAS_EU population. A mean change from baseline BCVA at Week 8 of 5.2 ETDRS letters (SD 7.75) was reached for </w:t>
      </w:r>
      <w:r w:rsidR="00143C32">
        <w:rPr>
          <w:szCs w:val="22"/>
        </w:rPr>
        <w:t>RANIVIZ</w:t>
      </w:r>
      <w:r>
        <w:rPr>
          <w:szCs w:val="22"/>
        </w:rPr>
        <w:t xml:space="preserve"> and of 6.0 ETDRS letters for </w:t>
      </w:r>
      <w:r w:rsidR="00033703">
        <w:rPr>
          <w:szCs w:val="22"/>
        </w:rPr>
        <w:t>LUCENTIS</w:t>
      </w:r>
      <w:r>
        <w:rPr>
          <w:szCs w:val="22"/>
        </w:rPr>
        <w:t xml:space="preserve"> (SD 8.42). </w:t>
      </w:r>
    </w:p>
    <w:p w14:paraId="4127BA37" w14:textId="2636E04A" w:rsidR="00950AB8" w:rsidRDefault="00950AB8" w:rsidP="00E532B3">
      <w:pPr>
        <w:pStyle w:val="TableTitle"/>
      </w:pPr>
      <w:r>
        <w:t>Table</w:t>
      </w:r>
      <w:r w:rsidR="000D59C6">
        <w:t xml:space="preserve"> 3</w:t>
      </w:r>
      <w:r>
        <w:t>: Absolute change from baseline in BCVA [ETDRS letters] at analysis visit V3/Week 8- FAS_EU</w:t>
      </w:r>
    </w:p>
    <w:p w14:paraId="0BAC4E07" w14:textId="4EEC20BA" w:rsidR="00950AB8" w:rsidRDefault="00F9157A" w:rsidP="00E532B3">
      <w:r w:rsidRPr="00F9157A">
        <w:rPr>
          <w:noProof/>
        </w:rPr>
        <w:drawing>
          <wp:inline distT="0" distB="0" distL="0" distR="0" wp14:anchorId="6E101E96" wp14:editId="18BB3178">
            <wp:extent cx="5759450" cy="1923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923415"/>
                    </a:xfrm>
                    <a:prstGeom prst="rect">
                      <a:avLst/>
                    </a:prstGeom>
                    <a:noFill/>
                    <a:ln>
                      <a:noFill/>
                    </a:ln>
                  </pic:spPr>
                </pic:pic>
              </a:graphicData>
            </a:graphic>
          </wp:inline>
        </w:drawing>
      </w:r>
    </w:p>
    <w:p w14:paraId="101C46D5" w14:textId="77777777" w:rsidR="00211062" w:rsidRDefault="00F9157A" w:rsidP="00E532B3">
      <w:pPr>
        <w:pStyle w:val="TableDescription"/>
      </w:pPr>
      <w:r w:rsidRPr="00F9157A">
        <w:lastRenderedPageBreak/>
        <w:t>BCVA = best-corrected visual acuity, ETDRS = Early Treatment Diabetic Retinopathy Study, FAS_EU = full analysis set for the EU, N = number of patients in corresponding class, N* = total number of patients still in the study for the respective analysis visit, n = number of patients with non</w:t>
      </w:r>
      <w:r w:rsidR="00240BB2">
        <w:t>-</w:t>
      </w:r>
    </w:p>
    <w:p w14:paraId="326C3828" w14:textId="312C6B47" w:rsidR="00F9157A" w:rsidRPr="00F9157A" w:rsidRDefault="00F9157A" w:rsidP="00E532B3">
      <w:pPr>
        <w:pStyle w:val="TableDescription"/>
      </w:pPr>
      <w:r w:rsidRPr="00F9157A">
        <w:t>missing assessment, Missing number of patients with missing assessment, Q1 = first quartile, Q3 = third quartile Source Table 11-6 CSR</w:t>
      </w:r>
    </w:p>
    <w:p w14:paraId="4FF7AFED" w14:textId="05E83707" w:rsidR="00F9157A" w:rsidRDefault="00F9157A" w:rsidP="00E532B3">
      <w:pPr>
        <w:pStyle w:val="TableTitle"/>
      </w:pPr>
      <w:r>
        <w:t xml:space="preserve">Table </w:t>
      </w:r>
      <w:r w:rsidR="000D59C6">
        <w:t>4</w:t>
      </w:r>
      <w:r>
        <w:t>: ANCOVA for change from baseline in BCVA [ETDRS letters] at analysis visit V3/Week 8 - FAS_EU</w:t>
      </w:r>
    </w:p>
    <w:p w14:paraId="0218DF8F" w14:textId="0CD357C9" w:rsidR="00F9157A" w:rsidRDefault="00F9157A" w:rsidP="00E532B3">
      <w:r w:rsidRPr="00F9157A">
        <w:rPr>
          <w:noProof/>
        </w:rPr>
        <w:drawing>
          <wp:inline distT="0" distB="0" distL="0" distR="0" wp14:anchorId="72AB0ACE" wp14:editId="0EABEADA">
            <wp:extent cx="5759450" cy="1387475"/>
            <wp:effectExtent l="0" t="0" r="0" b="3175"/>
            <wp:docPr id="4" name="Picture 4" descr="ANCOVA for change from baseline in BCVA [ETDRS letters] at analysis visit V3/Week 8 - FAS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COVA for change from baseline in BCVA [ETDRS letters] at analysis visit V3/Week 8 - FAS_E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387475"/>
                    </a:xfrm>
                    <a:prstGeom prst="rect">
                      <a:avLst/>
                    </a:prstGeom>
                    <a:noFill/>
                    <a:ln>
                      <a:noFill/>
                    </a:ln>
                  </pic:spPr>
                </pic:pic>
              </a:graphicData>
            </a:graphic>
          </wp:inline>
        </w:drawing>
      </w:r>
    </w:p>
    <w:p w14:paraId="3030169D" w14:textId="77777777" w:rsidR="00FC030A" w:rsidRDefault="00FC030A" w:rsidP="00E532B3">
      <w:pPr>
        <w:pStyle w:val="TableDescription"/>
      </w:pPr>
      <w:r>
        <w:t xml:space="preserve">1 Estimates are adjusted for pooled country and baseline BCVA [letters). </w:t>
      </w:r>
    </w:p>
    <w:p w14:paraId="3FE04EB1" w14:textId="09BF5D14" w:rsidR="00FC030A" w:rsidRDefault="00FC030A" w:rsidP="00E532B3">
      <w:pPr>
        <w:pStyle w:val="TableDescription"/>
        <w:rPr>
          <w:sz w:val="16"/>
          <w:szCs w:val="16"/>
        </w:rPr>
      </w:pPr>
      <w:r>
        <w:t xml:space="preserve">2 </w:t>
      </w:r>
      <w:r>
        <w:rPr>
          <w:sz w:val="16"/>
          <w:szCs w:val="16"/>
        </w:rPr>
        <w:t xml:space="preserve">If confidence interval for difference in LS means is completely contained in the </w:t>
      </w:r>
      <w:proofErr w:type="gramStart"/>
      <w:r>
        <w:rPr>
          <w:sz w:val="16"/>
          <w:szCs w:val="16"/>
        </w:rPr>
        <w:t>interval ]</w:t>
      </w:r>
      <w:proofErr w:type="gramEnd"/>
      <w:r>
        <w:rPr>
          <w:sz w:val="16"/>
          <w:szCs w:val="16"/>
        </w:rPr>
        <w:t xml:space="preserve">-3.5 letters, 3.5 letters[. FYB201 and </w:t>
      </w:r>
      <w:r w:rsidR="00033703">
        <w:rPr>
          <w:sz w:val="16"/>
          <w:szCs w:val="16"/>
        </w:rPr>
        <w:t>LUCENTIS</w:t>
      </w:r>
      <w:r>
        <w:rPr>
          <w:sz w:val="16"/>
          <w:szCs w:val="16"/>
        </w:rPr>
        <w:t xml:space="preserve"> are considered equivalent. </w:t>
      </w:r>
    </w:p>
    <w:p w14:paraId="1B37A4FC" w14:textId="23ABB853" w:rsidR="00FC030A" w:rsidRDefault="00FC030A" w:rsidP="00E532B3">
      <w:pPr>
        <w:pStyle w:val="TableDescription"/>
        <w:rPr>
          <w:sz w:val="16"/>
          <w:szCs w:val="16"/>
        </w:rPr>
      </w:pPr>
      <w:r>
        <w:rPr>
          <w:sz w:val="16"/>
          <w:szCs w:val="16"/>
        </w:rPr>
        <w:t xml:space="preserve">ANCOVA = Analysis of Covariance, BCVA = best-corrected visual acuity, ETDRS = Early Treatment Diabetic Retinopathy Study, FAS_EU = full analysis set for the EU, n = number of patients with non-missing assessment at analysis visit V3/Week 8, Missing = number of patients with missing assessment at analysis vis it V3/Week 8, </w:t>
      </w:r>
      <w:r w:rsidR="00C537E3" w:rsidRPr="00C537E3">
        <w:rPr>
          <w:sz w:val="16"/>
          <w:szCs w:val="16"/>
        </w:rPr>
        <w:t>SE = standard error</w:t>
      </w:r>
    </w:p>
    <w:p w14:paraId="42B4195B" w14:textId="77777777" w:rsidR="00FC030A" w:rsidRDefault="00FC030A" w:rsidP="00E532B3">
      <w:pPr>
        <w:pStyle w:val="TableDescription"/>
        <w:rPr>
          <w:sz w:val="16"/>
          <w:szCs w:val="16"/>
        </w:rPr>
      </w:pPr>
      <w:r>
        <w:rPr>
          <w:sz w:val="16"/>
          <w:szCs w:val="16"/>
        </w:rPr>
        <w:t xml:space="preserve">Two-sided 95% confidence interval based on normal approximation. </w:t>
      </w:r>
    </w:p>
    <w:p w14:paraId="5F3A4DC9" w14:textId="4856BD97" w:rsidR="00FC030A" w:rsidRDefault="00FC030A" w:rsidP="00E532B3">
      <w:pPr>
        <w:pStyle w:val="TableDescription"/>
        <w:rPr>
          <w:sz w:val="16"/>
          <w:szCs w:val="16"/>
        </w:rPr>
      </w:pPr>
      <w:r>
        <w:rPr>
          <w:sz w:val="16"/>
          <w:szCs w:val="16"/>
        </w:rPr>
        <w:t>Source: Table 11-7 CSR</w:t>
      </w:r>
    </w:p>
    <w:p w14:paraId="20E6CC7B" w14:textId="77777777" w:rsidR="00AB4920" w:rsidRDefault="00AB4920" w:rsidP="00E532B3">
      <w:proofErr w:type="spellStart"/>
      <w:r>
        <w:t>Biosimilarity</w:t>
      </w:r>
      <w:proofErr w:type="spellEnd"/>
      <w:r>
        <w:t xml:space="preserve"> was shown by the LS means difference between both treatments of -0.7 ETDRS letters with a 95% CI of [-2.3; 0.9] ETDRS letters, which was completely contained within the pre-defined equivalence margin of ± 3.5 letters. </w:t>
      </w:r>
    </w:p>
    <w:p w14:paraId="513F4C52" w14:textId="77777777" w:rsidR="00AB4920" w:rsidRDefault="00AB4920" w:rsidP="00E532B3">
      <w:r>
        <w:t xml:space="preserve">The sensitivity analysis using the PP population was supportive, as was an MMRM using data from all patients in the FAS_EU population. </w:t>
      </w:r>
    </w:p>
    <w:p w14:paraId="045FC421" w14:textId="60CB6A50" w:rsidR="00AB4920" w:rsidRDefault="00AB4920" w:rsidP="00E532B3">
      <w:r>
        <w:t xml:space="preserve">The </w:t>
      </w:r>
      <w:r w:rsidR="00033703">
        <w:t>sponsor</w:t>
      </w:r>
      <w:r>
        <w:t xml:space="preserve"> provided tipping point (TP) analysis where several scenarios were considered for shift parameter θ for missing observations estimated by MI method. The results all implied that the main conclusion is robust to all sensible deviations from MAR. </w:t>
      </w:r>
    </w:p>
    <w:p w14:paraId="68F3CD66" w14:textId="77777777" w:rsidR="00AB4920" w:rsidRDefault="00AB4920" w:rsidP="00E532B3">
      <w:r>
        <w:t xml:space="preserve">No subgroup analyses had been performed for the primary endpoint. Upon request, the Applicant provided additional subgroup analyses by pooled country, total lesion area, and loss in vision acuity at baseline. </w:t>
      </w:r>
    </w:p>
    <w:p w14:paraId="6C1BB0B9" w14:textId="091ADCD5" w:rsidR="00AB4920" w:rsidRDefault="00AB4920" w:rsidP="00E532B3">
      <w:pPr>
        <w:rPr>
          <w:sz w:val="14"/>
          <w:szCs w:val="14"/>
        </w:rPr>
      </w:pPr>
      <w:r>
        <w:t xml:space="preserve">Overall, </w:t>
      </w:r>
      <w:proofErr w:type="spellStart"/>
      <w:r>
        <w:t>biosimilarity</w:t>
      </w:r>
      <w:proofErr w:type="spellEnd"/>
      <w:r>
        <w:t xml:space="preserve"> was supported in almost all subgroups and no systematic problems were identified.</w:t>
      </w:r>
    </w:p>
    <w:p w14:paraId="3A9416EF" w14:textId="7B941337" w:rsidR="00FC030A" w:rsidRDefault="00AB4920" w:rsidP="00E532B3">
      <w:r>
        <w:t xml:space="preserve">Several functional and anatomical parameters were assessed as secondary efficacy endpoints, </w:t>
      </w:r>
      <w:proofErr w:type="gramStart"/>
      <w:r>
        <w:t>in order to</w:t>
      </w:r>
      <w:proofErr w:type="gramEnd"/>
      <w:r>
        <w:t xml:space="preserve"> support demonstration of similar efficacy between </w:t>
      </w:r>
      <w:r w:rsidR="00143C32">
        <w:t>RANIVIZ</w:t>
      </w:r>
      <w:r>
        <w:t xml:space="preserve"> and </w:t>
      </w:r>
      <w:r w:rsidR="00033703">
        <w:t>LUCENTIS</w:t>
      </w:r>
      <w:r>
        <w:t>.</w:t>
      </w:r>
    </w:p>
    <w:p w14:paraId="161A536C" w14:textId="77777777" w:rsidR="00B749CE" w:rsidRDefault="00B749CE" w:rsidP="00B749CE">
      <w:pPr>
        <w:pStyle w:val="Heading3"/>
      </w:pPr>
      <w:bookmarkStart w:id="59" w:name="_Toc169183807"/>
      <w:r>
        <w:t>Safety</w:t>
      </w:r>
      <w:bookmarkEnd w:id="59"/>
      <w:r>
        <w:t xml:space="preserve"> </w:t>
      </w:r>
    </w:p>
    <w:p w14:paraId="0AFF1F5E" w14:textId="77777777" w:rsidR="00B749CE" w:rsidRDefault="00B749CE" w:rsidP="00E532B3">
      <w:r>
        <w:t xml:space="preserve">Study FYB201-C2015-01-P3 (COLUMBUS-AMD) </w:t>
      </w:r>
    </w:p>
    <w:p w14:paraId="78631769" w14:textId="3056522B" w:rsidR="00B749CE" w:rsidRDefault="00B749CE" w:rsidP="00E532B3">
      <w:r>
        <w:t xml:space="preserve">Study duration was 12 months, with 12 monthly injections. A study duration of 12 months is considered a relevant </w:t>
      </w:r>
      <w:proofErr w:type="gramStart"/>
      <w:r>
        <w:t>time period</w:t>
      </w:r>
      <w:proofErr w:type="gramEnd"/>
      <w:r>
        <w:t xml:space="preserve"> to assess safety and immunogenicity in a </w:t>
      </w:r>
      <w:proofErr w:type="spellStart"/>
      <w:r>
        <w:t>biosimilarity</w:t>
      </w:r>
      <w:proofErr w:type="spellEnd"/>
      <w:r>
        <w:t xml:space="preserve"> exercise. Per treatment arm, 238 (</w:t>
      </w:r>
      <w:r w:rsidR="00143C32">
        <w:t>RANIVIZ</w:t>
      </w:r>
      <w:r>
        <w:t>) and 239 (US-</w:t>
      </w:r>
      <w:r w:rsidR="00033703">
        <w:t>LUCENTIS</w:t>
      </w:r>
      <w:r>
        <w:t xml:space="preserve">) patients were included, respectively. </w:t>
      </w:r>
    </w:p>
    <w:p w14:paraId="0C86152D" w14:textId="62EFA4F5" w:rsidR="00B749CE" w:rsidRDefault="00B749CE" w:rsidP="00E532B3">
      <w:r>
        <w:lastRenderedPageBreak/>
        <w:t xml:space="preserve">A total of 321 patients (67.3%) reported 1106 TEAEs at any time after the first dose of the study drug until the End of Study (EOS). The incidence and severity of the reported TEAEs were generally comparable between the </w:t>
      </w:r>
      <w:r w:rsidR="00143C32">
        <w:t>RANIVIZ</w:t>
      </w:r>
      <w:r>
        <w:t xml:space="preserve"> and US-</w:t>
      </w:r>
      <w:r w:rsidR="00033703">
        <w:t>LUCENTIS</w:t>
      </w:r>
      <w:r>
        <w:t xml:space="preserve"> treatment arms. </w:t>
      </w:r>
    </w:p>
    <w:p w14:paraId="0EE726E8" w14:textId="1CCBDF2A" w:rsidR="00B749CE" w:rsidRDefault="00B749CE" w:rsidP="00E532B3">
      <w:r>
        <w:t xml:space="preserve">The most commonly affected </w:t>
      </w:r>
      <w:r w:rsidR="005A5744">
        <w:t>preferred terms (</w:t>
      </w:r>
      <w:r>
        <w:t>PTs</w:t>
      </w:r>
      <w:r w:rsidR="005A5744">
        <w:t>)</w:t>
      </w:r>
      <w:r>
        <w:t xml:space="preserve"> in the SOC </w:t>
      </w:r>
      <w:r w:rsidR="005A5744">
        <w:t>e</w:t>
      </w:r>
      <w:r>
        <w:t xml:space="preserve">ye disorders were </w:t>
      </w:r>
      <w:r w:rsidR="005A5744">
        <w:t>n</w:t>
      </w:r>
      <w:r>
        <w:t>eovascular age-related macular degeneration (</w:t>
      </w:r>
      <w:r w:rsidR="00143C32">
        <w:t>RANIVIZ</w:t>
      </w:r>
      <w:r>
        <w:t>: n = 19 [8.0%];</w:t>
      </w:r>
      <w:r>
        <w:rPr>
          <w:sz w:val="14"/>
          <w:szCs w:val="14"/>
        </w:rPr>
        <w:t xml:space="preserve"> </w:t>
      </w:r>
      <w:r>
        <w:t>US-</w:t>
      </w:r>
      <w:r w:rsidR="00033703">
        <w:t>LUCENTIS</w:t>
      </w:r>
      <w:r>
        <w:t>: n = 22 [9.2%]),</w:t>
      </w:r>
      <w:r>
        <w:rPr>
          <w:sz w:val="14"/>
          <w:szCs w:val="14"/>
        </w:rPr>
        <w:t xml:space="preserve"> </w:t>
      </w:r>
      <w:r>
        <w:t>Conjunctival haemorrhage (</w:t>
      </w:r>
      <w:r w:rsidR="00143C32">
        <w:t>RANIVIZ</w:t>
      </w:r>
      <w:r>
        <w:t>: n = 14 [5.9%]; US-</w:t>
      </w:r>
      <w:r w:rsidR="00033703">
        <w:t>LUCENTIS</w:t>
      </w:r>
      <w:r>
        <w:t>: n = 19 [7.9%]), and Punctate keratitis (</w:t>
      </w:r>
      <w:r w:rsidR="00143C32">
        <w:t>RANIVIZ</w:t>
      </w:r>
      <w:r>
        <w:t>: n = 8 [3.4%]; US-</w:t>
      </w:r>
      <w:r w:rsidR="00033703">
        <w:t>LUCENTIS</w:t>
      </w:r>
      <w:r>
        <w:t xml:space="preserve">: n = 12 [5.0%]). </w:t>
      </w:r>
    </w:p>
    <w:p w14:paraId="54CC57AA" w14:textId="507313CB" w:rsidR="00B749CE" w:rsidRDefault="00B749CE" w:rsidP="00E532B3">
      <w:r>
        <w:t xml:space="preserve">Based on these analyses, no distinct differences between treatment arms can be detected </w:t>
      </w:r>
      <w:proofErr w:type="gramStart"/>
      <w:r>
        <w:t>with regard to</w:t>
      </w:r>
      <w:proofErr w:type="gramEnd"/>
      <w:r>
        <w:t xml:space="preserve"> incidences of ocular TEAEs, related ocular TEAEs, severe ocular TEAEs, related severe TEAEs, serious ocular TEAEs and related serious ocular TEAEs, neither in the study eye nor in the fellow eye. </w:t>
      </w:r>
    </w:p>
    <w:p w14:paraId="3E4BF63D" w14:textId="53C6FCD1" w:rsidR="00B749CE" w:rsidRDefault="00B749CE" w:rsidP="00E532B3">
      <w:r>
        <w:t xml:space="preserve">Most TEAEs were of mild or moderate intensity: few TEAEs were severe (19 TEAEs in 11 patients in the </w:t>
      </w:r>
      <w:r w:rsidR="00143C32">
        <w:t>RANIVIZ</w:t>
      </w:r>
      <w:r>
        <w:t xml:space="preserve"> arm and 32 TEAEs in 22 patients in the US-</w:t>
      </w:r>
      <w:r w:rsidR="00033703">
        <w:t>LUCENTIS</w:t>
      </w:r>
      <w:r>
        <w:t xml:space="preserve"> arm). Severe TEAEs were recorded in twice as many patients in the </w:t>
      </w:r>
      <w:r w:rsidR="00033703">
        <w:t>LUCENTIS</w:t>
      </w:r>
      <w:r>
        <w:t xml:space="preserve"> arm, but without clinically relevant differences or increased frequency in particular SOCs. </w:t>
      </w:r>
    </w:p>
    <w:p w14:paraId="03326811" w14:textId="77777777" w:rsidR="00B749CE" w:rsidRDefault="00B749CE" w:rsidP="00E532B3">
      <w:r>
        <w:t xml:space="preserve">No distinct differences between treatment arms can be detected </w:t>
      </w:r>
      <w:proofErr w:type="gramStart"/>
      <w:r>
        <w:t>with regard to</w:t>
      </w:r>
      <w:proofErr w:type="gramEnd"/>
      <w:r>
        <w:t xml:space="preserve"> incidences of ocular TEAEs, related ocular TEAEs, severe ocular TEAEs, related severe TEAEs, serious ocular TEAEs and related serious ocular TEAEs, neither in the study eye nor in the fellow eye. </w:t>
      </w:r>
    </w:p>
    <w:p w14:paraId="3FCF08DA" w14:textId="77777777" w:rsidR="00B749CE" w:rsidRDefault="00B749CE" w:rsidP="00E532B3">
      <w:r>
        <w:t xml:space="preserve">Frequency and type of “local” (study eye or both eyes) TEAEs were overall comparable between both treatment groups, and no clinically relevant differences were identified. </w:t>
      </w:r>
    </w:p>
    <w:p w14:paraId="04936147" w14:textId="3892D5AE" w:rsidR="00B749CE" w:rsidRDefault="00B749CE" w:rsidP="00E532B3">
      <w:r>
        <w:t xml:space="preserve">Ocular adverse events that were expected to occur (very) commonly (according to the </w:t>
      </w:r>
      <w:r w:rsidR="00033703">
        <w:t>LUCENTIS</w:t>
      </w:r>
      <w:r>
        <w:t xml:space="preserve"> SmPC) were overall comparable between treatment arms in the present study, although it is notable that some AEs occurred at </w:t>
      </w:r>
      <w:r w:rsidR="00033703">
        <w:t>lower-than-expected</w:t>
      </w:r>
      <w:r>
        <w:t xml:space="preserve"> rates (such as IOP increased, </w:t>
      </w:r>
      <w:r w:rsidR="00033703">
        <w:t>c</w:t>
      </w:r>
      <w:r>
        <w:t xml:space="preserve">onjunctival haemorrhage). </w:t>
      </w:r>
    </w:p>
    <w:p w14:paraId="25078F40" w14:textId="77777777" w:rsidR="00B749CE" w:rsidRDefault="00B749CE" w:rsidP="00E532B3">
      <w:r>
        <w:rPr>
          <w:b/>
          <w:bCs/>
        </w:rPr>
        <w:t xml:space="preserve">Treatment related adverse events (adverse drug reactions) </w:t>
      </w:r>
    </w:p>
    <w:p w14:paraId="2E0F5568" w14:textId="4161FEA9" w:rsidR="00B749CE" w:rsidRDefault="00B749CE" w:rsidP="00E532B3">
      <w:r>
        <w:t>A total of 45 patients experienced treatment related</w:t>
      </w:r>
      <w:r>
        <w:rPr>
          <w:sz w:val="14"/>
          <w:szCs w:val="14"/>
        </w:rPr>
        <w:t xml:space="preserve">5 </w:t>
      </w:r>
      <w:r>
        <w:t xml:space="preserve">TEAEs (FYB201: 20 patients; 8.4% and </w:t>
      </w:r>
      <w:r w:rsidR="00033703">
        <w:t>LUCENTIS</w:t>
      </w:r>
      <w:r>
        <w:t xml:space="preserve">: 25 patients; 10.5%). TEAEs related to study drug were most frequently recorded in SOC Eye disorders (28 patients; 5.9%) with PTs: Cataract (5 patients; 1.0%), Retinal pigment epithelial tear (4 patients; 0.8%), Visual acuity reduced (3 patients; 0.6%), and Punctate keratitis and Vitreous haemorrhage (2 patients each; 0.4%), other PTs were recorded in single patients. </w:t>
      </w:r>
    </w:p>
    <w:p w14:paraId="1D4C3161" w14:textId="77777777" w:rsidR="00B749CE" w:rsidRDefault="00B749CE" w:rsidP="00E532B3">
      <w:r>
        <w:rPr>
          <w:b/>
          <w:bCs/>
        </w:rPr>
        <w:t xml:space="preserve">AEs related to </w:t>
      </w:r>
      <w:bookmarkStart w:id="60" w:name="_Hlk168324980"/>
      <w:r>
        <w:rPr>
          <w:b/>
          <w:bCs/>
        </w:rPr>
        <w:t xml:space="preserve">intravitreal </w:t>
      </w:r>
      <w:bookmarkEnd w:id="60"/>
      <w:r>
        <w:rPr>
          <w:b/>
          <w:bCs/>
        </w:rPr>
        <w:t xml:space="preserve">(IVT) injection procedure </w:t>
      </w:r>
    </w:p>
    <w:p w14:paraId="6A215CB8" w14:textId="40CB8472" w:rsidR="00E079E4" w:rsidRDefault="00B749CE" w:rsidP="00E532B3">
      <w:r>
        <w:t xml:space="preserve">IVT procedure related TEAEs occurred in 21.4% of patients in the </w:t>
      </w:r>
      <w:r w:rsidR="00143C32">
        <w:t>RANIVIZ</w:t>
      </w:r>
      <w:r>
        <w:t xml:space="preserve"> group (n = 51) and in 27.6% of the patients in the </w:t>
      </w:r>
      <w:r w:rsidR="00033703">
        <w:t>LUCENTIS</w:t>
      </w:r>
      <w:r>
        <w:t xml:space="preserve"> group (n = 66). Frequent PTs for IVT procedure related TEAEs were reported in SOC Eye disorders for PTs Conjunctival haemorrhage (</w:t>
      </w:r>
      <w:r w:rsidR="00143C32">
        <w:t>RANIVIZ</w:t>
      </w:r>
      <w:r>
        <w:t>: n = 13 [5.5%]; US-</w:t>
      </w:r>
      <w:r w:rsidR="00033703">
        <w:t>LUCENTIS</w:t>
      </w:r>
      <w:r>
        <w:t>: n = 19 [7.9%]) and Punctate keratitis (</w:t>
      </w:r>
      <w:r w:rsidR="00143C32">
        <w:t>RANIVIZ</w:t>
      </w:r>
      <w:r>
        <w:t>: n = 6 [2.5%]; US-</w:t>
      </w:r>
      <w:r w:rsidR="00033703">
        <w:t>LUCENTIS</w:t>
      </w:r>
      <w:r>
        <w:t>: n = 11 [4.6%]) and in SOC Investigations for PT Intraocular pressure increased (</w:t>
      </w:r>
      <w:r w:rsidR="00143C32">
        <w:t>RANIVIZ</w:t>
      </w:r>
      <w:r>
        <w:t>: n = 8 [3.4%], US-</w:t>
      </w:r>
      <w:r w:rsidR="00033703">
        <w:t>LUCENTIS</w:t>
      </w:r>
      <w:r>
        <w:t>: n = 9 [3.8%]). Overall, TEAEs related to study drug as well as to the IVT injection procedure were observed at numerically higher frequencies in the US-</w:t>
      </w:r>
      <w:r w:rsidR="00033703">
        <w:t>LUCENTIS</w:t>
      </w:r>
      <w:r>
        <w:t xml:space="preserve"> group</w:t>
      </w:r>
      <w:r w:rsidR="00E079E4">
        <w:t xml:space="preserve"> than for </w:t>
      </w:r>
      <w:r w:rsidR="00143C32">
        <w:t>RANIVIZ</w:t>
      </w:r>
      <w:r w:rsidR="00E079E4">
        <w:t xml:space="preserve">. The same holds true for severe TEAE, which were recorded in twice as many patients in the </w:t>
      </w:r>
      <w:r w:rsidR="00033703">
        <w:t>LUCENTIS</w:t>
      </w:r>
      <w:r w:rsidR="00E079E4">
        <w:t xml:space="preserve"> arm. </w:t>
      </w:r>
    </w:p>
    <w:p w14:paraId="1CEEF54F" w14:textId="77777777" w:rsidR="00E079E4" w:rsidRDefault="00E079E4" w:rsidP="00E532B3">
      <w:r>
        <w:rPr>
          <w:b/>
          <w:bCs/>
        </w:rPr>
        <w:t xml:space="preserve">Serious adverse events </w:t>
      </w:r>
    </w:p>
    <w:p w14:paraId="164591D9" w14:textId="6B1E7EFB" w:rsidR="00E079E4" w:rsidRDefault="00E079E4" w:rsidP="00E532B3">
      <w:r>
        <w:t xml:space="preserve">30 SAEs were reported for 19 patients (8.0%) in the </w:t>
      </w:r>
      <w:r w:rsidR="00143C32">
        <w:t>RANIVIZ</w:t>
      </w:r>
      <w:r>
        <w:t xml:space="preserve"> arm, whereas 45 events were reported for 32 patients (13.4%) in the US-</w:t>
      </w:r>
      <w:r w:rsidR="00033703">
        <w:t>LUCENTIS</w:t>
      </w:r>
      <w:r>
        <w:t xml:space="preserve"> arm. </w:t>
      </w:r>
    </w:p>
    <w:p w14:paraId="05F8E383" w14:textId="3097FED9" w:rsidR="00E079E4" w:rsidRDefault="00E079E4" w:rsidP="00E532B3">
      <w:r>
        <w:t xml:space="preserve">Ocular (Study eye) SAEs6 </w:t>
      </w:r>
    </w:p>
    <w:p w14:paraId="383CDC7A" w14:textId="4D7EB5DF" w:rsidR="00E079E4" w:rsidRDefault="00E079E4" w:rsidP="00E532B3">
      <w:r>
        <w:lastRenderedPageBreak/>
        <w:t xml:space="preserve">2 patients in the </w:t>
      </w:r>
      <w:r w:rsidR="00143C32">
        <w:t>RANIVIZ</w:t>
      </w:r>
      <w:r>
        <w:t xml:space="preserve"> experienced </w:t>
      </w:r>
      <w:r w:rsidR="00517E89">
        <w:t>e</w:t>
      </w:r>
      <w:r>
        <w:t xml:space="preserve">ndophthalmitis and </w:t>
      </w:r>
      <w:r w:rsidR="00517E89">
        <w:t>i</w:t>
      </w:r>
      <w:r>
        <w:t>ridocyclitis, and 3 patients in the US-</w:t>
      </w:r>
      <w:r w:rsidR="00033703">
        <w:t>LUCENTIS</w:t>
      </w:r>
      <w:r>
        <w:t xml:space="preserve"> arm experienced </w:t>
      </w:r>
      <w:r w:rsidR="00517E89">
        <w:t>c</w:t>
      </w:r>
      <w:r>
        <w:t xml:space="preserve">ataract (1 patient) and </w:t>
      </w:r>
      <w:r w:rsidR="00517E89">
        <w:t>e</w:t>
      </w:r>
      <w:r>
        <w:t xml:space="preserve">ndophthalmitis (2 patients). </w:t>
      </w:r>
      <w:r w:rsidR="00517E89">
        <w:t>One</w:t>
      </w:r>
      <w:r>
        <w:t xml:space="preserve"> </w:t>
      </w:r>
      <w:r w:rsidR="00517E89">
        <w:t>e</w:t>
      </w:r>
      <w:r>
        <w:t xml:space="preserve">ndophthalmitis case was judged as related to study drug and to IVT procedure, the other 2 cases were judged as related to the IVT procedure only. The case of </w:t>
      </w:r>
      <w:r w:rsidR="00517E89">
        <w:t>c</w:t>
      </w:r>
      <w:r>
        <w:t>ataract was related to the IVT procedure</w:t>
      </w:r>
      <w:r w:rsidR="00517E89">
        <w:t xml:space="preserve"> </w:t>
      </w:r>
      <w:r>
        <w:t xml:space="preserve">and the </w:t>
      </w:r>
      <w:r w:rsidR="00517E89">
        <w:t>i</w:t>
      </w:r>
      <w:r>
        <w:t xml:space="preserve">ridocyclitis case was related to both study drug and IVT procedure. Only for 1 patient in the </w:t>
      </w:r>
      <w:r w:rsidR="00033703">
        <w:t>LUCENTIS</w:t>
      </w:r>
      <w:r>
        <w:t xml:space="preserve"> arm</w:t>
      </w:r>
      <w:r w:rsidR="00517E89">
        <w:t xml:space="preserve"> did</w:t>
      </w:r>
      <w:r>
        <w:t xml:space="preserve"> the </w:t>
      </w:r>
      <w:r w:rsidR="00517E89">
        <w:t>e</w:t>
      </w:r>
      <w:r>
        <w:t>ndophthalmitis le</w:t>
      </w:r>
      <w:r w:rsidR="00517E89">
        <w:t>a</w:t>
      </w:r>
      <w:r>
        <w:t>d to interruption of study drug</w:t>
      </w:r>
      <w:r w:rsidR="00517E89">
        <w:t xml:space="preserve"> administration</w:t>
      </w:r>
      <w:r>
        <w:t xml:space="preserve">. All patients recovered from the local SAEs. </w:t>
      </w:r>
    </w:p>
    <w:p w14:paraId="11E2FD87" w14:textId="12B4F73A" w:rsidR="00E079E4" w:rsidRDefault="00E079E4" w:rsidP="00E532B3">
      <w:r>
        <w:t xml:space="preserve">Systemic SAEs </w:t>
      </w:r>
    </w:p>
    <w:p w14:paraId="4C24E947" w14:textId="6689758C" w:rsidR="00E079E4" w:rsidRDefault="00E079E4" w:rsidP="00E532B3">
      <w:r>
        <w:t xml:space="preserve">The frequency of systemic SAEs was somewhat higher in the </w:t>
      </w:r>
      <w:r w:rsidR="00033703">
        <w:t>LUCENTIS</w:t>
      </w:r>
      <w:r>
        <w:t xml:space="preserve"> group with 29 patients (12.1%) compared to 17 patients (7.1%) in the </w:t>
      </w:r>
      <w:r w:rsidR="00143C32">
        <w:t>RANIVIZ</w:t>
      </w:r>
      <w:r>
        <w:t xml:space="preserve"> group. Overall, 6 of the serious TEAEs reported in 6 patients were judged as related to study medication. Among these were 4 systemic related SAEs, two in the </w:t>
      </w:r>
      <w:r w:rsidR="00143C32">
        <w:t>RANIVIZ</w:t>
      </w:r>
      <w:r>
        <w:t xml:space="preserve"> group (</w:t>
      </w:r>
      <w:r w:rsidR="00517E89">
        <w:t>m</w:t>
      </w:r>
      <w:r>
        <w:t xml:space="preserve">yocardial infarction and </w:t>
      </w:r>
      <w:r w:rsidR="00517E89">
        <w:t>t</w:t>
      </w:r>
      <w:r>
        <w:t xml:space="preserve">ransient ischaemic shock) and two in the </w:t>
      </w:r>
      <w:r w:rsidR="00033703">
        <w:t>LUCENTIS</w:t>
      </w:r>
      <w:r>
        <w:t xml:space="preserve"> group (</w:t>
      </w:r>
      <w:r w:rsidR="00517E89">
        <w:t>c</w:t>
      </w:r>
      <w:r>
        <w:t xml:space="preserve">erebrovascular accident and </w:t>
      </w:r>
      <w:r w:rsidR="00517E89">
        <w:t>c</w:t>
      </w:r>
      <w:r>
        <w:t xml:space="preserve">irculatory collapse). </w:t>
      </w:r>
    </w:p>
    <w:p w14:paraId="3F161C57" w14:textId="30CE7F71" w:rsidR="00E079E4" w:rsidRPr="00E532B3" w:rsidRDefault="00E079E4" w:rsidP="00E532B3">
      <w:r w:rsidRPr="00E532B3">
        <w:t xml:space="preserve">Deaths </w:t>
      </w:r>
    </w:p>
    <w:p w14:paraId="7A9EEBD8" w14:textId="092B8C07" w:rsidR="00B749CE" w:rsidRPr="00B067D8" w:rsidRDefault="00E079E4" w:rsidP="00E532B3">
      <w:r w:rsidRPr="00B067D8">
        <w:t xml:space="preserve">Three patients died during the study; 2 patients in the </w:t>
      </w:r>
      <w:r w:rsidR="00143C32" w:rsidRPr="00B067D8">
        <w:t>RANIVIZ</w:t>
      </w:r>
      <w:r w:rsidRPr="00B067D8">
        <w:t xml:space="preserve"> group (PTs: </w:t>
      </w:r>
      <w:r w:rsidR="00517E89" w:rsidRPr="00B067D8">
        <w:t>c</w:t>
      </w:r>
      <w:r w:rsidRPr="00B067D8">
        <w:t xml:space="preserve">hronic obstructive pulmonary disease and </w:t>
      </w:r>
      <w:r w:rsidR="00517E89" w:rsidRPr="00B067D8">
        <w:t>c</w:t>
      </w:r>
      <w:r w:rsidRPr="00B067D8">
        <w:t xml:space="preserve">ardiopulmonary failure) and 1 patient (PT: </w:t>
      </w:r>
      <w:r w:rsidR="00517E89" w:rsidRPr="00B067D8">
        <w:t>r</w:t>
      </w:r>
      <w:r w:rsidRPr="00B067D8">
        <w:t xml:space="preserve">espiratory failure) in the </w:t>
      </w:r>
      <w:r w:rsidR="00033703" w:rsidRPr="00B067D8">
        <w:t>LUCENTIS</w:t>
      </w:r>
      <w:r w:rsidRPr="00B067D8">
        <w:t xml:space="preserve"> group. All were unlikely related to study drug or to the IVT procedure.</w:t>
      </w:r>
    </w:p>
    <w:p w14:paraId="2858B006" w14:textId="77777777" w:rsidR="00C22214" w:rsidRDefault="00C22214" w:rsidP="00C22214">
      <w:pPr>
        <w:pStyle w:val="Heading3"/>
        <w:rPr>
          <w:lang w:eastAsia="en-AU"/>
        </w:rPr>
      </w:pPr>
      <w:bookmarkStart w:id="61" w:name="_Toc314842514"/>
      <w:bookmarkStart w:id="62" w:name="_Toc103679298"/>
      <w:bookmarkStart w:id="63" w:name="_Toc169183808"/>
      <w:r>
        <w:rPr>
          <w:lang w:eastAsia="en-AU"/>
        </w:rPr>
        <w:t>Risk management plan</w:t>
      </w:r>
      <w:bookmarkEnd w:id="61"/>
      <w:bookmarkEnd w:id="62"/>
      <w:bookmarkEnd w:id="63"/>
    </w:p>
    <w:p w14:paraId="39F3CD1D" w14:textId="53C0F87B" w:rsidR="0072003B" w:rsidRDefault="00C22214" w:rsidP="00E532B3">
      <w:bookmarkStart w:id="64" w:name="_Toc247691531"/>
      <w:bookmarkStart w:id="65" w:name="_Toc314842515"/>
      <w:r w:rsidRPr="00BD5DBD">
        <w:t xml:space="preserve">The summary of safety concerns and their associated risk monitoring and mitigation strategies are </w:t>
      </w:r>
      <w:r w:rsidR="007A3E09">
        <w:t>presented</w:t>
      </w:r>
      <w:r w:rsidRPr="00BD5DBD">
        <w:t xml:space="preserve"> in</w:t>
      </w:r>
      <w:r w:rsidR="00517E89">
        <w:t xml:space="preserve"> Table 5</w:t>
      </w:r>
      <w:r w:rsidR="008C49C6" w:rsidRPr="003B149C">
        <w:t>.</w:t>
      </w:r>
      <w:r w:rsidR="0072003B" w:rsidRPr="00BD5DBD">
        <w:t xml:space="preserve"> The TGA</w:t>
      </w:r>
      <w:r w:rsidR="00C07551" w:rsidRPr="00BD5DBD">
        <w:t xml:space="preserve"> may</w:t>
      </w:r>
      <w:r w:rsidR="0072003B" w:rsidRPr="00BD5DBD">
        <w:t xml:space="preserve"> request an updated RMP at any stage of a product's </w:t>
      </w:r>
      <w:proofErr w:type="gramStart"/>
      <w:r w:rsidR="0072003B" w:rsidRPr="00BD5DBD">
        <w:t>life-cycle</w:t>
      </w:r>
      <w:proofErr w:type="gramEnd"/>
      <w:r w:rsidR="0072003B" w:rsidRPr="00BD5DBD">
        <w:t>, during both the pre-approval and post-approval phases.</w:t>
      </w:r>
    </w:p>
    <w:p w14:paraId="2F3A29A5" w14:textId="77777777" w:rsidR="00376CD3" w:rsidRDefault="00376CD3" w:rsidP="00E532B3">
      <w:r>
        <w:t xml:space="preserve">Actor Pharmaceuticals Pty Ltd has submitted EU-RMP version 1.0 (date 8 June 2022; DLP 14 June 2021) and ASA version 0.1 (date 9 November 2022) in support of this application. At round 2, the sponsor has provided ASA version 0.2 (date 12 May 2023) in association with previously submitted EU-RMP version 1.0 (date 8 June 2022; DLP 14 June 2021). </w:t>
      </w:r>
    </w:p>
    <w:p w14:paraId="3014DD79" w14:textId="655C5C02" w:rsidR="00376CD3" w:rsidRPr="00BD5DBD" w:rsidRDefault="00376CD3" w:rsidP="00E532B3">
      <w:r>
        <w:t>The proposed summary of safety concerns and their associated risk monitoring and mitigation strategies are summarised below:</w:t>
      </w:r>
    </w:p>
    <w:p w14:paraId="0E7D3ADC" w14:textId="5B6CCA7D" w:rsidR="00127A74" w:rsidRDefault="00C22214" w:rsidP="00376CD3">
      <w:pPr>
        <w:pStyle w:val="TableTitle"/>
      </w:pPr>
      <w:bookmarkStart w:id="66" w:name="_Ref97629131"/>
      <w:r>
        <w:t xml:space="preserve">Table </w:t>
      </w:r>
      <w:bookmarkEnd w:id="66"/>
      <w:r w:rsidR="00517E89">
        <w:t>5</w:t>
      </w:r>
      <w:r>
        <w:t>: Summary of safety concerns</w:t>
      </w:r>
    </w:p>
    <w:tbl>
      <w:tblPr>
        <w:tblStyle w:val="TableTGAblue2023"/>
        <w:tblW w:w="9067" w:type="dxa"/>
        <w:tblLayout w:type="fixed"/>
        <w:tblLook w:val="04A0" w:firstRow="1" w:lastRow="0" w:firstColumn="1" w:lastColumn="0" w:noHBand="0" w:noVBand="1"/>
      </w:tblPr>
      <w:tblGrid>
        <w:gridCol w:w="1555"/>
        <w:gridCol w:w="2409"/>
        <w:gridCol w:w="1134"/>
        <w:gridCol w:w="1418"/>
        <w:gridCol w:w="1134"/>
        <w:gridCol w:w="1417"/>
      </w:tblGrid>
      <w:tr w:rsidR="00127A74" w:rsidRPr="007A1992" w14:paraId="359A0C59" w14:textId="77777777" w:rsidTr="00E91F11">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tcPr>
          <w:p w14:paraId="24B1F090" w14:textId="77777777" w:rsidR="00127A74" w:rsidRPr="00127A74" w:rsidRDefault="00127A74" w:rsidP="00127A74">
            <w:r w:rsidRPr="00127A74">
              <w:t>Summary of safety concerns</w:t>
            </w:r>
          </w:p>
        </w:tc>
        <w:tc>
          <w:tcPr>
            <w:tcW w:w="2552" w:type="dxa"/>
            <w:gridSpan w:val="2"/>
          </w:tcPr>
          <w:p w14:paraId="596694C9" w14:textId="77777777" w:rsidR="00127A74" w:rsidRPr="00127A74" w:rsidRDefault="00127A74" w:rsidP="00127A74">
            <w:pPr>
              <w:cnfStyle w:val="100000000000" w:firstRow="1" w:lastRow="0" w:firstColumn="0" w:lastColumn="0" w:oddVBand="0" w:evenVBand="0" w:oddHBand="0" w:evenHBand="0" w:firstRowFirstColumn="0" w:firstRowLastColumn="0" w:lastRowFirstColumn="0" w:lastRowLastColumn="0"/>
            </w:pPr>
            <w:r w:rsidRPr="00127A74">
              <w:t>Pharmacovigilance</w:t>
            </w:r>
          </w:p>
        </w:tc>
        <w:tc>
          <w:tcPr>
            <w:tcW w:w="2551" w:type="dxa"/>
            <w:gridSpan w:val="2"/>
          </w:tcPr>
          <w:p w14:paraId="4F66CB82" w14:textId="77777777" w:rsidR="00127A74" w:rsidRPr="00127A74" w:rsidRDefault="00127A74" w:rsidP="00127A74">
            <w:pPr>
              <w:cnfStyle w:val="100000000000" w:firstRow="1" w:lastRow="0" w:firstColumn="0" w:lastColumn="0" w:oddVBand="0" w:evenVBand="0" w:oddHBand="0" w:evenHBand="0" w:firstRowFirstColumn="0" w:firstRowLastColumn="0" w:lastRowFirstColumn="0" w:lastRowLastColumn="0"/>
            </w:pPr>
            <w:r w:rsidRPr="00127A74">
              <w:t>Risk minimisation</w:t>
            </w:r>
          </w:p>
        </w:tc>
      </w:tr>
      <w:tr w:rsidR="00127A74" w:rsidRPr="007A1992" w14:paraId="12411E68" w14:textId="77777777" w:rsidTr="00E91F11">
        <w:trPr>
          <w:trHeight w:val="150"/>
        </w:trPr>
        <w:tc>
          <w:tcPr>
            <w:cnfStyle w:val="001000000000" w:firstRow="0" w:lastRow="0" w:firstColumn="1" w:lastColumn="0" w:oddVBand="0" w:evenVBand="0" w:oddHBand="0" w:evenHBand="0" w:firstRowFirstColumn="0" w:firstRowLastColumn="0" w:lastRowFirstColumn="0" w:lastRowLastColumn="0"/>
            <w:tcW w:w="3964" w:type="dxa"/>
            <w:gridSpan w:val="2"/>
            <w:vMerge/>
          </w:tcPr>
          <w:p w14:paraId="71D88F2A" w14:textId="77777777" w:rsidR="00127A74" w:rsidRPr="00127A74" w:rsidRDefault="00127A74" w:rsidP="00127A74"/>
        </w:tc>
        <w:tc>
          <w:tcPr>
            <w:tcW w:w="1134" w:type="dxa"/>
            <w:shd w:val="clear" w:color="auto" w:fill="DEEAF6"/>
          </w:tcPr>
          <w:p w14:paraId="1BF9407C" w14:textId="77777777" w:rsidR="00127A74" w:rsidRPr="00127A74" w:rsidRDefault="00127A74" w:rsidP="00127A74">
            <w:pPr>
              <w:keepNext/>
              <w:cnfStyle w:val="000000000000" w:firstRow="0" w:lastRow="0" w:firstColumn="0" w:lastColumn="0" w:oddVBand="0" w:evenVBand="0" w:oddHBand="0" w:evenHBand="0" w:firstRowFirstColumn="0" w:firstRowLastColumn="0" w:lastRowFirstColumn="0" w:lastRowLastColumn="0"/>
              <w:rPr>
                <w:b/>
                <w:color w:val="263287"/>
              </w:rPr>
            </w:pPr>
            <w:r w:rsidRPr="00127A74">
              <w:rPr>
                <w:b/>
                <w:color w:val="263287"/>
              </w:rPr>
              <w:t>Routine</w:t>
            </w:r>
          </w:p>
        </w:tc>
        <w:tc>
          <w:tcPr>
            <w:tcW w:w="1418" w:type="dxa"/>
            <w:shd w:val="clear" w:color="auto" w:fill="DEEAF6"/>
          </w:tcPr>
          <w:p w14:paraId="442BA332" w14:textId="77777777" w:rsidR="00127A74" w:rsidRPr="00127A74" w:rsidRDefault="00127A74" w:rsidP="00127A74">
            <w:pPr>
              <w:keepNext/>
              <w:cnfStyle w:val="000000000000" w:firstRow="0" w:lastRow="0" w:firstColumn="0" w:lastColumn="0" w:oddVBand="0" w:evenVBand="0" w:oddHBand="0" w:evenHBand="0" w:firstRowFirstColumn="0" w:firstRowLastColumn="0" w:lastRowFirstColumn="0" w:lastRowLastColumn="0"/>
              <w:rPr>
                <w:b/>
                <w:color w:val="263287"/>
              </w:rPr>
            </w:pPr>
            <w:r w:rsidRPr="00127A74">
              <w:rPr>
                <w:b/>
                <w:color w:val="263287"/>
              </w:rPr>
              <w:t>Additional</w:t>
            </w:r>
          </w:p>
        </w:tc>
        <w:tc>
          <w:tcPr>
            <w:tcW w:w="1134" w:type="dxa"/>
            <w:shd w:val="clear" w:color="auto" w:fill="DEEAF6"/>
          </w:tcPr>
          <w:p w14:paraId="5920A04F" w14:textId="77777777" w:rsidR="00127A74" w:rsidRPr="00127A74" w:rsidRDefault="00127A74" w:rsidP="00127A74">
            <w:pPr>
              <w:keepNext/>
              <w:cnfStyle w:val="000000000000" w:firstRow="0" w:lastRow="0" w:firstColumn="0" w:lastColumn="0" w:oddVBand="0" w:evenVBand="0" w:oddHBand="0" w:evenHBand="0" w:firstRowFirstColumn="0" w:firstRowLastColumn="0" w:lastRowFirstColumn="0" w:lastRowLastColumn="0"/>
              <w:rPr>
                <w:b/>
                <w:color w:val="263287"/>
              </w:rPr>
            </w:pPr>
            <w:r w:rsidRPr="00127A74">
              <w:rPr>
                <w:b/>
                <w:color w:val="263287"/>
              </w:rPr>
              <w:t>Routine</w:t>
            </w:r>
          </w:p>
        </w:tc>
        <w:tc>
          <w:tcPr>
            <w:tcW w:w="1417" w:type="dxa"/>
            <w:shd w:val="clear" w:color="auto" w:fill="DEEAF6"/>
          </w:tcPr>
          <w:p w14:paraId="53B2ED29" w14:textId="77777777" w:rsidR="00127A74" w:rsidRPr="00127A74" w:rsidRDefault="00127A74" w:rsidP="00127A74">
            <w:pPr>
              <w:keepNext/>
              <w:cnfStyle w:val="000000000000" w:firstRow="0" w:lastRow="0" w:firstColumn="0" w:lastColumn="0" w:oddVBand="0" w:evenVBand="0" w:oddHBand="0" w:evenHBand="0" w:firstRowFirstColumn="0" w:firstRowLastColumn="0" w:lastRowFirstColumn="0" w:lastRowLastColumn="0"/>
              <w:rPr>
                <w:b/>
                <w:color w:val="263287"/>
              </w:rPr>
            </w:pPr>
            <w:r w:rsidRPr="00127A74">
              <w:rPr>
                <w:b/>
                <w:color w:val="263287"/>
              </w:rPr>
              <w:t>Additional</w:t>
            </w:r>
          </w:p>
        </w:tc>
      </w:tr>
      <w:tr w:rsidR="00BA458D" w:rsidRPr="007A1992" w14:paraId="05599231" w14:textId="77777777" w:rsidTr="00733FA4">
        <w:trPr>
          <w:trHeight w:val="137"/>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7382D75" w14:textId="77777777" w:rsidR="00BA458D" w:rsidRPr="00127A74" w:rsidRDefault="00BA458D" w:rsidP="00127A74">
            <w:pPr>
              <w:rPr>
                <w:b/>
                <w:bCs/>
              </w:rPr>
            </w:pPr>
            <w:r w:rsidRPr="00127A74">
              <w:rPr>
                <w:b/>
                <w:bCs/>
              </w:rPr>
              <w:t>Important identified risks</w:t>
            </w:r>
          </w:p>
        </w:tc>
        <w:tc>
          <w:tcPr>
            <w:tcW w:w="2409" w:type="dxa"/>
          </w:tcPr>
          <w:p w14:paraId="7134CBC0" w14:textId="27E15815"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t>Infectious endophthalmitis</w:t>
            </w:r>
          </w:p>
        </w:tc>
        <w:tc>
          <w:tcPr>
            <w:tcW w:w="1134" w:type="dxa"/>
          </w:tcPr>
          <w:p w14:paraId="11797452" w14:textId="031C6CDB"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8" w:type="dxa"/>
          </w:tcPr>
          <w:p w14:paraId="7B703318" w14:textId="2E5D82DD"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1A652099" w14:textId="4A5DF3D0"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7" w:type="dxa"/>
          </w:tcPr>
          <w:p w14:paraId="34A0513E" w14:textId="46806E6C"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r>
      <w:tr w:rsidR="00BA458D" w:rsidRPr="007A1992" w14:paraId="3B513B31" w14:textId="77777777" w:rsidTr="00733FA4">
        <w:trPr>
          <w:trHeight w:val="94"/>
        </w:trPr>
        <w:tc>
          <w:tcPr>
            <w:cnfStyle w:val="001000000000" w:firstRow="0" w:lastRow="0" w:firstColumn="1" w:lastColumn="0" w:oddVBand="0" w:evenVBand="0" w:oddHBand="0" w:evenHBand="0" w:firstRowFirstColumn="0" w:firstRowLastColumn="0" w:lastRowFirstColumn="0" w:lastRowLastColumn="0"/>
            <w:tcW w:w="1555" w:type="dxa"/>
            <w:vMerge/>
          </w:tcPr>
          <w:p w14:paraId="584A0D09" w14:textId="77777777" w:rsidR="00BA458D" w:rsidRPr="00127A74" w:rsidRDefault="00BA458D" w:rsidP="00127A74">
            <w:pPr>
              <w:rPr>
                <w:b/>
                <w:bCs/>
              </w:rPr>
            </w:pPr>
          </w:p>
        </w:tc>
        <w:tc>
          <w:tcPr>
            <w:tcW w:w="2409" w:type="dxa"/>
          </w:tcPr>
          <w:p w14:paraId="2BE2E4B1" w14:textId="22260C66"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t>Intraocular inflammation</w:t>
            </w:r>
          </w:p>
        </w:tc>
        <w:tc>
          <w:tcPr>
            <w:tcW w:w="1134" w:type="dxa"/>
          </w:tcPr>
          <w:p w14:paraId="3A6C2CA6" w14:textId="088CDECD"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8" w:type="dxa"/>
          </w:tcPr>
          <w:p w14:paraId="62F9A7AE" w14:textId="54721A85"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1EA2B413" w14:textId="115F5CF7"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7" w:type="dxa"/>
          </w:tcPr>
          <w:p w14:paraId="62E30C06" w14:textId="48190C56"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r>
      <w:tr w:rsidR="00BA458D" w:rsidRPr="007A1992" w14:paraId="083BC492" w14:textId="77777777" w:rsidTr="00733FA4">
        <w:trPr>
          <w:trHeight w:val="187"/>
        </w:trPr>
        <w:tc>
          <w:tcPr>
            <w:cnfStyle w:val="001000000000" w:firstRow="0" w:lastRow="0" w:firstColumn="1" w:lastColumn="0" w:oddVBand="0" w:evenVBand="0" w:oddHBand="0" w:evenHBand="0" w:firstRowFirstColumn="0" w:firstRowLastColumn="0" w:lastRowFirstColumn="0" w:lastRowLastColumn="0"/>
            <w:tcW w:w="1555" w:type="dxa"/>
            <w:vMerge/>
          </w:tcPr>
          <w:p w14:paraId="365887B1" w14:textId="77777777" w:rsidR="00BA458D" w:rsidRPr="00127A74" w:rsidRDefault="00BA458D" w:rsidP="00127A74">
            <w:pPr>
              <w:rPr>
                <w:b/>
                <w:bCs/>
              </w:rPr>
            </w:pPr>
          </w:p>
        </w:tc>
        <w:tc>
          <w:tcPr>
            <w:tcW w:w="2409" w:type="dxa"/>
          </w:tcPr>
          <w:p w14:paraId="7D5A5050" w14:textId="3974DA9D"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t>Retinal detachment and retinal tear</w:t>
            </w:r>
          </w:p>
        </w:tc>
        <w:tc>
          <w:tcPr>
            <w:tcW w:w="1134" w:type="dxa"/>
          </w:tcPr>
          <w:p w14:paraId="0CC8040D" w14:textId="1F4C13AD" w:rsidR="00BA458D" w:rsidRPr="00127A74" w:rsidRDefault="00BA458D"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8" w:type="dxa"/>
          </w:tcPr>
          <w:p w14:paraId="70502B48" w14:textId="38705009"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4E994AB6" w14:textId="127E2083"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7" w:type="dxa"/>
          </w:tcPr>
          <w:p w14:paraId="69D41523" w14:textId="03FB16B0"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r>
      <w:tr w:rsidR="00BA458D" w:rsidRPr="007A1992" w14:paraId="333CF66A" w14:textId="77777777" w:rsidTr="00733FA4">
        <w:trPr>
          <w:trHeight w:val="187"/>
        </w:trPr>
        <w:tc>
          <w:tcPr>
            <w:cnfStyle w:val="001000000000" w:firstRow="0" w:lastRow="0" w:firstColumn="1" w:lastColumn="0" w:oddVBand="0" w:evenVBand="0" w:oddHBand="0" w:evenHBand="0" w:firstRowFirstColumn="0" w:firstRowLastColumn="0" w:lastRowFirstColumn="0" w:lastRowLastColumn="0"/>
            <w:tcW w:w="1555" w:type="dxa"/>
            <w:vMerge/>
          </w:tcPr>
          <w:p w14:paraId="07A02C93" w14:textId="77777777" w:rsidR="00BA458D" w:rsidRPr="00127A74" w:rsidRDefault="00BA458D" w:rsidP="00127A74">
            <w:pPr>
              <w:rPr>
                <w:b/>
                <w:bCs/>
              </w:rPr>
            </w:pPr>
          </w:p>
        </w:tc>
        <w:tc>
          <w:tcPr>
            <w:tcW w:w="2409" w:type="dxa"/>
          </w:tcPr>
          <w:p w14:paraId="26DABB9A" w14:textId="4AEDE15D" w:rsidR="00BA458D" w:rsidRDefault="00BA458D" w:rsidP="00127A74">
            <w:pPr>
              <w:cnfStyle w:val="000000000000" w:firstRow="0" w:lastRow="0" w:firstColumn="0" w:lastColumn="0" w:oddVBand="0" w:evenVBand="0" w:oddHBand="0" w:evenHBand="0" w:firstRowFirstColumn="0" w:firstRowLastColumn="0" w:lastRowFirstColumn="0" w:lastRowLastColumn="0"/>
            </w:pPr>
            <w:r>
              <w:t xml:space="preserve">Intraocular pressure </w:t>
            </w:r>
          </w:p>
        </w:tc>
        <w:tc>
          <w:tcPr>
            <w:tcW w:w="1134" w:type="dxa"/>
          </w:tcPr>
          <w:p w14:paraId="305BBF44" w14:textId="2EF3645C" w:rsidR="00BA458D"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8" w:type="dxa"/>
          </w:tcPr>
          <w:p w14:paraId="4AC54FA5" w14:textId="47BB3C71"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0E8D52C6" w14:textId="0BB1FE96"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c>
          <w:tcPr>
            <w:tcW w:w="1417" w:type="dxa"/>
          </w:tcPr>
          <w:p w14:paraId="5EAD23A2" w14:textId="52A21070" w:rsidR="00BA458D" w:rsidRPr="00127A74" w:rsidRDefault="0034166E" w:rsidP="00127A74">
            <w:pPr>
              <w:cnfStyle w:val="000000000000" w:firstRow="0" w:lastRow="0" w:firstColumn="0" w:lastColumn="0" w:oddVBand="0" w:evenVBand="0" w:oddHBand="0" w:evenHBand="0" w:firstRowFirstColumn="0" w:firstRowLastColumn="0" w:lastRowFirstColumn="0" w:lastRowLastColumn="0"/>
            </w:pPr>
            <w:r>
              <w:sym w:font="Wingdings 2" w:char="F050"/>
            </w:r>
          </w:p>
        </w:tc>
      </w:tr>
      <w:tr w:rsidR="00127A74" w:rsidRPr="007A1992" w14:paraId="176B93B3" w14:textId="77777777" w:rsidTr="00733FA4">
        <w:trPr>
          <w:trHeight w:val="159"/>
        </w:trPr>
        <w:tc>
          <w:tcPr>
            <w:cnfStyle w:val="001000000000" w:firstRow="0" w:lastRow="0" w:firstColumn="1" w:lastColumn="0" w:oddVBand="0" w:evenVBand="0" w:oddHBand="0" w:evenHBand="0" w:firstRowFirstColumn="0" w:firstRowLastColumn="0" w:lastRowFirstColumn="0" w:lastRowLastColumn="0"/>
            <w:tcW w:w="1555" w:type="dxa"/>
          </w:tcPr>
          <w:p w14:paraId="77F0DB3E" w14:textId="77777777" w:rsidR="00127A74" w:rsidRPr="00127A74" w:rsidRDefault="00127A74" w:rsidP="00127A74">
            <w:pPr>
              <w:rPr>
                <w:b/>
                <w:bCs/>
              </w:rPr>
            </w:pPr>
            <w:r w:rsidRPr="00127A74">
              <w:rPr>
                <w:b/>
                <w:bCs/>
              </w:rPr>
              <w:t>Important potential risks</w:t>
            </w:r>
          </w:p>
        </w:tc>
        <w:tc>
          <w:tcPr>
            <w:tcW w:w="2409" w:type="dxa"/>
          </w:tcPr>
          <w:p w14:paraId="6E17E14A" w14:textId="37D82077"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None</w:t>
            </w:r>
          </w:p>
        </w:tc>
        <w:tc>
          <w:tcPr>
            <w:tcW w:w="1134" w:type="dxa"/>
          </w:tcPr>
          <w:p w14:paraId="252AD92F" w14:textId="5CA247E7"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77DA98F1" w14:textId="58AD61A0"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182A5096" w14:textId="0E8728DF"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2A6247DC" w14:textId="72379C25"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r>
      <w:tr w:rsidR="00127A74" w:rsidRPr="007A1992" w14:paraId="74C5E610" w14:textId="77777777" w:rsidTr="00733FA4">
        <w:trPr>
          <w:trHeight w:val="178"/>
        </w:trPr>
        <w:tc>
          <w:tcPr>
            <w:cnfStyle w:val="001000000000" w:firstRow="0" w:lastRow="0" w:firstColumn="1" w:lastColumn="0" w:oddVBand="0" w:evenVBand="0" w:oddHBand="0" w:evenHBand="0" w:firstRowFirstColumn="0" w:firstRowLastColumn="0" w:lastRowFirstColumn="0" w:lastRowLastColumn="0"/>
            <w:tcW w:w="1555" w:type="dxa"/>
          </w:tcPr>
          <w:p w14:paraId="262C65E3" w14:textId="77777777" w:rsidR="00127A74" w:rsidRPr="00127A74" w:rsidRDefault="00127A74" w:rsidP="00127A74">
            <w:pPr>
              <w:rPr>
                <w:b/>
                <w:bCs/>
              </w:rPr>
            </w:pPr>
            <w:r w:rsidRPr="00127A74">
              <w:rPr>
                <w:b/>
                <w:bCs/>
              </w:rPr>
              <w:lastRenderedPageBreak/>
              <w:t>Missing information</w:t>
            </w:r>
          </w:p>
        </w:tc>
        <w:tc>
          <w:tcPr>
            <w:tcW w:w="2409" w:type="dxa"/>
          </w:tcPr>
          <w:p w14:paraId="104D79CD" w14:textId="0439B711"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None</w:t>
            </w:r>
          </w:p>
        </w:tc>
        <w:tc>
          <w:tcPr>
            <w:tcW w:w="1134" w:type="dxa"/>
          </w:tcPr>
          <w:p w14:paraId="07467A21" w14:textId="4C494523"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418" w:type="dxa"/>
          </w:tcPr>
          <w:p w14:paraId="35C7F07F" w14:textId="57FAD1A3"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52620DEE" w14:textId="772B6CD3"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6BD3C7B" w14:textId="5938E80F" w:rsidR="00127A74" w:rsidRPr="00127A74" w:rsidRDefault="00733FA4" w:rsidP="00127A74">
            <w:pPr>
              <w:cnfStyle w:val="000000000000" w:firstRow="0" w:lastRow="0" w:firstColumn="0" w:lastColumn="0" w:oddVBand="0" w:evenVBand="0" w:oddHBand="0" w:evenHBand="0" w:firstRowFirstColumn="0" w:firstRowLastColumn="0" w:lastRowFirstColumn="0" w:lastRowLastColumn="0"/>
            </w:pPr>
            <w:r>
              <w:t>-</w:t>
            </w:r>
          </w:p>
        </w:tc>
      </w:tr>
    </w:tbl>
    <w:p w14:paraId="7DD28A53" w14:textId="6E920B2D" w:rsidR="004F3B0B" w:rsidRDefault="004F3B0B" w:rsidP="00E532B3">
      <w:r>
        <w:t xml:space="preserve">The proposed summary of safety concerns aligns with the safety concerns in the EU RMP for </w:t>
      </w:r>
      <w:r w:rsidR="00143C32">
        <w:t>RANIVIZ</w:t>
      </w:r>
      <w:r>
        <w:t xml:space="preserve"> and other biosimilar’s with the same indications. The safety concerns relating to the ROP indication for pre-term infants in the reference product’s RMP has been removed. The safety specifications, this is considered acceptable from an RMP perspective. </w:t>
      </w:r>
    </w:p>
    <w:p w14:paraId="062E9E14" w14:textId="72A4C838" w:rsidR="004F3B0B" w:rsidRPr="004F3B0B" w:rsidRDefault="004F3B0B" w:rsidP="00E532B3">
      <w:r>
        <w:t>The proposed pharmacovigilance plan and the proposed risk minimisation is acceptable from an RMP perspective.</w:t>
      </w:r>
    </w:p>
    <w:p w14:paraId="3375FD0D" w14:textId="3965CC38" w:rsidR="00DD7E98" w:rsidRDefault="00912BB1" w:rsidP="00E532B3">
      <w:r>
        <w:t>The RMP evaluated recommended the following wording for conditions of registration</w:t>
      </w:r>
      <w:r w:rsidR="00E707D0">
        <w:t>, relating to the versions of the risk management plan</w:t>
      </w:r>
      <w:r w:rsidR="00DD7E98">
        <w:t xml:space="preserve">: </w:t>
      </w:r>
    </w:p>
    <w:p w14:paraId="66181D1D" w14:textId="205DD58F" w:rsidR="00E707D0" w:rsidRPr="00517E89" w:rsidRDefault="00DD7E98" w:rsidP="00E532B3">
      <w:r w:rsidRPr="00517E89">
        <w:t xml:space="preserve">The </w:t>
      </w:r>
      <w:r w:rsidR="00143C32">
        <w:t>RANIVIZ</w:t>
      </w:r>
      <w:r w:rsidR="00517E89" w:rsidRPr="00517E89">
        <w:t xml:space="preserve"> </w:t>
      </w:r>
      <w:r w:rsidRPr="00517E89">
        <w:t>EU-Risk Management Plan (RMP) (version 1.0, dated 8 June 2022, data lock point 14 June 2021), with Australian Specific Annex (version 0.2, dated 12 May 2023), included with submission PM-2022-04707-1-5, and any subsequent revisions, as agreed with the TGA will be implemented in Australia.</w:t>
      </w:r>
    </w:p>
    <w:p w14:paraId="74A4F87F" w14:textId="7AA7C37F" w:rsidR="00C22214" w:rsidRDefault="00C22214" w:rsidP="00C22214">
      <w:pPr>
        <w:pStyle w:val="Heading3"/>
      </w:pPr>
      <w:bookmarkStart w:id="67" w:name="_Toc103679299"/>
      <w:bookmarkStart w:id="68" w:name="_Toc169183809"/>
      <w:r>
        <w:t>Risk-benefit analysis</w:t>
      </w:r>
      <w:bookmarkEnd w:id="64"/>
      <w:bookmarkEnd w:id="65"/>
      <w:bookmarkEnd w:id="67"/>
      <w:bookmarkEnd w:id="68"/>
    </w:p>
    <w:p w14:paraId="77DE2655" w14:textId="77777777" w:rsidR="00C22214" w:rsidRDefault="00C22214" w:rsidP="00C22214">
      <w:pPr>
        <w:pStyle w:val="Heading4"/>
      </w:pPr>
      <w:bookmarkStart w:id="69" w:name="_Toc98931932"/>
      <w:bookmarkStart w:id="70" w:name="_Toc169183810"/>
      <w:r>
        <w:t>Delegate’s considerations</w:t>
      </w:r>
      <w:bookmarkEnd w:id="69"/>
      <w:bookmarkEnd w:id="70"/>
    </w:p>
    <w:p w14:paraId="7FB3E4D3" w14:textId="1BF3E1B6" w:rsidR="00C21009" w:rsidRPr="001D0745" w:rsidRDefault="00C21009" w:rsidP="00E532B3">
      <w:bookmarkStart w:id="71" w:name="_Toc98931933"/>
      <w:r w:rsidRPr="001D0745">
        <w:t xml:space="preserve">Quality: </w:t>
      </w:r>
    </w:p>
    <w:p w14:paraId="7BB854B3" w14:textId="6CEFEFB8" w:rsidR="00C21009" w:rsidRDefault="00C21009" w:rsidP="00E532B3">
      <w:r>
        <w:t xml:space="preserve">The Module 3 evaluator </w:t>
      </w:r>
      <w:r w:rsidR="005172FE">
        <w:t>concluded that t</w:t>
      </w:r>
      <w:r>
        <w:t xml:space="preserve">here </w:t>
      </w:r>
      <w:r w:rsidR="005172FE">
        <w:t>were</w:t>
      </w:r>
      <w:r>
        <w:t xml:space="preserve"> no objections on quality grounds to the approval of </w:t>
      </w:r>
      <w:r w:rsidR="00143C32">
        <w:t>RANIVIZ</w:t>
      </w:r>
      <w:r w:rsidR="005172FE">
        <w:t>.</w:t>
      </w:r>
      <w:r>
        <w:t xml:space="preserve"> </w:t>
      </w:r>
    </w:p>
    <w:p w14:paraId="448C8790" w14:textId="2D17E618" w:rsidR="00C21009" w:rsidRDefault="00C21009" w:rsidP="00E532B3">
      <w:r>
        <w:t xml:space="preserve">The current application was submitted via the COR-B pathway. The quality evaluation report is based largely on the COR </w:t>
      </w:r>
      <w:r w:rsidR="005172FE">
        <w:t xml:space="preserve">and other </w:t>
      </w:r>
      <w:r>
        <w:t>report</w:t>
      </w:r>
      <w:r w:rsidR="005172FE">
        <w:t>s</w:t>
      </w:r>
      <w:r>
        <w:t xml:space="preserve"> from </w:t>
      </w:r>
      <w:r w:rsidR="005172FE">
        <w:t xml:space="preserve">the </w:t>
      </w:r>
      <w:r>
        <w:t xml:space="preserve">EMA. Additional assessment on the Product Information, labels and stability were carried out to ensure the product meets Australian requirements. </w:t>
      </w:r>
    </w:p>
    <w:p w14:paraId="5E396CC9" w14:textId="2BA89985" w:rsidR="00C21009" w:rsidRDefault="00C21009" w:rsidP="00E532B3">
      <w:r>
        <w:t xml:space="preserve">Comprehensive characterisation studies support </w:t>
      </w:r>
      <w:proofErr w:type="spellStart"/>
      <w:r>
        <w:t>biosimilarity</w:t>
      </w:r>
      <w:proofErr w:type="spellEnd"/>
      <w:r>
        <w:t xml:space="preserve"> between </w:t>
      </w:r>
      <w:r w:rsidR="00143C32">
        <w:t>RANIVIZ</w:t>
      </w:r>
      <w:r>
        <w:t xml:space="preserve">, EU </w:t>
      </w:r>
      <w:r w:rsidR="00033703">
        <w:t>LUCENTIS</w:t>
      </w:r>
      <w:r>
        <w:t xml:space="preserve">, US </w:t>
      </w:r>
      <w:proofErr w:type="gramStart"/>
      <w:r w:rsidR="00033703">
        <w:t>LUCENTIS</w:t>
      </w:r>
      <w:proofErr w:type="gramEnd"/>
      <w:r>
        <w:t xml:space="preserve"> and AU </w:t>
      </w:r>
      <w:r w:rsidR="00033703">
        <w:t>LUCENTIS</w:t>
      </w:r>
      <w:r>
        <w:t xml:space="preserve"> with respect to structural, physicochemical, and biological properties.</w:t>
      </w:r>
    </w:p>
    <w:p w14:paraId="5C0F542D" w14:textId="77777777" w:rsidR="00C21009" w:rsidRPr="001D0745" w:rsidRDefault="00C21009" w:rsidP="00E532B3">
      <w:r w:rsidRPr="001D0745">
        <w:t xml:space="preserve">Efficacy: </w:t>
      </w:r>
    </w:p>
    <w:p w14:paraId="679838BD" w14:textId="00F23F7F" w:rsidR="00C21009" w:rsidRDefault="00C21009" w:rsidP="00E532B3">
      <w:r>
        <w:t xml:space="preserve">In the pivotal comparative efficacy study COLUMBUS-AMD in </w:t>
      </w:r>
      <w:proofErr w:type="spellStart"/>
      <w:r>
        <w:t>nAMD</w:t>
      </w:r>
      <w:proofErr w:type="spellEnd"/>
      <w:r>
        <w:t xml:space="preserve"> patients, equivalence between </w:t>
      </w:r>
      <w:r w:rsidR="00143C32">
        <w:t>RANIVIZ</w:t>
      </w:r>
      <w:r>
        <w:t xml:space="preserve"> and US-</w:t>
      </w:r>
      <w:r w:rsidR="00033703">
        <w:t>LUCENTIS</w:t>
      </w:r>
      <w:r>
        <w:t xml:space="preserve"> was demonstrated for the primary efficacy endpoint, both in the FAS and in the PP population. This was supported by sensitivity analyses. Several functional and anatomical parameters were assessed as secondary efficacy endpoints, to support demonstration of similar efficacy between </w:t>
      </w:r>
      <w:r w:rsidR="00143C32">
        <w:t>RANIVIZ</w:t>
      </w:r>
      <w:r>
        <w:t xml:space="preserve"> and </w:t>
      </w:r>
      <w:r w:rsidR="00033703">
        <w:t>LUCENTIS</w:t>
      </w:r>
      <w:r>
        <w:t xml:space="preserve">. </w:t>
      </w:r>
    </w:p>
    <w:p w14:paraId="3D46D497" w14:textId="40BC50DD" w:rsidR="00C21009" w:rsidRDefault="00C21009" w:rsidP="00E532B3">
      <w:r>
        <w:t xml:space="preserve">Overall, comparability of </w:t>
      </w:r>
      <w:r w:rsidR="00143C32">
        <w:t>RANIVIZ</w:t>
      </w:r>
      <w:r>
        <w:t xml:space="preserve"> to </w:t>
      </w:r>
      <w:r w:rsidR="00033703">
        <w:t>LUCENTIS</w:t>
      </w:r>
      <w:r>
        <w:t xml:space="preserve"> was demonstrated for all efficacy endpoints. </w:t>
      </w:r>
    </w:p>
    <w:p w14:paraId="6322A28C" w14:textId="46E86DEB" w:rsidR="00C21009" w:rsidRDefault="00C21009" w:rsidP="00E532B3">
      <w:r w:rsidRPr="00C21009">
        <w:t>The sponsor provided scientific justification for the inclusion of the indication, “Treatment of visual impairment due to choroidal neovascularisation (CNV) secondary to pathologic myopia”</w:t>
      </w:r>
      <w:r w:rsidR="001D0745">
        <w:t>.</w:t>
      </w:r>
    </w:p>
    <w:p w14:paraId="4819A377" w14:textId="3C153BF8" w:rsidR="001D0745" w:rsidRDefault="001D0745" w:rsidP="00E532B3">
      <w:r>
        <w:t xml:space="preserve">The justification for extrapolation is based on: </w:t>
      </w:r>
    </w:p>
    <w:p w14:paraId="07140C45" w14:textId="7E81BCD2" w:rsidR="001D0745" w:rsidRDefault="001D0745" w:rsidP="00E532B3">
      <w:pPr>
        <w:pStyle w:val="ListBullet"/>
      </w:pPr>
      <w:r>
        <w:t xml:space="preserve">The mechanism(s) of action in each condition of use for which marketing authorization is sought. </w:t>
      </w:r>
    </w:p>
    <w:p w14:paraId="2B9B3BB6" w14:textId="5B5ADD97" w:rsidR="001D0745" w:rsidRDefault="001D0745" w:rsidP="00E532B3">
      <w:pPr>
        <w:pStyle w:val="ListBullet"/>
      </w:pPr>
      <w:r>
        <w:lastRenderedPageBreak/>
        <w:t xml:space="preserve">The evaluation of differences in expected toxicities in each condition of use and patient population. </w:t>
      </w:r>
    </w:p>
    <w:p w14:paraId="45C44D3C" w14:textId="77777777" w:rsidR="001D0745" w:rsidRDefault="001D0745" w:rsidP="00E532B3">
      <w:r>
        <w:t xml:space="preserve">This is considered acceptable. </w:t>
      </w:r>
    </w:p>
    <w:p w14:paraId="16D3C3C0" w14:textId="77777777" w:rsidR="001D0745" w:rsidRPr="001D0745" w:rsidRDefault="001D0745" w:rsidP="00E532B3">
      <w:r w:rsidRPr="001D0745">
        <w:t xml:space="preserve">Safety: </w:t>
      </w:r>
    </w:p>
    <w:p w14:paraId="15B29F6A" w14:textId="0333C829" w:rsidR="001D0745" w:rsidRDefault="001D0745" w:rsidP="00E532B3">
      <w:r>
        <w:t>The exposure to study drug was overall comparable. Per treatment arm, 238 (</w:t>
      </w:r>
      <w:r w:rsidR="00143C32">
        <w:t>RANIVIZ</w:t>
      </w:r>
      <w:r>
        <w:t>) and 239 (US-</w:t>
      </w:r>
      <w:r w:rsidR="00033703">
        <w:t>LUCENTIS</w:t>
      </w:r>
      <w:r>
        <w:t xml:space="preserve">) patients were included, respectively. The present sample size is sufficiently large to conclude on comparability in terms of common or very common adverse effects. </w:t>
      </w:r>
    </w:p>
    <w:p w14:paraId="55096521" w14:textId="300ED350" w:rsidR="001D0745" w:rsidRDefault="001D0745" w:rsidP="00E532B3">
      <w:r w:rsidRPr="001D0745">
        <w:t xml:space="preserve">The number of patients who discontinued treatment was similar in both treatment arms (n = 16 in each arm). The overall number and percentage of TEAEs was comparable between the two treatment groups. Overall, the SOC Eye disorders was the </w:t>
      </w:r>
      <w:proofErr w:type="gramStart"/>
      <w:r w:rsidRPr="001D0745">
        <w:t>most commonly affected</w:t>
      </w:r>
      <w:proofErr w:type="gramEnd"/>
      <w:r w:rsidRPr="001D0745">
        <w:t xml:space="preserve"> SOC for both treatment arms in the SAF. Severe TEAEs were recorded in twice as many patients in the </w:t>
      </w:r>
      <w:r w:rsidR="00033703">
        <w:t>LUCENTIS</w:t>
      </w:r>
      <w:r w:rsidRPr="001D0745">
        <w:t xml:space="preserve"> arm, but without clinically relevant differences or increased frequency in particular SOCs. No distinct differences between treatment arms can be detected </w:t>
      </w:r>
      <w:proofErr w:type="gramStart"/>
      <w:r w:rsidRPr="001D0745">
        <w:t>with regard to</w:t>
      </w:r>
      <w:proofErr w:type="gramEnd"/>
      <w:r w:rsidRPr="001D0745">
        <w:t xml:space="preserve"> incidences of ocular TEAEs, related ocular TEAEs, severe ocular TEAEs, related severe TEAEs, serious ocular TEAEs and related serious ocular TEAEs, neither in the study eye nor in the fellow eye. In summary, the safety evidence is compatible with </w:t>
      </w:r>
      <w:proofErr w:type="spellStart"/>
      <w:r w:rsidRPr="001D0745">
        <w:t>biosimilarity</w:t>
      </w:r>
      <w:proofErr w:type="spellEnd"/>
      <w:r w:rsidRPr="001D0745">
        <w:t>.</w:t>
      </w:r>
    </w:p>
    <w:p w14:paraId="3916F296" w14:textId="4B7EDF29" w:rsidR="00C22214" w:rsidRDefault="00C22214" w:rsidP="00C21009">
      <w:pPr>
        <w:pStyle w:val="Heading4"/>
      </w:pPr>
      <w:bookmarkStart w:id="72" w:name="_Toc169183811"/>
      <w:r w:rsidRPr="00D23139">
        <w:t>Proposed action</w:t>
      </w:r>
      <w:bookmarkEnd w:id="71"/>
      <w:bookmarkEnd w:id="72"/>
    </w:p>
    <w:p w14:paraId="3CE88DB4" w14:textId="05E94AD5" w:rsidR="00BB7D75" w:rsidRPr="00A170D1" w:rsidRDefault="00BB7D75" w:rsidP="00A170D1">
      <w:bookmarkStart w:id="73" w:name="_Toc98931934"/>
      <w:proofErr w:type="spellStart"/>
      <w:r w:rsidRPr="00A170D1">
        <w:t>Biosimilarity</w:t>
      </w:r>
      <w:proofErr w:type="spellEnd"/>
      <w:r w:rsidRPr="00A170D1">
        <w:t xml:space="preserve"> of </w:t>
      </w:r>
      <w:r w:rsidR="00143C32">
        <w:t>RANIVIZ</w:t>
      </w:r>
      <w:r w:rsidRPr="00A170D1">
        <w:t xml:space="preserve"> to LUCENTIS has been satisfactorily demonstrated, supporting a favourable benefit-risk for </w:t>
      </w:r>
      <w:r w:rsidR="00143C32">
        <w:t>RANIVIZ</w:t>
      </w:r>
      <w:r w:rsidRPr="00A170D1">
        <w:t xml:space="preserve"> in the proposed indications. There are no objections on quality grounds to the approval of </w:t>
      </w:r>
      <w:r w:rsidR="00143C32">
        <w:t>RANIVIZ</w:t>
      </w:r>
      <w:r w:rsidR="005172FE" w:rsidRPr="00A170D1">
        <w:t>.</w:t>
      </w:r>
      <w:r w:rsidRPr="00A170D1">
        <w:t xml:space="preserve"> </w:t>
      </w:r>
      <w:r w:rsidR="005172FE" w:rsidRPr="00A170D1">
        <w:t>T</w:t>
      </w:r>
      <w:r w:rsidRPr="00A170D1">
        <w:t>here are no outstanding clinical issues requiring advice from ACM.</w:t>
      </w:r>
    </w:p>
    <w:p w14:paraId="307F236C" w14:textId="77777777" w:rsidR="00C22214" w:rsidRPr="002E238E" w:rsidRDefault="00C22214" w:rsidP="00C22214">
      <w:pPr>
        <w:pStyle w:val="Heading2"/>
      </w:pPr>
      <w:bookmarkStart w:id="74" w:name="_Toc247691532"/>
      <w:bookmarkStart w:id="75" w:name="_Toc314842516"/>
      <w:bookmarkStart w:id="76" w:name="_Toc103679300"/>
      <w:bookmarkStart w:id="77" w:name="_Toc169183812"/>
      <w:bookmarkEnd w:id="73"/>
      <w:r>
        <w:t>Outcome</w:t>
      </w:r>
      <w:bookmarkEnd w:id="74"/>
      <w:bookmarkEnd w:id="75"/>
      <w:bookmarkEnd w:id="76"/>
      <w:bookmarkEnd w:id="77"/>
    </w:p>
    <w:p w14:paraId="6CB6D5E2" w14:textId="07C01562" w:rsidR="003B56CF" w:rsidRPr="005172FE" w:rsidRDefault="00C22214" w:rsidP="005172FE">
      <w:pPr>
        <w:contextualSpacing/>
        <w:rPr>
          <w:szCs w:val="22"/>
        </w:rPr>
      </w:pPr>
      <w:r w:rsidRPr="005172FE">
        <w:rPr>
          <w:szCs w:val="22"/>
        </w:rPr>
        <w:t xml:space="preserve">Based on a review of quality, safety, and efficacy, the TGA </w:t>
      </w:r>
      <w:r w:rsidR="00B46DFB" w:rsidRPr="005172FE">
        <w:rPr>
          <w:szCs w:val="22"/>
        </w:rPr>
        <w:t>decided to</w:t>
      </w:r>
      <w:r w:rsidRPr="005172FE">
        <w:rPr>
          <w:szCs w:val="22"/>
        </w:rPr>
        <w:t xml:space="preserve"> regist</w:t>
      </w:r>
      <w:r w:rsidR="00B46DFB" w:rsidRPr="005172FE">
        <w:rPr>
          <w:szCs w:val="22"/>
        </w:rPr>
        <w:t>er</w:t>
      </w:r>
      <w:r w:rsidR="00E5340F" w:rsidRPr="005172FE">
        <w:rPr>
          <w:szCs w:val="22"/>
        </w:rPr>
        <w:t xml:space="preserve"> </w:t>
      </w:r>
      <w:r w:rsidR="00143C32">
        <w:rPr>
          <w:szCs w:val="22"/>
        </w:rPr>
        <w:t>RANIVIZ</w:t>
      </w:r>
      <w:r w:rsidR="00E5340F" w:rsidRPr="005172FE">
        <w:rPr>
          <w:szCs w:val="22"/>
        </w:rPr>
        <w:t xml:space="preserve"> (ranibizumab) 10 mg / </w:t>
      </w:r>
      <w:r w:rsidR="00914744" w:rsidRPr="005172FE">
        <w:rPr>
          <w:szCs w:val="22"/>
        </w:rPr>
        <w:t>mL</w:t>
      </w:r>
      <w:r w:rsidR="00D309BD" w:rsidRPr="005172FE">
        <w:rPr>
          <w:szCs w:val="22"/>
        </w:rPr>
        <w:t>, solution for injection, vial</w:t>
      </w:r>
      <w:r w:rsidRPr="005172FE">
        <w:rPr>
          <w:szCs w:val="22"/>
        </w:rPr>
        <w:t xml:space="preserve">, </w:t>
      </w:r>
      <w:r w:rsidR="00D9114B">
        <w:rPr>
          <w:szCs w:val="22"/>
        </w:rPr>
        <w:t xml:space="preserve">is </w:t>
      </w:r>
      <w:r w:rsidRPr="005172FE">
        <w:rPr>
          <w:szCs w:val="22"/>
        </w:rPr>
        <w:t xml:space="preserve">indicated </w:t>
      </w:r>
      <w:r w:rsidR="00D9114B">
        <w:rPr>
          <w:szCs w:val="22"/>
        </w:rPr>
        <w:t xml:space="preserve">in adults </w:t>
      </w:r>
      <w:r w:rsidRPr="005172FE">
        <w:rPr>
          <w:szCs w:val="22"/>
        </w:rPr>
        <w:t>for</w:t>
      </w:r>
      <w:r w:rsidR="00D309BD" w:rsidRPr="005172FE">
        <w:rPr>
          <w:szCs w:val="22"/>
        </w:rPr>
        <w:t>:</w:t>
      </w:r>
      <w:r w:rsidR="003B56CF" w:rsidRPr="005172FE">
        <w:rPr>
          <w:szCs w:val="22"/>
        </w:rPr>
        <w:t xml:space="preserve"> </w:t>
      </w:r>
    </w:p>
    <w:p w14:paraId="6C3715AC" w14:textId="7DB979E8" w:rsidR="003B56CF" w:rsidRPr="00E532B3" w:rsidRDefault="003B56CF" w:rsidP="00E532B3">
      <w:pPr>
        <w:pStyle w:val="ListBullet"/>
      </w:pPr>
      <w:r w:rsidRPr="00E532B3">
        <w:t>the treatment of neovascular (wet) age-related macular degeneration (AMD),</w:t>
      </w:r>
    </w:p>
    <w:p w14:paraId="18476AFC" w14:textId="0BA03A2E" w:rsidR="003B56CF" w:rsidRPr="00E532B3" w:rsidRDefault="003B56CF" w:rsidP="00E532B3">
      <w:pPr>
        <w:pStyle w:val="ListBullet"/>
      </w:pPr>
      <w:r w:rsidRPr="00E532B3">
        <w:t>the treatment of visual impairment due to diabetic macular oedema (DME),</w:t>
      </w:r>
    </w:p>
    <w:p w14:paraId="06E016FF" w14:textId="7395AF1D" w:rsidR="003B56CF" w:rsidRPr="00E532B3" w:rsidRDefault="003B56CF" w:rsidP="00E532B3">
      <w:pPr>
        <w:pStyle w:val="ListBullet"/>
      </w:pPr>
      <w:r w:rsidRPr="00E532B3">
        <w:t>treatment of proliferative diabetic retinopathy (PDR),</w:t>
      </w:r>
    </w:p>
    <w:p w14:paraId="5DDEF91F" w14:textId="31AB6F87" w:rsidR="003B56CF" w:rsidRPr="00E532B3" w:rsidRDefault="003B56CF" w:rsidP="00E532B3">
      <w:pPr>
        <w:pStyle w:val="ListBullet"/>
      </w:pPr>
      <w:r w:rsidRPr="00E532B3">
        <w:t>the treatment of visual impairment due to choroidal neovascularisation,</w:t>
      </w:r>
    </w:p>
    <w:p w14:paraId="224919D3" w14:textId="7D18FC05" w:rsidR="003B56CF" w:rsidRPr="00E532B3" w:rsidRDefault="003B56CF" w:rsidP="00E532B3">
      <w:pPr>
        <w:pStyle w:val="ListBullet"/>
      </w:pPr>
      <w:r w:rsidRPr="00E532B3">
        <w:t>the treatment of visual impairment due to choroidal neovascularisation (CNV) secondary</w:t>
      </w:r>
      <w:r w:rsidR="00550DBD" w:rsidRPr="00E532B3">
        <w:t xml:space="preserve"> </w:t>
      </w:r>
      <w:r w:rsidRPr="00E532B3">
        <w:t>to pathologic myopia (PM),</w:t>
      </w:r>
    </w:p>
    <w:p w14:paraId="5B7365EE" w14:textId="77777777" w:rsidR="00550DBD" w:rsidRPr="00E532B3" w:rsidRDefault="003B56CF" w:rsidP="00E532B3">
      <w:pPr>
        <w:pStyle w:val="ListBullet"/>
      </w:pPr>
      <w:r w:rsidRPr="00E532B3">
        <w:t>the treatment of visual impairment due to macular oedema secondary to retinal vein</w:t>
      </w:r>
      <w:r w:rsidR="00550DBD" w:rsidRPr="00E532B3">
        <w:t xml:space="preserve"> </w:t>
      </w:r>
      <w:r w:rsidRPr="00E532B3">
        <w:t>occlusion (RVO).</w:t>
      </w:r>
    </w:p>
    <w:p w14:paraId="4EF22939" w14:textId="13CDDBBC" w:rsidR="00C22214" w:rsidRDefault="003B56CF" w:rsidP="00E532B3">
      <w:r w:rsidRPr="00550DBD">
        <w:t>Not recommended for use in preterm infants.</w:t>
      </w:r>
    </w:p>
    <w:p w14:paraId="0AAD8AC5" w14:textId="77777777" w:rsidR="00E532B3" w:rsidRDefault="00E532B3" w:rsidP="00E532B3">
      <w:pPr>
        <w:pStyle w:val="Heading2"/>
      </w:pPr>
      <w:bookmarkStart w:id="78" w:name="_Toc103679303"/>
      <w:bookmarkStart w:id="79" w:name="_Toc149647553"/>
      <w:r>
        <w:t>Attachment 1. Product Information</w:t>
      </w:r>
      <w:bookmarkEnd w:id="78"/>
      <w:bookmarkEnd w:id="79"/>
    </w:p>
    <w:p w14:paraId="64BB90C4" w14:textId="254DCED2" w:rsidR="00E532B3" w:rsidRPr="00550DBD" w:rsidRDefault="00E532B3" w:rsidP="00E532B3">
      <w:r w:rsidRPr="00BD5DBD">
        <w:rPr>
          <w:szCs w:val="22"/>
        </w:rPr>
        <w:t xml:space="preserve">The </w:t>
      </w:r>
      <w:hyperlink r:id="rId26" w:history="1">
        <w:r w:rsidRPr="00BD5DBD">
          <w:rPr>
            <w:rStyle w:val="Hyperlink"/>
            <w:szCs w:val="22"/>
          </w:rPr>
          <w:t>Product Information</w:t>
        </w:r>
      </w:hyperlink>
      <w:r w:rsidRPr="00BD5DBD">
        <w:rPr>
          <w:szCs w:val="22"/>
        </w:rPr>
        <w:t xml:space="preserve"> (</w:t>
      </w:r>
      <w:hyperlink r:id="rId27" w:history="1">
        <w:r w:rsidRPr="00BD5DBD">
          <w:rPr>
            <w:rStyle w:val="Hyperlink"/>
            <w:szCs w:val="22"/>
          </w:rPr>
          <w:t>PI</w:t>
        </w:r>
      </w:hyperlink>
      <w:r w:rsidRPr="00BD5DBD">
        <w:rPr>
          <w:szCs w:val="22"/>
        </w:rPr>
        <w:t>) approved with the submission</w:t>
      </w:r>
      <w:r w:rsidRPr="0017005C">
        <w:rPr>
          <w:szCs w:val="22"/>
        </w:rPr>
        <w:t xml:space="preserve"> </w:t>
      </w:r>
      <w:r w:rsidRPr="00BD5DBD">
        <w:rPr>
          <w:szCs w:val="22"/>
        </w:rPr>
        <w:t xml:space="preserve">for </w:t>
      </w:r>
      <w:r w:rsidRPr="0017005C">
        <w:t>[Tradename</w:t>
      </w:r>
      <w:r>
        <w:t xml:space="preserve">] </w:t>
      </w:r>
      <w:r w:rsidRPr="00BD5DBD">
        <w:rPr>
          <w:szCs w:val="22"/>
        </w:rPr>
        <w:t xml:space="preserve">which is described in this AusPAR can be found as Attachment 1. </w:t>
      </w:r>
      <w:r>
        <w:t xml:space="preserve">It may have been superseded. </w:t>
      </w:r>
      <w:r w:rsidRPr="00BD5DBD">
        <w:rPr>
          <w:szCs w:val="22"/>
        </w:rPr>
        <w:t xml:space="preserve">For the most recent PI and </w:t>
      </w:r>
      <w:hyperlink r:id="rId28" w:history="1">
        <w:r w:rsidRPr="00BD5DBD">
          <w:rPr>
            <w:rStyle w:val="Hyperlink"/>
            <w:szCs w:val="22"/>
          </w:rPr>
          <w:t>Consumer Medicines Information</w:t>
        </w:r>
      </w:hyperlink>
      <w:r w:rsidRPr="00BD5DBD">
        <w:rPr>
          <w:szCs w:val="22"/>
        </w:rPr>
        <w:t xml:space="preserve"> (CMI), please refer to the TGA </w:t>
      </w:r>
      <w:hyperlink r:id="rId29" w:history="1">
        <w:r w:rsidRPr="00BD5DBD">
          <w:rPr>
            <w:rStyle w:val="Hyperlink"/>
            <w:szCs w:val="22"/>
          </w:rPr>
          <w:t>PI/CMI search facility.</w:t>
        </w:r>
      </w:hyperlink>
    </w:p>
    <w:p w14:paraId="2D27476A" w14:textId="5BFE33A3" w:rsidR="005172FE" w:rsidRDefault="005172FE" w:rsidP="005172FE">
      <w:pPr>
        <w:autoSpaceDE w:val="0"/>
        <w:autoSpaceDN w:val="0"/>
        <w:adjustRightInd w:val="0"/>
        <w:spacing w:after="0" w:line="240" w:lineRule="auto"/>
      </w:pPr>
    </w:p>
    <w:p w14:paraId="3E92C4C8" w14:textId="36DBD157" w:rsidR="001E054C" w:rsidRPr="00A36CFB" w:rsidRDefault="001E054C" w:rsidP="001E054C">
      <w:pPr>
        <w:sectPr w:rsidR="001E054C" w:rsidRPr="00A36CFB" w:rsidSect="007452E8">
          <w:headerReference w:type="default" r:id="rId30"/>
          <w:footerReference w:type="default" r:id="rId31"/>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53CB9479" w:rsidR="00F02AEC" w:rsidRDefault="00F02AEC">
            <w:pPr>
              <w:pStyle w:val="Address"/>
              <w:jc w:val="center"/>
              <w:rPr>
                <w:sz w:val="22"/>
                <w:szCs w:val="22"/>
              </w:rPr>
            </w:pPr>
            <w:r w:rsidRPr="00215D48">
              <w:t xml:space="preserve">Email: </w:t>
            </w:r>
            <w:hyperlink r:id="rId32"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533D80F" w14:textId="1519D7A3" w:rsidR="00F02AEC" w:rsidRPr="00215D48" w:rsidRDefault="0007423B">
            <w:pPr>
              <w:pStyle w:val="Address"/>
              <w:jc w:val="center"/>
              <w:rPr>
                <w:rStyle w:val="Hyperlink"/>
                <w:b/>
                <w:color w:val="auto"/>
                <w:sz w:val="22"/>
              </w:rPr>
            </w:pPr>
            <w:hyperlink r:id="rId33"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7452E8">
      <w:headerReference w:type="first" r:id="rId34"/>
      <w:footerReference w:type="first" r:id="rId35"/>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3D70" w14:textId="77777777" w:rsidR="00327EB3" w:rsidRDefault="00327EB3" w:rsidP="00F02AEC">
      <w:pPr>
        <w:spacing w:after="0" w:line="240" w:lineRule="auto"/>
      </w:pPr>
      <w:r>
        <w:separator/>
      </w:r>
    </w:p>
  </w:endnote>
  <w:endnote w:type="continuationSeparator" w:id="0">
    <w:p w14:paraId="6F6A76A6" w14:textId="77777777" w:rsidR="00327EB3" w:rsidRDefault="00327EB3"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3C421323" w14:textId="594D51A2" w:rsidR="007452E8" w:rsidRPr="004A3084" w:rsidRDefault="007452E8" w:rsidP="007452E8">
          <w:pPr>
            <w:pStyle w:val="Footer"/>
          </w:pPr>
          <w:r w:rsidRPr="00487162">
            <w:t>AusPA</w:t>
          </w:r>
          <w:r>
            <w:t xml:space="preserve">R - </w:t>
          </w:r>
          <w:r w:rsidR="00143C32">
            <w:t>RANIVIZ</w:t>
          </w:r>
          <w:r>
            <w:t xml:space="preserve"> </w:t>
          </w:r>
          <w:r w:rsidR="00F346B4">
            <w:t>–</w:t>
          </w:r>
          <w:r w:rsidRPr="00460036">
            <w:t xml:space="preserve"> </w:t>
          </w:r>
          <w:r w:rsidR="00F346B4">
            <w:t>ranibizumab –</w:t>
          </w:r>
          <w:r>
            <w:t xml:space="preserve"> </w:t>
          </w:r>
          <w:r w:rsidR="00F346B4">
            <w:t>Actor Pharmaceuticals Pty Ltd</w:t>
          </w:r>
          <w:r>
            <w:t xml:space="preserve"> - PM-202</w:t>
          </w:r>
          <w:r w:rsidR="00F346B4">
            <w:t>2</w:t>
          </w:r>
          <w:r w:rsidRPr="00487162">
            <w:t>-</w:t>
          </w:r>
          <w:r w:rsidR="00F346B4">
            <w:t>04707</w:t>
          </w:r>
          <w:r w:rsidRPr="00487162">
            <w:t>-</w:t>
          </w:r>
          <w:r w:rsidR="00F346B4">
            <w:t>1</w:t>
          </w:r>
          <w:r w:rsidRPr="00487162">
            <w:t>-</w:t>
          </w:r>
          <w:r w:rsidR="00F346B4">
            <w:t>5</w:t>
          </w:r>
          <w:r>
            <w:br/>
          </w:r>
          <w:r w:rsidRPr="00487162">
            <w:t>Date of Finalisation</w:t>
          </w:r>
          <w:r w:rsidR="00B067D8">
            <w:t xml:space="preserve"> – 13 June 2024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fldSimple w:instr=" NUMPAGES  ">
                <w:r w:rsidR="006D6B44">
                  <w:rPr>
                    <w:noProof/>
                  </w:rPr>
                  <w:t>17</w:t>
                </w:r>
              </w:fldSimple>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0B5D" w14:textId="77777777" w:rsidR="00327EB3" w:rsidRDefault="00327EB3" w:rsidP="00F02AEC">
      <w:pPr>
        <w:spacing w:after="0" w:line="240" w:lineRule="auto"/>
      </w:pPr>
      <w:r>
        <w:separator/>
      </w:r>
    </w:p>
  </w:footnote>
  <w:footnote w:type="continuationSeparator" w:id="0">
    <w:p w14:paraId="09416551" w14:textId="77777777" w:rsidR="00327EB3" w:rsidRDefault="00327EB3" w:rsidP="00F02AEC">
      <w:pPr>
        <w:spacing w:after="0" w:line="240" w:lineRule="auto"/>
      </w:pPr>
      <w:r>
        <w:continuationSeparator/>
      </w:r>
    </w:p>
  </w:footnote>
  <w:footnote w:id="1">
    <w:p w14:paraId="224CD836" w14:textId="161B396C" w:rsidR="00500D68" w:rsidRDefault="00500D68">
      <w:pPr>
        <w:pStyle w:val="FootnoteText"/>
      </w:pPr>
      <w:r>
        <w:rPr>
          <w:rStyle w:val="FootnoteReference"/>
        </w:rPr>
        <w:footnoteRef/>
      </w:r>
      <w:r>
        <w:t xml:space="preserve"> </w:t>
      </w:r>
      <w:r w:rsidR="00AD0111" w:rsidRPr="00AD0111">
        <w:t xml:space="preserve"> </w:t>
      </w:r>
      <w:r w:rsidR="00AD0111">
        <w:t>In this report the ‘</w:t>
      </w:r>
      <w:r w:rsidR="00AD0111" w:rsidRPr="00C133A3">
        <w:t>Delegate</w:t>
      </w:r>
      <w:r w:rsidR="00AD0111">
        <w:t>’</w:t>
      </w:r>
      <w:r w:rsidR="00AD0111" w:rsidRPr="00C133A3">
        <w:t xml:space="preserve"> </w:t>
      </w:r>
      <w:r w:rsidR="00AD0111">
        <w:t xml:space="preserve">is the </w:t>
      </w:r>
      <w:r w:rsidR="00AD0111" w:rsidRPr="00C133A3">
        <w:t xml:space="preserve">Delegate of the Secretary of the Department of Health and Aged Care who </w:t>
      </w:r>
      <w:r w:rsidR="00AD0111">
        <w:t>decided the submission</w:t>
      </w:r>
      <w:r w:rsidR="00AD0111" w:rsidRPr="00C133A3">
        <w:t xml:space="preserve"> under section 25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07423B"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301662254" name="Picture 30166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41301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032410746" name="Picture 103241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264F591" w:rsidR="007452E8" w:rsidRPr="006C0525" w:rsidRDefault="007452E8" w:rsidP="006C0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B014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15B7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A8EA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36310"/>
    <w:multiLevelType w:val="hybridMultilevel"/>
    <w:tmpl w:val="3CBC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6BA3"/>
    <w:multiLevelType w:val="hybridMultilevel"/>
    <w:tmpl w:val="24BA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10"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9D34F60"/>
    <w:multiLevelType w:val="hybridMultilevel"/>
    <w:tmpl w:val="9CC80B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7D7DE8"/>
    <w:multiLevelType w:val="hybridMultilevel"/>
    <w:tmpl w:val="2494A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F13A1"/>
    <w:multiLevelType w:val="hybridMultilevel"/>
    <w:tmpl w:val="5E3EC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5"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6"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1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19"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abstractNum w:abstractNumId="20" w15:restartNumberingAfterBreak="0">
    <w:nsid w:val="7CDD0179"/>
    <w:multiLevelType w:val="hybridMultilevel"/>
    <w:tmpl w:val="6FC6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997172">
    <w:abstractNumId w:val="8"/>
  </w:num>
  <w:num w:numId="2" w16cid:durableId="1856573705">
    <w:abstractNumId w:val="5"/>
  </w:num>
  <w:num w:numId="3" w16cid:durableId="357703499">
    <w:abstractNumId w:val="7"/>
  </w:num>
  <w:num w:numId="4" w16cid:durableId="1869176708">
    <w:abstractNumId w:val="17"/>
  </w:num>
  <w:num w:numId="5" w16cid:durableId="1652950129">
    <w:abstractNumId w:val="10"/>
  </w:num>
  <w:num w:numId="6" w16cid:durableId="1053193207">
    <w:abstractNumId w:val="15"/>
  </w:num>
  <w:num w:numId="7" w16cid:durableId="201135927">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16"/>
  </w:num>
  <w:num w:numId="9" w16cid:durableId="173421270">
    <w:abstractNumId w:val="6"/>
  </w:num>
  <w:num w:numId="10" w16cid:durableId="2108043357">
    <w:abstractNumId w:val="9"/>
  </w:num>
  <w:num w:numId="11" w16cid:durableId="1725904230">
    <w:abstractNumId w:val="14"/>
  </w:num>
  <w:num w:numId="12" w16cid:durableId="141579354">
    <w:abstractNumId w:val="18"/>
  </w:num>
  <w:num w:numId="13" w16cid:durableId="283735081">
    <w:abstractNumId w:val="19"/>
  </w:num>
  <w:num w:numId="14" w16cid:durableId="1489201141">
    <w:abstractNumId w:val="0"/>
  </w:num>
  <w:num w:numId="15" w16cid:durableId="1390962554">
    <w:abstractNumId w:val="3"/>
  </w:num>
  <w:num w:numId="16" w16cid:durableId="2089232938">
    <w:abstractNumId w:val="2"/>
  </w:num>
  <w:num w:numId="17" w16cid:durableId="1072773769">
    <w:abstractNumId w:val="1"/>
  </w:num>
  <w:num w:numId="18" w16cid:durableId="3948209">
    <w:abstractNumId w:val="12"/>
  </w:num>
  <w:num w:numId="19" w16cid:durableId="2100828252">
    <w:abstractNumId w:val="13"/>
  </w:num>
  <w:num w:numId="20" w16cid:durableId="1306157288">
    <w:abstractNumId w:val="20"/>
  </w:num>
  <w:num w:numId="21" w16cid:durableId="2033191275">
    <w:abstractNumId w:val="4"/>
  </w:num>
  <w:num w:numId="22" w16cid:durableId="637959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E6E"/>
    <w:rsid w:val="00004431"/>
    <w:rsid w:val="000047F4"/>
    <w:rsid w:val="00005062"/>
    <w:rsid w:val="00005D32"/>
    <w:rsid w:val="0001064C"/>
    <w:rsid w:val="0001384A"/>
    <w:rsid w:val="00013976"/>
    <w:rsid w:val="00013C41"/>
    <w:rsid w:val="00020FF2"/>
    <w:rsid w:val="00022C7B"/>
    <w:rsid w:val="000319F3"/>
    <w:rsid w:val="00032A0F"/>
    <w:rsid w:val="00033703"/>
    <w:rsid w:val="00040D8D"/>
    <w:rsid w:val="000414E7"/>
    <w:rsid w:val="00041BB5"/>
    <w:rsid w:val="00046423"/>
    <w:rsid w:val="0005273B"/>
    <w:rsid w:val="0006104E"/>
    <w:rsid w:val="000640BD"/>
    <w:rsid w:val="00065839"/>
    <w:rsid w:val="00065FDF"/>
    <w:rsid w:val="0007423B"/>
    <w:rsid w:val="00077844"/>
    <w:rsid w:val="000819CB"/>
    <w:rsid w:val="00090510"/>
    <w:rsid w:val="000917AE"/>
    <w:rsid w:val="000937C4"/>
    <w:rsid w:val="00094B81"/>
    <w:rsid w:val="000975AA"/>
    <w:rsid w:val="000A456F"/>
    <w:rsid w:val="000B6B15"/>
    <w:rsid w:val="000C01D7"/>
    <w:rsid w:val="000C25A7"/>
    <w:rsid w:val="000D59C6"/>
    <w:rsid w:val="000D78EC"/>
    <w:rsid w:val="000D7934"/>
    <w:rsid w:val="000E1F54"/>
    <w:rsid w:val="000E2597"/>
    <w:rsid w:val="000E6746"/>
    <w:rsid w:val="000F044C"/>
    <w:rsid w:val="000F7B51"/>
    <w:rsid w:val="00100A0D"/>
    <w:rsid w:val="00101BEE"/>
    <w:rsid w:val="00101CE6"/>
    <w:rsid w:val="00101FB1"/>
    <w:rsid w:val="00102CC6"/>
    <w:rsid w:val="0010558A"/>
    <w:rsid w:val="001101FF"/>
    <w:rsid w:val="00117BB1"/>
    <w:rsid w:val="00123625"/>
    <w:rsid w:val="001245F0"/>
    <w:rsid w:val="0012473C"/>
    <w:rsid w:val="00127A74"/>
    <w:rsid w:val="0013132F"/>
    <w:rsid w:val="0013306D"/>
    <w:rsid w:val="0013528C"/>
    <w:rsid w:val="00143C32"/>
    <w:rsid w:val="001442A2"/>
    <w:rsid w:val="0014556F"/>
    <w:rsid w:val="001455D4"/>
    <w:rsid w:val="001468CA"/>
    <w:rsid w:val="001500A8"/>
    <w:rsid w:val="00155D85"/>
    <w:rsid w:val="00165D28"/>
    <w:rsid w:val="0017005C"/>
    <w:rsid w:val="00175CD8"/>
    <w:rsid w:val="00177041"/>
    <w:rsid w:val="00182BD8"/>
    <w:rsid w:val="00191E73"/>
    <w:rsid w:val="00196AD4"/>
    <w:rsid w:val="001A2ED2"/>
    <w:rsid w:val="001A76F9"/>
    <w:rsid w:val="001B06FF"/>
    <w:rsid w:val="001B1703"/>
    <w:rsid w:val="001B28EB"/>
    <w:rsid w:val="001C00B2"/>
    <w:rsid w:val="001C1C2E"/>
    <w:rsid w:val="001C31A1"/>
    <w:rsid w:val="001C3FA2"/>
    <w:rsid w:val="001C5EE2"/>
    <w:rsid w:val="001D0077"/>
    <w:rsid w:val="001D0745"/>
    <w:rsid w:val="001D1C49"/>
    <w:rsid w:val="001D2DA2"/>
    <w:rsid w:val="001D6BDC"/>
    <w:rsid w:val="001E054C"/>
    <w:rsid w:val="001E407B"/>
    <w:rsid w:val="001E7A85"/>
    <w:rsid w:val="001E7FC6"/>
    <w:rsid w:val="001F2502"/>
    <w:rsid w:val="001F4F50"/>
    <w:rsid w:val="001F58F6"/>
    <w:rsid w:val="001F70A5"/>
    <w:rsid w:val="0020235D"/>
    <w:rsid w:val="0020369B"/>
    <w:rsid w:val="00207B4D"/>
    <w:rsid w:val="00211062"/>
    <w:rsid w:val="002117B1"/>
    <w:rsid w:val="00216A45"/>
    <w:rsid w:val="00217CCE"/>
    <w:rsid w:val="002203B1"/>
    <w:rsid w:val="00226F39"/>
    <w:rsid w:val="00227048"/>
    <w:rsid w:val="0023046A"/>
    <w:rsid w:val="002330D2"/>
    <w:rsid w:val="002334AD"/>
    <w:rsid w:val="00240BB2"/>
    <w:rsid w:val="00241B60"/>
    <w:rsid w:val="0024659E"/>
    <w:rsid w:val="002475AD"/>
    <w:rsid w:val="0025184B"/>
    <w:rsid w:val="00256987"/>
    <w:rsid w:val="002570F5"/>
    <w:rsid w:val="0025785B"/>
    <w:rsid w:val="00257969"/>
    <w:rsid w:val="002714AB"/>
    <w:rsid w:val="00280048"/>
    <w:rsid w:val="0028489E"/>
    <w:rsid w:val="002848DE"/>
    <w:rsid w:val="0028794E"/>
    <w:rsid w:val="0029413D"/>
    <w:rsid w:val="002A36D1"/>
    <w:rsid w:val="002A5841"/>
    <w:rsid w:val="002B1EDF"/>
    <w:rsid w:val="002B2061"/>
    <w:rsid w:val="002B5598"/>
    <w:rsid w:val="002C1232"/>
    <w:rsid w:val="002C1E44"/>
    <w:rsid w:val="002C5C92"/>
    <w:rsid w:val="002C5E29"/>
    <w:rsid w:val="002D0478"/>
    <w:rsid w:val="002D7127"/>
    <w:rsid w:val="002F05B5"/>
    <w:rsid w:val="002F599E"/>
    <w:rsid w:val="003008D8"/>
    <w:rsid w:val="00301D9A"/>
    <w:rsid w:val="00303959"/>
    <w:rsid w:val="00306E72"/>
    <w:rsid w:val="00312AC3"/>
    <w:rsid w:val="00314430"/>
    <w:rsid w:val="003163BC"/>
    <w:rsid w:val="00316A23"/>
    <w:rsid w:val="00320254"/>
    <w:rsid w:val="0032351A"/>
    <w:rsid w:val="00324B33"/>
    <w:rsid w:val="00327488"/>
    <w:rsid w:val="00327EB3"/>
    <w:rsid w:val="00336FE1"/>
    <w:rsid w:val="0034166E"/>
    <w:rsid w:val="00342D56"/>
    <w:rsid w:val="003456E7"/>
    <w:rsid w:val="00346EC2"/>
    <w:rsid w:val="003477F9"/>
    <w:rsid w:val="0035444D"/>
    <w:rsid w:val="00356D62"/>
    <w:rsid w:val="00363EE3"/>
    <w:rsid w:val="003735F3"/>
    <w:rsid w:val="00374729"/>
    <w:rsid w:val="00376CD3"/>
    <w:rsid w:val="00384C0F"/>
    <w:rsid w:val="00387298"/>
    <w:rsid w:val="00387984"/>
    <w:rsid w:val="00395140"/>
    <w:rsid w:val="003A2422"/>
    <w:rsid w:val="003B149C"/>
    <w:rsid w:val="003B56CF"/>
    <w:rsid w:val="003C0FDB"/>
    <w:rsid w:val="003C1192"/>
    <w:rsid w:val="003C55E2"/>
    <w:rsid w:val="003C63D5"/>
    <w:rsid w:val="003C7AA8"/>
    <w:rsid w:val="003D71A1"/>
    <w:rsid w:val="003D7F19"/>
    <w:rsid w:val="003E67B6"/>
    <w:rsid w:val="003E758D"/>
    <w:rsid w:val="003F50C0"/>
    <w:rsid w:val="00402776"/>
    <w:rsid w:val="0041688F"/>
    <w:rsid w:val="0042376F"/>
    <w:rsid w:val="004246B8"/>
    <w:rsid w:val="004248F1"/>
    <w:rsid w:val="00427605"/>
    <w:rsid w:val="00431154"/>
    <w:rsid w:val="00433318"/>
    <w:rsid w:val="00442A56"/>
    <w:rsid w:val="004444B0"/>
    <w:rsid w:val="0045060B"/>
    <w:rsid w:val="004626FF"/>
    <w:rsid w:val="00466644"/>
    <w:rsid w:val="00470A52"/>
    <w:rsid w:val="00471BD5"/>
    <w:rsid w:val="00477C4E"/>
    <w:rsid w:val="00477F07"/>
    <w:rsid w:val="00481503"/>
    <w:rsid w:val="00481D12"/>
    <w:rsid w:val="004854A6"/>
    <w:rsid w:val="00491A55"/>
    <w:rsid w:val="00494C3E"/>
    <w:rsid w:val="00497DF1"/>
    <w:rsid w:val="004A2436"/>
    <w:rsid w:val="004A318E"/>
    <w:rsid w:val="004A55EA"/>
    <w:rsid w:val="004A57E8"/>
    <w:rsid w:val="004B3081"/>
    <w:rsid w:val="004B4A09"/>
    <w:rsid w:val="004C41CE"/>
    <w:rsid w:val="004C5DA6"/>
    <w:rsid w:val="004C631B"/>
    <w:rsid w:val="004D2F00"/>
    <w:rsid w:val="004D31D8"/>
    <w:rsid w:val="004D5388"/>
    <w:rsid w:val="004D7E7E"/>
    <w:rsid w:val="004E78A8"/>
    <w:rsid w:val="004E7F16"/>
    <w:rsid w:val="004F18EC"/>
    <w:rsid w:val="004F3B0B"/>
    <w:rsid w:val="004F4850"/>
    <w:rsid w:val="00500D68"/>
    <w:rsid w:val="00503E53"/>
    <w:rsid w:val="00507EC1"/>
    <w:rsid w:val="005172FE"/>
    <w:rsid w:val="00517E89"/>
    <w:rsid w:val="00527063"/>
    <w:rsid w:val="0053377D"/>
    <w:rsid w:val="00535DFE"/>
    <w:rsid w:val="005373B5"/>
    <w:rsid w:val="00537AB7"/>
    <w:rsid w:val="0054669B"/>
    <w:rsid w:val="00550DBD"/>
    <w:rsid w:val="005610D1"/>
    <w:rsid w:val="00562385"/>
    <w:rsid w:val="00562F42"/>
    <w:rsid w:val="005649A0"/>
    <w:rsid w:val="00565739"/>
    <w:rsid w:val="0056766D"/>
    <w:rsid w:val="00575215"/>
    <w:rsid w:val="00577699"/>
    <w:rsid w:val="00584FB1"/>
    <w:rsid w:val="0058575E"/>
    <w:rsid w:val="0058783C"/>
    <w:rsid w:val="00587F7D"/>
    <w:rsid w:val="005911AE"/>
    <w:rsid w:val="005926E2"/>
    <w:rsid w:val="0059313A"/>
    <w:rsid w:val="00596494"/>
    <w:rsid w:val="005A54EA"/>
    <w:rsid w:val="005A5744"/>
    <w:rsid w:val="005B023F"/>
    <w:rsid w:val="005B02A2"/>
    <w:rsid w:val="005B1417"/>
    <w:rsid w:val="005B50D4"/>
    <w:rsid w:val="005B69CF"/>
    <w:rsid w:val="005C3F07"/>
    <w:rsid w:val="005C4B46"/>
    <w:rsid w:val="005C5DC5"/>
    <w:rsid w:val="005D2089"/>
    <w:rsid w:val="005D7514"/>
    <w:rsid w:val="005E0FC6"/>
    <w:rsid w:val="005E1A7B"/>
    <w:rsid w:val="005E231F"/>
    <w:rsid w:val="00602D6E"/>
    <w:rsid w:val="00605C05"/>
    <w:rsid w:val="00611351"/>
    <w:rsid w:val="0061217D"/>
    <w:rsid w:val="006277A1"/>
    <w:rsid w:val="00633BD7"/>
    <w:rsid w:val="00634580"/>
    <w:rsid w:val="00634884"/>
    <w:rsid w:val="006351D9"/>
    <w:rsid w:val="00637130"/>
    <w:rsid w:val="00637AAF"/>
    <w:rsid w:val="00637F0E"/>
    <w:rsid w:val="006423F2"/>
    <w:rsid w:val="00642BB6"/>
    <w:rsid w:val="00650234"/>
    <w:rsid w:val="00656C64"/>
    <w:rsid w:val="0066044B"/>
    <w:rsid w:val="0066182E"/>
    <w:rsid w:val="006630AA"/>
    <w:rsid w:val="00663544"/>
    <w:rsid w:val="00666539"/>
    <w:rsid w:val="00666911"/>
    <w:rsid w:val="00675F81"/>
    <w:rsid w:val="0068143E"/>
    <w:rsid w:val="0068507D"/>
    <w:rsid w:val="00691AF2"/>
    <w:rsid w:val="00692B80"/>
    <w:rsid w:val="00692CCD"/>
    <w:rsid w:val="00692D51"/>
    <w:rsid w:val="00694DD7"/>
    <w:rsid w:val="00695ACC"/>
    <w:rsid w:val="0069636B"/>
    <w:rsid w:val="006A1762"/>
    <w:rsid w:val="006A1F0B"/>
    <w:rsid w:val="006A277A"/>
    <w:rsid w:val="006A5973"/>
    <w:rsid w:val="006B7126"/>
    <w:rsid w:val="006C0525"/>
    <w:rsid w:val="006C6716"/>
    <w:rsid w:val="006C6B86"/>
    <w:rsid w:val="006D00E2"/>
    <w:rsid w:val="006D4553"/>
    <w:rsid w:val="006D4A35"/>
    <w:rsid w:val="006D4B5B"/>
    <w:rsid w:val="006D6B44"/>
    <w:rsid w:val="006E1083"/>
    <w:rsid w:val="006E27FE"/>
    <w:rsid w:val="00701110"/>
    <w:rsid w:val="00702E91"/>
    <w:rsid w:val="0070330F"/>
    <w:rsid w:val="00703624"/>
    <w:rsid w:val="007046ED"/>
    <w:rsid w:val="007072A1"/>
    <w:rsid w:val="00710BC5"/>
    <w:rsid w:val="007121CA"/>
    <w:rsid w:val="00717284"/>
    <w:rsid w:val="0072003B"/>
    <w:rsid w:val="00721059"/>
    <w:rsid w:val="007211E6"/>
    <w:rsid w:val="007220C4"/>
    <w:rsid w:val="007253B9"/>
    <w:rsid w:val="007301CA"/>
    <w:rsid w:val="00732361"/>
    <w:rsid w:val="00733FA4"/>
    <w:rsid w:val="007357B9"/>
    <w:rsid w:val="0073784F"/>
    <w:rsid w:val="00741AB9"/>
    <w:rsid w:val="00742D03"/>
    <w:rsid w:val="007436D8"/>
    <w:rsid w:val="00744216"/>
    <w:rsid w:val="007452E8"/>
    <w:rsid w:val="00746990"/>
    <w:rsid w:val="00747093"/>
    <w:rsid w:val="00750D70"/>
    <w:rsid w:val="007575D0"/>
    <w:rsid w:val="00764759"/>
    <w:rsid w:val="007662E0"/>
    <w:rsid w:val="00776E9C"/>
    <w:rsid w:val="007816D8"/>
    <w:rsid w:val="00783B37"/>
    <w:rsid w:val="00784150"/>
    <w:rsid w:val="007867D4"/>
    <w:rsid w:val="00793272"/>
    <w:rsid w:val="00794B64"/>
    <w:rsid w:val="007967C3"/>
    <w:rsid w:val="007A0A33"/>
    <w:rsid w:val="007A13FF"/>
    <w:rsid w:val="007A1BAD"/>
    <w:rsid w:val="007A2AC8"/>
    <w:rsid w:val="007A3E09"/>
    <w:rsid w:val="007B04DE"/>
    <w:rsid w:val="007B0AE6"/>
    <w:rsid w:val="007B3754"/>
    <w:rsid w:val="007C0F0B"/>
    <w:rsid w:val="007C55B0"/>
    <w:rsid w:val="007C57BC"/>
    <w:rsid w:val="007C72AD"/>
    <w:rsid w:val="007D04CA"/>
    <w:rsid w:val="007D0A2B"/>
    <w:rsid w:val="007D12A1"/>
    <w:rsid w:val="007D40E5"/>
    <w:rsid w:val="007D4138"/>
    <w:rsid w:val="007E1177"/>
    <w:rsid w:val="007E4178"/>
    <w:rsid w:val="007E76FB"/>
    <w:rsid w:val="007F0A77"/>
    <w:rsid w:val="007F50D3"/>
    <w:rsid w:val="007F6B1F"/>
    <w:rsid w:val="00804897"/>
    <w:rsid w:val="00817CF5"/>
    <w:rsid w:val="00820DAA"/>
    <w:rsid w:val="008278CD"/>
    <w:rsid w:val="008318E2"/>
    <w:rsid w:val="008329DB"/>
    <w:rsid w:val="008361C5"/>
    <w:rsid w:val="0083628F"/>
    <w:rsid w:val="00836A3F"/>
    <w:rsid w:val="00837AB9"/>
    <w:rsid w:val="0084424A"/>
    <w:rsid w:val="00850637"/>
    <w:rsid w:val="00854D98"/>
    <w:rsid w:val="0085751E"/>
    <w:rsid w:val="00860B29"/>
    <w:rsid w:val="008622E8"/>
    <w:rsid w:val="008645EE"/>
    <w:rsid w:val="008665DF"/>
    <w:rsid w:val="00870144"/>
    <w:rsid w:val="00873D7A"/>
    <w:rsid w:val="00877CB3"/>
    <w:rsid w:val="008804CF"/>
    <w:rsid w:val="00882D58"/>
    <w:rsid w:val="00882F19"/>
    <w:rsid w:val="00883D35"/>
    <w:rsid w:val="00884569"/>
    <w:rsid w:val="00885885"/>
    <w:rsid w:val="00887A51"/>
    <w:rsid w:val="00887D6F"/>
    <w:rsid w:val="00890D9B"/>
    <w:rsid w:val="00891C6C"/>
    <w:rsid w:val="00893CCD"/>
    <w:rsid w:val="008964B3"/>
    <w:rsid w:val="008B1CB5"/>
    <w:rsid w:val="008B2CFB"/>
    <w:rsid w:val="008B3DB0"/>
    <w:rsid w:val="008C2D69"/>
    <w:rsid w:val="008C49C6"/>
    <w:rsid w:val="008C754C"/>
    <w:rsid w:val="008D56C9"/>
    <w:rsid w:val="008D6A54"/>
    <w:rsid w:val="008E2585"/>
    <w:rsid w:val="008E2D7A"/>
    <w:rsid w:val="008F1E6C"/>
    <w:rsid w:val="008F3215"/>
    <w:rsid w:val="008F40FD"/>
    <w:rsid w:val="008F4A62"/>
    <w:rsid w:val="008F7256"/>
    <w:rsid w:val="0090424C"/>
    <w:rsid w:val="0090605E"/>
    <w:rsid w:val="009108CE"/>
    <w:rsid w:val="00912BB1"/>
    <w:rsid w:val="00914744"/>
    <w:rsid w:val="00915A9F"/>
    <w:rsid w:val="00930D58"/>
    <w:rsid w:val="00935AAA"/>
    <w:rsid w:val="0095031E"/>
    <w:rsid w:val="00950AB8"/>
    <w:rsid w:val="009530F5"/>
    <w:rsid w:val="00954297"/>
    <w:rsid w:val="00960A56"/>
    <w:rsid w:val="00966EF1"/>
    <w:rsid w:val="00967223"/>
    <w:rsid w:val="009673D2"/>
    <w:rsid w:val="009751F7"/>
    <w:rsid w:val="0098350E"/>
    <w:rsid w:val="00990E05"/>
    <w:rsid w:val="0099404F"/>
    <w:rsid w:val="00996FA5"/>
    <w:rsid w:val="009B4DBC"/>
    <w:rsid w:val="009B5662"/>
    <w:rsid w:val="009C2211"/>
    <w:rsid w:val="009C2514"/>
    <w:rsid w:val="009C40E8"/>
    <w:rsid w:val="009C45C5"/>
    <w:rsid w:val="009C6C12"/>
    <w:rsid w:val="009E1F73"/>
    <w:rsid w:val="009E6858"/>
    <w:rsid w:val="009E6F8C"/>
    <w:rsid w:val="009F405F"/>
    <w:rsid w:val="00A01C56"/>
    <w:rsid w:val="00A170D1"/>
    <w:rsid w:val="00A32C50"/>
    <w:rsid w:val="00A32DFF"/>
    <w:rsid w:val="00A34F19"/>
    <w:rsid w:val="00A358E7"/>
    <w:rsid w:val="00A36288"/>
    <w:rsid w:val="00A36CFB"/>
    <w:rsid w:val="00A4380B"/>
    <w:rsid w:val="00A51A2D"/>
    <w:rsid w:val="00A5596B"/>
    <w:rsid w:val="00A63C07"/>
    <w:rsid w:val="00A63D9B"/>
    <w:rsid w:val="00A704DC"/>
    <w:rsid w:val="00A93DC6"/>
    <w:rsid w:val="00A9411A"/>
    <w:rsid w:val="00AA4A4B"/>
    <w:rsid w:val="00AA6682"/>
    <w:rsid w:val="00AB1501"/>
    <w:rsid w:val="00AB4920"/>
    <w:rsid w:val="00AB5622"/>
    <w:rsid w:val="00AB7C5C"/>
    <w:rsid w:val="00AB7CBF"/>
    <w:rsid w:val="00AD0111"/>
    <w:rsid w:val="00AD448A"/>
    <w:rsid w:val="00AD4C72"/>
    <w:rsid w:val="00AD5451"/>
    <w:rsid w:val="00AE1947"/>
    <w:rsid w:val="00AF1AFA"/>
    <w:rsid w:val="00AF1C8B"/>
    <w:rsid w:val="00AF299B"/>
    <w:rsid w:val="00AF7E43"/>
    <w:rsid w:val="00B02AE0"/>
    <w:rsid w:val="00B05326"/>
    <w:rsid w:val="00B067D8"/>
    <w:rsid w:val="00B127E4"/>
    <w:rsid w:val="00B14545"/>
    <w:rsid w:val="00B14E60"/>
    <w:rsid w:val="00B16F63"/>
    <w:rsid w:val="00B17BA2"/>
    <w:rsid w:val="00B25008"/>
    <w:rsid w:val="00B26DC3"/>
    <w:rsid w:val="00B30B9D"/>
    <w:rsid w:val="00B343AB"/>
    <w:rsid w:val="00B4146D"/>
    <w:rsid w:val="00B4574D"/>
    <w:rsid w:val="00B468E1"/>
    <w:rsid w:val="00B46BC0"/>
    <w:rsid w:val="00B46DFB"/>
    <w:rsid w:val="00B5141B"/>
    <w:rsid w:val="00B5270E"/>
    <w:rsid w:val="00B55681"/>
    <w:rsid w:val="00B57AAD"/>
    <w:rsid w:val="00B63B0A"/>
    <w:rsid w:val="00B66469"/>
    <w:rsid w:val="00B72B16"/>
    <w:rsid w:val="00B749CE"/>
    <w:rsid w:val="00B80408"/>
    <w:rsid w:val="00B81397"/>
    <w:rsid w:val="00B86F80"/>
    <w:rsid w:val="00B925DB"/>
    <w:rsid w:val="00B967FF"/>
    <w:rsid w:val="00B974B9"/>
    <w:rsid w:val="00BA3F6D"/>
    <w:rsid w:val="00BA458D"/>
    <w:rsid w:val="00BA4BE6"/>
    <w:rsid w:val="00BA4FC0"/>
    <w:rsid w:val="00BA61E0"/>
    <w:rsid w:val="00BA6D03"/>
    <w:rsid w:val="00BA7F7D"/>
    <w:rsid w:val="00BB1C14"/>
    <w:rsid w:val="00BB6847"/>
    <w:rsid w:val="00BB7D75"/>
    <w:rsid w:val="00BB7F8F"/>
    <w:rsid w:val="00BC198B"/>
    <w:rsid w:val="00BC716A"/>
    <w:rsid w:val="00BD07DF"/>
    <w:rsid w:val="00BD26F4"/>
    <w:rsid w:val="00BD3692"/>
    <w:rsid w:val="00BD5DBD"/>
    <w:rsid w:val="00BD5DF6"/>
    <w:rsid w:val="00BE0041"/>
    <w:rsid w:val="00BE640F"/>
    <w:rsid w:val="00BF4638"/>
    <w:rsid w:val="00C018DE"/>
    <w:rsid w:val="00C059D0"/>
    <w:rsid w:val="00C07551"/>
    <w:rsid w:val="00C1109F"/>
    <w:rsid w:val="00C1265A"/>
    <w:rsid w:val="00C12D65"/>
    <w:rsid w:val="00C133AB"/>
    <w:rsid w:val="00C20B56"/>
    <w:rsid w:val="00C21009"/>
    <w:rsid w:val="00C22214"/>
    <w:rsid w:val="00C26F72"/>
    <w:rsid w:val="00C309A7"/>
    <w:rsid w:val="00C32A77"/>
    <w:rsid w:val="00C335AB"/>
    <w:rsid w:val="00C3522A"/>
    <w:rsid w:val="00C407AB"/>
    <w:rsid w:val="00C4447D"/>
    <w:rsid w:val="00C51482"/>
    <w:rsid w:val="00C52B7B"/>
    <w:rsid w:val="00C537E3"/>
    <w:rsid w:val="00C547CD"/>
    <w:rsid w:val="00C570FF"/>
    <w:rsid w:val="00C57CEA"/>
    <w:rsid w:val="00C60FEC"/>
    <w:rsid w:val="00C6574E"/>
    <w:rsid w:val="00C660D8"/>
    <w:rsid w:val="00C707FD"/>
    <w:rsid w:val="00C76DEB"/>
    <w:rsid w:val="00C816C6"/>
    <w:rsid w:val="00C82317"/>
    <w:rsid w:val="00C863A7"/>
    <w:rsid w:val="00C90965"/>
    <w:rsid w:val="00C912F4"/>
    <w:rsid w:val="00C9156F"/>
    <w:rsid w:val="00C9581A"/>
    <w:rsid w:val="00C97D29"/>
    <w:rsid w:val="00CA29BC"/>
    <w:rsid w:val="00CA4B81"/>
    <w:rsid w:val="00CB0550"/>
    <w:rsid w:val="00CB6813"/>
    <w:rsid w:val="00CE0567"/>
    <w:rsid w:val="00CF57EF"/>
    <w:rsid w:val="00CF6A55"/>
    <w:rsid w:val="00CF6DC6"/>
    <w:rsid w:val="00CF6DCF"/>
    <w:rsid w:val="00D01DDB"/>
    <w:rsid w:val="00D078BE"/>
    <w:rsid w:val="00D13F8A"/>
    <w:rsid w:val="00D16F60"/>
    <w:rsid w:val="00D22981"/>
    <w:rsid w:val="00D309BD"/>
    <w:rsid w:val="00D33168"/>
    <w:rsid w:val="00D3349B"/>
    <w:rsid w:val="00D37E0F"/>
    <w:rsid w:val="00D40446"/>
    <w:rsid w:val="00D424A8"/>
    <w:rsid w:val="00D4608C"/>
    <w:rsid w:val="00D6036F"/>
    <w:rsid w:val="00D62877"/>
    <w:rsid w:val="00D63760"/>
    <w:rsid w:val="00D6703F"/>
    <w:rsid w:val="00D734EB"/>
    <w:rsid w:val="00D82713"/>
    <w:rsid w:val="00D86F00"/>
    <w:rsid w:val="00D9114B"/>
    <w:rsid w:val="00D918D5"/>
    <w:rsid w:val="00D94C8E"/>
    <w:rsid w:val="00DB1372"/>
    <w:rsid w:val="00DB192C"/>
    <w:rsid w:val="00DB1CF3"/>
    <w:rsid w:val="00DB4546"/>
    <w:rsid w:val="00DB5425"/>
    <w:rsid w:val="00DB72A6"/>
    <w:rsid w:val="00DC258C"/>
    <w:rsid w:val="00DC6611"/>
    <w:rsid w:val="00DD7E98"/>
    <w:rsid w:val="00DE1344"/>
    <w:rsid w:val="00DE35B0"/>
    <w:rsid w:val="00DF2907"/>
    <w:rsid w:val="00DF5BFE"/>
    <w:rsid w:val="00E01E1E"/>
    <w:rsid w:val="00E0523F"/>
    <w:rsid w:val="00E079E4"/>
    <w:rsid w:val="00E23401"/>
    <w:rsid w:val="00E23E50"/>
    <w:rsid w:val="00E26213"/>
    <w:rsid w:val="00E274DF"/>
    <w:rsid w:val="00E34D66"/>
    <w:rsid w:val="00E35E49"/>
    <w:rsid w:val="00E362C4"/>
    <w:rsid w:val="00E459FD"/>
    <w:rsid w:val="00E46CC2"/>
    <w:rsid w:val="00E47E0C"/>
    <w:rsid w:val="00E51813"/>
    <w:rsid w:val="00E52C0B"/>
    <w:rsid w:val="00E532B3"/>
    <w:rsid w:val="00E5340F"/>
    <w:rsid w:val="00E53D3F"/>
    <w:rsid w:val="00E5579B"/>
    <w:rsid w:val="00E57FF4"/>
    <w:rsid w:val="00E678E7"/>
    <w:rsid w:val="00E679D1"/>
    <w:rsid w:val="00E67C1C"/>
    <w:rsid w:val="00E707D0"/>
    <w:rsid w:val="00E91F11"/>
    <w:rsid w:val="00E92478"/>
    <w:rsid w:val="00E95894"/>
    <w:rsid w:val="00E96B1A"/>
    <w:rsid w:val="00E9706D"/>
    <w:rsid w:val="00EA3AF4"/>
    <w:rsid w:val="00EC2D1B"/>
    <w:rsid w:val="00EC4C2C"/>
    <w:rsid w:val="00EC5950"/>
    <w:rsid w:val="00EE7771"/>
    <w:rsid w:val="00EF33DE"/>
    <w:rsid w:val="00EF3F0B"/>
    <w:rsid w:val="00EF5583"/>
    <w:rsid w:val="00EF5A0B"/>
    <w:rsid w:val="00EF60A2"/>
    <w:rsid w:val="00F0289D"/>
    <w:rsid w:val="00F02AEC"/>
    <w:rsid w:val="00F07572"/>
    <w:rsid w:val="00F07B48"/>
    <w:rsid w:val="00F1200D"/>
    <w:rsid w:val="00F147D2"/>
    <w:rsid w:val="00F157FC"/>
    <w:rsid w:val="00F30AF3"/>
    <w:rsid w:val="00F34170"/>
    <w:rsid w:val="00F346B4"/>
    <w:rsid w:val="00F35AFB"/>
    <w:rsid w:val="00F43CD1"/>
    <w:rsid w:val="00F44E59"/>
    <w:rsid w:val="00F45844"/>
    <w:rsid w:val="00F45AE0"/>
    <w:rsid w:val="00F45FFE"/>
    <w:rsid w:val="00F60CF2"/>
    <w:rsid w:val="00F657B4"/>
    <w:rsid w:val="00F73D00"/>
    <w:rsid w:val="00F746AE"/>
    <w:rsid w:val="00F75BCA"/>
    <w:rsid w:val="00F7649F"/>
    <w:rsid w:val="00F8083B"/>
    <w:rsid w:val="00F865A7"/>
    <w:rsid w:val="00F9157A"/>
    <w:rsid w:val="00FA0754"/>
    <w:rsid w:val="00FA1BC9"/>
    <w:rsid w:val="00FA22EB"/>
    <w:rsid w:val="00FA49C3"/>
    <w:rsid w:val="00FB236E"/>
    <w:rsid w:val="00FB3F7B"/>
    <w:rsid w:val="00FB4C2A"/>
    <w:rsid w:val="00FB50D1"/>
    <w:rsid w:val="00FC030A"/>
    <w:rsid w:val="00FC2107"/>
    <w:rsid w:val="00FC48FE"/>
    <w:rsid w:val="00FC6F56"/>
    <w:rsid w:val="00FD0D4E"/>
    <w:rsid w:val="00FE087C"/>
    <w:rsid w:val="00FE79A0"/>
    <w:rsid w:val="00FF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34"/>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paragraph" w:customStyle="1" w:styleId="Default">
    <w:name w:val="Default"/>
    <w:rsid w:val="008318E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ga.gov.au/black-triangle-scheme" TargetMode="External"/><Relationship Id="rId26" Type="http://schemas.openxmlformats.org/officeDocument/2006/relationships/hyperlink" Target="https://www.tga.gov.au/products/australian-register-therapeutic-goods-artg/product-information-one" TargetMode="External"/><Relationship Id="rId3" Type="http://schemas.openxmlformats.org/officeDocument/2006/relationships/customXml" Target="../customXml/item3.xml"/><Relationship Id="rId21" Type="http://schemas.openxmlformats.org/officeDocument/2006/relationships/hyperlink" Target="https://www.tga.gov.au/comparable-overseas-regulators-cors-timeframes-and-mileston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ga.copyright@tga.gov.au" TargetMode="External"/><Relationship Id="rId25" Type="http://schemas.openxmlformats.org/officeDocument/2006/relationships/image" Target="media/image7.emf"/><Relationship Id="rId33" Type="http://schemas.openxmlformats.org/officeDocument/2006/relationships/hyperlink" Target="https://www.tga.gov.au" TargetMode="External"/><Relationship Id="rId2" Type="http://schemas.openxmlformats.org/officeDocument/2006/relationships/customXml" Target="../customXml/item2.xml"/><Relationship Id="rId16" Type="http://schemas.openxmlformats.org/officeDocument/2006/relationships/hyperlink" Target="https://www.tga.gov.au/australian-public-assessment-report-auspar-guidance" TargetMode="External"/><Relationship Id="rId20" Type="http://schemas.openxmlformats.org/officeDocument/2006/relationships/hyperlink" Target="https://www.tga.gov.au/obstetric-drug-information-services" TargetMode="External"/><Relationship Id="rId29" Type="http://schemas.openxmlformats.org/officeDocument/2006/relationships/hyperlink" Target="https://www.tga.gov.au/picmi-search-fac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hyperlink" Target="mailto:info@tga.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ga.gov.au/" TargetMode="External"/><Relationship Id="rId23" Type="http://schemas.openxmlformats.org/officeDocument/2006/relationships/image" Target="media/image5.emf"/><Relationship Id="rId28" Type="http://schemas.openxmlformats.org/officeDocument/2006/relationships/hyperlink" Target="https://www.tga.gov.au/products/australian-register-therapeutic-goods-artg/consumer-medicines-information-cm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ga.gov.au/products/medicines/find-information-about-medicine/prescribing-medicines-pregnancy-databas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yperlink" Target="https://www.tga.gov.au/products/australian-register-therapeutic-goods-artg/product-information-one" TargetMode="External"/><Relationship Id="rId30" Type="http://schemas.openxmlformats.org/officeDocument/2006/relationships/header" Target="header3.xm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F7E8EE8666E4697125379E382FE06" ma:contentTypeVersion="14" ma:contentTypeDescription="Create a new document." ma:contentTypeScope="" ma:versionID="c74e7209edd455249d5765db28011c76">
  <xsd:schema xmlns:xsd="http://www.w3.org/2001/XMLSchema" xmlns:xs="http://www.w3.org/2001/XMLSchema" xmlns:p="http://schemas.microsoft.com/office/2006/metadata/properties" xmlns:ns2="0195543b-aa3a-47cc-9df2-0ab857230f98" xmlns:ns3="34b9f11d-38e0-4b8b-b0a6-99b6dd5bbd68" targetNamespace="http://schemas.microsoft.com/office/2006/metadata/properties" ma:root="true" ma:fieldsID="a557c4ee6075af0511348029548c6376" ns2:_="" ns3:_="">
    <xsd:import namespace="0195543b-aa3a-47cc-9df2-0ab857230f98"/>
    <xsd:import namespace="34b9f11d-38e0-4b8b-b0a6-99b6dd5bbd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5543b-aa3a-47cc-9df2-0ab85723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c95266-55d7-46e2-ae79-db11ca0177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9f11d-38e0-4b8b-b0a6-99b6dd5bbd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c49d81-19b9-447f-bdd5-67b6cf734912}" ma:internalName="TaxCatchAll" ma:showField="CatchAllData" ma:web="34b9f11d-38e0-4b8b-b0a6-99b6dd5bbd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b9f11d-38e0-4b8b-b0a6-99b6dd5bbd68" xsi:nil="true"/>
    <lcf76f155ced4ddcb4097134ff3c332f xmlns="0195543b-aa3a-47cc-9df2-0ab857230f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3E5E1-3A13-4052-AF4D-F1678DB4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5543b-aa3a-47cc-9df2-0ab857230f98"/>
    <ds:schemaRef ds:uri="34b9f11d-38e0-4b8b-b0a6-99b6dd5b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F30EB-5087-45A9-BD2B-7F3C93948353}">
  <ds:schemaRefs>
    <ds:schemaRef ds:uri="http://schemas.microsoft.com/office/2006/metadata/properties"/>
    <ds:schemaRef ds:uri="http://schemas.microsoft.com/office/infopath/2007/PartnerControls"/>
    <ds:schemaRef ds:uri="34b9f11d-38e0-4b8b-b0a6-99b6dd5bbd68"/>
    <ds:schemaRef ds:uri="0195543b-aa3a-47cc-9df2-0ab857230f98"/>
  </ds:schemaRefs>
</ds:datastoreItem>
</file>

<file path=customXml/itemProps3.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customXml/itemProps4.xml><?xml version="1.0" encoding="utf-8"?>
<ds:datastoreItem xmlns:ds="http://schemas.openxmlformats.org/officeDocument/2006/customXml" ds:itemID="{2F4540FA-B50D-4DD8-886F-04E76EC28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4884</Words>
  <Characters>27842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and Aged Care</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Raniviz</dc:title>
  <dc:subject>Prescription medicines</dc:subject>
  <dc:creator>Therapeutic Goods Administration</dc:creator>
  <cp:keywords/>
  <dc:description/>
  <cp:lastModifiedBy>LACK, Janet</cp:lastModifiedBy>
  <cp:revision>3</cp:revision>
  <dcterms:created xsi:type="dcterms:W3CDTF">2024-06-23T23:12:00Z</dcterms:created>
  <dcterms:modified xsi:type="dcterms:W3CDTF">2024-06-23T23:14:00Z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0x010100952A059D83AE1743B7878F054749294B</vt:lpwstr>
  </property>
  <property fmtid="{D5CDD505-2E9C-101B-9397-08002B2CF9AE}" pid="3" name="MediaServiceImageTags">
    <vt:lpwstr/>
  </property>
</Properties>
</file>