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E4E40C1" w:rsidR="00F02AEC" w:rsidRPr="00215D48" w:rsidRDefault="00346EC2" w:rsidP="007452E8">
            <w:pPr>
              <w:pStyle w:val="Title"/>
            </w:pPr>
            <w:r w:rsidRPr="00346EC2">
              <w:t xml:space="preserve">Australian Public Assessment Report for </w:t>
            </w:r>
            <w:r w:rsidR="000A423B">
              <w:t>XEOMIN</w:t>
            </w:r>
          </w:p>
        </w:tc>
      </w:tr>
      <w:tr w:rsidR="00F02AEC" w:rsidRPr="00215D48" w14:paraId="318A40A3" w14:textId="77777777" w:rsidTr="00346EC2">
        <w:trPr>
          <w:trHeight w:val="995"/>
        </w:trPr>
        <w:tc>
          <w:tcPr>
            <w:tcW w:w="8720" w:type="dxa"/>
          </w:tcPr>
          <w:p w14:paraId="1AA7C701" w14:textId="2AB1E2CF" w:rsidR="00F02AEC" w:rsidRPr="00215D48" w:rsidRDefault="00346EC2" w:rsidP="007452E8">
            <w:pPr>
              <w:pStyle w:val="Subtitle"/>
              <w:ind w:left="0"/>
            </w:pPr>
            <w:r w:rsidRPr="00346EC2">
              <w:t>Active ingredient</w:t>
            </w:r>
            <w:r w:rsidR="0056450A">
              <w:t xml:space="preserve">: </w:t>
            </w:r>
            <w:r w:rsidR="00B0743D">
              <w:t xml:space="preserve"> </w:t>
            </w:r>
            <w:proofErr w:type="spellStart"/>
            <w:r w:rsidR="00B0743D" w:rsidRPr="00B0743D">
              <w:t>incobotulinumtoxinA</w:t>
            </w:r>
            <w:proofErr w:type="spellEnd"/>
          </w:p>
        </w:tc>
      </w:tr>
      <w:tr w:rsidR="00346EC2" w:rsidRPr="00215D48" w14:paraId="362CCAE4" w14:textId="77777777" w:rsidTr="007452E8">
        <w:trPr>
          <w:trHeight w:val="1916"/>
        </w:trPr>
        <w:tc>
          <w:tcPr>
            <w:tcW w:w="8720" w:type="dxa"/>
          </w:tcPr>
          <w:p w14:paraId="709C45C0" w14:textId="6B16F325" w:rsidR="00346EC2" w:rsidRPr="00215D48" w:rsidRDefault="00140508" w:rsidP="007452E8">
            <w:pPr>
              <w:pStyle w:val="Subtitle"/>
              <w:ind w:left="0"/>
            </w:pPr>
            <w:r>
              <w:t>Sponsor</w:t>
            </w:r>
            <w:r w:rsidR="00346EC2" w:rsidRPr="00346EC2">
              <w:t xml:space="preserve">: </w:t>
            </w:r>
            <w:r w:rsidR="00DA0B5E">
              <w:t xml:space="preserve">Merz Australia Pty Ltd </w:t>
            </w:r>
          </w:p>
        </w:tc>
      </w:tr>
      <w:tr w:rsidR="00F02AEC" w:rsidRPr="00215D48" w14:paraId="37F2AA1F" w14:textId="77777777" w:rsidTr="007452E8">
        <w:tc>
          <w:tcPr>
            <w:tcW w:w="8720" w:type="dxa"/>
          </w:tcPr>
          <w:p w14:paraId="1FDE8DCD" w14:textId="6A7AB3C5" w:rsidR="00F02AEC" w:rsidRPr="00215D48" w:rsidRDefault="000A423B" w:rsidP="007452E8">
            <w:pPr>
              <w:pStyle w:val="Date"/>
            </w:pPr>
            <w:r>
              <w:t xml:space="preserve">June </w:t>
            </w:r>
            <w:r w:rsidR="00DA0B5E">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65F3B98D" w14:textId="3DDE9966" w:rsidR="008A47A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0887894" w:history="1">
            <w:r w:rsidR="008A47AB" w:rsidRPr="00AD3691">
              <w:rPr>
                <w:rStyle w:val="Hyperlink"/>
                <w:noProof/>
              </w:rPr>
              <w:t>List of abbreviations</w:t>
            </w:r>
            <w:r w:rsidR="008A47AB">
              <w:rPr>
                <w:noProof/>
                <w:webHidden/>
              </w:rPr>
              <w:tab/>
            </w:r>
            <w:r w:rsidR="008A47AB">
              <w:rPr>
                <w:noProof/>
                <w:webHidden/>
              </w:rPr>
              <w:fldChar w:fldCharType="begin"/>
            </w:r>
            <w:r w:rsidR="008A47AB">
              <w:rPr>
                <w:noProof/>
                <w:webHidden/>
              </w:rPr>
              <w:instrText xml:space="preserve"> PAGEREF _Toc170887894 \h </w:instrText>
            </w:r>
            <w:r w:rsidR="008A47AB">
              <w:rPr>
                <w:noProof/>
                <w:webHidden/>
              </w:rPr>
            </w:r>
            <w:r w:rsidR="008A47AB">
              <w:rPr>
                <w:noProof/>
                <w:webHidden/>
              </w:rPr>
              <w:fldChar w:fldCharType="separate"/>
            </w:r>
            <w:r w:rsidR="008A47AB">
              <w:rPr>
                <w:noProof/>
                <w:webHidden/>
              </w:rPr>
              <w:t>4</w:t>
            </w:r>
            <w:r w:rsidR="008A47AB">
              <w:rPr>
                <w:noProof/>
                <w:webHidden/>
              </w:rPr>
              <w:fldChar w:fldCharType="end"/>
            </w:r>
          </w:hyperlink>
        </w:p>
        <w:p w14:paraId="522245B7" w14:textId="3268D22B" w:rsidR="008A47AB" w:rsidRDefault="008A47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887895" w:history="1">
            <w:r w:rsidRPr="00AD3691">
              <w:rPr>
                <w:rStyle w:val="Hyperlink"/>
                <w:noProof/>
              </w:rPr>
              <w:t>Product submission</w:t>
            </w:r>
            <w:r>
              <w:rPr>
                <w:noProof/>
                <w:webHidden/>
              </w:rPr>
              <w:tab/>
            </w:r>
            <w:r>
              <w:rPr>
                <w:noProof/>
                <w:webHidden/>
              </w:rPr>
              <w:fldChar w:fldCharType="begin"/>
            </w:r>
            <w:r>
              <w:rPr>
                <w:noProof/>
                <w:webHidden/>
              </w:rPr>
              <w:instrText xml:space="preserve"> PAGEREF _Toc170887895 \h </w:instrText>
            </w:r>
            <w:r>
              <w:rPr>
                <w:noProof/>
                <w:webHidden/>
              </w:rPr>
            </w:r>
            <w:r>
              <w:rPr>
                <w:noProof/>
                <w:webHidden/>
              </w:rPr>
              <w:fldChar w:fldCharType="separate"/>
            </w:r>
            <w:r>
              <w:rPr>
                <w:noProof/>
                <w:webHidden/>
              </w:rPr>
              <w:t>5</w:t>
            </w:r>
            <w:r>
              <w:rPr>
                <w:noProof/>
                <w:webHidden/>
              </w:rPr>
              <w:fldChar w:fldCharType="end"/>
            </w:r>
          </w:hyperlink>
        </w:p>
        <w:p w14:paraId="07D9621D" w14:textId="20D18F0E"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896" w:history="1">
            <w:r w:rsidRPr="00AD3691">
              <w:rPr>
                <w:rStyle w:val="Hyperlink"/>
                <w:noProof/>
                <w:lang w:eastAsia="en-AU"/>
              </w:rPr>
              <w:t>Submission details</w:t>
            </w:r>
            <w:r>
              <w:rPr>
                <w:noProof/>
                <w:webHidden/>
              </w:rPr>
              <w:tab/>
            </w:r>
            <w:r>
              <w:rPr>
                <w:noProof/>
                <w:webHidden/>
              </w:rPr>
              <w:fldChar w:fldCharType="begin"/>
            </w:r>
            <w:r>
              <w:rPr>
                <w:noProof/>
                <w:webHidden/>
              </w:rPr>
              <w:instrText xml:space="preserve"> PAGEREF _Toc170887896 \h </w:instrText>
            </w:r>
            <w:r>
              <w:rPr>
                <w:noProof/>
                <w:webHidden/>
              </w:rPr>
            </w:r>
            <w:r>
              <w:rPr>
                <w:noProof/>
                <w:webHidden/>
              </w:rPr>
              <w:fldChar w:fldCharType="separate"/>
            </w:r>
            <w:r>
              <w:rPr>
                <w:noProof/>
                <w:webHidden/>
              </w:rPr>
              <w:t>5</w:t>
            </w:r>
            <w:r>
              <w:rPr>
                <w:noProof/>
                <w:webHidden/>
              </w:rPr>
              <w:fldChar w:fldCharType="end"/>
            </w:r>
          </w:hyperlink>
        </w:p>
        <w:p w14:paraId="3995A3D7" w14:textId="7FD6BDE2"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897" w:history="1">
            <w:r w:rsidRPr="00AD3691">
              <w:rPr>
                <w:rStyle w:val="Hyperlink"/>
                <w:noProof/>
              </w:rPr>
              <w:t>Product background</w:t>
            </w:r>
            <w:r>
              <w:rPr>
                <w:noProof/>
                <w:webHidden/>
              </w:rPr>
              <w:tab/>
            </w:r>
            <w:r>
              <w:rPr>
                <w:noProof/>
                <w:webHidden/>
              </w:rPr>
              <w:fldChar w:fldCharType="begin"/>
            </w:r>
            <w:r>
              <w:rPr>
                <w:noProof/>
                <w:webHidden/>
              </w:rPr>
              <w:instrText xml:space="preserve"> PAGEREF _Toc170887897 \h </w:instrText>
            </w:r>
            <w:r>
              <w:rPr>
                <w:noProof/>
                <w:webHidden/>
              </w:rPr>
            </w:r>
            <w:r>
              <w:rPr>
                <w:noProof/>
                <w:webHidden/>
              </w:rPr>
              <w:fldChar w:fldCharType="separate"/>
            </w:r>
            <w:r>
              <w:rPr>
                <w:noProof/>
                <w:webHidden/>
              </w:rPr>
              <w:t>6</w:t>
            </w:r>
            <w:r>
              <w:rPr>
                <w:noProof/>
                <w:webHidden/>
              </w:rPr>
              <w:fldChar w:fldCharType="end"/>
            </w:r>
          </w:hyperlink>
        </w:p>
        <w:p w14:paraId="3CBB3683" w14:textId="774246D1"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898" w:history="1">
            <w:r w:rsidRPr="00AD3691">
              <w:rPr>
                <w:rStyle w:val="Hyperlink"/>
                <w:noProof/>
              </w:rPr>
              <w:t>The disease/condition</w:t>
            </w:r>
            <w:r>
              <w:rPr>
                <w:noProof/>
                <w:webHidden/>
              </w:rPr>
              <w:tab/>
            </w:r>
            <w:r>
              <w:rPr>
                <w:noProof/>
                <w:webHidden/>
              </w:rPr>
              <w:fldChar w:fldCharType="begin"/>
            </w:r>
            <w:r>
              <w:rPr>
                <w:noProof/>
                <w:webHidden/>
              </w:rPr>
              <w:instrText xml:space="preserve"> PAGEREF _Toc170887898 \h </w:instrText>
            </w:r>
            <w:r>
              <w:rPr>
                <w:noProof/>
                <w:webHidden/>
              </w:rPr>
            </w:r>
            <w:r>
              <w:rPr>
                <w:noProof/>
                <w:webHidden/>
              </w:rPr>
              <w:fldChar w:fldCharType="separate"/>
            </w:r>
            <w:r>
              <w:rPr>
                <w:noProof/>
                <w:webHidden/>
              </w:rPr>
              <w:t>7</w:t>
            </w:r>
            <w:r>
              <w:rPr>
                <w:noProof/>
                <w:webHidden/>
              </w:rPr>
              <w:fldChar w:fldCharType="end"/>
            </w:r>
          </w:hyperlink>
        </w:p>
        <w:p w14:paraId="75271D66" w14:textId="5F9EBC83"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899" w:history="1">
            <w:r w:rsidRPr="00AD3691">
              <w:rPr>
                <w:rStyle w:val="Hyperlink"/>
                <w:noProof/>
              </w:rPr>
              <w:t>Current treatment options</w:t>
            </w:r>
            <w:r>
              <w:rPr>
                <w:noProof/>
                <w:webHidden/>
              </w:rPr>
              <w:tab/>
            </w:r>
            <w:r>
              <w:rPr>
                <w:noProof/>
                <w:webHidden/>
              </w:rPr>
              <w:fldChar w:fldCharType="begin"/>
            </w:r>
            <w:r>
              <w:rPr>
                <w:noProof/>
                <w:webHidden/>
              </w:rPr>
              <w:instrText xml:space="preserve"> PAGEREF _Toc170887899 \h </w:instrText>
            </w:r>
            <w:r>
              <w:rPr>
                <w:noProof/>
                <w:webHidden/>
              </w:rPr>
            </w:r>
            <w:r>
              <w:rPr>
                <w:noProof/>
                <w:webHidden/>
              </w:rPr>
              <w:fldChar w:fldCharType="separate"/>
            </w:r>
            <w:r>
              <w:rPr>
                <w:noProof/>
                <w:webHidden/>
              </w:rPr>
              <w:t>7</w:t>
            </w:r>
            <w:r>
              <w:rPr>
                <w:noProof/>
                <w:webHidden/>
              </w:rPr>
              <w:fldChar w:fldCharType="end"/>
            </w:r>
          </w:hyperlink>
        </w:p>
        <w:p w14:paraId="789FBBC6" w14:textId="5645D829"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00" w:history="1">
            <w:r w:rsidRPr="00AD3691">
              <w:rPr>
                <w:rStyle w:val="Hyperlink"/>
                <w:noProof/>
              </w:rPr>
              <w:t>Clinical rationale</w:t>
            </w:r>
            <w:r>
              <w:rPr>
                <w:noProof/>
                <w:webHidden/>
              </w:rPr>
              <w:tab/>
            </w:r>
            <w:r>
              <w:rPr>
                <w:noProof/>
                <w:webHidden/>
              </w:rPr>
              <w:fldChar w:fldCharType="begin"/>
            </w:r>
            <w:r>
              <w:rPr>
                <w:noProof/>
                <w:webHidden/>
              </w:rPr>
              <w:instrText xml:space="preserve"> PAGEREF _Toc170887900 \h </w:instrText>
            </w:r>
            <w:r>
              <w:rPr>
                <w:noProof/>
                <w:webHidden/>
              </w:rPr>
            </w:r>
            <w:r>
              <w:rPr>
                <w:noProof/>
                <w:webHidden/>
              </w:rPr>
              <w:fldChar w:fldCharType="separate"/>
            </w:r>
            <w:r>
              <w:rPr>
                <w:noProof/>
                <w:webHidden/>
              </w:rPr>
              <w:t>8</w:t>
            </w:r>
            <w:r>
              <w:rPr>
                <w:noProof/>
                <w:webHidden/>
              </w:rPr>
              <w:fldChar w:fldCharType="end"/>
            </w:r>
          </w:hyperlink>
        </w:p>
        <w:p w14:paraId="22F3A686" w14:textId="76E99CF7"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01" w:history="1">
            <w:r w:rsidRPr="00AD3691">
              <w:rPr>
                <w:rStyle w:val="Hyperlink"/>
                <w:noProof/>
              </w:rPr>
              <w:t>Regulatory status</w:t>
            </w:r>
            <w:r>
              <w:rPr>
                <w:noProof/>
                <w:webHidden/>
              </w:rPr>
              <w:tab/>
            </w:r>
            <w:r>
              <w:rPr>
                <w:noProof/>
                <w:webHidden/>
              </w:rPr>
              <w:fldChar w:fldCharType="begin"/>
            </w:r>
            <w:r>
              <w:rPr>
                <w:noProof/>
                <w:webHidden/>
              </w:rPr>
              <w:instrText xml:space="preserve"> PAGEREF _Toc170887901 \h </w:instrText>
            </w:r>
            <w:r>
              <w:rPr>
                <w:noProof/>
                <w:webHidden/>
              </w:rPr>
            </w:r>
            <w:r>
              <w:rPr>
                <w:noProof/>
                <w:webHidden/>
              </w:rPr>
              <w:fldChar w:fldCharType="separate"/>
            </w:r>
            <w:r>
              <w:rPr>
                <w:noProof/>
                <w:webHidden/>
              </w:rPr>
              <w:t>9</w:t>
            </w:r>
            <w:r>
              <w:rPr>
                <w:noProof/>
                <w:webHidden/>
              </w:rPr>
              <w:fldChar w:fldCharType="end"/>
            </w:r>
          </w:hyperlink>
        </w:p>
        <w:p w14:paraId="78482570" w14:textId="0CC019D6"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02" w:history="1">
            <w:r w:rsidRPr="00AD3691">
              <w:rPr>
                <w:rStyle w:val="Hyperlink"/>
                <w:noProof/>
              </w:rPr>
              <w:t>Australian regulatory status</w:t>
            </w:r>
            <w:r>
              <w:rPr>
                <w:noProof/>
                <w:webHidden/>
              </w:rPr>
              <w:tab/>
            </w:r>
            <w:r>
              <w:rPr>
                <w:noProof/>
                <w:webHidden/>
              </w:rPr>
              <w:fldChar w:fldCharType="begin"/>
            </w:r>
            <w:r>
              <w:rPr>
                <w:noProof/>
                <w:webHidden/>
              </w:rPr>
              <w:instrText xml:space="preserve"> PAGEREF _Toc170887902 \h </w:instrText>
            </w:r>
            <w:r>
              <w:rPr>
                <w:noProof/>
                <w:webHidden/>
              </w:rPr>
            </w:r>
            <w:r>
              <w:rPr>
                <w:noProof/>
                <w:webHidden/>
              </w:rPr>
              <w:fldChar w:fldCharType="separate"/>
            </w:r>
            <w:r>
              <w:rPr>
                <w:noProof/>
                <w:webHidden/>
              </w:rPr>
              <w:t>9</w:t>
            </w:r>
            <w:r>
              <w:rPr>
                <w:noProof/>
                <w:webHidden/>
              </w:rPr>
              <w:fldChar w:fldCharType="end"/>
            </w:r>
          </w:hyperlink>
        </w:p>
        <w:p w14:paraId="02D133D3" w14:textId="52AE6A85"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03" w:history="1">
            <w:r w:rsidRPr="00AD3691">
              <w:rPr>
                <w:rStyle w:val="Hyperlink"/>
                <w:noProof/>
              </w:rPr>
              <w:t>International regulatory status</w:t>
            </w:r>
            <w:r>
              <w:rPr>
                <w:noProof/>
                <w:webHidden/>
              </w:rPr>
              <w:tab/>
            </w:r>
            <w:r>
              <w:rPr>
                <w:noProof/>
                <w:webHidden/>
              </w:rPr>
              <w:fldChar w:fldCharType="begin"/>
            </w:r>
            <w:r>
              <w:rPr>
                <w:noProof/>
                <w:webHidden/>
              </w:rPr>
              <w:instrText xml:space="preserve"> PAGEREF _Toc170887903 \h </w:instrText>
            </w:r>
            <w:r>
              <w:rPr>
                <w:noProof/>
                <w:webHidden/>
              </w:rPr>
            </w:r>
            <w:r>
              <w:rPr>
                <w:noProof/>
                <w:webHidden/>
              </w:rPr>
              <w:fldChar w:fldCharType="separate"/>
            </w:r>
            <w:r>
              <w:rPr>
                <w:noProof/>
                <w:webHidden/>
              </w:rPr>
              <w:t>9</w:t>
            </w:r>
            <w:r>
              <w:rPr>
                <w:noProof/>
                <w:webHidden/>
              </w:rPr>
              <w:fldChar w:fldCharType="end"/>
            </w:r>
          </w:hyperlink>
        </w:p>
        <w:p w14:paraId="2EBDDC20" w14:textId="071A5799" w:rsidR="008A47AB" w:rsidRDefault="008A47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887904" w:history="1">
            <w:r w:rsidRPr="00AD3691">
              <w:rPr>
                <w:rStyle w:val="Hyperlink"/>
                <w:noProof/>
              </w:rPr>
              <w:t>Registration timeline</w:t>
            </w:r>
            <w:r>
              <w:rPr>
                <w:noProof/>
                <w:webHidden/>
              </w:rPr>
              <w:tab/>
            </w:r>
            <w:r>
              <w:rPr>
                <w:noProof/>
                <w:webHidden/>
              </w:rPr>
              <w:fldChar w:fldCharType="begin"/>
            </w:r>
            <w:r>
              <w:rPr>
                <w:noProof/>
                <w:webHidden/>
              </w:rPr>
              <w:instrText xml:space="preserve"> PAGEREF _Toc170887904 \h </w:instrText>
            </w:r>
            <w:r>
              <w:rPr>
                <w:noProof/>
                <w:webHidden/>
              </w:rPr>
            </w:r>
            <w:r>
              <w:rPr>
                <w:noProof/>
                <w:webHidden/>
              </w:rPr>
              <w:fldChar w:fldCharType="separate"/>
            </w:r>
            <w:r>
              <w:rPr>
                <w:noProof/>
                <w:webHidden/>
              </w:rPr>
              <w:t>11</w:t>
            </w:r>
            <w:r>
              <w:rPr>
                <w:noProof/>
                <w:webHidden/>
              </w:rPr>
              <w:fldChar w:fldCharType="end"/>
            </w:r>
          </w:hyperlink>
        </w:p>
        <w:p w14:paraId="44B2937D" w14:textId="373FD929" w:rsidR="008A47AB" w:rsidRDefault="008A47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887905" w:history="1">
            <w:r w:rsidRPr="00AD3691">
              <w:rPr>
                <w:rStyle w:val="Hyperlink"/>
                <w:noProof/>
              </w:rPr>
              <w:t>Submission overview and risk/benefit assessment</w:t>
            </w:r>
            <w:r>
              <w:rPr>
                <w:noProof/>
                <w:webHidden/>
              </w:rPr>
              <w:tab/>
            </w:r>
            <w:r>
              <w:rPr>
                <w:noProof/>
                <w:webHidden/>
              </w:rPr>
              <w:fldChar w:fldCharType="begin"/>
            </w:r>
            <w:r>
              <w:rPr>
                <w:noProof/>
                <w:webHidden/>
              </w:rPr>
              <w:instrText xml:space="preserve"> PAGEREF _Toc170887905 \h </w:instrText>
            </w:r>
            <w:r>
              <w:rPr>
                <w:noProof/>
                <w:webHidden/>
              </w:rPr>
            </w:r>
            <w:r>
              <w:rPr>
                <w:noProof/>
                <w:webHidden/>
              </w:rPr>
              <w:fldChar w:fldCharType="separate"/>
            </w:r>
            <w:r>
              <w:rPr>
                <w:noProof/>
                <w:webHidden/>
              </w:rPr>
              <w:t>12</w:t>
            </w:r>
            <w:r>
              <w:rPr>
                <w:noProof/>
                <w:webHidden/>
              </w:rPr>
              <w:fldChar w:fldCharType="end"/>
            </w:r>
          </w:hyperlink>
        </w:p>
        <w:p w14:paraId="11D1076B" w14:textId="6C316201"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06" w:history="1">
            <w:r w:rsidRPr="00AD3691">
              <w:rPr>
                <w:rStyle w:val="Hyperlink"/>
                <w:noProof/>
              </w:rPr>
              <w:t>Quality</w:t>
            </w:r>
            <w:r>
              <w:rPr>
                <w:noProof/>
                <w:webHidden/>
              </w:rPr>
              <w:tab/>
            </w:r>
            <w:r>
              <w:rPr>
                <w:noProof/>
                <w:webHidden/>
              </w:rPr>
              <w:fldChar w:fldCharType="begin"/>
            </w:r>
            <w:r>
              <w:rPr>
                <w:noProof/>
                <w:webHidden/>
              </w:rPr>
              <w:instrText xml:space="preserve"> PAGEREF _Toc170887906 \h </w:instrText>
            </w:r>
            <w:r>
              <w:rPr>
                <w:noProof/>
                <w:webHidden/>
              </w:rPr>
            </w:r>
            <w:r>
              <w:rPr>
                <w:noProof/>
                <w:webHidden/>
              </w:rPr>
              <w:fldChar w:fldCharType="separate"/>
            </w:r>
            <w:r>
              <w:rPr>
                <w:noProof/>
                <w:webHidden/>
              </w:rPr>
              <w:t>12</w:t>
            </w:r>
            <w:r>
              <w:rPr>
                <w:noProof/>
                <w:webHidden/>
              </w:rPr>
              <w:fldChar w:fldCharType="end"/>
            </w:r>
          </w:hyperlink>
        </w:p>
        <w:p w14:paraId="1B1641A8" w14:textId="0113F312"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07" w:history="1">
            <w:r w:rsidRPr="00AD3691">
              <w:rPr>
                <w:rStyle w:val="Hyperlink"/>
                <w:noProof/>
              </w:rPr>
              <w:t>Nonclinical</w:t>
            </w:r>
            <w:r>
              <w:rPr>
                <w:noProof/>
                <w:webHidden/>
              </w:rPr>
              <w:tab/>
            </w:r>
            <w:r>
              <w:rPr>
                <w:noProof/>
                <w:webHidden/>
              </w:rPr>
              <w:fldChar w:fldCharType="begin"/>
            </w:r>
            <w:r>
              <w:rPr>
                <w:noProof/>
                <w:webHidden/>
              </w:rPr>
              <w:instrText xml:space="preserve"> PAGEREF _Toc170887907 \h </w:instrText>
            </w:r>
            <w:r>
              <w:rPr>
                <w:noProof/>
                <w:webHidden/>
              </w:rPr>
            </w:r>
            <w:r>
              <w:rPr>
                <w:noProof/>
                <w:webHidden/>
              </w:rPr>
              <w:fldChar w:fldCharType="separate"/>
            </w:r>
            <w:r>
              <w:rPr>
                <w:noProof/>
                <w:webHidden/>
              </w:rPr>
              <w:t>13</w:t>
            </w:r>
            <w:r>
              <w:rPr>
                <w:noProof/>
                <w:webHidden/>
              </w:rPr>
              <w:fldChar w:fldCharType="end"/>
            </w:r>
          </w:hyperlink>
        </w:p>
        <w:p w14:paraId="3FE17CD5" w14:textId="37CD5D95"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08" w:history="1">
            <w:r w:rsidRPr="00AD3691">
              <w:rPr>
                <w:rStyle w:val="Hyperlink"/>
                <w:noProof/>
              </w:rPr>
              <w:t>Clinical</w:t>
            </w:r>
            <w:r>
              <w:rPr>
                <w:noProof/>
                <w:webHidden/>
              </w:rPr>
              <w:tab/>
            </w:r>
            <w:r>
              <w:rPr>
                <w:noProof/>
                <w:webHidden/>
              </w:rPr>
              <w:fldChar w:fldCharType="begin"/>
            </w:r>
            <w:r>
              <w:rPr>
                <w:noProof/>
                <w:webHidden/>
              </w:rPr>
              <w:instrText xml:space="preserve"> PAGEREF _Toc170887908 \h </w:instrText>
            </w:r>
            <w:r>
              <w:rPr>
                <w:noProof/>
                <w:webHidden/>
              </w:rPr>
            </w:r>
            <w:r>
              <w:rPr>
                <w:noProof/>
                <w:webHidden/>
              </w:rPr>
              <w:fldChar w:fldCharType="separate"/>
            </w:r>
            <w:r>
              <w:rPr>
                <w:noProof/>
                <w:webHidden/>
              </w:rPr>
              <w:t>13</w:t>
            </w:r>
            <w:r>
              <w:rPr>
                <w:noProof/>
                <w:webHidden/>
              </w:rPr>
              <w:fldChar w:fldCharType="end"/>
            </w:r>
          </w:hyperlink>
        </w:p>
        <w:p w14:paraId="487ED710" w14:textId="1D2B4B3D"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09" w:history="1">
            <w:r w:rsidRPr="00AD3691">
              <w:rPr>
                <w:rStyle w:val="Hyperlink"/>
                <w:noProof/>
              </w:rPr>
              <w:t>Summary of clinical studies</w:t>
            </w:r>
            <w:r>
              <w:rPr>
                <w:noProof/>
                <w:webHidden/>
              </w:rPr>
              <w:tab/>
            </w:r>
            <w:r>
              <w:rPr>
                <w:noProof/>
                <w:webHidden/>
              </w:rPr>
              <w:fldChar w:fldCharType="begin"/>
            </w:r>
            <w:r>
              <w:rPr>
                <w:noProof/>
                <w:webHidden/>
              </w:rPr>
              <w:instrText xml:space="preserve"> PAGEREF _Toc170887909 \h </w:instrText>
            </w:r>
            <w:r>
              <w:rPr>
                <w:noProof/>
                <w:webHidden/>
              </w:rPr>
            </w:r>
            <w:r>
              <w:rPr>
                <w:noProof/>
                <w:webHidden/>
              </w:rPr>
              <w:fldChar w:fldCharType="separate"/>
            </w:r>
            <w:r>
              <w:rPr>
                <w:noProof/>
                <w:webHidden/>
              </w:rPr>
              <w:t>13</w:t>
            </w:r>
            <w:r>
              <w:rPr>
                <w:noProof/>
                <w:webHidden/>
              </w:rPr>
              <w:fldChar w:fldCharType="end"/>
            </w:r>
          </w:hyperlink>
        </w:p>
        <w:p w14:paraId="450D58EE" w14:textId="2173B953"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10" w:history="1">
            <w:r w:rsidRPr="00AD3691">
              <w:rPr>
                <w:rStyle w:val="Hyperlink"/>
                <w:noProof/>
              </w:rPr>
              <w:t>Efficacy</w:t>
            </w:r>
            <w:r>
              <w:rPr>
                <w:noProof/>
                <w:webHidden/>
              </w:rPr>
              <w:tab/>
            </w:r>
            <w:r>
              <w:rPr>
                <w:noProof/>
                <w:webHidden/>
              </w:rPr>
              <w:fldChar w:fldCharType="begin"/>
            </w:r>
            <w:r>
              <w:rPr>
                <w:noProof/>
                <w:webHidden/>
              </w:rPr>
              <w:instrText xml:space="preserve"> PAGEREF _Toc170887910 \h </w:instrText>
            </w:r>
            <w:r>
              <w:rPr>
                <w:noProof/>
                <w:webHidden/>
              </w:rPr>
            </w:r>
            <w:r>
              <w:rPr>
                <w:noProof/>
                <w:webHidden/>
              </w:rPr>
              <w:fldChar w:fldCharType="separate"/>
            </w:r>
            <w:r>
              <w:rPr>
                <w:noProof/>
                <w:webHidden/>
              </w:rPr>
              <w:t>14</w:t>
            </w:r>
            <w:r>
              <w:rPr>
                <w:noProof/>
                <w:webHidden/>
              </w:rPr>
              <w:fldChar w:fldCharType="end"/>
            </w:r>
          </w:hyperlink>
        </w:p>
        <w:p w14:paraId="2C196D51" w14:textId="528E0BD4"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11" w:history="1">
            <w:r w:rsidRPr="00AD3691">
              <w:rPr>
                <w:rStyle w:val="Hyperlink"/>
                <w:noProof/>
              </w:rPr>
              <w:t>Safety</w:t>
            </w:r>
            <w:r>
              <w:rPr>
                <w:noProof/>
                <w:webHidden/>
              </w:rPr>
              <w:tab/>
            </w:r>
            <w:r>
              <w:rPr>
                <w:noProof/>
                <w:webHidden/>
              </w:rPr>
              <w:fldChar w:fldCharType="begin"/>
            </w:r>
            <w:r>
              <w:rPr>
                <w:noProof/>
                <w:webHidden/>
              </w:rPr>
              <w:instrText xml:space="preserve"> PAGEREF _Toc170887911 \h </w:instrText>
            </w:r>
            <w:r>
              <w:rPr>
                <w:noProof/>
                <w:webHidden/>
              </w:rPr>
            </w:r>
            <w:r>
              <w:rPr>
                <w:noProof/>
                <w:webHidden/>
              </w:rPr>
              <w:fldChar w:fldCharType="separate"/>
            </w:r>
            <w:r>
              <w:rPr>
                <w:noProof/>
                <w:webHidden/>
              </w:rPr>
              <w:t>24</w:t>
            </w:r>
            <w:r>
              <w:rPr>
                <w:noProof/>
                <w:webHidden/>
              </w:rPr>
              <w:fldChar w:fldCharType="end"/>
            </w:r>
          </w:hyperlink>
        </w:p>
        <w:p w14:paraId="66838182" w14:textId="7BEA5B53"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12" w:history="1">
            <w:r w:rsidRPr="00AD3691">
              <w:rPr>
                <w:rStyle w:val="Hyperlink"/>
                <w:noProof/>
                <w:lang w:eastAsia="en-AU"/>
              </w:rPr>
              <w:t>Risk management plan</w:t>
            </w:r>
            <w:r>
              <w:rPr>
                <w:noProof/>
                <w:webHidden/>
              </w:rPr>
              <w:tab/>
            </w:r>
            <w:r>
              <w:rPr>
                <w:noProof/>
                <w:webHidden/>
              </w:rPr>
              <w:fldChar w:fldCharType="begin"/>
            </w:r>
            <w:r>
              <w:rPr>
                <w:noProof/>
                <w:webHidden/>
              </w:rPr>
              <w:instrText xml:space="preserve"> PAGEREF _Toc170887912 \h </w:instrText>
            </w:r>
            <w:r>
              <w:rPr>
                <w:noProof/>
                <w:webHidden/>
              </w:rPr>
            </w:r>
            <w:r>
              <w:rPr>
                <w:noProof/>
                <w:webHidden/>
              </w:rPr>
              <w:fldChar w:fldCharType="separate"/>
            </w:r>
            <w:r>
              <w:rPr>
                <w:noProof/>
                <w:webHidden/>
              </w:rPr>
              <w:t>28</w:t>
            </w:r>
            <w:r>
              <w:rPr>
                <w:noProof/>
                <w:webHidden/>
              </w:rPr>
              <w:fldChar w:fldCharType="end"/>
            </w:r>
          </w:hyperlink>
        </w:p>
        <w:p w14:paraId="5E0C4432" w14:textId="500EA4F3"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13" w:history="1">
            <w:r w:rsidRPr="00AD3691">
              <w:rPr>
                <w:rStyle w:val="Hyperlink"/>
                <w:noProof/>
              </w:rPr>
              <w:t>Risk-benefit analysis</w:t>
            </w:r>
            <w:r>
              <w:rPr>
                <w:noProof/>
                <w:webHidden/>
              </w:rPr>
              <w:tab/>
            </w:r>
            <w:r>
              <w:rPr>
                <w:noProof/>
                <w:webHidden/>
              </w:rPr>
              <w:fldChar w:fldCharType="begin"/>
            </w:r>
            <w:r>
              <w:rPr>
                <w:noProof/>
                <w:webHidden/>
              </w:rPr>
              <w:instrText xml:space="preserve"> PAGEREF _Toc170887913 \h </w:instrText>
            </w:r>
            <w:r>
              <w:rPr>
                <w:noProof/>
                <w:webHidden/>
              </w:rPr>
            </w:r>
            <w:r>
              <w:rPr>
                <w:noProof/>
                <w:webHidden/>
              </w:rPr>
              <w:fldChar w:fldCharType="separate"/>
            </w:r>
            <w:r>
              <w:rPr>
                <w:noProof/>
                <w:webHidden/>
              </w:rPr>
              <w:t>28</w:t>
            </w:r>
            <w:r>
              <w:rPr>
                <w:noProof/>
                <w:webHidden/>
              </w:rPr>
              <w:fldChar w:fldCharType="end"/>
            </w:r>
          </w:hyperlink>
        </w:p>
        <w:p w14:paraId="17A1288E" w14:textId="5867CD6F"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14" w:history="1">
            <w:r w:rsidRPr="00AD3691">
              <w:rPr>
                <w:rStyle w:val="Hyperlink"/>
                <w:noProof/>
              </w:rPr>
              <w:t>Delegate’s considerations</w:t>
            </w:r>
            <w:r>
              <w:rPr>
                <w:noProof/>
                <w:webHidden/>
              </w:rPr>
              <w:tab/>
            </w:r>
            <w:r>
              <w:rPr>
                <w:noProof/>
                <w:webHidden/>
              </w:rPr>
              <w:fldChar w:fldCharType="begin"/>
            </w:r>
            <w:r>
              <w:rPr>
                <w:noProof/>
                <w:webHidden/>
              </w:rPr>
              <w:instrText xml:space="preserve"> PAGEREF _Toc170887914 \h </w:instrText>
            </w:r>
            <w:r>
              <w:rPr>
                <w:noProof/>
                <w:webHidden/>
              </w:rPr>
            </w:r>
            <w:r>
              <w:rPr>
                <w:noProof/>
                <w:webHidden/>
              </w:rPr>
              <w:fldChar w:fldCharType="separate"/>
            </w:r>
            <w:r>
              <w:rPr>
                <w:noProof/>
                <w:webHidden/>
              </w:rPr>
              <w:t>28</w:t>
            </w:r>
            <w:r>
              <w:rPr>
                <w:noProof/>
                <w:webHidden/>
              </w:rPr>
              <w:fldChar w:fldCharType="end"/>
            </w:r>
          </w:hyperlink>
        </w:p>
        <w:p w14:paraId="1C9D82C4" w14:textId="59C23ED0"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15" w:history="1">
            <w:r w:rsidRPr="00AD3691">
              <w:rPr>
                <w:rStyle w:val="Hyperlink"/>
                <w:noProof/>
              </w:rPr>
              <w:t>Proposed action</w:t>
            </w:r>
            <w:r>
              <w:rPr>
                <w:noProof/>
                <w:webHidden/>
              </w:rPr>
              <w:tab/>
            </w:r>
            <w:r>
              <w:rPr>
                <w:noProof/>
                <w:webHidden/>
              </w:rPr>
              <w:fldChar w:fldCharType="begin"/>
            </w:r>
            <w:r>
              <w:rPr>
                <w:noProof/>
                <w:webHidden/>
              </w:rPr>
              <w:instrText xml:space="preserve"> PAGEREF _Toc170887915 \h </w:instrText>
            </w:r>
            <w:r>
              <w:rPr>
                <w:noProof/>
                <w:webHidden/>
              </w:rPr>
            </w:r>
            <w:r>
              <w:rPr>
                <w:noProof/>
                <w:webHidden/>
              </w:rPr>
              <w:fldChar w:fldCharType="separate"/>
            </w:r>
            <w:r>
              <w:rPr>
                <w:noProof/>
                <w:webHidden/>
              </w:rPr>
              <w:t>30</w:t>
            </w:r>
            <w:r>
              <w:rPr>
                <w:noProof/>
                <w:webHidden/>
              </w:rPr>
              <w:fldChar w:fldCharType="end"/>
            </w:r>
          </w:hyperlink>
        </w:p>
        <w:p w14:paraId="61AE4F00" w14:textId="0420587B"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16" w:history="1">
            <w:r w:rsidRPr="00AD3691">
              <w:rPr>
                <w:rStyle w:val="Hyperlink"/>
                <w:noProof/>
              </w:rPr>
              <w:t>Advisory Committee considerations</w:t>
            </w:r>
            <w:r>
              <w:rPr>
                <w:noProof/>
                <w:webHidden/>
              </w:rPr>
              <w:tab/>
            </w:r>
            <w:r>
              <w:rPr>
                <w:noProof/>
                <w:webHidden/>
              </w:rPr>
              <w:fldChar w:fldCharType="begin"/>
            </w:r>
            <w:r>
              <w:rPr>
                <w:noProof/>
                <w:webHidden/>
              </w:rPr>
              <w:instrText xml:space="preserve"> PAGEREF _Toc170887916 \h </w:instrText>
            </w:r>
            <w:r>
              <w:rPr>
                <w:noProof/>
                <w:webHidden/>
              </w:rPr>
            </w:r>
            <w:r>
              <w:rPr>
                <w:noProof/>
                <w:webHidden/>
              </w:rPr>
              <w:fldChar w:fldCharType="separate"/>
            </w:r>
            <w:r>
              <w:rPr>
                <w:noProof/>
                <w:webHidden/>
              </w:rPr>
              <w:t>30</w:t>
            </w:r>
            <w:r>
              <w:rPr>
                <w:noProof/>
                <w:webHidden/>
              </w:rPr>
              <w:fldChar w:fldCharType="end"/>
            </w:r>
          </w:hyperlink>
        </w:p>
        <w:p w14:paraId="77199CDF" w14:textId="5AAD669A" w:rsidR="008A47AB" w:rsidRDefault="008A47A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887917" w:history="1">
            <w:r w:rsidRPr="00AD3691">
              <w:rPr>
                <w:rStyle w:val="Hyperlink"/>
                <w:noProof/>
              </w:rPr>
              <w:t>Outcome</w:t>
            </w:r>
            <w:r>
              <w:rPr>
                <w:noProof/>
                <w:webHidden/>
              </w:rPr>
              <w:tab/>
            </w:r>
            <w:r>
              <w:rPr>
                <w:noProof/>
                <w:webHidden/>
              </w:rPr>
              <w:fldChar w:fldCharType="begin"/>
            </w:r>
            <w:r>
              <w:rPr>
                <w:noProof/>
                <w:webHidden/>
              </w:rPr>
              <w:instrText xml:space="preserve"> PAGEREF _Toc170887917 \h </w:instrText>
            </w:r>
            <w:r>
              <w:rPr>
                <w:noProof/>
                <w:webHidden/>
              </w:rPr>
            </w:r>
            <w:r>
              <w:rPr>
                <w:noProof/>
                <w:webHidden/>
              </w:rPr>
              <w:fldChar w:fldCharType="separate"/>
            </w:r>
            <w:r>
              <w:rPr>
                <w:noProof/>
                <w:webHidden/>
              </w:rPr>
              <w:t>32</w:t>
            </w:r>
            <w:r>
              <w:rPr>
                <w:noProof/>
                <w:webHidden/>
              </w:rPr>
              <w:fldChar w:fldCharType="end"/>
            </w:r>
          </w:hyperlink>
        </w:p>
        <w:p w14:paraId="2CA40A1A" w14:textId="0D891262" w:rsidR="008A47AB" w:rsidRDefault="008A47A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887918" w:history="1">
            <w:r w:rsidRPr="00AD3691">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_Toc170887918 \h </w:instrText>
            </w:r>
            <w:r>
              <w:rPr>
                <w:noProof/>
                <w:webHidden/>
              </w:rPr>
            </w:r>
            <w:r>
              <w:rPr>
                <w:noProof/>
                <w:webHidden/>
              </w:rPr>
              <w:fldChar w:fldCharType="separate"/>
            </w:r>
            <w:r>
              <w:rPr>
                <w:noProof/>
                <w:webHidden/>
              </w:rPr>
              <w:t>32</w:t>
            </w:r>
            <w:r>
              <w:rPr>
                <w:noProof/>
                <w:webHidden/>
              </w:rPr>
              <w:fldChar w:fldCharType="end"/>
            </w:r>
          </w:hyperlink>
        </w:p>
        <w:p w14:paraId="2C246149" w14:textId="420786FA" w:rsidR="008A47AB" w:rsidRDefault="008A47AB">
          <w:pPr>
            <w:pStyle w:val="TOC3"/>
            <w:rPr>
              <w:rFonts w:asciiTheme="minorHAnsi" w:eastAsiaTheme="minorEastAsia" w:hAnsiTheme="minorHAnsi" w:cstheme="minorBidi"/>
              <w:b w:val="0"/>
              <w:noProof/>
              <w:color w:val="auto"/>
              <w:kern w:val="2"/>
              <w:szCs w:val="22"/>
              <w:lang w:eastAsia="en-AU"/>
              <w14:ligatures w14:val="standardContextual"/>
            </w:rPr>
          </w:pPr>
          <w:hyperlink w:anchor="_Toc170887919" w:history="1">
            <w:r w:rsidRPr="00AD3691">
              <w:rPr>
                <w:rStyle w:val="Hyperlink"/>
                <w:noProof/>
              </w:rPr>
              <w:t>Product Information</w:t>
            </w:r>
            <w:r>
              <w:rPr>
                <w:noProof/>
                <w:webHidden/>
              </w:rPr>
              <w:tab/>
            </w:r>
            <w:r>
              <w:rPr>
                <w:noProof/>
                <w:webHidden/>
              </w:rPr>
              <w:fldChar w:fldCharType="begin"/>
            </w:r>
            <w:r>
              <w:rPr>
                <w:noProof/>
                <w:webHidden/>
              </w:rPr>
              <w:instrText xml:space="preserve"> PAGEREF _Toc170887919 \h </w:instrText>
            </w:r>
            <w:r>
              <w:rPr>
                <w:noProof/>
                <w:webHidden/>
              </w:rPr>
            </w:r>
            <w:r>
              <w:rPr>
                <w:noProof/>
                <w:webHidden/>
              </w:rPr>
              <w:fldChar w:fldCharType="separate"/>
            </w:r>
            <w:r>
              <w:rPr>
                <w:noProof/>
                <w:webHidden/>
              </w:rPr>
              <w:t>33</w:t>
            </w:r>
            <w:r>
              <w:rPr>
                <w:noProof/>
                <w:webHidden/>
              </w:rPr>
              <w:fldChar w:fldCharType="end"/>
            </w:r>
          </w:hyperlink>
        </w:p>
        <w:p w14:paraId="77659F2D" w14:textId="0AB4FF3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70887894"/>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44EF40DE" w:rsidR="00324B33" w:rsidRPr="00D01DDB" w:rsidRDefault="00DC7972" w:rsidP="00324B33">
            <w:pPr>
              <w:rPr>
                <w:szCs w:val="22"/>
              </w:rPr>
            </w:pPr>
            <w:r>
              <w:rPr>
                <w:szCs w:val="22"/>
              </w:rPr>
              <w:t>ADRs</w:t>
            </w:r>
          </w:p>
        </w:tc>
        <w:tc>
          <w:tcPr>
            <w:tcW w:w="3800" w:type="pct"/>
          </w:tcPr>
          <w:p w14:paraId="5072E244" w14:textId="39EB2950" w:rsidR="00324B33" w:rsidRPr="00D01DDB" w:rsidRDefault="00DC79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DC7972">
              <w:rPr>
                <w:szCs w:val="22"/>
              </w:rPr>
              <w:t>dverse drug reactions</w:t>
            </w:r>
          </w:p>
        </w:tc>
      </w:tr>
      <w:tr w:rsidR="00AD24B7" w:rsidRPr="00D01DDB" w14:paraId="345519C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E96620" w14:textId="78D4023B" w:rsidR="00AD24B7" w:rsidRPr="00D01DDB" w:rsidRDefault="00AD24B7" w:rsidP="00324B33">
            <w:pPr>
              <w:rPr>
                <w:szCs w:val="22"/>
              </w:rPr>
            </w:pPr>
            <w:r>
              <w:rPr>
                <w:szCs w:val="22"/>
              </w:rPr>
              <w:t>AE</w:t>
            </w:r>
          </w:p>
        </w:tc>
        <w:tc>
          <w:tcPr>
            <w:tcW w:w="3800" w:type="pct"/>
          </w:tcPr>
          <w:p w14:paraId="7EFFBF26" w14:textId="29FA7DC8" w:rsidR="00AD24B7" w:rsidRPr="00D01DDB" w:rsidRDefault="00AD24B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Adverse event </w:t>
            </w:r>
          </w:p>
        </w:tc>
      </w:tr>
      <w:tr w:rsidR="00DC7972" w:rsidRPr="00D01DDB" w14:paraId="02A476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A0DC84" w14:textId="2DAEBD33" w:rsidR="00DC7972" w:rsidRDefault="00DC7972" w:rsidP="00324B33">
            <w:pPr>
              <w:rPr>
                <w:szCs w:val="22"/>
              </w:rPr>
            </w:pPr>
            <w:r w:rsidRPr="00DC7972">
              <w:rPr>
                <w:szCs w:val="22"/>
              </w:rPr>
              <w:t>ACh</w:t>
            </w:r>
          </w:p>
        </w:tc>
        <w:tc>
          <w:tcPr>
            <w:tcW w:w="3800" w:type="pct"/>
          </w:tcPr>
          <w:p w14:paraId="46388DCB" w14:textId="31A20B10" w:rsidR="00DC7972" w:rsidRDefault="00DC79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DC7972">
              <w:rPr>
                <w:szCs w:val="22"/>
              </w:rPr>
              <w:t>cetylcholine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BC60D2" w:rsidRPr="00D01DDB" w14:paraId="1D6BE96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8108E4" w14:textId="0B716B73" w:rsidR="00BC60D2" w:rsidRPr="00D01DDB" w:rsidRDefault="00BC60D2" w:rsidP="00324B33">
            <w:pPr>
              <w:rPr>
                <w:szCs w:val="22"/>
              </w:rPr>
            </w:pPr>
            <w:r w:rsidRPr="00BC60D2">
              <w:rPr>
                <w:szCs w:val="22"/>
              </w:rPr>
              <w:t>AS</w:t>
            </w:r>
          </w:p>
        </w:tc>
        <w:tc>
          <w:tcPr>
            <w:tcW w:w="3800" w:type="pct"/>
          </w:tcPr>
          <w:p w14:paraId="243EEF37" w14:textId="240D559E" w:rsidR="00BC60D2" w:rsidRPr="00D01DDB" w:rsidRDefault="00BC60D2" w:rsidP="00324B33">
            <w:pPr>
              <w:cnfStyle w:val="000000000000" w:firstRow="0" w:lastRow="0" w:firstColumn="0" w:lastColumn="0" w:oddVBand="0" w:evenVBand="0" w:oddHBand="0" w:evenHBand="0" w:firstRowFirstColumn="0" w:firstRowLastColumn="0" w:lastRowFirstColumn="0" w:lastRowLastColumn="0"/>
              <w:rPr>
                <w:szCs w:val="22"/>
              </w:rPr>
            </w:pPr>
            <w:r w:rsidRPr="00BC60D2">
              <w:rPr>
                <w:szCs w:val="22"/>
              </w:rPr>
              <w:t>Ashworth Scale</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56480A" w:rsidRPr="00D01DDB" w14:paraId="566368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CE3E7D" w14:textId="3EAC803E" w:rsidR="0056480A" w:rsidRPr="00D01DDB" w:rsidRDefault="0056480A" w:rsidP="00324B33">
            <w:pPr>
              <w:rPr>
                <w:szCs w:val="22"/>
              </w:rPr>
            </w:pPr>
            <w:r w:rsidRPr="00FF0CD5">
              <w:t>BoNT</w:t>
            </w:r>
          </w:p>
        </w:tc>
        <w:tc>
          <w:tcPr>
            <w:tcW w:w="3800" w:type="pct"/>
          </w:tcPr>
          <w:p w14:paraId="533FEC91" w14:textId="58BE68E7" w:rsidR="0056480A" w:rsidRPr="00D01DDB" w:rsidRDefault="0056480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Botulinum toxin</w:t>
            </w:r>
            <w:r w:rsidR="00DC7972">
              <w:rPr>
                <w:szCs w:val="22"/>
              </w:rPr>
              <w:t xml:space="preserve"> </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DC7972" w:rsidRPr="00D01DDB" w14:paraId="7A198D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A3CDBC" w14:textId="3940F6AB" w:rsidR="00DC7972" w:rsidRPr="00BB3589" w:rsidRDefault="00DC7972" w:rsidP="00324B33">
            <w:r w:rsidRPr="00DC7972">
              <w:t>GICS</w:t>
            </w:r>
          </w:p>
        </w:tc>
        <w:tc>
          <w:tcPr>
            <w:tcW w:w="3800" w:type="pct"/>
          </w:tcPr>
          <w:p w14:paraId="70189503" w14:textId="2585806B" w:rsidR="00DC7972" w:rsidRDefault="00DC7972" w:rsidP="00324B33">
            <w:pPr>
              <w:cnfStyle w:val="000000000000" w:firstRow="0" w:lastRow="0" w:firstColumn="0" w:lastColumn="0" w:oddVBand="0" w:evenVBand="0" w:oddHBand="0" w:evenHBand="0" w:firstRowFirstColumn="0" w:firstRowLastColumn="0" w:lastRowFirstColumn="0" w:lastRowLastColumn="0"/>
              <w:rPr>
                <w:szCs w:val="22"/>
              </w:rPr>
            </w:pPr>
            <w:r w:rsidRPr="00DC7972">
              <w:rPr>
                <w:szCs w:val="22"/>
              </w:rPr>
              <w:t xml:space="preserve">Global Impression of Change Scale  </w:t>
            </w:r>
          </w:p>
        </w:tc>
      </w:tr>
      <w:tr w:rsidR="00FE5250" w:rsidRPr="00D01DDB" w14:paraId="1D1BFCD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F48FD0" w14:textId="55BFA1EA" w:rsidR="00FE5250" w:rsidRPr="00D01DDB" w:rsidRDefault="00FE5250" w:rsidP="00324B33">
            <w:pPr>
              <w:rPr>
                <w:szCs w:val="22"/>
              </w:rPr>
            </w:pPr>
            <w:r w:rsidRPr="00BB3589">
              <w:t>GMFCS</w:t>
            </w:r>
          </w:p>
        </w:tc>
        <w:tc>
          <w:tcPr>
            <w:tcW w:w="3800" w:type="pct"/>
          </w:tcPr>
          <w:p w14:paraId="0D3DF63B" w14:textId="1CF13238" w:rsidR="00FE5250" w:rsidRPr="00D01DDB" w:rsidRDefault="00FE52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Gross Motor Function Classification System</w:t>
            </w:r>
          </w:p>
        </w:tc>
      </w:tr>
      <w:tr w:rsidR="00DC7972" w:rsidRPr="00D01DDB" w14:paraId="6012E4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878A7F" w14:textId="47EE37BA" w:rsidR="00DC7972" w:rsidRPr="00BB3589" w:rsidRDefault="00DC7972" w:rsidP="00DC7972">
            <w:r w:rsidRPr="00DC7972">
              <w:t>HFS</w:t>
            </w:r>
          </w:p>
        </w:tc>
        <w:tc>
          <w:tcPr>
            <w:tcW w:w="3800" w:type="pct"/>
          </w:tcPr>
          <w:p w14:paraId="40D90147" w14:textId="18DCB1CA" w:rsidR="00DC7972"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C7972">
              <w:rPr>
                <w:szCs w:val="22"/>
              </w:rPr>
              <w:t>Hemifacial spasm</w:t>
            </w:r>
          </w:p>
        </w:tc>
      </w:tr>
      <w:tr w:rsidR="009C48FF" w:rsidRPr="00D01DDB" w14:paraId="4699C4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AA2544" w14:textId="1617EA8F" w:rsidR="009C48FF" w:rsidRPr="00DC7972" w:rsidRDefault="009C48FF" w:rsidP="00DC7972">
            <w:r w:rsidRPr="009C48FF">
              <w:t>LDU</w:t>
            </w:r>
          </w:p>
        </w:tc>
        <w:tc>
          <w:tcPr>
            <w:tcW w:w="3800" w:type="pct"/>
          </w:tcPr>
          <w:p w14:paraId="366472ED" w14:textId="32B03574" w:rsidR="009C48FF" w:rsidRPr="00DC7972" w:rsidRDefault="009C48FF" w:rsidP="009C48FF">
            <w:pPr>
              <w:cnfStyle w:val="000000000000" w:firstRow="0" w:lastRow="0" w:firstColumn="0" w:lastColumn="0" w:oddVBand="0" w:evenVBand="0" w:oddHBand="0" w:evenHBand="0" w:firstRowFirstColumn="0" w:firstRowLastColumn="0" w:lastRowFirstColumn="0" w:lastRowLastColumn="0"/>
              <w:rPr>
                <w:szCs w:val="22"/>
              </w:rPr>
            </w:pPr>
            <w:r w:rsidRPr="009C48FF">
              <w:rPr>
                <w:szCs w:val="22"/>
              </w:rPr>
              <w:t xml:space="preserve">1 </w:t>
            </w:r>
            <w:r>
              <w:rPr>
                <w:szCs w:val="22"/>
              </w:rPr>
              <w:t xml:space="preserve">LDU </w:t>
            </w:r>
            <w:r w:rsidRPr="009C48FF">
              <w:rPr>
                <w:szCs w:val="22"/>
              </w:rPr>
              <w:t>unit</w:t>
            </w:r>
            <w:r>
              <w:rPr>
                <w:szCs w:val="22"/>
              </w:rPr>
              <w:t xml:space="preserve"> </w:t>
            </w:r>
            <w:r w:rsidRPr="009C48FF">
              <w:rPr>
                <w:szCs w:val="22"/>
              </w:rPr>
              <w:t>corresponds to the LD</w:t>
            </w:r>
            <w:r w:rsidRPr="009C48FF">
              <w:rPr>
                <w:szCs w:val="22"/>
                <w:vertAlign w:val="subscript"/>
              </w:rPr>
              <w:t>50</w:t>
            </w:r>
            <w:r>
              <w:rPr>
                <w:szCs w:val="22"/>
                <w:vertAlign w:val="subscript"/>
              </w:rPr>
              <w:t xml:space="preserve"> </w:t>
            </w:r>
            <w:r w:rsidRPr="009C48FF">
              <w:rPr>
                <w:szCs w:val="22"/>
              </w:rPr>
              <w:t>in the mouse (or about 20 g) by the intraperitoneal</w:t>
            </w:r>
            <w:r>
              <w:rPr>
                <w:szCs w:val="22"/>
              </w:rPr>
              <w:t xml:space="preserve"> </w:t>
            </w:r>
            <w:r w:rsidRPr="009C48FF">
              <w:rPr>
                <w:szCs w:val="22"/>
              </w:rPr>
              <w:t>route.</w:t>
            </w:r>
            <w:r>
              <w:rPr>
                <w:szCs w:val="22"/>
              </w:rPr>
              <w:t xml:space="preserve"> (</w:t>
            </w:r>
            <w:r w:rsidRPr="009C48FF">
              <w:rPr>
                <w:szCs w:val="22"/>
              </w:rPr>
              <w:t>LD</w:t>
            </w:r>
            <w:r w:rsidRPr="009C48FF">
              <w:rPr>
                <w:szCs w:val="22"/>
                <w:vertAlign w:val="subscript"/>
              </w:rPr>
              <w:t xml:space="preserve">50 </w:t>
            </w:r>
            <w:r>
              <w:rPr>
                <w:szCs w:val="22"/>
              </w:rPr>
              <w:t>is</w:t>
            </w:r>
            <w:r w:rsidRPr="009C48FF">
              <w:rPr>
                <w:szCs w:val="22"/>
              </w:rPr>
              <w:t xml:space="preserve"> the dose required to kill half the group of experimental animals)</w:t>
            </w:r>
          </w:p>
        </w:tc>
      </w:tr>
      <w:tr w:rsidR="005D7543" w:rsidRPr="00D01DDB" w14:paraId="3E5D70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64F2AE" w14:textId="0902B551" w:rsidR="005D7543" w:rsidRPr="00DC7972" w:rsidRDefault="005D7543" w:rsidP="00DC7972">
            <w:r>
              <w:t>LL</w:t>
            </w:r>
          </w:p>
        </w:tc>
        <w:tc>
          <w:tcPr>
            <w:tcW w:w="3800" w:type="pct"/>
          </w:tcPr>
          <w:p w14:paraId="3EBEF22D" w14:textId="5DDBB3A7" w:rsidR="005D7543" w:rsidRPr="00DC7972" w:rsidRDefault="005D7543"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Lower limb</w:t>
            </w:r>
          </w:p>
        </w:tc>
      </w:tr>
      <w:tr w:rsidR="00DC7972" w:rsidRPr="00D01DDB" w14:paraId="41D819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2811C8" w14:textId="3DB4BB93" w:rsidR="00DC7972" w:rsidRPr="00DC7972" w:rsidRDefault="00DC7972" w:rsidP="00DC7972">
            <w:r>
              <w:t>PBO</w:t>
            </w:r>
          </w:p>
        </w:tc>
        <w:tc>
          <w:tcPr>
            <w:tcW w:w="3800" w:type="pct"/>
          </w:tcPr>
          <w:p w14:paraId="563EC9FF" w14:textId="20EA30EE" w:rsidR="00DC7972" w:rsidRPr="00DC7972"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C7972">
              <w:rPr>
                <w:szCs w:val="22"/>
              </w:rPr>
              <w:t>Placebo</w:t>
            </w:r>
          </w:p>
        </w:tc>
      </w:tr>
      <w:tr w:rsidR="00DC7972" w:rsidRPr="00D01DDB" w14:paraId="4837C9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EFA326" w14:textId="6C6A9858" w:rsidR="00DC7972" w:rsidRPr="00D01DDB" w:rsidRDefault="00DC7972" w:rsidP="00DC7972">
            <w:pPr>
              <w:rPr>
                <w:szCs w:val="22"/>
              </w:rPr>
            </w:pPr>
            <w:r>
              <w:rPr>
                <w:szCs w:val="22"/>
              </w:rPr>
              <w:t>PD</w:t>
            </w:r>
          </w:p>
        </w:tc>
        <w:tc>
          <w:tcPr>
            <w:tcW w:w="3800" w:type="pct"/>
          </w:tcPr>
          <w:p w14:paraId="3552E569" w14:textId="79F65DF9"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DC7972"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DC7972" w:rsidRPr="00D01DDB" w:rsidRDefault="00DC7972" w:rsidP="00DC7972">
            <w:pPr>
              <w:rPr>
                <w:szCs w:val="22"/>
              </w:rPr>
            </w:pPr>
            <w:r w:rsidRPr="00D01DDB">
              <w:rPr>
                <w:szCs w:val="22"/>
              </w:rPr>
              <w:t>PI</w:t>
            </w:r>
          </w:p>
        </w:tc>
        <w:tc>
          <w:tcPr>
            <w:tcW w:w="3800" w:type="pct"/>
          </w:tcPr>
          <w:p w14:paraId="354B5DB5" w14:textId="3DAE38C1"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DC7972" w:rsidRPr="00D01DDB" w14:paraId="4F1F99F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00DFBE" w14:textId="314CA97A" w:rsidR="00DC7972" w:rsidRPr="00D01DDB" w:rsidRDefault="00DC7972" w:rsidP="00DC7972">
            <w:pPr>
              <w:rPr>
                <w:szCs w:val="22"/>
              </w:rPr>
            </w:pPr>
            <w:r>
              <w:rPr>
                <w:szCs w:val="22"/>
              </w:rPr>
              <w:t>PK</w:t>
            </w:r>
          </w:p>
        </w:tc>
        <w:tc>
          <w:tcPr>
            <w:tcW w:w="3800" w:type="pct"/>
          </w:tcPr>
          <w:p w14:paraId="21943E1D" w14:textId="26E8BA23"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DC7972"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DC7972" w:rsidRPr="00D01DDB" w:rsidRDefault="00DC7972" w:rsidP="00DC7972">
            <w:pPr>
              <w:rPr>
                <w:szCs w:val="22"/>
              </w:rPr>
            </w:pPr>
            <w:r w:rsidRPr="00D01DDB">
              <w:rPr>
                <w:szCs w:val="22"/>
              </w:rPr>
              <w:t>PSUR</w:t>
            </w:r>
          </w:p>
        </w:tc>
        <w:tc>
          <w:tcPr>
            <w:tcW w:w="3800" w:type="pct"/>
          </w:tcPr>
          <w:p w14:paraId="4A97D112" w14:textId="3DC38D82"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DC7972"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DC7972" w:rsidRPr="00D01DDB" w:rsidRDefault="00DC7972" w:rsidP="00DC7972">
            <w:pPr>
              <w:rPr>
                <w:szCs w:val="22"/>
              </w:rPr>
            </w:pPr>
            <w:r w:rsidRPr="00D01DDB">
              <w:rPr>
                <w:szCs w:val="22"/>
              </w:rPr>
              <w:t>RMP</w:t>
            </w:r>
          </w:p>
        </w:tc>
        <w:tc>
          <w:tcPr>
            <w:tcW w:w="3800" w:type="pct"/>
          </w:tcPr>
          <w:p w14:paraId="2C862F75" w14:textId="2355E842"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DC7972" w:rsidRPr="00D01DDB" w14:paraId="1884B85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FC8ADE" w14:textId="2CEB6E63" w:rsidR="00DC7972" w:rsidRPr="00D01DDB" w:rsidRDefault="00DC7972" w:rsidP="00DC7972">
            <w:pPr>
              <w:rPr>
                <w:szCs w:val="22"/>
              </w:rPr>
            </w:pPr>
            <w:r>
              <w:rPr>
                <w:szCs w:val="22"/>
              </w:rPr>
              <w:t>SAE</w:t>
            </w:r>
          </w:p>
        </w:tc>
        <w:tc>
          <w:tcPr>
            <w:tcW w:w="3800" w:type="pct"/>
          </w:tcPr>
          <w:p w14:paraId="6B6839F7" w14:textId="2F119B19"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DC7972" w:rsidRPr="00D01DDB" w14:paraId="4B7D05F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2B15B3" w14:textId="3DD13204" w:rsidR="00DC7972" w:rsidRDefault="00DC7972" w:rsidP="00DC7972">
            <w:pPr>
              <w:rPr>
                <w:szCs w:val="22"/>
              </w:rPr>
            </w:pPr>
            <w:r w:rsidRPr="00DC7972">
              <w:rPr>
                <w:szCs w:val="22"/>
              </w:rPr>
              <w:t>SIA</w:t>
            </w:r>
          </w:p>
        </w:tc>
        <w:tc>
          <w:tcPr>
            <w:tcW w:w="3800" w:type="pct"/>
          </w:tcPr>
          <w:p w14:paraId="5DEC40C1" w14:textId="7963CED3" w:rsidR="00DC7972"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C7972">
              <w:rPr>
                <w:szCs w:val="22"/>
              </w:rPr>
              <w:t>Sialorrhea</w:t>
            </w:r>
          </w:p>
        </w:tc>
      </w:tr>
      <w:tr w:rsidR="00003420" w:rsidRPr="00D01DDB" w14:paraId="1989E02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C33099" w14:textId="67654607" w:rsidR="00003420" w:rsidRPr="00DC7972" w:rsidRDefault="00003420" w:rsidP="00DC7972">
            <w:pPr>
              <w:rPr>
                <w:szCs w:val="22"/>
              </w:rPr>
            </w:pPr>
            <w:r w:rsidRPr="00003420">
              <w:rPr>
                <w:szCs w:val="22"/>
              </w:rPr>
              <w:t>SmPCs</w:t>
            </w:r>
          </w:p>
        </w:tc>
        <w:tc>
          <w:tcPr>
            <w:tcW w:w="3800" w:type="pct"/>
          </w:tcPr>
          <w:p w14:paraId="2D2C5A1D" w14:textId="0B43A553" w:rsidR="00003420" w:rsidRPr="00DC7972" w:rsidRDefault="00003420" w:rsidP="00DC7972">
            <w:pPr>
              <w:cnfStyle w:val="000000000000" w:firstRow="0" w:lastRow="0" w:firstColumn="0" w:lastColumn="0" w:oddVBand="0" w:evenVBand="0" w:oddHBand="0" w:evenHBand="0" w:firstRowFirstColumn="0" w:firstRowLastColumn="0" w:lastRowFirstColumn="0" w:lastRowLastColumn="0"/>
              <w:rPr>
                <w:szCs w:val="22"/>
              </w:rPr>
            </w:pPr>
            <w:r w:rsidRPr="00003420">
              <w:rPr>
                <w:szCs w:val="22"/>
              </w:rPr>
              <w:t>Summaries of Product Characteristics</w:t>
            </w:r>
          </w:p>
        </w:tc>
      </w:tr>
      <w:tr w:rsidR="00DC7972" w:rsidRPr="00D01DDB" w14:paraId="65AE05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A2899A" w14:textId="222D3E4F" w:rsidR="00DC7972" w:rsidRPr="00DC7972" w:rsidRDefault="00DC7972" w:rsidP="00DC7972">
            <w:pPr>
              <w:rPr>
                <w:szCs w:val="22"/>
              </w:rPr>
            </w:pPr>
            <w:r>
              <w:rPr>
                <w:szCs w:val="22"/>
              </w:rPr>
              <w:t>SP</w:t>
            </w:r>
          </w:p>
        </w:tc>
        <w:tc>
          <w:tcPr>
            <w:tcW w:w="3800" w:type="pct"/>
          </w:tcPr>
          <w:p w14:paraId="6885878C" w14:textId="7B297454" w:rsidR="00DC7972" w:rsidRPr="00DC7972"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Spasticity</w:t>
            </w:r>
          </w:p>
        </w:tc>
      </w:tr>
      <w:tr w:rsidR="00DC7972" w:rsidRPr="00D01DDB" w14:paraId="508882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FCAB94" w14:textId="1DBE696F" w:rsidR="00DC7972" w:rsidRPr="00D01DDB" w:rsidRDefault="00DC7972" w:rsidP="00DC7972">
            <w:pPr>
              <w:rPr>
                <w:szCs w:val="22"/>
              </w:rPr>
            </w:pPr>
            <w:r>
              <w:rPr>
                <w:szCs w:val="22"/>
              </w:rPr>
              <w:t>TEAE</w:t>
            </w:r>
          </w:p>
        </w:tc>
        <w:tc>
          <w:tcPr>
            <w:tcW w:w="3800" w:type="pct"/>
          </w:tcPr>
          <w:p w14:paraId="434F33F1" w14:textId="3F3ED588"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Treatment emergent adverse event</w:t>
            </w:r>
          </w:p>
        </w:tc>
      </w:tr>
      <w:tr w:rsidR="00DC7972"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DC7972" w:rsidRPr="00D01DDB" w:rsidRDefault="00DC7972" w:rsidP="00DC7972">
            <w:pPr>
              <w:rPr>
                <w:szCs w:val="22"/>
              </w:rPr>
            </w:pPr>
            <w:r w:rsidRPr="00D01DDB">
              <w:rPr>
                <w:szCs w:val="22"/>
              </w:rPr>
              <w:t>TGA</w:t>
            </w:r>
          </w:p>
        </w:tc>
        <w:tc>
          <w:tcPr>
            <w:tcW w:w="3800" w:type="pct"/>
          </w:tcPr>
          <w:p w14:paraId="29EA6BA3" w14:textId="6F99059F"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D7543" w:rsidRPr="00D01DDB" w14:paraId="03F298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ADAF2A" w14:textId="6FAAD136" w:rsidR="005D7543" w:rsidRPr="00D01DDB" w:rsidRDefault="005D7543" w:rsidP="00DC7972">
            <w:pPr>
              <w:rPr>
                <w:szCs w:val="22"/>
              </w:rPr>
            </w:pPr>
            <w:r>
              <w:rPr>
                <w:szCs w:val="22"/>
              </w:rPr>
              <w:t>UL</w:t>
            </w:r>
          </w:p>
        </w:tc>
        <w:tc>
          <w:tcPr>
            <w:tcW w:w="3800" w:type="pct"/>
          </w:tcPr>
          <w:p w14:paraId="7E259C85" w14:textId="04244D67" w:rsidR="005D7543" w:rsidRPr="00D01DDB" w:rsidRDefault="005D7543"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Upper limb</w:t>
            </w:r>
          </w:p>
        </w:tc>
      </w:tr>
      <w:tr w:rsidR="00DC7972" w:rsidRPr="00D01DDB" w14:paraId="23BA2F2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2A6F00" w14:textId="53BB172D" w:rsidR="00DC7972" w:rsidRPr="00D01DDB" w:rsidRDefault="00DC7972" w:rsidP="00DC7972">
            <w:pPr>
              <w:rPr>
                <w:szCs w:val="22"/>
              </w:rPr>
            </w:pPr>
            <w:proofErr w:type="spellStart"/>
            <w:r w:rsidRPr="00DC7972">
              <w:rPr>
                <w:szCs w:val="22"/>
              </w:rPr>
              <w:t>uSFR</w:t>
            </w:r>
            <w:proofErr w:type="spellEnd"/>
          </w:p>
        </w:tc>
        <w:tc>
          <w:tcPr>
            <w:tcW w:w="3800" w:type="pct"/>
          </w:tcPr>
          <w:p w14:paraId="08F114DE" w14:textId="2CE2BE02" w:rsidR="00DC7972" w:rsidRPr="00D01DDB" w:rsidRDefault="00DC7972" w:rsidP="00DC7972">
            <w:pPr>
              <w:cnfStyle w:val="000000000000" w:firstRow="0" w:lastRow="0" w:firstColumn="0" w:lastColumn="0" w:oddVBand="0" w:evenVBand="0" w:oddHBand="0" w:evenHBand="0" w:firstRowFirstColumn="0" w:firstRowLastColumn="0" w:lastRowFirstColumn="0" w:lastRowLastColumn="0"/>
              <w:rPr>
                <w:szCs w:val="22"/>
              </w:rPr>
            </w:pPr>
            <w:r>
              <w:rPr>
                <w:szCs w:val="22"/>
              </w:rPr>
              <w:t>U</w:t>
            </w:r>
            <w:r w:rsidRPr="00DC7972">
              <w:rPr>
                <w:szCs w:val="22"/>
              </w:rPr>
              <w:t>nstimulated salivary flow rate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7088789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088789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613320E" w:rsidR="00324B33" w:rsidRPr="00BD5DBD" w:rsidRDefault="00324B33" w:rsidP="007452E8">
            <w:pPr>
              <w:rPr>
                <w:i/>
                <w:szCs w:val="22"/>
              </w:rPr>
            </w:pPr>
            <w:r w:rsidRPr="00BD5DBD">
              <w:rPr>
                <w:i/>
                <w:szCs w:val="22"/>
              </w:rPr>
              <w:t>Type of submission:</w:t>
            </w:r>
          </w:p>
        </w:tc>
        <w:tc>
          <w:tcPr>
            <w:tcW w:w="3423" w:type="pct"/>
          </w:tcPr>
          <w:p w14:paraId="4F07C303" w14:textId="1F415D53" w:rsidR="00324B33" w:rsidRPr="00BD5DBD" w:rsidRDefault="00D5271B" w:rsidP="007452E8">
            <w:pPr>
              <w:rPr>
                <w:szCs w:val="22"/>
              </w:rPr>
            </w:pPr>
            <w:r>
              <w:rPr>
                <w:szCs w:val="22"/>
              </w:rPr>
              <w:t>Extension of indication</w:t>
            </w:r>
          </w:p>
        </w:tc>
      </w:tr>
      <w:tr w:rsidR="00324B33" w:rsidRPr="00BD5DBD" w14:paraId="13482B61" w14:textId="77777777" w:rsidTr="00F865A7">
        <w:tc>
          <w:tcPr>
            <w:tcW w:w="1577" w:type="pct"/>
          </w:tcPr>
          <w:p w14:paraId="2C427FCF" w14:textId="443FEA34" w:rsidR="00324B33" w:rsidRPr="00BD5DBD" w:rsidRDefault="00324B33" w:rsidP="007452E8">
            <w:pPr>
              <w:rPr>
                <w:i/>
                <w:szCs w:val="22"/>
              </w:rPr>
            </w:pPr>
            <w:r w:rsidRPr="00BD5DBD">
              <w:rPr>
                <w:i/>
                <w:szCs w:val="22"/>
              </w:rPr>
              <w:t>Product name:</w:t>
            </w:r>
          </w:p>
        </w:tc>
        <w:tc>
          <w:tcPr>
            <w:tcW w:w="3423" w:type="pct"/>
          </w:tcPr>
          <w:p w14:paraId="0E2DEF76" w14:textId="6308A262" w:rsidR="00324B33" w:rsidRPr="00BD5DBD" w:rsidRDefault="000A423B" w:rsidP="007452E8">
            <w:pPr>
              <w:rPr>
                <w:szCs w:val="22"/>
              </w:rPr>
            </w:pPr>
            <w:r>
              <w:rPr>
                <w:szCs w:val="22"/>
              </w:rPr>
              <w:t>XEOMIN</w:t>
            </w:r>
          </w:p>
        </w:tc>
      </w:tr>
      <w:tr w:rsidR="00324B33" w:rsidRPr="00BD5DBD" w14:paraId="01255B5B" w14:textId="77777777" w:rsidTr="00F865A7">
        <w:tc>
          <w:tcPr>
            <w:tcW w:w="1577" w:type="pct"/>
          </w:tcPr>
          <w:p w14:paraId="52B4F3D7" w14:textId="5D4A6D1B" w:rsidR="00324B33" w:rsidRPr="00BD5DBD" w:rsidRDefault="00324B33" w:rsidP="007452E8">
            <w:pPr>
              <w:rPr>
                <w:i/>
                <w:szCs w:val="22"/>
              </w:rPr>
            </w:pPr>
            <w:r w:rsidRPr="00BD5DBD">
              <w:rPr>
                <w:i/>
                <w:szCs w:val="22"/>
              </w:rPr>
              <w:t>Active ingredient:</w:t>
            </w:r>
          </w:p>
        </w:tc>
        <w:tc>
          <w:tcPr>
            <w:tcW w:w="3423" w:type="pct"/>
          </w:tcPr>
          <w:p w14:paraId="02FB6383" w14:textId="78AE75D3" w:rsidR="00324B33" w:rsidRPr="00BD5DBD" w:rsidRDefault="00DF3903" w:rsidP="007452E8">
            <w:pPr>
              <w:rPr>
                <w:szCs w:val="22"/>
              </w:rPr>
            </w:pPr>
            <w:r>
              <w:rPr>
                <w:szCs w:val="22"/>
              </w:rPr>
              <w:t>Incobotulinumtoxin 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5D425D8"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41D881D0" w:rsidR="00AE1947" w:rsidRPr="00BD5DBD" w:rsidRDefault="00DF3903">
            <w:pPr>
              <w:rPr>
                <w:szCs w:val="22"/>
              </w:rPr>
            </w:pPr>
            <w:r>
              <w:rPr>
                <w:szCs w:val="22"/>
              </w:rPr>
              <w:t>21 November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FE0B584" w:rsidR="00324B33" w:rsidRPr="00BD5DBD" w:rsidRDefault="002714B1" w:rsidP="007452E8">
            <w:pPr>
              <w:rPr>
                <w:szCs w:val="22"/>
              </w:rPr>
            </w:pPr>
            <w:r>
              <w:rPr>
                <w:szCs w:val="22"/>
              </w:rPr>
              <w:t>21 March 2014</w:t>
            </w:r>
          </w:p>
        </w:tc>
      </w:tr>
      <w:tr w:rsidR="00324B33" w:rsidRPr="00BD5DBD" w14:paraId="547E08D7" w14:textId="77777777" w:rsidTr="00F865A7">
        <w:tc>
          <w:tcPr>
            <w:tcW w:w="1577" w:type="pct"/>
          </w:tcPr>
          <w:p w14:paraId="5030EF30" w14:textId="7871697D" w:rsidR="00324B33" w:rsidRPr="00BD5DBD" w:rsidRDefault="00324B33" w:rsidP="007452E8">
            <w:pPr>
              <w:rPr>
                <w:i/>
                <w:szCs w:val="22"/>
              </w:rPr>
            </w:pPr>
            <w:r w:rsidRPr="00BD5DBD">
              <w:rPr>
                <w:i/>
                <w:szCs w:val="22"/>
              </w:rPr>
              <w:t>ARTG numbers:</w:t>
            </w:r>
          </w:p>
        </w:tc>
        <w:tc>
          <w:tcPr>
            <w:tcW w:w="3423" w:type="pct"/>
          </w:tcPr>
          <w:p w14:paraId="0054E912" w14:textId="04A078EE" w:rsidR="00324B33" w:rsidRPr="00BD5DBD" w:rsidRDefault="00A33A06" w:rsidP="007452E8">
            <w:pPr>
              <w:rPr>
                <w:szCs w:val="22"/>
              </w:rPr>
            </w:pPr>
            <w:r>
              <w:rPr>
                <w:szCs w:val="22"/>
              </w:rPr>
              <w:t>205507, 205508</w:t>
            </w:r>
          </w:p>
        </w:tc>
      </w:tr>
      <w:tr w:rsidR="00324B33" w:rsidRPr="00BD5DBD" w14:paraId="7618393F" w14:textId="77777777" w:rsidTr="00F865A7">
        <w:tc>
          <w:tcPr>
            <w:tcW w:w="1577" w:type="pct"/>
          </w:tcPr>
          <w:p w14:paraId="02260DE2" w14:textId="1D6CA7F6" w:rsidR="00324B33" w:rsidRPr="00BD5DBD" w:rsidRDefault="00324B33" w:rsidP="007452E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520DC855" w:rsidR="00324B33" w:rsidRPr="00BD5DBD" w:rsidRDefault="00A33A06" w:rsidP="007452E8">
            <w:pPr>
              <w:rPr>
                <w:szCs w:val="22"/>
              </w:rPr>
            </w:pPr>
            <w:r>
              <w:rPr>
                <w:szCs w:val="22"/>
              </w:rPr>
              <w:t>Yes</w:t>
            </w:r>
          </w:p>
        </w:tc>
      </w:tr>
      <w:tr w:rsidR="00324B33" w:rsidRPr="00BD5DBD" w14:paraId="179E09FE" w14:textId="77777777" w:rsidTr="00F865A7">
        <w:tc>
          <w:tcPr>
            <w:tcW w:w="1577" w:type="pct"/>
          </w:tcPr>
          <w:p w14:paraId="1A592498" w14:textId="6C7449C7" w:rsidR="00324B33" w:rsidRPr="00BD5DBD" w:rsidRDefault="00140508" w:rsidP="007452E8">
            <w:pPr>
              <w:rPr>
                <w:i/>
                <w:szCs w:val="22"/>
              </w:rPr>
            </w:pPr>
            <w:r>
              <w:rPr>
                <w:i/>
                <w:szCs w:val="22"/>
              </w:rPr>
              <w:t>Sponsor</w:t>
            </w:r>
            <w:r w:rsidR="00324B33" w:rsidRPr="00BD5DBD">
              <w:rPr>
                <w:i/>
                <w:szCs w:val="22"/>
              </w:rPr>
              <w:t>’s name and address:</w:t>
            </w:r>
          </w:p>
        </w:tc>
        <w:tc>
          <w:tcPr>
            <w:tcW w:w="3423" w:type="pct"/>
          </w:tcPr>
          <w:p w14:paraId="68DD94B0" w14:textId="18AE4B5A" w:rsidR="00324B33" w:rsidRPr="00BD5DBD" w:rsidRDefault="00AB4CB1" w:rsidP="007452E8">
            <w:pPr>
              <w:rPr>
                <w:szCs w:val="22"/>
              </w:rPr>
            </w:pPr>
            <w:r>
              <w:rPr>
                <w:szCs w:val="22"/>
              </w:rPr>
              <w:t>Merz Australia Pty Ltd, Suite 8 01A, 189 O’Riordan Street, Mascot, NSW 2020</w:t>
            </w:r>
          </w:p>
        </w:tc>
      </w:tr>
      <w:tr w:rsidR="00324B33" w:rsidRPr="00BD5DBD" w14:paraId="5322B989" w14:textId="77777777" w:rsidTr="00F865A7">
        <w:tc>
          <w:tcPr>
            <w:tcW w:w="1577" w:type="pct"/>
          </w:tcPr>
          <w:p w14:paraId="24F217E3" w14:textId="15BD1163" w:rsidR="00324B33" w:rsidRPr="00BD5DBD" w:rsidRDefault="00324B33" w:rsidP="007452E8">
            <w:pPr>
              <w:rPr>
                <w:i/>
                <w:szCs w:val="22"/>
              </w:rPr>
            </w:pPr>
            <w:r w:rsidRPr="00BD5DBD">
              <w:rPr>
                <w:i/>
                <w:szCs w:val="22"/>
              </w:rPr>
              <w:t>Dose forms:</w:t>
            </w:r>
          </w:p>
        </w:tc>
        <w:tc>
          <w:tcPr>
            <w:tcW w:w="3423" w:type="pct"/>
          </w:tcPr>
          <w:p w14:paraId="768B254C" w14:textId="1B2A8FC7" w:rsidR="00324B33" w:rsidRPr="00BD5DBD" w:rsidRDefault="00726EAB" w:rsidP="007452E8">
            <w:pPr>
              <w:rPr>
                <w:szCs w:val="22"/>
              </w:rPr>
            </w:pPr>
            <w:r>
              <w:rPr>
                <w:szCs w:val="22"/>
              </w:rPr>
              <w:t>Powder for injection</w:t>
            </w:r>
          </w:p>
        </w:tc>
      </w:tr>
      <w:tr w:rsidR="00324B33" w:rsidRPr="00BD5DBD" w14:paraId="115243E6" w14:textId="77777777" w:rsidTr="00F865A7">
        <w:tc>
          <w:tcPr>
            <w:tcW w:w="1577" w:type="pct"/>
          </w:tcPr>
          <w:p w14:paraId="7634B062" w14:textId="6A334665" w:rsidR="00324B33" w:rsidRPr="00BD5DBD" w:rsidRDefault="00324B33" w:rsidP="007452E8">
            <w:pPr>
              <w:rPr>
                <w:i/>
                <w:szCs w:val="22"/>
              </w:rPr>
            </w:pPr>
            <w:r w:rsidRPr="00BD5DBD">
              <w:rPr>
                <w:i/>
                <w:szCs w:val="22"/>
              </w:rPr>
              <w:t>Strengths:</w:t>
            </w:r>
          </w:p>
        </w:tc>
        <w:tc>
          <w:tcPr>
            <w:tcW w:w="3423" w:type="pct"/>
          </w:tcPr>
          <w:p w14:paraId="5E5F83DB" w14:textId="74972A6C" w:rsidR="00324B33" w:rsidRPr="00BD5DBD" w:rsidRDefault="00476866" w:rsidP="007452E8">
            <w:pPr>
              <w:rPr>
                <w:szCs w:val="22"/>
              </w:rPr>
            </w:pPr>
            <w:r>
              <w:t>50 Units, 100 Units</w:t>
            </w:r>
          </w:p>
        </w:tc>
      </w:tr>
      <w:tr w:rsidR="00324B33" w:rsidRPr="00BD5DBD" w14:paraId="34B07BA6" w14:textId="77777777" w:rsidTr="00F865A7">
        <w:tc>
          <w:tcPr>
            <w:tcW w:w="1577" w:type="pct"/>
          </w:tcPr>
          <w:p w14:paraId="1C039224" w14:textId="0D225B01" w:rsidR="00324B33" w:rsidRPr="00BD5DBD" w:rsidRDefault="00324B33" w:rsidP="007452E8">
            <w:pPr>
              <w:rPr>
                <w:i/>
                <w:szCs w:val="22"/>
              </w:rPr>
            </w:pPr>
            <w:r w:rsidRPr="00BD5DBD">
              <w:rPr>
                <w:i/>
                <w:szCs w:val="22"/>
              </w:rPr>
              <w:t>Container:</w:t>
            </w:r>
          </w:p>
        </w:tc>
        <w:tc>
          <w:tcPr>
            <w:tcW w:w="3423" w:type="pct"/>
          </w:tcPr>
          <w:p w14:paraId="500A42C6" w14:textId="6741C1D8" w:rsidR="00324B33" w:rsidRPr="00BD5DBD" w:rsidRDefault="001D159C" w:rsidP="007452E8">
            <w:pPr>
              <w:rPr>
                <w:szCs w:val="22"/>
              </w:rPr>
            </w:pPr>
            <w:r>
              <w:rPr>
                <w:szCs w:val="22"/>
              </w:rPr>
              <w:t>Vial</w:t>
            </w:r>
          </w:p>
        </w:tc>
      </w:tr>
      <w:tr w:rsidR="00324B33" w:rsidRPr="00BD5DBD" w14:paraId="176B6773" w14:textId="77777777" w:rsidTr="00F865A7">
        <w:tc>
          <w:tcPr>
            <w:tcW w:w="1577" w:type="pct"/>
          </w:tcPr>
          <w:p w14:paraId="71846159" w14:textId="654074F5" w:rsidR="00324B33" w:rsidRPr="00BD5DBD" w:rsidRDefault="00324B33" w:rsidP="007452E8">
            <w:pPr>
              <w:rPr>
                <w:i/>
                <w:szCs w:val="22"/>
              </w:rPr>
            </w:pPr>
            <w:r w:rsidRPr="00BD5DBD">
              <w:rPr>
                <w:i/>
                <w:szCs w:val="22"/>
              </w:rPr>
              <w:t>Pack size:</w:t>
            </w:r>
          </w:p>
        </w:tc>
        <w:tc>
          <w:tcPr>
            <w:tcW w:w="3423" w:type="pct"/>
          </w:tcPr>
          <w:p w14:paraId="7E978F8F" w14:textId="4240C65C" w:rsidR="00324B33" w:rsidRPr="00BD5DBD" w:rsidRDefault="004A52E6" w:rsidP="007452E8">
            <w:pPr>
              <w:rPr>
                <w:szCs w:val="22"/>
              </w:rPr>
            </w:pPr>
            <w:r>
              <w:rPr>
                <w:szCs w:val="22"/>
              </w:rPr>
              <w:t>1</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14E118FB" w14:textId="758501A8" w:rsidR="00C55674" w:rsidRPr="00C55674" w:rsidRDefault="000A423B" w:rsidP="00C55674">
            <w:pPr>
              <w:pStyle w:val="Default"/>
              <w:rPr>
                <w:i/>
                <w:iCs/>
                <w:sz w:val="22"/>
                <w:szCs w:val="22"/>
              </w:rPr>
            </w:pPr>
            <w:r>
              <w:rPr>
                <w:i/>
                <w:iCs/>
                <w:sz w:val="22"/>
                <w:szCs w:val="22"/>
              </w:rPr>
              <w:t>XEOMIN</w:t>
            </w:r>
            <w:r w:rsidR="00C55674" w:rsidRPr="00C55674">
              <w:rPr>
                <w:i/>
                <w:iCs/>
                <w:sz w:val="22"/>
                <w:szCs w:val="22"/>
              </w:rPr>
              <w:t xml:space="preserve"> is indicated in adults for the treatment of: </w:t>
            </w:r>
          </w:p>
          <w:p w14:paraId="1A880657" w14:textId="77777777" w:rsidR="00C55674" w:rsidRPr="00C55674" w:rsidRDefault="00C55674" w:rsidP="00C55674">
            <w:pPr>
              <w:pStyle w:val="Default"/>
              <w:rPr>
                <w:i/>
                <w:iCs/>
                <w:sz w:val="22"/>
                <w:szCs w:val="22"/>
              </w:rPr>
            </w:pPr>
            <w:r w:rsidRPr="00C55674">
              <w:rPr>
                <w:i/>
                <w:iCs/>
                <w:sz w:val="22"/>
                <w:szCs w:val="22"/>
              </w:rPr>
              <w:t xml:space="preserve">• Chronic sialorrhea due to neurological disorders </w:t>
            </w:r>
          </w:p>
          <w:p w14:paraId="01984BF5" w14:textId="4A96F121" w:rsidR="00C55674" w:rsidRPr="00C55674" w:rsidRDefault="000A423B" w:rsidP="00C55674">
            <w:pPr>
              <w:pStyle w:val="Default"/>
              <w:rPr>
                <w:i/>
                <w:iCs/>
                <w:sz w:val="22"/>
                <w:szCs w:val="22"/>
              </w:rPr>
            </w:pPr>
            <w:r>
              <w:rPr>
                <w:i/>
                <w:iCs/>
                <w:sz w:val="22"/>
                <w:szCs w:val="22"/>
              </w:rPr>
              <w:t>XEOMIN</w:t>
            </w:r>
            <w:r w:rsidR="00C55674" w:rsidRPr="00C55674">
              <w:rPr>
                <w:i/>
                <w:iCs/>
                <w:sz w:val="22"/>
                <w:szCs w:val="22"/>
              </w:rPr>
              <w:t xml:space="preserve"> is indicated in children and adolescents aged 2 years to 17 years for the symptomatic treatment of: </w:t>
            </w:r>
          </w:p>
          <w:p w14:paraId="4AA6B8C4" w14:textId="77777777" w:rsidR="00C55674" w:rsidRPr="00C55674" w:rsidRDefault="00C55674" w:rsidP="00C55674">
            <w:pPr>
              <w:pStyle w:val="Default"/>
              <w:rPr>
                <w:i/>
                <w:iCs/>
                <w:sz w:val="22"/>
                <w:szCs w:val="22"/>
              </w:rPr>
            </w:pPr>
            <w:r w:rsidRPr="00C55674">
              <w:rPr>
                <w:i/>
                <w:iCs/>
                <w:sz w:val="22"/>
                <w:szCs w:val="22"/>
              </w:rPr>
              <w:t xml:space="preserve">• Chronic sialorrhea due to neurological/neurodevelopmental disorders </w:t>
            </w:r>
          </w:p>
          <w:p w14:paraId="6E143E2E" w14:textId="23ACED6E" w:rsidR="00324B33" w:rsidRPr="00BD5DBD" w:rsidRDefault="00C55674" w:rsidP="00EB6D11">
            <w:pPr>
              <w:pStyle w:val="Default"/>
              <w:rPr>
                <w:szCs w:val="22"/>
              </w:rPr>
            </w:pPr>
            <w:r w:rsidRPr="00C55674">
              <w:rPr>
                <w:i/>
                <w:iCs/>
                <w:sz w:val="22"/>
                <w:szCs w:val="22"/>
              </w:rPr>
              <w:t xml:space="preserve">• Spasticity of the lower and/or upper limbs </w:t>
            </w:r>
          </w:p>
        </w:tc>
      </w:tr>
      <w:tr w:rsidR="00324B33" w:rsidRPr="00BD5DBD" w14:paraId="5AFDEED3" w14:textId="77777777" w:rsidTr="00F865A7">
        <w:tc>
          <w:tcPr>
            <w:tcW w:w="1577" w:type="pct"/>
          </w:tcPr>
          <w:p w14:paraId="03884BD1" w14:textId="4E593D64" w:rsidR="00324B33" w:rsidRPr="00BD5DBD" w:rsidRDefault="00324B33" w:rsidP="007452E8">
            <w:pPr>
              <w:rPr>
                <w:i/>
                <w:szCs w:val="22"/>
              </w:rPr>
            </w:pPr>
            <w:r w:rsidRPr="00BD5DBD">
              <w:rPr>
                <w:i/>
                <w:szCs w:val="22"/>
              </w:rPr>
              <w:t>Rout</w:t>
            </w:r>
            <w:r w:rsidR="00A87461">
              <w:rPr>
                <w:i/>
                <w:szCs w:val="22"/>
              </w:rPr>
              <w:t>e</w:t>
            </w:r>
            <w:r w:rsidRPr="00BD5DBD">
              <w:rPr>
                <w:i/>
                <w:szCs w:val="22"/>
              </w:rPr>
              <w:t xml:space="preserve"> of administration:</w:t>
            </w:r>
          </w:p>
        </w:tc>
        <w:tc>
          <w:tcPr>
            <w:tcW w:w="3423" w:type="pct"/>
          </w:tcPr>
          <w:p w14:paraId="1ED1357E" w14:textId="49713FB7" w:rsidR="00324B33" w:rsidRPr="000A423B" w:rsidRDefault="000721E4" w:rsidP="007452E8">
            <w:pPr>
              <w:rPr>
                <w:szCs w:val="22"/>
              </w:rPr>
            </w:pPr>
            <w:r w:rsidRPr="000A423B">
              <w:rPr>
                <w:szCs w:val="22"/>
              </w:rPr>
              <w:t>Intramuscular</w:t>
            </w:r>
            <w:r w:rsidR="00C840B1">
              <w:rPr>
                <w:szCs w:val="22"/>
              </w:rPr>
              <w:t>, intraglandular</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2D6D343" w14:textId="1BAD6C89" w:rsidR="007974F7" w:rsidRPr="00DC7BAD" w:rsidRDefault="000A423B" w:rsidP="00FF79DB">
            <w:pPr>
              <w:rPr>
                <w:szCs w:val="22"/>
              </w:rPr>
            </w:pPr>
            <w:r w:rsidRPr="00DC7BAD">
              <w:rPr>
                <w:szCs w:val="22"/>
              </w:rPr>
              <w:t>XEOMIN</w:t>
            </w:r>
            <w:r w:rsidR="009E4884" w:rsidRPr="00DC7BAD">
              <w:rPr>
                <w:szCs w:val="22"/>
              </w:rPr>
              <w:t xml:space="preserve"> is reconstituted prior to use with sodium chloride 9 mg/mL (0.9%) solution for injection. </w:t>
            </w:r>
          </w:p>
          <w:p w14:paraId="22353B74" w14:textId="641F58FF" w:rsidR="007974F7" w:rsidRPr="00DC7BAD" w:rsidRDefault="00E118FA" w:rsidP="007974F7">
            <w:pPr>
              <w:rPr>
                <w:b/>
                <w:bCs/>
                <w:szCs w:val="22"/>
              </w:rPr>
            </w:pPr>
            <w:r w:rsidRPr="00DC7BAD">
              <w:rPr>
                <w:b/>
                <w:bCs/>
                <w:szCs w:val="22"/>
              </w:rPr>
              <w:t>Chronic sialorrhea (adults)</w:t>
            </w:r>
          </w:p>
          <w:p w14:paraId="3EB51F81" w14:textId="67298CAC" w:rsidR="00E118FA" w:rsidRPr="00DC7BAD" w:rsidRDefault="00E118FA" w:rsidP="007974F7">
            <w:pPr>
              <w:rPr>
                <w:szCs w:val="22"/>
              </w:rPr>
            </w:pPr>
            <w:r w:rsidRPr="00DC7BAD">
              <w:rPr>
                <w:szCs w:val="22"/>
              </w:rPr>
              <w:t xml:space="preserve">A reconstituted solution at a concentration of 5 units/0.1 mL should be used. </w:t>
            </w:r>
            <w:r w:rsidR="000A423B" w:rsidRPr="00DC7BAD">
              <w:rPr>
                <w:szCs w:val="22"/>
              </w:rPr>
              <w:t>XEOMIN</w:t>
            </w:r>
            <w:r w:rsidRPr="00DC7BAD">
              <w:rPr>
                <w:szCs w:val="22"/>
              </w:rPr>
              <w:t xml:space="preserve"> is injected into the parotid and submandibular glands on both sides (per treatment four injections in total). The dose is divided with a ratio of 3:2 between the parotid and submandibular glands.</w:t>
            </w:r>
            <w:r w:rsidR="00FF1EEE" w:rsidRPr="00DC7BAD">
              <w:rPr>
                <w:szCs w:val="22"/>
              </w:rPr>
              <w:t xml:space="preserve"> The recommended and total maximum dose per treatment session is 100 units. This maximum dose should not be exceeded.</w:t>
            </w:r>
          </w:p>
          <w:p w14:paraId="43A99542" w14:textId="77777777" w:rsidR="00FF1EEE" w:rsidRPr="00DC7BAD" w:rsidRDefault="00FF1EEE" w:rsidP="00FF1EEE">
            <w:pPr>
              <w:rPr>
                <w:b/>
                <w:bCs/>
                <w:szCs w:val="22"/>
              </w:rPr>
            </w:pPr>
            <w:r w:rsidRPr="00DC7BAD">
              <w:rPr>
                <w:b/>
                <w:bCs/>
                <w:szCs w:val="22"/>
              </w:rPr>
              <w:t>Spasticity of the lower and upper limb (children and adolescents aged 2 years to 17 years)</w:t>
            </w:r>
          </w:p>
          <w:p w14:paraId="48957806" w14:textId="40069892" w:rsidR="00FF1EEE" w:rsidRPr="00DC7BAD" w:rsidRDefault="00FF1EEE" w:rsidP="00FF1EEE">
            <w:pPr>
              <w:rPr>
                <w:szCs w:val="22"/>
              </w:rPr>
            </w:pPr>
            <w:r w:rsidRPr="00DC7BAD">
              <w:rPr>
                <w:szCs w:val="22"/>
              </w:rPr>
              <w:t xml:space="preserve">Reconstituted </w:t>
            </w:r>
            <w:r w:rsidR="000A423B" w:rsidRPr="00DC7BAD">
              <w:rPr>
                <w:szCs w:val="22"/>
              </w:rPr>
              <w:t>XEOMIN</w:t>
            </w:r>
            <w:r w:rsidRPr="00DC7BAD">
              <w:rPr>
                <w:szCs w:val="22"/>
              </w:rPr>
              <w:t xml:space="preserve"> at a concentration between 1.25 units/0.1 mL and 5 units/0.1 mL is recommended.</w:t>
            </w:r>
            <w:r w:rsidR="009133D1" w:rsidRPr="00DC7BAD">
              <w:rPr>
                <w:szCs w:val="22"/>
              </w:rPr>
              <w:t xml:space="preserve"> The exact dosage, frequency and number of injection sites should be tailored to the individual patient based on size, number and </w:t>
            </w:r>
            <w:r w:rsidR="009133D1" w:rsidRPr="00DC7BAD">
              <w:rPr>
                <w:szCs w:val="22"/>
              </w:rPr>
              <w:lastRenderedPageBreak/>
              <w:t>localisation of involved muscles, the severity of spasticity, and the presence of local muscle weakness.</w:t>
            </w:r>
          </w:p>
          <w:p w14:paraId="42DFD53F" w14:textId="77777777" w:rsidR="006714A9" w:rsidRPr="00DC7BAD" w:rsidRDefault="006714A9" w:rsidP="006714A9">
            <w:pPr>
              <w:rPr>
                <w:b/>
                <w:bCs/>
                <w:szCs w:val="22"/>
              </w:rPr>
            </w:pPr>
            <w:r w:rsidRPr="00DC7BAD">
              <w:rPr>
                <w:b/>
                <w:bCs/>
                <w:szCs w:val="22"/>
              </w:rPr>
              <w:t>Chronic sialorrhea (children and adolescents aged 2 years to 17 years)</w:t>
            </w:r>
          </w:p>
          <w:p w14:paraId="386DA5C4" w14:textId="1B3E13D7" w:rsidR="006714A9" w:rsidRPr="00DC7BAD" w:rsidRDefault="006714A9" w:rsidP="006714A9">
            <w:pPr>
              <w:rPr>
                <w:szCs w:val="22"/>
              </w:rPr>
            </w:pPr>
            <w:r w:rsidRPr="00DC7BAD">
              <w:rPr>
                <w:szCs w:val="22"/>
              </w:rPr>
              <w:t xml:space="preserve">A reconstituted solution at a concentration of 2.5 units/0.1 mL should be used. </w:t>
            </w:r>
            <w:r w:rsidR="000A423B" w:rsidRPr="00DC7BAD">
              <w:rPr>
                <w:szCs w:val="22"/>
              </w:rPr>
              <w:t>XEOMIN</w:t>
            </w:r>
            <w:r w:rsidRPr="00DC7BAD">
              <w:rPr>
                <w:szCs w:val="22"/>
              </w:rPr>
              <w:t xml:space="preserve"> is injected into the parotid and submandibular glands on both sides (per treatment four injections in total). The body weight adjusted dose is divided with a ratio of 3:2 between the parotid and submandibular glands. Treatment doses should be administered by body weight class and the total dose should not exceed 75 units per treatment session. For children weighing less than 12</w:t>
            </w:r>
            <w:r w:rsidR="0055659E">
              <w:rPr>
                <w:szCs w:val="22"/>
              </w:rPr>
              <w:t xml:space="preserve"> </w:t>
            </w:r>
            <w:r w:rsidRPr="00DC7BAD">
              <w:rPr>
                <w:szCs w:val="22"/>
              </w:rPr>
              <w:t>kg no data are available and therefore no dosing recommendations can be made for children weighing less than 12 kg.</w:t>
            </w:r>
          </w:p>
          <w:p w14:paraId="3D0B2D5C" w14:textId="61B35917" w:rsidR="00324B33" w:rsidRPr="000A423B" w:rsidRDefault="00324B33" w:rsidP="007452E8">
            <w:pPr>
              <w:rPr>
                <w:szCs w:val="22"/>
              </w:rPr>
            </w:pPr>
            <w:r w:rsidRPr="000A423B">
              <w:rPr>
                <w:szCs w:val="22"/>
              </w:rPr>
              <w:t xml:space="preserve">For further information regarding dosage, </w:t>
            </w:r>
            <w:r w:rsidR="006B7126" w:rsidRPr="000A423B">
              <w:rPr>
                <w:szCs w:val="22"/>
              </w:rPr>
              <w:t xml:space="preserve">such as dosage modifications to manage adverse reactions, </w:t>
            </w:r>
            <w:r w:rsidRPr="000A423B">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321723E6" w14:textId="084271A2" w:rsidR="00892BDC" w:rsidRDefault="00892BDC" w:rsidP="007967C3">
            <w:r>
              <w:t>B3</w:t>
            </w:r>
          </w:p>
          <w:p w14:paraId="5CF5774A" w14:textId="083CBDD2" w:rsidR="00A87461" w:rsidRDefault="00A87461" w:rsidP="00A87461">
            <w:r>
              <w:t>Drugs which have been taken by only a limited number of pregnant women and women of childbearing age, without an increase in the frequency of malformation or other direct or indirect harmful effects on the human fetus having been observed.</w:t>
            </w:r>
          </w:p>
          <w:p w14:paraId="371F80D5" w14:textId="77777777" w:rsidR="00A87461" w:rsidRDefault="00A87461" w:rsidP="00A87461">
            <w:pPr>
              <w:rPr>
                <w:szCs w:val="22"/>
              </w:rPr>
            </w:pPr>
            <w:r>
              <w:t>Studies in animals have shown evidence of an increased occurrence of fetal damage, the significance of which is considered uncertain in humans.</w:t>
            </w:r>
            <w:r w:rsidRPr="00BD5DBD">
              <w:rPr>
                <w:szCs w:val="22"/>
              </w:rPr>
              <w:t xml:space="preserve"> </w:t>
            </w:r>
          </w:p>
          <w:p w14:paraId="76497789" w14:textId="2C223387" w:rsidR="0017005C" w:rsidRPr="00BD5DBD" w:rsidRDefault="0070330F" w:rsidP="00A87461">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70887897"/>
      <w:r>
        <w:t>Product background</w:t>
      </w:r>
      <w:bookmarkEnd w:id="11"/>
      <w:bookmarkEnd w:id="12"/>
      <w:bookmarkEnd w:id="13"/>
      <w:bookmarkEnd w:id="14"/>
    </w:p>
    <w:p w14:paraId="59BF31D1" w14:textId="2AC3963D" w:rsidR="001500A8" w:rsidRDefault="00324B33" w:rsidP="00065839">
      <w:r w:rsidRPr="00065839">
        <w:t>This AusPAR describes the submission by</w:t>
      </w:r>
      <w:r w:rsidR="002F4D42">
        <w:t xml:space="preserve"> </w:t>
      </w:r>
      <w:r w:rsidR="00F407E4">
        <w:t>Merz Australia Pty Ltd</w:t>
      </w:r>
      <w:r w:rsidRPr="00065839">
        <w:t xml:space="preserve"> (the </w:t>
      </w:r>
      <w:r w:rsidR="00616104">
        <w:t>Sponsor</w:t>
      </w:r>
      <w:r w:rsidRPr="00065839">
        <w:t xml:space="preserve">) to register </w:t>
      </w:r>
      <w:r w:rsidR="000A423B">
        <w:t>XEOMIN</w:t>
      </w:r>
      <w:r w:rsidR="00F407E4">
        <w:t xml:space="preserve"> (i</w:t>
      </w:r>
      <w:r w:rsidR="008645FF">
        <w:t xml:space="preserve">ncobotulinumtoxin A) </w:t>
      </w:r>
      <w:r w:rsidRPr="00065839">
        <w:t>for the following proposed extension of indications:</w:t>
      </w:r>
      <w:r w:rsidR="00D63760" w:rsidRPr="00065839">
        <w:rPr>
          <w:vertAlign w:val="superscript"/>
        </w:rPr>
        <w:footnoteReference w:id="2"/>
      </w:r>
    </w:p>
    <w:p w14:paraId="7D70ADF0" w14:textId="75A350F1" w:rsidR="00B847D4" w:rsidRPr="004C7A77" w:rsidRDefault="00B847D4" w:rsidP="00B2497D">
      <w:pPr>
        <w:pStyle w:val="ListBullet"/>
      </w:pPr>
      <w:r w:rsidRPr="004C7A77">
        <w:t>The following indications in adults:</w:t>
      </w:r>
    </w:p>
    <w:p w14:paraId="64CFDFE9" w14:textId="1C60218A" w:rsidR="00B847D4" w:rsidRPr="004C7A77" w:rsidRDefault="00B847D4" w:rsidP="00B2497D">
      <w:pPr>
        <w:pStyle w:val="ListBullet2"/>
      </w:pPr>
      <w:r w:rsidRPr="004C7A77">
        <w:t>Treatment of chronic sialorrhea due to neurological disorders</w:t>
      </w:r>
    </w:p>
    <w:p w14:paraId="4947DAEE" w14:textId="25659604" w:rsidR="00B847D4" w:rsidRPr="004C7A77" w:rsidRDefault="00B847D4" w:rsidP="00B2497D">
      <w:pPr>
        <w:pStyle w:val="ListBullet2"/>
      </w:pPr>
      <w:r w:rsidRPr="004C7A77">
        <w:t xml:space="preserve">Treatment of </w:t>
      </w:r>
      <w:bookmarkStart w:id="15" w:name="_Hlk168865057"/>
      <w:r w:rsidRPr="004C7A77">
        <w:t>Hemifacial spasm (HFS</w:t>
      </w:r>
      <w:bookmarkEnd w:id="15"/>
      <w:r w:rsidRPr="004C7A77">
        <w:t>)</w:t>
      </w:r>
    </w:p>
    <w:p w14:paraId="2F635769" w14:textId="0EA89463" w:rsidR="00B847D4" w:rsidRPr="004C7A77" w:rsidRDefault="00B847D4" w:rsidP="00B2497D">
      <w:pPr>
        <w:pStyle w:val="ListBullet"/>
      </w:pPr>
      <w:r w:rsidRPr="004C7A77">
        <w:lastRenderedPageBreak/>
        <w:t>The following indications in children and adolescents (age 2-17 years):</w:t>
      </w:r>
    </w:p>
    <w:p w14:paraId="6D3A438D" w14:textId="7AC17A26" w:rsidR="00B847D4" w:rsidRPr="004C7A77" w:rsidRDefault="00B847D4" w:rsidP="00B2497D">
      <w:pPr>
        <w:pStyle w:val="ListBullet2"/>
      </w:pPr>
      <w:r w:rsidRPr="004C7A77">
        <w:t>Treatment of chronic sialorrhea due to neurological / neurodevelopmental disorders</w:t>
      </w:r>
    </w:p>
    <w:p w14:paraId="75333E93" w14:textId="65516256" w:rsidR="00B847D4" w:rsidRPr="004C7A77" w:rsidRDefault="00B847D4" w:rsidP="00B2497D">
      <w:pPr>
        <w:pStyle w:val="ListBullet2"/>
      </w:pPr>
      <w:r w:rsidRPr="004C7A77">
        <w:t>Treatment of spa</w:t>
      </w:r>
      <w:r w:rsidR="000A423B">
        <w:t>st</w:t>
      </w:r>
      <w:r w:rsidRPr="004C7A77">
        <w:t>icity of the lower limb</w:t>
      </w:r>
      <w:r w:rsidR="005D7543">
        <w:t>/s (LL)</w:t>
      </w:r>
      <w:r w:rsidRPr="004C7A77">
        <w:t xml:space="preserve"> or of combined spa</w:t>
      </w:r>
      <w:r w:rsidR="00B75634" w:rsidRPr="004C7A77">
        <w:t xml:space="preserve">sticity of </w:t>
      </w:r>
      <w:r w:rsidR="000A4A76">
        <w:t xml:space="preserve">the </w:t>
      </w:r>
      <w:r w:rsidR="00B75634" w:rsidRPr="004C7A77">
        <w:t xml:space="preserve">upper and </w:t>
      </w:r>
      <w:r w:rsidR="000A4A76">
        <w:t xml:space="preserve">the </w:t>
      </w:r>
      <w:r w:rsidR="00B75634" w:rsidRPr="004C7A77">
        <w:t xml:space="preserve">lower limb </w:t>
      </w:r>
    </w:p>
    <w:p w14:paraId="1E63A2AE" w14:textId="74DB378C" w:rsidR="00CB6813" w:rsidRDefault="004444B0" w:rsidP="00CB6813">
      <w:pPr>
        <w:pStyle w:val="Heading4"/>
      </w:pPr>
      <w:bookmarkStart w:id="16" w:name="_Toc314842485"/>
      <w:bookmarkStart w:id="17" w:name="_Toc247691504"/>
      <w:bookmarkStart w:id="18" w:name="_Toc170887898"/>
      <w:r>
        <w:t>The d</w:t>
      </w:r>
      <w:r w:rsidR="00CB6813" w:rsidRPr="00C12D65">
        <w:t>isease</w:t>
      </w:r>
      <w:r w:rsidR="00E01E1E">
        <w:t>/condition</w:t>
      </w:r>
      <w:bookmarkEnd w:id="18"/>
    </w:p>
    <w:p w14:paraId="65BE48CC" w14:textId="0DDC1693" w:rsidR="00DA3344" w:rsidRPr="00D81A63" w:rsidRDefault="00D81A63" w:rsidP="00B2497D">
      <w:pPr>
        <w:pStyle w:val="Heading5"/>
      </w:pPr>
      <w:r w:rsidRPr="00D81A63">
        <w:t>Sialorrhea</w:t>
      </w:r>
    </w:p>
    <w:p w14:paraId="42CC3B29" w14:textId="37104E1F" w:rsidR="0018509E" w:rsidRDefault="0018509E" w:rsidP="0018509E">
      <w:bookmarkStart w:id="19" w:name="_Hlk168865075"/>
      <w:r>
        <w:t>Sialorrhea</w:t>
      </w:r>
      <w:r w:rsidR="00973DAB">
        <w:t xml:space="preserve"> (SIA)</w:t>
      </w:r>
      <w:bookmarkEnd w:id="19"/>
      <w:r>
        <w:t xml:space="preserve"> is the involuntary drooling of saliva and oral content that usually occurs in infants. At 24 months of age, children with typical development should have the ability to perform most activities without loss of saliva. After the age of 4 years, sialorrhea is abnormal and often persists in children with neurological disorders, including neuromuscular incoordination of swallowing and intellectual disabilities. </w:t>
      </w:r>
    </w:p>
    <w:p w14:paraId="3006681D" w14:textId="28352532" w:rsidR="0018509E" w:rsidRDefault="0018509E" w:rsidP="0018509E">
      <w:r>
        <w:t xml:space="preserve">In adults, </w:t>
      </w:r>
      <w:r w:rsidR="000A423B">
        <w:t>s</w:t>
      </w:r>
      <w:r w:rsidRPr="003B54C2">
        <w:t xml:space="preserve">ialorrhea </w:t>
      </w:r>
      <w:r>
        <w:t xml:space="preserve">may be due to excessive saliva production or excessive pooling of saliva in the anterior oral cavity secondary to poor swallowing and is usually caused by neuromuscular dysfunction (e.g., </w:t>
      </w:r>
      <w:bookmarkStart w:id="20" w:name="_Hlk168866913"/>
      <w:r>
        <w:t xml:space="preserve">Parkinson’s disease [PD], </w:t>
      </w:r>
      <w:r w:rsidR="000A423B">
        <w:t>s</w:t>
      </w:r>
      <w:r>
        <w:t xml:space="preserve">troke, </w:t>
      </w:r>
      <w:r w:rsidR="000A423B">
        <w:t>c</w:t>
      </w:r>
      <w:r>
        <w:t xml:space="preserve">erebral </w:t>
      </w:r>
      <w:r w:rsidR="000A423B">
        <w:t>p</w:t>
      </w:r>
      <w:r>
        <w:t xml:space="preserve">alsy (CP), </w:t>
      </w:r>
      <w:bookmarkEnd w:id="20"/>
      <w:r>
        <w:t>hypersecretion (e.g., medication side-effects, gastroesophageal reflux disease), or anatomic abnormalities (e.g., macroglossia, oral incompetence, dental malocclusion).</w:t>
      </w:r>
    </w:p>
    <w:p w14:paraId="00D500AC" w14:textId="77777777" w:rsidR="0018509E" w:rsidRDefault="0018509E" w:rsidP="0018509E">
      <w:r>
        <w:t>I</w:t>
      </w:r>
      <w:r w:rsidRPr="00FF0CD5">
        <w:t xml:space="preserve">ntraglandular injection of </w:t>
      </w:r>
      <w:r>
        <w:t>Botulinum toxin (</w:t>
      </w:r>
      <w:r w:rsidRPr="00FF0CD5">
        <w:t>BoNT</w:t>
      </w:r>
      <w:r>
        <w:t>)</w:t>
      </w:r>
      <w:r w:rsidRPr="00FF0CD5">
        <w:t xml:space="preserve"> </w:t>
      </w:r>
      <w:r>
        <w:t xml:space="preserve">initiates </w:t>
      </w:r>
      <w:r w:rsidRPr="00FF0CD5">
        <w:t>a blockade in the neurogenic (parasympathetic) control of salivary secretion</w:t>
      </w:r>
      <w:r>
        <w:t>.</w:t>
      </w:r>
    </w:p>
    <w:p w14:paraId="00948BBB" w14:textId="2BE46639" w:rsidR="00D81A63" w:rsidRPr="00947379" w:rsidRDefault="00947379" w:rsidP="00B2497D">
      <w:pPr>
        <w:pStyle w:val="Heading5"/>
      </w:pPr>
      <w:r>
        <w:t xml:space="preserve">Spasticity </w:t>
      </w:r>
    </w:p>
    <w:p w14:paraId="06877BB0" w14:textId="79E9CFD7" w:rsidR="0018509E" w:rsidRDefault="0018509E" w:rsidP="0018509E">
      <w:r>
        <w:t>C</w:t>
      </w:r>
      <w:r w:rsidR="000D58C8">
        <w:t>erebral palsy</w:t>
      </w:r>
      <w:r>
        <w:t xml:space="preserve"> is the most common developmental disorder and cause of spasticity in the paediatric population </w:t>
      </w:r>
      <w:r w:rsidRPr="00A60E8E">
        <w:t xml:space="preserve">and is associated with lifelong motor impairment and disability. The overall prevalence of </w:t>
      </w:r>
      <w:r w:rsidR="000D58C8">
        <w:t>cerebral palsy</w:t>
      </w:r>
      <w:r w:rsidRPr="00A60E8E">
        <w:t xml:space="preserve"> is estimated at 2 to 3.5 per 1,000 neonates in developed countries. Most (76</w:t>
      </w:r>
      <w:r>
        <w:t>%</w:t>
      </w:r>
      <w:r w:rsidRPr="00A60E8E">
        <w:t xml:space="preserve">-87%) </w:t>
      </w:r>
      <w:r w:rsidR="000D58C8">
        <w:t>cerebral palsy</w:t>
      </w:r>
      <w:r w:rsidRPr="00A60E8E">
        <w:t xml:space="preserve"> patients suffer from spasticity</w:t>
      </w:r>
      <w:r w:rsidR="00947379">
        <w:t>.</w:t>
      </w:r>
      <w:r w:rsidRPr="00A60E8E">
        <w:t xml:space="preserve"> S</w:t>
      </w:r>
      <w:r w:rsidR="00947379" w:rsidRPr="00A60E8E">
        <w:t>pasticity</w:t>
      </w:r>
      <w:r w:rsidRPr="00A60E8E">
        <w:t xml:space="preserve"> is a chronic, non-fatal condition. In younger children with </w:t>
      </w:r>
      <w:r w:rsidR="00947379" w:rsidRPr="00A60E8E">
        <w:t>spasticity</w:t>
      </w:r>
      <w:r w:rsidRPr="00A60E8E">
        <w:t xml:space="preserve"> in the</w:t>
      </w:r>
      <w:r>
        <w:t xml:space="preserve"> lower limbs</w:t>
      </w:r>
      <w:r w:rsidRPr="00437B93">
        <w:t xml:space="preserve"> </w:t>
      </w:r>
      <w:r w:rsidRPr="00A60E8E">
        <w:t xml:space="preserve">the most prominent and most frequently observed presentation is equinus gait (pes equinus). </w:t>
      </w:r>
      <w:r>
        <w:t>S</w:t>
      </w:r>
      <w:r w:rsidR="00947379" w:rsidRPr="00A60E8E">
        <w:t>pasticity</w:t>
      </w:r>
      <w:r>
        <w:t xml:space="preserve"> can greatly interfere with the functional use of the affected body parts, particularly when spastic antagonists counteract selective voluntary muscle activity.</w:t>
      </w:r>
    </w:p>
    <w:p w14:paraId="7F7C408D" w14:textId="44828EF6" w:rsidR="00947379" w:rsidRPr="00947379" w:rsidRDefault="00947379" w:rsidP="00B2497D">
      <w:pPr>
        <w:pStyle w:val="Heading5"/>
      </w:pPr>
      <w:r>
        <w:t>Hemifacial spasm</w:t>
      </w:r>
    </w:p>
    <w:p w14:paraId="16A0C112" w14:textId="2EFFC88F" w:rsidR="0018509E" w:rsidRDefault="0018509E" w:rsidP="0018509E">
      <w:r w:rsidRPr="00081EF0">
        <w:t>Hemifacial spasm</w:t>
      </w:r>
      <w:r>
        <w:t xml:space="preserve"> (HFS)</w:t>
      </w:r>
      <w:r w:rsidRPr="00081EF0">
        <w:t xml:space="preserve"> is characterised by unilateral contractions of the facial muscles.</w:t>
      </w:r>
      <w:r>
        <w:t xml:space="preserve"> H</w:t>
      </w:r>
      <w:r w:rsidR="000D58C8" w:rsidRPr="00081EF0">
        <w:t>emifacial spasm</w:t>
      </w:r>
      <w:r>
        <w:t xml:space="preserve"> is defined as unilateral, involuntary, irregular clonic or tonic contraction of facial muscles innervated by the ipsilateral 7th cranial (facial) nerve. The clinical picture of </w:t>
      </w:r>
      <w:r w:rsidR="000D58C8">
        <w:t>h</w:t>
      </w:r>
      <w:r w:rsidR="000D58C8" w:rsidRPr="00081EF0">
        <w:t>emifacial spasm</w:t>
      </w:r>
      <w:r>
        <w:t xml:space="preserve"> is characterised by more or less prolonged contractions of the muscles of one face half (and in very rare cases of both facial halves). These involuntary muscle contractions can only occur for a short time, or they can also persist and mimic dystonic muscle contractions. The abnormal muscle activity is typically limited to the muscles from the area of innervation of the facial nerve. Unilateral eye closure constitutes the leading clinical pattern observed in this disorder.</w:t>
      </w:r>
    </w:p>
    <w:p w14:paraId="255E083A" w14:textId="77777777" w:rsidR="00CB6813" w:rsidRDefault="00CB6813" w:rsidP="00CB6813">
      <w:pPr>
        <w:pStyle w:val="Heading4"/>
      </w:pPr>
      <w:bookmarkStart w:id="21" w:name="_Toc170887899"/>
      <w:r>
        <w:t>Current treatment options</w:t>
      </w:r>
      <w:bookmarkEnd w:id="21"/>
    </w:p>
    <w:p w14:paraId="413ADA77" w14:textId="77777777" w:rsidR="0013676B" w:rsidRPr="00AB3F74" w:rsidRDefault="0013676B" w:rsidP="00B2497D">
      <w:pPr>
        <w:pStyle w:val="Heading5"/>
      </w:pPr>
      <w:r w:rsidRPr="00AB3F74">
        <w:t>Sialorrhea in children and adolescents</w:t>
      </w:r>
    </w:p>
    <w:p w14:paraId="09DBDE4D" w14:textId="77777777" w:rsidR="0013676B" w:rsidRDefault="0013676B" w:rsidP="0013676B">
      <w:r>
        <w:t>There are no TGA approved medicines for this condition.</w:t>
      </w:r>
    </w:p>
    <w:p w14:paraId="52EBE5FF" w14:textId="5EF0C404" w:rsidR="0013676B" w:rsidRDefault="0013676B" w:rsidP="0013676B">
      <w:r>
        <w:lastRenderedPageBreak/>
        <w:t xml:space="preserve">Currently, </w:t>
      </w:r>
      <w:r w:rsidR="004F7C5E">
        <w:t>SIALANARSIALANAR</w:t>
      </w:r>
      <w:r w:rsidR="00054D6B">
        <w:t xml:space="preserve"> (</w:t>
      </w:r>
      <w:r>
        <w:t>glycopyrrolate</w:t>
      </w:r>
      <w:r w:rsidR="00054D6B">
        <w:t>)</w:t>
      </w:r>
      <w:r>
        <w:t xml:space="preserve"> is approved in the EU as an oral solution for the symptomatic treatment of severe SIA in children and </w:t>
      </w:r>
      <w:r w:rsidRPr="003F2D18">
        <w:t xml:space="preserve">adolescents aged 3 years and older. </w:t>
      </w:r>
      <w:r>
        <w:t>G</w:t>
      </w:r>
      <w:r w:rsidRPr="003F2D18">
        <w:t xml:space="preserve">lycopyrrolate oral solution, is </w:t>
      </w:r>
      <w:r>
        <w:t xml:space="preserve">also </w:t>
      </w:r>
      <w:r w:rsidRPr="003F2D18">
        <w:t xml:space="preserve">approved in the US to reduce chronic severe drooling in paediatric subjects aged 3 to 16 years with </w:t>
      </w:r>
      <w:r>
        <w:t>neurologic conditions.</w:t>
      </w:r>
    </w:p>
    <w:p w14:paraId="3EE3400D" w14:textId="344AFA8C" w:rsidR="0013676B" w:rsidRDefault="000A423B" w:rsidP="0013676B">
      <w:r>
        <w:t>XEOMIN</w:t>
      </w:r>
      <w:r w:rsidR="0013676B">
        <w:t xml:space="preserve"> is approved for the treatment of paediatric chronic SIA in the EU.</w:t>
      </w:r>
    </w:p>
    <w:p w14:paraId="2F1D1973" w14:textId="77777777" w:rsidR="0013676B" w:rsidRPr="00AB3F74" w:rsidRDefault="0013676B" w:rsidP="00B2497D">
      <w:pPr>
        <w:pStyle w:val="Heading6"/>
      </w:pPr>
      <w:r w:rsidRPr="00AB3F74">
        <w:t>Sialorrhea in adults</w:t>
      </w:r>
    </w:p>
    <w:p w14:paraId="0A662BBE" w14:textId="77777777" w:rsidR="0013676B" w:rsidRPr="00B72540" w:rsidRDefault="0013676B" w:rsidP="0013676B">
      <w:r>
        <w:t>There are no TGA approved medicines for this condition.</w:t>
      </w:r>
    </w:p>
    <w:p w14:paraId="0CA8DF22" w14:textId="7A5405AB" w:rsidR="0013676B" w:rsidRDefault="000A423B" w:rsidP="0013676B">
      <w:r>
        <w:t>XEOMIN</w:t>
      </w:r>
      <w:r w:rsidR="0013676B">
        <w:t xml:space="preserve"> is approved for the treatment of chronic SIA in adults in the EU.</w:t>
      </w:r>
    </w:p>
    <w:p w14:paraId="4584DD4A" w14:textId="29BF467C" w:rsidR="0013676B" w:rsidRPr="00AB3F74" w:rsidRDefault="0013676B" w:rsidP="00B2497D">
      <w:pPr>
        <w:pStyle w:val="Heading6"/>
      </w:pPr>
      <w:r w:rsidRPr="00AB3F74">
        <w:t>Spasticity in children and adolescents</w:t>
      </w:r>
    </w:p>
    <w:p w14:paraId="152A33BB" w14:textId="046A6198" w:rsidR="0013676B" w:rsidRPr="00DB3F0A" w:rsidRDefault="0013676B" w:rsidP="0013676B">
      <w:r>
        <w:t xml:space="preserve">Botox and </w:t>
      </w:r>
      <w:r w:rsidR="004F7C5E">
        <w:t>DYSPORT</w:t>
      </w:r>
      <w:r>
        <w:t xml:space="preserve"> are TGA approved for these conditions.</w:t>
      </w:r>
    </w:p>
    <w:p w14:paraId="0F0F4A3A" w14:textId="002EAA10" w:rsidR="0013676B" w:rsidRDefault="004F7C5E" w:rsidP="0013676B">
      <w:r>
        <w:t>DYSPORT</w:t>
      </w:r>
      <w:r w:rsidR="0013676B" w:rsidRPr="00BB3589">
        <w:rPr>
          <w:vertAlign w:val="superscript"/>
        </w:rPr>
        <w:t xml:space="preserve"> </w:t>
      </w:r>
      <w:r w:rsidR="0013676B" w:rsidRPr="00BB3589">
        <w:t>and Botox</w:t>
      </w:r>
      <w:r w:rsidR="0013676B">
        <w:t xml:space="preserve"> are</w:t>
      </w:r>
      <w:r w:rsidR="0013676B" w:rsidRPr="00BB3589">
        <w:t xml:space="preserve"> licensed in the EU for </w:t>
      </w:r>
      <w:r w:rsidR="0013676B">
        <w:t xml:space="preserve">the </w:t>
      </w:r>
      <w:r w:rsidR="0013676B" w:rsidRPr="00BB3589">
        <w:t xml:space="preserve">treatment of </w:t>
      </w:r>
      <w:r w:rsidR="0013676B">
        <w:t>children with spasticity.</w:t>
      </w:r>
      <w:r w:rsidR="0013676B" w:rsidRPr="00BB3589">
        <w:t xml:space="preserve"> Both products are approved for the treatment of dynamic equinus foot deformity due to SP in ambulatory paediatric CP patients.</w:t>
      </w:r>
    </w:p>
    <w:p w14:paraId="589F5CE0" w14:textId="43EEFF6D" w:rsidR="0013676B" w:rsidRPr="00BB3589" w:rsidRDefault="0013676B" w:rsidP="0013676B">
      <w:r w:rsidRPr="00BB3589">
        <w:t xml:space="preserve">In 2016, </w:t>
      </w:r>
      <w:r w:rsidR="004F7C5E">
        <w:t>DYSPORT</w:t>
      </w:r>
      <w:r w:rsidRPr="00BB3589">
        <w:t xml:space="preserve"> was also approved in the US for the treatment of LL SP in paediatric patients </w:t>
      </w:r>
      <w:r>
        <w:t xml:space="preserve">≥ </w:t>
      </w:r>
      <w:r w:rsidRPr="00BB3589">
        <w:t>2 years of age.</w:t>
      </w:r>
    </w:p>
    <w:p w14:paraId="74BAD3FD" w14:textId="21150381" w:rsidR="0013676B" w:rsidRPr="00AB3F74" w:rsidRDefault="00005B8A" w:rsidP="00B2497D">
      <w:pPr>
        <w:pStyle w:val="Heading6"/>
      </w:pPr>
      <w:r>
        <w:t>Hemifacial</w:t>
      </w:r>
      <w:r w:rsidRPr="00AB3F74">
        <w:t xml:space="preserve"> </w:t>
      </w:r>
      <w:r>
        <w:t xml:space="preserve">spasm </w:t>
      </w:r>
      <w:r w:rsidR="0013676B" w:rsidRPr="00AB3F74">
        <w:t>in adults</w:t>
      </w:r>
    </w:p>
    <w:p w14:paraId="3E639037" w14:textId="3E0EEB8B" w:rsidR="0013676B" w:rsidRDefault="0013676B" w:rsidP="0013676B">
      <w:r>
        <w:t xml:space="preserve">In </w:t>
      </w:r>
      <w:r w:rsidR="000A423B">
        <w:t xml:space="preserve">the </w:t>
      </w:r>
      <w:r>
        <w:t xml:space="preserve">EU, </w:t>
      </w:r>
      <w:r w:rsidR="000A423B">
        <w:t>XEOMIN</w:t>
      </w:r>
      <w:r>
        <w:t xml:space="preserve">, Botox and </w:t>
      </w:r>
      <w:r w:rsidR="004F7C5E">
        <w:t>DYSPORT</w:t>
      </w:r>
      <w:r>
        <w:t xml:space="preserve"> are approved for the treatment of both blepharospasm and HFS in adults.</w:t>
      </w:r>
    </w:p>
    <w:p w14:paraId="0CA058D6" w14:textId="5D6EF710" w:rsidR="0013676B" w:rsidRPr="0000529C" w:rsidRDefault="0013676B" w:rsidP="0013676B">
      <w:r>
        <w:t xml:space="preserve">In Australia, Botox and </w:t>
      </w:r>
      <w:r w:rsidR="004F7C5E">
        <w:t>DYSPORT</w:t>
      </w:r>
      <w:r>
        <w:t xml:space="preserve"> are approved for treatment in both blepharospasm and HFS in adults. </w:t>
      </w:r>
    </w:p>
    <w:p w14:paraId="37C47E09" w14:textId="14D3762D" w:rsidR="00CB6813" w:rsidRDefault="00CB6813" w:rsidP="00CB6813">
      <w:pPr>
        <w:pStyle w:val="Heading4"/>
      </w:pPr>
      <w:bookmarkStart w:id="22" w:name="_Toc170887900"/>
      <w:r>
        <w:t>C</w:t>
      </w:r>
      <w:r w:rsidRPr="00DE1344">
        <w:t>linical rational</w:t>
      </w:r>
      <w:r w:rsidR="0025785B">
        <w:t>e</w:t>
      </w:r>
      <w:bookmarkEnd w:id="22"/>
    </w:p>
    <w:p w14:paraId="452CC2EA" w14:textId="50FB761B" w:rsidR="00F64133" w:rsidRPr="003F2D18" w:rsidRDefault="004F7C5E" w:rsidP="00F64133">
      <w:pPr>
        <w:rPr>
          <w:i/>
          <w:iCs/>
          <w:lang w:eastAsia="ja-JP"/>
        </w:rPr>
      </w:pPr>
      <w:bookmarkStart w:id="23" w:name="_Toc103679291"/>
      <w:r>
        <w:rPr>
          <w:i/>
          <w:iCs/>
        </w:rPr>
        <w:t>SIA</w:t>
      </w:r>
      <w:r w:rsidRPr="0056480A">
        <w:rPr>
          <w:i/>
          <w:iCs/>
        </w:rPr>
        <w:t xml:space="preserve"> </w:t>
      </w:r>
      <w:r w:rsidR="00F64133" w:rsidRPr="00D54E3B">
        <w:rPr>
          <w:i/>
          <w:iCs/>
          <w:lang w:eastAsia="ja-JP"/>
        </w:rPr>
        <w:t>in children and adolescents</w:t>
      </w:r>
      <w:r w:rsidR="00F64133" w:rsidRPr="00D54E3B">
        <w:rPr>
          <w:lang w:eastAsia="ja-JP"/>
        </w:rPr>
        <w:t>:</w:t>
      </w:r>
      <w:r w:rsidR="00F64133" w:rsidRPr="00D54E3B">
        <w:t xml:space="preserve"> </w:t>
      </w:r>
      <w:r>
        <w:t>SIALANAR</w:t>
      </w:r>
      <w:r w:rsidR="00F64133">
        <w:t xml:space="preserve"> shows a high rate of </w:t>
      </w:r>
      <w:bookmarkStart w:id="24" w:name="_Hlk168865369"/>
      <w:r w:rsidR="00F64133">
        <w:t xml:space="preserve">adverse drug reactions (ADRs) </w:t>
      </w:r>
      <w:bookmarkEnd w:id="24"/>
      <w:r w:rsidR="00F64133">
        <w:t xml:space="preserve">and some significant drug interactions with a number of other medicinal products. Due to lack of long-term safety data, </w:t>
      </w:r>
      <w:r>
        <w:t>SIALANAR</w:t>
      </w:r>
      <w:r w:rsidR="00F64133">
        <w:t xml:space="preserve"> is recommended for short‐term intermittent use. Additionally, it should not be given to children with mild and moderate SIA and not to children </w:t>
      </w:r>
      <w:r w:rsidR="00F64133" w:rsidRPr="003F2D18">
        <w:t>below 3 years.</w:t>
      </w:r>
      <w:r w:rsidR="00F64133" w:rsidRPr="003F2D18">
        <w:rPr>
          <w:i/>
          <w:iCs/>
          <w:lang w:eastAsia="ja-JP"/>
        </w:rPr>
        <w:t xml:space="preserve"> </w:t>
      </w:r>
    </w:p>
    <w:p w14:paraId="317BEEF9" w14:textId="3D9404A7" w:rsidR="0056480A" w:rsidRPr="00F01488" w:rsidRDefault="00F64133" w:rsidP="00F64133">
      <w:pPr>
        <w:rPr>
          <w:color w:val="FF0000"/>
          <w:lang w:eastAsia="ja-JP"/>
        </w:rPr>
      </w:pPr>
      <w:r>
        <w:rPr>
          <w:i/>
          <w:iCs/>
          <w:lang w:eastAsia="ja-JP"/>
        </w:rPr>
        <w:t>SIA</w:t>
      </w:r>
      <w:r w:rsidR="00003420">
        <w:rPr>
          <w:i/>
          <w:iCs/>
          <w:lang w:eastAsia="ja-JP"/>
        </w:rPr>
        <w:t xml:space="preserve"> </w:t>
      </w:r>
      <w:r>
        <w:rPr>
          <w:i/>
          <w:iCs/>
          <w:lang w:eastAsia="ja-JP"/>
        </w:rPr>
        <w:t>in adults (</w:t>
      </w:r>
      <w:r w:rsidRPr="003F2D18">
        <w:rPr>
          <w:i/>
          <w:iCs/>
          <w:lang w:eastAsia="ja-JP"/>
        </w:rPr>
        <w:t xml:space="preserve">from </w:t>
      </w:r>
      <w:r>
        <w:rPr>
          <w:i/>
          <w:iCs/>
          <w:lang w:eastAsia="ja-JP"/>
        </w:rPr>
        <w:t>study</w:t>
      </w:r>
      <w:r w:rsidRPr="003F2D18">
        <w:rPr>
          <w:i/>
          <w:iCs/>
          <w:lang w:eastAsia="ja-JP"/>
        </w:rPr>
        <w:t xml:space="preserve"> 3090):</w:t>
      </w:r>
      <w:r w:rsidRPr="003F2D18">
        <w:t xml:space="preserve"> Numerous </w:t>
      </w:r>
      <w:r>
        <w:t xml:space="preserve">studies have demonstrated that </w:t>
      </w:r>
      <w:bookmarkStart w:id="25" w:name="_Hlk168866206"/>
      <w:r w:rsidR="004F7C5E" w:rsidRPr="004F7C5E">
        <w:t xml:space="preserve">Botulinum Toxin A </w:t>
      </w:r>
      <w:r w:rsidR="004F7C5E">
        <w:t xml:space="preserve">or B </w:t>
      </w:r>
      <w:r w:rsidR="004F7C5E" w:rsidRPr="004F7C5E">
        <w:t xml:space="preserve">injections </w:t>
      </w:r>
      <w:r w:rsidR="004F7C5E">
        <w:t>(</w:t>
      </w:r>
      <w:r>
        <w:t>BoNT/A and BoNT/B</w:t>
      </w:r>
      <w:r w:rsidR="004F7C5E">
        <w:t>)</w:t>
      </w:r>
      <w:bookmarkEnd w:id="25"/>
      <w:r>
        <w:t xml:space="preserve"> are effective and safe for the reduction of SIA in adult subjects with PD or amyotrophic lateral sclerosis, with mean global doses injected into salivary glands that ranged from 55 to 200 units (U) (Botox) and 250 to 450 U (</w:t>
      </w:r>
      <w:r w:rsidR="004F7C5E">
        <w:t>DYSPORT</w:t>
      </w:r>
      <w:r>
        <w:t>) for BoNT/A to 2500 to 4000 U for BoNT/B. Standard dopaminergic medications for parkinsonism have only limited effects on SIA.</w:t>
      </w:r>
    </w:p>
    <w:p w14:paraId="2F6544E3" w14:textId="0F7993C6" w:rsidR="00F64133" w:rsidRDefault="00827794" w:rsidP="00F64133">
      <w:bookmarkStart w:id="26" w:name="_Hlk168866198"/>
      <w:r w:rsidRPr="00827794">
        <w:rPr>
          <w:i/>
          <w:iCs/>
        </w:rPr>
        <w:t>Spasticity</w:t>
      </w:r>
      <w:r w:rsidRPr="00D54E3B">
        <w:rPr>
          <w:i/>
          <w:iCs/>
          <w:lang w:eastAsia="ja-JP"/>
        </w:rPr>
        <w:t xml:space="preserve"> </w:t>
      </w:r>
      <w:r>
        <w:rPr>
          <w:i/>
          <w:iCs/>
          <w:lang w:eastAsia="ja-JP"/>
        </w:rPr>
        <w:t>(</w:t>
      </w:r>
      <w:r w:rsidR="00F64133" w:rsidRPr="00D54E3B">
        <w:rPr>
          <w:i/>
          <w:iCs/>
          <w:lang w:eastAsia="ja-JP"/>
        </w:rPr>
        <w:t>SP</w:t>
      </w:r>
      <w:r>
        <w:rPr>
          <w:i/>
          <w:iCs/>
          <w:lang w:eastAsia="ja-JP"/>
        </w:rPr>
        <w:t>)</w:t>
      </w:r>
      <w:r w:rsidR="00F64133">
        <w:rPr>
          <w:lang w:eastAsia="ja-JP"/>
        </w:rPr>
        <w:t>:</w:t>
      </w:r>
      <w:r w:rsidR="00F64133" w:rsidRPr="00BB3589">
        <w:rPr>
          <w:color w:val="FF0000"/>
        </w:rPr>
        <w:t xml:space="preserve"> </w:t>
      </w:r>
      <w:bookmarkEnd w:id="26"/>
      <w:r w:rsidR="00F64133" w:rsidRPr="00BB3589">
        <w:t xml:space="preserve">Currently, there is significant limitation of the available SP treatment options with BoNT/A in </w:t>
      </w:r>
      <w:r w:rsidR="00F64133">
        <w:t xml:space="preserve">the </w:t>
      </w:r>
      <w:r w:rsidR="00F64133" w:rsidRPr="00BB3589">
        <w:t>EU for paediatric patients resulting in an unmet clinical need. For example, non-ambulatory paediatric patients (</w:t>
      </w:r>
      <w:bookmarkStart w:id="27" w:name="_Hlk168866850"/>
      <w:r w:rsidR="00D51046" w:rsidRPr="00D51046">
        <w:t>Gross Motor Function Classification System (GMFCS</w:t>
      </w:r>
      <w:bookmarkEnd w:id="27"/>
      <w:r w:rsidR="00D51046" w:rsidRPr="00D51046">
        <w:t xml:space="preserve">) </w:t>
      </w:r>
      <w:r w:rsidR="00F64133" w:rsidRPr="00BB3589">
        <w:t xml:space="preserve">levels IV-V) who are most severely affected by SP are excluded from the </w:t>
      </w:r>
      <w:r w:rsidR="00F64133" w:rsidRPr="00E743D9">
        <w:t xml:space="preserve">defined target population in the </w:t>
      </w:r>
      <w:r w:rsidR="004F7C5E">
        <w:t>DYSPORT</w:t>
      </w:r>
      <w:r w:rsidR="00F64133" w:rsidRPr="00E743D9">
        <w:t xml:space="preserve"> and Botox Summaries of Product Characteristics (SmPCs). Furthermore</w:t>
      </w:r>
      <w:r w:rsidR="00F64133" w:rsidRPr="00BB3589">
        <w:t xml:space="preserve">, the currently approved BoNT/A preparations are restricted to the treatment of a single manifestation of SP in LL only, i.e., the pes equinus deformity involving gastrocnemius and soleus muscles. However, in a multi-focal condition such as paediatric SP, a number of muscle groups in the LL and UL must be targeted using a multi-pattern/multi-level treatment approach to achieve optimal therapeutic outcomes. Hence, in clinical practice, continuous BoNT/A treatment of multiple SP patterns in the LL (e.g., flexed knee, adducted thigh, pes equinus) </w:t>
      </w:r>
      <w:r w:rsidR="00F64133" w:rsidRPr="00BB3589">
        <w:lastRenderedPageBreak/>
        <w:t>and/or UL (e.g., flexed elbow, flexed wrist, pronated forearm, clenched fist and thumb-in-palm) is often required to address the paediatric patient’s need. Efficacy and safety of these BoNT/A treatments in the p</w:t>
      </w:r>
      <w:r w:rsidR="00F64133">
        <w:t>a</w:t>
      </w:r>
      <w:r w:rsidR="00F64133" w:rsidRPr="00BB3589">
        <w:t xml:space="preserve">ediatric population is well-established in clinical practice </w:t>
      </w:r>
      <w:r w:rsidR="00F64133">
        <w:t>from</w:t>
      </w:r>
      <w:r w:rsidR="00F64133" w:rsidRPr="00BB3589">
        <w:t xml:space="preserve"> clinical studies </w:t>
      </w:r>
      <w:r w:rsidR="00F64133" w:rsidRPr="00B55A71">
        <w:t>and international guidance recommendations.</w:t>
      </w:r>
    </w:p>
    <w:p w14:paraId="5B108E8E" w14:textId="3BBD937E" w:rsidR="00F64133" w:rsidRPr="00FE5250" w:rsidRDefault="00FE5250" w:rsidP="00F64133">
      <w:pPr>
        <w:rPr>
          <w:b/>
          <w:bCs/>
        </w:rPr>
      </w:pPr>
      <w:r w:rsidRPr="00FE5250">
        <w:rPr>
          <w:i/>
          <w:iCs/>
        </w:rPr>
        <w:t>Hemifacial spasm</w:t>
      </w:r>
      <w:r>
        <w:rPr>
          <w:i/>
          <w:iCs/>
        </w:rPr>
        <w:t xml:space="preserve"> (</w:t>
      </w:r>
      <w:r w:rsidR="00F64133" w:rsidRPr="00D54E3B">
        <w:rPr>
          <w:i/>
          <w:iCs/>
          <w:lang w:eastAsia="ja-JP"/>
        </w:rPr>
        <w:t>HFS</w:t>
      </w:r>
      <w:r>
        <w:rPr>
          <w:i/>
          <w:iCs/>
          <w:lang w:eastAsia="ja-JP"/>
        </w:rPr>
        <w:t>)</w:t>
      </w:r>
      <w:r w:rsidR="00F64133">
        <w:rPr>
          <w:lang w:eastAsia="ja-JP"/>
        </w:rPr>
        <w:t xml:space="preserve">: </w:t>
      </w:r>
      <w:r w:rsidR="00F64133">
        <w:t xml:space="preserve">Even though HFS and </w:t>
      </w:r>
      <w:r w:rsidR="00005B8A">
        <w:t>blepharospasm</w:t>
      </w:r>
      <w:r w:rsidR="00F64133">
        <w:t xml:space="preserve"> have a different origin, the neurotransmitter release mechanism involved in increased tonus and abnormal contractile activity of the muscles in both disorders is the same. Muscles involved and resulting symptoms of HFS bear close resemblance to unilateral </w:t>
      </w:r>
      <w:r w:rsidR="00005B8A">
        <w:t>blepharospasm</w:t>
      </w:r>
      <w:r w:rsidR="00F64133">
        <w:t xml:space="preserve">. Consequently, the same muscles need to be treated in both conditions and the dosage and administration recommendations for HFS are identical to those approved for unilateral </w:t>
      </w:r>
      <w:r w:rsidR="00005B8A">
        <w:t>blepharospasm</w:t>
      </w:r>
      <w:r w:rsidR="00F64133">
        <w:t>.</w:t>
      </w:r>
    </w:p>
    <w:p w14:paraId="0D615854" w14:textId="77777777" w:rsidR="00324B33" w:rsidRPr="003F31A2" w:rsidRDefault="00324B33" w:rsidP="00324B33">
      <w:pPr>
        <w:pStyle w:val="Heading3"/>
      </w:pPr>
      <w:bookmarkStart w:id="28" w:name="_Toc170887901"/>
      <w:r>
        <w:t>Regulatory status</w:t>
      </w:r>
      <w:bookmarkEnd w:id="16"/>
      <w:bookmarkEnd w:id="17"/>
      <w:bookmarkEnd w:id="23"/>
      <w:bookmarkEnd w:id="28"/>
    </w:p>
    <w:p w14:paraId="3984F721" w14:textId="72AF50DC" w:rsidR="00324B33" w:rsidRDefault="0017005C" w:rsidP="00005B8A">
      <w:pPr>
        <w:pStyle w:val="Heading4"/>
      </w:pPr>
      <w:bookmarkStart w:id="29" w:name="_Toc170887902"/>
      <w:r w:rsidRPr="00BD5DBD">
        <w:t>Australian regulatory</w:t>
      </w:r>
      <w:r>
        <w:t xml:space="preserve"> sta</w:t>
      </w:r>
      <w:r w:rsidR="0025785B">
        <w:t>t</w:t>
      </w:r>
      <w:r>
        <w:t>us</w:t>
      </w:r>
      <w:bookmarkEnd w:id="29"/>
    </w:p>
    <w:p w14:paraId="71BF29A3" w14:textId="6504B8F4" w:rsidR="00CF6A55" w:rsidRDefault="00CF6A55" w:rsidP="00CF6A55">
      <w:pPr>
        <w:rPr>
          <w:szCs w:val="22"/>
        </w:rPr>
      </w:pPr>
      <w:r w:rsidRPr="00BD5DBD">
        <w:rPr>
          <w:szCs w:val="22"/>
        </w:rPr>
        <w:t xml:space="preserve">The product received initial registration </w:t>
      </w:r>
      <w:r>
        <w:rPr>
          <w:szCs w:val="22"/>
        </w:rPr>
        <w:t>in</w:t>
      </w:r>
      <w:r w:rsidRPr="00BD5DBD">
        <w:rPr>
          <w:szCs w:val="22"/>
        </w:rPr>
        <w:t xml:space="preserve"> the </w:t>
      </w:r>
      <w:hyperlink r:id="rId21" w:history="1">
        <w:r w:rsidRPr="00BD5DBD">
          <w:rPr>
            <w:rStyle w:val="Hyperlink"/>
            <w:szCs w:val="22"/>
          </w:rPr>
          <w:t>Australian Register of Therapeutic Goods</w:t>
        </w:r>
      </w:hyperlink>
      <w:r w:rsidRPr="00BD5DBD">
        <w:rPr>
          <w:szCs w:val="22"/>
        </w:rPr>
        <w:t xml:space="preserve"> (</w:t>
      </w:r>
      <w:hyperlink r:id="rId22" w:history="1">
        <w:r w:rsidRPr="00BD5DBD">
          <w:rPr>
            <w:rStyle w:val="Hyperlink"/>
            <w:szCs w:val="22"/>
          </w:rPr>
          <w:t>ARTG</w:t>
        </w:r>
      </w:hyperlink>
      <w:r w:rsidRPr="00BD5DBD">
        <w:rPr>
          <w:szCs w:val="22"/>
        </w:rPr>
        <w:t>) on</w:t>
      </w:r>
      <w:r w:rsidR="00B92C7A">
        <w:rPr>
          <w:szCs w:val="22"/>
        </w:rPr>
        <w:t xml:space="preserve"> 21 March 2014</w:t>
      </w:r>
      <w:r>
        <w:rPr>
          <w:szCs w:val="22"/>
        </w:rPr>
        <w:t>.</w:t>
      </w:r>
      <w:r w:rsidRPr="00BD5DBD">
        <w:rPr>
          <w:szCs w:val="22"/>
        </w:rPr>
        <w:t xml:space="preserve"> </w:t>
      </w:r>
      <w:r>
        <w:rPr>
          <w:szCs w:val="22"/>
        </w:rPr>
        <w:t>I</w:t>
      </w:r>
      <w:r w:rsidRPr="00BD5DBD">
        <w:rPr>
          <w:szCs w:val="22"/>
        </w:rPr>
        <w:t>t was approved</w:t>
      </w:r>
      <w:r w:rsidR="00352D16">
        <w:rPr>
          <w:rStyle w:val="FootnoteReference"/>
          <w:szCs w:val="22"/>
        </w:rPr>
        <w:footnoteReference w:id="3"/>
      </w:r>
      <w:r w:rsidRPr="00BD5DBD">
        <w:rPr>
          <w:szCs w:val="22"/>
        </w:rPr>
        <w:t xml:space="preserve"> for the following indications:</w:t>
      </w:r>
    </w:p>
    <w:p w14:paraId="12AFA912" w14:textId="70C3582F" w:rsidR="00EF30FF" w:rsidRPr="00FE58EB" w:rsidRDefault="00EF30FF" w:rsidP="00B2497D">
      <w:pPr>
        <w:pStyle w:val="ListBullet"/>
      </w:pPr>
      <w:r w:rsidRPr="00FE58EB">
        <w:t xml:space="preserve">Cervical dystonia in adults </w:t>
      </w:r>
    </w:p>
    <w:p w14:paraId="0E063BF7" w14:textId="64B323A3" w:rsidR="00EF30FF" w:rsidRPr="00FE58EB" w:rsidRDefault="00EF30FF" w:rsidP="00B2497D">
      <w:pPr>
        <w:pStyle w:val="ListBullet"/>
      </w:pPr>
      <w:r w:rsidRPr="00FE58EB">
        <w:t xml:space="preserve">Blepharospasm in adults </w:t>
      </w:r>
    </w:p>
    <w:p w14:paraId="4CAC857F" w14:textId="64C51D0C" w:rsidR="00EF30FF" w:rsidRPr="00FE58EB" w:rsidRDefault="00EF30FF" w:rsidP="00B2497D">
      <w:pPr>
        <w:pStyle w:val="ListBullet"/>
      </w:pPr>
      <w:r w:rsidRPr="00FE58EB">
        <w:t xml:space="preserve">spasticity of the upper limb in adults </w:t>
      </w:r>
    </w:p>
    <w:p w14:paraId="729C3184" w14:textId="51ECA879" w:rsidR="00FE58EB" w:rsidRPr="00FE58EB" w:rsidRDefault="00FE58EB" w:rsidP="00B2497D">
      <w:pPr>
        <w:pStyle w:val="ListBullet"/>
      </w:pPr>
      <w:r w:rsidRPr="00FE58EB">
        <w:t xml:space="preserve">Upper Facial lines </w:t>
      </w:r>
    </w:p>
    <w:p w14:paraId="6D2484BE" w14:textId="45D5AA34" w:rsidR="00FE58EB" w:rsidRPr="00FE58EB" w:rsidRDefault="00FE58EB" w:rsidP="00B2497D">
      <w:pPr>
        <w:pStyle w:val="ListBullet2"/>
      </w:pPr>
      <w:r w:rsidRPr="00FE58EB">
        <w:t xml:space="preserve">Glabellar frown lines </w:t>
      </w:r>
    </w:p>
    <w:p w14:paraId="2D056D87" w14:textId="30EF6DD9" w:rsidR="00FE58EB" w:rsidRPr="00FE58EB" w:rsidRDefault="00FE58EB" w:rsidP="00B2497D">
      <w:pPr>
        <w:pStyle w:val="ListBullet2"/>
      </w:pPr>
      <w:r w:rsidRPr="00FE58EB">
        <w:t xml:space="preserve">Lateral periorbital lines (crow’s feet) </w:t>
      </w:r>
    </w:p>
    <w:p w14:paraId="44479B4D" w14:textId="6C55F951" w:rsidR="00FE58EB" w:rsidRPr="00FE58EB" w:rsidRDefault="00FE58EB" w:rsidP="00B2497D">
      <w:pPr>
        <w:pStyle w:val="ListBullet2"/>
      </w:pPr>
      <w:r w:rsidRPr="00FE58EB">
        <w:t xml:space="preserve">Horizontal forehead lines </w:t>
      </w:r>
    </w:p>
    <w:p w14:paraId="546C1031" w14:textId="5090C689" w:rsidR="0017005C" w:rsidRDefault="00BA4AB0" w:rsidP="0017005C">
      <w:pPr>
        <w:pStyle w:val="Heading4"/>
      </w:pPr>
      <w:bookmarkStart w:id="30" w:name="_Toc170887903"/>
      <w:r>
        <w:t>International</w:t>
      </w:r>
      <w:r w:rsidR="0017005C" w:rsidRPr="00BD5DBD">
        <w:t xml:space="preserve"> regulatory</w:t>
      </w:r>
      <w:r w:rsidR="0017005C">
        <w:t xml:space="preserve"> status</w:t>
      </w:r>
      <w:bookmarkEnd w:id="30"/>
    </w:p>
    <w:p w14:paraId="7FDF4A0B" w14:textId="7B98998D"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19B9E0AC" w14:textId="46005178" w:rsidR="00324B33" w:rsidRDefault="00324B33" w:rsidP="00324B33">
      <w:pPr>
        <w:pStyle w:val="TableTitle"/>
      </w:pPr>
      <w:bookmarkStart w:id="31" w:name="_Ref99705479"/>
      <w:r>
        <w:lastRenderedPageBreak/>
        <w:t xml:space="preserve">Table </w:t>
      </w:r>
      <w:fldSimple w:instr=" SEQ Table \* ARABIC ">
        <w:r w:rsidR="00330CB9">
          <w:rPr>
            <w:noProof/>
          </w:rPr>
          <w:t>1</w:t>
        </w:r>
      </w:fldSimple>
      <w:bookmarkEnd w:id="31"/>
      <w:r>
        <w:t>: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688"/>
        <w:gridCol w:w="1499"/>
        <w:gridCol w:w="1586"/>
        <w:gridCol w:w="4287"/>
      </w:tblGrid>
      <w:tr w:rsidR="000B2B20" w:rsidRPr="00B2497D" w14:paraId="405E5D78" w14:textId="16839333" w:rsidTr="00B2497D">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32" w:type="pct"/>
          </w:tcPr>
          <w:p w14:paraId="185B099B" w14:textId="7A4C0E6C" w:rsidR="00324B33" w:rsidRPr="00B2497D" w:rsidRDefault="00324B33" w:rsidP="00B2497D">
            <w:pPr>
              <w:rPr>
                <w:sz w:val="20"/>
                <w:szCs w:val="20"/>
              </w:rPr>
            </w:pPr>
            <w:r w:rsidRPr="00B2497D">
              <w:rPr>
                <w:sz w:val="20"/>
                <w:szCs w:val="20"/>
              </w:rPr>
              <w:t>Region</w:t>
            </w:r>
          </w:p>
        </w:tc>
        <w:tc>
          <w:tcPr>
            <w:tcW w:w="827" w:type="pct"/>
          </w:tcPr>
          <w:p w14:paraId="778C35C7" w14:textId="52D23C85" w:rsidR="00324B33" w:rsidRPr="00B2497D" w:rsidRDefault="00324B33" w:rsidP="00B2497D">
            <w:pPr>
              <w:cnfStyle w:val="100000000000" w:firstRow="1" w:lastRow="0" w:firstColumn="0" w:lastColumn="0" w:oddVBand="0" w:evenVBand="0" w:oddHBand="0" w:evenHBand="0" w:firstRowFirstColumn="0" w:firstRowLastColumn="0" w:lastRowFirstColumn="0" w:lastRowLastColumn="0"/>
              <w:rPr>
                <w:sz w:val="20"/>
                <w:szCs w:val="20"/>
              </w:rPr>
            </w:pPr>
            <w:r w:rsidRPr="00B2497D">
              <w:rPr>
                <w:sz w:val="20"/>
                <w:szCs w:val="20"/>
              </w:rPr>
              <w:t>Submission date</w:t>
            </w:r>
          </w:p>
        </w:tc>
        <w:tc>
          <w:tcPr>
            <w:tcW w:w="875" w:type="pct"/>
          </w:tcPr>
          <w:p w14:paraId="58F81584" w14:textId="66689ABF" w:rsidR="00324B33" w:rsidRPr="00B2497D" w:rsidRDefault="00324B33" w:rsidP="00B2497D">
            <w:pPr>
              <w:cnfStyle w:val="100000000000" w:firstRow="1" w:lastRow="0" w:firstColumn="0" w:lastColumn="0" w:oddVBand="0" w:evenVBand="0" w:oddHBand="0" w:evenHBand="0" w:firstRowFirstColumn="0" w:firstRowLastColumn="0" w:lastRowFirstColumn="0" w:lastRowLastColumn="0"/>
              <w:rPr>
                <w:sz w:val="20"/>
                <w:szCs w:val="20"/>
              </w:rPr>
            </w:pPr>
            <w:r w:rsidRPr="00B2497D">
              <w:rPr>
                <w:sz w:val="20"/>
                <w:szCs w:val="20"/>
              </w:rPr>
              <w:t>Status</w:t>
            </w:r>
          </w:p>
        </w:tc>
        <w:tc>
          <w:tcPr>
            <w:tcW w:w="2366" w:type="pct"/>
          </w:tcPr>
          <w:p w14:paraId="50B2D435" w14:textId="560588D2" w:rsidR="00324B33" w:rsidRPr="00B2497D" w:rsidRDefault="00324B33" w:rsidP="00B2497D">
            <w:pPr>
              <w:cnfStyle w:val="100000000000" w:firstRow="1" w:lastRow="0" w:firstColumn="0" w:lastColumn="0" w:oddVBand="0" w:evenVBand="0" w:oddHBand="0" w:evenHBand="0" w:firstRowFirstColumn="0" w:firstRowLastColumn="0" w:lastRowFirstColumn="0" w:lastRowLastColumn="0"/>
              <w:rPr>
                <w:sz w:val="20"/>
                <w:szCs w:val="20"/>
              </w:rPr>
            </w:pPr>
            <w:r w:rsidRPr="00B2497D">
              <w:rPr>
                <w:sz w:val="20"/>
                <w:szCs w:val="20"/>
              </w:rPr>
              <w:t>Approved indications</w:t>
            </w:r>
          </w:p>
        </w:tc>
      </w:tr>
      <w:tr w:rsidR="000B2B20" w:rsidRPr="00B2497D" w14:paraId="38D24E86" w14:textId="77777777" w:rsidTr="000B2B20">
        <w:tc>
          <w:tcPr>
            <w:cnfStyle w:val="001000000000" w:firstRow="0" w:lastRow="0" w:firstColumn="1" w:lastColumn="0" w:oddVBand="0" w:evenVBand="0" w:oddHBand="0" w:evenHBand="0" w:firstRowFirstColumn="0" w:firstRowLastColumn="0" w:lastRowFirstColumn="0" w:lastRowLastColumn="0"/>
            <w:tcW w:w="932" w:type="pct"/>
          </w:tcPr>
          <w:p w14:paraId="4C540DE5" w14:textId="669F6747" w:rsidR="00833EDB" w:rsidRPr="00B2497D" w:rsidRDefault="007C624B" w:rsidP="00B2497D">
            <w:pPr>
              <w:rPr>
                <w:sz w:val="20"/>
                <w:szCs w:val="20"/>
              </w:rPr>
            </w:pPr>
            <w:r w:rsidRPr="00B2497D">
              <w:rPr>
                <w:sz w:val="20"/>
                <w:szCs w:val="20"/>
              </w:rPr>
              <w:t>EU (decentralised procedure)</w:t>
            </w:r>
            <w:r w:rsidR="00B2497D" w:rsidRPr="00B2497D">
              <w:rPr>
                <w:sz w:val="20"/>
                <w:szCs w:val="20"/>
              </w:rPr>
              <w:t xml:space="preserve"> </w:t>
            </w:r>
            <w:r w:rsidR="00833EDB" w:rsidRPr="00B2497D">
              <w:rPr>
                <w:sz w:val="20"/>
                <w:szCs w:val="20"/>
              </w:rPr>
              <w:t>Concerned member states:</w:t>
            </w:r>
            <w:r w:rsidR="00B2497D" w:rsidRPr="00B2497D">
              <w:rPr>
                <w:sz w:val="20"/>
                <w:szCs w:val="20"/>
              </w:rPr>
              <w:t xml:space="preserve"> </w:t>
            </w:r>
            <w:r w:rsidR="00B2497D" w:rsidRPr="00B2497D">
              <w:rPr>
                <w:sz w:val="20"/>
                <w:szCs w:val="20"/>
              </w:rPr>
              <w:br/>
            </w:r>
            <w:r w:rsidR="00833EDB" w:rsidRPr="00B2497D">
              <w:rPr>
                <w:sz w:val="20"/>
                <w:szCs w:val="20"/>
              </w:rPr>
              <w:t>AT, DK, ES, FI, FR, IT, LU, NO, PL, PT, SE, UK, BE, BG, CY, CZ, EE, EL, HR, HU, IE, IS, LI, LT, LV, MT, NL, RO, SI, SK</w:t>
            </w:r>
          </w:p>
        </w:tc>
        <w:tc>
          <w:tcPr>
            <w:tcW w:w="827" w:type="pct"/>
          </w:tcPr>
          <w:p w14:paraId="4FA5DDA9" w14:textId="77777777" w:rsidR="00324B33" w:rsidRPr="00B2497D" w:rsidRDefault="00324B33" w:rsidP="00B2497D">
            <w:pPr>
              <w:cnfStyle w:val="000000000000" w:firstRow="0" w:lastRow="0" w:firstColumn="0" w:lastColumn="0" w:oddVBand="0" w:evenVBand="0" w:oddHBand="0" w:evenHBand="0" w:firstRowFirstColumn="0" w:firstRowLastColumn="0" w:lastRowFirstColumn="0" w:lastRowLastColumn="0"/>
              <w:rPr>
                <w:sz w:val="20"/>
                <w:szCs w:val="20"/>
              </w:rPr>
            </w:pPr>
          </w:p>
        </w:tc>
        <w:tc>
          <w:tcPr>
            <w:tcW w:w="875" w:type="pct"/>
          </w:tcPr>
          <w:p w14:paraId="259C485D" w14:textId="77777777" w:rsidR="00B2497D" w:rsidRPr="00B2497D" w:rsidRDefault="00574852"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Sialorrhea </w:t>
            </w:r>
            <w:r w:rsidR="009152FB" w:rsidRPr="00B2497D">
              <w:rPr>
                <w:sz w:val="20"/>
                <w:szCs w:val="20"/>
              </w:rPr>
              <w:t>29 May 2019</w:t>
            </w:r>
            <w:r w:rsidR="00B2497D" w:rsidRPr="00B2497D">
              <w:rPr>
                <w:sz w:val="20"/>
                <w:szCs w:val="20"/>
              </w:rPr>
              <w:t xml:space="preserve"> </w:t>
            </w:r>
            <w:r w:rsidR="00FE58EB" w:rsidRPr="00B2497D">
              <w:rPr>
                <w:sz w:val="20"/>
                <w:szCs w:val="20"/>
              </w:rPr>
              <w:t>Paediatric</w:t>
            </w:r>
            <w:r w:rsidR="009152FB" w:rsidRPr="00B2497D">
              <w:rPr>
                <w:sz w:val="20"/>
                <w:szCs w:val="20"/>
              </w:rPr>
              <w:t xml:space="preserve"> sialorrhea </w:t>
            </w:r>
          </w:p>
          <w:p w14:paraId="1A8ED77D" w14:textId="211B0BB1" w:rsidR="009152FB" w:rsidRPr="00B2497D" w:rsidRDefault="009152F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31 August 2021</w:t>
            </w:r>
          </w:p>
          <w:p w14:paraId="378346F8" w14:textId="77777777" w:rsidR="00B2497D" w:rsidRPr="00B2497D" w:rsidRDefault="009152F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Hemifacial spasm</w:t>
            </w:r>
            <w:r w:rsidR="00B2497D" w:rsidRPr="00B2497D">
              <w:rPr>
                <w:sz w:val="20"/>
                <w:szCs w:val="20"/>
              </w:rPr>
              <w:t xml:space="preserve"> </w:t>
            </w:r>
          </w:p>
          <w:p w14:paraId="29358393" w14:textId="7A8766E5" w:rsidR="009152FB" w:rsidRPr="00B2497D" w:rsidRDefault="00D22445"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25 October 2019</w:t>
            </w:r>
          </w:p>
        </w:tc>
        <w:tc>
          <w:tcPr>
            <w:tcW w:w="2366" w:type="pct"/>
          </w:tcPr>
          <w:p w14:paraId="641DEFCE" w14:textId="1CC11B63" w:rsidR="00324B33" w:rsidRPr="00B2497D" w:rsidRDefault="00A859D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w:t>
            </w:r>
            <w:r w:rsidR="00D22445" w:rsidRPr="00B2497D">
              <w:rPr>
                <w:sz w:val="20"/>
                <w:szCs w:val="20"/>
              </w:rPr>
              <w:t>n adults</w:t>
            </w:r>
            <w:r w:rsidRPr="00B2497D">
              <w:rPr>
                <w:sz w:val="20"/>
                <w:szCs w:val="20"/>
              </w:rPr>
              <w:t>:</w:t>
            </w:r>
          </w:p>
          <w:p w14:paraId="5DC1B402" w14:textId="77777777" w:rsidR="00B2497D" w:rsidRPr="00B2497D" w:rsidRDefault="009079D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B</w:t>
            </w:r>
            <w:r w:rsidR="00D22445" w:rsidRPr="00B2497D">
              <w:rPr>
                <w:sz w:val="20"/>
                <w:szCs w:val="20"/>
              </w:rPr>
              <w:t>le</w:t>
            </w:r>
            <w:r w:rsidRPr="00B2497D">
              <w:rPr>
                <w:sz w:val="20"/>
                <w:szCs w:val="20"/>
              </w:rPr>
              <w:t>pharospasm and hemifacial spasm</w:t>
            </w:r>
            <w:r w:rsidR="00B2497D" w:rsidRPr="00B2497D">
              <w:rPr>
                <w:sz w:val="20"/>
                <w:szCs w:val="20"/>
              </w:rPr>
              <w:t xml:space="preserve"> </w:t>
            </w:r>
          </w:p>
          <w:p w14:paraId="4F425A6E" w14:textId="77777777" w:rsidR="00B2497D" w:rsidRPr="00B2497D" w:rsidRDefault="009079D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Cervical dystonia of a predominantly rotational form (spasmodic torticollis)</w:t>
            </w:r>
            <w:r w:rsidR="00B2497D" w:rsidRPr="00B2497D">
              <w:rPr>
                <w:sz w:val="20"/>
                <w:szCs w:val="20"/>
              </w:rPr>
              <w:t xml:space="preserve"> </w:t>
            </w:r>
          </w:p>
          <w:p w14:paraId="44B2D9AB" w14:textId="6B23961A" w:rsidR="009079D9" w:rsidRPr="00B2497D" w:rsidRDefault="009079D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Spasticity of the upper limb</w:t>
            </w:r>
          </w:p>
          <w:p w14:paraId="74E7D467" w14:textId="77777777" w:rsidR="009079D9" w:rsidRPr="00B2497D" w:rsidRDefault="009079D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Chronic sialorrhea due to neurological disorders</w:t>
            </w:r>
          </w:p>
          <w:p w14:paraId="25F0A380" w14:textId="5C8A3B9D" w:rsidR="009079D9" w:rsidRPr="00B2497D" w:rsidRDefault="00A859D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In </w:t>
            </w:r>
            <w:r w:rsidR="009079D9" w:rsidRPr="00B2497D">
              <w:rPr>
                <w:sz w:val="20"/>
                <w:szCs w:val="20"/>
              </w:rPr>
              <w:t>children and adolescents aged 2 to 17 years and weighing ≥12 kg</w:t>
            </w:r>
            <w:r w:rsidRPr="00B2497D">
              <w:rPr>
                <w:sz w:val="20"/>
                <w:szCs w:val="20"/>
              </w:rPr>
              <w:t xml:space="preserve">: </w:t>
            </w:r>
          </w:p>
          <w:p w14:paraId="05055674" w14:textId="79F0142C" w:rsidR="009079D9" w:rsidRPr="00B2497D" w:rsidRDefault="009079D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Chronic sialorrhea due to neurological/neurodevelopmental disorders</w:t>
            </w:r>
          </w:p>
        </w:tc>
      </w:tr>
      <w:tr w:rsidR="00132AFB" w:rsidRPr="00B2497D" w14:paraId="01033B2B" w14:textId="77777777" w:rsidTr="000B2B20">
        <w:tc>
          <w:tcPr>
            <w:cnfStyle w:val="001000000000" w:firstRow="0" w:lastRow="0" w:firstColumn="1" w:lastColumn="0" w:oddVBand="0" w:evenVBand="0" w:oddHBand="0" w:evenHBand="0" w:firstRowFirstColumn="0" w:firstRowLastColumn="0" w:lastRowFirstColumn="0" w:lastRowLastColumn="0"/>
            <w:tcW w:w="932" w:type="pct"/>
          </w:tcPr>
          <w:p w14:paraId="02A63EA5" w14:textId="23FD2F8F" w:rsidR="00132AFB" w:rsidRPr="00B2497D" w:rsidRDefault="00132AFB" w:rsidP="00B2497D">
            <w:pPr>
              <w:rPr>
                <w:sz w:val="20"/>
                <w:szCs w:val="20"/>
              </w:rPr>
            </w:pPr>
            <w:r w:rsidRPr="00B2497D">
              <w:rPr>
                <w:sz w:val="20"/>
                <w:szCs w:val="20"/>
              </w:rPr>
              <w:t>United States of America</w:t>
            </w:r>
          </w:p>
        </w:tc>
        <w:tc>
          <w:tcPr>
            <w:tcW w:w="827" w:type="pct"/>
          </w:tcPr>
          <w:p w14:paraId="3EBDF2BE" w14:textId="65D35885" w:rsidR="00132AFB" w:rsidRPr="00B2497D" w:rsidRDefault="00132AF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 </w:t>
            </w:r>
          </w:p>
        </w:tc>
        <w:tc>
          <w:tcPr>
            <w:tcW w:w="875" w:type="pct"/>
          </w:tcPr>
          <w:p w14:paraId="181642B6" w14:textId="57E9B56E" w:rsidR="00132AFB" w:rsidRPr="00B2497D" w:rsidRDefault="00833ED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30 July 2010</w:t>
            </w:r>
          </w:p>
        </w:tc>
        <w:tc>
          <w:tcPr>
            <w:tcW w:w="2366" w:type="pct"/>
          </w:tcPr>
          <w:p w14:paraId="40EF5586" w14:textId="5E02FF7A" w:rsidR="00A859DF" w:rsidRPr="00B2497D" w:rsidRDefault="00A859D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w:t>
            </w:r>
          </w:p>
          <w:p w14:paraId="4648A379" w14:textId="340FC53C" w:rsidR="00132AFB" w:rsidRPr="00B2497D" w:rsidRDefault="00DB191E"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Blepharospasm </w:t>
            </w:r>
          </w:p>
          <w:p w14:paraId="5B8873D4" w14:textId="7E715E97" w:rsidR="00DB191E" w:rsidRPr="00B2497D" w:rsidRDefault="00DB191E"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Cervical dystonia </w:t>
            </w:r>
          </w:p>
          <w:p w14:paraId="5A957AF1" w14:textId="2CA2EB77" w:rsidR="00DB191E" w:rsidRPr="00B2497D" w:rsidRDefault="0076161E"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Upper limb spasticity </w:t>
            </w:r>
          </w:p>
          <w:p w14:paraId="3A5099FF" w14:textId="7B9FA453" w:rsidR="006141D2" w:rsidRPr="00B2497D" w:rsidRDefault="00DF392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Chronic sialorrhea due to neurological disorders </w:t>
            </w:r>
          </w:p>
          <w:p w14:paraId="03B7198D" w14:textId="20C72C96" w:rsidR="00A859DF" w:rsidRPr="00B2497D" w:rsidRDefault="00A859D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 below 65 years:</w:t>
            </w:r>
          </w:p>
          <w:p w14:paraId="5BE9A5D5" w14:textId="2D8BB0E6" w:rsidR="00A859DF" w:rsidRPr="00B2497D" w:rsidRDefault="00A859D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Temporary improvement in the appearance of moderate to severe glabella frown lines in adults below 65 years</w:t>
            </w:r>
          </w:p>
          <w:p w14:paraId="5853393A" w14:textId="3B6F22BA" w:rsidR="00A859DF" w:rsidRPr="00B2497D" w:rsidRDefault="00A859D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children and adolescents:</w:t>
            </w:r>
          </w:p>
          <w:p w14:paraId="14E348A4" w14:textId="22884708" w:rsidR="0076161E" w:rsidRPr="00B2497D" w:rsidRDefault="0076161E"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Treatment of upper limb spasticity in patients 2 to 17 years </w:t>
            </w:r>
            <w:r w:rsidR="00E3477E" w:rsidRPr="00B2497D">
              <w:rPr>
                <w:sz w:val="20"/>
                <w:szCs w:val="20"/>
              </w:rPr>
              <w:t>old</w:t>
            </w:r>
            <w:r w:rsidRPr="00B2497D">
              <w:rPr>
                <w:sz w:val="20"/>
                <w:szCs w:val="20"/>
              </w:rPr>
              <w:t xml:space="preserve">, excluding spasticity </w:t>
            </w:r>
            <w:r w:rsidR="004F2803" w:rsidRPr="00B2497D">
              <w:rPr>
                <w:sz w:val="20"/>
                <w:szCs w:val="20"/>
              </w:rPr>
              <w:t>caused by cerebral palsy</w:t>
            </w:r>
            <w:r w:rsidR="00D51046" w:rsidRPr="00B2497D">
              <w:rPr>
                <w:sz w:val="20"/>
                <w:szCs w:val="20"/>
              </w:rPr>
              <w:t>.</w:t>
            </w:r>
          </w:p>
          <w:p w14:paraId="290A08E0" w14:textId="3F9418E2" w:rsidR="00E3477E" w:rsidRPr="00B2497D" w:rsidRDefault="004F2803"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Chronic sialorrhea in </w:t>
            </w:r>
            <w:r w:rsidR="00A859DF" w:rsidRPr="00B2497D">
              <w:rPr>
                <w:sz w:val="20"/>
                <w:szCs w:val="20"/>
              </w:rPr>
              <w:t>patients</w:t>
            </w:r>
            <w:r w:rsidRPr="00B2497D">
              <w:rPr>
                <w:sz w:val="20"/>
                <w:szCs w:val="20"/>
              </w:rPr>
              <w:t xml:space="preserve"> </w:t>
            </w:r>
            <w:r w:rsidR="00E3477E" w:rsidRPr="00B2497D">
              <w:rPr>
                <w:sz w:val="20"/>
                <w:szCs w:val="20"/>
              </w:rPr>
              <w:t>from 2 to 18 years old</w:t>
            </w:r>
          </w:p>
        </w:tc>
      </w:tr>
      <w:tr w:rsidR="000B2B20" w:rsidRPr="00B2497D" w14:paraId="18B6E2AA" w14:textId="7783D66F" w:rsidTr="000B2B20">
        <w:tc>
          <w:tcPr>
            <w:cnfStyle w:val="001000000000" w:firstRow="0" w:lastRow="0" w:firstColumn="1" w:lastColumn="0" w:oddVBand="0" w:evenVBand="0" w:oddHBand="0" w:evenHBand="0" w:firstRowFirstColumn="0" w:firstRowLastColumn="0" w:lastRowFirstColumn="0" w:lastRowLastColumn="0"/>
            <w:tcW w:w="932" w:type="pct"/>
            <w:vMerge w:val="restart"/>
          </w:tcPr>
          <w:p w14:paraId="7F348960" w14:textId="711051D7" w:rsidR="000B2B20" w:rsidRPr="00B2497D" w:rsidRDefault="000B2B20" w:rsidP="00B2497D">
            <w:pPr>
              <w:rPr>
                <w:sz w:val="20"/>
                <w:szCs w:val="20"/>
              </w:rPr>
            </w:pPr>
            <w:r w:rsidRPr="00B2497D">
              <w:rPr>
                <w:sz w:val="20"/>
                <w:szCs w:val="20"/>
              </w:rPr>
              <w:t>Canada</w:t>
            </w:r>
          </w:p>
        </w:tc>
        <w:tc>
          <w:tcPr>
            <w:tcW w:w="827" w:type="pct"/>
          </w:tcPr>
          <w:p w14:paraId="1D871E57" w14:textId="77777777"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p>
        </w:tc>
        <w:tc>
          <w:tcPr>
            <w:tcW w:w="875" w:type="pct"/>
          </w:tcPr>
          <w:p w14:paraId="63A3A9D3" w14:textId="637C2E2E"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 August 2011</w:t>
            </w:r>
          </w:p>
        </w:tc>
        <w:tc>
          <w:tcPr>
            <w:tcW w:w="2366" w:type="pct"/>
          </w:tcPr>
          <w:p w14:paraId="639EF3BC" w14:textId="22FA6AEC"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w:t>
            </w:r>
          </w:p>
          <w:p w14:paraId="69E9E326" w14:textId="7BE4A99C"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Cervical dystonia of a predominantly rotational form (spasmodic torticollis) </w:t>
            </w:r>
          </w:p>
          <w:p w14:paraId="2F7C9C7D" w14:textId="0E4BC9A0"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Treatment of hypertonicity disorders of the 7</w:t>
            </w:r>
            <w:r w:rsidRPr="00B2497D">
              <w:rPr>
                <w:sz w:val="20"/>
                <w:szCs w:val="20"/>
                <w:vertAlign w:val="superscript"/>
              </w:rPr>
              <w:t>th</w:t>
            </w:r>
            <w:r w:rsidRPr="00B2497D">
              <w:rPr>
                <w:sz w:val="20"/>
                <w:szCs w:val="20"/>
              </w:rPr>
              <w:t xml:space="preserve"> nerve such as blepharospasm including benign essential blepharospasm and hemifacial spasm </w:t>
            </w:r>
          </w:p>
          <w:p w14:paraId="3BA3D44F" w14:textId="0C82ADA9"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Upper limb spasticity </w:t>
            </w:r>
          </w:p>
          <w:p w14:paraId="427A82D3" w14:textId="0C4CD828"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Chronic sialorrhea due to neurological disorders </w:t>
            </w:r>
          </w:p>
          <w:p w14:paraId="17C650B8" w14:textId="3461F932"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p>
        </w:tc>
      </w:tr>
      <w:tr w:rsidR="000B2B20" w:rsidRPr="00B2497D" w14:paraId="6412DA9E" w14:textId="77777777" w:rsidTr="000B2B20">
        <w:tc>
          <w:tcPr>
            <w:cnfStyle w:val="001000000000" w:firstRow="0" w:lastRow="0" w:firstColumn="1" w:lastColumn="0" w:oddVBand="0" w:evenVBand="0" w:oddHBand="0" w:evenHBand="0" w:firstRowFirstColumn="0" w:firstRowLastColumn="0" w:lastRowFirstColumn="0" w:lastRowLastColumn="0"/>
            <w:tcW w:w="932" w:type="pct"/>
            <w:vMerge/>
          </w:tcPr>
          <w:p w14:paraId="7AEC204C" w14:textId="77777777" w:rsidR="000B2B20" w:rsidRPr="00B2497D" w:rsidRDefault="000B2B20" w:rsidP="00B2497D">
            <w:pPr>
              <w:rPr>
                <w:sz w:val="20"/>
                <w:szCs w:val="20"/>
              </w:rPr>
            </w:pPr>
          </w:p>
        </w:tc>
        <w:tc>
          <w:tcPr>
            <w:tcW w:w="827" w:type="pct"/>
          </w:tcPr>
          <w:p w14:paraId="4FA01066" w14:textId="77777777"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p>
        </w:tc>
        <w:tc>
          <w:tcPr>
            <w:tcW w:w="875" w:type="pct"/>
          </w:tcPr>
          <w:p w14:paraId="4AA1FE95" w14:textId="3895BD50"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12 April 2012</w:t>
            </w:r>
          </w:p>
        </w:tc>
        <w:tc>
          <w:tcPr>
            <w:tcW w:w="2366" w:type="pct"/>
          </w:tcPr>
          <w:p w14:paraId="2429F387" w14:textId="77777777" w:rsidR="000B2B20" w:rsidRPr="00B2497D" w:rsidRDefault="000B2B20"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w:t>
            </w:r>
          </w:p>
          <w:p w14:paraId="43B078B0" w14:textId="341B328B" w:rsidR="000B2B20" w:rsidRPr="00B2497D" w:rsidRDefault="00CC45D5"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Temporary improvement in the appearance of upper facial lines including forehead, crow’s </w:t>
            </w:r>
            <w:proofErr w:type="gramStart"/>
            <w:r w:rsidRPr="00B2497D">
              <w:rPr>
                <w:sz w:val="20"/>
                <w:szCs w:val="20"/>
              </w:rPr>
              <w:t>feet</w:t>
            </w:r>
            <w:proofErr w:type="gramEnd"/>
            <w:r w:rsidRPr="00B2497D">
              <w:rPr>
                <w:sz w:val="20"/>
                <w:szCs w:val="20"/>
              </w:rPr>
              <w:t xml:space="preserve"> and frown lines</w:t>
            </w:r>
          </w:p>
        </w:tc>
      </w:tr>
      <w:tr w:rsidR="00CC45D5" w:rsidRPr="00B2497D" w14:paraId="1A0216BB" w14:textId="77777777" w:rsidTr="000B2B20">
        <w:tc>
          <w:tcPr>
            <w:cnfStyle w:val="001000000000" w:firstRow="0" w:lastRow="0" w:firstColumn="1" w:lastColumn="0" w:oddVBand="0" w:evenVBand="0" w:oddHBand="0" w:evenHBand="0" w:firstRowFirstColumn="0" w:firstRowLastColumn="0" w:lastRowFirstColumn="0" w:lastRowLastColumn="0"/>
            <w:tcW w:w="932" w:type="pct"/>
          </w:tcPr>
          <w:p w14:paraId="63D87AB1" w14:textId="20250C75" w:rsidR="00CC45D5" w:rsidRPr="00B2497D" w:rsidRDefault="00CC45D5" w:rsidP="00B2497D">
            <w:pPr>
              <w:rPr>
                <w:sz w:val="20"/>
                <w:szCs w:val="20"/>
              </w:rPr>
            </w:pPr>
            <w:r w:rsidRPr="00B2497D">
              <w:rPr>
                <w:sz w:val="20"/>
                <w:szCs w:val="20"/>
              </w:rPr>
              <w:lastRenderedPageBreak/>
              <w:t>New Zealand</w:t>
            </w:r>
          </w:p>
        </w:tc>
        <w:tc>
          <w:tcPr>
            <w:tcW w:w="827" w:type="pct"/>
          </w:tcPr>
          <w:p w14:paraId="02E7D330" w14:textId="55F9BAC2" w:rsidR="00CC45D5" w:rsidRPr="00B2497D" w:rsidRDefault="00157DD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15 April 2014</w:t>
            </w:r>
          </w:p>
        </w:tc>
        <w:tc>
          <w:tcPr>
            <w:tcW w:w="875" w:type="pct"/>
          </w:tcPr>
          <w:p w14:paraId="129D87B8" w14:textId="21AA2DE5" w:rsidR="00CC45D5" w:rsidRPr="00B2497D" w:rsidRDefault="00157DD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18 December 2014</w:t>
            </w:r>
          </w:p>
        </w:tc>
        <w:tc>
          <w:tcPr>
            <w:tcW w:w="2366" w:type="pct"/>
          </w:tcPr>
          <w:p w14:paraId="7BDC08E2" w14:textId="77777777" w:rsidR="00CC45D5" w:rsidRPr="00B2497D" w:rsidRDefault="00157DD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w:t>
            </w:r>
          </w:p>
          <w:p w14:paraId="434DBB11" w14:textId="77777777" w:rsidR="00157DDC" w:rsidRPr="00B2497D" w:rsidRDefault="00157DD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Cervical dystonia of a predominantly rotational form (spasmodic torticollis) </w:t>
            </w:r>
          </w:p>
          <w:p w14:paraId="346EB904" w14:textId="38DE47DC" w:rsidR="003521A9" w:rsidRPr="00B2497D" w:rsidRDefault="003521A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Blepharospasm</w:t>
            </w:r>
          </w:p>
          <w:p w14:paraId="76607815" w14:textId="77777777" w:rsidR="00066C96" w:rsidRPr="00B2497D" w:rsidRDefault="00066C9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Upper limb spasticity </w:t>
            </w:r>
          </w:p>
          <w:p w14:paraId="7F41D37A" w14:textId="3B16B0AD" w:rsidR="003521A9" w:rsidRPr="00B2497D" w:rsidRDefault="009A02CA"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Upper facial lines: glabellar frown lines, lateral periorbital lines, </w:t>
            </w:r>
            <w:r w:rsidR="004A4E96" w:rsidRPr="00B2497D">
              <w:rPr>
                <w:sz w:val="20"/>
                <w:szCs w:val="20"/>
              </w:rPr>
              <w:t>horizontal forehead lines</w:t>
            </w:r>
          </w:p>
          <w:p w14:paraId="406C68ED" w14:textId="1A3258A3" w:rsidR="00157DDC" w:rsidRPr="00B2497D" w:rsidRDefault="00157DDC" w:rsidP="00B2497D">
            <w:pPr>
              <w:cnfStyle w:val="000000000000" w:firstRow="0" w:lastRow="0" w:firstColumn="0" w:lastColumn="0" w:oddVBand="0" w:evenVBand="0" w:oddHBand="0" w:evenHBand="0" w:firstRowFirstColumn="0" w:firstRowLastColumn="0" w:lastRowFirstColumn="0" w:lastRowLastColumn="0"/>
              <w:rPr>
                <w:sz w:val="20"/>
                <w:szCs w:val="20"/>
              </w:rPr>
            </w:pPr>
          </w:p>
        </w:tc>
      </w:tr>
      <w:tr w:rsidR="004A4E96" w:rsidRPr="00B2497D" w14:paraId="6E01AAB1" w14:textId="77777777" w:rsidTr="000B2B20">
        <w:tc>
          <w:tcPr>
            <w:cnfStyle w:val="001000000000" w:firstRow="0" w:lastRow="0" w:firstColumn="1" w:lastColumn="0" w:oddVBand="0" w:evenVBand="0" w:oddHBand="0" w:evenHBand="0" w:firstRowFirstColumn="0" w:firstRowLastColumn="0" w:lastRowFirstColumn="0" w:lastRowLastColumn="0"/>
            <w:tcW w:w="932" w:type="pct"/>
          </w:tcPr>
          <w:p w14:paraId="74FFA96B" w14:textId="3CAE0728" w:rsidR="004A4E96" w:rsidRPr="00B2497D" w:rsidRDefault="00420444" w:rsidP="00B2497D">
            <w:pPr>
              <w:rPr>
                <w:sz w:val="20"/>
                <w:szCs w:val="20"/>
              </w:rPr>
            </w:pPr>
            <w:r w:rsidRPr="00B2497D">
              <w:rPr>
                <w:sz w:val="20"/>
                <w:szCs w:val="20"/>
              </w:rPr>
              <w:t>Singapore</w:t>
            </w:r>
          </w:p>
        </w:tc>
        <w:tc>
          <w:tcPr>
            <w:tcW w:w="827" w:type="pct"/>
          </w:tcPr>
          <w:p w14:paraId="0F136276" w14:textId="16C2B938" w:rsidR="004A4E96" w:rsidRPr="00B2497D" w:rsidRDefault="00420444"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25 April 2013</w:t>
            </w:r>
          </w:p>
        </w:tc>
        <w:tc>
          <w:tcPr>
            <w:tcW w:w="875" w:type="pct"/>
          </w:tcPr>
          <w:p w14:paraId="75B5149E" w14:textId="27D1628C" w:rsidR="004A4E96" w:rsidRPr="00B2497D" w:rsidRDefault="00420444"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12 August 2014</w:t>
            </w:r>
          </w:p>
        </w:tc>
        <w:tc>
          <w:tcPr>
            <w:tcW w:w="2366" w:type="pct"/>
          </w:tcPr>
          <w:p w14:paraId="5DB3E170" w14:textId="77777777" w:rsidR="004A4E96" w:rsidRPr="00B2497D" w:rsidRDefault="00420444"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w:t>
            </w:r>
          </w:p>
          <w:p w14:paraId="091D6722" w14:textId="77777777" w:rsidR="00420444" w:rsidRPr="00B2497D" w:rsidRDefault="009C2EB3"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Cervical dystonia of a predominantly rotational form (spasmodic torticollis)</w:t>
            </w:r>
          </w:p>
          <w:p w14:paraId="51985D60" w14:textId="77777777" w:rsidR="009C2EB3" w:rsidRPr="00B2497D" w:rsidRDefault="009C2EB3"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Blepharospasm </w:t>
            </w:r>
          </w:p>
          <w:p w14:paraId="6B29FA48" w14:textId="77777777" w:rsidR="009C2EB3" w:rsidRPr="00B2497D" w:rsidRDefault="00705635"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Upper limb spasticity </w:t>
            </w:r>
          </w:p>
          <w:p w14:paraId="3EE4E3BD" w14:textId="2F8B77A9" w:rsidR="005C40AC" w:rsidRPr="00B2497D" w:rsidRDefault="005C40A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Upper facial lines</w:t>
            </w:r>
          </w:p>
        </w:tc>
      </w:tr>
      <w:tr w:rsidR="005C40AC" w:rsidRPr="00B2497D" w14:paraId="4FAB0203" w14:textId="77777777" w:rsidTr="000B2B20">
        <w:tc>
          <w:tcPr>
            <w:cnfStyle w:val="001000000000" w:firstRow="0" w:lastRow="0" w:firstColumn="1" w:lastColumn="0" w:oddVBand="0" w:evenVBand="0" w:oddHBand="0" w:evenHBand="0" w:firstRowFirstColumn="0" w:firstRowLastColumn="0" w:lastRowFirstColumn="0" w:lastRowLastColumn="0"/>
            <w:tcW w:w="932" w:type="pct"/>
          </w:tcPr>
          <w:p w14:paraId="1CCD3E83" w14:textId="0B2D96C6" w:rsidR="005C40AC" w:rsidRPr="00B2497D" w:rsidRDefault="005C40AC" w:rsidP="00B2497D">
            <w:pPr>
              <w:rPr>
                <w:sz w:val="20"/>
                <w:szCs w:val="20"/>
              </w:rPr>
            </w:pPr>
            <w:r w:rsidRPr="00B2497D">
              <w:rPr>
                <w:sz w:val="20"/>
                <w:szCs w:val="20"/>
              </w:rPr>
              <w:t>Switzerland</w:t>
            </w:r>
          </w:p>
        </w:tc>
        <w:tc>
          <w:tcPr>
            <w:tcW w:w="827" w:type="pct"/>
          </w:tcPr>
          <w:p w14:paraId="60879EA7" w14:textId="77777777" w:rsidR="00E54D8B" w:rsidRPr="00B2497D" w:rsidRDefault="005C40A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22 March 2012 </w:t>
            </w:r>
          </w:p>
          <w:p w14:paraId="7A5D5482" w14:textId="7CCD06B7" w:rsidR="005C40AC" w:rsidRPr="00B2497D" w:rsidRDefault="005C40A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(50U, Ax)</w:t>
            </w:r>
          </w:p>
          <w:p w14:paraId="155FE098" w14:textId="77777777" w:rsidR="00AA2B5D" w:rsidRPr="00B2497D" w:rsidRDefault="002A529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18 January 2018 </w:t>
            </w:r>
          </w:p>
          <w:p w14:paraId="0D3DA93C" w14:textId="5C0A6209" w:rsidR="005C40AC" w:rsidRPr="00B2497D" w:rsidRDefault="002A529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(100U, AX)</w:t>
            </w:r>
          </w:p>
          <w:p w14:paraId="58D8C1BA" w14:textId="77777777" w:rsidR="00866EA9" w:rsidRPr="00B2497D" w:rsidRDefault="002A529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15 January 2011 </w:t>
            </w:r>
          </w:p>
          <w:p w14:paraId="5C6CF48E" w14:textId="1575876B" w:rsidR="002A529F" w:rsidRPr="00B2497D" w:rsidRDefault="002A529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(50U, Tx)</w:t>
            </w:r>
          </w:p>
          <w:p w14:paraId="01607B09" w14:textId="77777777" w:rsidR="00E54D8B" w:rsidRPr="00B2497D" w:rsidRDefault="002A529F"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25 January 2011</w:t>
            </w:r>
            <w:r w:rsidR="00E54D8B" w:rsidRPr="00B2497D">
              <w:rPr>
                <w:sz w:val="20"/>
                <w:szCs w:val="20"/>
              </w:rPr>
              <w:t xml:space="preserve"> </w:t>
            </w:r>
          </w:p>
          <w:p w14:paraId="5E095EBD" w14:textId="309C9081" w:rsidR="00E54D8B" w:rsidRPr="00B2497D" w:rsidRDefault="00E54D8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(100 U, Tx)</w:t>
            </w:r>
          </w:p>
          <w:p w14:paraId="7C0D97DF" w14:textId="77777777" w:rsidR="00A63916" w:rsidRPr="00B2497D" w:rsidRDefault="00E54D8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5 March 2019 </w:t>
            </w:r>
          </w:p>
          <w:p w14:paraId="08E3D7C6" w14:textId="4046ED62" w:rsidR="00E54D8B" w:rsidRPr="00B2497D" w:rsidRDefault="00E54D8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(200U, Tx)</w:t>
            </w:r>
          </w:p>
        </w:tc>
        <w:tc>
          <w:tcPr>
            <w:tcW w:w="875" w:type="pct"/>
          </w:tcPr>
          <w:p w14:paraId="5A97162B" w14:textId="77777777" w:rsidR="005C40AC"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4 February 2015</w:t>
            </w:r>
          </w:p>
          <w:p w14:paraId="712E292B" w14:textId="77777777" w:rsidR="00AA2B5D"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(50U, Ax)</w:t>
            </w:r>
          </w:p>
          <w:p w14:paraId="361F91E2" w14:textId="77777777" w:rsidR="00AA2B5D"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11 February 2019</w:t>
            </w:r>
          </w:p>
          <w:p w14:paraId="4AB7FAAB" w14:textId="77777777" w:rsidR="00AA2B5D"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(100U, Ax)</w:t>
            </w:r>
          </w:p>
          <w:p w14:paraId="4CFBC0F4" w14:textId="77777777" w:rsidR="00866EA9"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12 April </w:t>
            </w:r>
          </w:p>
          <w:p w14:paraId="0E915B9B" w14:textId="0E8CDCB5" w:rsidR="00AA2B5D"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2013</w:t>
            </w:r>
          </w:p>
          <w:p w14:paraId="6C1D2682" w14:textId="2BEBC27F" w:rsidR="00AA2B5D" w:rsidRPr="00B2497D" w:rsidRDefault="00AA2B5D"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(50U, Tx)</w:t>
            </w:r>
          </w:p>
          <w:p w14:paraId="691F845A" w14:textId="77777777" w:rsidR="00866EA9" w:rsidRPr="00B2497D" w:rsidRDefault="00A6391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4 April </w:t>
            </w:r>
          </w:p>
          <w:p w14:paraId="710344B5" w14:textId="31FA446B" w:rsidR="00AA2B5D" w:rsidRPr="00B2497D" w:rsidRDefault="00A6391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2013</w:t>
            </w:r>
          </w:p>
          <w:p w14:paraId="230223EB" w14:textId="6FD08185" w:rsidR="00A63916" w:rsidRPr="00B2497D" w:rsidRDefault="00A6391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(100U, Tx)</w:t>
            </w:r>
          </w:p>
          <w:p w14:paraId="4DD4334F" w14:textId="4B1B35A2" w:rsidR="00A63916" w:rsidRPr="00B2497D" w:rsidRDefault="00A6391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31 August 2020 </w:t>
            </w:r>
          </w:p>
          <w:p w14:paraId="27D9728A" w14:textId="147A54E8" w:rsidR="00AA2B5D" w:rsidRPr="00B2497D" w:rsidRDefault="00A6391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(200U, Tx)</w:t>
            </w:r>
          </w:p>
        </w:tc>
        <w:tc>
          <w:tcPr>
            <w:tcW w:w="2366" w:type="pct"/>
          </w:tcPr>
          <w:p w14:paraId="4932DEE1" w14:textId="675B5E09" w:rsidR="009160F4" w:rsidRPr="00B2497D" w:rsidRDefault="009160F4"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 below 65 years:</w:t>
            </w:r>
          </w:p>
          <w:p w14:paraId="4B4F91EB" w14:textId="77777777" w:rsidR="005C40AC" w:rsidRPr="00B2497D" w:rsidRDefault="009160F4"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Temporary improvement in the appearance of moderate to severe glabellar frown lines </w:t>
            </w:r>
          </w:p>
          <w:p w14:paraId="41E5BDED" w14:textId="07C2E0BF" w:rsidR="009160F4" w:rsidRPr="00B2497D" w:rsidRDefault="00F46566"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Temporary improvement in the appearance of moderate to severe crow’s feet lines when the severity of these lines has an important psychological impact </w:t>
            </w:r>
            <w:r w:rsidR="004876BB" w:rsidRPr="00B2497D">
              <w:rPr>
                <w:sz w:val="20"/>
                <w:szCs w:val="20"/>
              </w:rPr>
              <w:t>for the patient</w:t>
            </w:r>
            <w:r w:rsidR="00D51046" w:rsidRPr="00B2497D">
              <w:rPr>
                <w:sz w:val="20"/>
                <w:szCs w:val="20"/>
              </w:rPr>
              <w:t>.</w:t>
            </w:r>
          </w:p>
          <w:p w14:paraId="2F6DCE4A" w14:textId="4A4B56B1" w:rsidR="004876BB" w:rsidRPr="00B2497D" w:rsidRDefault="004876B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adults:</w:t>
            </w:r>
          </w:p>
          <w:p w14:paraId="08019C43" w14:textId="77777777" w:rsidR="004876BB" w:rsidRPr="00B2497D" w:rsidRDefault="004876BB"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Cervical dystonia of a predominantly rotational form (spasmodic torticollis)</w:t>
            </w:r>
          </w:p>
          <w:p w14:paraId="0EC02148" w14:textId="77777777" w:rsidR="008D7A92" w:rsidRPr="00B2497D" w:rsidRDefault="008D7A92"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Blepharospasm </w:t>
            </w:r>
          </w:p>
          <w:p w14:paraId="34AD8F00" w14:textId="79EAEBC1" w:rsidR="008D7A92" w:rsidRPr="00B2497D" w:rsidRDefault="008D7A92"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Upper limb spasticity </w:t>
            </w:r>
          </w:p>
          <w:p w14:paraId="2E3975B2" w14:textId="348F7423" w:rsidR="00681EFC" w:rsidRPr="00B2497D" w:rsidRDefault="00681EFC"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 xml:space="preserve">Chronic sialorrhea </w:t>
            </w:r>
          </w:p>
          <w:p w14:paraId="4751C370" w14:textId="69CEDFFE" w:rsidR="00B74EF9" w:rsidRPr="00B2497D" w:rsidRDefault="00B74EF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In children:</w:t>
            </w:r>
          </w:p>
          <w:p w14:paraId="5C0BE708" w14:textId="2F0A6FCE" w:rsidR="004876BB" w:rsidRPr="00B2497D" w:rsidRDefault="00B74EF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Chronic sialorrhea from the age of 2 to 17 years due to neurological / neurodevelopmental disorders</w:t>
            </w:r>
          </w:p>
        </w:tc>
      </w:tr>
      <w:tr w:rsidR="00B74EF9" w:rsidRPr="00B2497D" w14:paraId="166546F1" w14:textId="77777777" w:rsidTr="000B2B20">
        <w:tc>
          <w:tcPr>
            <w:cnfStyle w:val="001000000000" w:firstRow="0" w:lastRow="0" w:firstColumn="1" w:lastColumn="0" w:oddVBand="0" w:evenVBand="0" w:oddHBand="0" w:evenHBand="0" w:firstRowFirstColumn="0" w:firstRowLastColumn="0" w:lastRowFirstColumn="0" w:lastRowLastColumn="0"/>
            <w:tcW w:w="932" w:type="pct"/>
          </w:tcPr>
          <w:p w14:paraId="78E4EE95" w14:textId="342B5EA8" w:rsidR="00B74EF9" w:rsidRPr="00B2497D" w:rsidRDefault="00B74EF9" w:rsidP="00B2497D">
            <w:pPr>
              <w:rPr>
                <w:sz w:val="20"/>
                <w:szCs w:val="20"/>
              </w:rPr>
            </w:pPr>
            <w:r w:rsidRPr="00B2497D">
              <w:rPr>
                <w:sz w:val="20"/>
                <w:szCs w:val="20"/>
              </w:rPr>
              <w:t>United Kingdom</w:t>
            </w:r>
          </w:p>
        </w:tc>
        <w:tc>
          <w:tcPr>
            <w:tcW w:w="827" w:type="pct"/>
          </w:tcPr>
          <w:p w14:paraId="01A1C83D" w14:textId="256FBD17" w:rsidR="00B74EF9" w:rsidRPr="00B2497D" w:rsidRDefault="00B74EF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29 July 2022</w:t>
            </w:r>
          </w:p>
        </w:tc>
        <w:tc>
          <w:tcPr>
            <w:tcW w:w="875" w:type="pct"/>
          </w:tcPr>
          <w:p w14:paraId="368B743F" w14:textId="086B061C" w:rsidR="00B74EF9" w:rsidRPr="00B2497D" w:rsidRDefault="00B74EF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2 June 2023</w:t>
            </w:r>
          </w:p>
        </w:tc>
        <w:tc>
          <w:tcPr>
            <w:tcW w:w="2366" w:type="pct"/>
          </w:tcPr>
          <w:p w14:paraId="1EF7758C" w14:textId="7CDAA05C" w:rsidR="00B74EF9" w:rsidRPr="00B2497D" w:rsidRDefault="00B74EF9" w:rsidP="00B2497D">
            <w:pPr>
              <w:cnfStyle w:val="000000000000" w:firstRow="0" w:lastRow="0" w:firstColumn="0" w:lastColumn="0" w:oddVBand="0" w:evenVBand="0" w:oddHBand="0" w:evenHBand="0" w:firstRowFirstColumn="0" w:firstRowLastColumn="0" w:lastRowFirstColumn="0" w:lastRowLastColumn="0"/>
              <w:rPr>
                <w:sz w:val="20"/>
                <w:szCs w:val="20"/>
              </w:rPr>
            </w:pPr>
            <w:r w:rsidRPr="00B2497D">
              <w:rPr>
                <w:sz w:val="20"/>
                <w:szCs w:val="20"/>
              </w:rPr>
              <w:t>Symptomatic treatment in adults of focal spasticity of the lower limb affecting the ankle joint</w:t>
            </w:r>
          </w:p>
        </w:tc>
      </w:tr>
    </w:tbl>
    <w:p w14:paraId="6D92589C" w14:textId="09786CEF" w:rsidR="00324B33" w:rsidRDefault="00324B33" w:rsidP="00324B33">
      <w:pPr>
        <w:pStyle w:val="Heading2"/>
      </w:pPr>
      <w:bookmarkStart w:id="32" w:name="_Toc504480011"/>
      <w:bookmarkStart w:id="33" w:name="_Toc103679293"/>
      <w:bookmarkStart w:id="34" w:name="_Toc170887904"/>
      <w:r>
        <w:t>Registration timeline</w:t>
      </w:r>
      <w:bookmarkEnd w:id="32"/>
      <w:bookmarkEnd w:id="33"/>
      <w:bookmarkEnd w:id="34"/>
    </w:p>
    <w:p w14:paraId="03F19858" w14:textId="448B5075" w:rsidR="00544CD7" w:rsidRDefault="00544CD7" w:rsidP="00B74EF9">
      <w:pPr>
        <w:rPr>
          <w:szCs w:val="22"/>
        </w:rPr>
      </w:pPr>
      <w:r w:rsidRPr="00544CD7">
        <w:rPr>
          <w:szCs w:val="22"/>
        </w:rPr>
        <w:t xml:space="preserve">This submission was evaluated under the standard </w:t>
      </w:r>
      <w:hyperlink r:id="rId23" w:history="1">
        <w:r>
          <w:rPr>
            <w:rStyle w:val="Hyperlink"/>
            <w:szCs w:val="22"/>
          </w:rPr>
          <w:t>prescription medicines registration process.</w:t>
        </w:r>
      </w:hyperlink>
    </w:p>
    <w:p w14:paraId="20644ED4" w14:textId="5A803802" w:rsidR="00477C4E" w:rsidRPr="00B74EF9" w:rsidRDefault="00544CD7" w:rsidP="00B74EF9">
      <w:pPr>
        <w:rPr>
          <w:szCs w:val="22"/>
        </w:rPr>
      </w:pPr>
      <w:r>
        <w:rPr>
          <w:szCs w:val="22"/>
        </w:rPr>
        <w:t>T</w:t>
      </w:r>
      <w:r w:rsidR="00324B33" w:rsidRPr="00BD5DBD">
        <w:rPr>
          <w:szCs w:val="22"/>
        </w:rPr>
        <w:t>able</w:t>
      </w:r>
      <w:r>
        <w:rPr>
          <w:szCs w:val="22"/>
        </w:rPr>
        <w:t xml:space="preserve"> 2</w:t>
      </w:r>
      <w:r w:rsidR="00324B33" w:rsidRPr="00BD5DBD">
        <w:rPr>
          <w:szCs w:val="22"/>
        </w:rPr>
        <w:t xml:space="preserve"> captures the key steps and dates for this submission.</w:t>
      </w:r>
    </w:p>
    <w:p w14:paraId="1DE45B89" w14:textId="77777777" w:rsidR="0078000B" w:rsidRDefault="0078000B">
      <w:pPr>
        <w:rPr>
          <w:rFonts w:eastAsia="Cambria" w:cs="Times New Roman"/>
          <w:b/>
          <w:szCs w:val="22"/>
        </w:rPr>
      </w:pPr>
      <w:r>
        <w:br w:type="page"/>
      </w:r>
    </w:p>
    <w:p w14:paraId="44628C5F" w14:textId="04362FA0" w:rsidR="00324B33" w:rsidRDefault="00324B33" w:rsidP="002C1232">
      <w:pPr>
        <w:pStyle w:val="TableTitle"/>
      </w:pPr>
      <w:r w:rsidRPr="002C1232">
        <w:lastRenderedPageBreak/>
        <w:t xml:space="preserve">Table </w:t>
      </w:r>
      <w:fldSimple w:instr=" SEQ Table \* ARABIC ">
        <w:r w:rsidR="00330CB9">
          <w:rPr>
            <w:noProof/>
          </w:rPr>
          <w:t>2</w:t>
        </w:r>
      </w:fldSimple>
      <w:r w:rsidRPr="002C1232">
        <w:t xml:space="preserve">: Timeline for Submission </w:t>
      </w:r>
      <w:r w:rsidR="00B74EF9">
        <w:t>PM-2022</w:t>
      </w:r>
      <w:r w:rsidR="00B74EF9" w:rsidRPr="00487162">
        <w:t>-</w:t>
      </w:r>
      <w:r w:rsidR="00B74EF9">
        <w:t>03519-1-1</w:t>
      </w:r>
    </w:p>
    <w:tbl>
      <w:tblPr>
        <w:tblStyle w:val="TableTGAblue2023"/>
        <w:tblW w:w="8642" w:type="dxa"/>
        <w:tblLook w:val="04A0" w:firstRow="1" w:lastRow="0" w:firstColumn="1" w:lastColumn="0" w:noHBand="0" w:noVBand="1"/>
      </w:tblPr>
      <w:tblGrid>
        <w:gridCol w:w="5949"/>
        <w:gridCol w:w="2693"/>
      </w:tblGrid>
      <w:tr w:rsidR="00324B33" w:rsidRPr="00D01DDB" w14:paraId="6C59BE9C" w14:textId="77777777" w:rsidTr="00616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D01DDB" w:rsidRDefault="00324B33" w:rsidP="00DC7BAD">
            <w:pPr>
              <w:contextualSpacing/>
              <w:rPr>
                <w:szCs w:val="22"/>
              </w:rPr>
            </w:pPr>
            <w:r w:rsidRPr="00D01DDB">
              <w:rPr>
                <w:szCs w:val="22"/>
              </w:rPr>
              <w:t>Description</w:t>
            </w:r>
          </w:p>
        </w:tc>
        <w:tc>
          <w:tcPr>
            <w:tcW w:w="2693" w:type="dxa"/>
          </w:tcPr>
          <w:p w14:paraId="79AFDC4B" w14:textId="05792035" w:rsidR="00324B33" w:rsidRPr="00D01DDB" w:rsidRDefault="00324B33" w:rsidP="00DC7BAD">
            <w:pPr>
              <w:contextualSpacing/>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759D2A12" w14:textId="703B447F" w:rsidR="00B74EF9" w:rsidRPr="00B74EF9" w:rsidRDefault="00324B33" w:rsidP="00DC7BAD">
            <w:pPr>
              <w:contextualSpacing/>
            </w:pPr>
            <w:r w:rsidRPr="00E679D1">
              <w:t>Submission dossier accepted and first round evaluation commenced</w:t>
            </w:r>
          </w:p>
        </w:tc>
        <w:tc>
          <w:tcPr>
            <w:tcW w:w="2693" w:type="dxa"/>
          </w:tcPr>
          <w:p w14:paraId="2963D9D8" w14:textId="250FD080" w:rsidR="00324B33" w:rsidRPr="00D01DDB" w:rsidRDefault="00793496"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30 November 2022</w:t>
            </w:r>
          </w:p>
        </w:tc>
      </w:tr>
      <w:tr w:rsidR="00324B33" w:rsidRPr="00D01DDB" w14:paraId="53437815"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E679D1" w:rsidRDefault="00324B33" w:rsidP="00DC7BAD">
            <w:pPr>
              <w:contextualSpacing/>
            </w:pPr>
            <w:r w:rsidRPr="00E679D1">
              <w:t>First round evaluation completed</w:t>
            </w:r>
          </w:p>
        </w:tc>
        <w:tc>
          <w:tcPr>
            <w:tcW w:w="2693" w:type="dxa"/>
          </w:tcPr>
          <w:p w14:paraId="3CEAFAAB" w14:textId="723DA5F1" w:rsidR="00324B33" w:rsidRPr="00D01DDB" w:rsidRDefault="00793496"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24 April 2023</w:t>
            </w:r>
          </w:p>
        </w:tc>
      </w:tr>
      <w:tr w:rsidR="00324B33" w:rsidRPr="00D01DDB" w14:paraId="60DA57CC"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02EA1147" w14:textId="4626BC11" w:rsidR="00324B33" w:rsidRPr="00E679D1" w:rsidRDefault="00140508" w:rsidP="00DC7BAD">
            <w:pPr>
              <w:contextualSpacing/>
            </w:pPr>
            <w:r>
              <w:t>Sponsor</w:t>
            </w:r>
            <w:r w:rsidR="00324B33" w:rsidRPr="00E679D1">
              <w:t xml:space="preserve"> provides responses on questions raised in first round evaluation</w:t>
            </w:r>
          </w:p>
        </w:tc>
        <w:tc>
          <w:tcPr>
            <w:tcW w:w="2693" w:type="dxa"/>
          </w:tcPr>
          <w:p w14:paraId="68A577C1" w14:textId="27CCB2DC" w:rsidR="00324B33" w:rsidRPr="004259C4" w:rsidRDefault="004259C4" w:rsidP="00DC7BAD">
            <w:pPr>
              <w:pStyle w:val="FigureTitle"/>
              <w:contextualSpacing/>
              <w:cnfStyle w:val="000000000000" w:firstRow="0" w:lastRow="0" w:firstColumn="0" w:lastColumn="0" w:oddVBand="0" w:evenVBand="0" w:oddHBand="0" w:evenHBand="0" w:firstRowFirstColumn="0" w:firstRowLastColumn="0" w:lastRowFirstColumn="0" w:lastRowLastColumn="0"/>
              <w:rPr>
                <w:b w:val="0"/>
                <w:bCs/>
              </w:rPr>
            </w:pPr>
            <w:r>
              <w:rPr>
                <w:b w:val="0"/>
                <w:bCs/>
              </w:rPr>
              <w:t>28 June 2023</w:t>
            </w:r>
          </w:p>
        </w:tc>
      </w:tr>
      <w:tr w:rsidR="00324B33" w:rsidRPr="00D01DDB" w14:paraId="767E33A4"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E679D1" w:rsidRDefault="00324B33" w:rsidP="00DC7BAD">
            <w:pPr>
              <w:contextualSpacing/>
            </w:pPr>
            <w:r w:rsidRPr="00E679D1">
              <w:t>Second round evaluation completed</w:t>
            </w:r>
          </w:p>
        </w:tc>
        <w:tc>
          <w:tcPr>
            <w:tcW w:w="2693" w:type="dxa"/>
          </w:tcPr>
          <w:p w14:paraId="4E47DF62" w14:textId="57EAF151" w:rsidR="00324B33" w:rsidRPr="00D01DDB" w:rsidRDefault="00793496"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31 July 2023</w:t>
            </w:r>
          </w:p>
        </w:tc>
      </w:tr>
      <w:tr w:rsidR="00020FF2" w:rsidRPr="00D01DDB" w14:paraId="6BE6DD33"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14764CC8" w14:textId="5709A74D" w:rsidR="00020FF2" w:rsidRPr="00E679D1" w:rsidRDefault="00140508" w:rsidP="00DC7BAD">
            <w:pPr>
              <w:contextualSpacing/>
            </w:pPr>
            <w:r>
              <w:t>Sponsor</w:t>
            </w:r>
            <w:r w:rsidR="00020FF2">
              <w:t xml:space="preserve">’s </w:t>
            </w:r>
            <w:r w:rsidR="00020FF2" w:rsidRPr="00020FF2">
              <w:t>notification to the TGA of errors/omissions in evaluation reports</w:t>
            </w:r>
          </w:p>
        </w:tc>
        <w:tc>
          <w:tcPr>
            <w:tcW w:w="2693" w:type="dxa"/>
          </w:tcPr>
          <w:p w14:paraId="196C5433" w14:textId="0F62CA65" w:rsidR="00020FF2" w:rsidRPr="00D01DDB" w:rsidRDefault="00FF317C"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3 August 2023</w:t>
            </w:r>
          </w:p>
        </w:tc>
      </w:tr>
      <w:tr w:rsidR="00324B33" w:rsidRPr="00D01DDB" w14:paraId="302FCB45"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716E9DC1" w14:textId="0C8F3790" w:rsidR="00324B33" w:rsidRPr="00D01DDB" w:rsidRDefault="00324B33" w:rsidP="00DC7BAD">
            <w:pPr>
              <w:contextualSpacing/>
              <w:rPr>
                <w:szCs w:val="22"/>
              </w:rPr>
            </w:pPr>
            <w:r w:rsidRPr="00D01DDB">
              <w:rPr>
                <w:szCs w:val="22"/>
              </w:rPr>
              <w:t>Delegate’s</w:t>
            </w:r>
            <w:r w:rsidR="00500D68">
              <w:rPr>
                <w:rStyle w:val="FootnoteReference"/>
                <w:szCs w:val="22"/>
              </w:rPr>
              <w:footnoteReference w:id="4"/>
            </w:r>
            <w:r w:rsidRPr="00D01DDB">
              <w:rPr>
                <w:szCs w:val="22"/>
              </w:rPr>
              <w:t xml:space="preserve"> Overall benefit-risk asse</w:t>
            </w:r>
            <w:r w:rsidRPr="00A6259F">
              <w:rPr>
                <w:color w:val="auto"/>
                <w:szCs w:val="22"/>
              </w:rPr>
              <w:t xml:space="preserve">ssment and request for Advisory Committee advice </w:t>
            </w:r>
          </w:p>
        </w:tc>
        <w:tc>
          <w:tcPr>
            <w:tcW w:w="2693" w:type="dxa"/>
          </w:tcPr>
          <w:p w14:paraId="3BA6EF79" w14:textId="2D324591" w:rsidR="00324B33" w:rsidRPr="00D01DDB" w:rsidRDefault="00793496"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8 September 2023</w:t>
            </w:r>
          </w:p>
        </w:tc>
      </w:tr>
      <w:tr w:rsidR="00324B33" w:rsidRPr="00D01DDB" w14:paraId="5832EBC8"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720592DE" w14:textId="2864079F" w:rsidR="00324B33" w:rsidRPr="00E679D1" w:rsidRDefault="00140508" w:rsidP="00DC7BAD">
            <w:pPr>
              <w:contextualSpacing/>
            </w:pPr>
            <w:r>
              <w:t>Sponsor</w:t>
            </w:r>
            <w:r w:rsidR="00324B33" w:rsidRPr="00E679D1">
              <w:t>’s pre-Advisory Committee response</w:t>
            </w:r>
          </w:p>
        </w:tc>
        <w:tc>
          <w:tcPr>
            <w:tcW w:w="2693" w:type="dxa"/>
          </w:tcPr>
          <w:p w14:paraId="5AE04841" w14:textId="1834724A" w:rsidR="00324B33" w:rsidRPr="00D01DDB" w:rsidRDefault="007E653F"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22 September 2023</w:t>
            </w:r>
          </w:p>
        </w:tc>
      </w:tr>
      <w:tr w:rsidR="00324B33" w:rsidRPr="00D01DDB" w14:paraId="5754F7AC"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E679D1" w:rsidRDefault="00324B33" w:rsidP="00DC7BAD">
            <w:pPr>
              <w:contextualSpacing/>
            </w:pPr>
            <w:r w:rsidRPr="00E679D1">
              <w:t>Advisory Committee meeting</w:t>
            </w:r>
          </w:p>
        </w:tc>
        <w:tc>
          <w:tcPr>
            <w:tcW w:w="2693" w:type="dxa"/>
          </w:tcPr>
          <w:p w14:paraId="5BE1EDE7" w14:textId="4EF58EF7" w:rsidR="00324B33" w:rsidRPr="00D01DDB" w:rsidRDefault="009B34F7"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5-6 October 2023</w:t>
            </w:r>
          </w:p>
        </w:tc>
      </w:tr>
      <w:tr w:rsidR="00324B33" w:rsidRPr="00D01DDB" w14:paraId="6E5D32FE"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E679D1" w:rsidRDefault="00324B33" w:rsidP="00DC7BAD">
            <w:pPr>
              <w:contextualSpacing/>
            </w:pPr>
            <w:r w:rsidRPr="00E679D1">
              <w:t>Registration decision (Outcome)</w:t>
            </w:r>
          </w:p>
        </w:tc>
        <w:tc>
          <w:tcPr>
            <w:tcW w:w="2693" w:type="dxa"/>
          </w:tcPr>
          <w:p w14:paraId="62987ABD" w14:textId="1D9CF5AB" w:rsidR="00324B33" w:rsidRPr="00D01DDB" w:rsidRDefault="00793496"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21 November 2023</w:t>
            </w:r>
          </w:p>
        </w:tc>
      </w:tr>
      <w:tr w:rsidR="00324B33" w:rsidRPr="00D01DDB" w14:paraId="6DDCDDA4"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192FD19D" w14:textId="3612A2E7" w:rsidR="00324B33" w:rsidRPr="00E679D1" w:rsidRDefault="0013132F" w:rsidP="00DC7BAD">
            <w:pPr>
              <w:contextualSpacing/>
            </w:pPr>
            <w:r w:rsidRPr="00E679D1">
              <w:t xml:space="preserve">Administrative activities and registration </w:t>
            </w:r>
            <w:r w:rsidR="005C4B46" w:rsidRPr="00E679D1">
              <w:t xml:space="preserve">in </w:t>
            </w:r>
            <w:r w:rsidRPr="00E679D1">
              <w:t>the ARTG completed</w:t>
            </w:r>
          </w:p>
        </w:tc>
        <w:tc>
          <w:tcPr>
            <w:tcW w:w="2693" w:type="dxa"/>
          </w:tcPr>
          <w:p w14:paraId="5A8923FD" w14:textId="18768C0D" w:rsidR="00324B33" w:rsidRPr="00D01DDB" w:rsidRDefault="00CA4582"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28 November 2023</w:t>
            </w:r>
          </w:p>
        </w:tc>
      </w:tr>
      <w:tr w:rsidR="00324B33" w:rsidRPr="00D01DDB" w14:paraId="56D922E2" w14:textId="77777777" w:rsidTr="00616B9C">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E679D1" w:rsidRDefault="00324B33" w:rsidP="00DC7BAD">
            <w:pPr>
              <w:contextualSpacing/>
            </w:pPr>
            <w:r w:rsidRPr="00E679D1">
              <w:t>Number of working days from submission dossier acceptance to registration decision*</w:t>
            </w:r>
          </w:p>
        </w:tc>
        <w:tc>
          <w:tcPr>
            <w:tcW w:w="2693" w:type="dxa"/>
          </w:tcPr>
          <w:p w14:paraId="5BAF9FA1" w14:textId="7ACADC0F" w:rsidR="00324B33" w:rsidRPr="00D01DDB" w:rsidRDefault="00793496" w:rsidP="00DC7BAD">
            <w:pPr>
              <w:contextualSpacing/>
              <w:cnfStyle w:val="000000000000" w:firstRow="0" w:lastRow="0" w:firstColumn="0" w:lastColumn="0" w:oddVBand="0" w:evenVBand="0" w:oddHBand="0" w:evenHBand="0" w:firstRowFirstColumn="0" w:firstRowLastColumn="0" w:lastRowFirstColumn="0" w:lastRowLastColumn="0"/>
              <w:rPr>
                <w:szCs w:val="22"/>
              </w:rPr>
            </w:pPr>
            <w:r>
              <w:rPr>
                <w:szCs w:val="22"/>
              </w:rPr>
              <w:t>199</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5" w:name="_Toc196046504"/>
      <w:bookmarkStart w:id="36" w:name="_Toc247691527"/>
      <w:bookmarkStart w:id="37" w:name="_Toc314842510"/>
      <w:bookmarkStart w:id="38" w:name="_Toc103679294"/>
      <w:bookmarkStart w:id="39" w:name="_Toc17088790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5"/>
      <w:bookmarkEnd w:id="36"/>
      <w:bookmarkEnd w:id="37"/>
      <w:bookmarkEnd w:id="38"/>
      <w:bookmarkEnd w:id="39"/>
    </w:p>
    <w:p w14:paraId="540151FC" w14:textId="77777777" w:rsidR="00C22214" w:rsidRPr="00BD5DBD" w:rsidRDefault="00C22214" w:rsidP="00BD5DBD">
      <w:pPr>
        <w:rPr>
          <w:szCs w:val="22"/>
        </w:rPr>
      </w:pPr>
      <w:bookmarkStart w:id="40" w:name="_Toc247691528"/>
      <w:bookmarkStart w:id="41" w:name="_Toc314842511"/>
      <w:r w:rsidRPr="00BD5DBD">
        <w:rPr>
          <w:szCs w:val="22"/>
        </w:rPr>
        <w:t>A summary of the TGA’s assessment for this submission is provided below.</w:t>
      </w:r>
    </w:p>
    <w:p w14:paraId="668E3E84" w14:textId="2CE44D6B" w:rsidR="007072A1" w:rsidRDefault="007072A1" w:rsidP="00966EF1">
      <w:pPr>
        <w:rPr>
          <w:szCs w:val="22"/>
        </w:rPr>
      </w:pPr>
      <w:r w:rsidRPr="00BD5DBD">
        <w:rPr>
          <w:szCs w:val="22"/>
        </w:rPr>
        <w:t>Relevant guidelines or guidance documents referred to by the Delegate are listed below</w:t>
      </w:r>
      <w:r w:rsidR="003452A8">
        <w:rPr>
          <w:szCs w:val="22"/>
        </w:rPr>
        <w:t>:</w:t>
      </w:r>
    </w:p>
    <w:p w14:paraId="75F31BCD" w14:textId="78383109" w:rsidR="003452A8" w:rsidRPr="003452A8" w:rsidRDefault="00C16AAD" w:rsidP="003452A8">
      <w:pPr>
        <w:pStyle w:val="ListParagraph"/>
        <w:numPr>
          <w:ilvl w:val="0"/>
          <w:numId w:val="26"/>
        </w:numPr>
        <w:spacing w:before="120" w:after="120" w:line="240" w:lineRule="atLeast"/>
        <w:rPr>
          <w:rFonts w:ascii="Cambria" w:hAnsi="Cambria"/>
          <w:i/>
          <w:iCs/>
          <w:sz w:val="22"/>
          <w:szCs w:val="22"/>
          <w:lang w:eastAsia="ja-JP"/>
        </w:rPr>
      </w:pPr>
      <w:r>
        <w:rPr>
          <w:rFonts w:ascii="Cambria" w:hAnsi="Cambria"/>
          <w:i/>
          <w:iCs/>
          <w:sz w:val="22"/>
          <w:szCs w:val="22"/>
          <w:lang w:eastAsia="ja-JP"/>
        </w:rPr>
        <w:t>European M</w:t>
      </w:r>
      <w:r w:rsidR="00564CE6">
        <w:rPr>
          <w:rFonts w:ascii="Cambria" w:hAnsi="Cambria"/>
          <w:i/>
          <w:iCs/>
          <w:sz w:val="22"/>
          <w:szCs w:val="22"/>
          <w:lang w:eastAsia="ja-JP"/>
        </w:rPr>
        <w:t>edicines Agency (</w:t>
      </w:r>
      <w:r w:rsidR="00564CE6" w:rsidRPr="00564CE6">
        <w:rPr>
          <w:rFonts w:ascii="Cambria" w:hAnsi="Cambria"/>
          <w:i/>
          <w:iCs/>
          <w:sz w:val="22"/>
          <w:szCs w:val="22"/>
          <w:lang w:eastAsia="ja-JP"/>
        </w:rPr>
        <w:t>CPMP/ICH/375/95; June 1995</w:t>
      </w:r>
      <w:r w:rsidR="00564CE6">
        <w:rPr>
          <w:rFonts w:ascii="Cambria" w:hAnsi="Cambria"/>
          <w:i/>
          <w:iCs/>
          <w:sz w:val="22"/>
          <w:szCs w:val="22"/>
          <w:lang w:eastAsia="ja-JP"/>
        </w:rPr>
        <w:t>)</w:t>
      </w:r>
      <w:r>
        <w:rPr>
          <w:rFonts w:ascii="Cambria" w:hAnsi="Cambria"/>
          <w:i/>
          <w:iCs/>
          <w:sz w:val="22"/>
          <w:szCs w:val="22"/>
          <w:lang w:eastAsia="ja-JP"/>
        </w:rPr>
        <w:t xml:space="preserve">: </w:t>
      </w:r>
      <w:r w:rsidR="003452A8" w:rsidRPr="003452A8">
        <w:rPr>
          <w:rFonts w:ascii="Cambria" w:hAnsi="Cambria"/>
          <w:i/>
          <w:iCs/>
          <w:sz w:val="22"/>
          <w:szCs w:val="22"/>
          <w:lang w:eastAsia="ja-JP"/>
        </w:rPr>
        <w:t>The extent of population exposure to assess clinical safety</w:t>
      </w:r>
      <w:r w:rsidR="00140508">
        <w:rPr>
          <w:rFonts w:ascii="Cambria" w:hAnsi="Cambria"/>
          <w:i/>
          <w:iCs/>
          <w:sz w:val="22"/>
          <w:szCs w:val="22"/>
          <w:lang w:eastAsia="ja-JP"/>
        </w:rPr>
        <w:t>.</w:t>
      </w:r>
    </w:p>
    <w:p w14:paraId="0A7E8E46" w14:textId="7BB9C58E" w:rsidR="003452A8" w:rsidRPr="003452A8" w:rsidRDefault="00CF62D8" w:rsidP="003452A8">
      <w:pPr>
        <w:pStyle w:val="ListParagraph"/>
        <w:numPr>
          <w:ilvl w:val="0"/>
          <w:numId w:val="26"/>
        </w:numPr>
        <w:spacing w:before="120" w:after="120" w:line="240" w:lineRule="atLeast"/>
        <w:rPr>
          <w:rFonts w:ascii="Cambria" w:hAnsi="Cambria"/>
          <w:i/>
          <w:iCs/>
          <w:sz w:val="22"/>
          <w:szCs w:val="22"/>
          <w:lang w:eastAsia="ja-JP"/>
        </w:rPr>
      </w:pPr>
      <w:r>
        <w:rPr>
          <w:rFonts w:ascii="Cambria" w:hAnsi="Cambria"/>
          <w:i/>
          <w:iCs/>
          <w:sz w:val="22"/>
          <w:szCs w:val="22"/>
          <w:lang w:eastAsia="ja-JP"/>
        </w:rPr>
        <w:t>European Medicines Agency (</w:t>
      </w:r>
      <w:r w:rsidRPr="00CF62D8">
        <w:rPr>
          <w:rFonts w:ascii="Cambria" w:hAnsi="Cambria"/>
          <w:i/>
          <w:iCs/>
          <w:sz w:val="22"/>
          <w:szCs w:val="22"/>
          <w:lang w:eastAsia="ja-JP"/>
        </w:rPr>
        <w:t>CPMP/EWP/2330/99</w:t>
      </w:r>
      <w:r>
        <w:rPr>
          <w:rFonts w:ascii="Cambria" w:hAnsi="Cambria"/>
          <w:i/>
          <w:iCs/>
          <w:sz w:val="22"/>
          <w:szCs w:val="22"/>
          <w:lang w:eastAsia="ja-JP"/>
        </w:rPr>
        <w:t xml:space="preserve">; </w:t>
      </w:r>
      <w:r w:rsidRPr="00CF62D8">
        <w:rPr>
          <w:rFonts w:ascii="Cambria" w:hAnsi="Cambria"/>
          <w:i/>
          <w:iCs/>
          <w:sz w:val="22"/>
          <w:szCs w:val="22"/>
          <w:lang w:eastAsia="ja-JP"/>
        </w:rPr>
        <w:t>31 May 2001</w:t>
      </w:r>
      <w:r>
        <w:rPr>
          <w:rFonts w:ascii="Cambria" w:hAnsi="Cambria"/>
          <w:i/>
          <w:iCs/>
          <w:sz w:val="22"/>
          <w:szCs w:val="22"/>
          <w:lang w:eastAsia="ja-JP"/>
        </w:rPr>
        <w:t xml:space="preserve">): </w:t>
      </w:r>
      <w:r w:rsidR="003452A8" w:rsidRPr="003452A8">
        <w:rPr>
          <w:rFonts w:ascii="Cambria" w:hAnsi="Cambria"/>
          <w:i/>
          <w:iCs/>
          <w:sz w:val="22"/>
          <w:szCs w:val="22"/>
          <w:lang w:eastAsia="ja-JP"/>
        </w:rPr>
        <w:t>Points to consider on application with one pivotal study</w:t>
      </w:r>
      <w:r w:rsidR="00140508">
        <w:rPr>
          <w:rFonts w:ascii="Cambria" w:hAnsi="Cambria"/>
          <w:i/>
          <w:iCs/>
          <w:sz w:val="22"/>
          <w:szCs w:val="22"/>
          <w:lang w:eastAsia="ja-JP"/>
        </w:rPr>
        <w:t>.</w:t>
      </w:r>
    </w:p>
    <w:p w14:paraId="7B20DFBF" w14:textId="1015C477" w:rsidR="003452A8" w:rsidRPr="00984FEF" w:rsidRDefault="00CF62D8" w:rsidP="00966EF1">
      <w:pPr>
        <w:pStyle w:val="ListParagraph"/>
        <w:numPr>
          <w:ilvl w:val="0"/>
          <w:numId w:val="26"/>
        </w:numPr>
        <w:autoSpaceDE w:val="0"/>
        <w:autoSpaceDN w:val="0"/>
        <w:adjustRightInd w:val="0"/>
        <w:spacing w:after="0" w:line="240" w:lineRule="auto"/>
        <w:rPr>
          <w:rFonts w:ascii="Cambria" w:hAnsi="Cambria" w:cs="Calibri"/>
          <w:i/>
          <w:iCs/>
          <w:color w:val="000000"/>
          <w:sz w:val="22"/>
          <w:szCs w:val="22"/>
        </w:rPr>
      </w:pPr>
      <w:r w:rsidRPr="003452A8">
        <w:rPr>
          <w:rFonts w:ascii="Cambria" w:hAnsi="Cambria" w:cs="Calibri"/>
          <w:i/>
          <w:iCs/>
          <w:color w:val="000000"/>
          <w:sz w:val="22"/>
          <w:szCs w:val="22"/>
        </w:rPr>
        <w:t xml:space="preserve">Therapeutic Goods Administration </w:t>
      </w:r>
      <w:r w:rsidR="00984FEF">
        <w:rPr>
          <w:rFonts w:ascii="Cambria" w:hAnsi="Cambria" w:cs="Calibri"/>
          <w:i/>
          <w:iCs/>
          <w:color w:val="000000"/>
          <w:sz w:val="22"/>
          <w:szCs w:val="22"/>
        </w:rPr>
        <w:t xml:space="preserve">(27 May 2014): </w:t>
      </w:r>
      <w:r w:rsidR="003452A8" w:rsidRPr="003452A8">
        <w:rPr>
          <w:rFonts w:ascii="Cambria" w:hAnsi="Cambria" w:cs="Calibri"/>
          <w:i/>
          <w:iCs/>
          <w:color w:val="000000"/>
          <w:sz w:val="22"/>
          <w:szCs w:val="22"/>
        </w:rPr>
        <w:t>Literature-based submissions.</w:t>
      </w:r>
    </w:p>
    <w:p w14:paraId="37F5A1C0" w14:textId="77777777" w:rsidR="00C22214" w:rsidRDefault="00C22214" w:rsidP="00C22214">
      <w:pPr>
        <w:pStyle w:val="Heading3"/>
      </w:pPr>
      <w:bookmarkStart w:id="42" w:name="_Toc103679295"/>
      <w:bookmarkStart w:id="43" w:name="_Toc170887906"/>
      <w:r>
        <w:t>Quality</w:t>
      </w:r>
      <w:bookmarkEnd w:id="40"/>
      <w:bookmarkEnd w:id="41"/>
      <w:bookmarkEnd w:id="42"/>
      <w:bookmarkEnd w:id="43"/>
    </w:p>
    <w:p w14:paraId="29A3BB75" w14:textId="5D357B16"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883D35">
        <w:rPr>
          <w:szCs w:val="22"/>
        </w:rPr>
        <w:t>.</w:t>
      </w:r>
      <w:r w:rsidR="00301D9A">
        <w:rPr>
          <w:rStyle w:val="FootnoteReference"/>
          <w:szCs w:val="22"/>
        </w:rPr>
        <w:footnoteReference w:id="5"/>
      </w:r>
    </w:p>
    <w:p w14:paraId="2BE90AAE" w14:textId="41061619" w:rsidR="00C22214" w:rsidRDefault="00C22214" w:rsidP="00C22214">
      <w:pPr>
        <w:pStyle w:val="Heading3"/>
      </w:pPr>
      <w:bookmarkStart w:id="44" w:name="_Toc314842512"/>
      <w:bookmarkStart w:id="45" w:name="_Toc103679296"/>
      <w:bookmarkStart w:id="46" w:name="_Toc170887907"/>
      <w:r>
        <w:lastRenderedPageBreak/>
        <w:t>Nonclinical</w:t>
      </w:r>
      <w:bookmarkEnd w:id="44"/>
      <w:bookmarkEnd w:id="45"/>
      <w:bookmarkEnd w:id="46"/>
    </w:p>
    <w:p w14:paraId="5B7B0883" w14:textId="4F8CA71C" w:rsidR="004504BB" w:rsidRPr="004504BB" w:rsidRDefault="004504BB" w:rsidP="004504BB">
      <w:pPr>
        <w:rPr>
          <w:szCs w:val="22"/>
        </w:rPr>
      </w:pPr>
      <w:bookmarkStart w:id="47" w:name="_Toc247691530"/>
      <w:bookmarkStart w:id="48" w:name="_Toc314842513"/>
      <w:bookmarkStart w:id="49" w:name="_Toc103679297"/>
      <w:r w:rsidRPr="004504BB">
        <w:rPr>
          <w:szCs w:val="22"/>
        </w:rPr>
        <w:t xml:space="preserve">The </w:t>
      </w:r>
      <w:r w:rsidR="00616104">
        <w:rPr>
          <w:szCs w:val="22"/>
        </w:rPr>
        <w:t>Evaluator</w:t>
      </w:r>
      <w:r w:rsidRPr="004504BB">
        <w:rPr>
          <w:szCs w:val="22"/>
        </w:rPr>
        <w:t xml:space="preserve"> </w:t>
      </w:r>
      <w:r w:rsidR="00BA4AB0">
        <w:rPr>
          <w:szCs w:val="22"/>
        </w:rPr>
        <w:t>had</w:t>
      </w:r>
      <w:r w:rsidRPr="004504BB">
        <w:rPr>
          <w:szCs w:val="22"/>
        </w:rPr>
        <w:t xml:space="preserve"> no objections to the registration of </w:t>
      </w:r>
      <w:proofErr w:type="spellStart"/>
      <w:r w:rsidRPr="004504BB">
        <w:rPr>
          <w:szCs w:val="22"/>
        </w:rPr>
        <w:t>incobotulinutoxin</w:t>
      </w:r>
      <w:proofErr w:type="spellEnd"/>
      <w:r w:rsidR="0042512B">
        <w:rPr>
          <w:szCs w:val="22"/>
        </w:rPr>
        <w:t xml:space="preserve"> </w:t>
      </w:r>
      <w:r w:rsidRPr="004504BB">
        <w:rPr>
          <w:szCs w:val="22"/>
        </w:rPr>
        <w:t>A for the proposed indications.</w:t>
      </w:r>
    </w:p>
    <w:p w14:paraId="1A02642E" w14:textId="2E1C08AF" w:rsidR="004504BB" w:rsidRPr="004504BB" w:rsidRDefault="004504BB" w:rsidP="004504BB">
      <w:pPr>
        <w:pStyle w:val="ListBullet"/>
      </w:pPr>
      <w:r w:rsidRPr="004504BB">
        <w:t xml:space="preserve">Single and repeat-dose studies were conducted in rats via the intraglandular route and a juvenile toxicity study in rats via the </w:t>
      </w:r>
      <w:r w:rsidR="00D51046">
        <w:t>intramuscular</w:t>
      </w:r>
      <w:r w:rsidR="00D51046" w:rsidRPr="004504BB">
        <w:t xml:space="preserve"> </w:t>
      </w:r>
      <w:r w:rsidRPr="004504BB">
        <w:t xml:space="preserve">route. </w:t>
      </w:r>
    </w:p>
    <w:p w14:paraId="68CA0356" w14:textId="3307632B" w:rsidR="004504BB" w:rsidRPr="004504BB" w:rsidRDefault="004504BB" w:rsidP="004504BB">
      <w:pPr>
        <w:pStyle w:val="ListBullet"/>
      </w:pPr>
      <w:r w:rsidRPr="004504BB">
        <w:t xml:space="preserve">A single dose toxicity study conducted in rats using the intraglandular route of administration resulted in deaths at doses of 50 and 80 LDU/kg, associated with marked clinical signs, severe body weight loss and reduced food consumption. The maximum non-lethal dose was 20 LDU/kg. </w:t>
      </w:r>
    </w:p>
    <w:p w14:paraId="28EEF726" w14:textId="2169D353" w:rsidR="004504BB" w:rsidRPr="004504BB" w:rsidRDefault="004504BB" w:rsidP="004504BB">
      <w:pPr>
        <w:pStyle w:val="ListBullet"/>
      </w:pPr>
      <w:r w:rsidRPr="004504BB">
        <w:t xml:space="preserve">A repeat dose toxicity study by the intraglandular route was conducted in rats at doses up to 40 LDU/kg for 26 weeks (four injections at 8-week intervals). Treatment-related findings were restricted to the injected (treated) gland (i.e., reduced weight of the mandibular gland, decreased serum amylase and associated histopathological changes and body weight loss) at the high dose of 40 LDU/kg. Mortality and morbidity resulting in premature euthanasia was also observed at this dose. Death was due to acute bronchopneumonia with the presence of alveolar foreign materials due to muscular dysfunction in the region surrounding the pharynx/larynx resulting in inhalation of material from the oral cavity. This was considered to be due to an indirect </w:t>
      </w:r>
      <w:r w:rsidR="09BE7D10">
        <w:t xml:space="preserve">effect </w:t>
      </w:r>
      <w:r w:rsidRPr="004504BB">
        <w:t xml:space="preserve">of NT 201. The </w:t>
      </w:r>
      <w:r w:rsidR="00D51046" w:rsidRPr="00D51046">
        <w:t xml:space="preserve">No-observed-adverse-effect level </w:t>
      </w:r>
      <w:r w:rsidR="00D51046">
        <w:t>(</w:t>
      </w:r>
      <w:r w:rsidRPr="004504BB">
        <w:t>NOAEL</w:t>
      </w:r>
      <w:r w:rsidR="00D51046">
        <w:t>)</w:t>
      </w:r>
      <w:r w:rsidRPr="004504BB">
        <w:t xml:space="preserve"> was considered to be 10 LDU/kg (</w:t>
      </w:r>
      <w:r w:rsidR="00FE58EB">
        <w:t>6</w:t>
      </w:r>
      <w:r w:rsidRPr="004504BB">
        <w:t xml:space="preserve">-fold the clinical dose based on U/kg). </w:t>
      </w:r>
    </w:p>
    <w:p w14:paraId="550B6B14" w14:textId="02F8C69F" w:rsidR="004504BB" w:rsidRPr="004504BB" w:rsidRDefault="004504BB" w:rsidP="004504BB">
      <w:pPr>
        <w:pStyle w:val="ListBullet"/>
      </w:pPr>
      <w:r w:rsidRPr="004504BB">
        <w:t xml:space="preserve">Studies in juvenile rats following </w:t>
      </w:r>
      <w:r w:rsidR="00070037">
        <w:t>in</w:t>
      </w:r>
      <w:r w:rsidR="00533991">
        <w:t>tramuscular</w:t>
      </w:r>
      <w:r w:rsidRPr="004504BB">
        <w:t xml:space="preserve"> administration revealed findings that were similar to those seen in treated adults and included effects on bodyweight and muscle atrophy. Associated secondary consequences on growth were likely due to the physical disability arising from muscle paralysis. Germinal atrophy in the testes and hypospermia in the epididymides were also observed</w:t>
      </w:r>
      <w:r w:rsidR="0005595F">
        <w:t xml:space="preserve"> at the high dose</w:t>
      </w:r>
      <w:r w:rsidRPr="004504BB">
        <w:t xml:space="preserve">. A NOAEL </w:t>
      </w:r>
      <w:r w:rsidR="00FE58EB" w:rsidRPr="00FE58EB">
        <w:t xml:space="preserve"> was established in this study and considered to be 10 LDU/kg.</w:t>
      </w:r>
    </w:p>
    <w:p w14:paraId="35B580A5" w14:textId="0509DDE6" w:rsidR="00C22214" w:rsidRDefault="00C22214" w:rsidP="008804CF">
      <w:pPr>
        <w:pStyle w:val="Heading3"/>
      </w:pPr>
      <w:bookmarkStart w:id="50" w:name="_Toc170887908"/>
      <w:r>
        <w:t>Clinical</w:t>
      </w:r>
      <w:bookmarkEnd w:id="47"/>
      <w:bookmarkEnd w:id="48"/>
      <w:bookmarkEnd w:id="49"/>
      <w:bookmarkEnd w:id="50"/>
    </w:p>
    <w:p w14:paraId="32B0DEDA" w14:textId="77777777" w:rsidR="00C22214" w:rsidRPr="00433318" w:rsidRDefault="00C22214" w:rsidP="00433318">
      <w:pPr>
        <w:pStyle w:val="Heading4"/>
      </w:pPr>
      <w:bookmarkStart w:id="51" w:name="_Toc98931928"/>
      <w:bookmarkStart w:id="52" w:name="_Toc170887909"/>
      <w:r>
        <w:t>Summary of clinical studies</w:t>
      </w:r>
      <w:bookmarkEnd w:id="51"/>
      <w:bookmarkEnd w:id="52"/>
    </w:p>
    <w:p w14:paraId="7AE75B13" w14:textId="1B7B5BE4" w:rsidR="009641F9" w:rsidRPr="009641F9" w:rsidRDefault="009641F9" w:rsidP="009641F9">
      <w:pPr>
        <w:pStyle w:val="ListBullet"/>
        <w:numPr>
          <w:ilvl w:val="0"/>
          <w:numId w:val="0"/>
        </w:numPr>
        <w:rPr>
          <w:szCs w:val="22"/>
        </w:rPr>
      </w:pPr>
      <w:r w:rsidRPr="009641F9">
        <w:rPr>
          <w:szCs w:val="22"/>
        </w:rPr>
        <w:t xml:space="preserve">The </w:t>
      </w:r>
      <w:r w:rsidR="00616104">
        <w:rPr>
          <w:szCs w:val="22"/>
        </w:rPr>
        <w:t>Evaluator</w:t>
      </w:r>
      <w:r w:rsidRPr="009641F9">
        <w:rPr>
          <w:szCs w:val="22"/>
        </w:rPr>
        <w:t xml:space="preserve"> has recommended approval of </w:t>
      </w:r>
      <w:r w:rsidR="000A423B">
        <w:rPr>
          <w:szCs w:val="22"/>
        </w:rPr>
        <w:t>XEOMIN</w:t>
      </w:r>
      <w:r w:rsidRPr="009641F9">
        <w:rPr>
          <w:szCs w:val="22"/>
        </w:rPr>
        <w:t xml:space="preserve"> for the proposed use for treatment of Sialorrhea in children, adolescents and adults, and spasticity in children and adolescents. </w:t>
      </w:r>
    </w:p>
    <w:p w14:paraId="189DF1B3" w14:textId="7CDA26F5" w:rsidR="009641F9" w:rsidRPr="009641F9" w:rsidRDefault="009641F9" w:rsidP="009641F9">
      <w:pPr>
        <w:pStyle w:val="ListBullet"/>
        <w:numPr>
          <w:ilvl w:val="0"/>
          <w:numId w:val="0"/>
        </w:numPr>
        <w:rPr>
          <w:szCs w:val="22"/>
        </w:rPr>
      </w:pPr>
      <w:r w:rsidRPr="009641F9">
        <w:rPr>
          <w:szCs w:val="22"/>
        </w:rPr>
        <w:t xml:space="preserve">After first round of evaluation, the </w:t>
      </w:r>
      <w:r w:rsidR="00616104">
        <w:rPr>
          <w:szCs w:val="22"/>
        </w:rPr>
        <w:t>Evaluator</w:t>
      </w:r>
      <w:r w:rsidRPr="009641F9">
        <w:rPr>
          <w:szCs w:val="22"/>
        </w:rPr>
        <w:t xml:space="preserve"> did not recommend approval of </w:t>
      </w:r>
      <w:r w:rsidR="000A423B">
        <w:rPr>
          <w:szCs w:val="22"/>
        </w:rPr>
        <w:t>XEOMIN</w:t>
      </w:r>
      <w:r w:rsidRPr="009641F9">
        <w:rPr>
          <w:szCs w:val="22"/>
        </w:rPr>
        <w:t xml:space="preserve"> for the treatment of Hemifacial spasm. The </w:t>
      </w:r>
      <w:r w:rsidR="00616104">
        <w:rPr>
          <w:szCs w:val="22"/>
        </w:rPr>
        <w:t>Sponsor</w:t>
      </w:r>
      <w:r w:rsidRPr="009641F9">
        <w:rPr>
          <w:szCs w:val="22"/>
        </w:rPr>
        <w:t xml:space="preserve"> withdrew their proposed indication for this condition. Hence, the Delegate has not considered HFS as part of the current submission and not discussed in this overview.</w:t>
      </w:r>
    </w:p>
    <w:p w14:paraId="7E4E1500" w14:textId="5A8ECC7D" w:rsidR="009641F9" w:rsidRPr="009641F9" w:rsidRDefault="009641F9" w:rsidP="009641F9">
      <w:pPr>
        <w:pStyle w:val="ListBullet"/>
        <w:numPr>
          <w:ilvl w:val="0"/>
          <w:numId w:val="0"/>
        </w:numPr>
        <w:rPr>
          <w:szCs w:val="22"/>
        </w:rPr>
      </w:pPr>
      <w:r w:rsidRPr="009641F9">
        <w:rPr>
          <w:szCs w:val="22"/>
        </w:rPr>
        <w:t xml:space="preserve">No new </w:t>
      </w:r>
      <w:r>
        <w:rPr>
          <w:szCs w:val="22"/>
        </w:rPr>
        <w:t>pharmacokinetic (</w:t>
      </w:r>
      <w:r w:rsidRPr="009641F9">
        <w:rPr>
          <w:szCs w:val="22"/>
        </w:rPr>
        <w:t>PK</w:t>
      </w:r>
      <w:r>
        <w:rPr>
          <w:szCs w:val="22"/>
        </w:rPr>
        <w:t>)</w:t>
      </w:r>
      <w:r w:rsidRPr="009641F9">
        <w:rPr>
          <w:szCs w:val="22"/>
        </w:rPr>
        <w:t xml:space="preserve"> and</w:t>
      </w:r>
      <w:r>
        <w:rPr>
          <w:szCs w:val="22"/>
        </w:rPr>
        <w:t xml:space="preserve"> pharmacodynamic (</w:t>
      </w:r>
      <w:r w:rsidRPr="009641F9">
        <w:rPr>
          <w:szCs w:val="22"/>
        </w:rPr>
        <w:t>PD</w:t>
      </w:r>
      <w:r>
        <w:rPr>
          <w:szCs w:val="22"/>
        </w:rPr>
        <w:t>)</w:t>
      </w:r>
      <w:r w:rsidRPr="009641F9">
        <w:rPr>
          <w:szCs w:val="22"/>
        </w:rPr>
        <w:t xml:space="preserve"> data was included in this submission. This approach was acceptable. </w:t>
      </w:r>
    </w:p>
    <w:p w14:paraId="14888AF4" w14:textId="534EB551" w:rsidR="009641F9" w:rsidRPr="009641F9" w:rsidRDefault="009641F9" w:rsidP="009641F9">
      <w:pPr>
        <w:pStyle w:val="ListBullet"/>
        <w:numPr>
          <w:ilvl w:val="0"/>
          <w:numId w:val="0"/>
        </w:numPr>
        <w:rPr>
          <w:szCs w:val="22"/>
        </w:rPr>
      </w:pPr>
      <w:r w:rsidRPr="009641F9">
        <w:rPr>
          <w:szCs w:val="22"/>
        </w:rPr>
        <w:t xml:space="preserve">Mechanism of action: IncobotulinumtoxinA blocks cholinergic transmission at the neuromuscular junction by inhibiting the release </w:t>
      </w:r>
      <w:bookmarkStart w:id="53" w:name="_Hlk168866782"/>
      <w:r w:rsidRPr="009641F9">
        <w:rPr>
          <w:szCs w:val="22"/>
        </w:rPr>
        <w:t xml:space="preserve">of </w:t>
      </w:r>
      <w:r w:rsidR="006475E6">
        <w:rPr>
          <w:szCs w:val="22"/>
        </w:rPr>
        <w:t>acetylcholine (</w:t>
      </w:r>
      <w:r w:rsidRPr="009641F9">
        <w:rPr>
          <w:szCs w:val="22"/>
        </w:rPr>
        <w:t>ACh</w:t>
      </w:r>
      <w:r w:rsidR="006475E6">
        <w:rPr>
          <w:szCs w:val="22"/>
        </w:rPr>
        <w:t>)</w:t>
      </w:r>
      <w:bookmarkEnd w:id="53"/>
      <w:r w:rsidRPr="009641F9">
        <w:rPr>
          <w:szCs w:val="22"/>
        </w:rPr>
        <w:t xml:space="preserve"> from peripheral cholinergic nerve terminals. This inhibition occurs in the following sequence: </w:t>
      </w:r>
    </w:p>
    <w:p w14:paraId="5547601F" w14:textId="77777777" w:rsidR="009641F9" w:rsidRPr="00B2497D" w:rsidRDefault="009641F9" w:rsidP="00B2497D">
      <w:pPr>
        <w:pStyle w:val="ListBullet"/>
      </w:pPr>
      <w:r w:rsidRPr="00B2497D">
        <w:t xml:space="preserve">Heavy chain of toxin binding to cholinergic nerve </w:t>
      </w:r>
      <w:proofErr w:type="gramStart"/>
      <w:r w:rsidRPr="00B2497D">
        <w:t>terminals;</w:t>
      </w:r>
      <w:proofErr w:type="gramEnd"/>
    </w:p>
    <w:p w14:paraId="2E3F68EB" w14:textId="77777777" w:rsidR="009641F9" w:rsidRPr="00B2497D" w:rsidRDefault="009641F9" w:rsidP="00B2497D">
      <w:pPr>
        <w:pStyle w:val="ListBullet"/>
      </w:pPr>
      <w:r w:rsidRPr="00B2497D">
        <w:t xml:space="preserve">Internalisation of the toxin within vesicles into the nerve </w:t>
      </w:r>
      <w:proofErr w:type="gramStart"/>
      <w:r w:rsidRPr="00B2497D">
        <w:t>terminal;</w:t>
      </w:r>
      <w:proofErr w:type="gramEnd"/>
    </w:p>
    <w:p w14:paraId="51A8C92D" w14:textId="77777777" w:rsidR="009641F9" w:rsidRPr="00B2497D" w:rsidRDefault="009641F9" w:rsidP="00B2497D">
      <w:pPr>
        <w:pStyle w:val="ListBullet"/>
      </w:pPr>
      <w:r w:rsidRPr="00B2497D">
        <w:t>Translocation of the light-chain of the toxin molecule into the cytosol of the nerve terminal; and</w:t>
      </w:r>
    </w:p>
    <w:p w14:paraId="533A99F7" w14:textId="77777777" w:rsidR="009641F9" w:rsidRPr="00B2497D" w:rsidRDefault="009641F9" w:rsidP="00B2497D">
      <w:pPr>
        <w:pStyle w:val="ListBullet"/>
      </w:pPr>
      <w:r w:rsidRPr="00B2497D">
        <w:lastRenderedPageBreak/>
        <w:t xml:space="preserve">Enzymatic cleavage of SNAP25, the presynaptic target protein essential for the release of </w:t>
      </w:r>
      <w:proofErr w:type="spellStart"/>
      <w:r w:rsidRPr="00B2497D">
        <w:t>ACh</w:t>
      </w:r>
      <w:proofErr w:type="spellEnd"/>
      <w:r w:rsidRPr="00B2497D">
        <w:t xml:space="preserve">. </w:t>
      </w:r>
    </w:p>
    <w:p w14:paraId="0A3171AD" w14:textId="77777777" w:rsidR="009641F9" w:rsidRPr="009641F9" w:rsidRDefault="009641F9" w:rsidP="009641F9">
      <w:pPr>
        <w:pStyle w:val="ListBullet"/>
        <w:numPr>
          <w:ilvl w:val="0"/>
          <w:numId w:val="0"/>
        </w:numPr>
        <w:rPr>
          <w:szCs w:val="22"/>
        </w:rPr>
      </w:pPr>
      <w:r w:rsidRPr="009641F9">
        <w:rPr>
          <w:szCs w:val="22"/>
        </w:rPr>
        <w:t>Complete recovery of endplate function/impulse transmission after intramuscular injection normally occurs within 3-4 months as nerve terminals sprout and reconnect with the muscle endplate and the presynaptic neurotransmitter release mechanism becomes functional again.</w:t>
      </w:r>
    </w:p>
    <w:p w14:paraId="25E29E44" w14:textId="3CE27E01" w:rsidR="009641F9" w:rsidRDefault="009641F9" w:rsidP="009641F9">
      <w:pPr>
        <w:pStyle w:val="ListBullet"/>
        <w:numPr>
          <w:ilvl w:val="0"/>
          <w:numId w:val="0"/>
        </w:numPr>
        <w:rPr>
          <w:szCs w:val="22"/>
        </w:rPr>
      </w:pPr>
      <w:r w:rsidRPr="009641F9">
        <w:rPr>
          <w:szCs w:val="22"/>
        </w:rPr>
        <w:t>No PK or PD dose-finding studies were provided for any of the 4 proposed indications.</w:t>
      </w:r>
    </w:p>
    <w:p w14:paraId="526ABC30" w14:textId="77777777" w:rsidR="009C1B65" w:rsidRDefault="009C1B65" w:rsidP="009C1B65">
      <w:pPr>
        <w:pStyle w:val="Heading4"/>
      </w:pPr>
      <w:bookmarkStart w:id="54" w:name="_Toc170887910"/>
      <w:r w:rsidRPr="00AA53F4">
        <w:t>Efficacy</w:t>
      </w:r>
      <w:bookmarkEnd w:id="54"/>
    </w:p>
    <w:p w14:paraId="14F7A289" w14:textId="5FEB70B6" w:rsidR="007E4EE6" w:rsidRDefault="00140508" w:rsidP="007E4EE6">
      <w:pPr>
        <w:rPr>
          <w:lang w:eastAsia="ja-JP"/>
        </w:rPr>
      </w:pPr>
      <w:r w:rsidRPr="00DC7BAD">
        <w:rPr>
          <w:i/>
          <w:iCs/>
        </w:rPr>
        <w:t xml:space="preserve">The </w:t>
      </w:r>
      <w:r w:rsidR="00616104">
        <w:rPr>
          <w:i/>
          <w:iCs/>
        </w:rPr>
        <w:t>Sponsor</w:t>
      </w:r>
      <w:r w:rsidR="009C1B65" w:rsidRPr="00DC7BAD">
        <w:rPr>
          <w:i/>
          <w:iCs/>
        </w:rPr>
        <w:t>’s approach to identify the dose for pivotal studies:</w:t>
      </w:r>
      <w:r w:rsidR="00DC7BAD">
        <w:rPr>
          <w:i/>
          <w:iCs/>
        </w:rPr>
        <w:t xml:space="preserve"> </w:t>
      </w:r>
      <w:r w:rsidR="009C1B65">
        <w:rPr>
          <w:lang w:eastAsia="ja-JP"/>
        </w:rPr>
        <w:t xml:space="preserve">The </w:t>
      </w:r>
      <w:r w:rsidR="00616104">
        <w:rPr>
          <w:lang w:eastAsia="ja-JP"/>
        </w:rPr>
        <w:t>Sponsor</w:t>
      </w:r>
      <w:r w:rsidR="009C1B65">
        <w:rPr>
          <w:lang w:eastAsia="ja-JP"/>
        </w:rPr>
        <w:t xml:space="preserve">’s proposed dosing regimens for </w:t>
      </w:r>
      <w:r w:rsidR="000A423B">
        <w:rPr>
          <w:lang w:eastAsia="ja-JP"/>
        </w:rPr>
        <w:t>XEOMIN</w:t>
      </w:r>
      <w:r w:rsidR="009C1B65">
        <w:rPr>
          <w:lang w:eastAsia="ja-JP"/>
        </w:rPr>
        <w:t xml:space="preserve">, for the treatment of sialorrhea and spasticity were based on published clinical trial data from Botox and consensus guideline recommendations from established US and European sources. Essentially, the proposed dose-regimens in the pivotal studies assumed a 1:1 therapeutic equivalence ratio between Botox and NT 201. This assumption was mainly based on approved indications for </w:t>
      </w:r>
      <w:r w:rsidR="000A423B">
        <w:rPr>
          <w:lang w:eastAsia="ja-JP"/>
        </w:rPr>
        <w:t>XEOMIN</w:t>
      </w:r>
      <w:r w:rsidR="009C1B65">
        <w:rPr>
          <w:lang w:eastAsia="ja-JP"/>
        </w:rPr>
        <w:t xml:space="preserve"> other than that</w:t>
      </w:r>
      <w:r w:rsidR="007E4EE6" w:rsidRPr="007E4EE6">
        <w:rPr>
          <w:lang w:eastAsia="ja-JP"/>
        </w:rPr>
        <w:t xml:space="preserve"> </w:t>
      </w:r>
      <w:r w:rsidR="007E4EE6">
        <w:rPr>
          <w:lang w:eastAsia="ja-JP"/>
        </w:rPr>
        <w:t xml:space="preserve">proposed in this application. </w:t>
      </w:r>
      <w:r w:rsidR="007E4EE6">
        <w:t xml:space="preserve">The </w:t>
      </w:r>
      <w:r w:rsidR="00616104">
        <w:t>Evaluator</w:t>
      </w:r>
      <w:r w:rsidR="007E4EE6">
        <w:t xml:space="preserve"> has also considered that </w:t>
      </w:r>
      <w:r w:rsidR="007E4EE6" w:rsidRPr="002923DC">
        <w:t xml:space="preserve">therapeutic equivalence between Botox and </w:t>
      </w:r>
      <w:r w:rsidR="000A423B">
        <w:t>XEOMIN</w:t>
      </w:r>
      <w:r w:rsidR="007E4EE6" w:rsidRPr="002923DC">
        <w:t xml:space="preserve"> </w:t>
      </w:r>
      <w:r w:rsidR="007E4EE6">
        <w:t>has been</w:t>
      </w:r>
      <w:r w:rsidR="007E4EE6" w:rsidRPr="002923DC">
        <w:t xml:space="preserve"> described in both the approved </w:t>
      </w:r>
      <w:r w:rsidR="000A423B">
        <w:t>XEOMIN</w:t>
      </w:r>
      <w:r w:rsidR="007E4EE6" w:rsidRPr="002923DC">
        <w:t xml:space="preserve"> PI (for glabellar frown lines) and in the </w:t>
      </w:r>
      <w:r w:rsidR="007E4EE6">
        <w:t xml:space="preserve">approved </w:t>
      </w:r>
      <w:r w:rsidR="007E4EE6" w:rsidRPr="002923DC">
        <w:t xml:space="preserve">EU SmPC for </w:t>
      </w:r>
      <w:r w:rsidR="000A423B">
        <w:t>XEOMIN</w:t>
      </w:r>
      <w:r w:rsidR="007E4EE6" w:rsidRPr="002923DC">
        <w:t xml:space="preserve"> </w:t>
      </w:r>
      <w:r w:rsidR="007E4EE6">
        <w:t xml:space="preserve">in its </w:t>
      </w:r>
      <w:r w:rsidR="007E4EE6" w:rsidRPr="002923DC">
        <w:t xml:space="preserve">blepharospasm </w:t>
      </w:r>
      <w:r w:rsidR="007E4EE6">
        <w:t>and</w:t>
      </w:r>
      <w:r w:rsidR="007E4EE6" w:rsidRPr="002923DC">
        <w:t xml:space="preserve"> cervical dystonia</w:t>
      </w:r>
      <w:r w:rsidR="007E4EE6">
        <w:t xml:space="preserve"> indications</w:t>
      </w:r>
      <w:r w:rsidR="007E4EE6" w:rsidRPr="002923DC">
        <w:t>.</w:t>
      </w:r>
      <w:r w:rsidR="007E4EE6">
        <w:t xml:space="preserve"> </w:t>
      </w:r>
      <w:r w:rsidR="007E4EE6">
        <w:rPr>
          <w:lang w:eastAsia="ja-JP"/>
        </w:rPr>
        <w:t xml:space="preserve">The </w:t>
      </w:r>
      <w:r w:rsidR="00616104">
        <w:rPr>
          <w:lang w:eastAsia="ja-JP"/>
        </w:rPr>
        <w:t>Evaluator</w:t>
      </w:r>
      <w:r w:rsidR="007E4EE6">
        <w:rPr>
          <w:lang w:eastAsia="ja-JP"/>
        </w:rPr>
        <w:t xml:space="preserve"> considered this rationale as reasonable.</w:t>
      </w:r>
    </w:p>
    <w:p w14:paraId="7B231D42" w14:textId="009F14B8" w:rsidR="007E4EE6" w:rsidRPr="002923DC" w:rsidRDefault="007E4EE6" w:rsidP="007E4EE6">
      <w:r w:rsidRPr="00DC7BAD">
        <w:rPr>
          <w:i/>
          <w:iCs/>
          <w:lang w:eastAsia="ja-JP"/>
        </w:rPr>
        <w:t>Chronic sialorrhea in children and adolescents</w:t>
      </w:r>
      <w:r w:rsidRPr="00F1310D">
        <w:rPr>
          <w:lang w:eastAsia="ja-JP"/>
        </w:rPr>
        <w:t xml:space="preserve">: </w:t>
      </w:r>
      <w:r>
        <w:rPr>
          <w:lang w:eastAsia="ja-JP"/>
        </w:rPr>
        <w:t>P</w:t>
      </w:r>
      <w:r w:rsidRPr="00F1310D">
        <w:t>ublished</w:t>
      </w:r>
      <w:r>
        <w:t xml:space="preserve"> studies </w:t>
      </w:r>
      <w:r w:rsidRPr="00F1310D">
        <w:t>in children with CP</w:t>
      </w:r>
      <w:r>
        <w:t xml:space="preserve"> used </w:t>
      </w:r>
      <w:r w:rsidRPr="00F1310D">
        <w:t xml:space="preserve">doses </w:t>
      </w:r>
      <w:r>
        <w:t xml:space="preserve">of Botox </w:t>
      </w:r>
      <w:r w:rsidRPr="00F1310D">
        <w:t>injected in</w:t>
      </w:r>
      <w:r>
        <w:t>to</w:t>
      </w:r>
      <w:r w:rsidRPr="00F1310D">
        <w:t xml:space="preserve"> the parotid and submandibular glands </w:t>
      </w:r>
      <w:r>
        <w:t xml:space="preserve">that ranged from 30 U to 100 U (on average ranging from 2 to 4 U/kg BW). These values are also within the dose-recommendations of a 2010 consensus paper and hence, the </w:t>
      </w:r>
      <w:r w:rsidRPr="00F1310D">
        <w:t>average dose</w:t>
      </w:r>
      <w:r>
        <w:t>-</w:t>
      </w:r>
      <w:r w:rsidRPr="002923DC">
        <w:t>level of 2 U NT 201/kg BW was chosen on grounds of both efficacy and safety</w:t>
      </w:r>
      <w:r>
        <w:t>, with a placebo (PBO) comparator</w:t>
      </w:r>
      <w:r w:rsidRPr="002923DC">
        <w:t xml:space="preserve">. </w:t>
      </w:r>
    </w:p>
    <w:p w14:paraId="0D2675B9" w14:textId="6857CC79" w:rsidR="007E4EE6" w:rsidRDefault="007E4EE6" w:rsidP="007E4EE6">
      <w:r w:rsidRPr="00DC7BAD">
        <w:rPr>
          <w:i/>
          <w:iCs/>
          <w:lang w:eastAsia="ja-JP"/>
        </w:rPr>
        <w:t>Chronic sialorrhea in adults</w:t>
      </w:r>
      <w:r>
        <w:rPr>
          <w:u w:val="single"/>
          <w:lang w:eastAsia="ja-JP"/>
        </w:rPr>
        <w:t>:</w:t>
      </w:r>
      <w:r>
        <w:rPr>
          <w:lang w:eastAsia="ja-JP"/>
        </w:rPr>
        <w:t xml:space="preserve"> </w:t>
      </w:r>
      <w:r>
        <w:t>In clinical studies, the mean doses injected into salivary glands ranged from 55-200 U (Botox) and 250-450 U (</w:t>
      </w:r>
      <w:r w:rsidR="004F7C5E">
        <w:t>DYSPORT</w:t>
      </w:r>
      <w:r>
        <w:t xml:space="preserve">). Doses ranging between 75 U and 100 U of BoNT/A have also been shown to be safe and efficacious in open-label trials with </w:t>
      </w:r>
      <w:r w:rsidR="000A423B">
        <w:t>XEOMIN</w:t>
      </w:r>
      <w:r>
        <w:t xml:space="preserve"> and onabotulinumtoxinA in PD. Based on these data, </w:t>
      </w:r>
      <w:r w:rsidR="004951C9">
        <w:t xml:space="preserve">the </w:t>
      </w:r>
      <w:r w:rsidR="00616104">
        <w:t>Sponsor</w:t>
      </w:r>
      <w:r>
        <w:t xml:space="preserve"> chose 75 U and 100 U dose-regimens for the pivotal study with a PBO comparator.</w:t>
      </w:r>
    </w:p>
    <w:p w14:paraId="177F00B8" w14:textId="0853AE95" w:rsidR="007E4EE6" w:rsidRDefault="007E4EE6" w:rsidP="007E4EE6">
      <w:r w:rsidRPr="00DC7BAD">
        <w:rPr>
          <w:i/>
          <w:iCs/>
          <w:lang w:eastAsia="ja-JP"/>
        </w:rPr>
        <w:t>Spasticity in children and adolescents aged 2-17 years, inclusive:</w:t>
      </w:r>
      <w:r>
        <w:rPr>
          <w:lang w:eastAsia="ja-JP"/>
        </w:rPr>
        <w:t xml:space="preserve"> The 2010 </w:t>
      </w:r>
      <w:r w:rsidRPr="00CC4E37">
        <w:rPr>
          <w:lang w:eastAsia="ja-JP"/>
        </w:rPr>
        <w:t>i</w:t>
      </w:r>
      <w:r w:rsidRPr="00CC4E37">
        <w:t>nternational consensus guidelines state</w:t>
      </w:r>
      <w:r>
        <w:t>d</w:t>
      </w:r>
      <w:r w:rsidRPr="00CC4E37">
        <w:t xml:space="preserve"> that 400 </w:t>
      </w:r>
      <w:r>
        <w:t xml:space="preserve">U </w:t>
      </w:r>
      <w:r w:rsidRPr="00CC4E37">
        <w:t>up to 600 U Botox is the upper total dose limit</w:t>
      </w:r>
      <w:r>
        <w:t>,</w:t>
      </w:r>
      <w:r w:rsidRPr="00CC4E37">
        <w:t xml:space="preserve"> </w:t>
      </w:r>
      <w:r>
        <w:t>while</w:t>
      </w:r>
      <w:r w:rsidRPr="00CC4E37">
        <w:t xml:space="preserve"> a 2009 European consensus paper recommended a </w:t>
      </w:r>
      <w:r>
        <w:t xml:space="preserve">total body dose for BoNT treatment using Botox of up to 20-25 U/kg BW in children with CP. The latter was based on results from 2 multi-level/multi-muscle trials that used doses of 20-30 U/kg BW. The </w:t>
      </w:r>
      <w:r w:rsidR="00140508">
        <w:t>Sponsor</w:t>
      </w:r>
      <w:r>
        <w:t xml:space="preserve"> chose the proposed dosing for </w:t>
      </w:r>
      <w:r w:rsidR="000A423B">
        <w:t>XEOMIN</w:t>
      </w:r>
      <w:r>
        <w:t xml:space="preserve"> based on these findings from comparable botulinum products. </w:t>
      </w:r>
    </w:p>
    <w:p w14:paraId="7E4B4365" w14:textId="77777777" w:rsidR="007E4EE6" w:rsidRPr="00B228DE" w:rsidRDefault="007E4EE6" w:rsidP="00DC7BAD">
      <w:pPr>
        <w:pStyle w:val="Heading5"/>
        <w:rPr>
          <w:color w:val="auto"/>
          <w:lang w:eastAsia="ja-JP"/>
        </w:rPr>
      </w:pPr>
      <w:r w:rsidRPr="00B228DE">
        <w:rPr>
          <w:color w:val="auto"/>
        </w:rPr>
        <w:t xml:space="preserve">List of studies </w:t>
      </w:r>
    </w:p>
    <w:p w14:paraId="28656E82" w14:textId="77777777" w:rsidR="007E4EE6" w:rsidRPr="008C1087" w:rsidRDefault="007E4EE6" w:rsidP="00B2497D">
      <w:pPr>
        <w:pStyle w:val="ListBullet"/>
      </w:pPr>
      <w:r w:rsidRPr="008C1087">
        <w:t>Sialorrhea in children and adolescents: 3091 (phase III, pivotal)</w:t>
      </w:r>
    </w:p>
    <w:p w14:paraId="564D2B98" w14:textId="77777777" w:rsidR="007E4EE6" w:rsidRPr="008C1087" w:rsidRDefault="007E4EE6" w:rsidP="00B2497D">
      <w:pPr>
        <w:pStyle w:val="ListBullet"/>
      </w:pPr>
      <w:r w:rsidRPr="008C1087">
        <w:t>Sialorrhea in adults: 3090 (phase III, pivotal)</w:t>
      </w:r>
    </w:p>
    <w:p w14:paraId="4B9AEC27" w14:textId="13F61D45" w:rsidR="00A22EC0" w:rsidRPr="008C1087" w:rsidRDefault="007E4EE6" w:rsidP="00B2497D">
      <w:pPr>
        <w:pStyle w:val="ListBullet"/>
      </w:pPr>
      <w:r w:rsidRPr="008C1087">
        <w:t>Spasticity in children and adolescents: 3070 (phase III, dose-response, pivotal), 3072 (phase III, dose-response, pivotal), 3071 (phase III, OL) and R-201212 (phase IV)</w:t>
      </w:r>
    </w:p>
    <w:p w14:paraId="2A2465C6" w14:textId="40C580E9" w:rsidR="007E4EE6" w:rsidRDefault="007E4EE6" w:rsidP="00B2497D">
      <w:pPr>
        <w:pStyle w:val="Heading6"/>
        <w:pageBreakBefore/>
        <w:rPr>
          <w:rFonts w:cstheme="minorHAnsi"/>
          <w:szCs w:val="23"/>
        </w:rPr>
      </w:pPr>
      <w:r w:rsidRPr="00200E8A">
        <w:lastRenderedPageBreak/>
        <w:t xml:space="preserve">Sialorrhea in </w:t>
      </w:r>
      <w:r w:rsidRPr="00AC2DBF">
        <w:t>children</w:t>
      </w:r>
      <w:r w:rsidRPr="00200E8A">
        <w:t xml:space="preserve"> and adolescents</w:t>
      </w:r>
      <w:r w:rsidR="00DC7BAD">
        <w:t xml:space="preserve">: </w:t>
      </w:r>
      <w:r>
        <w:rPr>
          <w:rFonts w:cstheme="minorHAnsi"/>
          <w:szCs w:val="23"/>
        </w:rPr>
        <w:t>Study 3091</w:t>
      </w:r>
    </w:p>
    <w:p w14:paraId="51611799" w14:textId="77777777" w:rsidR="007E4EE6" w:rsidRDefault="007E4EE6" w:rsidP="007E4EE6">
      <w:pPr>
        <w:rPr>
          <w:rFonts w:cstheme="minorHAnsi"/>
          <w:szCs w:val="23"/>
        </w:rPr>
      </w:pPr>
      <w:r>
        <w:rPr>
          <w:rFonts w:cstheme="minorHAnsi"/>
          <w:szCs w:val="23"/>
        </w:rPr>
        <w:t xml:space="preserve">Parallel group, phase III RCT with </w:t>
      </w:r>
      <w:r>
        <w:t>an open-label extension period.</w:t>
      </w:r>
      <w:r>
        <w:rPr>
          <w:rFonts w:cstheme="minorHAnsi"/>
          <w:szCs w:val="23"/>
        </w:rPr>
        <w:t xml:space="preserve"> </w:t>
      </w:r>
    </w:p>
    <w:p w14:paraId="5E392DA7" w14:textId="177EACBA" w:rsidR="00A22EC0" w:rsidRPr="00A22EC0" w:rsidRDefault="004539E3" w:rsidP="004539E3">
      <w:pPr>
        <w:pStyle w:val="FigureTitle"/>
      </w:pPr>
      <w:r>
        <w:t xml:space="preserve">Figure </w:t>
      </w:r>
      <w:fldSimple w:instr=" SEQ Figure \* ARABIC ">
        <w:r w:rsidR="00F90377">
          <w:rPr>
            <w:noProof/>
          </w:rPr>
          <w:t>1</w:t>
        </w:r>
      </w:fldSimple>
      <w:r w:rsidR="00A22EC0" w:rsidRPr="00A22EC0">
        <w:t xml:space="preserve">: </w:t>
      </w:r>
      <w:r w:rsidR="003D27D6">
        <w:t>Study 3091 design</w:t>
      </w:r>
      <w:r w:rsidR="00DC7BAD">
        <w:t>.</w:t>
      </w:r>
      <w:r w:rsidR="003D27D6">
        <w:t xml:space="preserve"> </w:t>
      </w:r>
    </w:p>
    <w:p w14:paraId="6C27EAE1" w14:textId="0469FE6F" w:rsidR="009C1B65" w:rsidRDefault="00A22EC0" w:rsidP="005331A9">
      <w:pPr>
        <w:jc w:val="both"/>
        <w:rPr>
          <w:szCs w:val="22"/>
        </w:rPr>
      </w:pPr>
      <w:r>
        <w:rPr>
          <w:noProof/>
        </w:rPr>
        <w:drawing>
          <wp:inline distT="0" distB="0" distL="0" distR="0" wp14:anchorId="71529D12" wp14:editId="5A41559F">
            <wp:extent cx="6121813" cy="3314700"/>
            <wp:effectExtent l="0" t="0" r="0" b="0"/>
            <wp:docPr id="8" name="Picture 8" descr="Study 3091 design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3091 design over time "/>
                    <pic:cNvPicPr/>
                  </pic:nvPicPr>
                  <pic:blipFill>
                    <a:blip r:embed="rId24"/>
                    <a:stretch>
                      <a:fillRect/>
                    </a:stretch>
                  </pic:blipFill>
                  <pic:spPr>
                    <a:xfrm>
                      <a:off x="0" y="0"/>
                      <a:ext cx="6126380" cy="3317173"/>
                    </a:xfrm>
                    <a:prstGeom prst="rect">
                      <a:avLst/>
                    </a:prstGeom>
                  </pic:spPr>
                </pic:pic>
              </a:graphicData>
            </a:graphic>
          </wp:inline>
        </w:drawing>
      </w:r>
    </w:p>
    <w:p w14:paraId="5E6D0189" w14:textId="4BC983B9" w:rsidR="009A564C" w:rsidRDefault="009A564C" w:rsidP="005331A9">
      <w:pPr>
        <w:pStyle w:val="TableDescription"/>
      </w:pPr>
      <w:r>
        <w:rPr>
          <w:i/>
          <w:iCs/>
        </w:rPr>
        <w:t>Note</w:t>
      </w:r>
      <w:r>
        <w:t xml:space="preserve">: NT 201 is the term used for </w:t>
      </w:r>
      <w:r w:rsidR="000A423B">
        <w:t>XEOMIN</w:t>
      </w:r>
      <w:r>
        <w:t>.</w:t>
      </w:r>
    </w:p>
    <w:p w14:paraId="5BD47D85" w14:textId="77777777" w:rsidR="00141E70" w:rsidRPr="00DC7BAD" w:rsidRDefault="00141E70" w:rsidP="00DC7BAD">
      <w:pPr>
        <w:rPr>
          <w:b/>
          <w:bCs/>
        </w:rPr>
      </w:pPr>
      <w:r w:rsidRPr="00DC7BAD">
        <w:rPr>
          <w:b/>
          <w:bCs/>
        </w:rPr>
        <w:t>Inclusion criteria</w:t>
      </w:r>
    </w:p>
    <w:p w14:paraId="01E04A43" w14:textId="16EDE1B9" w:rsidR="00141E70" w:rsidRPr="00141E70" w:rsidRDefault="00141E70" w:rsidP="00141E70">
      <w:pPr>
        <w:pStyle w:val="ListBullet"/>
        <w:numPr>
          <w:ilvl w:val="0"/>
          <w:numId w:val="0"/>
        </w:numPr>
        <w:rPr>
          <w:szCs w:val="22"/>
        </w:rPr>
      </w:pPr>
      <w:r w:rsidRPr="00141E70">
        <w:rPr>
          <w:szCs w:val="22"/>
        </w:rPr>
        <w:t>Children and adolescents aged 2-17 years of age</w:t>
      </w:r>
      <w:r w:rsidR="00140508">
        <w:rPr>
          <w:szCs w:val="22"/>
        </w:rPr>
        <w:t>.</w:t>
      </w:r>
    </w:p>
    <w:p w14:paraId="148D91E2" w14:textId="48457019" w:rsidR="00141E70" w:rsidRPr="00141E70" w:rsidRDefault="00141E70" w:rsidP="00B2497D">
      <w:pPr>
        <w:pStyle w:val="ListBullet"/>
      </w:pPr>
      <w:r w:rsidRPr="00141E70">
        <w:t>Any neurological disorder and/or Intellectual Disability (ID)</w:t>
      </w:r>
      <w:r w:rsidR="009C55B9">
        <w:t xml:space="preserve"> </w:t>
      </w:r>
      <w:r w:rsidRPr="00141E70">
        <w:t>associated with chronic troublesome sialorrhea for at least 3 months up to the screening</w:t>
      </w:r>
    </w:p>
    <w:p w14:paraId="16223EA8" w14:textId="33E0E271" w:rsidR="00141E70" w:rsidRPr="00141E70" w:rsidRDefault="00141E70" w:rsidP="00B2497D">
      <w:pPr>
        <w:pStyle w:val="ListBullet2"/>
      </w:pPr>
      <w:r w:rsidRPr="00141E70">
        <w:t>In subjects with ID without neurological disorders, a diagnosis of ID by a specialist, e.g., a paediatrician or by a centre for developmental medicine was required for inclusion</w:t>
      </w:r>
      <w:r w:rsidR="009A5C99">
        <w:t>.</w:t>
      </w:r>
    </w:p>
    <w:p w14:paraId="3ACA7C50" w14:textId="6454B008" w:rsidR="00141E70" w:rsidRPr="00141E70" w:rsidRDefault="00141E70" w:rsidP="00B2497D">
      <w:pPr>
        <w:pStyle w:val="ListBullet"/>
      </w:pPr>
      <w:r w:rsidRPr="00141E70">
        <w:t>Severe drooling (modified Teacher´s Drooling Scale [</w:t>
      </w:r>
      <w:proofErr w:type="spellStart"/>
      <w:r w:rsidRPr="00141E70">
        <w:t>mTDS</w:t>
      </w:r>
      <w:proofErr w:type="spellEnd"/>
      <w:r w:rsidRPr="00141E70">
        <w:t xml:space="preserve">] ≥ 6; clothing occasionally becomes damp) </w:t>
      </w:r>
    </w:p>
    <w:p w14:paraId="050FD545" w14:textId="77777777" w:rsidR="00141E70" w:rsidRPr="00DC7BAD" w:rsidRDefault="00141E70" w:rsidP="00141E70">
      <w:pPr>
        <w:pStyle w:val="ListBullet"/>
        <w:numPr>
          <w:ilvl w:val="0"/>
          <w:numId w:val="0"/>
        </w:numPr>
        <w:rPr>
          <w:b/>
          <w:bCs/>
          <w:szCs w:val="22"/>
        </w:rPr>
      </w:pPr>
      <w:r w:rsidRPr="00DC7BAD">
        <w:rPr>
          <w:b/>
          <w:bCs/>
          <w:szCs w:val="22"/>
        </w:rPr>
        <w:t>Study treatments</w:t>
      </w:r>
    </w:p>
    <w:p w14:paraId="4B756120" w14:textId="77777777" w:rsidR="00141E70" w:rsidRPr="00141E70" w:rsidRDefault="00141E70" w:rsidP="00141E70">
      <w:pPr>
        <w:pStyle w:val="ListBullet"/>
        <w:numPr>
          <w:ilvl w:val="0"/>
          <w:numId w:val="0"/>
        </w:numPr>
        <w:rPr>
          <w:szCs w:val="22"/>
        </w:rPr>
      </w:pPr>
      <w:r w:rsidRPr="00141E70">
        <w:rPr>
          <w:szCs w:val="22"/>
        </w:rPr>
        <w:t xml:space="preserve">A body weight-based dosage regimen was adopted. </w:t>
      </w:r>
    </w:p>
    <w:p w14:paraId="711BF724" w14:textId="3DF39947" w:rsidR="00141E70" w:rsidRPr="00141E70" w:rsidRDefault="00141E70" w:rsidP="00141E70">
      <w:pPr>
        <w:pStyle w:val="ListBullet"/>
        <w:numPr>
          <w:ilvl w:val="0"/>
          <w:numId w:val="0"/>
        </w:numPr>
        <w:rPr>
          <w:szCs w:val="22"/>
        </w:rPr>
      </w:pPr>
      <w:r w:rsidRPr="00141E70">
        <w:rPr>
          <w:szCs w:val="22"/>
        </w:rPr>
        <w:t xml:space="preserve">Children and adolescents aged 6 to 17 years, inclusive, received a single DB treatment dose of </w:t>
      </w:r>
      <w:r w:rsidR="000A423B">
        <w:rPr>
          <w:szCs w:val="22"/>
        </w:rPr>
        <w:t>XEOMIN</w:t>
      </w:r>
      <w:r w:rsidRPr="00141E70">
        <w:rPr>
          <w:szCs w:val="22"/>
        </w:rPr>
        <w:t xml:space="preserve"> or a matching volume of </w:t>
      </w:r>
      <w:r w:rsidR="00E96615">
        <w:rPr>
          <w:szCs w:val="22"/>
        </w:rPr>
        <w:t>PBO</w:t>
      </w:r>
      <w:r w:rsidR="00E96615" w:rsidRPr="00141E70">
        <w:rPr>
          <w:szCs w:val="22"/>
        </w:rPr>
        <w:t xml:space="preserve"> </w:t>
      </w:r>
      <w:r w:rsidRPr="00141E70">
        <w:rPr>
          <w:szCs w:val="22"/>
        </w:rPr>
        <w:t xml:space="preserve">(randomisation ratio 2:1). Total </w:t>
      </w:r>
      <w:r w:rsidR="000A423B">
        <w:rPr>
          <w:szCs w:val="22"/>
        </w:rPr>
        <w:t>XEOMIN</w:t>
      </w:r>
      <w:r w:rsidRPr="00141E70">
        <w:rPr>
          <w:szCs w:val="22"/>
        </w:rPr>
        <w:t xml:space="preserve"> doses of 20, 30, 40, 50, 60 or 75 U were administered depending on subjects’ body weight.</w:t>
      </w:r>
    </w:p>
    <w:p w14:paraId="58E51D35" w14:textId="77777777" w:rsidR="00141E70" w:rsidRPr="00141E70" w:rsidRDefault="00141E70" w:rsidP="00141E70">
      <w:pPr>
        <w:pStyle w:val="ListBullet"/>
        <w:numPr>
          <w:ilvl w:val="0"/>
          <w:numId w:val="0"/>
        </w:numPr>
        <w:rPr>
          <w:szCs w:val="22"/>
        </w:rPr>
      </w:pPr>
      <w:r w:rsidRPr="00141E70">
        <w:rPr>
          <w:szCs w:val="22"/>
        </w:rPr>
        <w:t>Subjects aged 2 to 5 years, inclusive, received NT 201 according to BW (approx. 2 U/kg) in the MP and in the OLEX.</w:t>
      </w:r>
    </w:p>
    <w:p w14:paraId="08DA336C" w14:textId="77777777" w:rsidR="005331A9" w:rsidRDefault="00141E70" w:rsidP="00140508">
      <w:pPr>
        <w:pStyle w:val="ListBullet"/>
        <w:numPr>
          <w:ilvl w:val="0"/>
          <w:numId w:val="0"/>
        </w:numPr>
        <w:rPr>
          <w:szCs w:val="22"/>
        </w:rPr>
      </w:pPr>
      <w:r w:rsidRPr="00141E70">
        <w:rPr>
          <w:szCs w:val="22"/>
        </w:rPr>
        <w:t>Study drug was administered via intraparenchymal/intraglandular injections (percutaneously) into the parotid and submandibular glands bilaterally with a single injection site per gland per side.</w:t>
      </w:r>
    </w:p>
    <w:p w14:paraId="0CE19257" w14:textId="44B7BCF7" w:rsidR="005331A9" w:rsidRPr="008A47AB" w:rsidRDefault="00141E70" w:rsidP="008A47AB">
      <w:pPr>
        <w:rPr>
          <w:i/>
          <w:iCs/>
        </w:rPr>
      </w:pPr>
      <w:r w:rsidRPr="008A47AB">
        <w:rPr>
          <w:i/>
          <w:iCs/>
        </w:rPr>
        <w:t xml:space="preserve">Primary and co-primary efficacy variables: </w:t>
      </w:r>
    </w:p>
    <w:p w14:paraId="648B1879" w14:textId="1309D17C" w:rsidR="00141E70" w:rsidRPr="00141E70" w:rsidRDefault="00141E70" w:rsidP="005331A9">
      <w:pPr>
        <w:pStyle w:val="ListBullet"/>
        <w:numPr>
          <w:ilvl w:val="0"/>
          <w:numId w:val="0"/>
        </w:numPr>
      </w:pPr>
      <w:r w:rsidRPr="005331A9">
        <w:rPr>
          <w:i/>
          <w:iCs/>
        </w:rPr>
        <w:t>Primary variable</w:t>
      </w:r>
      <w:r w:rsidRPr="00141E70">
        <w:t xml:space="preserve">: Change in mean </w:t>
      </w:r>
      <w:bookmarkStart w:id="55" w:name="_Hlk168875519"/>
      <w:proofErr w:type="spellStart"/>
      <w:r w:rsidRPr="00141E70">
        <w:t>uSFR</w:t>
      </w:r>
      <w:bookmarkEnd w:id="55"/>
      <w:proofErr w:type="spellEnd"/>
      <w:r w:rsidRPr="00141E70">
        <w:t xml:space="preserve"> from baseline to Week 4. Mean </w:t>
      </w:r>
      <w:proofErr w:type="spellStart"/>
      <w:r w:rsidRPr="00141E70">
        <w:t>uSFR</w:t>
      </w:r>
      <w:proofErr w:type="spellEnd"/>
      <w:r w:rsidRPr="00141E70">
        <w:t xml:space="preserve"> was calculated by averaging 2 absorbent swab assessments, using direct saliva collection, at each visit; </w:t>
      </w:r>
    </w:p>
    <w:p w14:paraId="4736C3C1" w14:textId="1BEAA006" w:rsidR="00141E70" w:rsidRPr="00141E70" w:rsidRDefault="00141E70" w:rsidP="005331A9">
      <w:pPr>
        <w:pStyle w:val="ListBullet"/>
        <w:numPr>
          <w:ilvl w:val="0"/>
          <w:numId w:val="0"/>
        </w:numPr>
      </w:pPr>
      <w:r w:rsidRPr="005331A9">
        <w:rPr>
          <w:i/>
          <w:iCs/>
        </w:rPr>
        <w:lastRenderedPageBreak/>
        <w:t>Co-primary variable</w:t>
      </w:r>
      <w:r w:rsidRPr="00141E70">
        <w:t xml:space="preserve">: </w:t>
      </w:r>
      <w:bookmarkStart w:id="56" w:name="_Hlk168875534"/>
      <w:r w:rsidRPr="00141E70">
        <w:t xml:space="preserve">Global Impression of Change Scale (GICS) </w:t>
      </w:r>
      <w:bookmarkEnd w:id="56"/>
      <w:r w:rsidRPr="00141E70">
        <w:t>at Week 4. This represented the</w:t>
      </w:r>
      <w:r w:rsidR="005331A9">
        <w:t xml:space="preserve"> </w:t>
      </w:r>
      <w:r w:rsidRPr="00141E70">
        <w:t xml:space="preserve">functional improvement in drooling since baseline, as assessed by the carer on a 7-point scale. </w:t>
      </w:r>
    </w:p>
    <w:p w14:paraId="1B00AF3D" w14:textId="32BC062B" w:rsidR="00141E70" w:rsidRPr="00141E70" w:rsidRDefault="00141E70" w:rsidP="00141E70">
      <w:pPr>
        <w:pStyle w:val="ListBullet"/>
        <w:numPr>
          <w:ilvl w:val="0"/>
          <w:numId w:val="0"/>
        </w:numPr>
        <w:rPr>
          <w:szCs w:val="22"/>
        </w:rPr>
      </w:pPr>
      <w:r w:rsidRPr="00141E70">
        <w:rPr>
          <w:szCs w:val="22"/>
        </w:rPr>
        <w:t xml:space="preserve">NB: </w:t>
      </w:r>
      <w:proofErr w:type="spellStart"/>
      <w:r w:rsidRPr="00141E70">
        <w:rPr>
          <w:szCs w:val="22"/>
        </w:rPr>
        <w:t>uSFR</w:t>
      </w:r>
      <w:proofErr w:type="spellEnd"/>
      <w:r w:rsidRPr="00141E70">
        <w:rPr>
          <w:szCs w:val="22"/>
        </w:rPr>
        <w:t xml:space="preserve"> was not determined in subjects aged 2 to 5 years, inclusive, because the </w:t>
      </w:r>
      <w:r w:rsidR="00140508">
        <w:rPr>
          <w:szCs w:val="22"/>
        </w:rPr>
        <w:t>Sponsor</w:t>
      </w:r>
      <w:r w:rsidRPr="00141E70">
        <w:rPr>
          <w:szCs w:val="22"/>
        </w:rPr>
        <w:t xml:space="preserve"> considered the swab method of direct saliva collection inappropriate for children of this age.</w:t>
      </w:r>
    </w:p>
    <w:p w14:paraId="044F6EC3" w14:textId="77777777" w:rsidR="00141E70" w:rsidRPr="008A47AB" w:rsidRDefault="00141E70" w:rsidP="008A47AB">
      <w:pPr>
        <w:rPr>
          <w:i/>
          <w:iCs/>
        </w:rPr>
      </w:pPr>
      <w:r w:rsidRPr="008A47AB">
        <w:rPr>
          <w:i/>
          <w:iCs/>
        </w:rPr>
        <w:t xml:space="preserve">Secondary efficacy variables: </w:t>
      </w:r>
    </w:p>
    <w:p w14:paraId="7658D9C5" w14:textId="3B1EC235" w:rsidR="00141E70" w:rsidRPr="008A47AB" w:rsidRDefault="00141E70" w:rsidP="008A47AB">
      <w:pPr>
        <w:pStyle w:val="ListBullet"/>
      </w:pPr>
      <w:r w:rsidRPr="008A47AB">
        <w:t xml:space="preserve">Change in mean </w:t>
      </w:r>
      <w:proofErr w:type="spellStart"/>
      <w:r w:rsidRPr="008A47AB">
        <w:t>uSFR</w:t>
      </w:r>
      <w:proofErr w:type="spellEnd"/>
      <w:r w:rsidRPr="008A47AB">
        <w:t xml:space="preserve"> from baseline to Week 8 and Week 12, respectively; and</w:t>
      </w:r>
    </w:p>
    <w:p w14:paraId="49A75DD7" w14:textId="726329C0" w:rsidR="00141E70" w:rsidRPr="008A47AB" w:rsidRDefault="00141E70" w:rsidP="008A47AB">
      <w:pPr>
        <w:pStyle w:val="ListBullet"/>
      </w:pPr>
      <w:r w:rsidRPr="008A47AB">
        <w:t>GICS at Week 8 and Week 12, respectively.</w:t>
      </w:r>
    </w:p>
    <w:p w14:paraId="73803810" w14:textId="77777777" w:rsidR="00141E70" w:rsidRPr="00141E70" w:rsidRDefault="00141E70" w:rsidP="00141E70">
      <w:pPr>
        <w:pStyle w:val="ListBullet"/>
        <w:numPr>
          <w:ilvl w:val="0"/>
          <w:numId w:val="0"/>
        </w:numPr>
        <w:rPr>
          <w:szCs w:val="22"/>
        </w:rPr>
      </w:pPr>
      <w:r w:rsidRPr="00141E70">
        <w:rPr>
          <w:szCs w:val="22"/>
        </w:rPr>
        <w:t>Other efficacy variables</w:t>
      </w:r>
    </w:p>
    <w:p w14:paraId="18F3C1C4" w14:textId="3C3F11C0" w:rsidR="00141E70" w:rsidRPr="00141E70" w:rsidRDefault="00141E70" w:rsidP="00141E70">
      <w:pPr>
        <w:pStyle w:val="ListBullet"/>
      </w:pPr>
      <w:r w:rsidRPr="00141E70">
        <w:t xml:space="preserve">GICS at Weeks 4, 8, 12 and 16, respectively, for subjects aged 2–5 years; </w:t>
      </w:r>
    </w:p>
    <w:p w14:paraId="5A5D2ABB" w14:textId="77777777" w:rsidR="00141E70" w:rsidRPr="005331A9" w:rsidRDefault="00141E70" w:rsidP="00141E70">
      <w:pPr>
        <w:pStyle w:val="ListBullet"/>
        <w:numPr>
          <w:ilvl w:val="0"/>
          <w:numId w:val="0"/>
        </w:numPr>
        <w:rPr>
          <w:b/>
          <w:bCs/>
          <w:i/>
          <w:iCs/>
          <w:szCs w:val="22"/>
        </w:rPr>
      </w:pPr>
      <w:r w:rsidRPr="005331A9">
        <w:rPr>
          <w:b/>
          <w:bCs/>
          <w:i/>
          <w:iCs/>
          <w:szCs w:val="22"/>
        </w:rPr>
        <w:t>Baseline</w:t>
      </w:r>
    </w:p>
    <w:p w14:paraId="517DB3F1" w14:textId="433D406B" w:rsidR="009A564C" w:rsidRDefault="00141E70" w:rsidP="00141E70">
      <w:pPr>
        <w:pStyle w:val="ListBullet"/>
        <w:numPr>
          <w:ilvl w:val="0"/>
          <w:numId w:val="0"/>
        </w:numPr>
        <w:rPr>
          <w:szCs w:val="22"/>
        </w:rPr>
      </w:pPr>
      <w:r w:rsidRPr="00141E70">
        <w:rPr>
          <w:szCs w:val="22"/>
        </w:rPr>
        <w:t>Around 62% of subjects were males. Median age in the (6 to 17) years group was 10 years and median age in the (2 to 5 years) group was 4 years. Cerebral palsy was the major cause for sialorrhea across both age groups. Median time since first diagnosis of sialorrhea at screening was 28.1 months in the 2 to 5 years group and ranged from 80.9 to 94.9 months in the 6 to 17 years group. Local anaesthetics was reported as the most frequent previous medication.</w:t>
      </w:r>
    </w:p>
    <w:p w14:paraId="64293118" w14:textId="77777777" w:rsidR="002760AE" w:rsidRPr="00DC7BAD" w:rsidRDefault="002760AE" w:rsidP="002760AE">
      <w:pPr>
        <w:rPr>
          <w:b/>
          <w:bCs/>
        </w:rPr>
      </w:pPr>
      <w:r w:rsidRPr="00DC7BAD">
        <w:rPr>
          <w:b/>
          <w:bCs/>
        </w:rPr>
        <w:t>Results</w:t>
      </w:r>
    </w:p>
    <w:p w14:paraId="1B4D4E79" w14:textId="454C1D33" w:rsidR="002760AE" w:rsidRDefault="002760AE" w:rsidP="002760AE">
      <w:r w:rsidRPr="00DC7BAD">
        <w:rPr>
          <w:i/>
          <w:iCs/>
        </w:rPr>
        <w:t>Primary endpoint</w:t>
      </w:r>
      <w:r>
        <w:t xml:space="preserve">: In the 6-17 years age group, a greater improvement in </w:t>
      </w:r>
      <w:proofErr w:type="spellStart"/>
      <w:r>
        <w:t>uSFR</w:t>
      </w:r>
      <w:proofErr w:type="spellEnd"/>
      <w:r>
        <w:t xml:space="preserve"> was observed in the </w:t>
      </w:r>
      <w:r w:rsidR="000A423B">
        <w:t>XEOMIN</w:t>
      </w:r>
      <w:r>
        <w:t xml:space="preserve"> arm (-0.14 [-0.16; -0.11] g/min), compared to </w:t>
      </w:r>
      <w:r w:rsidR="0064653B">
        <w:t xml:space="preserve">PBO </w:t>
      </w:r>
      <w:r>
        <w:t>(-0.07 [-0.10; -0.04] g/min). The treatment difference was statistically significant.</w:t>
      </w:r>
    </w:p>
    <w:p w14:paraId="7FC83458" w14:textId="1409074B" w:rsidR="002760AE" w:rsidRDefault="002760AE" w:rsidP="002760AE">
      <w:r w:rsidRPr="00DC7BAD">
        <w:rPr>
          <w:i/>
          <w:iCs/>
        </w:rPr>
        <w:t>Co-primary endpoint</w:t>
      </w:r>
      <w:r>
        <w:t xml:space="preserve">: In the 6-17 years of age group, a higher proportion of subjects in </w:t>
      </w:r>
      <w:r w:rsidR="000A423B">
        <w:t>XEOMIN</w:t>
      </w:r>
      <w:r>
        <w:t xml:space="preserve"> group were responders (the total proportion of subjects whose function was rated by the carer to have at least +1 ‘minimally improved’: (LS-Mean of 0.91 [95% CI: 0.76; 1.06]) than in the </w:t>
      </w:r>
      <w:r w:rsidR="00382568">
        <w:t>PBO</w:t>
      </w:r>
      <w:r>
        <w:t xml:space="preserve"> group (LS-Mean of 0.63 [0.43; 0.84]. The</w:t>
      </w:r>
      <w:r w:rsidDel="00382568">
        <w:t xml:space="preserve"> </w:t>
      </w:r>
      <w:r>
        <w:t>treatment difference of 0.28 [95% CI: 0.02; 0.53]) was statistically significant (p = 0.0320).</w:t>
      </w:r>
    </w:p>
    <w:p w14:paraId="3E8D239B" w14:textId="77777777" w:rsidR="002760AE" w:rsidRPr="00DC7BAD" w:rsidRDefault="002760AE" w:rsidP="002760AE">
      <w:pPr>
        <w:rPr>
          <w:b/>
          <w:bCs/>
        </w:rPr>
      </w:pPr>
      <w:r w:rsidRPr="00DC7BAD">
        <w:rPr>
          <w:b/>
          <w:bCs/>
        </w:rPr>
        <w:t>Secondary outcomes</w:t>
      </w:r>
    </w:p>
    <w:p w14:paraId="3FFDF4C5" w14:textId="396992F3" w:rsidR="002760AE" w:rsidRDefault="002760AE" w:rsidP="002760AE">
      <w:proofErr w:type="spellStart"/>
      <w:r w:rsidRPr="00DC7BAD">
        <w:rPr>
          <w:i/>
          <w:iCs/>
        </w:rPr>
        <w:t>uSFR</w:t>
      </w:r>
      <w:proofErr w:type="spellEnd"/>
      <w:r w:rsidRPr="00DC7BAD">
        <w:rPr>
          <w:i/>
          <w:iCs/>
        </w:rPr>
        <w:t xml:space="preserve"> at week 8 and 12</w:t>
      </w:r>
      <w:r w:rsidR="00140508">
        <w:t xml:space="preserve">: </w:t>
      </w:r>
      <w:r>
        <w:t xml:space="preserve">At week 8 and 12, the mean change from baseline in </w:t>
      </w:r>
      <w:proofErr w:type="spellStart"/>
      <w:r>
        <w:t>uSFR</w:t>
      </w:r>
      <w:proofErr w:type="spellEnd"/>
      <w:r>
        <w:t xml:space="preserve"> was higher for </w:t>
      </w:r>
      <w:r w:rsidR="000A423B">
        <w:t>XEOMIN</w:t>
      </w:r>
      <w:r>
        <w:t xml:space="preserve"> group, compared to </w:t>
      </w:r>
      <w:r w:rsidR="00382568">
        <w:t xml:space="preserve">PBO </w:t>
      </w:r>
      <w:r>
        <w:t>(-0.09 [95% CI: -0.12; -0.05] g/min) and at week 8 and (-0.10 [95% CI: -0.14; -0.06] g/min) at week 12. The treatment difference was statistically significant at both time points.</w:t>
      </w:r>
    </w:p>
    <w:p w14:paraId="08D918D7" w14:textId="3F49803C" w:rsidR="002760AE" w:rsidRDefault="002760AE" w:rsidP="002760AE">
      <w:r w:rsidRPr="00DC7BAD">
        <w:rPr>
          <w:i/>
          <w:iCs/>
        </w:rPr>
        <w:t>GICS at week 8 and 12</w:t>
      </w:r>
      <w:r w:rsidR="00140508">
        <w:t>:</w:t>
      </w:r>
      <w:r>
        <w:t xml:space="preserve">A higher proportion </w:t>
      </w:r>
      <w:r w:rsidRPr="00293AFE">
        <w:t xml:space="preserve">of responders was </w:t>
      </w:r>
      <w:r>
        <w:t xml:space="preserve">reported </w:t>
      </w:r>
      <w:r w:rsidRPr="00293AFE">
        <w:t xml:space="preserve">in the </w:t>
      </w:r>
      <w:r w:rsidR="000A423B">
        <w:t>XEOMIN</w:t>
      </w:r>
      <w:r w:rsidRPr="00293AFE">
        <w:t xml:space="preserve"> group (69.2% [Week 8], 65.3% [Week 12])</w:t>
      </w:r>
      <w:r>
        <w:t xml:space="preserve">, compared to </w:t>
      </w:r>
      <w:r w:rsidR="00382568">
        <w:t>PBO</w:t>
      </w:r>
      <w:r w:rsidR="00382568" w:rsidRPr="00293AFE">
        <w:t xml:space="preserve"> </w:t>
      </w:r>
      <w:r w:rsidRPr="00293AFE">
        <w:t>group (47.9% [Week 8], 42.9% [Week 12]), respectively.</w:t>
      </w:r>
    </w:p>
    <w:p w14:paraId="0B9A9FD7" w14:textId="01C94D13" w:rsidR="002760AE" w:rsidRDefault="002760AE" w:rsidP="002760AE">
      <w:r>
        <w:t xml:space="preserve">The mean treatment difference between the </w:t>
      </w:r>
      <w:r w:rsidR="000A423B">
        <w:t>XEOMIN</w:t>
      </w:r>
      <w:r>
        <w:t xml:space="preserve"> and </w:t>
      </w:r>
      <w:r w:rsidR="00382568">
        <w:t xml:space="preserve">PBO </w:t>
      </w:r>
      <w:r>
        <w:t>groups at Week 8 (0.40 [95% CI: 0.17; 0.63]; p = 0.0008) and at Week 12 (0.40 [95% CI: 0.14; 0.66]; p = 0.0026) were statistically significant.</w:t>
      </w:r>
    </w:p>
    <w:p w14:paraId="45F2A344" w14:textId="77777777" w:rsidR="002760AE" w:rsidRDefault="002760AE" w:rsidP="002760AE">
      <w:r>
        <w:t>“Other efficacy outcomes” were supportive of the primary and secondary outcomes.</w:t>
      </w:r>
    </w:p>
    <w:p w14:paraId="0AE62B60" w14:textId="62F02394" w:rsidR="002760AE" w:rsidRDefault="002760AE" w:rsidP="00DC7BAD">
      <w:pPr>
        <w:pStyle w:val="Heading6"/>
      </w:pPr>
      <w:r w:rsidRPr="00200E8A">
        <w:t>Sialorrhea in adults</w:t>
      </w:r>
      <w:r w:rsidR="00DC7BAD">
        <w:t xml:space="preserve">: </w:t>
      </w:r>
      <w:r>
        <w:t>Study 3090</w:t>
      </w:r>
    </w:p>
    <w:p w14:paraId="3B1ABDE5" w14:textId="77777777" w:rsidR="002760AE" w:rsidRDefault="002760AE" w:rsidP="002760AE">
      <w:r>
        <w:t>Phase III, double blind RCT with an open label extension phase.</w:t>
      </w:r>
    </w:p>
    <w:p w14:paraId="64ECB325" w14:textId="48E85CAE" w:rsidR="00886C7A" w:rsidRDefault="004539E3" w:rsidP="004539E3">
      <w:pPr>
        <w:pStyle w:val="FigureTitle"/>
      </w:pPr>
      <w:r>
        <w:lastRenderedPageBreak/>
        <w:t xml:space="preserve">Figure </w:t>
      </w:r>
      <w:fldSimple w:instr=" SEQ Figure \* ARABIC ">
        <w:r w:rsidR="00F90377">
          <w:rPr>
            <w:noProof/>
          </w:rPr>
          <w:t>2</w:t>
        </w:r>
      </w:fldSimple>
      <w:r w:rsidR="00886C7A">
        <w:t>: Study 3090 design</w:t>
      </w:r>
    </w:p>
    <w:p w14:paraId="01097DBB" w14:textId="2024628E" w:rsidR="002760AE" w:rsidRDefault="00886C7A" w:rsidP="00DC7BAD">
      <w:pPr>
        <w:rPr>
          <w:szCs w:val="22"/>
        </w:rPr>
      </w:pPr>
      <w:r>
        <w:rPr>
          <w:noProof/>
        </w:rPr>
        <w:drawing>
          <wp:inline distT="0" distB="0" distL="0" distR="0" wp14:anchorId="2EE5A70C" wp14:editId="5C65B1D8">
            <wp:extent cx="5731510" cy="3581400"/>
            <wp:effectExtent l="0" t="0" r="2540" b="0"/>
            <wp:docPr id="7" name="Picture 7" descr=" Study 3090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Study 3090 Design"/>
                    <pic:cNvPicPr/>
                  </pic:nvPicPr>
                  <pic:blipFill>
                    <a:blip r:embed="rId25"/>
                    <a:stretch>
                      <a:fillRect/>
                    </a:stretch>
                  </pic:blipFill>
                  <pic:spPr>
                    <a:xfrm>
                      <a:off x="0" y="0"/>
                      <a:ext cx="5731510" cy="3581400"/>
                    </a:xfrm>
                    <a:prstGeom prst="rect">
                      <a:avLst/>
                    </a:prstGeom>
                  </pic:spPr>
                </pic:pic>
              </a:graphicData>
            </a:graphic>
          </wp:inline>
        </w:drawing>
      </w:r>
    </w:p>
    <w:p w14:paraId="5AA70F6C" w14:textId="77777777" w:rsidR="006956C2" w:rsidRPr="006956C2" w:rsidRDefault="006956C2" w:rsidP="006956C2">
      <w:pPr>
        <w:rPr>
          <w:rFonts w:cstheme="minorHAnsi"/>
          <w:szCs w:val="22"/>
        </w:rPr>
      </w:pPr>
      <w:r w:rsidRPr="006956C2">
        <w:rPr>
          <w:rFonts w:cstheme="minorHAnsi"/>
          <w:szCs w:val="22"/>
        </w:rPr>
        <w:t>Adults with chronic (3 months duration) troublesome sialorrhea secondary to Parkinson’s Disease or atypical parkinsonism, stroke, or Traumatic Brain Injury (TBI) were recruited.</w:t>
      </w:r>
    </w:p>
    <w:p w14:paraId="56077E65" w14:textId="77777777" w:rsidR="006956C2" w:rsidRPr="006956C2" w:rsidRDefault="006956C2" w:rsidP="006956C2">
      <w:pPr>
        <w:rPr>
          <w:rFonts w:cstheme="minorHAnsi"/>
          <w:szCs w:val="22"/>
        </w:rPr>
      </w:pPr>
      <w:r w:rsidRPr="006956C2">
        <w:rPr>
          <w:rFonts w:cstheme="minorHAnsi"/>
          <w:szCs w:val="22"/>
        </w:rPr>
        <w:t>Chronic troublesome sialorrhea was defined as below:</w:t>
      </w:r>
    </w:p>
    <w:p w14:paraId="7888D290" w14:textId="77777777" w:rsidR="006956C2" w:rsidRPr="00DC7BAD" w:rsidRDefault="006956C2" w:rsidP="008A47AB">
      <w:pPr>
        <w:pStyle w:val="ListBullet"/>
      </w:pPr>
      <w:r w:rsidRPr="006956C2">
        <w:t>A Drooling Severity and Frequency Scale [DSFS] sum s</w:t>
      </w:r>
      <w:r w:rsidRPr="00DC7BAD">
        <w:t>core of ≥ 6 points; and</w:t>
      </w:r>
    </w:p>
    <w:p w14:paraId="3402D167" w14:textId="77777777" w:rsidR="006956C2" w:rsidRPr="00DC7BAD" w:rsidRDefault="006956C2" w:rsidP="008A47AB">
      <w:pPr>
        <w:pStyle w:val="ListBullet"/>
      </w:pPr>
      <w:r w:rsidRPr="00DC7BAD">
        <w:t xml:space="preserve">A score of ≥ 2 points for each item of the DSFS; and </w:t>
      </w:r>
    </w:p>
    <w:p w14:paraId="6B283641" w14:textId="77777777" w:rsidR="006956C2" w:rsidRPr="006956C2" w:rsidRDefault="006956C2" w:rsidP="006956C2">
      <w:pPr>
        <w:rPr>
          <w:rFonts w:cstheme="minorHAnsi"/>
          <w:szCs w:val="22"/>
        </w:rPr>
      </w:pPr>
      <w:r w:rsidRPr="006956C2">
        <w:rPr>
          <w:rFonts w:cstheme="minorHAnsi"/>
          <w:szCs w:val="22"/>
        </w:rPr>
        <w:t>A score of ≥ 3 points on the modified Radboud Oral Motor Inventory for Parkinson’s disease (</w:t>
      </w:r>
      <w:proofErr w:type="spellStart"/>
      <w:r w:rsidRPr="006956C2">
        <w:rPr>
          <w:rFonts w:cstheme="minorHAnsi"/>
          <w:szCs w:val="22"/>
        </w:rPr>
        <w:t>mROMP</w:t>
      </w:r>
      <w:proofErr w:type="spellEnd"/>
      <w:r w:rsidRPr="006956C2">
        <w:rPr>
          <w:rFonts w:cstheme="minorHAnsi"/>
          <w:szCs w:val="22"/>
        </w:rPr>
        <w:t>), Section III ‘Drooling’.</w:t>
      </w:r>
    </w:p>
    <w:p w14:paraId="00B653A7" w14:textId="229E8C20" w:rsidR="006956C2" w:rsidRPr="006956C2" w:rsidRDefault="000A423B" w:rsidP="006956C2">
      <w:pPr>
        <w:rPr>
          <w:rFonts w:cstheme="minorHAnsi"/>
          <w:szCs w:val="22"/>
        </w:rPr>
      </w:pPr>
      <w:r>
        <w:rPr>
          <w:rFonts w:cstheme="minorHAnsi"/>
          <w:szCs w:val="22"/>
        </w:rPr>
        <w:t>XEOMIN</w:t>
      </w:r>
      <w:r w:rsidR="006956C2" w:rsidRPr="006956C2">
        <w:rPr>
          <w:rFonts w:cstheme="minorHAnsi"/>
          <w:szCs w:val="22"/>
        </w:rPr>
        <w:t xml:space="preserve"> 75U, 100U and </w:t>
      </w:r>
      <w:r w:rsidR="00382568">
        <w:rPr>
          <w:rFonts w:cstheme="minorHAnsi"/>
          <w:szCs w:val="22"/>
        </w:rPr>
        <w:t>PBO</w:t>
      </w:r>
      <w:r w:rsidR="00382568" w:rsidRPr="006956C2">
        <w:rPr>
          <w:rFonts w:cstheme="minorHAnsi"/>
          <w:szCs w:val="22"/>
        </w:rPr>
        <w:t xml:space="preserve"> </w:t>
      </w:r>
      <w:r w:rsidR="006956C2" w:rsidRPr="006956C2">
        <w:rPr>
          <w:rFonts w:cstheme="minorHAnsi"/>
          <w:szCs w:val="22"/>
        </w:rPr>
        <w:t>were the study treatments. The treatment interval was 16 weeks.</w:t>
      </w:r>
    </w:p>
    <w:p w14:paraId="6DB3E0D7" w14:textId="77777777" w:rsidR="006956C2" w:rsidRPr="006956C2" w:rsidRDefault="006956C2" w:rsidP="006956C2">
      <w:pPr>
        <w:rPr>
          <w:rFonts w:cstheme="minorHAnsi"/>
          <w:szCs w:val="22"/>
        </w:rPr>
      </w:pPr>
      <w:r w:rsidRPr="006956C2">
        <w:rPr>
          <w:rFonts w:cstheme="minorHAnsi"/>
          <w:szCs w:val="22"/>
        </w:rPr>
        <w:t>Study-site staff administered treatment by bilateral intraglandular injection, with or without ultrasound guidance, to the parotid and submandibular glands in a 3:2 ratio, as follows:</w:t>
      </w:r>
    </w:p>
    <w:p w14:paraId="28C59AA2" w14:textId="77777777" w:rsidR="006956C2" w:rsidRPr="006956C2" w:rsidRDefault="006956C2" w:rsidP="008A47AB">
      <w:pPr>
        <w:pStyle w:val="ListBullet"/>
      </w:pPr>
      <w:r w:rsidRPr="006956C2">
        <w:t xml:space="preserve">75 U Treatment group: Parotid 22.5 U (0.6 mL) on each side and submandibular: 15 U (0.4 mL) on each </w:t>
      </w:r>
      <w:proofErr w:type="gramStart"/>
      <w:r w:rsidRPr="006956C2">
        <w:t>side;</w:t>
      </w:r>
      <w:proofErr w:type="gramEnd"/>
      <w:r w:rsidRPr="006956C2">
        <w:t xml:space="preserve"> </w:t>
      </w:r>
    </w:p>
    <w:p w14:paraId="3FCA07E7" w14:textId="77777777" w:rsidR="006956C2" w:rsidRPr="006956C2" w:rsidRDefault="006956C2" w:rsidP="008A47AB">
      <w:pPr>
        <w:pStyle w:val="ListBullet"/>
      </w:pPr>
      <w:r w:rsidRPr="006956C2">
        <w:t>100 U Treatment group: Parotid: 30 U (0.6 mL) on each side and submandibular: 20 U (0.4 mL) on each side; and</w:t>
      </w:r>
    </w:p>
    <w:p w14:paraId="7ABD5696" w14:textId="4074E148" w:rsidR="006956C2" w:rsidRPr="00FB5405" w:rsidRDefault="00382568" w:rsidP="008A47AB">
      <w:pPr>
        <w:pStyle w:val="ListBullet"/>
      </w:pPr>
      <w:r w:rsidRPr="006956C2">
        <w:t>P</w:t>
      </w:r>
      <w:r>
        <w:t>BO</w:t>
      </w:r>
      <w:r w:rsidRPr="006956C2">
        <w:t xml:space="preserve"> </w:t>
      </w:r>
      <w:r w:rsidR="006956C2" w:rsidRPr="006956C2">
        <w:t>group: Parotid PBO solution (0.6 mL) on each side and submandibular PBO solution (0.4 mL) on each side.</w:t>
      </w:r>
    </w:p>
    <w:p w14:paraId="4CAFC3DC" w14:textId="37726046" w:rsidR="006956C2" w:rsidRPr="006956C2" w:rsidRDefault="006956C2" w:rsidP="006956C2">
      <w:pPr>
        <w:rPr>
          <w:rFonts w:cstheme="minorHAnsi"/>
          <w:szCs w:val="22"/>
        </w:rPr>
      </w:pPr>
      <w:r w:rsidRPr="006956C2">
        <w:rPr>
          <w:rFonts w:cstheme="minorHAnsi"/>
          <w:szCs w:val="22"/>
        </w:rPr>
        <w:t xml:space="preserve">184 subjects were randomised, with 74 subjects in </w:t>
      </w:r>
      <w:r w:rsidR="000A423B">
        <w:rPr>
          <w:rFonts w:cstheme="minorHAnsi"/>
          <w:szCs w:val="22"/>
        </w:rPr>
        <w:t>XEOMIN</w:t>
      </w:r>
      <w:r w:rsidRPr="006956C2">
        <w:rPr>
          <w:rFonts w:cstheme="minorHAnsi"/>
          <w:szCs w:val="22"/>
        </w:rPr>
        <w:t xml:space="preserve"> group and 36 subjects in </w:t>
      </w:r>
      <w:r w:rsidR="00382568">
        <w:rPr>
          <w:rFonts w:cstheme="minorHAnsi"/>
          <w:szCs w:val="22"/>
        </w:rPr>
        <w:t>PBO</w:t>
      </w:r>
      <w:r w:rsidR="00382568" w:rsidRPr="006956C2">
        <w:rPr>
          <w:rFonts w:cstheme="minorHAnsi"/>
          <w:szCs w:val="22"/>
        </w:rPr>
        <w:t xml:space="preserve"> </w:t>
      </w:r>
      <w:r w:rsidRPr="006956C2">
        <w:rPr>
          <w:rFonts w:cstheme="minorHAnsi"/>
          <w:szCs w:val="22"/>
        </w:rPr>
        <w:t xml:space="preserve">group. Around 97% of subjects in the </w:t>
      </w:r>
      <w:r w:rsidR="000A423B">
        <w:rPr>
          <w:rFonts w:cstheme="minorHAnsi"/>
          <w:szCs w:val="22"/>
        </w:rPr>
        <w:t>XEOMIN</w:t>
      </w:r>
      <w:r w:rsidRPr="006956C2">
        <w:rPr>
          <w:rFonts w:cstheme="minorHAnsi"/>
          <w:szCs w:val="22"/>
        </w:rPr>
        <w:t xml:space="preserve"> group completed the study period. 173 subjects entered the extension period. </w:t>
      </w:r>
    </w:p>
    <w:p w14:paraId="0DF9A312" w14:textId="77777777" w:rsidR="006956C2" w:rsidRPr="006956C2" w:rsidRDefault="006956C2" w:rsidP="006956C2">
      <w:pPr>
        <w:rPr>
          <w:rFonts w:cstheme="minorHAnsi"/>
          <w:szCs w:val="22"/>
        </w:rPr>
      </w:pPr>
      <w:r w:rsidRPr="006956C2">
        <w:rPr>
          <w:rFonts w:cstheme="minorHAnsi"/>
          <w:szCs w:val="22"/>
        </w:rPr>
        <w:t xml:space="preserve">At baseline, around 70% of subjects were males.  Median age was around 66 years (range: 21 to 80 years). Most (58.2% overall) were in the 65 to 84 years age-category. </w:t>
      </w:r>
    </w:p>
    <w:p w14:paraId="5E5EB7E6" w14:textId="77777777" w:rsidR="008A47AB" w:rsidRDefault="006956C2" w:rsidP="006956C2">
      <w:pPr>
        <w:rPr>
          <w:rFonts w:cstheme="minorHAnsi"/>
          <w:szCs w:val="22"/>
        </w:rPr>
      </w:pPr>
      <w:r w:rsidRPr="006956C2">
        <w:rPr>
          <w:rFonts w:cstheme="minorHAnsi"/>
          <w:szCs w:val="22"/>
        </w:rPr>
        <w:t xml:space="preserve">Around 70% of subjects had sialorrhea secondary to Parkinson’s Disease. Stroke was the reason for sialorrhea in around 17% subjects. </w:t>
      </w:r>
    </w:p>
    <w:p w14:paraId="1C07954B" w14:textId="6AD0912F" w:rsidR="006956C2" w:rsidRPr="00DC7BAD" w:rsidRDefault="006956C2" w:rsidP="006956C2">
      <w:pPr>
        <w:rPr>
          <w:rFonts w:cstheme="minorHAnsi"/>
          <w:b/>
          <w:bCs/>
          <w:szCs w:val="22"/>
        </w:rPr>
      </w:pPr>
      <w:r w:rsidRPr="00DC7BAD">
        <w:rPr>
          <w:rFonts w:cstheme="minorHAnsi"/>
          <w:b/>
          <w:bCs/>
          <w:szCs w:val="22"/>
        </w:rPr>
        <w:lastRenderedPageBreak/>
        <w:t>Results</w:t>
      </w:r>
    </w:p>
    <w:p w14:paraId="462D9ADA" w14:textId="39E43433" w:rsidR="006956C2" w:rsidRDefault="006956C2" w:rsidP="006956C2">
      <w:pPr>
        <w:rPr>
          <w:rFonts w:cstheme="minorHAnsi"/>
          <w:szCs w:val="22"/>
        </w:rPr>
      </w:pPr>
      <w:r w:rsidRPr="00DC7BAD">
        <w:rPr>
          <w:rFonts w:cstheme="minorHAnsi"/>
          <w:i/>
          <w:iCs/>
          <w:szCs w:val="22"/>
        </w:rPr>
        <w:t>Co-primary endpoint 1</w:t>
      </w:r>
      <w:r w:rsidRPr="006956C2">
        <w:rPr>
          <w:rFonts w:cstheme="minorHAnsi"/>
          <w:szCs w:val="22"/>
        </w:rPr>
        <w:t>:</w:t>
      </w:r>
      <w:r w:rsidR="00931484">
        <w:rPr>
          <w:rFonts w:cstheme="minorHAnsi"/>
          <w:szCs w:val="22"/>
        </w:rPr>
        <w:t xml:space="preserve"> </w:t>
      </w:r>
      <w:r w:rsidRPr="006956C2">
        <w:rPr>
          <w:rFonts w:cstheme="minorHAnsi"/>
          <w:szCs w:val="22"/>
        </w:rPr>
        <w:t xml:space="preserve">At week 4, a greater improvement in </w:t>
      </w:r>
      <w:proofErr w:type="spellStart"/>
      <w:r w:rsidRPr="006956C2">
        <w:rPr>
          <w:rFonts w:cstheme="minorHAnsi"/>
          <w:szCs w:val="22"/>
        </w:rPr>
        <w:t>uSFR</w:t>
      </w:r>
      <w:proofErr w:type="spellEnd"/>
      <w:r w:rsidRPr="006956C2">
        <w:rPr>
          <w:rFonts w:cstheme="minorHAnsi"/>
          <w:szCs w:val="22"/>
        </w:rPr>
        <w:t xml:space="preserve"> was reported in both </w:t>
      </w:r>
      <w:r w:rsidR="000A423B">
        <w:rPr>
          <w:rFonts w:cstheme="minorHAnsi"/>
          <w:szCs w:val="22"/>
        </w:rPr>
        <w:t>XEOMIN</w:t>
      </w:r>
      <w:r w:rsidRPr="006956C2">
        <w:rPr>
          <w:rFonts w:cstheme="minorHAnsi"/>
          <w:szCs w:val="22"/>
        </w:rPr>
        <w:t xml:space="preserve"> 100 U and 75 U groups, compared to </w:t>
      </w:r>
      <w:r w:rsidR="00382568">
        <w:rPr>
          <w:rFonts w:cstheme="minorHAnsi"/>
          <w:szCs w:val="22"/>
        </w:rPr>
        <w:t>PBO</w:t>
      </w:r>
      <w:r w:rsidRPr="006956C2">
        <w:rPr>
          <w:rFonts w:cstheme="minorHAnsi"/>
          <w:szCs w:val="22"/>
        </w:rPr>
        <w:t>. The treatment difference was statistically significant (-0.09 (0.031), p = 0.004) for the 100U, but not for the 75U.</w:t>
      </w:r>
    </w:p>
    <w:p w14:paraId="05F19E19" w14:textId="3BD34B5D" w:rsidR="00D74B3D" w:rsidRPr="00D74B3D" w:rsidRDefault="009B71C1" w:rsidP="008A47AB">
      <w:pPr>
        <w:pStyle w:val="TableTitle"/>
        <w:rPr>
          <w:sz w:val="18"/>
          <w:szCs w:val="18"/>
        </w:rPr>
      </w:pPr>
      <w:r>
        <w:t xml:space="preserve">Table </w:t>
      </w:r>
      <w:fldSimple w:instr=" SEQ Table \* ARABIC ">
        <w:r w:rsidR="00330CB9">
          <w:rPr>
            <w:noProof/>
          </w:rPr>
          <w:t>3</w:t>
        </w:r>
      </w:fldSimple>
      <w:r w:rsidR="00D74B3D">
        <w:t xml:space="preserve">: </w:t>
      </w:r>
      <w:r w:rsidR="00D74B3D" w:rsidRPr="001824EB">
        <w:t xml:space="preserve">Change in </w:t>
      </w:r>
      <w:proofErr w:type="spellStart"/>
      <w:r w:rsidR="00D74B3D" w:rsidRPr="001824EB">
        <w:t>uSFR</w:t>
      </w:r>
      <w:proofErr w:type="spellEnd"/>
      <w:r w:rsidR="00D74B3D" w:rsidRPr="001824EB">
        <w:t xml:space="preserve"> from baseline to Week 4</w:t>
      </w:r>
    </w:p>
    <w:p w14:paraId="20BBAB4B" w14:textId="6A644B82" w:rsidR="006956C2" w:rsidRDefault="00F72D6A" w:rsidP="008A47AB">
      <w:pPr>
        <w:rPr>
          <w:szCs w:val="22"/>
        </w:rPr>
      </w:pPr>
      <w:r>
        <w:rPr>
          <w:noProof/>
        </w:rPr>
        <w:drawing>
          <wp:inline distT="0" distB="0" distL="0" distR="0" wp14:anchorId="24B199C3" wp14:editId="4C649805">
            <wp:extent cx="5726744" cy="220027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947" cy="2213416"/>
                    </a:xfrm>
                    <a:prstGeom prst="rect">
                      <a:avLst/>
                    </a:prstGeom>
                  </pic:spPr>
                </pic:pic>
              </a:graphicData>
            </a:graphic>
          </wp:inline>
        </w:drawing>
      </w:r>
    </w:p>
    <w:p w14:paraId="6C2F3077" w14:textId="300923CF" w:rsidR="00FE2771" w:rsidRDefault="00FE2771" w:rsidP="00FE2771">
      <w:r>
        <w:t>Co-primary endpoint 2:</w:t>
      </w:r>
      <w:r w:rsidR="002A7DD0">
        <w:t xml:space="preserve"> </w:t>
      </w:r>
      <w:r>
        <w:t xml:space="preserve">Greater improvement in GICS was achieved by subjects in both 100 and 75 U </w:t>
      </w:r>
      <w:r w:rsidR="000A423B">
        <w:t>XEOMIN</w:t>
      </w:r>
      <w:r w:rsidR="006426AA" w:rsidRPr="006956C2">
        <w:rPr>
          <w:rFonts w:cstheme="minorHAnsi"/>
          <w:szCs w:val="22"/>
        </w:rPr>
        <w:t xml:space="preserve">, compared to </w:t>
      </w:r>
      <w:r w:rsidR="006426AA">
        <w:rPr>
          <w:rFonts w:cstheme="minorHAnsi"/>
          <w:szCs w:val="22"/>
        </w:rPr>
        <w:t>PBO</w:t>
      </w:r>
      <w:r>
        <w:t xml:space="preserve">. The treatment difference was statistically significant for the 100 U and not for the 75 U. </w:t>
      </w:r>
    </w:p>
    <w:p w14:paraId="2B975E69" w14:textId="6045B144" w:rsidR="00E5506F" w:rsidRDefault="00E5506F" w:rsidP="008A47AB">
      <w:pPr>
        <w:pStyle w:val="TableTitle"/>
      </w:pPr>
      <w:r>
        <w:t xml:space="preserve">Table </w:t>
      </w:r>
      <w:fldSimple w:instr=" SEQ Table \* ARABIC ">
        <w:r w:rsidR="00330CB9">
          <w:rPr>
            <w:noProof/>
          </w:rPr>
          <w:t>4</w:t>
        </w:r>
      </w:fldSimple>
      <w:r>
        <w:t>: GICS at week 4</w:t>
      </w:r>
    </w:p>
    <w:p w14:paraId="3350B7BA" w14:textId="2A9A2DBB" w:rsidR="00FE2771" w:rsidRDefault="001B4646" w:rsidP="00DC7BAD">
      <w:pPr>
        <w:rPr>
          <w:szCs w:val="22"/>
        </w:rPr>
      </w:pPr>
      <w:r>
        <w:rPr>
          <w:noProof/>
        </w:rPr>
        <w:drawing>
          <wp:inline distT="0" distB="0" distL="0" distR="0" wp14:anchorId="77D926A3" wp14:editId="60AC34E6">
            <wp:extent cx="5725795" cy="114871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7252" cy="1155026"/>
                    </a:xfrm>
                    <a:prstGeom prst="rect">
                      <a:avLst/>
                    </a:prstGeom>
                  </pic:spPr>
                </pic:pic>
              </a:graphicData>
            </a:graphic>
          </wp:inline>
        </w:drawing>
      </w:r>
    </w:p>
    <w:p w14:paraId="4BE5FC76" w14:textId="02B3490B" w:rsidR="00633A56" w:rsidRDefault="00DB5C73" w:rsidP="00DB5C73">
      <w:r w:rsidRPr="00DC7BAD">
        <w:rPr>
          <w:i/>
          <w:iCs/>
        </w:rPr>
        <w:t>Secondary endpoints</w:t>
      </w:r>
      <w:r w:rsidR="00C439CA">
        <w:rPr>
          <w:i/>
          <w:iCs/>
        </w:rPr>
        <w:t xml:space="preserve">: </w:t>
      </w:r>
      <w:r>
        <w:t xml:space="preserve">Subjects in </w:t>
      </w:r>
      <w:r w:rsidR="000A423B">
        <w:t>XEOMIN</w:t>
      </w:r>
      <w:r>
        <w:t xml:space="preserve"> group continued to achieve a greater reduction in </w:t>
      </w:r>
      <w:proofErr w:type="spellStart"/>
      <w:r>
        <w:t>uSFR</w:t>
      </w:r>
      <w:proofErr w:type="spellEnd"/>
      <w:r>
        <w:t xml:space="preserve">, compared to </w:t>
      </w:r>
      <w:r w:rsidR="003E6C66">
        <w:t xml:space="preserve">PBO </w:t>
      </w:r>
      <w:r>
        <w:t>at week 8 and 12. The treatment differences were statistically significant.</w:t>
      </w:r>
    </w:p>
    <w:p w14:paraId="5113086B" w14:textId="4CACBC70" w:rsidR="00DB5C73" w:rsidRDefault="00DB5C73" w:rsidP="00DC7BAD">
      <w:pPr>
        <w:pStyle w:val="TableTitle"/>
      </w:pPr>
      <w:r>
        <w:t xml:space="preserve">Table </w:t>
      </w:r>
      <w:fldSimple w:instr=" SEQ Table \* ARABIC ">
        <w:r w:rsidR="00330CB9">
          <w:rPr>
            <w:noProof/>
          </w:rPr>
          <w:t>5</w:t>
        </w:r>
      </w:fldSimple>
      <w:r>
        <w:t xml:space="preserve">: Change in </w:t>
      </w:r>
      <w:proofErr w:type="spellStart"/>
      <w:r>
        <w:t>uSFR</w:t>
      </w:r>
      <w:proofErr w:type="spellEnd"/>
      <w:r>
        <w:t xml:space="preserve"> at week 8 and 12</w:t>
      </w:r>
    </w:p>
    <w:p w14:paraId="6FFC604D" w14:textId="26FC9D00" w:rsidR="00E5506F" w:rsidRDefault="00633A56" w:rsidP="00DC7BAD">
      <w:pPr>
        <w:rPr>
          <w:szCs w:val="22"/>
        </w:rPr>
      </w:pPr>
      <w:r>
        <w:rPr>
          <w:noProof/>
        </w:rPr>
        <w:drawing>
          <wp:inline distT="0" distB="0" distL="0" distR="0" wp14:anchorId="441FD667" wp14:editId="1470F940">
            <wp:extent cx="5727700" cy="181737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595" cy="1827490"/>
                    </a:xfrm>
                    <a:prstGeom prst="rect">
                      <a:avLst/>
                    </a:prstGeom>
                  </pic:spPr>
                </pic:pic>
              </a:graphicData>
            </a:graphic>
          </wp:inline>
        </w:drawing>
      </w:r>
    </w:p>
    <w:p w14:paraId="225F6CE9" w14:textId="6A20E51A" w:rsidR="00F03436" w:rsidRDefault="00F03436" w:rsidP="005331A9">
      <w:pPr>
        <w:pStyle w:val="Heading5"/>
      </w:pPr>
      <w:r w:rsidRPr="00005AEA">
        <w:t xml:space="preserve">Spasticity </w:t>
      </w:r>
      <w:r>
        <w:t>Study 3070</w:t>
      </w:r>
    </w:p>
    <w:p w14:paraId="41E1DBC5" w14:textId="23F85A95" w:rsidR="00F03436" w:rsidRDefault="00F03436" w:rsidP="00F03436">
      <w:r>
        <w:t xml:space="preserve">Phase III, parallel group, RCT dose response study. Three doses of </w:t>
      </w:r>
      <w:r w:rsidR="000A423B">
        <w:t>XEOMIN</w:t>
      </w:r>
      <w:r>
        <w:t xml:space="preserve"> were administered as study treatment for lower limb spasticity in children and adolescents (age 2 - 17 years) with cerebral palsy.</w:t>
      </w:r>
    </w:p>
    <w:p w14:paraId="3B91B49E" w14:textId="692B7ACA" w:rsidR="004539E3" w:rsidRDefault="004539E3" w:rsidP="004539E3">
      <w:pPr>
        <w:pStyle w:val="FigureTitle"/>
      </w:pPr>
      <w:r>
        <w:lastRenderedPageBreak/>
        <w:t xml:space="preserve">Figure </w:t>
      </w:r>
      <w:fldSimple w:instr=" SEQ Figure \* ARABIC ">
        <w:r w:rsidR="00F90377">
          <w:rPr>
            <w:noProof/>
          </w:rPr>
          <w:t>3</w:t>
        </w:r>
      </w:fldSimple>
      <w:r>
        <w:t xml:space="preserve">: Study 3070 design </w:t>
      </w:r>
    </w:p>
    <w:p w14:paraId="09D01289" w14:textId="798AA975" w:rsidR="00F03436" w:rsidRDefault="004539E3" w:rsidP="00DC7BAD">
      <w:pPr>
        <w:rPr>
          <w:szCs w:val="22"/>
        </w:rPr>
      </w:pPr>
      <w:r>
        <w:rPr>
          <w:noProof/>
        </w:rPr>
        <w:drawing>
          <wp:inline distT="0" distB="0" distL="0" distR="0" wp14:anchorId="5793DC9F" wp14:editId="4B09CCA8">
            <wp:extent cx="5661700" cy="3784600"/>
            <wp:effectExtent l="0" t="0" r="0" b="6350"/>
            <wp:docPr id="1" name="Picture 1" descr="Study 3070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3070 design "/>
                    <pic:cNvPicPr/>
                  </pic:nvPicPr>
                  <pic:blipFill>
                    <a:blip r:embed="rId29"/>
                    <a:stretch>
                      <a:fillRect/>
                    </a:stretch>
                  </pic:blipFill>
                  <pic:spPr>
                    <a:xfrm>
                      <a:off x="0" y="0"/>
                      <a:ext cx="5726761" cy="3828091"/>
                    </a:xfrm>
                    <a:prstGeom prst="rect">
                      <a:avLst/>
                    </a:prstGeom>
                  </pic:spPr>
                </pic:pic>
              </a:graphicData>
            </a:graphic>
          </wp:inline>
        </w:drawing>
      </w:r>
    </w:p>
    <w:p w14:paraId="29F1A75B" w14:textId="77777777" w:rsidR="006142DC" w:rsidRPr="00DC7BAD" w:rsidRDefault="006142DC" w:rsidP="006142DC">
      <w:pPr>
        <w:rPr>
          <w:b/>
          <w:bCs/>
        </w:rPr>
      </w:pPr>
      <w:r w:rsidRPr="00DC7BAD">
        <w:rPr>
          <w:b/>
          <w:bCs/>
        </w:rPr>
        <w:t>Inclusion criteria</w:t>
      </w:r>
    </w:p>
    <w:p w14:paraId="36AE20DB" w14:textId="77777777" w:rsidR="006142DC" w:rsidRDefault="006142DC" w:rsidP="006142DC">
      <w:r>
        <w:t>Children and adolescents aged 2 to 17 years of age were recruited.</w:t>
      </w:r>
    </w:p>
    <w:p w14:paraId="512F4062" w14:textId="77777777" w:rsidR="006142DC" w:rsidRPr="006142DC" w:rsidRDefault="006142DC" w:rsidP="008A47AB">
      <w:pPr>
        <w:pStyle w:val="ListBullet"/>
      </w:pPr>
      <w:r w:rsidRPr="006142DC">
        <w:t xml:space="preserve">Unilateral or bilateral CP with clinical need for unilateral or bilateral LL injections with Botulinum toxin (BoNT) for the treatment of </w:t>
      </w:r>
      <w:proofErr w:type="gramStart"/>
      <w:r w:rsidRPr="006142DC">
        <w:t>spasticity;</w:t>
      </w:r>
      <w:proofErr w:type="gramEnd"/>
      <w:r w:rsidRPr="006142DC">
        <w:t xml:space="preserve"> </w:t>
      </w:r>
    </w:p>
    <w:p w14:paraId="1CC5CCBD" w14:textId="77777777" w:rsidR="006142DC" w:rsidRPr="006142DC" w:rsidRDefault="006142DC" w:rsidP="008A47AB">
      <w:pPr>
        <w:pStyle w:val="ListBullet"/>
      </w:pPr>
      <w:r w:rsidRPr="006142DC">
        <w:t xml:space="preserve">Ashworth Scale (AS) score ≥ 2 in plantar flexors (at least unilaterally); and </w:t>
      </w:r>
    </w:p>
    <w:p w14:paraId="6B4C4008" w14:textId="77777777" w:rsidR="006142DC" w:rsidRPr="006142DC" w:rsidRDefault="006142DC" w:rsidP="008A47AB">
      <w:pPr>
        <w:pStyle w:val="ListBullet"/>
      </w:pPr>
      <w:r w:rsidRPr="006142DC">
        <w:t>Clinical need for a total dose of 16 U/kg BW NT 201 (maximum of 400 U). Of the total dose, subjects had to have a clinical need for:</w:t>
      </w:r>
    </w:p>
    <w:p w14:paraId="674156C9" w14:textId="77777777" w:rsidR="006142DC" w:rsidRPr="00AC2DBF" w:rsidRDefault="006142DC" w:rsidP="008A47AB">
      <w:pPr>
        <w:pStyle w:val="ListBullet2"/>
      </w:pPr>
      <w:r w:rsidRPr="00AC2DBF">
        <w:t xml:space="preserve">8 U/kg BW NT 201 (maximum dose of 200 U) for unilateral treatment of pes equinus; </w:t>
      </w:r>
      <w:r w:rsidRPr="00DC7BAD">
        <w:t xml:space="preserve">and </w:t>
      </w:r>
      <w:r w:rsidRPr="00AC2DBF">
        <w:t xml:space="preserve">8 U/kg BW NT 201 (maximum dose of 200 U) into ipsilateral clinical pattern flexed knee or adducted thigh; </w:t>
      </w:r>
      <w:r w:rsidRPr="00DC7BAD">
        <w:t>or</w:t>
      </w:r>
    </w:p>
    <w:p w14:paraId="50AB3BCE" w14:textId="354B922F" w:rsidR="006142DC" w:rsidRPr="00AC2DBF" w:rsidRDefault="006142DC" w:rsidP="008A47AB">
      <w:pPr>
        <w:pStyle w:val="ListBullet2"/>
      </w:pPr>
      <w:r w:rsidRPr="00AC2DBF">
        <w:t>16 U/kg BW NT 201 (maximum dose of 400 U) for bilateral treatment of pes equinus (A</w:t>
      </w:r>
      <w:r w:rsidR="00BC60D2">
        <w:t>shworth Scale (AS)</w:t>
      </w:r>
      <w:r w:rsidRPr="00AC2DBF">
        <w:t xml:space="preserve"> score ≥ 2 on both sides). </w:t>
      </w:r>
    </w:p>
    <w:p w14:paraId="54221F0F" w14:textId="09B7BC28" w:rsidR="006142DC" w:rsidRDefault="006142DC" w:rsidP="006142DC">
      <w:r>
        <w:t>Both treatment-naive and subjects who had received previous treatment with BoNT were recruited.</w:t>
      </w:r>
    </w:p>
    <w:p w14:paraId="3C0E5864" w14:textId="77777777" w:rsidR="006142DC" w:rsidRDefault="006142DC" w:rsidP="006142DC">
      <w:r>
        <w:t>Children with fixed contracture, those who had surgery for pes equinus, hip flexion that required BoNT treatment and those with a limitation of hip abduction to &lt; 40° or pre-diagnosed migrational percentage &gt; 30° were excluded.</w:t>
      </w:r>
    </w:p>
    <w:p w14:paraId="0D61DB48" w14:textId="1A577382" w:rsidR="006142DC" w:rsidRDefault="006142DC" w:rsidP="006142DC">
      <w:r>
        <w:t>Study treatments</w:t>
      </w:r>
      <w:r w:rsidR="00AC2DBF">
        <w:t>:</w:t>
      </w:r>
    </w:p>
    <w:p w14:paraId="7E2622A8" w14:textId="68B9FC95" w:rsidR="006142DC" w:rsidRPr="006142DC" w:rsidRDefault="006142DC" w:rsidP="008A47AB">
      <w:pPr>
        <w:pStyle w:val="ListBullet"/>
      </w:pPr>
      <w:r w:rsidRPr="00DC7BAD">
        <w:t>High-dose group</w:t>
      </w:r>
      <w:r w:rsidRPr="006142DC">
        <w:t xml:space="preserve">: 400 U </w:t>
      </w:r>
      <w:r w:rsidR="000A423B">
        <w:t>XEOMIN</w:t>
      </w:r>
      <w:r w:rsidRPr="006142DC">
        <w:t xml:space="preserve"> for subjects of ≥ 25kg BW or 16 U/kg BW for subjects of &lt; 25kg </w:t>
      </w:r>
      <w:proofErr w:type="gramStart"/>
      <w:r w:rsidRPr="006142DC">
        <w:t>BW;</w:t>
      </w:r>
      <w:proofErr w:type="gramEnd"/>
    </w:p>
    <w:p w14:paraId="180C8E81" w14:textId="421BC6DB" w:rsidR="006142DC" w:rsidRPr="006142DC" w:rsidRDefault="006142DC" w:rsidP="008A47AB">
      <w:pPr>
        <w:pStyle w:val="ListBullet"/>
      </w:pPr>
      <w:r w:rsidRPr="00DC7BAD">
        <w:t>Mid-dose group</w:t>
      </w:r>
      <w:r w:rsidRPr="006142DC">
        <w:t xml:space="preserve">: 300 U </w:t>
      </w:r>
      <w:r w:rsidR="000A423B">
        <w:t>XEOMIN</w:t>
      </w:r>
      <w:r w:rsidRPr="006142DC">
        <w:t xml:space="preserve"> for subjects of ≥ 25kg BW or 12 U/kg BW for subjects of &lt; 25kg BW; and</w:t>
      </w:r>
    </w:p>
    <w:p w14:paraId="51F42660" w14:textId="4A051AA1" w:rsidR="006142DC" w:rsidRDefault="006142DC" w:rsidP="008A47AB">
      <w:pPr>
        <w:pStyle w:val="ListBullet"/>
      </w:pPr>
      <w:r w:rsidRPr="00DC7BAD">
        <w:lastRenderedPageBreak/>
        <w:t>Low-dose group</w:t>
      </w:r>
      <w:r w:rsidRPr="006142DC">
        <w:t xml:space="preserve">: 100 U </w:t>
      </w:r>
      <w:r w:rsidR="000A423B">
        <w:t>XEOMIN</w:t>
      </w:r>
      <w:r w:rsidRPr="006142DC">
        <w:t xml:space="preserve"> for subjects of ≥ 25kg BW or 4 U/kg BW for subjects of &lt; 25kg BW. </w:t>
      </w:r>
    </w:p>
    <w:p w14:paraId="1E712371" w14:textId="3305ED89" w:rsidR="006142DC" w:rsidRDefault="006142DC" w:rsidP="006142DC">
      <w:r>
        <w:t xml:space="preserve">The primary efficacy variable was </w:t>
      </w:r>
      <w:r w:rsidR="00AB48BB">
        <w:t xml:space="preserve">change from baseline </w:t>
      </w:r>
      <w:r>
        <w:t>in Ashworth Scale (AS)</w:t>
      </w:r>
      <w:r>
        <w:rPr>
          <w:rStyle w:val="FootnoteReference"/>
        </w:rPr>
        <w:footnoteReference w:id="6"/>
      </w:r>
      <w:r>
        <w:t xml:space="preserve"> score of plantar flexors (for subjects with bilateral pes equinus body at Week 4.</w:t>
      </w:r>
    </w:p>
    <w:p w14:paraId="69CC9179" w14:textId="376901A9" w:rsidR="006142DC" w:rsidRDefault="006142DC" w:rsidP="006142DC">
      <w:r>
        <w:t xml:space="preserve">The </w:t>
      </w:r>
      <w:r w:rsidRPr="003D355B">
        <w:t>co-primary efficacy variable</w:t>
      </w:r>
      <w:r>
        <w:t xml:space="preserve"> was:</w:t>
      </w:r>
      <w:r w:rsidR="00AC2DBF">
        <w:t xml:space="preserve"> </w:t>
      </w:r>
      <w:r>
        <w:t xml:space="preserve">The Investigator’s global impression of plantar flexor </w:t>
      </w:r>
      <w:r w:rsidRPr="00FD39F6">
        <w:t>spasticity scale GICS-PF</w:t>
      </w:r>
      <w:r w:rsidR="0063124E" w:rsidRPr="00FD39F6">
        <w:t xml:space="preserve"> </w:t>
      </w:r>
      <w:r w:rsidR="0063124E" w:rsidRPr="00F23E72">
        <w:t>(Global impression of Change Scale – Plantar Flexors)</w:t>
      </w:r>
      <w:r w:rsidR="0063124E">
        <w:t xml:space="preserve"> </w:t>
      </w:r>
      <w:r>
        <w:rPr>
          <w:rStyle w:val="FootnoteReference"/>
        </w:rPr>
        <w:footnoteReference w:id="7"/>
      </w:r>
      <w:r>
        <w:t xml:space="preserve"> (for subjects with bilateral treatment on the same body side as chosen for the primary efficacy variable) at Week 4.</w:t>
      </w:r>
    </w:p>
    <w:p w14:paraId="67F5CC29" w14:textId="293FC9E8" w:rsidR="006142DC" w:rsidRDefault="006142DC" w:rsidP="006142DC">
      <w:r>
        <w:t>The secondary outcome</w:t>
      </w:r>
      <w:r w:rsidR="006475D9">
        <w:t>s</w:t>
      </w:r>
      <w:r>
        <w:t xml:space="preserve"> </w:t>
      </w:r>
      <w:r w:rsidR="00915BBB">
        <w:t>in</w:t>
      </w:r>
      <w:r w:rsidR="007C7BF1">
        <w:t>cluded</w:t>
      </w:r>
      <w:r w:rsidR="00915BBB">
        <w:t xml:space="preserve"> </w:t>
      </w:r>
      <w:r>
        <w:t>change</w:t>
      </w:r>
      <w:r w:rsidR="007C7BF1">
        <w:t>s</w:t>
      </w:r>
      <w:r>
        <w:t xml:space="preserve"> from baseline in the AS score </w:t>
      </w:r>
      <w:r w:rsidR="00F35CFB">
        <w:t xml:space="preserve">of </w:t>
      </w:r>
      <w:r w:rsidR="007900FE">
        <w:t>plantar flexors and</w:t>
      </w:r>
      <w:r w:rsidR="009C7398">
        <w:t xml:space="preserve">/or </w:t>
      </w:r>
      <w:r w:rsidR="00526D60">
        <w:t>other</w:t>
      </w:r>
      <w:r w:rsidR="009C7398">
        <w:t xml:space="preserve"> </w:t>
      </w:r>
      <w:r w:rsidR="00383BF2">
        <w:t xml:space="preserve">treated patterns </w:t>
      </w:r>
      <w:r>
        <w:t>at week 4 of first and second injection cycle.</w:t>
      </w:r>
    </w:p>
    <w:p w14:paraId="5BA62EBD" w14:textId="77777777" w:rsidR="006142DC" w:rsidRDefault="006142DC" w:rsidP="006142DC">
      <w:r>
        <w:t xml:space="preserve">At baseline, 54.3% of subjects were males. Median age was 6 years (2-17 years). 48.9% of subjects were in the 2-5 years category and 16.1% of subjects were in the 12-17 years category. </w:t>
      </w:r>
    </w:p>
    <w:p w14:paraId="115BED71" w14:textId="77777777" w:rsidR="006142DC" w:rsidRDefault="006142DC" w:rsidP="006142DC">
      <w:r>
        <w:t xml:space="preserve">The overall </w:t>
      </w:r>
      <w:r>
        <w:rPr>
          <w:lang w:eastAsia="ja-JP"/>
        </w:rPr>
        <w:t>median time s</w:t>
      </w:r>
      <w:r>
        <w:t xml:space="preserve">ince first diagnosis of CP was 48.4 months and </w:t>
      </w:r>
      <w:r>
        <w:rPr>
          <w:lang w:eastAsia="ja-JP"/>
        </w:rPr>
        <w:t>median time s</w:t>
      </w:r>
      <w:r>
        <w:t>ince first diagnosis of spasticity was 53.1 months. Perinatal asphyxia/hypoxia was the main cause for CP (40.8% overall), followed by prematurity (31.5% overall).</w:t>
      </w:r>
    </w:p>
    <w:p w14:paraId="530B3AF3" w14:textId="77777777" w:rsidR="00290084" w:rsidRDefault="006142DC" w:rsidP="00290084">
      <w:pPr>
        <w:rPr>
          <w:lang w:eastAsia="ja-JP"/>
        </w:rPr>
      </w:pPr>
      <w:r>
        <w:t>Most subjects were pre-treated with BoNT (62.4% overall), with the highest proportion in the mid-dose group (70.1%) and the lowest proportion in the low-dose group (51.3%). In all 3</w:t>
      </w:r>
      <w:r w:rsidR="00290084">
        <w:t xml:space="preserve"> dose-groups, the left and right LLs were pre-treated to a similar extent. The most frequent previous treatments were muscle relaxants (62.2%, 70.1%, 51.3% in the high-dose, mid-dose and low-dose group, respectively; mostly peripheral acting agents). No other major differences between the treatment groups were seen for previous medications.</w:t>
      </w:r>
    </w:p>
    <w:p w14:paraId="70E160D4" w14:textId="77777777" w:rsidR="00290084" w:rsidRDefault="00290084" w:rsidP="00AC2DBF">
      <w:r>
        <w:t>Most subjects received concomitant medication: 75.0%, 72.7% and 70.5% of subjects in the NT 201 high-dose, mid-dose and low-dose group, respectively. The most common concomitant medications recorded were for anaesthetics (52.6%, 54.5% and 43.6%, respectively) and anti-epileptic agents (19.9%, 20.8% and 20.5%, respectively).</w:t>
      </w:r>
    </w:p>
    <w:p w14:paraId="114C9C14" w14:textId="076FF06A" w:rsidR="00F90377" w:rsidRDefault="00290084" w:rsidP="00290084">
      <w:r>
        <w:t>Almost 100% of subjects completed the study.</w:t>
      </w:r>
    </w:p>
    <w:p w14:paraId="430C76DE" w14:textId="77777777" w:rsidR="00290084" w:rsidRPr="00AC2DBF" w:rsidRDefault="00290084" w:rsidP="00290084">
      <w:pPr>
        <w:rPr>
          <w:b/>
          <w:bCs/>
        </w:rPr>
      </w:pPr>
      <w:r w:rsidRPr="00AC2DBF">
        <w:rPr>
          <w:b/>
          <w:bCs/>
        </w:rPr>
        <w:t>Results</w:t>
      </w:r>
    </w:p>
    <w:p w14:paraId="5039070D" w14:textId="77777777" w:rsidR="00290084" w:rsidRDefault="00290084" w:rsidP="00290084">
      <w:r>
        <w:t xml:space="preserve">Subjects in both high and low dose arms achieved improvement. However, the in-between group difference was not statistically significant. </w:t>
      </w:r>
    </w:p>
    <w:p w14:paraId="3C2F539B" w14:textId="3926D071" w:rsidR="00F90377" w:rsidRDefault="00F90377" w:rsidP="00AC2DBF">
      <w:pPr>
        <w:pStyle w:val="TableTitle"/>
      </w:pPr>
      <w:r>
        <w:lastRenderedPageBreak/>
        <w:t xml:space="preserve">Table </w:t>
      </w:r>
      <w:fldSimple w:instr=" SEQ Table \* ARABIC ">
        <w:r w:rsidR="00330CB9">
          <w:rPr>
            <w:noProof/>
          </w:rPr>
          <w:t>6</w:t>
        </w:r>
      </w:fldSimple>
      <w:r>
        <w:t>: Study 3070 results across high and low dose arms</w:t>
      </w:r>
    </w:p>
    <w:p w14:paraId="17536B65" w14:textId="0DB910B1" w:rsidR="004539E3" w:rsidRDefault="00F90377" w:rsidP="00AC2DBF">
      <w:pPr>
        <w:rPr>
          <w:szCs w:val="22"/>
        </w:rPr>
      </w:pPr>
      <w:r>
        <w:rPr>
          <w:noProof/>
        </w:rPr>
        <w:drawing>
          <wp:inline distT="0" distB="0" distL="0" distR="0" wp14:anchorId="0FC2158B" wp14:editId="3106E072">
            <wp:extent cx="5720943" cy="2156723"/>
            <wp:effectExtent l="0" t="0" r="0" b="0"/>
            <wp:docPr id="23" name="Picture 23" descr="Study 3070 results across high and low dose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3070 results across high and low dose arms"/>
                    <pic:cNvPicPr/>
                  </pic:nvPicPr>
                  <pic:blipFill>
                    <a:blip r:embed="rId30"/>
                    <a:stretch>
                      <a:fillRect/>
                    </a:stretch>
                  </pic:blipFill>
                  <pic:spPr>
                    <a:xfrm>
                      <a:off x="0" y="0"/>
                      <a:ext cx="5791206" cy="2183211"/>
                    </a:xfrm>
                    <a:prstGeom prst="rect">
                      <a:avLst/>
                    </a:prstGeom>
                  </pic:spPr>
                </pic:pic>
              </a:graphicData>
            </a:graphic>
          </wp:inline>
        </w:drawing>
      </w:r>
    </w:p>
    <w:p w14:paraId="717B0855" w14:textId="77777777" w:rsidR="00686CE8" w:rsidRDefault="00686CE8" w:rsidP="00686CE8">
      <w:r>
        <w:t xml:space="preserve">In terms of co-primary and secondary outcomes, overall, subjects in both treatment arms experienced an improvement in their spasticity. However, treatment difference between dose groups or injection cycles did not achieve statistical significance. </w:t>
      </w:r>
    </w:p>
    <w:p w14:paraId="17FBA17D" w14:textId="449B91F4" w:rsidR="00686CE8" w:rsidRPr="00AC2DBF" w:rsidRDefault="00686CE8" w:rsidP="00DC7BAD">
      <w:pPr>
        <w:pStyle w:val="Heading6"/>
      </w:pPr>
      <w:r w:rsidRPr="00AC2DBF">
        <w:t>Study 3072 (upper and lower limbs)</w:t>
      </w:r>
    </w:p>
    <w:p w14:paraId="2B6EEE96" w14:textId="68AF8051" w:rsidR="00686CE8" w:rsidRDefault="00686CE8" w:rsidP="00686CE8">
      <w:r>
        <w:t xml:space="preserve">Phase III RCT that also examined dose-response of three doses of </w:t>
      </w:r>
      <w:r w:rsidR="000A423B">
        <w:t>XEOMIN</w:t>
      </w:r>
      <w:r>
        <w:t xml:space="preserve"> for the treatment of upper limb spasticity alone or combined upper and mower limb spasticity in children and adolescents </w:t>
      </w:r>
      <w:r w:rsidR="00AC2DBF">
        <w:t>CP</w:t>
      </w:r>
      <w:r>
        <w:t xml:space="preserve">. </w:t>
      </w:r>
    </w:p>
    <w:p w14:paraId="59C3B07B" w14:textId="77777777" w:rsidR="00686CE8" w:rsidRPr="00DC7BAD" w:rsidRDefault="00686CE8" w:rsidP="00686CE8">
      <w:pPr>
        <w:rPr>
          <w:b/>
          <w:bCs/>
        </w:rPr>
      </w:pPr>
      <w:r w:rsidRPr="00DC7BAD">
        <w:rPr>
          <w:b/>
          <w:bCs/>
        </w:rPr>
        <w:t>Study design</w:t>
      </w:r>
    </w:p>
    <w:p w14:paraId="43563D2B" w14:textId="77777777" w:rsidR="00686CE8" w:rsidRDefault="00686CE8" w:rsidP="00686CE8">
      <w:r>
        <w:t>Study duration was 50 to 66 weeks. Four treatment cycles were of the duration of 12 to 16 weeks each.</w:t>
      </w:r>
    </w:p>
    <w:p w14:paraId="06AF49A4" w14:textId="72E4D78D" w:rsidR="00D77950" w:rsidRDefault="001268F4" w:rsidP="00D77950">
      <w:pPr>
        <w:pStyle w:val="FigureTitle"/>
      </w:pPr>
      <w:r>
        <w:t>Figure</w:t>
      </w:r>
      <w:r w:rsidR="00D77950">
        <w:t xml:space="preserve"> </w:t>
      </w:r>
      <w:r w:rsidR="005331A9">
        <w:t>4</w:t>
      </w:r>
      <w:r w:rsidR="00D77950">
        <w:t>: Study 3072 design</w:t>
      </w:r>
    </w:p>
    <w:p w14:paraId="7ADFA99E" w14:textId="2F68826A" w:rsidR="00686CE8" w:rsidRPr="009641F9" w:rsidRDefault="00D77950" w:rsidP="00DC7BAD">
      <w:pPr>
        <w:rPr>
          <w:szCs w:val="22"/>
        </w:rPr>
      </w:pPr>
      <w:r>
        <w:rPr>
          <w:noProof/>
        </w:rPr>
        <w:drawing>
          <wp:inline distT="0" distB="0" distL="0" distR="0" wp14:anchorId="575FE0FE" wp14:editId="689DF803">
            <wp:extent cx="4778564" cy="2254250"/>
            <wp:effectExtent l="0" t="0" r="3175" b="0"/>
            <wp:docPr id="3" name="Picture 3" descr="Study 3072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3072 design"/>
                    <pic:cNvPicPr/>
                  </pic:nvPicPr>
                  <pic:blipFill>
                    <a:blip r:embed="rId31"/>
                    <a:stretch>
                      <a:fillRect/>
                    </a:stretch>
                  </pic:blipFill>
                  <pic:spPr>
                    <a:xfrm>
                      <a:off x="0" y="0"/>
                      <a:ext cx="4822098" cy="2274787"/>
                    </a:xfrm>
                    <a:prstGeom prst="rect">
                      <a:avLst/>
                    </a:prstGeom>
                  </pic:spPr>
                </pic:pic>
              </a:graphicData>
            </a:graphic>
          </wp:inline>
        </w:drawing>
      </w:r>
    </w:p>
    <w:p w14:paraId="203CEA35" w14:textId="6DEDD401" w:rsidR="005C44CB" w:rsidRPr="005D7543" w:rsidRDefault="005C44CB" w:rsidP="005C44CB">
      <w:pPr>
        <w:rPr>
          <w:b/>
          <w:bCs/>
        </w:rPr>
      </w:pPr>
      <w:bookmarkStart w:id="57" w:name="_Toc314842514"/>
      <w:r w:rsidRPr="005D7543">
        <w:rPr>
          <w:b/>
          <w:bCs/>
        </w:rPr>
        <w:t>Inclusion criteria</w:t>
      </w:r>
    </w:p>
    <w:p w14:paraId="5BF1A3F5" w14:textId="2FDA9DA3" w:rsidR="005C44CB" w:rsidRPr="005C44CB" w:rsidRDefault="005C44CB" w:rsidP="005C44CB">
      <w:pPr>
        <w:rPr>
          <w:szCs w:val="22"/>
        </w:rPr>
      </w:pPr>
      <w:r w:rsidRPr="005C44CB">
        <w:rPr>
          <w:szCs w:val="22"/>
        </w:rPr>
        <w:t xml:space="preserve">Children aged 2 to 17 years with unilateral or bilateral CP with clinical need for injections with </w:t>
      </w:r>
      <w:r w:rsidR="000A423B">
        <w:rPr>
          <w:szCs w:val="22"/>
        </w:rPr>
        <w:t>XEOMIN</w:t>
      </w:r>
      <w:r w:rsidRPr="005C44CB">
        <w:rPr>
          <w:szCs w:val="22"/>
        </w:rPr>
        <w:t xml:space="preserve"> for the treatment of upper limb spasticity at least unilaterally.</w:t>
      </w:r>
    </w:p>
    <w:p w14:paraId="602BCA64" w14:textId="77777777" w:rsidR="005C44CB" w:rsidRPr="005C44CB" w:rsidRDefault="005C44CB" w:rsidP="005C44CB">
      <w:pPr>
        <w:pStyle w:val="ListParagraph"/>
        <w:numPr>
          <w:ilvl w:val="0"/>
          <w:numId w:val="32"/>
        </w:numPr>
        <w:spacing w:before="120" w:after="120" w:line="240" w:lineRule="atLeast"/>
        <w:rPr>
          <w:rFonts w:ascii="Cambria" w:hAnsi="Cambria"/>
          <w:sz w:val="22"/>
          <w:szCs w:val="22"/>
        </w:rPr>
      </w:pPr>
      <w:r w:rsidRPr="005C44CB">
        <w:rPr>
          <w:rFonts w:ascii="Cambria" w:hAnsi="Cambria"/>
          <w:sz w:val="22"/>
          <w:szCs w:val="22"/>
        </w:rPr>
        <w:t>AS score ≥ 2 in in the main clinical target patterns in this study:</w:t>
      </w:r>
    </w:p>
    <w:p w14:paraId="0B0036BF" w14:textId="77777777" w:rsidR="005C44CB" w:rsidRPr="005C44CB" w:rsidRDefault="005C44CB" w:rsidP="005C44CB">
      <w:pPr>
        <w:pStyle w:val="ListParagraph"/>
        <w:numPr>
          <w:ilvl w:val="1"/>
          <w:numId w:val="32"/>
        </w:numPr>
        <w:spacing w:before="120" w:after="120" w:line="240" w:lineRule="atLeast"/>
        <w:rPr>
          <w:rFonts w:ascii="Cambria" w:hAnsi="Cambria"/>
          <w:sz w:val="22"/>
          <w:szCs w:val="22"/>
        </w:rPr>
      </w:pPr>
      <w:r w:rsidRPr="005C44CB">
        <w:rPr>
          <w:rFonts w:ascii="Cambria" w:hAnsi="Cambria"/>
          <w:sz w:val="22"/>
          <w:szCs w:val="22"/>
        </w:rPr>
        <w:t>Flexed elbow: AS ≥ 2 in elbow flexors (at least unilaterally) at baseline; and/or</w:t>
      </w:r>
    </w:p>
    <w:p w14:paraId="2240FDC1" w14:textId="77777777" w:rsidR="005C44CB" w:rsidRPr="005C44CB" w:rsidRDefault="005C44CB" w:rsidP="005C44CB">
      <w:pPr>
        <w:pStyle w:val="ListParagraph"/>
        <w:numPr>
          <w:ilvl w:val="1"/>
          <w:numId w:val="32"/>
        </w:numPr>
        <w:spacing w:before="120" w:after="120" w:line="240" w:lineRule="atLeast"/>
        <w:rPr>
          <w:rFonts w:ascii="Cambria" w:hAnsi="Cambria"/>
          <w:sz w:val="22"/>
          <w:szCs w:val="22"/>
        </w:rPr>
      </w:pPr>
      <w:r w:rsidRPr="005C44CB">
        <w:rPr>
          <w:rFonts w:ascii="Cambria" w:hAnsi="Cambria"/>
          <w:sz w:val="22"/>
          <w:szCs w:val="22"/>
        </w:rPr>
        <w:t>Flexed wrist: AS ≥ 2 in wrist flexors (at least unilaterally) at baseline.</w:t>
      </w:r>
    </w:p>
    <w:p w14:paraId="325389B7" w14:textId="77777777" w:rsidR="005C44CB" w:rsidRPr="005C44CB" w:rsidRDefault="005C44CB" w:rsidP="005C44CB">
      <w:pPr>
        <w:rPr>
          <w:szCs w:val="22"/>
        </w:rPr>
      </w:pPr>
      <w:r w:rsidRPr="005C44CB">
        <w:rPr>
          <w:szCs w:val="22"/>
        </w:rPr>
        <w:t xml:space="preserve">Subjects were allocated 2:1:1 to receive NT 201 high-dose (8 U), NT 201 mid-dose (6 U) and NT 201 low-dose (2 U), respectively, for 1 injection cycle. </w:t>
      </w:r>
    </w:p>
    <w:p w14:paraId="49D6F896" w14:textId="70DE3381" w:rsidR="005C44CB" w:rsidRPr="005C44CB" w:rsidRDefault="005C44CB" w:rsidP="005C44CB">
      <w:pPr>
        <w:rPr>
          <w:szCs w:val="22"/>
        </w:rPr>
      </w:pPr>
      <w:r w:rsidRPr="005C44CB">
        <w:rPr>
          <w:szCs w:val="22"/>
        </w:rPr>
        <w:lastRenderedPageBreak/>
        <w:t xml:space="preserve">During the open label phase, all subjects received high dose (8U) of </w:t>
      </w:r>
      <w:r w:rsidR="000A423B">
        <w:rPr>
          <w:szCs w:val="22"/>
        </w:rPr>
        <w:t>XEOMIN</w:t>
      </w:r>
      <w:r w:rsidRPr="005C44CB">
        <w:rPr>
          <w:szCs w:val="22"/>
        </w:rPr>
        <w:t xml:space="preserve"> for up to three cycles.</w:t>
      </w:r>
    </w:p>
    <w:p w14:paraId="570B7ACB" w14:textId="77777777" w:rsidR="005C44CB" w:rsidRPr="005C44CB" w:rsidRDefault="005C44CB" w:rsidP="005C44CB">
      <w:pPr>
        <w:rPr>
          <w:szCs w:val="22"/>
        </w:rPr>
      </w:pPr>
      <w:r w:rsidRPr="005C44CB">
        <w:rPr>
          <w:szCs w:val="22"/>
        </w:rPr>
        <w:t>Study outcomes were assessed at Week 4.</w:t>
      </w:r>
    </w:p>
    <w:p w14:paraId="6E729197" w14:textId="77777777" w:rsidR="005C44CB" w:rsidRPr="005C44CB" w:rsidRDefault="005C44CB" w:rsidP="005C44CB">
      <w:pPr>
        <w:rPr>
          <w:szCs w:val="22"/>
        </w:rPr>
      </w:pPr>
      <w:r w:rsidRPr="005C44CB">
        <w:rPr>
          <w:szCs w:val="22"/>
        </w:rPr>
        <w:t xml:space="preserve">The </w:t>
      </w:r>
      <w:r w:rsidRPr="005C44CB">
        <w:rPr>
          <w:i/>
          <w:iCs/>
          <w:szCs w:val="22"/>
        </w:rPr>
        <w:t>primary efficacy variable</w:t>
      </w:r>
      <w:r w:rsidRPr="005C44CB">
        <w:rPr>
          <w:szCs w:val="22"/>
        </w:rPr>
        <w:t xml:space="preserve"> was:</w:t>
      </w:r>
    </w:p>
    <w:p w14:paraId="3C483183" w14:textId="77777777" w:rsidR="005C44CB" w:rsidRPr="005C44CB" w:rsidRDefault="005C44CB" w:rsidP="008A47AB">
      <w:pPr>
        <w:pStyle w:val="ListBullet"/>
      </w:pPr>
      <w:r w:rsidRPr="005C44CB">
        <w:t xml:space="preserve">Change from baseline in AS in the primary clinical target pattern (elbow flexors or wrist flexors). </w:t>
      </w:r>
      <w:r w:rsidRPr="005C44CB">
        <w:rPr>
          <w:u w:val="single"/>
        </w:rPr>
        <w:t>NB</w:t>
      </w:r>
      <w:r w:rsidRPr="005C44CB">
        <w:t>: For subjects with bilateral upper limb treatment, the body side for analysis was decided by the Investigator at screening or by IV/WRS if both sides qualified for the primary efficacy analysis.</w:t>
      </w:r>
    </w:p>
    <w:p w14:paraId="38A0388B" w14:textId="77777777" w:rsidR="005C44CB" w:rsidRPr="005C44CB" w:rsidRDefault="005C44CB" w:rsidP="005C44CB">
      <w:pPr>
        <w:rPr>
          <w:szCs w:val="22"/>
        </w:rPr>
      </w:pPr>
      <w:r w:rsidRPr="005C44CB">
        <w:rPr>
          <w:szCs w:val="22"/>
        </w:rPr>
        <w:t xml:space="preserve">The </w:t>
      </w:r>
      <w:r w:rsidRPr="005C44CB">
        <w:rPr>
          <w:i/>
          <w:iCs/>
          <w:szCs w:val="22"/>
        </w:rPr>
        <w:t>co-primary efficacy variable</w:t>
      </w:r>
      <w:r w:rsidRPr="005C44CB">
        <w:rPr>
          <w:szCs w:val="22"/>
        </w:rPr>
        <w:t xml:space="preserve"> was:</w:t>
      </w:r>
    </w:p>
    <w:p w14:paraId="75A6110C" w14:textId="77777777" w:rsidR="005C44CB" w:rsidRPr="005C44CB" w:rsidRDefault="005C44CB" w:rsidP="008A47AB">
      <w:pPr>
        <w:pStyle w:val="ListBullet"/>
      </w:pPr>
      <w:r w:rsidRPr="005C44CB">
        <w:t xml:space="preserve">Investigator’s Global Impression of Change in Scale (GICS). </w:t>
      </w:r>
      <w:r w:rsidRPr="005C44CB">
        <w:rPr>
          <w:u w:val="single"/>
        </w:rPr>
        <w:t>NB</w:t>
      </w:r>
      <w:r w:rsidRPr="005C44CB">
        <w:t>: For upper limb only.</w:t>
      </w:r>
    </w:p>
    <w:p w14:paraId="7EE8F06B" w14:textId="77777777" w:rsidR="005C44CB" w:rsidRPr="005C44CB" w:rsidRDefault="005C44CB" w:rsidP="005C44CB">
      <w:pPr>
        <w:rPr>
          <w:szCs w:val="22"/>
        </w:rPr>
      </w:pPr>
      <w:r w:rsidRPr="005C44CB">
        <w:rPr>
          <w:i/>
          <w:iCs/>
          <w:szCs w:val="22"/>
        </w:rPr>
        <w:t>Key secondary efficacy variables</w:t>
      </w:r>
      <w:r w:rsidRPr="005C44CB">
        <w:rPr>
          <w:szCs w:val="22"/>
        </w:rPr>
        <w:t xml:space="preserve"> were:</w:t>
      </w:r>
    </w:p>
    <w:p w14:paraId="495C2AD6" w14:textId="29F5EB28" w:rsidR="005C44CB" w:rsidRPr="005C44CB" w:rsidRDefault="005C44CB" w:rsidP="008A47AB">
      <w:pPr>
        <w:pStyle w:val="ListBullet"/>
      </w:pPr>
      <w:r w:rsidRPr="008A47AB">
        <w:t>Change from baseline in the</w:t>
      </w:r>
      <w:r w:rsidRPr="005C44CB">
        <w:t xml:space="preserve"> AS score of the other treated main clinical target pattern (i.e., of elbow flexors or wrist flexors, if treated)</w:t>
      </w:r>
      <w:r w:rsidR="00F1745F">
        <w:t xml:space="preserve"> </w:t>
      </w:r>
      <w:r w:rsidRPr="005C44CB">
        <w:t>and</w:t>
      </w:r>
    </w:p>
    <w:p w14:paraId="6FE43838" w14:textId="0F318D05" w:rsidR="005C44CB" w:rsidRPr="005C44CB" w:rsidRDefault="005C44CB" w:rsidP="008A47AB">
      <w:pPr>
        <w:pStyle w:val="ListBullet"/>
      </w:pPr>
      <w:r w:rsidRPr="008A47AB">
        <w:t>Second</w:t>
      </w:r>
      <w:r w:rsidRPr="005C44CB">
        <w:t xml:space="preserve">: </w:t>
      </w:r>
      <w:r w:rsidR="00F1745F">
        <w:t>change from baseline</w:t>
      </w:r>
      <w:r w:rsidRPr="005C44CB">
        <w:t xml:space="preserve"> in AS score of the treated clinical target pattern clenched fist (in subjects treated in combination with flexed wrist).</w:t>
      </w:r>
    </w:p>
    <w:p w14:paraId="214DAC70" w14:textId="77777777" w:rsidR="005C44CB" w:rsidRPr="005C44CB" w:rsidRDefault="005C44CB" w:rsidP="005C44CB">
      <w:pPr>
        <w:rPr>
          <w:szCs w:val="22"/>
        </w:rPr>
      </w:pPr>
      <w:r w:rsidRPr="005C44CB">
        <w:rPr>
          <w:szCs w:val="22"/>
        </w:rPr>
        <w:t xml:space="preserve">Testing of the primary, co-primary and key-secondary efficacy variables of the MP was performed in a 4-step approach using a hierarchical test procedure, to ensure overall type I level of 5%, as described below: </w:t>
      </w:r>
    </w:p>
    <w:p w14:paraId="3BDD1456" w14:textId="53544B35" w:rsidR="005C44CB" w:rsidRPr="005C44CB" w:rsidRDefault="005C44CB" w:rsidP="008A47AB">
      <w:pPr>
        <w:pStyle w:val="ListBullet"/>
      </w:pPr>
      <w:r w:rsidRPr="008A47AB">
        <w:t>Step 1</w:t>
      </w:r>
      <w:r w:rsidRPr="005C44CB">
        <w:t xml:space="preserve">: Primary and co-primary efficacy variables for high-dose vs low-dose </w:t>
      </w:r>
    </w:p>
    <w:p w14:paraId="2B62044E" w14:textId="63D60598" w:rsidR="005C44CB" w:rsidRPr="005C44CB" w:rsidRDefault="005C44CB" w:rsidP="008A47AB">
      <w:pPr>
        <w:pStyle w:val="ListBullet"/>
      </w:pPr>
      <w:r w:rsidRPr="008A47AB">
        <w:t>Step 2</w:t>
      </w:r>
      <w:r w:rsidRPr="005C44CB">
        <w:t>: First key-secondary efficacy variable and co-primary efficacy on sub-population variables for high-dose vs low-dose</w:t>
      </w:r>
    </w:p>
    <w:p w14:paraId="6A4BEEBD" w14:textId="24A19427" w:rsidR="005C44CB" w:rsidRPr="005C44CB" w:rsidRDefault="005C44CB" w:rsidP="008A47AB">
      <w:pPr>
        <w:pStyle w:val="ListBullet"/>
      </w:pPr>
      <w:r w:rsidRPr="008A47AB">
        <w:t>Step 3</w:t>
      </w:r>
      <w:r w:rsidRPr="005C44CB">
        <w:t xml:space="preserve">: Second key-secondary efficacy variable for high-dose vs low-dose and </w:t>
      </w:r>
    </w:p>
    <w:p w14:paraId="7E12B0A8" w14:textId="65BD6047" w:rsidR="005C44CB" w:rsidRPr="005C44CB" w:rsidRDefault="005C44CB" w:rsidP="008A47AB">
      <w:pPr>
        <w:pStyle w:val="ListBullet"/>
      </w:pPr>
      <w:r w:rsidRPr="008A47AB">
        <w:t>Step 4</w:t>
      </w:r>
      <w:r w:rsidRPr="005C44CB">
        <w:t xml:space="preserve">: Primary and co-primary efficacy variables for mid-dose vs </w:t>
      </w:r>
      <w:proofErr w:type="gramStart"/>
      <w:r w:rsidRPr="005C44CB">
        <w:t>low-dose</w:t>
      </w:r>
      <w:proofErr w:type="gramEnd"/>
      <w:r w:rsidRPr="005C44CB">
        <w:t xml:space="preserve"> </w:t>
      </w:r>
    </w:p>
    <w:p w14:paraId="2E1021BB" w14:textId="77777777" w:rsidR="005C44CB" w:rsidRPr="005D7543" w:rsidRDefault="005C44CB" w:rsidP="005C44CB">
      <w:pPr>
        <w:rPr>
          <w:b/>
          <w:bCs/>
          <w:szCs w:val="22"/>
        </w:rPr>
      </w:pPr>
      <w:r w:rsidRPr="005D7543">
        <w:rPr>
          <w:b/>
          <w:bCs/>
          <w:szCs w:val="22"/>
        </w:rPr>
        <w:t>Baseline demographics</w:t>
      </w:r>
    </w:p>
    <w:p w14:paraId="3BEAD0C9" w14:textId="77777777" w:rsidR="005C44CB" w:rsidRDefault="005C44CB" w:rsidP="005C44CB">
      <w:r>
        <w:t xml:space="preserve">350 subjects were randomised in a 2:1:1 ratio. </w:t>
      </w:r>
      <w:r w:rsidRPr="00F80C58">
        <w:t>176 subjects were in the NT 201 high-dose group, 88 were in the NT 201 mid-dose group and 87 were in the NT 201 low-dose group. The overall study completion rate was 94.3%</w:t>
      </w:r>
      <w:r>
        <w:t>, with similar frequency of discontinuations between dose-groups.</w:t>
      </w:r>
    </w:p>
    <w:p w14:paraId="3A587E4B" w14:textId="7AFBB415" w:rsidR="005C44CB" w:rsidRDefault="005C44CB" w:rsidP="005C44CB">
      <w:r>
        <w:t xml:space="preserve">62.9% of subjects were males. Median age was 6.5 years (2 to 17 years). 43.7% of subjects were in the 2 to 5 years age category. 28.3% of subjects had level II and 22.3% of subjects had level III </w:t>
      </w:r>
      <w:r w:rsidRPr="00444CAD">
        <w:t>Gross Motor Function Classification System - Expanded &amp; Revised</w:t>
      </w:r>
      <w:r>
        <w:t xml:space="preserve"> (GMFCS-E&amp;R).  Mean AS score was 2.6 (0.53). </w:t>
      </w:r>
    </w:p>
    <w:p w14:paraId="6FF1E3D3" w14:textId="77777777" w:rsidR="005C44CB" w:rsidRDefault="005C44CB" w:rsidP="005C44CB">
      <w:r>
        <w:t xml:space="preserve">56.6% of subjects were treatment naïve, with regards to botulinum toxin. </w:t>
      </w:r>
    </w:p>
    <w:p w14:paraId="2DBE1B07" w14:textId="74847B43" w:rsidR="005C44CB" w:rsidRPr="005D7543" w:rsidRDefault="005C44CB" w:rsidP="005C44CB">
      <w:pPr>
        <w:rPr>
          <w:b/>
          <w:bCs/>
        </w:rPr>
      </w:pPr>
      <w:r w:rsidRPr="005D7543">
        <w:rPr>
          <w:b/>
          <w:bCs/>
        </w:rPr>
        <w:t>Results</w:t>
      </w:r>
    </w:p>
    <w:p w14:paraId="711F9B4E" w14:textId="77777777" w:rsidR="005C44CB" w:rsidRDefault="005C44CB" w:rsidP="005C44CB">
      <w:r w:rsidRPr="005D7543">
        <w:rPr>
          <w:b/>
          <w:bCs/>
        </w:rPr>
        <w:t>Primary</w:t>
      </w:r>
      <w:r>
        <w:t xml:space="preserve"> </w:t>
      </w:r>
      <w:r w:rsidRPr="005D7543">
        <w:rPr>
          <w:b/>
          <w:bCs/>
        </w:rPr>
        <w:t>outcome</w:t>
      </w:r>
    </w:p>
    <w:p w14:paraId="6495EF47" w14:textId="176ACC09" w:rsidR="005C44CB" w:rsidRDefault="005C44CB" w:rsidP="005C44CB">
      <w:r>
        <w:t xml:space="preserve">The high dose </w:t>
      </w:r>
      <w:r w:rsidR="000A423B">
        <w:t>XEOMIN</w:t>
      </w:r>
      <w:r>
        <w:t xml:space="preserve"> group achieved greater mean change from baseline in AS score in upper limb spasticity, compared to low dose counterpart. The treatment difference was statistically significant. </w:t>
      </w:r>
    </w:p>
    <w:p w14:paraId="1E516D0C" w14:textId="38DE42FE" w:rsidR="00443C09" w:rsidRDefault="00443C09" w:rsidP="00DC7BAD">
      <w:pPr>
        <w:pStyle w:val="TableTitle"/>
      </w:pPr>
      <w:r>
        <w:lastRenderedPageBreak/>
        <w:t xml:space="preserve">Table </w:t>
      </w:r>
      <w:r w:rsidR="001268F4">
        <w:t>7</w:t>
      </w:r>
      <w:r>
        <w:t>: Study 3072 primary outcomes</w:t>
      </w:r>
    </w:p>
    <w:p w14:paraId="61A8B537" w14:textId="41DC8496" w:rsidR="005C44CB" w:rsidRDefault="001D2A53" w:rsidP="00DC7BAD">
      <w:r>
        <w:rPr>
          <w:noProof/>
        </w:rPr>
        <w:drawing>
          <wp:inline distT="0" distB="0" distL="0" distR="0" wp14:anchorId="43D74303" wp14:editId="130E2817">
            <wp:extent cx="5725795" cy="2251881"/>
            <wp:effectExtent l="0" t="0" r="8255" b="0"/>
            <wp:docPr id="28" name="Picture 28" descr="Study 3072 primar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3072 primary outcome"/>
                    <pic:cNvPicPr/>
                  </pic:nvPicPr>
                  <pic:blipFill>
                    <a:blip r:embed="rId32"/>
                    <a:stretch>
                      <a:fillRect/>
                    </a:stretch>
                  </pic:blipFill>
                  <pic:spPr>
                    <a:xfrm>
                      <a:off x="0" y="0"/>
                      <a:ext cx="5777936" cy="2272388"/>
                    </a:xfrm>
                    <a:prstGeom prst="rect">
                      <a:avLst/>
                    </a:prstGeom>
                  </pic:spPr>
                </pic:pic>
              </a:graphicData>
            </a:graphic>
          </wp:inline>
        </w:drawing>
      </w:r>
    </w:p>
    <w:p w14:paraId="015EB4C4" w14:textId="233C69E3" w:rsidR="009A582B" w:rsidRDefault="009A582B" w:rsidP="009A582B">
      <w:r>
        <w:t xml:space="preserve">The step 4 analysis of the primary efficacy variable did not demonstrate statistical separation between mid-dose vs low-dose of </w:t>
      </w:r>
      <w:r w:rsidR="000A423B">
        <w:t>XEOMIN</w:t>
      </w:r>
      <w:r>
        <w:t xml:space="preserve">. The </w:t>
      </w:r>
      <w:r w:rsidR="00616104">
        <w:t>Evaluator</w:t>
      </w:r>
      <w:r>
        <w:t xml:space="preserve"> has highlighted that the magnitude of the treatment effect in both groups was clinically meaningful (LS-Mean changes were -1.02 and -0.96, respectively).</w:t>
      </w:r>
    </w:p>
    <w:p w14:paraId="294980DF" w14:textId="77777777" w:rsidR="009A582B" w:rsidRDefault="009A582B" w:rsidP="009A582B">
      <w:r>
        <w:t>No major differences were found between the dose-groups. The median length of the injection cycle was slightly shorter in the low-dose group (14.43 weeks) than in the other 2 dose-groups (each 15.00 weeks).</w:t>
      </w:r>
    </w:p>
    <w:p w14:paraId="03E1B14D" w14:textId="77777777" w:rsidR="009A582B" w:rsidRPr="005D7543" w:rsidRDefault="009A582B" w:rsidP="009A582B">
      <w:pPr>
        <w:rPr>
          <w:b/>
          <w:bCs/>
        </w:rPr>
      </w:pPr>
      <w:r w:rsidRPr="005D7543">
        <w:rPr>
          <w:b/>
          <w:bCs/>
        </w:rPr>
        <w:t>Co-primary outcome</w:t>
      </w:r>
    </w:p>
    <w:p w14:paraId="045B7E20" w14:textId="21AF2E6F" w:rsidR="009A582B" w:rsidRDefault="009A582B" w:rsidP="009A582B">
      <w:r>
        <w:t xml:space="preserve">Investigator’s GICS was comparable across high and low dose groups of </w:t>
      </w:r>
      <w:r w:rsidR="000A423B">
        <w:t>XEOMIN</w:t>
      </w:r>
      <w:r>
        <w:t xml:space="preserve">. The mean treatment difference did not achieve statistical significance. </w:t>
      </w:r>
    </w:p>
    <w:p w14:paraId="38FF15A0" w14:textId="0748958C" w:rsidR="00503ABF" w:rsidRDefault="00503ABF" w:rsidP="00DC7BAD">
      <w:pPr>
        <w:pStyle w:val="TableTitle"/>
      </w:pPr>
      <w:r>
        <w:t xml:space="preserve">Table </w:t>
      </w:r>
      <w:r w:rsidR="001268F4">
        <w:t>8</w:t>
      </w:r>
      <w:r>
        <w:t xml:space="preserve">: Study </w:t>
      </w:r>
      <w:r w:rsidR="00EB140F">
        <w:t>3072 co-primary outcome</w:t>
      </w:r>
    </w:p>
    <w:p w14:paraId="2AE3D492" w14:textId="79E3D777" w:rsidR="009A582B" w:rsidRDefault="00503ABF" w:rsidP="00DC7BAD">
      <w:r>
        <w:rPr>
          <w:noProof/>
        </w:rPr>
        <w:drawing>
          <wp:inline distT="0" distB="0" distL="0" distR="0" wp14:anchorId="34CDF468" wp14:editId="5C25FD24">
            <wp:extent cx="5730281" cy="146934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8360" cy="1476546"/>
                    </a:xfrm>
                    <a:prstGeom prst="rect">
                      <a:avLst/>
                    </a:prstGeom>
                  </pic:spPr>
                </pic:pic>
              </a:graphicData>
            </a:graphic>
          </wp:inline>
        </w:drawing>
      </w:r>
    </w:p>
    <w:p w14:paraId="5CD8D5DD" w14:textId="77777777" w:rsidR="000C333E" w:rsidRDefault="000C333E" w:rsidP="000C333E">
      <w:r>
        <w:t>Since the co-primary outcome did not achieve statistical significance, secondary outcomes were considered as exploratory.</w:t>
      </w:r>
    </w:p>
    <w:p w14:paraId="05915B73" w14:textId="26CF753F" w:rsidR="00C80800" w:rsidRDefault="000C333E" w:rsidP="000C333E">
      <w:r>
        <w:t xml:space="preserve">Subjects across all three dose groups achieved clinically meaningful improvement in spasticity of upper limb and lower limb (AS scores and GICS).  </w:t>
      </w:r>
    </w:p>
    <w:p w14:paraId="346E0E4A" w14:textId="2B6342A2" w:rsidR="000C333E" w:rsidRPr="005D7543" w:rsidRDefault="005331A9" w:rsidP="005D7543">
      <w:pPr>
        <w:pStyle w:val="Heading5"/>
      </w:pPr>
      <w:r>
        <w:t>U</w:t>
      </w:r>
      <w:r w:rsidRPr="005331A9">
        <w:t xml:space="preserve">pper and lower limb spasticity </w:t>
      </w:r>
      <w:r>
        <w:t xml:space="preserve">- </w:t>
      </w:r>
      <w:r w:rsidR="000C333E" w:rsidRPr="005D7543">
        <w:t xml:space="preserve">Study 3071 </w:t>
      </w:r>
    </w:p>
    <w:p w14:paraId="7D26F99B" w14:textId="0C02240B" w:rsidR="000C333E" w:rsidRDefault="000C333E" w:rsidP="000C333E">
      <w:r>
        <w:t xml:space="preserve">Open label study to investigate the </w:t>
      </w:r>
      <w:r w:rsidR="005331A9">
        <w:t>long-term</w:t>
      </w:r>
      <w:r>
        <w:t xml:space="preserve"> efficacy and safety of </w:t>
      </w:r>
      <w:r w:rsidR="000A423B">
        <w:t>XEOMIN</w:t>
      </w:r>
      <w:r>
        <w:t xml:space="preserve"> for the treatment of upper limb and lower limb spasticity in children and adolescents.</w:t>
      </w:r>
    </w:p>
    <w:p w14:paraId="47B68714" w14:textId="77777777" w:rsidR="00BD155A" w:rsidRDefault="00BD155A" w:rsidP="00BD155A">
      <w:r w:rsidRPr="00546B03">
        <w:t xml:space="preserve">370 subjects </w:t>
      </w:r>
      <w:r>
        <w:t>were eligible and treated. Of these, 124 subjects participated in the lead-in study and 246 subjects were newly recruited. A total of 266 subjects (124 subjects from lead-in and 142 newly recruited subjects) were treated for LL only, whereas 104 newly recruited subjects were treated for combined UL and LLs. Bilateral LL treatment was performed in 212 subjects and unilateral LL treatment in 54 subjects.</w:t>
      </w:r>
    </w:p>
    <w:p w14:paraId="4068EA06" w14:textId="77777777" w:rsidR="00BD155A" w:rsidRDefault="00BD155A" w:rsidP="00BD155A">
      <w:r w:rsidRPr="001E26D4">
        <w:lastRenderedPageBreak/>
        <w:t>C</w:t>
      </w:r>
      <w:r>
        <w:t>hange from baseline</w:t>
      </w:r>
      <w:r w:rsidRPr="001E26D4">
        <w:t xml:space="preserve"> in AS score of plantar flexors showed </w:t>
      </w:r>
      <w:r>
        <w:t xml:space="preserve">numerically higher </w:t>
      </w:r>
      <w:r w:rsidRPr="001E26D4">
        <w:t>improvements from baseline in AS scores from cycle to cycle</w:t>
      </w:r>
      <w:r>
        <w:t>, in both left and right flexors.</w:t>
      </w:r>
    </w:p>
    <w:p w14:paraId="13E6C744" w14:textId="3569BBB0" w:rsidR="00BD155A" w:rsidRPr="00E66CF1" w:rsidRDefault="00BD155A" w:rsidP="00BD155A">
      <w:pPr>
        <w:rPr>
          <w:b/>
          <w:bCs/>
        </w:rPr>
      </w:pPr>
      <w:r w:rsidRPr="00E66CF1">
        <w:rPr>
          <w:b/>
          <w:bCs/>
        </w:rPr>
        <w:t>Blepharospasm</w:t>
      </w:r>
    </w:p>
    <w:p w14:paraId="17774270" w14:textId="25387D78" w:rsidR="00BD155A" w:rsidRDefault="00BD155A" w:rsidP="00BD155A">
      <w:r>
        <w:t xml:space="preserve">Phase III, double blind RCT in adults with bilateral blepharospasm to investigate the efficacy and safety of two doses of </w:t>
      </w:r>
      <w:r w:rsidR="000A423B">
        <w:t>XEOMIN</w:t>
      </w:r>
      <w:r>
        <w:t xml:space="preserve">, compared to </w:t>
      </w:r>
      <w:r w:rsidR="00373096">
        <w:t>PBO</w:t>
      </w:r>
      <w:r>
        <w:t>.</w:t>
      </w:r>
    </w:p>
    <w:p w14:paraId="553C8825" w14:textId="7C3961A5" w:rsidR="00BD155A" w:rsidRDefault="00BD155A" w:rsidP="00BD155A">
      <w:r>
        <w:t xml:space="preserve">Treatment naïve subjects were recruited.  </w:t>
      </w:r>
      <w:r w:rsidR="000A423B">
        <w:t>XEOMIN</w:t>
      </w:r>
      <w:r>
        <w:t xml:space="preserve"> 25 U (NT 201 12.5 U per eye) or 50 U (NT 201 25 U per eye) were administered IM. During the open label phase, all subjects received 1 injection with up to 70 U NT 201 (up to 35 U per eye) in the OLEX. After the treatment, subjects returned to the study site for assessment visits over a total period of 6 to </w:t>
      </w:r>
      <w:r w:rsidRPr="00780C8A">
        <w:t>20 weeks</w:t>
      </w:r>
      <w:r>
        <w:t xml:space="preserve">. </w:t>
      </w:r>
      <w:r w:rsidRPr="00EB2556">
        <w:rPr>
          <w:rFonts w:cs="TimesNewRoman"/>
          <w:lang w:val="en-GB"/>
        </w:rPr>
        <w:t>61 were randomised and received treatment</w:t>
      </w:r>
      <w:r>
        <w:rPr>
          <w:rFonts w:cs="TimesNewRoman"/>
          <w:lang w:val="en-GB"/>
        </w:rPr>
        <w:t>;</w:t>
      </w:r>
      <w:r w:rsidRPr="0038676D">
        <w:t xml:space="preserve"> </w:t>
      </w:r>
      <w:r>
        <w:t>55 (90.2%) subjects completed the MP.</w:t>
      </w:r>
    </w:p>
    <w:p w14:paraId="0E3FDBE5" w14:textId="77777777" w:rsidR="00BD155A" w:rsidRDefault="00BD155A" w:rsidP="00BD155A">
      <w:r>
        <w:t xml:space="preserve">59% of subjects were females. Jankovic Rating Scale (JRS) severity subscore ≥ 2 (0 = no spasm to 4 = severe spasm) was used to rate the severity of spasm at baseline. </w:t>
      </w:r>
    </w:p>
    <w:p w14:paraId="42E39B9C" w14:textId="77777777" w:rsidR="00BD155A" w:rsidRDefault="00BD155A" w:rsidP="00BD155A">
      <w:r>
        <w:t>Primary efficacy variable was change from baseline in JRS severity subscore at Week 6.</w:t>
      </w:r>
    </w:p>
    <w:p w14:paraId="30D58B16" w14:textId="4063FC9D" w:rsidR="00BD155A" w:rsidRDefault="00BD155A" w:rsidP="00BD155A">
      <w:r>
        <w:t xml:space="preserve">At week 6, both 25 U and 50U of </w:t>
      </w:r>
      <w:r w:rsidR="000A423B">
        <w:t>XEOMIN</w:t>
      </w:r>
      <w:r>
        <w:t xml:space="preserve"> achieved greater reduction in JRS score. Statistical significance was achieved for the 50U arm.</w:t>
      </w:r>
    </w:p>
    <w:p w14:paraId="6858B3A1" w14:textId="0332378B" w:rsidR="00C80800" w:rsidRDefault="00C80800" w:rsidP="00DC7BAD">
      <w:pPr>
        <w:pStyle w:val="TableTitle"/>
      </w:pPr>
      <w:r>
        <w:t>Table</w:t>
      </w:r>
      <w:r w:rsidR="001268F4">
        <w:t xml:space="preserve"> 9</w:t>
      </w:r>
      <w:r>
        <w:t>: Study 307</w:t>
      </w:r>
      <w:r w:rsidR="00DB41BC">
        <w:t>4</w:t>
      </w:r>
      <w:r>
        <w:t xml:space="preserve"> Efficacy outcome</w:t>
      </w:r>
    </w:p>
    <w:p w14:paraId="3EFF226F" w14:textId="5EC0EFF2" w:rsidR="000C333E" w:rsidRDefault="00C80800" w:rsidP="00DC7BAD">
      <w:r>
        <w:rPr>
          <w:noProof/>
        </w:rPr>
        <w:drawing>
          <wp:inline distT="0" distB="0" distL="0" distR="0" wp14:anchorId="2AC1F7F3" wp14:editId="7B4F1F0E">
            <wp:extent cx="5515610" cy="23815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1502" cy="2431574"/>
                    </a:xfrm>
                    <a:prstGeom prst="rect">
                      <a:avLst/>
                    </a:prstGeom>
                  </pic:spPr>
                </pic:pic>
              </a:graphicData>
            </a:graphic>
          </wp:inline>
        </w:drawing>
      </w:r>
    </w:p>
    <w:p w14:paraId="234AE4CE" w14:textId="416FBA27" w:rsidR="00D810BF" w:rsidRDefault="005F1DC8">
      <w:r>
        <w:t xml:space="preserve">During the open label phase, 39 patients received an injection of </w:t>
      </w:r>
      <w:r w:rsidR="000A423B">
        <w:t>XEOMIN</w:t>
      </w:r>
      <w:r>
        <w:t xml:space="preserve"> at a mean dose of 25 U (Range: 15-30 U) per eye, with median duration of the treatment interval of 19.9 weeks. Over the course of the </w:t>
      </w:r>
      <w:r w:rsidR="001268F4">
        <w:t>study</w:t>
      </w:r>
      <w:r>
        <w:t>, mean JRS severity sub-score decreased from baseline notably in all 3 treatment-groups (PBO/NT 201 70 U; NT 201 25 U/NT 201 70 U; NT 201 50 U/NT 201 70 U; Range: -1.1 to -1.3), with the best results obtained at the OLEX Week 6 visit.</w:t>
      </w:r>
    </w:p>
    <w:p w14:paraId="1D61B245" w14:textId="77777777" w:rsidR="00D810BF" w:rsidRDefault="00D810BF" w:rsidP="00D810BF">
      <w:pPr>
        <w:pStyle w:val="Heading4"/>
      </w:pPr>
      <w:bookmarkStart w:id="58" w:name="_Toc170887911"/>
      <w:r w:rsidRPr="00AA53F4">
        <w:t>Safety</w:t>
      </w:r>
      <w:bookmarkEnd w:id="58"/>
    </w:p>
    <w:p w14:paraId="5DBF0E4E" w14:textId="27E51D4D" w:rsidR="00D810BF" w:rsidRDefault="00330CB9" w:rsidP="008A47AB">
      <w:pPr>
        <w:pStyle w:val="TableTitle"/>
      </w:pPr>
      <w:r>
        <w:t xml:space="preserve">Table </w:t>
      </w:r>
      <w:r w:rsidR="001268F4">
        <w:t>10</w:t>
      </w:r>
      <w:r>
        <w:t xml:space="preserve">: </w:t>
      </w:r>
      <w:r w:rsidR="00D810BF">
        <w:t>Treatment exposure</w:t>
      </w:r>
    </w:p>
    <w:tbl>
      <w:tblPr>
        <w:tblStyle w:val="TableTGAblue2023"/>
        <w:tblW w:w="9209" w:type="dxa"/>
        <w:tblLayout w:type="fixed"/>
        <w:tblLook w:val="04A0" w:firstRow="1" w:lastRow="0" w:firstColumn="1" w:lastColumn="0" w:noHBand="0" w:noVBand="1"/>
      </w:tblPr>
      <w:tblGrid>
        <w:gridCol w:w="3114"/>
        <w:gridCol w:w="1417"/>
        <w:gridCol w:w="1560"/>
        <w:gridCol w:w="1701"/>
        <w:gridCol w:w="1417"/>
      </w:tblGrid>
      <w:tr w:rsidR="00D810BF" w:rsidRPr="00FA1BC9" w14:paraId="5C8ABE42" w14:textId="77777777" w:rsidTr="008A47AB">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594B083" w14:textId="77777777" w:rsidR="00D810BF" w:rsidRPr="00FA1BC9" w:rsidRDefault="00D810BF" w:rsidP="00DC7BAD">
            <w:pPr>
              <w:contextualSpacing/>
            </w:pPr>
            <w:r w:rsidRPr="00FA1BC9">
              <w:t>Study type/</w:t>
            </w:r>
            <w:r w:rsidRPr="00FA1BC9">
              <w:br/>
              <w:t>Indication</w:t>
            </w:r>
          </w:p>
        </w:tc>
        <w:tc>
          <w:tcPr>
            <w:tcW w:w="2977" w:type="dxa"/>
            <w:gridSpan w:val="2"/>
          </w:tcPr>
          <w:p w14:paraId="344453D4" w14:textId="77777777" w:rsidR="00D810BF" w:rsidRPr="00FA1BC9" w:rsidRDefault="00D810BF" w:rsidP="00DC7BAD">
            <w:pPr>
              <w:contextualSpacing/>
              <w:cnfStyle w:val="100000000000" w:firstRow="1" w:lastRow="0" w:firstColumn="0" w:lastColumn="0" w:oddVBand="0" w:evenVBand="0" w:oddHBand="0" w:evenHBand="0" w:firstRowFirstColumn="0" w:firstRowLastColumn="0" w:lastRowFirstColumn="0" w:lastRowLastColumn="0"/>
            </w:pPr>
            <w:r w:rsidRPr="00FA1BC9">
              <w:t>Controlled studies</w:t>
            </w:r>
          </w:p>
        </w:tc>
        <w:tc>
          <w:tcPr>
            <w:tcW w:w="1701" w:type="dxa"/>
          </w:tcPr>
          <w:p w14:paraId="7F4AD0AE" w14:textId="0D355A07" w:rsidR="00D810BF" w:rsidRPr="00FA1BC9" w:rsidRDefault="00D810BF" w:rsidP="008A47AB">
            <w:pPr>
              <w:contextualSpacing/>
              <w:cnfStyle w:val="100000000000" w:firstRow="1" w:lastRow="0" w:firstColumn="0" w:lastColumn="0" w:oddVBand="0" w:evenVBand="0" w:oddHBand="0" w:evenHBand="0" w:firstRowFirstColumn="0" w:firstRowLastColumn="0" w:lastRowFirstColumn="0" w:lastRowLastColumn="0"/>
            </w:pPr>
            <w:proofErr w:type="spellStart"/>
            <w:r w:rsidRPr="00FA1BC9">
              <w:t>Uncontrolledstudies</w:t>
            </w:r>
            <w:proofErr w:type="spellEnd"/>
          </w:p>
        </w:tc>
        <w:tc>
          <w:tcPr>
            <w:tcW w:w="1417" w:type="dxa"/>
            <w:vMerge w:val="restart"/>
          </w:tcPr>
          <w:p w14:paraId="20404459" w14:textId="64EA1891" w:rsidR="00D810BF" w:rsidRPr="00FA1BC9" w:rsidRDefault="00D810BF" w:rsidP="008A47AB">
            <w:pPr>
              <w:contextualSpacing/>
              <w:cnfStyle w:val="100000000000" w:firstRow="1" w:lastRow="0" w:firstColumn="0" w:lastColumn="0" w:oddVBand="0" w:evenVBand="0" w:oddHBand="0" w:evenHBand="0" w:firstRowFirstColumn="0" w:firstRowLastColumn="0" w:lastRowFirstColumn="0" w:lastRowLastColumn="0"/>
            </w:pPr>
            <w:r w:rsidRPr="00FA1BC9">
              <w:t>Total</w:t>
            </w:r>
            <w:r w:rsidR="008A47AB">
              <w:br/>
            </w:r>
            <w:r>
              <w:t>NT 201</w:t>
            </w:r>
          </w:p>
        </w:tc>
      </w:tr>
      <w:tr w:rsidR="00D810BF" w:rsidRPr="00FA1BC9" w14:paraId="51972E65" w14:textId="77777777" w:rsidTr="008A47AB">
        <w:trPr>
          <w:trHeight w:val="106"/>
        </w:trPr>
        <w:tc>
          <w:tcPr>
            <w:cnfStyle w:val="001000000000" w:firstRow="0" w:lastRow="0" w:firstColumn="1" w:lastColumn="0" w:oddVBand="0" w:evenVBand="0" w:oddHBand="0" w:evenHBand="0" w:firstRowFirstColumn="0" w:firstRowLastColumn="0" w:lastRowFirstColumn="0" w:lastRowLastColumn="0"/>
            <w:tcW w:w="3114" w:type="dxa"/>
            <w:vMerge/>
          </w:tcPr>
          <w:p w14:paraId="51B1BF18" w14:textId="77777777" w:rsidR="00D810BF" w:rsidRPr="00FA1BC9" w:rsidRDefault="00D810BF" w:rsidP="00DC7BAD">
            <w:pPr>
              <w:contextualSpacing/>
            </w:pPr>
          </w:p>
        </w:tc>
        <w:tc>
          <w:tcPr>
            <w:tcW w:w="1417" w:type="dxa"/>
          </w:tcPr>
          <w:p w14:paraId="2AFCE2BF"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NT 201</w:t>
            </w:r>
          </w:p>
        </w:tc>
        <w:tc>
          <w:tcPr>
            <w:tcW w:w="1560" w:type="dxa"/>
          </w:tcPr>
          <w:p w14:paraId="31494315" w14:textId="05E0D345"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rsidRPr="00FA1BC9">
              <w:t>Placebo</w:t>
            </w:r>
          </w:p>
        </w:tc>
        <w:tc>
          <w:tcPr>
            <w:tcW w:w="1701" w:type="dxa"/>
          </w:tcPr>
          <w:p w14:paraId="629F4263"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NT 201</w:t>
            </w:r>
          </w:p>
        </w:tc>
        <w:tc>
          <w:tcPr>
            <w:tcW w:w="1417" w:type="dxa"/>
            <w:vMerge/>
          </w:tcPr>
          <w:p w14:paraId="12C2ADEE"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r>
      <w:tr w:rsidR="00D810BF" w:rsidRPr="00FA1BC9" w14:paraId="24935C5B" w14:textId="77777777" w:rsidTr="008A47AB">
        <w:trPr>
          <w:trHeight w:val="725"/>
        </w:trPr>
        <w:tc>
          <w:tcPr>
            <w:cnfStyle w:val="001000000000" w:firstRow="0" w:lastRow="0" w:firstColumn="1" w:lastColumn="0" w:oddVBand="0" w:evenVBand="0" w:oddHBand="0" w:evenHBand="0" w:firstRowFirstColumn="0" w:firstRowLastColumn="0" w:lastRowFirstColumn="0" w:lastRowLastColumn="0"/>
            <w:tcW w:w="3114" w:type="dxa"/>
          </w:tcPr>
          <w:p w14:paraId="2FDBB59B" w14:textId="77777777" w:rsidR="00D810BF" w:rsidRPr="00FA1BC9" w:rsidRDefault="00D810BF" w:rsidP="00DC7BAD">
            <w:pPr>
              <w:contextualSpacing/>
            </w:pPr>
            <w:r>
              <w:t>Sialorrhea in children and adolescents</w:t>
            </w:r>
          </w:p>
        </w:tc>
        <w:tc>
          <w:tcPr>
            <w:tcW w:w="1417" w:type="dxa"/>
          </w:tcPr>
          <w:p w14:paraId="1AD2B7C7"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560" w:type="dxa"/>
          </w:tcPr>
          <w:p w14:paraId="7C4845DB"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701" w:type="dxa"/>
          </w:tcPr>
          <w:p w14:paraId="7BACD412"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417" w:type="dxa"/>
          </w:tcPr>
          <w:p w14:paraId="3050BDF0"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r>
      <w:tr w:rsidR="00D810BF" w:rsidRPr="00FA1BC9" w14:paraId="5008C6AB" w14:textId="77777777" w:rsidTr="008A47AB">
        <w:trPr>
          <w:trHeight w:val="353"/>
        </w:trPr>
        <w:tc>
          <w:tcPr>
            <w:cnfStyle w:val="001000000000" w:firstRow="0" w:lastRow="0" w:firstColumn="1" w:lastColumn="0" w:oddVBand="0" w:evenVBand="0" w:oddHBand="0" w:evenHBand="0" w:firstRowFirstColumn="0" w:firstRowLastColumn="0" w:lastRowFirstColumn="0" w:lastRowLastColumn="0"/>
            <w:tcW w:w="3114" w:type="dxa"/>
          </w:tcPr>
          <w:p w14:paraId="444AE36E" w14:textId="77777777" w:rsidR="00D810BF" w:rsidRPr="00FA1BC9" w:rsidRDefault="00D810BF" w:rsidP="00DC7BAD">
            <w:pPr>
              <w:contextualSpacing/>
            </w:pPr>
            <w:r w:rsidRPr="00FA1BC9">
              <w:t>Pivotal/Main</w:t>
            </w:r>
          </w:p>
        </w:tc>
        <w:tc>
          <w:tcPr>
            <w:tcW w:w="1417" w:type="dxa"/>
          </w:tcPr>
          <w:p w14:paraId="0803BAAC" w14:textId="77777777" w:rsidR="00D810BF" w:rsidRPr="00EB1C5F"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sidRPr="00EB1C5F">
              <w:rPr>
                <w:bCs/>
              </w:rPr>
              <w:t>148</w:t>
            </w:r>
          </w:p>
        </w:tc>
        <w:tc>
          <w:tcPr>
            <w:tcW w:w="1560" w:type="dxa"/>
          </w:tcPr>
          <w:p w14:paraId="41139289" w14:textId="0424686E" w:rsidR="00D810BF" w:rsidRPr="00EB1C5F"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sidRPr="00EB1C5F">
              <w:rPr>
                <w:bCs/>
              </w:rPr>
              <w:t>72</w:t>
            </w:r>
          </w:p>
        </w:tc>
        <w:tc>
          <w:tcPr>
            <w:tcW w:w="1701" w:type="dxa"/>
          </w:tcPr>
          <w:p w14:paraId="26E965EA" w14:textId="77777777" w:rsidR="00D810BF" w:rsidRPr="00EB1C5F"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Pr>
                <w:bCs/>
              </w:rPr>
              <w:t>64</w:t>
            </w:r>
          </w:p>
        </w:tc>
        <w:tc>
          <w:tcPr>
            <w:tcW w:w="1417" w:type="dxa"/>
          </w:tcPr>
          <w:p w14:paraId="62F79B2C" w14:textId="77777777" w:rsidR="00D810BF" w:rsidRPr="00EB1C5F"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Pr>
                <w:bCs/>
              </w:rPr>
              <w:t>212</w:t>
            </w:r>
          </w:p>
        </w:tc>
      </w:tr>
      <w:tr w:rsidR="00D810BF" w:rsidRPr="00FA1BC9" w14:paraId="714D6F43" w14:textId="77777777" w:rsidTr="008A47AB">
        <w:trPr>
          <w:trHeight w:val="539"/>
        </w:trPr>
        <w:tc>
          <w:tcPr>
            <w:cnfStyle w:val="001000000000" w:firstRow="0" w:lastRow="0" w:firstColumn="1" w:lastColumn="0" w:oddVBand="0" w:evenVBand="0" w:oddHBand="0" w:evenHBand="0" w:firstRowFirstColumn="0" w:firstRowLastColumn="0" w:lastRowFirstColumn="0" w:lastRowLastColumn="0"/>
            <w:tcW w:w="3114" w:type="dxa"/>
          </w:tcPr>
          <w:p w14:paraId="7BBA663C" w14:textId="77777777" w:rsidR="00D810BF" w:rsidRDefault="00D810BF" w:rsidP="00DC7BAD">
            <w:pPr>
              <w:contextualSpacing/>
            </w:pPr>
            <w:r>
              <w:lastRenderedPageBreak/>
              <w:t>Sialorrhea in adults</w:t>
            </w:r>
          </w:p>
        </w:tc>
        <w:tc>
          <w:tcPr>
            <w:tcW w:w="1417" w:type="dxa"/>
          </w:tcPr>
          <w:p w14:paraId="38F0FD04"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560" w:type="dxa"/>
          </w:tcPr>
          <w:p w14:paraId="02EA38F1"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701" w:type="dxa"/>
          </w:tcPr>
          <w:p w14:paraId="6E972919"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417" w:type="dxa"/>
          </w:tcPr>
          <w:p w14:paraId="3810A317"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r>
      <w:tr w:rsidR="00D810BF" w:rsidRPr="00FA1BC9" w14:paraId="7057B0A5" w14:textId="77777777" w:rsidTr="008A47AB">
        <w:trPr>
          <w:trHeight w:val="362"/>
        </w:trPr>
        <w:tc>
          <w:tcPr>
            <w:cnfStyle w:val="001000000000" w:firstRow="0" w:lastRow="0" w:firstColumn="1" w:lastColumn="0" w:oddVBand="0" w:evenVBand="0" w:oddHBand="0" w:evenHBand="0" w:firstRowFirstColumn="0" w:firstRowLastColumn="0" w:lastRowFirstColumn="0" w:lastRowLastColumn="0"/>
            <w:tcW w:w="3114" w:type="dxa"/>
          </w:tcPr>
          <w:p w14:paraId="42B2493D" w14:textId="77777777" w:rsidR="00D810BF" w:rsidRPr="00B504D7" w:rsidRDefault="00D810BF" w:rsidP="00DC7BAD">
            <w:pPr>
              <w:contextualSpacing/>
            </w:pPr>
            <w:r w:rsidRPr="00B504D7">
              <w:t>Pivotal/Main</w:t>
            </w:r>
          </w:p>
        </w:tc>
        <w:tc>
          <w:tcPr>
            <w:tcW w:w="1417" w:type="dxa"/>
          </w:tcPr>
          <w:p w14:paraId="4CB07237" w14:textId="77777777" w:rsidR="00D810BF" w:rsidRPr="00B504D7"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sidRPr="00B504D7">
              <w:rPr>
                <w:bCs/>
              </w:rPr>
              <w:t>148</w:t>
            </w:r>
          </w:p>
        </w:tc>
        <w:tc>
          <w:tcPr>
            <w:tcW w:w="1560" w:type="dxa"/>
          </w:tcPr>
          <w:p w14:paraId="52319D2E" w14:textId="67401B9C" w:rsidR="00D810BF" w:rsidRPr="00B504D7"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sidRPr="00B504D7">
              <w:rPr>
                <w:bCs/>
              </w:rPr>
              <w:t>36</w:t>
            </w:r>
          </w:p>
        </w:tc>
        <w:tc>
          <w:tcPr>
            <w:tcW w:w="1701" w:type="dxa"/>
          </w:tcPr>
          <w:p w14:paraId="5467CF0B" w14:textId="77777777" w:rsidR="00D810BF" w:rsidRPr="00B504D7"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sidRPr="00B504D7">
              <w:rPr>
                <w:bCs/>
              </w:rPr>
              <w:t>24</w:t>
            </w:r>
          </w:p>
        </w:tc>
        <w:tc>
          <w:tcPr>
            <w:tcW w:w="1417" w:type="dxa"/>
          </w:tcPr>
          <w:p w14:paraId="2D7EB0F7" w14:textId="77777777" w:rsidR="00D810BF" w:rsidRPr="00B504D7" w:rsidRDefault="00D810BF" w:rsidP="00DC7BAD">
            <w:pPr>
              <w:contextualSpacing/>
              <w:cnfStyle w:val="000000000000" w:firstRow="0" w:lastRow="0" w:firstColumn="0" w:lastColumn="0" w:oddVBand="0" w:evenVBand="0" w:oddHBand="0" w:evenHBand="0" w:firstRowFirstColumn="0" w:firstRowLastColumn="0" w:lastRowFirstColumn="0" w:lastRowLastColumn="0"/>
              <w:rPr>
                <w:bCs/>
              </w:rPr>
            </w:pPr>
            <w:r w:rsidRPr="00B504D7">
              <w:rPr>
                <w:bCs/>
              </w:rPr>
              <w:t>172</w:t>
            </w:r>
          </w:p>
        </w:tc>
      </w:tr>
      <w:tr w:rsidR="00D810BF" w:rsidRPr="00FA1BC9" w14:paraId="6364A298" w14:textId="77777777" w:rsidTr="008A47AB">
        <w:trPr>
          <w:trHeight w:val="715"/>
        </w:trPr>
        <w:tc>
          <w:tcPr>
            <w:cnfStyle w:val="001000000000" w:firstRow="0" w:lastRow="0" w:firstColumn="1" w:lastColumn="0" w:oddVBand="0" w:evenVBand="0" w:oddHBand="0" w:evenHBand="0" w:firstRowFirstColumn="0" w:firstRowLastColumn="0" w:lastRowFirstColumn="0" w:lastRowLastColumn="0"/>
            <w:tcW w:w="3114" w:type="dxa"/>
          </w:tcPr>
          <w:p w14:paraId="6F209DA1" w14:textId="77777777" w:rsidR="00D810BF" w:rsidRPr="00FA1BC9" w:rsidRDefault="00D810BF" w:rsidP="00DC7BAD">
            <w:pPr>
              <w:contextualSpacing/>
            </w:pPr>
            <w:r>
              <w:t>Spasticity in children and adolescents</w:t>
            </w:r>
          </w:p>
        </w:tc>
        <w:tc>
          <w:tcPr>
            <w:tcW w:w="1417" w:type="dxa"/>
          </w:tcPr>
          <w:p w14:paraId="514C14B6"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560" w:type="dxa"/>
          </w:tcPr>
          <w:p w14:paraId="68EE0552"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701" w:type="dxa"/>
          </w:tcPr>
          <w:p w14:paraId="0E4F0FD5"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417" w:type="dxa"/>
          </w:tcPr>
          <w:p w14:paraId="0A1F0738"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r>
      <w:tr w:rsidR="00D810BF" w:rsidRPr="00FA1BC9" w14:paraId="20456058" w14:textId="77777777" w:rsidTr="008A47AB">
        <w:trPr>
          <w:trHeight w:val="362"/>
        </w:trPr>
        <w:tc>
          <w:tcPr>
            <w:cnfStyle w:val="001000000000" w:firstRow="0" w:lastRow="0" w:firstColumn="1" w:lastColumn="0" w:oddVBand="0" w:evenVBand="0" w:oddHBand="0" w:evenHBand="0" w:firstRowFirstColumn="0" w:firstRowLastColumn="0" w:lastRowFirstColumn="0" w:lastRowLastColumn="0"/>
            <w:tcW w:w="3114" w:type="dxa"/>
          </w:tcPr>
          <w:p w14:paraId="26BE845A" w14:textId="77777777" w:rsidR="00D810BF" w:rsidRPr="00FA1BC9" w:rsidRDefault="00D810BF" w:rsidP="00DC7BAD">
            <w:pPr>
              <w:contextualSpacing/>
            </w:pPr>
            <w:r>
              <w:t>Pivotal/Dose-response</w:t>
            </w:r>
          </w:p>
        </w:tc>
        <w:tc>
          <w:tcPr>
            <w:tcW w:w="1417" w:type="dxa"/>
          </w:tcPr>
          <w:p w14:paraId="75E83015"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661</w:t>
            </w:r>
          </w:p>
        </w:tc>
        <w:tc>
          <w:tcPr>
            <w:tcW w:w="1560" w:type="dxa"/>
          </w:tcPr>
          <w:p w14:paraId="6CA50091" w14:textId="22A4B7C0"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0</w:t>
            </w:r>
          </w:p>
        </w:tc>
        <w:tc>
          <w:tcPr>
            <w:tcW w:w="1701" w:type="dxa"/>
          </w:tcPr>
          <w:p w14:paraId="1113B82F"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n/a</w:t>
            </w:r>
          </w:p>
        </w:tc>
        <w:tc>
          <w:tcPr>
            <w:tcW w:w="1417" w:type="dxa"/>
          </w:tcPr>
          <w:p w14:paraId="3C8DA024"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661</w:t>
            </w:r>
          </w:p>
        </w:tc>
      </w:tr>
      <w:tr w:rsidR="00D810BF" w:rsidRPr="00FA1BC9" w14:paraId="0BFAA3C0" w14:textId="77777777" w:rsidTr="008A47AB">
        <w:trPr>
          <w:trHeight w:val="353"/>
        </w:trPr>
        <w:tc>
          <w:tcPr>
            <w:cnfStyle w:val="001000000000" w:firstRow="0" w:lastRow="0" w:firstColumn="1" w:lastColumn="0" w:oddVBand="0" w:evenVBand="0" w:oddHBand="0" w:evenHBand="0" w:firstRowFirstColumn="0" w:firstRowLastColumn="0" w:lastRowFirstColumn="0" w:lastRowLastColumn="0"/>
            <w:tcW w:w="3114" w:type="dxa"/>
          </w:tcPr>
          <w:p w14:paraId="208DCC97" w14:textId="77777777" w:rsidR="00D810BF" w:rsidRPr="00FA1BC9" w:rsidRDefault="00D810BF" w:rsidP="00DC7BAD">
            <w:pPr>
              <w:contextualSpacing/>
            </w:pPr>
            <w:r w:rsidRPr="00FA1BC9">
              <w:t>Other</w:t>
            </w:r>
          </w:p>
        </w:tc>
        <w:tc>
          <w:tcPr>
            <w:tcW w:w="1417" w:type="dxa"/>
          </w:tcPr>
          <w:p w14:paraId="7AEE6E4E"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n/a</w:t>
            </w:r>
          </w:p>
        </w:tc>
        <w:tc>
          <w:tcPr>
            <w:tcW w:w="1560" w:type="dxa"/>
          </w:tcPr>
          <w:p w14:paraId="3D9D3FA8" w14:textId="12592B52"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n/a</w:t>
            </w:r>
          </w:p>
        </w:tc>
        <w:tc>
          <w:tcPr>
            <w:tcW w:w="1701" w:type="dxa"/>
          </w:tcPr>
          <w:p w14:paraId="549FEA05"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370</w:t>
            </w:r>
          </w:p>
        </w:tc>
        <w:tc>
          <w:tcPr>
            <w:tcW w:w="1417" w:type="dxa"/>
          </w:tcPr>
          <w:p w14:paraId="15E1A16E"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370</w:t>
            </w:r>
          </w:p>
        </w:tc>
      </w:tr>
      <w:tr w:rsidR="00D810BF" w:rsidRPr="00FA1BC9" w14:paraId="71079650" w14:textId="77777777" w:rsidTr="008A47AB">
        <w:trPr>
          <w:trHeight w:val="353"/>
        </w:trPr>
        <w:tc>
          <w:tcPr>
            <w:cnfStyle w:val="001000000000" w:firstRow="0" w:lastRow="0" w:firstColumn="1" w:lastColumn="0" w:oddVBand="0" w:evenVBand="0" w:oddHBand="0" w:evenHBand="0" w:firstRowFirstColumn="0" w:firstRowLastColumn="0" w:lastRowFirstColumn="0" w:lastRowLastColumn="0"/>
            <w:tcW w:w="3114" w:type="dxa"/>
          </w:tcPr>
          <w:p w14:paraId="2968A55D" w14:textId="77777777" w:rsidR="00D810BF" w:rsidRPr="00FA1BC9" w:rsidRDefault="00D810BF" w:rsidP="00DC7BAD">
            <w:pPr>
              <w:contextualSpacing/>
            </w:pPr>
            <w:r w:rsidRPr="00FA1BC9">
              <w:t>Subtotal</w:t>
            </w:r>
          </w:p>
        </w:tc>
        <w:tc>
          <w:tcPr>
            <w:tcW w:w="1417" w:type="dxa"/>
          </w:tcPr>
          <w:p w14:paraId="2E9CA57F"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661</w:t>
            </w:r>
          </w:p>
        </w:tc>
        <w:tc>
          <w:tcPr>
            <w:tcW w:w="1560" w:type="dxa"/>
          </w:tcPr>
          <w:p w14:paraId="60D9878B" w14:textId="23032DC8"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0</w:t>
            </w:r>
          </w:p>
        </w:tc>
        <w:tc>
          <w:tcPr>
            <w:tcW w:w="1701" w:type="dxa"/>
          </w:tcPr>
          <w:p w14:paraId="1431CD45"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370</w:t>
            </w:r>
          </w:p>
        </w:tc>
        <w:tc>
          <w:tcPr>
            <w:tcW w:w="1417" w:type="dxa"/>
          </w:tcPr>
          <w:p w14:paraId="559C8783"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1031</w:t>
            </w:r>
          </w:p>
        </w:tc>
      </w:tr>
      <w:tr w:rsidR="00D810BF" w:rsidRPr="00FA1BC9" w14:paraId="0E88ED0E" w14:textId="77777777" w:rsidTr="008A47AB">
        <w:trPr>
          <w:trHeight w:val="353"/>
        </w:trPr>
        <w:tc>
          <w:tcPr>
            <w:cnfStyle w:val="001000000000" w:firstRow="0" w:lastRow="0" w:firstColumn="1" w:lastColumn="0" w:oddVBand="0" w:evenVBand="0" w:oddHBand="0" w:evenHBand="0" w:firstRowFirstColumn="0" w:firstRowLastColumn="0" w:lastRowFirstColumn="0" w:lastRowLastColumn="0"/>
            <w:tcW w:w="3114" w:type="dxa"/>
          </w:tcPr>
          <w:p w14:paraId="4B1E6037" w14:textId="77777777" w:rsidR="00D810BF" w:rsidRPr="00FA1BC9" w:rsidRDefault="00D810BF" w:rsidP="00DC7BAD">
            <w:pPr>
              <w:contextualSpacing/>
            </w:pPr>
            <w:r>
              <w:t>HFS in adults*</w:t>
            </w:r>
          </w:p>
        </w:tc>
        <w:tc>
          <w:tcPr>
            <w:tcW w:w="1417" w:type="dxa"/>
          </w:tcPr>
          <w:p w14:paraId="675E0036"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560" w:type="dxa"/>
          </w:tcPr>
          <w:p w14:paraId="50183969"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701" w:type="dxa"/>
          </w:tcPr>
          <w:p w14:paraId="4C5F5878"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c>
          <w:tcPr>
            <w:tcW w:w="1417" w:type="dxa"/>
          </w:tcPr>
          <w:p w14:paraId="00D1DFF2"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p>
        </w:tc>
      </w:tr>
      <w:tr w:rsidR="00D810BF" w:rsidRPr="00FA1BC9" w14:paraId="3893B0FC" w14:textId="77777777" w:rsidTr="008A47AB">
        <w:trPr>
          <w:trHeight w:val="353"/>
        </w:trPr>
        <w:tc>
          <w:tcPr>
            <w:cnfStyle w:val="001000000000" w:firstRow="0" w:lastRow="0" w:firstColumn="1" w:lastColumn="0" w:oddVBand="0" w:evenVBand="0" w:oddHBand="0" w:evenHBand="0" w:firstRowFirstColumn="0" w:firstRowLastColumn="0" w:lastRowFirstColumn="0" w:lastRowLastColumn="0"/>
            <w:tcW w:w="3114" w:type="dxa"/>
          </w:tcPr>
          <w:p w14:paraId="35FAF706" w14:textId="77777777" w:rsidR="00D810BF" w:rsidRPr="00FA1BC9" w:rsidRDefault="00D810BF" w:rsidP="00DC7BAD">
            <w:pPr>
              <w:contextualSpacing/>
            </w:pPr>
            <w:r w:rsidRPr="00FA1BC9">
              <w:t>Main</w:t>
            </w:r>
          </w:p>
        </w:tc>
        <w:tc>
          <w:tcPr>
            <w:tcW w:w="1417" w:type="dxa"/>
          </w:tcPr>
          <w:p w14:paraId="77E3645A" w14:textId="77777777" w:rsidR="00D810BF" w:rsidRPr="006849FB" w:rsidRDefault="00D810BF" w:rsidP="00DC7BAD">
            <w:pPr>
              <w:contextualSpacing/>
              <w:cnfStyle w:val="000000000000" w:firstRow="0" w:lastRow="0" w:firstColumn="0" w:lastColumn="0" w:oddVBand="0" w:evenVBand="0" w:oddHBand="0" w:evenHBand="0" w:firstRowFirstColumn="0" w:firstRowLastColumn="0" w:lastRowFirstColumn="0" w:lastRowLastColumn="0"/>
            </w:pPr>
            <w:r w:rsidRPr="006849FB">
              <w:t>182</w:t>
            </w:r>
          </w:p>
        </w:tc>
        <w:tc>
          <w:tcPr>
            <w:tcW w:w="1560" w:type="dxa"/>
          </w:tcPr>
          <w:p w14:paraId="1855BA0D" w14:textId="7E34D891" w:rsidR="00D810BF" w:rsidRPr="006849FB" w:rsidRDefault="00D810BF" w:rsidP="00DC7BAD">
            <w:pPr>
              <w:contextualSpacing/>
              <w:cnfStyle w:val="000000000000" w:firstRow="0" w:lastRow="0" w:firstColumn="0" w:lastColumn="0" w:oddVBand="0" w:evenVBand="0" w:oddHBand="0" w:evenHBand="0" w:firstRowFirstColumn="0" w:firstRowLastColumn="0" w:lastRowFirstColumn="0" w:lastRowLastColumn="0"/>
            </w:pPr>
            <w:r w:rsidRPr="006849FB">
              <w:t>11</w:t>
            </w:r>
          </w:p>
        </w:tc>
        <w:tc>
          <w:tcPr>
            <w:tcW w:w="1701" w:type="dxa"/>
          </w:tcPr>
          <w:p w14:paraId="2BCF3FB1" w14:textId="77777777" w:rsidR="00D810BF" w:rsidRPr="006849FB" w:rsidRDefault="00D810BF" w:rsidP="00DC7BAD">
            <w:pPr>
              <w:contextualSpacing/>
              <w:cnfStyle w:val="000000000000" w:firstRow="0" w:lastRow="0" w:firstColumn="0" w:lastColumn="0" w:oddVBand="0" w:evenVBand="0" w:oddHBand="0" w:evenHBand="0" w:firstRowFirstColumn="0" w:firstRowLastColumn="0" w:lastRowFirstColumn="0" w:lastRowLastColumn="0"/>
            </w:pPr>
            <w:r>
              <w:t>95</w:t>
            </w:r>
          </w:p>
        </w:tc>
        <w:tc>
          <w:tcPr>
            <w:tcW w:w="1417" w:type="dxa"/>
          </w:tcPr>
          <w:p w14:paraId="48CB4144"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277</w:t>
            </w:r>
          </w:p>
        </w:tc>
      </w:tr>
      <w:tr w:rsidR="00D810BF" w:rsidRPr="00FA1BC9" w14:paraId="2A53653E" w14:textId="77777777" w:rsidTr="008A47AB">
        <w:trPr>
          <w:trHeight w:val="353"/>
        </w:trPr>
        <w:tc>
          <w:tcPr>
            <w:cnfStyle w:val="001000000000" w:firstRow="0" w:lastRow="0" w:firstColumn="1" w:lastColumn="0" w:oddVBand="0" w:evenVBand="0" w:oddHBand="0" w:evenHBand="0" w:firstRowFirstColumn="0" w:firstRowLastColumn="0" w:lastRowFirstColumn="0" w:lastRowLastColumn="0"/>
            <w:tcW w:w="3114" w:type="dxa"/>
          </w:tcPr>
          <w:p w14:paraId="14F980E0" w14:textId="77777777" w:rsidR="00D810BF" w:rsidRPr="00FA1BC9" w:rsidRDefault="00D810BF" w:rsidP="00DC7BAD">
            <w:pPr>
              <w:contextualSpacing/>
            </w:pPr>
            <w:r w:rsidRPr="00FA1BC9">
              <w:t>TOTAL</w:t>
            </w:r>
          </w:p>
        </w:tc>
        <w:tc>
          <w:tcPr>
            <w:tcW w:w="1417" w:type="dxa"/>
          </w:tcPr>
          <w:p w14:paraId="42D1D63C"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957</w:t>
            </w:r>
          </w:p>
        </w:tc>
        <w:tc>
          <w:tcPr>
            <w:tcW w:w="1560" w:type="dxa"/>
          </w:tcPr>
          <w:p w14:paraId="7AE712E6" w14:textId="39CF8925"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108</w:t>
            </w:r>
          </w:p>
        </w:tc>
        <w:tc>
          <w:tcPr>
            <w:tcW w:w="1701" w:type="dxa"/>
          </w:tcPr>
          <w:p w14:paraId="0DCCE849"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458</w:t>
            </w:r>
          </w:p>
        </w:tc>
        <w:tc>
          <w:tcPr>
            <w:tcW w:w="1417" w:type="dxa"/>
          </w:tcPr>
          <w:p w14:paraId="08F7ED33" w14:textId="77777777" w:rsidR="00D810BF" w:rsidRPr="00FA1BC9" w:rsidRDefault="00D810BF" w:rsidP="00DC7BAD">
            <w:pPr>
              <w:contextualSpacing/>
              <w:cnfStyle w:val="000000000000" w:firstRow="0" w:lastRow="0" w:firstColumn="0" w:lastColumn="0" w:oddVBand="0" w:evenVBand="0" w:oddHBand="0" w:evenHBand="0" w:firstRowFirstColumn="0" w:firstRowLastColumn="0" w:lastRowFirstColumn="0" w:lastRowLastColumn="0"/>
            </w:pPr>
            <w:r>
              <w:t>1,415</w:t>
            </w:r>
          </w:p>
        </w:tc>
      </w:tr>
    </w:tbl>
    <w:p w14:paraId="5F5612D3" w14:textId="77777777" w:rsidR="00D810BF" w:rsidRDefault="00D810BF" w:rsidP="008A47AB">
      <w:pPr>
        <w:pStyle w:val="TableDescription"/>
      </w:pPr>
      <w:r>
        <w:t>Treatment exposure for &gt;12 months.</w:t>
      </w:r>
    </w:p>
    <w:p w14:paraId="041D08CA" w14:textId="77777777" w:rsidR="00D810BF" w:rsidRDefault="00D810BF" w:rsidP="008A47AB">
      <w:pPr>
        <w:pStyle w:val="TableDescription"/>
      </w:pPr>
      <w:r>
        <w:t xml:space="preserve">Sialorrhea: 226 children (including adolescents). </w:t>
      </w:r>
      <w:r w:rsidRPr="00247475">
        <w:t>33 subjects were in the 2-5 years group</w:t>
      </w:r>
      <w:r>
        <w:t>.</w:t>
      </w:r>
    </w:p>
    <w:p w14:paraId="68E6E294" w14:textId="77777777" w:rsidR="00D810BF" w:rsidRDefault="00D810BF" w:rsidP="008A47AB">
      <w:pPr>
        <w:pStyle w:val="TableDescription"/>
      </w:pPr>
      <w:r>
        <w:t>Sialorrhea in adults: 79 adults.</w:t>
      </w:r>
    </w:p>
    <w:p w14:paraId="7C8F469E" w14:textId="77777777" w:rsidR="00D810BF" w:rsidRDefault="00D810BF" w:rsidP="008A47AB">
      <w:pPr>
        <w:pStyle w:val="TableDescription"/>
      </w:pPr>
      <w:r>
        <w:t>Spasticity in children and adolescents: 613.</w:t>
      </w:r>
    </w:p>
    <w:p w14:paraId="1E721ED1" w14:textId="77777777" w:rsidR="00637964" w:rsidRPr="008C5F00" w:rsidRDefault="00637964" w:rsidP="00637964">
      <w:pPr>
        <w:rPr>
          <w:b/>
          <w:bCs/>
        </w:rPr>
      </w:pPr>
      <w:r w:rsidRPr="008C5F00">
        <w:rPr>
          <w:b/>
          <w:bCs/>
        </w:rPr>
        <w:t>Sialorrhea in children and adolescents</w:t>
      </w:r>
    </w:p>
    <w:p w14:paraId="1B14EBB4" w14:textId="77777777" w:rsidR="00637964" w:rsidRPr="001268F4" w:rsidRDefault="00637964" w:rsidP="00637964">
      <w:pPr>
        <w:rPr>
          <w:b/>
          <w:bCs/>
        </w:rPr>
      </w:pPr>
      <w:r w:rsidRPr="001268F4">
        <w:rPr>
          <w:b/>
          <w:bCs/>
        </w:rPr>
        <w:t>AE</w:t>
      </w:r>
    </w:p>
    <w:p w14:paraId="0CA31F93" w14:textId="77777777" w:rsidR="00637964" w:rsidRDefault="00637964" w:rsidP="00637964">
      <w:r>
        <w:t xml:space="preserve">Across randomised and open label treatment phases, the most frequent AEs were upper respiratory tract infections. </w:t>
      </w:r>
    </w:p>
    <w:p w14:paraId="68FF134E" w14:textId="022200D0" w:rsidR="00637964" w:rsidRPr="001268F4" w:rsidRDefault="00637964" w:rsidP="00637964">
      <w:pPr>
        <w:rPr>
          <w:b/>
          <w:bCs/>
        </w:rPr>
      </w:pPr>
      <w:r w:rsidRPr="001268F4">
        <w:rPr>
          <w:b/>
          <w:bCs/>
        </w:rPr>
        <w:t>TEAE</w:t>
      </w:r>
    </w:p>
    <w:p w14:paraId="1C948D6D" w14:textId="35CAF095" w:rsidR="00637964" w:rsidRDefault="00637964" w:rsidP="00637964">
      <w:r>
        <w:t xml:space="preserve">The rate of events </w:t>
      </w:r>
      <w:r w:rsidR="00FB5405">
        <w:t>was</w:t>
      </w:r>
      <w:r>
        <w:t xml:space="preserve"> low (&lt;3%). Most of the events were mild to moderate and the types of events were similar to AEs.</w:t>
      </w:r>
    </w:p>
    <w:p w14:paraId="0A024C44" w14:textId="41718F56" w:rsidR="00637964" w:rsidRPr="001268F4" w:rsidRDefault="00637964" w:rsidP="00637964">
      <w:pPr>
        <w:rPr>
          <w:b/>
          <w:bCs/>
        </w:rPr>
      </w:pPr>
      <w:r w:rsidRPr="001268F4">
        <w:rPr>
          <w:b/>
          <w:bCs/>
        </w:rPr>
        <w:t>SAE</w:t>
      </w:r>
    </w:p>
    <w:p w14:paraId="155DE9C2" w14:textId="54E5ED0F" w:rsidR="007D2B42" w:rsidRDefault="0055230B" w:rsidP="007D2B42">
      <w:r>
        <w:t>In the M</w:t>
      </w:r>
      <w:r w:rsidR="007D2B42">
        <w:t xml:space="preserve">ain </w:t>
      </w:r>
      <w:r>
        <w:t>P</w:t>
      </w:r>
      <w:r w:rsidR="007D2B42">
        <w:t>eriod</w:t>
      </w:r>
      <w:r>
        <w:t xml:space="preserve"> in the Placebo group </w:t>
      </w:r>
      <w:r w:rsidR="009E33C3">
        <w:t>(</w:t>
      </w:r>
      <w:r w:rsidR="0018575F">
        <w:t xml:space="preserve">6-17 years) </w:t>
      </w:r>
      <w:r w:rsidR="009E33C3">
        <w:t xml:space="preserve">one patient experienced </w:t>
      </w:r>
      <w:r w:rsidR="00637964">
        <w:t>pneumonia and epilepsy</w:t>
      </w:r>
      <w:r w:rsidR="0018575F">
        <w:t xml:space="preserve">. In </w:t>
      </w:r>
      <w:r w:rsidR="00D055B3">
        <w:t>the NT 201 (</w:t>
      </w:r>
      <w:r w:rsidR="00637964">
        <w:t>2-5 year</w:t>
      </w:r>
      <w:r w:rsidR="00FB5405">
        <w:t>s</w:t>
      </w:r>
      <w:r w:rsidR="00637964">
        <w:t xml:space="preserve"> age group</w:t>
      </w:r>
      <w:r w:rsidR="00D055B3">
        <w:t xml:space="preserve">) one patient experienced Staphylococcus aureus </w:t>
      </w:r>
      <w:r w:rsidR="008C1087">
        <w:t>bacteraemia</w:t>
      </w:r>
      <w:r w:rsidR="00A46FC2">
        <w:t xml:space="preserve"> and Tonic clonic seizure</w:t>
      </w:r>
      <w:r w:rsidR="00637964">
        <w:t xml:space="preserve">. </w:t>
      </w:r>
      <w:r w:rsidR="007D2B42" w:rsidRPr="00F8445E">
        <w:t>Overall in the OLEX, a total of 8 </w:t>
      </w:r>
      <w:r w:rsidR="007D2B42">
        <w:t>patients</w:t>
      </w:r>
      <w:r w:rsidR="007D2B42" w:rsidRPr="00F8445E">
        <w:t xml:space="preserve"> experienced 16 SAEs. Apart from Functional gastrointestinal disorder which occurred in 2 </w:t>
      </w:r>
      <w:r w:rsidR="007D2B42">
        <w:t>patients</w:t>
      </w:r>
      <w:r w:rsidR="007D2B42" w:rsidRPr="00F8445E">
        <w:t xml:space="preserve"> no other SAE was reported in more than 1 </w:t>
      </w:r>
      <w:r w:rsidR="007D2B42">
        <w:t>patient</w:t>
      </w:r>
      <w:r w:rsidR="007D2B42" w:rsidRPr="00F8445E">
        <w:t>.</w:t>
      </w:r>
    </w:p>
    <w:p w14:paraId="153492FD" w14:textId="4EDD773D" w:rsidR="00637964" w:rsidRDefault="00637964" w:rsidP="00637964">
      <w:r>
        <w:t>These events were not considered as treatment related.</w:t>
      </w:r>
    </w:p>
    <w:p w14:paraId="1CF7B5ED" w14:textId="77777777" w:rsidR="00637964" w:rsidRDefault="00637964" w:rsidP="00637964">
      <w:r>
        <w:t>Nil events of deaths were reported.</w:t>
      </w:r>
    </w:p>
    <w:p w14:paraId="660AF98C" w14:textId="0DEA5812" w:rsidR="00637964" w:rsidRPr="001268F4" w:rsidRDefault="00637964" w:rsidP="00637964">
      <w:pPr>
        <w:rPr>
          <w:b/>
          <w:bCs/>
        </w:rPr>
      </w:pPr>
      <w:r w:rsidRPr="001268F4">
        <w:rPr>
          <w:b/>
          <w:bCs/>
        </w:rPr>
        <w:t>Discontinuations</w:t>
      </w:r>
    </w:p>
    <w:p w14:paraId="4E144F64" w14:textId="77777777" w:rsidR="00637964" w:rsidRDefault="00637964" w:rsidP="00637964">
      <w:r>
        <w:t xml:space="preserve">Three TEAEs of dysphagia, saliva altered and choking, which led to discontinuation, were considered to be treatment-related. </w:t>
      </w:r>
    </w:p>
    <w:p w14:paraId="7C369FDE" w14:textId="77777777" w:rsidR="00637964" w:rsidRPr="001268F4" w:rsidRDefault="00637964" w:rsidP="00637964">
      <w:pPr>
        <w:rPr>
          <w:b/>
          <w:bCs/>
        </w:rPr>
      </w:pPr>
      <w:r w:rsidRPr="001268F4">
        <w:rPr>
          <w:b/>
          <w:bCs/>
        </w:rPr>
        <w:t>AE of special interest</w:t>
      </w:r>
    </w:p>
    <w:p w14:paraId="56A0011B" w14:textId="6E7BC101" w:rsidR="00637964" w:rsidRDefault="00637964" w:rsidP="00637964">
      <w:r>
        <w:t>Dysphagia was reported in 5 (2.7%)</w:t>
      </w:r>
      <w:r w:rsidRPr="00E57959">
        <w:t xml:space="preserve"> </w:t>
      </w:r>
      <w:r>
        <w:t xml:space="preserve">subjects during the </w:t>
      </w:r>
      <w:r w:rsidR="007F1764">
        <w:t>entire</w:t>
      </w:r>
      <w:r>
        <w:t xml:space="preserve"> study period. Dysphagia was observed in 1 (0.7%) subject in the </w:t>
      </w:r>
      <w:r w:rsidR="000A423B">
        <w:t>XEOMIN</w:t>
      </w:r>
      <w:r>
        <w:t xml:space="preserve"> (6-17 years) group during the controlled phase. During the open label phase, dysphagia was reported in 3 (2.1%) subjects during the 2</w:t>
      </w:r>
      <w:r w:rsidRPr="00E57959">
        <w:rPr>
          <w:vertAlign w:val="superscript"/>
        </w:rPr>
        <w:t>nd</w:t>
      </w:r>
      <w:r>
        <w:t xml:space="preserve"> injection cycle and 1 (0.7%) subject during the 3</w:t>
      </w:r>
      <w:r w:rsidRPr="00E57959">
        <w:rPr>
          <w:vertAlign w:val="superscript"/>
        </w:rPr>
        <w:t>rd</w:t>
      </w:r>
      <w:r>
        <w:t xml:space="preserve"> injection cycle, all the events were in the </w:t>
      </w:r>
      <w:r w:rsidR="000A423B">
        <w:t>XEOMIN</w:t>
      </w:r>
      <w:r>
        <w:t xml:space="preserve"> group (MP = NT 201, 6-17 years) group. All instances of dysphagia occurred as single </w:t>
      </w:r>
      <w:r>
        <w:lastRenderedPageBreak/>
        <w:t xml:space="preserve">events, were not severe or serious, </w:t>
      </w:r>
      <w:r w:rsidR="009853F0">
        <w:t>and apart from one</w:t>
      </w:r>
      <w:r w:rsidR="00103C02">
        <w:t xml:space="preserve"> patient, </w:t>
      </w:r>
      <w:r>
        <w:t>did not lead to study discontinuation and all resolved. All events were considered as treatment-related.</w:t>
      </w:r>
    </w:p>
    <w:p w14:paraId="53575395" w14:textId="77777777" w:rsidR="00637964" w:rsidRPr="008C5F00" w:rsidRDefault="00637964" w:rsidP="00637964">
      <w:pPr>
        <w:rPr>
          <w:b/>
          <w:bCs/>
        </w:rPr>
      </w:pPr>
      <w:r w:rsidRPr="008C5F00">
        <w:rPr>
          <w:b/>
          <w:bCs/>
        </w:rPr>
        <w:t>Sialorrhea in adults</w:t>
      </w:r>
    </w:p>
    <w:p w14:paraId="582E4EBF" w14:textId="77777777" w:rsidR="00637964" w:rsidRPr="001268F4" w:rsidRDefault="00637964" w:rsidP="00637964">
      <w:pPr>
        <w:rPr>
          <w:b/>
          <w:bCs/>
        </w:rPr>
      </w:pPr>
      <w:r w:rsidRPr="001268F4">
        <w:rPr>
          <w:b/>
          <w:bCs/>
        </w:rPr>
        <w:t>AE</w:t>
      </w:r>
    </w:p>
    <w:p w14:paraId="038FEA81" w14:textId="77777777" w:rsidR="00637964" w:rsidRDefault="00637964" w:rsidP="00637964">
      <w:r>
        <w:t>Infections and GI disorders were the most frequently reported events. Fall was reported in subjects with Parkinson’s disease or multiple system atrophy. Majority of them were ≥ 65 years of age.</w:t>
      </w:r>
    </w:p>
    <w:p w14:paraId="432406AB" w14:textId="027D02AC" w:rsidR="00637964" w:rsidRDefault="00921753" w:rsidP="00637964">
      <w:r>
        <w:t>In the Main Period, t</w:t>
      </w:r>
      <w:r w:rsidR="00637964">
        <w:t xml:space="preserve">hree subjects were reported to have dysphagia. These subjects had history of Parkinson’s Disease and 2 of the 3 subjects had pre-existing dysphagia. </w:t>
      </w:r>
    </w:p>
    <w:p w14:paraId="5820A39D" w14:textId="6B2F7120" w:rsidR="00637964" w:rsidRDefault="00637964" w:rsidP="00637964">
      <w:r>
        <w:t>During the open label extension phase, upper respiratory infections</w:t>
      </w:r>
      <w:r w:rsidRPr="006C76DF">
        <w:t xml:space="preserve">, </w:t>
      </w:r>
      <w:r>
        <w:t>dry mouth (11.2%</w:t>
      </w:r>
      <w:r w:rsidR="00863EEC">
        <w:t xml:space="preserve"> in the 100 U dose group</w:t>
      </w:r>
      <w:r>
        <w:t>, dose-related trend) and fall (</w:t>
      </w:r>
      <w:r w:rsidR="00993A1B">
        <w:t>5</w:t>
      </w:r>
      <w:r>
        <w:t>.</w:t>
      </w:r>
      <w:r w:rsidR="00993A1B">
        <w:t>6</w:t>
      </w:r>
      <w:r>
        <w:t>%</w:t>
      </w:r>
      <w:r w:rsidR="00993A1B">
        <w:t xml:space="preserve"> in the 100 U dose group</w:t>
      </w:r>
      <w:r>
        <w:t xml:space="preserve">) were reported. </w:t>
      </w:r>
    </w:p>
    <w:p w14:paraId="7731A189" w14:textId="00FA6B4B" w:rsidR="00637964" w:rsidRPr="001268F4" w:rsidRDefault="00637964" w:rsidP="00637964">
      <w:pPr>
        <w:rPr>
          <w:b/>
          <w:bCs/>
        </w:rPr>
      </w:pPr>
      <w:r w:rsidRPr="001268F4">
        <w:rPr>
          <w:b/>
          <w:bCs/>
        </w:rPr>
        <w:t>TEAE</w:t>
      </w:r>
    </w:p>
    <w:p w14:paraId="460F0D5D" w14:textId="77777777" w:rsidR="00637964" w:rsidRDefault="00637964" w:rsidP="00637964">
      <w:r w:rsidRPr="008E0297">
        <w:t xml:space="preserve">ADRs were reported in the </w:t>
      </w:r>
      <w:r>
        <w:t>GI</w:t>
      </w:r>
      <w:r w:rsidRPr="008E0297">
        <w:t xml:space="preserve"> disorders and Nervous system disorders SOC categories. </w:t>
      </w:r>
      <w:r>
        <w:t>F</w:t>
      </w:r>
      <w:r w:rsidRPr="008E0297">
        <w:t>requency of ADRs was evenly distributed across treatment groups. There were no clear dose-response trends</w:t>
      </w:r>
      <w:r>
        <w:t>. Dry mouth was reported in around 5% subjects.</w:t>
      </w:r>
    </w:p>
    <w:p w14:paraId="4A8087B8" w14:textId="7A4E86EE" w:rsidR="00637964" w:rsidRPr="001268F4" w:rsidRDefault="00637964" w:rsidP="00637964">
      <w:pPr>
        <w:rPr>
          <w:b/>
          <w:bCs/>
        </w:rPr>
      </w:pPr>
      <w:r w:rsidRPr="001268F4">
        <w:rPr>
          <w:b/>
          <w:bCs/>
        </w:rPr>
        <w:t>SAE</w:t>
      </w:r>
    </w:p>
    <w:p w14:paraId="3FE37D01" w14:textId="3A894D00" w:rsidR="00637964" w:rsidRDefault="00FE58EB" w:rsidP="00637964">
      <w:r>
        <w:t>One event</w:t>
      </w:r>
      <w:r w:rsidR="00637964">
        <w:t xml:space="preserve"> of dysphagia </w:t>
      </w:r>
      <w:r>
        <w:t>was</w:t>
      </w:r>
      <w:r w:rsidR="00637964">
        <w:t xml:space="preserve"> considered treatment</w:t>
      </w:r>
      <w:r>
        <w:t>-</w:t>
      </w:r>
      <w:r w:rsidR="00637964">
        <w:t xml:space="preserve">related. No dose-dependent trend was noted. </w:t>
      </w:r>
    </w:p>
    <w:p w14:paraId="153F5D11" w14:textId="2E8A2048" w:rsidR="00637964" w:rsidRPr="001268F4" w:rsidRDefault="00637964" w:rsidP="00637964">
      <w:pPr>
        <w:rPr>
          <w:b/>
          <w:bCs/>
        </w:rPr>
      </w:pPr>
      <w:r w:rsidRPr="001268F4">
        <w:rPr>
          <w:b/>
          <w:bCs/>
        </w:rPr>
        <w:t>Deaths</w:t>
      </w:r>
    </w:p>
    <w:p w14:paraId="3AE21684" w14:textId="3D5E60D8" w:rsidR="00637964" w:rsidRDefault="00637964" w:rsidP="00637964">
      <w:r>
        <w:t xml:space="preserve">5 deaths were reported during the open label phase of study 3090. None of these events were considered as related to the treatment with </w:t>
      </w:r>
      <w:r w:rsidR="000A423B">
        <w:t>XEOMIN</w:t>
      </w:r>
      <w:r>
        <w:t xml:space="preserve">. </w:t>
      </w:r>
    </w:p>
    <w:p w14:paraId="0E86886B" w14:textId="2138C535" w:rsidR="00637964" w:rsidRDefault="00637964" w:rsidP="00637964">
      <w:r>
        <w:t xml:space="preserve">3 subjects received 75 U of </w:t>
      </w:r>
      <w:r w:rsidR="000A423B">
        <w:t>XEOMIN</w:t>
      </w:r>
      <w:r>
        <w:t xml:space="preserve"> and 2 subjects received 100 U of </w:t>
      </w:r>
      <w:r w:rsidR="000A423B">
        <w:t>XEOMIN</w:t>
      </w:r>
      <w:r>
        <w:t>. All 5 subjects died in the 4</w:t>
      </w:r>
      <w:r w:rsidRPr="00FE374A">
        <w:rPr>
          <w:vertAlign w:val="superscript"/>
        </w:rPr>
        <w:t>th</w:t>
      </w:r>
      <w:r>
        <w:t xml:space="preserve"> injection cycle.</w:t>
      </w:r>
    </w:p>
    <w:p w14:paraId="5A2C28C4" w14:textId="1613C5E0" w:rsidR="00637964" w:rsidRDefault="00637964" w:rsidP="00637964">
      <w:r>
        <w:t xml:space="preserve">Three subjects in the </w:t>
      </w:r>
      <w:r w:rsidR="001275BE">
        <w:t xml:space="preserve">PBO </w:t>
      </w:r>
      <w:r>
        <w:t xml:space="preserve">arm died during study period. </w:t>
      </w:r>
    </w:p>
    <w:p w14:paraId="6B24D45F" w14:textId="066F9043" w:rsidR="00637964" w:rsidRDefault="00637964" w:rsidP="00637964">
      <w:r>
        <w:t>Fatal TEAEs were UTI, Coagulopathy and volvulus, Cardio-respiratory arrest, Altered state of consciousness, Delusion, Dopamine dysregulation syndrome and Psychomotor hyperactivity</w:t>
      </w:r>
      <w:r w:rsidRPr="00FE374A">
        <w:t xml:space="preserve"> </w:t>
      </w:r>
      <w:r>
        <w:t>and pulmonary embolism.</w:t>
      </w:r>
    </w:p>
    <w:p w14:paraId="7EF4334C" w14:textId="582589C8" w:rsidR="00637964" w:rsidRPr="001268F4" w:rsidRDefault="00637964" w:rsidP="00637964">
      <w:pPr>
        <w:rPr>
          <w:b/>
          <w:bCs/>
        </w:rPr>
      </w:pPr>
      <w:r w:rsidRPr="001268F4">
        <w:rPr>
          <w:b/>
          <w:bCs/>
        </w:rPr>
        <w:t>Discontinuations</w:t>
      </w:r>
    </w:p>
    <w:p w14:paraId="45AFF5DE" w14:textId="73B371DC" w:rsidR="00AD24B7" w:rsidRDefault="00AD24B7" w:rsidP="00AD24B7">
      <w:r>
        <w:t xml:space="preserve">A higher frequency of dry mouth in the </w:t>
      </w:r>
      <w:r w:rsidR="000A423B">
        <w:t>XEOMIN</w:t>
      </w:r>
      <w:r>
        <w:t xml:space="preserve"> (100 U) group compared to the NT 201 (75 U) group was reported 4.5% (n = 4) vs 0.0%, that led to discontinuations. Other events were pneumonia and GI obstruction. These events were not considered as treatment-related.</w:t>
      </w:r>
    </w:p>
    <w:p w14:paraId="0A781D65" w14:textId="5B159525" w:rsidR="00AD24B7" w:rsidRPr="001268F4" w:rsidRDefault="00AD24B7" w:rsidP="00AD24B7">
      <w:pPr>
        <w:rPr>
          <w:b/>
          <w:bCs/>
        </w:rPr>
      </w:pPr>
      <w:r w:rsidRPr="001268F4">
        <w:rPr>
          <w:b/>
          <w:bCs/>
        </w:rPr>
        <w:t>AE of special interest</w:t>
      </w:r>
    </w:p>
    <w:p w14:paraId="3D0C53B4" w14:textId="6AB04872" w:rsidR="00AD24B7" w:rsidRDefault="00AD24B7" w:rsidP="00AD24B7">
      <w:r>
        <w:t xml:space="preserve">During the controlled phase of study 3090, dysphagia was reported in 3 (4.1%) subjects in the </w:t>
      </w:r>
      <w:r w:rsidR="000A423B">
        <w:t>XEOMIN</w:t>
      </w:r>
      <w:r>
        <w:t xml:space="preserve"> (75 U) group; and dry mouth and dysphonia in 2 (2.7%) subjects each in the </w:t>
      </w:r>
      <w:r w:rsidR="000A423B">
        <w:t>XEOMIN</w:t>
      </w:r>
      <w:r>
        <w:t xml:space="preserve"> (100 U) group.</w:t>
      </w:r>
      <w:r w:rsidRPr="00667302">
        <w:t xml:space="preserve"> </w:t>
      </w:r>
      <w:r>
        <w:t>None of the AESIs was serious. Two events of dysphagia, 1 event each of dry mouth, speech disorder and eyelid ptosis, were considered treatment-related. The 2 severe AESIs of dysphonia and dysarthria were not considered treatment-related.</w:t>
      </w:r>
    </w:p>
    <w:p w14:paraId="1CF3FA15" w14:textId="0D78FEBC" w:rsidR="00AD24B7" w:rsidRDefault="00AD24B7" w:rsidP="00AD24B7">
      <w:r>
        <w:t xml:space="preserve">During the open label phase, speech disorder was reported in 3.7% of subjects </w:t>
      </w:r>
      <w:r w:rsidR="00AA63F2">
        <w:t>in the 75 U group</w:t>
      </w:r>
      <w:r>
        <w:t xml:space="preserve"> and dry mouth in 6.7% of subjects</w:t>
      </w:r>
      <w:r w:rsidR="00AA63F2">
        <w:t xml:space="preserve"> in the 100 U group</w:t>
      </w:r>
      <w:r>
        <w:t xml:space="preserve">. The frequency of dysphagia was similar between </w:t>
      </w:r>
      <w:r w:rsidR="00AA63F2">
        <w:t xml:space="preserve">the </w:t>
      </w:r>
      <w:r>
        <w:t>NT 201 dose-groups.</w:t>
      </w:r>
      <w:r w:rsidRPr="005830EE">
        <w:t xml:space="preserve"> </w:t>
      </w:r>
      <w:r>
        <w:t>Incidence of AESIs per cycle did not increase with increasing numbers of injections.</w:t>
      </w:r>
    </w:p>
    <w:p w14:paraId="56CDBB5D" w14:textId="63C1D05B" w:rsidR="00AD24B7" w:rsidRPr="008C5F00" w:rsidRDefault="00AD24B7" w:rsidP="008A47AB">
      <w:pPr>
        <w:pageBreakBefore/>
        <w:rPr>
          <w:b/>
          <w:bCs/>
        </w:rPr>
      </w:pPr>
      <w:r w:rsidRPr="008C5F00">
        <w:rPr>
          <w:b/>
          <w:bCs/>
        </w:rPr>
        <w:lastRenderedPageBreak/>
        <w:t>Spasticity in children and adolescents</w:t>
      </w:r>
    </w:p>
    <w:p w14:paraId="2D99C06B" w14:textId="77777777" w:rsidR="00AD24B7" w:rsidRPr="001268F4" w:rsidRDefault="00AD24B7" w:rsidP="00AD24B7">
      <w:pPr>
        <w:rPr>
          <w:b/>
          <w:bCs/>
        </w:rPr>
      </w:pPr>
      <w:r w:rsidRPr="001268F4">
        <w:rPr>
          <w:b/>
          <w:bCs/>
        </w:rPr>
        <w:t>AE</w:t>
      </w:r>
    </w:p>
    <w:p w14:paraId="7E779658" w14:textId="77777777" w:rsidR="00AD24B7" w:rsidRDefault="00AD24B7" w:rsidP="00AD24B7">
      <w:r>
        <w:t>Upper respiratory infections were the most reported events.</w:t>
      </w:r>
    </w:p>
    <w:p w14:paraId="4CCFA721" w14:textId="16B3D431" w:rsidR="00AD24B7" w:rsidRPr="001268F4" w:rsidRDefault="00AD24B7" w:rsidP="00AD24B7">
      <w:pPr>
        <w:rPr>
          <w:b/>
          <w:bCs/>
        </w:rPr>
      </w:pPr>
      <w:r w:rsidRPr="001268F4">
        <w:rPr>
          <w:b/>
          <w:bCs/>
        </w:rPr>
        <w:t>TEAE</w:t>
      </w:r>
    </w:p>
    <w:p w14:paraId="554B6BE3" w14:textId="77777777" w:rsidR="00AD24B7" w:rsidRDefault="00AD24B7" w:rsidP="00AD24B7">
      <w:r>
        <w:t>Approx. 50% of subjects experienced events possibly attributable to the injection procedure, such as injection site pain (n = 5), injection site erythema (n = 2), haematoma, injection site warmth, injection site inflammation or rash (each n = 1). Muscular weakness was reported for approx. 33% (n = 5) of subjects and only occurred in the high-dose and mid-dose groups. Related TEAEs occurred more frequently in the high-dose group than in the other 2 dose-groups in both injection cycles, but with no increase in incidence with repeated injection.</w:t>
      </w:r>
      <w:r w:rsidRPr="00854307">
        <w:t xml:space="preserve"> </w:t>
      </w:r>
      <w:r>
        <w:t xml:space="preserve">No event was serious, severe or led to study discontinuation. All events resolved without sequelae. </w:t>
      </w:r>
    </w:p>
    <w:p w14:paraId="4976C792" w14:textId="58819807" w:rsidR="00AD24B7" w:rsidRPr="001268F4" w:rsidRDefault="00AD24B7" w:rsidP="00AD24B7">
      <w:pPr>
        <w:rPr>
          <w:b/>
          <w:bCs/>
        </w:rPr>
      </w:pPr>
      <w:r w:rsidRPr="001268F4">
        <w:rPr>
          <w:b/>
          <w:bCs/>
        </w:rPr>
        <w:t>SAE</w:t>
      </w:r>
    </w:p>
    <w:p w14:paraId="6CD2F94A" w14:textId="77777777" w:rsidR="00AD24B7" w:rsidRDefault="00AD24B7" w:rsidP="00AD24B7">
      <w:r>
        <w:t>Respiratory infections (pneumonia, bronchitis) were reported as SAEs. None of the SAEs were considered as treatment-related.</w:t>
      </w:r>
    </w:p>
    <w:p w14:paraId="74B27022" w14:textId="77777777" w:rsidR="00AD24B7" w:rsidRDefault="00AD24B7" w:rsidP="00AD24B7">
      <w:r>
        <w:t>Nil events of death were reported.</w:t>
      </w:r>
    </w:p>
    <w:p w14:paraId="7C84CA0D" w14:textId="7FC03485" w:rsidR="00AD24B7" w:rsidRPr="001268F4" w:rsidRDefault="00AD24B7" w:rsidP="00AD24B7">
      <w:pPr>
        <w:rPr>
          <w:b/>
          <w:bCs/>
        </w:rPr>
      </w:pPr>
      <w:r w:rsidRPr="001268F4">
        <w:rPr>
          <w:b/>
          <w:bCs/>
        </w:rPr>
        <w:t>Discontinuations</w:t>
      </w:r>
    </w:p>
    <w:p w14:paraId="0D483EC0" w14:textId="77777777" w:rsidR="00AD24B7" w:rsidRDefault="00AD24B7" w:rsidP="00AD24B7">
      <w:r>
        <w:t xml:space="preserve">Pneumonia, respiratory tract infections and seizures were the common events that led to discontinuations. </w:t>
      </w:r>
    </w:p>
    <w:p w14:paraId="279C0020" w14:textId="77777777" w:rsidR="00AD24B7" w:rsidRPr="001268F4" w:rsidRDefault="00AD24B7" w:rsidP="00AD24B7">
      <w:pPr>
        <w:rPr>
          <w:b/>
          <w:bCs/>
        </w:rPr>
      </w:pPr>
      <w:r w:rsidRPr="001268F4">
        <w:rPr>
          <w:b/>
          <w:bCs/>
        </w:rPr>
        <w:t>AE of special interest</w:t>
      </w:r>
    </w:p>
    <w:p w14:paraId="26BDA431" w14:textId="77777777" w:rsidR="00AD24B7" w:rsidRDefault="00AD24B7" w:rsidP="00AD24B7">
      <w:r>
        <w:t>During study 3070, m</w:t>
      </w:r>
      <w:r w:rsidRPr="007173AC">
        <w:t>uscular weakness was the only AESI that occurred in more than 1 subject i.e., 4 subjects in the high-dose group and 1 subject in the mid-dose group. No event of muscular weakness was recorded in the low-dose group</w:t>
      </w:r>
      <w:r>
        <w:t xml:space="preserve">. </w:t>
      </w:r>
      <w:r w:rsidRPr="007173AC">
        <w:t xml:space="preserve">AESIs, all of muscular weakness </w:t>
      </w:r>
      <w:r>
        <w:t>in</w:t>
      </w:r>
      <w:r w:rsidRPr="007173AC">
        <w:t xml:space="preserve"> the LL that was treated, were considered treatment-related. Four of these events occurred during the 1</w:t>
      </w:r>
      <w:r w:rsidRPr="007173AC">
        <w:rPr>
          <w:vertAlign w:val="superscript"/>
        </w:rPr>
        <w:t>st</w:t>
      </w:r>
      <w:r w:rsidRPr="007173AC">
        <w:t xml:space="preserve"> injection cycle. No AESI was serious, severe or led to discontinuation. All events resolved. </w:t>
      </w:r>
    </w:p>
    <w:p w14:paraId="5450BA1A" w14:textId="2F9C4BBC" w:rsidR="00AD24B7" w:rsidRPr="00FE58EB" w:rsidRDefault="00AD24B7" w:rsidP="00AD24B7">
      <w:pPr>
        <w:rPr>
          <w:lang w:eastAsia="ja-JP"/>
        </w:rPr>
      </w:pPr>
      <w:r>
        <w:t xml:space="preserve">During study 3072, </w:t>
      </w:r>
      <w:r w:rsidR="005E0EB7">
        <w:t>d</w:t>
      </w:r>
      <w:r>
        <w:t>ysphagia was the only AESI that occurred in more than 1 subject (0.6%; n = 2; both in the 2</w:t>
      </w:r>
      <w:r w:rsidRPr="007E7447">
        <w:rPr>
          <w:vertAlign w:val="superscript"/>
        </w:rPr>
        <w:t>nd</w:t>
      </w:r>
      <w:r>
        <w:t xml:space="preserve"> injection cycle). None of the reported AESIs were severe, 1 was considered serious (aspiration pneumonia; unrelated to treatment) and 2 AESIs led to study discontinuation. Three AESIs were considered treatment-related i.e., hypotonia, eyelid ptosis and dysphagia.</w:t>
      </w:r>
      <w:r w:rsidRPr="00495420">
        <w:t xml:space="preserve"> </w:t>
      </w:r>
      <w:r>
        <w:t>None of the AESIs reported in the OLEX was located at a treated UL or a treated LL.</w:t>
      </w:r>
    </w:p>
    <w:p w14:paraId="38004A2B" w14:textId="77777777" w:rsidR="00AD24B7" w:rsidRDefault="00AD24B7" w:rsidP="00AD24B7">
      <w:r>
        <w:t>Nil major changes to ECG, haematology or vital signs were reported.</w:t>
      </w:r>
    </w:p>
    <w:p w14:paraId="7E2A1B79" w14:textId="77777777" w:rsidR="00AD24B7" w:rsidRPr="00120E2A" w:rsidRDefault="00AD24B7" w:rsidP="00AD24B7">
      <w:pPr>
        <w:pStyle w:val="FigureTitle"/>
        <w:rPr>
          <w:i/>
          <w:iCs/>
        </w:rPr>
      </w:pPr>
      <w:r w:rsidRPr="00120E2A">
        <w:t>Modified Radboud oral motor inventory for Parkinson’s disease (</w:t>
      </w:r>
      <w:proofErr w:type="spellStart"/>
      <w:r w:rsidRPr="00120E2A">
        <w:t>mROMP</w:t>
      </w:r>
      <w:proofErr w:type="spellEnd"/>
      <w:r w:rsidRPr="00120E2A">
        <w:t>)</w:t>
      </w:r>
      <w:r w:rsidRPr="00120E2A">
        <w:rPr>
          <w:iCs/>
        </w:rPr>
        <w:t xml:space="preserve"> swallowing symptoms</w:t>
      </w:r>
    </w:p>
    <w:p w14:paraId="306CF894" w14:textId="07D82977" w:rsidR="00AD24B7" w:rsidRDefault="00AD24B7" w:rsidP="00AD24B7">
      <w:r>
        <w:t xml:space="preserve">Only minor changes in </w:t>
      </w:r>
      <w:proofErr w:type="spellStart"/>
      <w:r>
        <w:t>mROMP</w:t>
      </w:r>
      <w:proofErr w:type="spellEnd"/>
      <w:r>
        <w:t xml:space="preserve"> swallowing symptoms from study baseline to the post-baseline visits in both the MP and the EP were observed. Mean reduction (improvements), from study baseline were slightly higher in the </w:t>
      </w:r>
      <w:r w:rsidR="000A423B">
        <w:t>XEOMIN</w:t>
      </w:r>
      <w:r>
        <w:t xml:space="preserve"> (100 U) group than in the other treatment groups. It should be noted that this study did not include subjects with moderate or severe dysphagia based on the </w:t>
      </w:r>
      <w:proofErr w:type="spellStart"/>
      <w:r>
        <w:t>mROMP</w:t>
      </w:r>
      <w:proofErr w:type="spellEnd"/>
      <w:r>
        <w:t>.</w:t>
      </w:r>
    </w:p>
    <w:p w14:paraId="5F8916E9" w14:textId="08E75174" w:rsidR="00AD24B7" w:rsidRDefault="00AD24B7" w:rsidP="00AD24B7">
      <w:r>
        <w:t xml:space="preserve">Overall, the </w:t>
      </w:r>
      <w:r w:rsidR="00616104">
        <w:t>Evaluator</w:t>
      </w:r>
      <w:r>
        <w:t xml:space="preserve"> concluded that </w:t>
      </w:r>
      <w:proofErr w:type="spellStart"/>
      <w:r>
        <w:t>mROMP</w:t>
      </w:r>
      <w:proofErr w:type="spellEnd"/>
      <w:r>
        <w:t xml:space="preserve"> swallowing symptoms rating remained stable throughout the study and no increased risk of dysphagia was observed using this scale.</w:t>
      </w:r>
    </w:p>
    <w:p w14:paraId="2940DDFC" w14:textId="77777777" w:rsidR="00AD24B7" w:rsidRPr="001268F4" w:rsidRDefault="00AD24B7" w:rsidP="008A47AB">
      <w:pPr>
        <w:pageBreakBefore/>
        <w:rPr>
          <w:b/>
          <w:bCs/>
        </w:rPr>
      </w:pPr>
      <w:r w:rsidRPr="001268F4">
        <w:rPr>
          <w:b/>
          <w:bCs/>
        </w:rPr>
        <w:lastRenderedPageBreak/>
        <w:t>Botulinum toxin antibodies</w:t>
      </w:r>
    </w:p>
    <w:p w14:paraId="3890D142" w14:textId="77777777" w:rsidR="00AD24B7" w:rsidRDefault="00AD24B7" w:rsidP="00AD24B7">
      <w:r>
        <w:t>In studies in children and adults with sialorrhea, positive results were reported for around 10% subjects. Around 3% of those subjects were detected to have neutralizing antibodies. These events were not associated with loss of treatment response.</w:t>
      </w:r>
    </w:p>
    <w:p w14:paraId="26B89A1C" w14:textId="77777777" w:rsidR="00AD24B7" w:rsidRPr="001268F4" w:rsidRDefault="00AD24B7" w:rsidP="00AD24B7">
      <w:pPr>
        <w:rPr>
          <w:b/>
          <w:bCs/>
        </w:rPr>
      </w:pPr>
      <w:r w:rsidRPr="001268F4">
        <w:rPr>
          <w:b/>
          <w:bCs/>
        </w:rPr>
        <w:t>Suicidality assessment</w:t>
      </w:r>
    </w:p>
    <w:p w14:paraId="12FCE271" w14:textId="77777777" w:rsidR="00AD24B7" w:rsidRDefault="00AD24B7" w:rsidP="00AD24B7">
      <w:r>
        <w:t xml:space="preserve">In study 3090 (sialorrhea in adults) two events of suicidal ideation was reported. </w:t>
      </w:r>
    </w:p>
    <w:p w14:paraId="0A87BA5B" w14:textId="77777777" w:rsidR="00AD24B7" w:rsidRPr="009C2A70" w:rsidRDefault="00AD24B7" w:rsidP="00AD24B7">
      <w:r>
        <w:t xml:space="preserve">In other studies, nil suicidal behaviour or self-injurious behaviour without suicidal intent or committed suicide were reported. </w:t>
      </w:r>
    </w:p>
    <w:p w14:paraId="1404FC78" w14:textId="77777777" w:rsidR="00AD24B7" w:rsidRPr="002A059F" w:rsidRDefault="00AD24B7" w:rsidP="00AD24B7">
      <w:pPr>
        <w:pStyle w:val="FigureTitle"/>
        <w:rPr>
          <w:i/>
          <w:color w:val="7295D2" w:themeColor="accent1" w:themeTint="BF"/>
        </w:rPr>
      </w:pPr>
      <w:r>
        <w:t>Other</w:t>
      </w:r>
      <w:r w:rsidRPr="00E44442">
        <w:t xml:space="preserve"> </w:t>
      </w:r>
    </w:p>
    <w:p w14:paraId="7949C043" w14:textId="39FE895D" w:rsidR="005F1DC8" w:rsidRPr="005F1DC8" w:rsidRDefault="00AD24B7" w:rsidP="005F1DC8">
      <w:r w:rsidRPr="00DD35E9">
        <w:t>R</w:t>
      </w:r>
      <w:r>
        <w:t xml:space="preserve">eal </w:t>
      </w:r>
      <w:r w:rsidRPr="00DD35E9">
        <w:t>W</w:t>
      </w:r>
      <w:r>
        <w:t xml:space="preserve">orld </w:t>
      </w:r>
      <w:r w:rsidRPr="00DD35E9">
        <w:t>E</w:t>
      </w:r>
      <w:r>
        <w:t>vidence</w:t>
      </w:r>
      <w:r w:rsidRPr="00DD35E9">
        <w:t>/R</w:t>
      </w:r>
      <w:r>
        <w:t xml:space="preserve">eal </w:t>
      </w:r>
      <w:r w:rsidRPr="00DD35E9">
        <w:t>W</w:t>
      </w:r>
      <w:r>
        <w:t xml:space="preserve">orld </w:t>
      </w:r>
      <w:r w:rsidRPr="00DD35E9">
        <w:t>D</w:t>
      </w:r>
      <w:r>
        <w:t>ata</w:t>
      </w:r>
      <w:r w:rsidRPr="00DD35E9">
        <w:t xml:space="preserve"> were not included in the submission</w:t>
      </w:r>
      <w:r>
        <w:t>.</w:t>
      </w:r>
    </w:p>
    <w:p w14:paraId="2858B006" w14:textId="77777777" w:rsidR="00C22214" w:rsidRDefault="00C22214" w:rsidP="00C22214">
      <w:pPr>
        <w:pStyle w:val="Heading3"/>
        <w:rPr>
          <w:lang w:eastAsia="en-AU"/>
        </w:rPr>
      </w:pPr>
      <w:bookmarkStart w:id="59" w:name="_Toc103679298"/>
      <w:bookmarkStart w:id="60" w:name="_Toc170887912"/>
      <w:r>
        <w:rPr>
          <w:lang w:eastAsia="en-AU"/>
        </w:rPr>
        <w:t>Risk management plan</w:t>
      </w:r>
      <w:bookmarkEnd w:id="57"/>
      <w:bookmarkEnd w:id="59"/>
      <w:bookmarkEnd w:id="60"/>
    </w:p>
    <w:p w14:paraId="39F3CD1D" w14:textId="18856FA9" w:rsidR="0072003B" w:rsidRPr="00BD5DBD" w:rsidRDefault="00C22214" w:rsidP="00C22214">
      <w:pPr>
        <w:rPr>
          <w:szCs w:val="22"/>
        </w:rPr>
      </w:pPr>
      <w:bookmarkStart w:id="61" w:name="_Toc247691531"/>
      <w:bookmarkStart w:id="62"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AE6667">
        <w:rPr>
          <w:szCs w:val="22"/>
        </w:rPr>
        <w:t xml:space="preserve"> Table 12</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0E7D3ADC" w14:textId="325F5093" w:rsidR="00127A74" w:rsidRDefault="00C22214" w:rsidP="008C1087">
      <w:pPr>
        <w:pStyle w:val="TableTitle"/>
      </w:pPr>
      <w:bookmarkStart w:id="63" w:name="_Ref97629131"/>
      <w:r>
        <w:t xml:space="preserve">Table </w:t>
      </w:r>
      <w:bookmarkEnd w:id="63"/>
      <w:r w:rsidR="001268F4">
        <w:t>11</w:t>
      </w:r>
      <w:r>
        <w:t>: Summary of safety concerns</w:t>
      </w:r>
    </w:p>
    <w:tbl>
      <w:tblPr>
        <w:tblStyle w:val="TableTGAblue2023"/>
        <w:tblW w:w="9615" w:type="dxa"/>
        <w:tblLayout w:type="fixed"/>
        <w:tblLook w:val="04A0" w:firstRow="1" w:lastRow="0" w:firstColumn="1" w:lastColumn="0" w:noHBand="0" w:noVBand="1"/>
      </w:tblPr>
      <w:tblGrid>
        <w:gridCol w:w="2263"/>
        <w:gridCol w:w="1942"/>
        <w:gridCol w:w="1260"/>
        <w:gridCol w:w="1418"/>
        <w:gridCol w:w="9"/>
        <w:gridCol w:w="1251"/>
        <w:gridCol w:w="1463"/>
        <w:gridCol w:w="9"/>
      </w:tblGrid>
      <w:tr w:rsidR="00127A74" w:rsidRPr="00AE6667" w14:paraId="359A0C59" w14:textId="77777777" w:rsidTr="00C15CB2">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205" w:type="dxa"/>
            <w:gridSpan w:val="2"/>
            <w:vMerge w:val="restart"/>
          </w:tcPr>
          <w:p w14:paraId="24B1F090" w14:textId="77777777" w:rsidR="00127A74" w:rsidRPr="00AE6667" w:rsidRDefault="00127A74" w:rsidP="00127A74">
            <w:pPr>
              <w:rPr>
                <w:sz w:val="20"/>
                <w:szCs w:val="20"/>
              </w:rPr>
            </w:pPr>
            <w:r w:rsidRPr="00AE6667">
              <w:rPr>
                <w:sz w:val="20"/>
                <w:szCs w:val="20"/>
              </w:rPr>
              <w:t>Summary of safety concerns</w:t>
            </w:r>
          </w:p>
        </w:tc>
        <w:tc>
          <w:tcPr>
            <w:tcW w:w="2687" w:type="dxa"/>
            <w:gridSpan w:val="3"/>
          </w:tcPr>
          <w:p w14:paraId="596694C9" w14:textId="77777777" w:rsidR="00127A74" w:rsidRPr="00AE6667" w:rsidRDefault="00127A74" w:rsidP="00127A74">
            <w:pPr>
              <w:cnfStyle w:val="100000000000" w:firstRow="1" w:lastRow="0" w:firstColumn="0" w:lastColumn="0" w:oddVBand="0" w:evenVBand="0" w:oddHBand="0" w:evenHBand="0" w:firstRowFirstColumn="0" w:firstRowLastColumn="0" w:lastRowFirstColumn="0" w:lastRowLastColumn="0"/>
              <w:rPr>
                <w:sz w:val="20"/>
                <w:szCs w:val="20"/>
              </w:rPr>
            </w:pPr>
            <w:r w:rsidRPr="00AE6667">
              <w:rPr>
                <w:sz w:val="20"/>
                <w:szCs w:val="20"/>
              </w:rPr>
              <w:t>Pharmacovigilance</w:t>
            </w:r>
          </w:p>
        </w:tc>
        <w:tc>
          <w:tcPr>
            <w:tcW w:w="2723" w:type="dxa"/>
            <w:gridSpan w:val="3"/>
          </w:tcPr>
          <w:p w14:paraId="4F66CB82" w14:textId="77777777" w:rsidR="00127A74" w:rsidRPr="00AE6667" w:rsidRDefault="00127A74" w:rsidP="00127A74">
            <w:pPr>
              <w:cnfStyle w:val="100000000000" w:firstRow="1" w:lastRow="0" w:firstColumn="0" w:lastColumn="0" w:oddVBand="0" w:evenVBand="0" w:oddHBand="0" w:evenHBand="0" w:firstRowFirstColumn="0" w:firstRowLastColumn="0" w:lastRowFirstColumn="0" w:lastRowLastColumn="0"/>
              <w:rPr>
                <w:sz w:val="20"/>
                <w:szCs w:val="20"/>
              </w:rPr>
            </w:pPr>
            <w:r w:rsidRPr="00AE6667">
              <w:rPr>
                <w:sz w:val="20"/>
                <w:szCs w:val="20"/>
              </w:rPr>
              <w:t>Risk minimisation</w:t>
            </w:r>
          </w:p>
        </w:tc>
      </w:tr>
      <w:tr w:rsidR="00127A74" w:rsidRPr="00AE6667" w14:paraId="12411E68" w14:textId="77777777" w:rsidTr="00C15CB2">
        <w:trPr>
          <w:gridAfter w:val="1"/>
          <w:wAfter w:w="9" w:type="dxa"/>
          <w:trHeight w:val="150"/>
        </w:trPr>
        <w:tc>
          <w:tcPr>
            <w:cnfStyle w:val="001000000000" w:firstRow="0" w:lastRow="0" w:firstColumn="1" w:lastColumn="0" w:oddVBand="0" w:evenVBand="0" w:oddHBand="0" w:evenHBand="0" w:firstRowFirstColumn="0" w:firstRowLastColumn="0" w:lastRowFirstColumn="0" w:lastRowLastColumn="0"/>
            <w:tcW w:w="4205" w:type="dxa"/>
            <w:gridSpan w:val="2"/>
            <w:vMerge/>
          </w:tcPr>
          <w:p w14:paraId="71D88F2A" w14:textId="77777777" w:rsidR="00127A74" w:rsidRPr="00AE6667" w:rsidRDefault="00127A74" w:rsidP="00127A74">
            <w:pPr>
              <w:rPr>
                <w:sz w:val="20"/>
                <w:szCs w:val="20"/>
              </w:rPr>
            </w:pPr>
          </w:p>
        </w:tc>
        <w:tc>
          <w:tcPr>
            <w:tcW w:w="1260" w:type="dxa"/>
            <w:shd w:val="clear" w:color="auto" w:fill="DEEAF6"/>
          </w:tcPr>
          <w:p w14:paraId="1BF9407C" w14:textId="77777777" w:rsidR="00127A74" w:rsidRPr="00AE6667"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AE6667">
              <w:rPr>
                <w:b/>
                <w:color w:val="263287"/>
                <w:sz w:val="20"/>
                <w:szCs w:val="20"/>
              </w:rPr>
              <w:t>Routine</w:t>
            </w:r>
          </w:p>
        </w:tc>
        <w:tc>
          <w:tcPr>
            <w:tcW w:w="1418" w:type="dxa"/>
            <w:shd w:val="clear" w:color="auto" w:fill="DEEAF6"/>
          </w:tcPr>
          <w:p w14:paraId="442BA332" w14:textId="77777777" w:rsidR="00127A74" w:rsidRPr="00AE6667"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AE6667">
              <w:rPr>
                <w:b/>
                <w:color w:val="263287"/>
                <w:sz w:val="20"/>
                <w:szCs w:val="20"/>
              </w:rPr>
              <w:t>Additional</w:t>
            </w:r>
          </w:p>
        </w:tc>
        <w:tc>
          <w:tcPr>
            <w:tcW w:w="1260" w:type="dxa"/>
            <w:gridSpan w:val="2"/>
            <w:shd w:val="clear" w:color="auto" w:fill="DEEAF6"/>
          </w:tcPr>
          <w:p w14:paraId="5920A04F" w14:textId="77777777" w:rsidR="00127A74" w:rsidRPr="00AE6667"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AE6667">
              <w:rPr>
                <w:b/>
                <w:color w:val="263287"/>
                <w:sz w:val="20"/>
                <w:szCs w:val="20"/>
              </w:rPr>
              <w:t>Routine</w:t>
            </w:r>
          </w:p>
        </w:tc>
        <w:tc>
          <w:tcPr>
            <w:tcW w:w="1463" w:type="dxa"/>
            <w:shd w:val="clear" w:color="auto" w:fill="DEEAF6"/>
          </w:tcPr>
          <w:p w14:paraId="53B2ED29" w14:textId="77777777" w:rsidR="00127A74" w:rsidRPr="00AE6667"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 w:val="20"/>
                <w:szCs w:val="20"/>
              </w:rPr>
            </w:pPr>
            <w:r w:rsidRPr="00AE6667">
              <w:rPr>
                <w:b/>
                <w:color w:val="263287"/>
                <w:sz w:val="20"/>
                <w:szCs w:val="20"/>
              </w:rPr>
              <w:t>Additional</w:t>
            </w:r>
          </w:p>
        </w:tc>
      </w:tr>
      <w:tr w:rsidR="00127A74" w:rsidRPr="00AE6667" w14:paraId="05599231" w14:textId="77777777" w:rsidTr="00C15CB2">
        <w:trPr>
          <w:gridAfter w:val="1"/>
          <w:wAfter w:w="9" w:type="dxa"/>
          <w:trHeight w:val="137"/>
        </w:trPr>
        <w:tc>
          <w:tcPr>
            <w:cnfStyle w:val="001000000000" w:firstRow="0" w:lastRow="0" w:firstColumn="1" w:lastColumn="0" w:oddVBand="0" w:evenVBand="0" w:oddHBand="0" w:evenHBand="0" w:firstRowFirstColumn="0" w:firstRowLastColumn="0" w:lastRowFirstColumn="0" w:lastRowLastColumn="0"/>
            <w:tcW w:w="2263" w:type="dxa"/>
          </w:tcPr>
          <w:p w14:paraId="67382D75" w14:textId="77777777" w:rsidR="00127A74" w:rsidRPr="00AE6667" w:rsidRDefault="00127A74" w:rsidP="00127A74">
            <w:pPr>
              <w:rPr>
                <w:b/>
                <w:bCs/>
                <w:sz w:val="20"/>
                <w:szCs w:val="20"/>
              </w:rPr>
            </w:pPr>
            <w:r w:rsidRPr="00AE6667">
              <w:rPr>
                <w:b/>
                <w:bCs/>
                <w:sz w:val="20"/>
                <w:szCs w:val="20"/>
              </w:rPr>
              <w:t>Important identified risks</w:t>
            </w:r>
          </w:p>
        </w:tc>
        <w:tc>
          <w:tcPr>
            <w:tcW w:w="1942" w:type="dxa"/>
          </w:tcPr>
          <w:p w14:paraId="7134CBC0" w14:textId="1769B600"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None</w:t>
            </w:r>
          </w:p>
        </w:tc>
        <w:tc>
          <w:tcPr>
            <w:tcW w:w="1260" w:type="dxa"/>
          </w:tcPr>
          <w:p w14:paraId="11797452" w14:textId="0F8F9A4C"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418" w:type="dxa"/>
          </w:tcPr>
          <w:p w14:paraId="7B703318" w14:textId="131F112E"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260" w:type="dxa"/>
            <w:gridSpan w:val="2"/>
          </w:tcPr>
          <w:p w14:paraId="1A652099" w14:textId="29E2D4B3"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463" w:type="dxa"/>
          </w:tcPr>
          <w:p w14:paraId="34A0513E" w14:textId="7E069956"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r>
      <w:tr w:rsidR="00127A74" w:rsidRPr="00AE6667" w14:paraId="176B93B3" w14:textId="77777777" w:rsidTr="00C15CB2">
        <w:trPr>
          <w:gridAfter w:val="1"/>
          <w:wAfter w:w="9" w:type="dxa"/>
          <w:trHeight w:val="159"/>
        </w:trPr>
        <w:tc>
          <w:tcPr>
            <w:cnfStyle w:val="001000000000" w:firstRow="0" w:lastRow="0" w:firstColumn="1" w:lastColumn="0" w:oddVBand="0" w:evenVBand="0" w:oddHBand="0" w:evenHBand="0" w:firstRowFirstColumn="0" w:firstRowLastColumn="0" w:lastRowFirstColumn="0" w:lastRowLastColumn="0"/>
            <w:tcW w:w="2263" w:type="dxa"/>
          </w:tcPr>
          <w:p w14:paraId="77F0DB3E" w14:textId="77777777" w:rsidR="00127A74" w:rsidRPr="00AE6667" w:rsidRDefault="00127A74" w:rsidP="00127A74">
            <w:pPr>
              <w:rPr>
                <w:b/>
                <w:bCs/>
                <w:sz w:val="20"/>
                <w:szCs w:val="20"/>
              </w:rPr>
            </w:pPr>
            <w:r w:rsidRPr="00AE6667">
              <w:rPr>
                <w:b/>
                <w:bCs/>
                <w:sz w:val="20"/>
                <w:szCs w:val="20"/>
              </w:rPr>
              <w:t>Important potential risks</w:t>
            </w:r>
          </w:p>
        </w:tc>
        <w:tc>
          <w:tcPr>
            <w:tcW w:w="1942" w:type="dxa"/>
          </w:tcPr>
          <w:p w14:paraId="6E17E14A" w14:textId="6DA1DAF0" w:rsidR="00127A74" w:rsidRPr="00AE6667" w:rsidRDefault="001F44BE"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Atrophy of the salivary glands</w:t>
            </w:r>
          </w:p>
        </w:tc>
        <w:tc>
          <w:tcPr>
            <w:tcW w:w="1260" w:type="dxa"/>
          </w:tcPr>
          <w:p w14:paraId="252AD92F" w14:textId="5B181168" w:rsidR="00127A74" w:rsidRPr="00AE6667" w:rsidRDefault="00D23809"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rFonts w:ascii="Wingdings" w:eastAsia="Wingdings" w:hAnsi="Wingdings" w:cs="Wingdings"/>
                <w:sz w:val="20"/>
                <w:szCs w:val="20"/>
              </w:rPr>
              <w:sym w:font="Wingdings" w:char="F0FC"/>
            </w:r>
          </w:p>
        </w:tc>
        <w:tc>
          <w:tcPr>
            <w:tcW w:w="1418" w:type="dxa"/>
          </w:tcPr>
          <w:p w14:paraId="77DA98F1" w14:textId="42ED6F83"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260" w:type="dxa"/>
            <w:gridSpan w:val="2"/>
          </w:tcPr>
          <w:p w14:paraId="182A5096" w14:textId="6FC90DCC" w:rsidR="00127A74" w:rsidRPr="00AE6667" w:rsidRDefault="00D23809"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rFonts w:ascii="Wingdings" w:eastAsia="Wingdings" w:hAnsi="Wingdings" w:cs="Wingdings"/>
                <w:sz w:val="20"/>
                <w:szCs w:val="20"/>
              </w:rPr>
              <w:sym w:font="Wingdings" w:char="F0FC"/>
            </w:r>
          </w:p>
        </w:tc>
        <w:tc>
          <w:tcPr>
            <w:tcW w:w="1463" w:type="dxa"/>
          </w:tcPr>
          <w:p w14:paraId="2A6247DC" w14:textId="5E356EED"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r>
      <w:tr w:rsidR="00127A74" w:rsidRPr="00AE6667" w14:paraId="74C5E610" w14:textId="77777777" w:rsidTr="00C15CB2">
        <w:trPr>
          <w:gridAfter w:val="1"/>
          <w:wAfter w:w="9" w:type="dxa"/>
          <w:trHeight w:val="178"/>
        </w:trPr>
        <w:tc>
          <w:tcPr>
            <w:cnfStyle w:val="001000000000" w:firstRow="0" w:lastRow="0" w:firstColumn="1" w:lastColumn="0" w:oddVBand="0" w:evenVBand="0" w:oddHBand="0" w:evenHBand="0" w:firstRowFirstColumn="0" w:firstRowLastColumn="0" w:lastRowFirstColumn="0" w:lastRowLastColumn="0"/>
            <w:tcW w:w="2263" w:type="dxa"/>
          </w:tcPr>
          <w:p w14:paraId="262C65E3" w14:textId="77777777" w:rsidR="00127A74" w:rsidRPr="00AE6667" w:rsidRDefault="00127A74" w:rsidP="00127A74">
            <w:pPr>
              <w:rPr>
                <w:b/>
                <w:bCs/>
                <w:sz w:val="20"/>
                <w:szCs w:val="20"/>
              </w:rPr>
            </w:pPr>
            <w:r w:rsidRPr="00AE6667">
              <w:rPr>
                <w:b/>
                <w:bCs/>
                <w:sz w:val="20"/>
                <w:szCs w:val="20"/>
              </w:rPr>
              <w:t>Missing information</w:t>
            </w:r>
          </w:p>
        </w:tc>
        <w:tc>
          <w:tcPr>
            <w:tcW w:w="1942" w:type="dxa"/>
          </w:tcPr>
          <w:p w14:paraId="104D79CD" w14:textId="5FFBA44A"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None</w:t>
            </w:r>
          </w:p>
        </w:tc>
        <w:tc>
          <w:tcPr>
            <w:tcW w:w="1260" w:type="dxa"/>
          </w:tcPr>
          <w:p w14:paraId="07467A21" w14:textId="29DBC045"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418" w:type="dxa"/>
          </w:tcPr>
          <w:p w14:paraId="35C7F07F" w14:textId="6E6BDC13"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260" w:type="dxa"/>
            <w:gridSpan w:val="2"/>
          </w:tcPr>
          <w:p w14:paraId="52620DEE" w14:textId="3AE6A9E8"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c>
          <w:tcPr>
            <w:tcW w:w="1463" w:type="dxa"/>
          </w:tcPr>
          <w:p w14:paraId="16BD3C7B" w14:textId="3E10FD6D" w:rsidR="00127A74" w:rsidRPr="00AE6667" w:rsidRDefault="00E00010" w:rsidP="00127A74">
            <w:pPr>
              <w:cnfStyle w:val="000000000000" w:firstRow="0" w:lastRow="0" w:firstColumn="0" w:lastColumn="0" w:oddVBand="0" w:evenVBand="0" w:oddHBand="0" w:evenHBand="0" w:firstRowFirstColumn="0" w:firstRowLastColumn="0" w:lastRowFirstColumn="0" w:lastRowLastColumn="0"/>
              <w:rPr>
                <w:sz w:val="20"/>
                <w:szCs w:val="20"/>
              </w:rPr>
            </w:pPr>
            <w:r w:rsidRPr="00AE6667">
              <w:rPr>
                <w:sz w:val="20"/>
                <w:szCs w:val="20"/>
              </w:rPr>
              <w:t>-</w:t>
            </w:r>
          </w:p>
        </w:tc>
      </w:tr>
    </w:tbl>
    <w:p w14:paraId="7BE08F64" w14:textId="6CF9876E" w:rsidR="0093696B" w:rsidRPr="0093696B" w:rsidRDefault="00032A0F" w:rsidP="008A47AB">
      <w:pPr>
        <w:rPr>
          <w:szCs w:val="22"/>
        </w:rPr>
      </w:pPr>
      <w:r>
        <w:t>The RMP evaluation recommended</w:t>
      </w:r>
      <w:r w:rsidR="00E03434">
        <w:t xml:space="preserve"> the </w:t>
      </w:r>
      <w:r>
        <w:t>inclusion of the medicine in the Black Triangle Scheme.</w:t>
      </w:r>
      <w:r w:rsidRPr="00663544">
        <w:rPr>
          <w:rFonts w:eastAsia="Cambria" w:cs="Times New Roman"/>
          <w:i/>
          <w:color w:val="007099"/>
          <w:szCs w:val="22"/>
        </w:rPr>
        <w:t xml:space="preserve"> </w:t>
      </w:r>
    </w:p>
    <w:p w14:paraId="0908AE06" w14:textId="01E35728" w:rsidR="00FA1BC9" w:rsidRPr="00BD5DBD" w:rsidRDefault="00FA1BC9" w:rsidP="00FA1BC9">
      <w:pPr>
        <w:rPr>
          <w:szCs w:val="22"/>
        </w:rPr>
      </w:pPr>
      <w:bookmarkStart w:id="64" w:name="_Toc103679299"/>
      <w:r w:rsidRPr="00BD5DBD">
        <w:rPr>
          <w:szCs w:val="22"/>
        </w:rPr>
        <w:t xml:space="preserve">The </w:t>
      </w:r>
      <w:r w:rsidR="00616104">
        <w:rPr>
          <w:szCs w:val="22"/>
        </w:rPr>
        <w:t>Sponsor</w:t>
      </w:r>
      <w:r w:rsidRPr="00BD5DBD">
        <w:rPr>
          <w:szCs w:val="22"/>
        </w:rPr>
        <w:t xml:space="preserve"> is required to comply with product vigilance and risk minimisation requirements.</w:t>
      </w:r>
    </w:p>
    <w:p w14:paraId="456C7934" w14:textId="16855C3B" w:rsidR="00FA1BC9"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5" w:history="1">
        <w:r w:rsidRPr="00BD5DBD">
          <w:rPr>
            <w:rStyle w:val="Hyperlink"/>
            <w:szCs w:val="22"/>
          </w:rPr>
          <w:t>risk management plans for medicines and biologicals</w:t>
        </w:r>
      </w:hyperlink>
      <w:r w:rsidRPr="00BD5DBD">
        <w:rPr>
          <w:szCs w:val="22"/>
        </w:rPr>
        <w:t xml:space="preserve"> and </w:t>
      </w:r>
      <w:hyperlink r:id="rId36" w:history="1">
        <w:r w:rsidRPr="00BD5DBD">
          <w:rPr>
            <w:rStyle w:val="Hyperlink"/>
            <w:szCs w:val="22"/>
          </w:rPr>
          <w:t>the TGA's risk management approach</w:t>
        </w:r>
      </w:hyperlink>
      <w:r w:rsidRPr="00BD5DBD">
        <w:rPr>
          <w:szCs w:val="22"/>
        </w:rPr>
        <w:t xml:space="preserve">. Information on the </w:t>
      </w:r>
      <w:hyperlink r:id="rId37"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8"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65" w:name="_Toc170887913"/>
      <w:r>
        <w:t>Risk-benefit analysis</w:t>
      </w:r>
      <w:bookmarkEnd w:id="61"/>
      <w:bookmarkEnd w:id="62"/>
      <w:bookmarkEnd w:id="64"/>
      <w:bookmarkEnd w:id="65"/>
    </w:p>
    <w:p w14:paraId="77DE2655" w14:textId="77777777" w:rsidR="00C22214" w:rsidRDefault="00C22214" w:rsidP="00C22214">
      <w:pPr>
        <w:pStyle w:val="Heading4"/>
      </w:pPr>
      <w:bookmarkStart w:id="66" w:name="_Toc98931932"/>
      <w:bookmarkStart w:id="67" w:name="_Toc170887914"/>
      <w:r>
        <w:t>Delegate’s considerations</w:t>
      </w:r>
      <w:bookmarkEnd w:id="66"/>
      <w:bookmarkEnd w:id="67"/>
    </w:p>
    <w:p w14:paraId="6FE7E324" w14:textId="77777777" w:rsidR="000E448D" w:rsidRPr="00F74F79" w:rsidRDefault="000E448D" w:rsidP="000E448D">
      <w:pPr>
        <w:rPr>
          <w:b/>
          <w:bCs/>
        </w:rPr>
      </w:pPr>
      <w:bookmarkStart w:id="68" w:name="_Toc98931933"/>
      <w:r w:rsidRPr="00F74F79">
        <w:rPr>
          <w:b/>
          <w:bCs/>
        </w:rPr>
        <w:t>Sialorrhea in children and adolescents</w:t>
      </w:r>
    </w:p>
    <w:p w14:paraId="57A9BD6F" w14:textId="1367256A" w:rsidR="000E448D" w:rsidRDefault="000E448D" w:rsidP="000E448D">
      <w:r w:rsidRPr="0005190E">
        <w:rPr>
          <w:rFonts w:cs="TimesNewRoman"/>
        </w:rPr>
        <w:t xml:space="preserve">The </w:t>
      </w:r>
      <w:r w:rsidR="00616104">
        <w:rPr>
          <w:rFonts w:cs="TimesNewRoman"/>
        </w:rPr>
        <w:t>Evaluator</w:t>
      </w:r>
      <w:r>
        <w:rPr>
          <w:rFonts w:cs="TimesNewRoman"/>
        </w:rPr>
        <w:t xml:space="preserve"> considered that the </w:t>
      </w:r>
      <w:r w:rsidRPr="0005190E">
        <w:rPr>
          <w:rFonts w:cs="TimesNewRoman"/>
        </w:rPr>
        <w:t>study design and conduct were generally acceptable</w:t>
      </w:r>
      <w:r>
        <w:rPr>
          <w:rFonts w:cs="TimesNewRoman"/>
        </w:rPr>
        <w:t xml:space="preserve"> and consistent </w:t>
      </w:r>
      <w:r w:rsidRPr="0005190E">
        <w:rPr>
          <w:rFonts w:cs="TimesNewRoman"/>
        </w:rPr>
        <w:t>with the TGA-adopted guideline</w:t>
      </w:r>
      <w:r>
        <w:rPr>
          <w:rFonts w:cs="TimesNewRoman"/>
        </w:rPr>
        <w:t>s</w:t>
      </w:r>
      <w:r w:rsidRPr="0005190E">
        <w:rPr>
          <w:rFonts w:cs="TimesNewRoman"/>
        </w:rPr>
        <w:t xml:space="preserve"> for </w:t>
      </w:r>
      <w:r w:rsidRPr="0005190E">
        <w:t>clinical trials in small populations</w:t>
      </w:r>
      <w:r>
        <w:rPr>
          <w:rFonts w:cs="TimesNewRoman"/>
        </w:rPr>
        <w:t>.</w:t>
      </w:r>
      <w:r w:rsidRPr="00E97779">
        <w:t xml:space="preserve"> </w:t>
      </w:r>
    </w:p>
    <w:p w14:paraId="15FFA3D7" w14:textId="31B78F6F" w:rsidR="000E448D" w:rsidRPr="00F74F79" w:rsidRDefault="000E448D" w:rsidP="008A47AB">
      <w:pPr>
        <w:rPr>
          <w:rFonts w:cs="TimesNewRoman"/>
        </w:rPr>
      </w:pPr>
      <w:r w:rsidRPr="00050A99">
        <w:rPr>
          <w:rFonts w:cs="TimesNewRoman"/>
        </w:rPr>
        <w:t xml:space="preserve">The </w:t>
      </w:r>
      <w:r w:rsidR="00616104">
        <w:rPr>
          <w:rFonts w:cs="TimesNewRoman"/>
        </w:rPr>
        <w:t>Evaluator</w:t>
      </w:r>
      <w:r>
        <w:rPr>
          <w:rFonts w:cs="TimesNewRoman"/>
        </w:rPr>
        <w:t xml:space="preserve"> has highlighted that the co-</w:t>
      </w:r>
      <w:r w:rsidRPr="00050A99">
        <w:rPr>
          <w:rFonts w:cs="TimesNewRoman"/>
        </w:rPr>
        <w:t xml:space="preserve">primary </w:t>
      </w:r>
      <w:r>
        <w:rPr>
          <w:rFonts w:cs="TimesNewRoman"/>
        </w:rPr>
        <w:t>endpoints (</w:t>
      </w:r>
      <w:proofErr w:type="spellStart"/>
      <w:r w:rsidRPr="00050A99">
        <w:t>mTDS</w:t>
      </w:r>
      <w:proofErr w:type="spellEnd"/>
      <w:r w:rsidRPr="00050A99">
        <w:t>, DQ and DIS</w:t>
      </w:r>
      <w:r>
        <w:t>)</w:t>
      </w:r>
      <w:r w:rsidRPr="00050A99">
        <w:t xml:space="preserve"> </w:t>
      </w:r>
      <w:r>
        <w:t>we</w:t>
      </w:r>
      <w:r w:rsidRPr="00050A99">
        <w:t>re specific tests for drooling evaluation</w:t>
      </w:r>
      <w:r>
        <w:t>; however not yet validated for use in children.</w:t>
      </w:r>
      <w:r w:rsidRPr="00050A99">
        <w:rPr>
          <w:rFonts w:cs="TimesNewRoman"/>
        </w:rPr>
        <w:t xml:space="preserve"> </w:t>
      </w:r>
      <w:r>
        <w:t xml:space="preserve">It was noted that the </w:t>
      </w:r>
      <w:r w:rsidRPr="00050A99">
        <w:t xml:space="preserve">study utilised </w:t>
      </w:r>
      <w:r>
        <w:t xml:space="preserve">defined </w:t>
      </w:r>
      <w:r w:rsidRPr="00050A99">
        <w:t xml:space="preserve">standardised conditions </w:t>
      </w:r>
      <w:r>
        <w:t>for assessment and measurement of</w:t>
      </w:r>
      <w:r w:rsidRPr="00050A99">
        <w:t xml:space="preserve"> the </w:t>
      </w:r>
      <w:proofErr w:type="spellStart"/>
      <w:r w:rsidRPr="00050A99">
        <w:t>uSFR</w:t>
      </w:r>
      <w:proofErr w:type="spellEnd"/>
      <w:r w:rsidRPr="00050A99">
        <w:t>.</w:t>
      </w:r>
      <w:r>
        <w:t xml:space="preserve"> </w:t>
      </w:r>
      <w:r>
        <w:lastRenderedPageBreak/>
        <w:t>T</w:t>
      </w:r>
      <w:r w:rsidRPr="00BE5B15">
        <w:t xml:space="preserve">he </w:t>
      </w:r>
      <w:r w:rsidR="00140508">
        <w:t>Sponsor</w:t>
      </w:r>
      <w:r>
        <w:t xml:space="preserve"> has mentioned that the </w:t>
      </w:r>
      <w:r w:rsidRPr="00BE5B15">
        <w:t xml:space="preserve">Paediatric Committee </w:t>
      </w:r>
      <w:r>
        <w:t>of</w:t>
      </w:r>
      <w:r w:rsidRPr="00BE5B15">
        <w:t xml:space="preserve"> the </w:t>
      </w:r>
      <w:r>
        <w:t xml:space="preserve">EMA had considered that </w:t>
      </w:r>
      <w:r w:rsidRPr="00050A99">
        <w:t xml:space="preserve">the design </w:t>
      </w:r>
      <w:r>
        <w:t>and the</w:t>
      </w:r>
      <w:r w:rsidRPr="00050A99">
        <w:t xml:space="preserve"> endpoints</w:t>
      </w:r>
      <w:r w:rsidRPr="001B4694">
        <w:t xml:space="preserve"> </w:t>
      </w:r>
      <w:r>
        <w:t xml:space="preserve">as acceptable. </w:t>
      </w:r>
    </w:p>
    <w:p w14:paraId="477F6935" w14:textId="77777777" w:rsidR="000E448D" w:rsidRDefault="000E448D" w:rsidP="008A47AB">
      <w:r>
        <w:t>In children with sialorrhea, the magnitude of the treatment differences between NT 201 treatment and placebo treatment were clinically meaningful and achieved statistical significance.</w:t>
      </w:r>
    </w:p>
    <w:p w14:paraId="3BCC2418" w14:textId="7738490D" w:rsidR="003A3B54" w:rsidRPr="00A4792D" w:rsidRDefault="000E448D" w:rsidP="008A47AB">
      <w:r>
        <w:t xml:space="preserve">Children in the 2 to 5 years age group were not randomised to receive placebo treatment. Furthermore, only 35 subjects in this age-group received </w:t>
      </w:r>
      <w:r w:rsidR="000A423B">
        <w:t>XEOMIN</w:t>
      </w:r>
      <w:r>
        <w:t xml:space="preserve"> in the controlled phase and </w:t>
      </w:r>
      <w:r w:rsidR="003A3B54">
        <w:t xml:space="preserve">34 subjects received </w:t>
      </w:r>
      <w:r w:rsidR="000A423B">
        <w:t>XEOMIN</w:t>
      </w:r>
      <w:r w:rsidR="003A3B54">
        <w:t xml:space="preserve"> in the open-label phase. The Delegate has noted that the overall results in the 2 to 5 years group were generally consistent with those in the 6 to 17 years group. The ACM’s advice will be considered with regards to inclusion of this age group in the proposed indication.</w:t>
      </w:r>
    </w:p>
    <w:p w14:paraId="219174CD" w14:textId="77777777" w:rsidR="003A3B54" w:rsidRPr="008A47AB" w:rsidRDefault="003A3B54" w:rsidP="008A47AB">
      <w:pPr>
        <w:rPr>
          <w:b/>
          <w:bCs/>
        </w:rPr>
      </w:pPr>
      <w:r w:rsidRPr="008A47AB">
        <w:rPr>
          <w:b/>
          <w:bCs/>
        </w:rPr>
        <w:t>Sialorrhea in adults</w:t>
      </w:r>
    </w:p>
    <w:p w14:paraId="6C19EDC9" w14:textId="77777777" w:rsidR="008A47AB" w:rsidRDefault="003A3B54" w:rsidP="008A47AB">
      <w:r>
        <w:t xml:space="preserve">The 75 U strength of </w:t>
      </w:r>
      <w:r w:rsidR="000A423B">
        <w:t>XEOMIN</w:t>
      </w:r>
      <w:r>
        <w:t xml:space="preserve"> did not achieve statistical significance for each co-primary endpoint </w:t>
      </w:r>
      <w:proofErr w:type="gramStart"/>
      <w:r>
        <w:t>and also</w:t>
      </w:r>
      <w:proofErr w:type="gramEnd"/>
      <w:r>
        <w:t xml:space="preserve"> the secondary endpoints, when compared to placebo.  The </w:t>
      </w:r>
      <w:r w:rsidR="00616104">
        <w:t>Evaluator</w:t>
      </w:r>
      <w:r>
        <w:t xml:space="preserve"> concluded that the evidence to date does not support the </w:t>
      </w:r>
      <w:r w:rsidR="000A423B">
        <w:t>XEOMIN</w:t>
      </w:r>
      <w:r>
        <w:t xml:space="preserve"> 75 U dose-regimen for the proposed indication. In terms of the 100 U strength, 74 subjects were exposed to the NT 201 (100 U) regimen in the controlled phase and an additional 15 subjects in the open label phase.</w:t>
      </w:r>
    </w:p>
    <w:p w14:paraId="643AAC45" w14:textId="39C426C4" w:rsidR="003A3B54" w:rsidRDefault="003A3B54" w:rsidP="008A47AB">
      <w:r>
        <w:t xml:space="preserve">This extent of exposure deviated from the specific TGA-adopted guidelines, in which at least 100 subjects at 1 year are recommended. The </w:t>
      </w:r>
      <w:r w:rsidR="00616104">
        <w:t>Evaluator</w:t>
      </w:r>
      <w:r>
        <w:t xml:space="preserve"> has raised this issue with the </w:t>
      </w:r>
      <w:r w:rsidR="00140508">
        <w:t>Sponsor</w:t>
      </w:r>
      <w:r>
        <w:t xml:space="preserve">. The </w:t>
      </w:r>
      <w:r w:rsidR="00140508">
        <w:t>Sponsor</w:t>
      </w:r>
      <w:r>
        <w:t xml:space="preserve"> had clarified that both US FDA and EMA had advised that 50 subjects with an exposure for a year would be sufficient to establish safety. The </w:t>
      </w:r>
      <w:r w:rsidR="00616104">
        <w:t>Evaluator</w:t>
      </w:r>
      <w:r>
        <w:t xml:space="preserve"> also concluded that this is acceptable. The </w:t>
      </w:r>
      <w:r w:rsidR="00616104">
        <w:t>Sponsor</w:t>
      </w:r>
      <w:r>
        <w:t>’s proposed dose is 100U.</w:t>
      </w:r>
    </w:p>
    <w:p w14:paraId="39EFBE11" w14:textId="58350C7F" w:rsidR="003A3B54" w:rsidRDefault="003A3B54" w:rsidP="008A47AB">
      <w:r>
        <w:t xml:space="preserve">The injection cycle length data were generally consistent with the proposed dose-regimens. Data from the clinical dossier were generally supportive of intraglandular administration of 100 U of </w:t>
      </w:r>
      <w:r w:rsidR="000A423B">
        <w:t>XEOMIN</w:t>
      </w:r>
      <w:r>
        <w:t xml:space="preserve">. </w:t>
      </w:r>
    </w:p>
    <w:p w14:paraId="3D5B5457" w14:textId="77777777" w:rsidR="003A3B54" w:rsidRPr="00F74F79" w:rsidRDefault="003A3B54" w:rsidP="003A3B54">
      <w:pPr>
        <w:rPr>
          <w:b/>
          <w:bCs/>
        </w:rPr>
      </w:pPr>
      <w:r w:rsidRPr="00F74F79">
        <w:rPr>
          <w:b/>
          <w:bCs/>
        </w:rPr>
        <w:t>Spasticity in children and adolescents</w:t>
      </w:r>
    </w:p>
    <w:p w14:paraId="73BF4FFD" w14:textId="77777777" w:rsidR="003A3B54" w:rsidRDefault="003A3B54" w:rsidP="003A3B54">
      <w:pPr>
        <w:rPr>
          <w:lang w:eastAsia="ja-JP"/>
        </w:rPr>
      </w:pPr>
      <w:r>
        <w:rPr>
          <w:lang w:eastAsia="ja-JP"/>
        </w:rPr>
        <w:t>Across the phase III studies, the (2-5 years) group were well represented, with between 40 to 60% of study participants in this age-group.</w:t>
      </w:r>
    </w:p>
    <w:p w14:paraId="0D6C9A91" w14:textId="7DCF3F74" w:rsidR="003A3B54" w:rsidRDefault="003A3B54" w:rsidP="003A3B54">
      <w:r w:rsidRPr="00B30311">
        <w:rPr>
          <w:rFonts w:cs="TimesNewRoman"/>
        </w:rPr>
        <w:t xml:space="preserve">The study design and conduct </w:t>
      </w:r>
      <w:r>
        <w:rPr>
          <w:rFonts w:cs="TimesNewRoman"/>
        </w:rPr>
        <w:t xml:space="preserve">of studies 3070, 3071 and 3072 </w:t>
      </w:r>
      <w:r w:rsidRPr="00B30311">
        <w:rPr>
          <w:rFonts w:cs="TimesNewRoman"/>
        </w:rPr>
        <w:t>were generally acceptable</w:t>
      </w:r>
      <w:r>
        <w:rPr>
          <w:rFonts w:cs="TimesNewRoman"/>
        </w:rPr>
        <w:t xml:space="preserve">. </w:t>
      </w:r>
      <w:r w:rsidRPr="00FA5A81">
        <w:rPr>
          <w:rFonts w:cs="TimesNewRoman"/>
        </w:rPr>
        <w:t xml:space="preserve">The </w:t>
      </w:r>
      <w:r>
        <w:rPr>
          <w:rFonts w:cs="TimesNewRoman"/>
        </w:rPr>
        <w:t xml:space="preserve">primary, </w:t>
      </w:r>
      <w:r w:rsidRPr="00FA5A81">
        <w:rPr>
          <w:rFonts w:cs="TimesNewRoman"/>
        </w:rPr>
        <w:t>co-primary and secondary variables used in this study used well-established, validated endpoints</w:t>
      </w:r>
      <w:r>
        <w:rPr>
          <w:rFonts w:cs="TimesNewRoman"/>
        </w:rPr>
        <w:t>, which</w:t>
      </w:r>
      <w:r w:rsidRPr="00FA5A81">
        <w:rPr>
          <w:rFonts w:cs="TimesNewRoman"/>
        </w:rPr>
        <w:t xml:space="preserve"> </w:t>
      </w:r>
      <w:r>
        <w:t>were</w:t>
      </w:r>
      <w:r w:rsidRPr="00FA5A81">
        <w:t xml:space="preserve"> considered </w:t>
      </w:r>
      <w:r>
        <w:t xml:space="preserve">as </w:t>
      </w:r>
      <w:r w:rsidRPr="00FA5A81">
        <w:t xml:space="preserve">acceptable </w:t>
      </w:r>
      <w:r>
        <w:t>by the</w:t>
      </w:r>
      <w:r w:rsidRPr="00FA5A81">
        <w:t xml:space="preserve"> </w:t>
      </w:r>
      <w:r w:rsidR="00616104">
        <w:t>Evaluator</w:t>
      </w:r>
      <w:r>
        <w:t>.</w:t>
      </w:r>
    </w:p>
    <w:p w14:paraId="1A7277AE" w14:textId="112DEBCE" w:rsidR="003A3B54" w:rsidRDefault="003A3B54" w:rsidP="003A3B54">
      <w:r>
        <w:t xml:space="preserve">Overall, the magnitude of benefit was comparable between the studies over the dose range of 4 to 16 U/kg for both upper limb, lower limb and combined upper limb and lower limb spasticity. The </w:t>
      </w:r>
      <w:r w:rsidR="00140508">
        <w:t>Sponsor</w:t>
      </w:r>
      <w:r>
        <w:t xml:space="preserve">’s proposed dosing regimen to commence treatment naïve patients on 2U/kg and the approach for upward titration based on treatment response is acceptable. </w:t>
      </w:r>
    </w:p>
    <w:p w14:paraId="3466213C" w14:textId="1F79FA53" w:rsidR="003A3B54" w:rsidRPr="00466F62" w:rsidRDefault="003A3B54" w:rsidP="003A3B54">
      <w:pPr>
        <w:rPr>
          <w:b/>
          <w:bCs/>
        </w:rPr>
      </w:pPr>
      <w:r w:rsidRPr="00466F62">
        <w:rPr>
          <w:b/>
          <w:bCs/>
        </w:rPr>
        <w:t>Blepharospasm</w:t>
      </w:r>
    </w:p>
    <w:p w14:paraId="4D15B82A" w14:textId="2BA68A68" w:rsidR="003A3B54" w:rsidRDefault="003A3B54" w:rsidP="003A3B54">
      <w:r>
        <w:t xml:space="preserve">It appears that a greater treatment benefit was achieved the treatment with </w:t>
      </w:r>
      <w:r w:rsidR="000A423B">
        <w:t>XEOMIN</w:t>
      </w:r>
      <w:r>
        <w:t xml:space="preserve"> for efficacy outcomes even with the reduction of the maximum dose of </w:t>
      </w:r>
      <w:r w:rsidR="000A423B">
        <w:t>XEOMIN</w:t>
      </w:r>
      <w:r>
        <w:t xml:space="preserve"> from 100U to 50U per eye per treatment session. The treatment difference was statistically significant, compared to placebo.</w:t>
      </w:r>
    </w:p>
    <w:p w14:paraId="5546F408" w14:textId="77777777" w:rsidR="003A3B54" w:rsidRPr="008A47AB" w:rsidRDefault="003A3B54" w:rsidP="008A47AB">
      <w:pPr>
        <w:rPr>
          <w:b/>
          <w:bCs/>
        </w:rPr>
      </w:pPr>
      <w:r w:rsidRPr="008A47AB">
        <w:rPr>
          <w:b/>
          <w:bCs/>
        </w:rPr>
        <w:t>Safety</w:t>
      </w:r>
    </w:p>
    <w:p w14:paraId="1E0CA968" w14:textId="4415D9AE" w:rsidR="003A3B54" w:rsidRDefault="003A3B54" w:rsidP="003A3B54">
      <w:r>
        <w:t xml:space="preserve">Treatment exposure was considered as adequate, except for the </w:t>
      </w:r>
      <w:proofErr w:type="gramStart"/>
      <w:r>
        <w:t>2 to 5 year</w:t>
      </w:r>
      <w:proofErr w:type="gramEnd"/>
      <w:r>
        <w:t xml:space="preserve"> age group with chronic sialorrhea. Only 35 subjects in this age group were treated for 6 weeks (controlled study period) and 34 subjects in the open label phase for 12 weeks. The </w:t>
      </w:r>
      <w:r w:rsidR="00140508">
        <w:t>Sponsor</w:t>
      </w:r>
      <w:r>
        <w:t xml:space="preserve">’s approach to </w:t>
      </w:r>
      <w:r>
        <w:lastRenderedPageBreak/>
        <w:t xml:space="preserve">extrapolate the efficacy and safety data from the 6 to </w:t>
      </w:r>
      <w:proofErr w:type="gramStart"/>
      <w:r>
        <w:t>17 year</w:t>
      </w:r>
      <w:proofErr w:type="gramEnd"/>
      <w:r>
        <w:t xml:space="preserve"> age group was considered as acceptable by the </w:t>
      </w:r>
      <w:r w:rsidR="00616104">
        <w:t>Evaluator</w:t>
      </w:r>
      <w:r>
        <w:t xml:space="preserve">. </w:t>
      </w:r>
    </w:p>
    <w:p w14:paraId="66CBADBB" w14:textId="77777777" w:rsidR="003A3B54" w:rsidRDefault="003A3B54" w:rsidP="003A3B54">
      <w:r>
        <w:t xml:space="preserve">The AEs in the paediatric cohort were mostly upper respiratory tract infection, in contrast to the adult cohort experiencing mostly GI events (dry mouth) and nervous system disorders (fall). No clear dose dependent trend was observed across studies in adults and children. Frequency of dysphagia was low and did not lead to discontinuations. </w:t>
      </w:r>
    </w:p>
    <w:p w14:paraId="2ED4CC8E" w14:textId="77777777" w:rsidR="003A3B54" w:rsidRDefault="003A3B54" w:rsidP="003A3B54">
      <w:pPr>
        <w:rPr>
          <w:rFonts w:cs="TimesNewRoman"/>
        </w:rPr>
      </w:pPr>
      <w:r>
        <w:rPr>
          <w:rFonts w:cs="TimesNewRoman"/>
        </w:rPr>
        <w:t>In studies involving children with spasticity, the f</w:t>
      </w:r>
      <w:r w:rsidRPr="00193A5F">
        <w:rPr>
          <w:rFonts w:cs="TimesNewRoman"/>
        </w:rPr>
        <w:t xml:space="preserve">requency of treatment-related AESIs </w:t>
      </w:r>
      <w:r w:rsidRPr="00193A5F">
        <w:t xml:space="preserve">(related to possible toxin spread) </w:t>
      </w:r>
      <w:r w:rsidRPr="00193A5F">
        <w:rPr>
          <w:lang w:eastAsia="ja-JP"/>
        </w:rPr>
        <w:t xml:space="preserve">was low across </w:t>
      </w:r>
      <w:r w:rsidRPr="00151964">
        <w:t>the spasticity studies</w:t>
      </w:r>
      <w:r w:rsidRPr="00151964">
        <w:rPr>
          <w:lang w:eastAsia="ja-JP"/>
        </w:rPr>
        <w:t xml:space="preserve">, </w:t>
      </w:r>
      <w:r>
        <w:rPr>
          <w:rFonts w:cs="TimesNewRoman"/>
        </w:rPr>
        <w:t>with</w:t>
      </w:r>
      <w:r w:rsidRPr="00151964">
        <w:rPr>
          <w:rFonts w:cs="TimesNewRoman"/>
        </w:rPr>
        <w:t xml:space="preserve"> no clear pattern of </w:t>
      </w:r>
      <w:r w:rsidRPr="00193A5F">
        <w:rPr>
          <w:rFonts w:cs="TimesNewRoman"/>
        </w:rPr>
        <w:t xml:space="preserve">treatment-related </w:t>
      </w:r>
      <w:r>
        <w:rPr>
          <w:rFonts w:cs="TimesNewRoman"/>
        </w:rPr>
        <w:t>event</w:t>
      </w:r>
      <w:r w:rsidRPr="00193A5F">
        <w:rPr>
          <w:rFonts w:cs="TimesNewRoman"/>
        </w:rPr>
        <w:t xml:space="preserve">s </w:t>
      </w:r>
      <w:r>
        <w:rPr>
          <w:rFonts w:cs="TimesNewRoman"/>
        </w:rPr>
        <w:t>with regards to</w:t>
      </w:r>
      <w:r w:rsidRPr="00151964">
        <w:rPr>
          <w:rFonts w:cs="TimesNewRoman"/>
        </w:rPr>
        <w:t xml:space="preserve"> the number of </w:t>
      </w:r>
      <w:r>
        <w:rPr>
          <w:rFonts w:cs="TimesNewRoman"/>
        </w:rPr>
        <w:t>injection</w:t>
      </w:r>
      <w:r w:rsidRPr="00151964">
        <w:rPr>
          <w:rFonts w:cs="TimesNewRoman"/>
        </w:rPr>
        <w:t xml:space="preserve"> cycles</w:t>
      </w:r>
      <w:r>
        <w:rPr>
          <w:rFonts w:cs="TimesNewRoman"/>
        </w:rPr>
        <w:t>.</w:t>
      </w:r>
    </w:p>
    <w:p w14:paraId="34B83376" w14:textId="77777777" w:rsidR="003A3B54" w:rsidRDefault="003A3B54" w:rsidP="003A3B54">
      <w:pPr>
        <w:rPr>
          <w:rFonts w:cs="TimesNewRoman"/>
        </w:rPr>
      </w:pPr>
      <w:r>
        <w:rPr>
          <w:rFonts w:cs="TimesNewRoman"/>
        </w:rPr>
        <w:t xml:space="preserve">In adults with sialorrhea, fall and dry mouth were the most commonly reported TEAEs. </w:t>
      </w:r>
    </w:p>
    <w:p w14:paraId="521A5E67" w14:textId="3E35CD74" w:rsidR="00085F61" w:rsidRDefault="00085F61" w:rsidP="00085F61">
      <w:r>
        <w:rPr>
          <w:lang w:eastAsia="ja-JP"/>
        </w:rPr>
        <w:t xml:space="preserve">In </w:t>
      </w:r>
      <w:r>
        <w:rPr>
          <w:rFonts w:cs="TimesNewRoman"/>
        </w:rPr>
        <w:t xml:space="preserve">the adult population, </w:t>
      </w:r>
      <w:r w:rsidRPr="003B49FE">
        <w:t xml:space="preserve">5 deaths were reported, </w:t>
      </w:r>
      <w:r>
        <w:t xml:space="preserve">which were </w:t>
      </w:r>
      <w:r w:rsidRPr="003B49FE">
        <w:t xml:space="preserve">all considered </w:t>
      </w:r>
      <w:r>
        <w:t xml:space="preserve">by the investigators as </w:t>
      </w:r>
      <w:r w:rsidRPr="003B49FE">
        <w:t>unrelated to study treatment</w:t>
      </w:r>
      <w:r>
        <w:t xml:space="preserve">. Confounding factors or other aetiologies that provided an alternative explanation were provided as rationale for this conclusion. Given the age distribution of the study population and co-morbidities, the explanations provided for each case by the </w:t>
      </w:r>
      <w:r w:rsidR="00B43B89">
        <w:t>i</w:t>
      </w:r>
      <w:r>
        <w:t xml:space="preserve">nvestigator or </w:t>
      </w:r>
      <w:r w:rsidR="00616104">
        <w:t>Sponsor</w:t>
      </w:r>
      <w:r>
        <w:t xml:space="preserve"> were acceptable to the </w:t>
      </w:r>
      <w:r w:rsidR="00616104">
        <w:t>Evaluator</w:t>
      </w:r>
      <w:r>
        <w:t xml:space="preserve">. </w:t>
      </w:r>
    </w:p>
    <w:p w14:paraId="58A4715B" w14:textId="321763EF" w:rsidR="00085F61" w:rsidRDefault="00085F61" w:rsidP="00085F61">
      <w:r>
        <w:t xml:space="preserve">In adults with chronic sialorrhea, there was no obvious treatment related effects on the subject’s ability to swallow. However, the </w:t>
      </w:r>
      <w:r w:rsidR="00616104">
        <w:t>Evaluator</w:t>
      </w:r>
      <w:r>
        <w:t xml:space="preserve"> has highlighted that the subjects were generally recruited into Study </w:t>
      </w:r>
      <w:r w:rsidRPr="00683780">
        <w:rPr>
          <w:i/>
          <w:iCs/>
        </w:rPr>
        <w:t>3090</w:t>
      </w:r>
      <w:r>
        <w:t xml:space="preserve"> with no clinically relevant pre-existing dysphagia. Hence, the safety of treatment with </w:t>
      </w:r>
      <w:r w:rsidR="000A423B">
        <w:t>XEOMIN</w:t>
      </w:r>
      <w:r>
        <w:t xml:space="preserve"> in a target population with known dysphagia remains unclear. It was also noted that no comparative assessment of a subject’s ability to swallow was undertaken in </w:t>
      </w:r>
      <w:r w:rsidRPr="00683780">
        <w:rPr>
          <w:i/>
          <w:iCs/>
        </w:rPr>
        <w:t>3091</w:t>
      </w:r>
      <w:r>
        <w:t xml:space="preserve">. In </w:t>
      </w:r>
      <w:r w:rsidRPr="00E769FE">
        <w:rPr>
          <w:lang w:eastAsia="ja-JP"/>
        </w:rPr>
        <w:t>children and adolescents</w:t>
      </w:r>
      <w:r>
        <w:rPr>
          <w:lang w:eastAsia="ja-JP"/>
        </w:rPr>
        <w:t xml:space="preserve"> with chronic sialorrhea.</w:t>
      </w:r>
      <w:r>
        <w:t xml:space="preserve"> an excess number of instances of adverse events of dysphagia were not reported in this study. Based on these findings, the </w:t>
      </w:r>
      <w:r w:rsidR="00616104">
        <w:t>Evaluator</w:t>
      </w:r>
      <w:r>
        <w:t xml:space="preserve"> considered that difficulty in swallowing was not a major concern.</w:t>
      </w:r>
    </w:p>
    <w:p w14:paraId="379D8507" w14:textId="2A306C2F" w:rsidR="00085F61" w:rsidRDefault="00085F61" w:rsidP="00085F61">
      <w:r>
        <w:rPr>
          <w:lang w:eastAsia="ja-JP"/>
        </w:rPr>
        <w:t>‘</w:t>
      </w:r>
      <w:r w:rsidRPr="0000485E">
        <w:t xml:space="preserve">Atrophy of the salivary gland’ </w:t>
      </w:r>
      <w:r>
        <w:t xml:space="preserve">was considered as risk, based on </w:t>
      </w:r>
      <w:r w:rsidR="000A423B">
        <w:t>XEOMIN</w:t>
      </w:r>
      <w:r>
        <w:t xml:space="preserve">’s mechanism of action. The </w:t>
      </w:r>
      <w:r w:rsidR="00616104">
        <w:t>Evaluator</w:t>
      </w:r>
      <w:r>
        <w:t xml:space="preserve"> has noted that it </w:t>
      </w:r>
      <w:r w:rsidRPr="0000485E">
        <w:t>is listed as an Important Potential Risk</w:t>
      </w:r>
      <w:r>
        <w:t xml:space="preserve"> in the proposed RMP.</w:t>
      </w:r>
    </w:p>
    <w:p w14:paraId="310536A2" w14:textId="65CEAD49" w:rsidR="00085F61" w:rsidRDefault="00085F61" w:rsidP="00085F61">
      <w:pPr>
        <w:jc w:val="both"/>
        <w:rPr>
          <w:lang w:eastAsia="ja-JP"/>
        </w:rPr>
      </w:pPr>
      <w:r w:rsidRPr="00193A5F">
        <w:rPr>
          <w:rFonts w:cs="TimesNewRoman"/>
        </w:rPr>
        <w:t xml:space="preserve">Frequency of treatment related </w:t>
      </w:r>
      <w:r w:rsidR="00B43B89">
        <w:rPr>
          <w:rFonts w:cs="TimesNewRoman"/>
        </w:rPr>
        <w:t>adverse events of special interest</w:t>
      </w:r>
      <w:r w:rsidRPr="00193A5F">
        <w:rPr>
          <w:rFonts w:cs="TimesNewRoman"/>
        </w:rPr>
        <w:t xml:space="preserve"> </w:t>
      </w:r>
      <w:r w:rsidRPr="00193A5F">
        <w:t xml:space="preserve">(related to possible toxin spread) </w:t>
      </w:r>
      <w:r w:rsidRPr="00193A5F">
        <w:rPr>
          <w:lang w:eastAsia="ja-JP"/>
        </w:rPr>
        <w:t xml:space="preserve">was low across </w:t>
      </w:r>
      <w:r w:rsidRPr="00151964">
        <w:t>the spasticity studies</w:t>
      </w:r>
      <w:r>
        <w:rPr>
          <w:lang w:eastAsia="ja-JP"/>
        </w:rPr>
        <w:t>.</w:t>
      </w:r>
    </w:p>
    <w:p w14:paraId="7A78D2F0" w14:textId="52E24F83" w:rsidR="000E448D" w:rsidRDefault="00085F61" w:rsidP="00085F61">
      <w:pPr>
        <w:jc w:val="both"/>
        <w:rPr>
          <w:lang w:eastAsia="ja-JP"/>
        </w:rPr>
      </w:pPr>
      <w:r>
        <w:rPr>
          <w:lang w:eastAsia="ja-JP"/>
        </w:rPr>
        <w:t xml:space="preserve">Long term safety data for </w:t>
      </w:r>
      <w:r w:rsidR="000A423B">
        <w:rPr>
          <w:lang w:eastAsia="ja-JP"/>
        </w:rPr>
        <w:t>XEOMIN</w:t>
      </w:r>
      <w:r>
        <w:rPr>
          <w:lang w:eastAsia="ja-JP"/>
        </w:rPr>
        <w:t xml:space="preserve"> on the above aspects are lacking in this submission.</w:t>
      </w:r>
      <w:r w:rsidR="000E448D">
        <w:t xml:space="preserve"> </w:t>
      </w:r>
    </w:p>
    <w:p w14:paraId="3916F296" w14:textId="6BD58C6B" w:rsidR="00C22214" w:rsidRDefault="00C22214" w:rsidP="000E448D">
      <w:pPr>
        <w:pStyle w:val="Heading4"/>
      </w:pPr>
      <w:bookmarkStart w:id="69" w:name="_Toc170887915"/>
      <w:r w:rsidRPr="00D23139">
        <w:t>Proposed action</w:t>
      </w:r>
      <w:bookmarkEnd w:id="68"/>
      <w:bookmarkEnd w:id="69"/>
    </w:p>
    <w:p w14:paraId="68F2F99C" w14:textId="4F113027" w:rsidR="00B43B89" w:rsidRPr="00BD1D1D" w:rsidRDefault="00B43B89" w:rsidP="00B43B89">
      <w:pPr>
        <w:pStyle w:val="Instructions"/>
        <w:rPr>
          <w:i w:val="0"/>
          <w:iCs/>
          <w:color w:val="auto"/>
        </w:rPr>
      </w:pPr>
      <w:bookmarkStart w:id="70" w:name="_Toc98931934"/>
      <w:r w:rsidRPr="00BD1D1D">
        <w:rPr>
          <w:i w:val="0"/>
          <w:iCs/>
          <w:color w:val="auto"/>
        </w:rPr>
        <w:t xml:space="preserve">Intraglandular treatment with </w:t>
      </w:r>
      <w:r w:rsidR="000A423B">
        <w:rPr>
          <w:i w:val="0"/>
          <w:iCs/>
          <w:color w:val="auto"/>
        </w:rPr>
        <w:t>XEOMIN</w:t>
      </w:r>
      <w:r w:rsidRPr="00BD1D1D">
        <w:rPr>
          <w:i w:val="0"/>
          <w:iCs/>
          <w:color w:val="auto"/>
        </w:rPr>
        <w:t xml:space="preserve"> appears to benefit children, adolescents and adults with chronic sialorrhea. </w:t>
      </w:r>
    </w:p>
    <w:p w14:paraId="4C5ECFCE" w14:textId="1BDCD234" w:rsidR="00B43B89" w:rsidRPr="00BD1D1D" w:rsidRDefault="00021430" w:rsidP="00B43B89">
      <w:r>
        <w:t>The d</w:t>
      </w:r>
      <w:r w:rsidR="00B43B89" w:rsidRPr="00BD1D1D">
        <w:t xml:space="preserve">osing regimen for the treatment of upper and lower limb spasticity is not well characterised. The </w:t>
      </w:r>
      <w:r w:rsidR="00616104">
        <w:t>Sponsor</w:t>
      </w:r>
      <w:r w:rsidR="00B43B89" w:rsidRPr="00BD1D1D">
        <w:t xml:space="preserve">’s proposed starting low dose of 2U/kg and upward titration based on treatment response appears to be reasonable.  </w:t>
      </w:r>
    </w:p>
    <w:p w14:paraId="6C56EE85" w14:textId="064E486B" w:rsidR="00B43B89" w:rsidRPr="00BD1D1D" w:rsidRDefault="00B43B89" w:rsidP="00B43B89">
      <w:r w:rsidRPr="00BD1D1D">
        <w:t xml:space="preserve">Most of the safety-related events were previously reported in studies with botulinum products. Nil serious events related to distant spread of toxin were reported. </w:t>
      </w:r>
      <w:r>
        <w:t xml:space="preserve">However, long term safety data for the use of </w:t>
      </w:r>
      <w:r w:rsidR="000A423B">
        <w:t>XEOMIN</w:t>
      </w:r>
      <w:r>
        <w:t xml:space="preserve"> in the targeted patient population is limited.</w:t>
      </w:r>
    </w:p>
    <w:p w14:paraId="318CFABC" w14:textId="77777777" w:rsidR="00C22214" w:rsidRPr="00F73346" w:rsidRDefault="00C22214" w:rsidP="00C22214">
      <w:pPr>
        <w:pStyle w:val="Heading4"/>
      </w:pPr>
      <w:bookmarkStart w:id="71" w:name="_Toc98931936"/>
      <w:bookmarkStart w:id="72" w:name="_Toc247691532"/>
      <w:bookmarkStart w:id="73" w:name="_Toc314842516"/>
      <w:bookmarkStart w:id="74" w:name="_Toc170887916"/>
      <w:bookmarkEnd w:id="70"/>
      <w:r w:rsidRPr="00F73346">
        <w:t>Advisory Committee considerations</w:t>
      </w:r>
      <w:bookmarkEnd w:id="71"/>
      <w:bookmarkEnd w:id="74"/>
    </w:p>
    <w:p w14:paraId="087BB9CB" w14:textId="36D5EAF8" w:rsidR="00C22214" w:rsidRPr="00BD5DBD" w:rsidRDefault="00C22214" w:rsidP="00C22214">
      <w:pPr>
        <w:rPr>
          <w:bCs/>
          <w:szCs w:val="22"/>
        </w:rPr>
      </w:pPr>
      <w:r w:rsidRPr="00BD5DBD">
        <w:rPr>
          <w:bCs/>
          <w:szCs w:val="22"/>
        </w:rPr>
        <w:t xml:space="preserve">The </w:t>
      </w:r>
      <w:hyperlink r:id="rId39" w:history="1">
        <w:r w:rsidRPr="00BD5DBD">
          <w:rPr>
            <w:rStyle w:val="Hyperlink"/>
            <w:szCs w:val="22"/>
          </w:rPr>
          <w:t>Advisory Committee on Medicines (ACM)</w:t>
        </w:r>
      </w:hyperlink>
      <w:r w:rsidRPr="00BD5DBD">
        <w:rPr>
          <w:color w:val="007099"/>
          <w:szCs w:val="22"/>
        </w:rPr>
        <w:t xml:space="preserve"> </w:t>
      </w:r>
      <w:r w:rsidRPr="00BD5DBD">
        <w:rPr>
          <w:bCs/>
          <w:szCs w:val="22"/>
        </w:rPr>
        <w:t xml:space="preserve">having considered the evaluations and the Delegate’s overview, as well as the </w:t>
      </w:r>
      <w:r w:rsidR="00616104">
        <w:rPr>
          <w:bCs/>
          <w:szCs w:val="22"/>
        </w:rPr>
        <w:t>Sponsor</w:t>
      </w:r>
      <w:r w:rsidRPr="00BD5DBD">
        <w:rPr>
          <w:bCs/>
          <w:szCs w:val="22"/>
        </w:rPr>
        <w:t>’s response to these documents, advised the following.</w:t>
      </w:r>
    </w:p>
    <w:p w14:paraId="0D935CC4" w14:textId="77777777" w:rsidR="00C22214" w:rsidRPr="00F73346" w:rsidRDefault="00C22214" w:rsidP="00C22214">
      <w:pPr>
        <w:pStyle w:val="Heading5"/>
      </w:pPr>
      <w:r w:rsidRPr="00F73346">
        <w:lastRenderedPageBreak/>
        <w:t>Specific advice to the Delegate</w:t>
      </w:r>
    </w:p>
    <w:p w14:paraId="5C9FD486" w14:textId="77777777" w:rsidR="00FE0359" w:rsidRDefault="00FE0359" w:rsidP="00FE0359">
      <w:pPr>
        <w:pStyle w:val="Numberbullet0"/>
        <w:numPr>
          <w:ilvl w:val="0"/>
          <w:numId w:val="38"/>
        </w:numPr>
        <w:rPr>
          <w:b/>
          <w:bCs/>
          <w:i/>
          <w:iCs/>
        </w:rPr>
      </w:pPr>
      <w:r w:rsidRPr="00FE0359">
        <w:rPr>
          <w:b/>
          <w:bCs/>
          <w:i/>
          <w:iCs/>
        </w:rPr>
        <w:t xml:space="preserve">Considering the low number of subjects (n=35) in the </w:t>
      </w:r>
      <w:proofErr w:type="gramStart"/>
      <w:r w:rsidRPr="00FE0359">
        <w:rPr>
          <w:b/>
          <w:bCs/>
          <w:i/>
          <w:iCs/>
        </w:rPr>
        <w:t>2-5 year</w:t>
      </w:r>
      <w:proofErr w:type="gramEnd"/>
      <w:r w:rsidRPr="00FE0359">
        <w:rPr>
          <w:b/>
          <w:bCs/>
          <w:i/>
          <w:iCs/>
        </w:rPr>
        <w:t xml:space="preserve"> age group of children with sialorrhea, please comment with regards to the adequacy of evidence for the inclusion of this age group in the proposed indication for this condition.</w:t>
      </w:r>
    </w:p>
    <w:p w14:paraId="0702C5B3" w14:textId="77777777" w:rsidR="00DC4C87" w:rsidRPr="00DC4C87" w:rsidRDefault="00DC4C87" w:rsidP="00DC4C87">
      <w:pPr>
        <w:pStyle w:val="Numberbullet0"/>
        <w:numPr>
          <w:ilvl w:val="0"/>
          <w:numId w:val="0"/>
        </w:numPr>
        <w:autoSpaceDE w:val="0"/>
        <w:autoSpaceDN w:val="0"/>
        <w:adjustRightInd w:val="0"/>
        <w:spacing w:after="0" w:line="240" w:lineRule="auto"/>
        <w:ind w:left="360"/>
        <w:rPr>
          <w:rFonts w:cs="Arial"/>
          <w:color w:val="000000"/>
          <w:szCs w:val="22"/>
        </w:rPr>
      </w:pPr>
      <w:r w:rsidRPr="00DC4C87">
        <w:rPr>
          <w:rFonts w:cs="Arial"/>
          <w:color w:val="000000"/>
          <w:szCs w:val="22"/>
        </w:rPr>
        <w:t xml:space="preserve">The ACM considered the number of participants in the </w:t>
      </w:r>
      <w:proofErr w:type="gramStart"/>
      <w:r w:rsidRPr="00DC4C87">
        <w:rPr>
          <w:rFonts w:cs="Arial"/>
          <w:color w:val="000000"/>
          <w:szCs w:val="22"/>
        </w:rPr>
        <w:t>2-5 year</w:t>
      </w:r>
      <w:proofErr w:type="gramEnd"/>
      <w:r w:rsidRPr="00DC4C87">
        <w:rPr>
          <w:rFonts w:cs="Arial"/>
          <w:color w:val="000000"/>
          <w:szCs w:val="22"/>
        </w:rPr>
        <w:t xml:space="preserve"> age group of children with sialorrhea included in the clinical study to be adequate, noting the challenges of accruing large cohorts for this age group. The ACM further noted that the study demonstrated favourable efficacy outcomes with most participants treated for more than twelve months. </w:t>
      </w:r>
    </w:p>
    <w:p w14:paraId="6C7EF9EA" w14:textId="2C50BBB1" w:rsidR="00DC4C87" w:rsidRPr="00DC4C87" w:rsidRDefault="00DC4C87" w:rsidP="00DC4C87">
      <w:pPr>
        <w:pStyle w:val="Numberbullet0"/>
        <w:numPr>
          <w:ilvl w:val="0"/>
          <w:numId w:val="0"/>
        </w:numPr>
        <w:ind w:left="360"/>
        <w:rPr>
          <w:b/>
          <w:bCs/>
          <w:i/>
          <w:iCs/>
        </w:rPr>
      </w:pPr>
      <w:r w:rsidRPr="00DC4C87">
        <w:rPr>
          <w:rFonts w:eastAsiaTheme="minorHAnsi" w:cs="Arial"/>
          <w:color w:val="000000"/>
          <w:szCs w:val="22"/>
        </w:rPr>
        <w:t xml:space="preserve">The ACM also noted the requirement that selection, prescription and administration of </w:t>
      </w:r>
      <w:r w:rsidR="000A423B">
        <w:rPr>
          <w:rFonts w:eastAsiaTheme="minorHAnsi" w:cs="Arial"/>
          <w:color w:val="000000"/>
          <w:szCs w:val="22"/>
        </w:rPr>
        <w:t>XEOMIN</w:t>
      </w:r>
      <w:r w:rsidRPr="00DC4C87">
        <w:rPr>
          <w:rFonts w:eastAsiaTheme="minorHAnsi" w:cs="Arial"/>
          <w:color w:val="000000"/>
          <w:szCs w:val="22"/>
        </w:rPr>
        <w:t xml:space="preserve"> is performed under the care of a specialist.</w:t>
      </w:r>
    </w:p>
    <w:p w14:paraId="7AA91309" w14:textId="303D348B" w:rsidR="00FE0359" w:rsidRDefault="00FE0359" w:rsidP="00FE0359">
      <w:pPr>
        <w:pStyle w:val="Numberbullet0"/>
        <w:numPr>
          <w:ilvl w:val="0"/>
          <w:numId w:val="38"/>
        </w:numPr>
        <w:rPr>
          <w:b/>
          <w:bCs/>
          <w:i/>
          <w:iCs/>
        </w:rPr>
      </w:pPr>
      <w:r w:rsidRPr="00FE0359">
        <w:rPr>
          <w:b/>
          <w:bCs/>
          <w:i/>
          <w:iCs/>
        </w:rPr>
        <w:t xml:space="preserve">Based on the data provided in this submission, please comment on any potential concerns regarding safety for the use of </w:t>
      </w:r>
      <w:r w:rsidR="000A423B">
        <w:rPr>
          <w:b/>
          <w:bCs/>
          <w:i/>
          <w:iCs/>
        </w:rPr>
        <w:t>XEOMIN</w:t>
      </w:r>
      <w:r w:rsidRPr="00FE0359">
        <w:rPr>
          <w:b/>
          <w:bCs/>
          <w:i/>
          <w:iCs/>
        </w:rPr>
        <w:t xml:space="preserve"> in a population at risk of dysphagia.</w:t>
      </w:r>
    </w:p>
    <w:p w14:paraId="23557BDD" w14:textId="77777777" w:rsidR="007B7D61" w:rsidRPr="007B7D61" w:rsidRDefault="007B7D61" w:rsidP="007B7D61">
      <w:pPr>
        <w:pStyle w:val="Numberbullet0"/>
        <w:numPr>
          <w:ilvl w:val="0"/>
          <w:numId w:val="0"/>
        </w:numPr>
        <w:ind w:left="360"/>
        <w:rPr>
          <w:szCs w:val="22"/>
        </w:rPr>
      </w:pPr>
      <w:r>
        <w:rPr>
          <w:szCs w:val="22"/>
        </w:rPr>
        <w:t xml:space="preserve">The ACM considered the risk of dysphagia to be a minor concern with the risk being lower than 1% within the clinical studies. The ACM noted there are possible confounders, and the dysphagia may be due to the underlying disease rather than the treatment itself as </w:t>
      </w:r>
      <w:r w:rsidRPr="007B7D61">
        <w:rPr>
          <w:szCs w:val="22"/>
        </w:rPr>
        <w:t>dysphagia was seen in two participants who were only administered the study treatment to their limbs.</w:t>
      </w:r>
    </w:p>
    <w:p w14:paraId="646C64B1" w14:textId="2C4E04BA" w:rsidR="007B7D61" w:rsidRDefault="007B7D61" w:rsidP="001268F4">
      <w:pPr>
        <w:pStyle w:val="Numberbullet0"/>
        <w:numPr>
          <w:ilvl w:val="0"/>
          <w:numId w:val="0"/>
        </w:numPr>
        <w:ind w:left="360"/>
        <w:rPr>
          <w:szCs w:val="22"/>
        </w:rPr>
      </w:pPr>
      <w:r w:rsidRPr="007B7D61">
        <w:rPr>
          <w:szCs w:val="22"/>
        </w:rPr>
        <w:t>The ACM was of the view that dysphagia should be mentioned in the PI specifically in relation to the treatment of sialorrhea.</w:t>
      </w:r>
    </w:p>
    <w:p w14:paraId="13142A6D" w14:textId="371577A9" w:rsidR="00FE0359" w:rsidRPr="007B7D61" w:rsidRDefault="00FE0359" w:rsidP="00FE0359">
      <w:pPr>
        <w:pStyle w:val="Numberbullet0"/>
        <w:numPr>
          <w:ilvl w:val="0"/>
          <w:numId w:val="38"/>
        </w:numPr>
        <w:rPr>
          <w:rFonts w:eastAsiaTheme="minorHAnsi"/>
          <w:b/>
          <w:bCs/>
          <w:i/>
          <w:iCs/>
        </w:rPr>
      </w:pPr>
      <w:r w:rsidRPr="00FE0359">
        <w:rPr>
          <w:b/>
          <w:bCs/>
          <w:i/>
          <w:iCs/>
        </w:rPr>
        <w:t xml:space="preserve">Please comment on the adequacy of safety data, particularly for the use of </w:t>
      </w:r>
      <w:r w:rsidR="000A423B">
        <w:rPr>
          <w:b/>
          <w:bCs/>
          <w:i/>
          <w:iCs/>
        </w:rPr>
        <w:t>XEOMIN</w:t>
      </w:r>
      <w:r w:rsidRPr="00FE0359">
        <w:rPr>
          <w:b/>
          <w:bCs/>
          <w:i/>
          <w:iCs/>
        </w:rPr>
        <w:t xml:space="preserve"> in children and adolescents with sialorrhea and also in this age group with spasticity.</w:t>
      </w:r>
    </w:p>
    <w:p w14:paraId="0C7864CF" w14:textId="77777777" w:rsidR="007B7D61" w:rsidRPr="007B7D61" w:rsidRDefault="007B7D61" w:rsidP="007B7D61">
      <w:pPr>
        <w:pStyle w:val="Numberbullet0"/>
        <w:numPr>
          <w:ilvl w:val="0"/>
          <w:numId w:val="0"/>
        </w:numPr>
        <w:autoSpaceDE w:val="0"/>
        <w:autoSpaceDN w:val="0"/>
        <w:adjustRightInd w:val="0"/>
        <w:spacing w:after="0" w:line="240" w:lineRule="auto"/>
        <w:ind w:left="360"/>
        <w:rPr>
          <w:rFonts w:cs="Arial"/>
          <w:color w:val="000000"/>
          <w:szCs w:val="22"/>
        </w:rPr>
      </w:pPr>
      <w:r w:rsidRPr="007B7D61">
        <w:rPr>
          <w:rFonts w:cs="Arial"/>
          <w:color w:val="000000"/>
          <w:szCs w:val="22"/>
        </w:rPr>
        <w:t xml:space="preserve">The ACM noted there were 839 participants included in the safety study, 226 with sialorrhea (33 in the </w:t>
      </w:r>
      <w:proofErr w:type="gramStart"/>
      <w:r w:rsidRPr="007B7D61">
        <w:rPr>
          <w:rFonts w:cs="Arial"/>
          <w:color w:val="000000"/>
          <w:szCs w:val="22"/>
        </w:rPr>
        <w:t>2-5 year</w:t>
      </w:r>
      <w:proofErr w:type="gramEnd"/>
      <w:r w:rsidRPr="007B7D61">
        <w:rPr>
          <w:rFonts w:cs="Arial"/>
          <w:color w:val="000000"/>
          <w:szCs w:val="22"/>
        </w:rPr>
        <w:t xml:space="preserve"> age group), and 613 with spasticity. Participants were treated for at least 12 months and received appropriate follow up. The ACM commented that this is a very reasonable the number of participants. </w:t>
      </w:r>
    </w:p>
    <w:p w14:paraId="69B3EAF0" w14:textId="77140AFE" w:rsidR="007B7D61" w:rsidRPr="007B7D61" w:rsidRDefault="007B7D61" w:rsidP="007B7D61">
      <w:pPr>
        <w:pStyle w:val="Numberbullet0"/>
        <w:numPr>
          <w:ilvl w:val="0"/>
          <w:numId w:val="0"/>
        </w:numPr>
        <w:ind w:left="360"/>
        <w:rPr>
          <w:rFonts w:eastAsiaTheme="minorHAnsi"/>
          <w:b/>
          <w:bCs/>
          <w:i/>
          <w:iCs/>
        </w:rPr>
      </w:pPr>
      <w:r w:rsidRPr="007B7D61">
        <w:rPr>
          <w:rFonts w:eastAsiaTheme="minorHAnsi" w:cs="Arial"/>
          <w:color w:val="000000"/>
          <w:szCs w:val="22"/>
        </w:rPr>
        <w:t>Considering the number of participants, duration of treatment and duration of follow up, the ACM was of the view that there is adequate safety data available for the proposed indications.</w:t>
      </w:r>
    </w:p>
    <w:p w14:paraId="4B98558C" w14:textId="6255DD35" w:rsidR="00FE0359" w:rsidRDefault="00FE0359" w:rsidP="00FE0359">
      <w:pPr>
        <w:pStyle w:val="Numberbullet0"/>
        <w:numPr>
          <w:ilvl w:val="0"/>
          <w:numId w:val="38"/>
        </w:numPr>
        <w:rPr>
          <w:b/>
          <w:bCs/>
          <w:i/>
          <w:iCs/>
        </w:rPr>
      </w:pPr>
      <w:r w:rsidRPr="00FE0359">
        <w:rPr>
          <w:b/>
          <w:bCs/>
          <w:i/>
          <w:iCs/>
        </w:rPr>
        <w:t>Atrophy of salivary glands is included as an important potential risk in the proposed RMP. Please advise whether any other measures are also needed to further mitigate this risk.</w:t>
      </w:r>
    </w:p>
    <w:p w14:paraId="3AA0F71D" w14:textId="23754537" w:rsidR="00C37DB2" w:rsidRDefault="00C37DB2" w:rsidP="00C37DB2">
      <w:pPr>
        <w:pStyle w:val="Numberbullet0"/>
        <w:numPr>
          <w:ilvl w:val="0"/>
          <w:numId w:val="0"/>
        </w:numPr>
        <w:ind w:left="360"/>
        <w:rPr>
          <w:szCs w:val="22"/>
        </w:rPr>
      </w:pPr>
      <w:r>
        <w:rPr>
          <w:szCs w:val="22"/>
        </w:rPr>
        <w:t xml:space="preserve">The ACM advised that no additional measures were needed to further mitigate the risk of atrophy of salivary glands. The ACM noted that there will likely be some atrophy of salivary glands with long term treatment particularly noting the mechanism of action and administration sites. The ACM was of the view that if treatment is repeated and patients are treated for many years the risk of </w:t>
      </w:r>
      <w:proofErr w:type="gramStart"/>
      <w:r>
        <w:rPr>
          <w:szCs w:val="22"/>
        </w:rPr>
        <w:t>long term</w:t>
      </w:r>
      <w:proofErr w:type="gramEnd"/>
      <w:r>
        <w:rPr>
          <w:szCs w:val="22"/>
        </w:rPr>
        <w:t xml:space="preserve"> effects like atrophy in the 2-5 year age group would merge with older age groups with long term use.</w:t>
      </w:r>
    </w:p>
    <w:p w14:paraId="7417DEC2" w14:textId="5740B280" w:rsidR="00C37DB2" w:rsidRPr="00C37DB2" w:rsidRDefault="00C37DB2" w:rsidP="00C37DB2">
      <w:pPr>
        <w:pStyle w:val="Numberbullet0"/>
        <w:rPr>
          <w:b/>
          <w:bCs/>
          <w:i/>
          <w:iCs/>
        </w:rPr>
      </w:pPr>
      <w:r w:rsidRPr="00C37DB2">
        <w:rPr>
          <w:b/>
          <w:bCs/>
          <w:i/>
          <w:iCs/>
        </w:rPr>
        <w:t>Other advice</w:t>
      </w:r>
    </w:p>
    <w:p w14:paraId="52C9AE1D" w14:textId="77777777" w:rsidR="00C37DB2" w:rsidRPr="00C37DB2" w:rsidRDefault="00C37DB2" w:rsidP="00C37DB2">
      <w:pPr>
        <w:pStyle w:val="Numberbullet0"/>
        <w:numPr>
          <w:ilvl w:val="0"/>
          <w:numId w:val="0"/>
        </w:numPr>
        <w:ind w:left="360"/>
      </w:pPr>
      <w:r w:rsidRPr="00C37DB2">
        <w:t>The ACM indicated that the proposed indication could state ‘spasticity of the lower limb or upper limb’. The ACM was of the view that the inclusion of ‘or’ would distinguish that a patient could present with either upper or lower limb spasticity rather than both upper and lower limb spasticity.</w:t>
      </w:r>
    </w:p>
    <w:p w14:paraId="1E296F45" w14:textId="77777777" w:rsidR="00C37DB2" w:rsidRPr="00C37DB2" w:rsidRDefault="00C37DB2" w:rsidP="00C37DB2">
      <w:pPr>
        <w:pStyle w:val="Numberbullet0"/>
        <w:numPr>
          <w:ilvl w:val="0"/>
          <w:numId w:val="0"/>
        </w:numPr>
        <w:ind w:left="360"/>
      </w:pPr>
      <w:r w:rsidRPr="00C37DB2">
        <w:t>The ACM noted that the chronic sialorrhea indication in children states ‘neurological/neurodevelopmental disorders’ and supported the same wording for the adult chronic sialorrhea indication.</w:t>
      </w:r>
    </w:p>
    <w:p w14:paraId="63D126CD" w14:textId="369E70A6" w:rsidR="00C37DB2" w:rsidRPr="00C37DB2" w:rsidRDefault="00C37DB2" w:rsidP="00C37DB2">
      <w:pPr>
        <w:pStyle w:val="Numberbullet0"/>
        <w:numPr>
          <w:ilvl w:val="0"/>
          <w:numId w:val="0"/>
        </w:numPr>
        <w:ind w:left="360"/>
      </w:pPr>
      <w:r w:rsidRPr="00C37DB2">
        <w:lastRenderedPageBreak/>
        <w:t>The ACM discussed the potential for dental cavities due to reduced saliva/ dry mouth. The ACM advised that patients generally have ongoing dental care as part of their standard treatment and therefore dental cavities should not be a significant issue. However, the ACM supported the inclusion of information on dental health within the PI and CMI.</w:t>
      </w:r>
    </w:p>
    <w:p w14:paraId="5291EA2A" w14:textId="27949997" w:rsidR="00C22214" w:rsidRPr="00F73346" w:rsidRDefault="00AE6667" w:rsidP="00FE0359">
      <w:pPr>
        <w:pStyle w:val="Heading5"/>
      </w:pPr>
      <w:r>
        <w:t xml:space="preserve">ACM </w:t>
      </w:r>
      <w:r w:rsidR="008A47AB">
        <w:t>c</w:t>
      </w:r>
      <w:r w:rsidR="00C22214" w:rsidRPr="00F73346">
        <w:t>onclusion</w:t>
      </w:r>
    </w:p>
    <w:p w14:paraId="7B7F0AC2" w14:textId="77777777" w:rsidR="006B5606" w:rsidRDefault="006B5606" w:rsidP="006B5606">
      <w:pPr>
        <w:pStyle w:val="Default"/>
        <w:rPr>
          <w:sz w:val="22"/>
          <w:szCs w:val="22"/>
        </w:rPr>
      </w:pPr>
      <w:bookmarkStart w:id="75" w:name="_Toc103679300"/>
      <w:r>
        <w:rPr>
          <w:sz w:val="22"/>
          <w:szCs w:val="22"/>
        </w:rPr>
        <w:t xml:space="preserve">The ACM considered this product to have an overall positive benefit-risk profile for the indication: </w:t>
      </w:r>
    </w:p>
    <w:p w14:paraId="53CCAE4F" w14:textId="77777777" w:rsidR="006B5606" w:rsidRDefault="006B5606" w:rsidP="0049523D">
      <w:pPr>
        <w:pStyle w:val="Indication"/>
        <w:spacing w:line="276" w:lineRule="auto"/>
      </w:pPr>
      <w:r>
        <w:t xml:space="preserve">In children and adolescents aged 2 years to 17 years, inclusive: </w:t>
      </w:r>
    </w:p>
    <w:p w14:paraId="6E47F406" w14:textId="77777777" w:rsidR="006B5606" w:rsidRDefault="006B5606" w:rsidP="006B5606">
      <w:pPr>
        <w:pStyle w:val="Indication"/>
      </w:pPr>
      <w:r>
        <w:t xml:space="preserve">• Chronic sialorrhea due to neurological/neurodevelopmental disorders; and </w:t>
      </w:r>
    </w:p>
    <w:p w14:paraId="59697686" w14:textId="77777777" w:rsidR="006B5606" w:rsidRDefault="006B5606" w:rsidP="006B5606">
      <w:pPr>
        <w:pStyle w:val="Indication"/>
      </w:pPr>
      <w:r>
        <w:t xml:space="preserve">• Spasticity of the lower limb (LL) or upper limb (UL). </w:t>
      </w:r>
    </w:p>
    <w:p w14:paraId="3CC91A8F" w14:textId="77777777" w:rsidR="006B5606" w:rsidRDefault="006B5606" w:rsidP="006B5606">
      <w:pPr>
        <w:pStyle w:val="Indication"/>
      </w:pPr>
    </w:p>
    <w:p w14:paraId="2F81A2E4" w14:textId="77777777" w:rsidR="006B5606" w:rsidRDefault="006B5606" w:rsidP="0049523D">
      <w:pPr>
        <w:pStyle w:val="Indication"/>
        <w:spacing w:line="276" w:lineRule="auto"/>
      </w:pPr>
      <w:r>
        <w:t xml:space="preserve">In adults: </w:t>
      </w:r>
    </w:p>
    <w:p w14:paraId="4B132F6C" w14:textId="35FFC051" w:rsidR="006B5606" w:rsidRDefault="006B5606" w:rsidP="006B5606">
      <w:pPr>
        <w:pStyle w:val="Indication"/>
      </w:pPr>
      <w:r>
        <w:t>Chronic sialorrhea due to neurological/neurodevelopmental disorders.</w:t>
      </w:r>
    </w:p>
    <w:p w14:paraId="307F236C" w14:textId="691D25BA" w:rsidR="00C22214" w:rsidRPr="002E238E" w:rsidRDefault="006E5DE6" w:rsidP="00C22214">
      <w:pPr>
        <w:pStyle w:val="Heading2"/>
      </w:pPr>
      <w:bookmarkStart w:id="76" w:name="_Toc170887917"/>
      <w:r>
        <w:t>O</w:t>
      </w:r>
      <w:r w:rsidR="00C22214">
        <w:t>utcome</w:t>
      </w:r>
      <w:bookmarkEnd w:id="72"/>
      <w:bookmarkEnd w:id="73"/>
      <w:bookmarkEnd w:id="75"/>
      <w:bookmarkEnd w:id="76"/>
    </w:p>
    <w:p w14:paraId="74ABFB03" w14:textId="5C25E1A0" w:rsidR="006E5DE6" w:rsidRDefault="00C22214" w:rsidP="006E5DE6">
      <w:r w:rsidRPr="0017005C">
        <w:t xml:space="preserve">Based on a review of quality, safety, and efficacy, the TGA </w:t>
      </w:r>
      <w:r w:rsidR="00B46DFB">
        <w:t>decided to</w:t>
      </w:r>
      <w:r w:rsidRPr="0017005C">
        <w:t xml:space="preserve"> regist</w:t>
      </w:r>
      <w:r w:rsidR="00B46DFB">
        <w:t>er</w:t>
      </w:r>
      <w:r w:rsidRPr="0017005C">
        <w:t xml:space="preserve"> </w:t>
      </w:r>
      <w:r w:rsidR="00AE6667">
        <w:t xml:space="preserve">XEOMIN </w:t>
      </w:r>
      <w:r w:rsidRPr="0017005C">
        <w:t>for the following extension of indications:</w:t>
      </w:r>
    </w:p>
    <w:p w14:paraId="04C99B67" w14:textId="4D9C6CF4" w:rsidR="006E5DE6" w:rsidRDefault="006E5DE6" w:rsidP="006E5DE6">
      <w:pPr>
        <w:pStyle w:val="Indication"/>
      </w:pPr>
      <w:r>
        <w:t xml:space="preserve"> </w:t>
      </w:r>
      <w:r w:rsidR="000A423B">
        <w:t>XEOMIN</w:t>
      </w:r>
      <w:r>
        <w:t xml:space="preserve"> is indicated in adults for the treatment of: </w:t>
      </w:r>
    </w:p>
    <w:p w14:paraId="455B74E4" w14:textId="77777777" w:rsidR="006E5DE6" w:rsidRDefault="006E5DE6" w:rsidP="006E5DE6">
      <w:pPr>
        <w:pStyle w:val="Indication"/>
      </w:pPr>
      <w:r>
        <w:t xml:space="preserve">• Chronic sialorrhea due to neurological disorders </w:t>
      </w:r>
    </w:p>
    <w:p w14:paraId="60A02AB0" w14:textId="77777777" w:rsidR="006E5DE6" w:rsidRDefault="006E5DE6" w:rsidP="006E5DE6">
      <w:pPr>
        <w:pStyle w:val="Indication"/>
      </w:pPr>
    </w:p>
    <w:p w14:paraId="7B92964C" w14:textId="050CAF53" w:rsidR="006E5DE6" w:rsidRDefault="000A423B" w:rsidP="006E5DE6">
      <w:pPr>
        <w:pStyle w:val="Indication"/>
      </w:pPr>
      <w:r>
        <w:t>XEOMIN</w:t>
      </w:r>
      <w:r w:rsidR="006E5DE6">
        <w:t xml:space="preserve"> is indicated in children and adolescents aged 2 years to 17 years for the symptomatic treatment of: </w:t>
      </w:r>
    </w:p>
    <w:p w14:paraId="419CE52F" w14:textId="77777777" w:rsidR="006E5DE6" w:rsidRDefault="006E5DE6" w:rsidP="006E5DE6">
      <w:pPr>
        <w:pStyle w:val="Indication"/>
      </w:pPr>
      <w:r>
        <w:t xml:space="preserve">• Chronic sialorrhea due to neurological/neurodevelopmental disorders </w:t>
      </w:r>
    </w:p>
    <w:p w14:paraId="3B11146A" w14:textId="77777777" w:rsidR="006E5DE6" w:rsidRDefault="006E5DE6" w:rsidP="006E5DE6">
      <w:pPr>
        <w:pStyle w:val="Indication"/>
      </w:pPr>
      <w:r>
        <w:t xml:space="preserve">• Spasticity of the lower and/or upper limbs </w:t>
      </w:r>
    </w:p>
    <w:p w14:paraId="500F60C2" w14:textId="226F5BC3" w:rsidR="00C22214" w:rsidRPr="00BD5DBD" w:rsidRDefault="00C22214" w:rsidP="00C22214">
      <w:pPr>
        <w:rPr>
          <w:szCs w:val="22"/>
        </w:rPr>
      </w:pPr>
      <w:r w:rsidRPr="00BD5DBD">
        <w:rPr>
          <w:szCs w:val="22"/>
        </w:rPr>
        <w:t xml:space="preserve">As such, the full indications </w:t>
      </w:r>
      <w:proofErr w:type="gramStart"/>
      <w:r w:rsidRPr="00BD5DBD">
        <w:rPr>
          <w:szCs w:val="22"/>
        </w:rPr>
        <w:t>at this time</w:t>
      </w:r>
      <w:proofErr w:type="gramEnd"/>
      <w:r w:rsidRPr="00BD5DBD">
        <w:rPr>
          <w:szCs w:val="22"/>
        </w:rPr>
        <w:t xml:space="preserve"> </w:t>
      </w:r>
      <w:r w:rsidR="005325CF">
        <w:rPr>
          <w:szCs w:val="22"/>
        </w:rPr>
        <w:t>are</w:t>
      </w:r>
      <w:r w:rsidRPr="00BD5DBD">
        <w:rPr>
          <w:szCs w:val="22"/>
        </w:rPr>
        <w:t>:</w:t>
      </w:r>
    </w:p>
    <w:p w14:paraId="0C6DB673" w14:textId="52AEBF18" w:rsidR="0072677F" w:rsidRDefault="000A423B" w:rsidP="00385638">
      <w:pPr>
        <w:pStyle w:val="Indication"/>
      </w:pPr>
      <w:r>
        <w:t>XEOMIN</w:t>
      </w:r>
      <w:r w:rsidR="0072677F">
        <w:t xml:space="preserve"> is indicated in adults for the treatment of: </w:t>
      </w:r>
    </w:p>
    <w:p w14:paraId="67FD0130" w14:textId="77777777" w:rsidR="0072677F" w:rsidRDefault="0072677F" w:rsidP="00385638">
      <w:pPr>
        <w:pStyle w:val="Indication"/>
      </w:pPr>
      <w:r>
        <w:t xml:space="preserve">• Cervical dystonia (spasmodic torticollis) </w:t>
      </w:r>
    </w:p>
    <w:p w14:paraId="70237D1B" w14:textId="77777777" w:rsidR="0072677F" w:rsidRDefault="0072677F" w:rsidP="00385638">
      <w:pPr>
        <w:pStyle w:val="Indication"/>
      </w:pPr>
      <w:r>
        <w:t xml:space="preserve">• Blepharospasm </w:t>
      </w:r>
    </w:p>
    <w:p w14:paraId="1C835984" w14:textId="77777777" w:rsidR="0072677F" w:rsidRDefault="0072677F" w:rsidP="00385638">
      <w:pPr>
        <w:pStyle w:val="Indication"/>
      </w:pPr>
      <w:r>
        <w:t xml:space="preserve">• Spasticity of the upper limb </w:t>
      </w:r>
    </w:p>
    <w:p w14:paraId="760DD539" w14:textId="77777777" w:rsidR="0072677F" w:rsidRDefault="0072677F" w:rsidP="00385638">
      <w:pPr>
        <w:pStyle w:val="Indication"/>
      </w:pPr>
      <w:r>
        <w:t xml:space="preserve">• Chronic sialorrhea due to neurological disorders </w:t>
      </w:r>
    </w:p>
    <w:p w14:paraId="0BB9D55C" w14:textId="77777777" w:rsidR="0072677F" w:rsidRDefault="0072677F" w:rsidP="00385638">
      <w:pPr>
        <w:pStyle w:val="Indication"/>
      </w:pPr>
      <w:r>
        <w:t xml:space="preserve">• Upper facial lines - Glabellar frown lines </w:t>
      </w:r>
    </w:p>
    <w:p w14:paraId="733AE264" w14:textId="3F1B2C45" w:rsidR="0072677F" w:rsidRDefault="0072677F" w:rsidP="006E5DE6">
      <w:pPr>
        <w:pStyle w:val="Indication"/>
        <w:ind w:left="1440"/>
      </w:pPr>
      <w:r>
        <w:t xml:space="preserve">- Lateral periorbital lines (crow’s feet) </w:t>
      </w:r>
    </w:p>
    <w:p w14:paraId="350C0A78" w14:textId="77777777" w:rsidR="0072677F" w:rsidRDefault="0072677F" w:rsidP="006E5DE6">
      <w:pPr>
        <w:pStyle w:val="Indication"/>
        <w:ind w:left="1440"/>
      </w:pPr>
      <w:r>
        <w:t xml:space="preserve">- Horizontal forehead lines </w:t>
      </w:r>
    </w:p>
    <w:p w14:paraId="28D64CBE" w14:textId="14E5E18D" w:rsidR="00385638" w:rsidRPr="00385638" w:rsidRDefault="000A423B" w:rsidP="00385638">
      <w:pPr>
        <w:pStyle w:val="Indication"/>
      </w:pPr>
      <w:r>
        <w:t>XEOMIN</w:t>
      </w:r>
      <w:r w:rsidR="0072677F">
        <w:t xml:space="preserve"> is indicated in children and adolescents aged 2 years to 17 years for the symptomatic treatment of: </w:t>
      </w:r>
    </w:p>
    <w:p w14:paraId="0629CD01" w14:textId="77777777" w:rsidR="0072677F" w:rsidRDefault="0072677F" w:rsidP="00385638">
      <w:pPr>
        <w:pStyle w:val="Indication"/>
      </w:pPr>
      <w:r>
        <w:t xml:space="preserve">• Chronic sialorrhea due to neurological/neurodevelopmental disorders </w:t>
      </w:r>
    </w:p>
    <w:p w14:paraId="410773CD" w14:textId="77777777" w:rsidR="00385638" w:rsidRDefault="0072677F" w:rsidP="00385638">
      <w:pPr>
        <w:pStyle w:val="Indication"/>
      </w:pPr>
      <w:r>
        <w:t xml:space="preserve">• Spasticity of the lower and/or upper limbs </w:t>
      </w:r>
    </w:p>
    <w:p w14:paraId="0D732DA4" w14:textId="77777777" w:rsidR="00854D98" w:rsidRPr="00D23139" w:rsidRDefault="00854D98" w:rsidP="00854D98">
      <w:pPr>
        <w:pStyle w:val="Heading3"/>
      </w:pPr>
      <w:bookmarkStart w:id="77" w:name="_Toc103679301"/>
      <w:bookmarkStart w:id="78" w:name="_Toc170887918"/>
      <w:r w:rsidRPr="00D23139">
        <w:t>Specific conditions of registration applying to these goods</w:t>
      </w:r>
      <w:bookmarkEnd w:id="77"/>
      <w:bookmarkEnd w:id="78"/>
    </w:p>
    <w:p w14:paraId="1CC12A5F" w14:textId="26A0FD88" w:rsidR="004E7C33" w:rsidRDefault="004E7C33" w:rsidP="004E7C33">
      <w:pPr>
        <w:pStyle w:val="Default"/>
        <w:rPr>
          <w:sz w:val="22"/>
          <w:szCs w:val="22"/>
        </w:rPr>
      </w:pPr>
      <w:bookmarkStart w:id="79" w:name="_Toc103679303"/>
      <w:proofErr w:type="spellStart"/>
      <w:r>
        <w:rPr>
          <w:sz w:val="22"/>
          <w:szCs w:val="22"/>
        </w:rPr>
        <w:t>Incobotulinum</w:t>
      </w:r>
      <w:proofErr w:type="spellEnd"/>
      <w:r>
        <w:rPr>
          <w:sz w:val="22"/>
          <w:szCs w:val="22"/>
        </w:rPr>
        <w:t xml:space="preserve"> toxin A (</w:t>
      </w:r>
      <w:r w:rsidR="000A423B">
        <w:rPr>
          <w:sz w:val="22"/>
          <w:szCs w:val="22"/>
        </w:rPr>
        <w:t>XEOMIN</w:t>
      </w:r>
      <w:r>
        <w:rPr>
          <w:sz w:val="22"/>
          <w:szCs w:val="22"/>
        </w:rPr>
        <w:t>) is to be included in the Black Triangle Scheme. The PI</w:t>
      </w:r>
      <w:r w:rsidR="005325CF">
        <w:rPr>
          <w:sz w:val="22"/>
          <w:szCs w:val="22"/>
        </w:rPr>
        <w:t xml:space="preserve"> </w:t>
      </w:r>
      <w:r>
        <w:rPr>
          <w:sz w:val="22"/>
          <w:szCs w:val="22"/>
        </w:rPr>
        <w:t xml:space="preserve">and CMI for </w:t>
      </w:r>
      <w:r w:rsidR="000A423B">
        <w:rPr>
          <w:sz w:val="22"/>
          <w:szCs w:val="22"/>
        </w:rPr>
        <w:t>XEOMIN</w:t>
      </w:r>
      <w:r>
        <w:rPr>
          <w:sz w:val="22"/>
          <w:szCs w:val="22"/>
        </w:rPr>
        <w:t xml:space="preserve"> must include the black triangle symbol and mandatory accompanying text for five years, which starts from the date the new indication is registered.</w:t>
      </w:r>
    </w:p>
    <w:p w14:paraId="7253BAA8" w14:textId="77777777" w:rsidR="004E7C33" w:rsidRDefault="004E7C33" w:rsidP="004E7C33">
      <w:pPr>
        <w:pStyle w:val="Default"/>
        <w:rPr>
          <w:sz w:val="22"/>
          <w:szCs w:val="22"/>
        </w:rPr>
      </w:pPr>
    </w:p>
    <w:p w14:paraId="3B4D5C03" w14:textId="16113FD7" w:rsidR="00C40729" w:rsidRDefault="004E7C33" w:rsidP="004E7C33">
      <w:pPr>
        <w:pStyle w:val="Default"/>
        <w:rPr>
          <w:sz w:val="22"/>
          <w:szCs w:val="22"/>
        </w:rPr>
      </w:pPr>
      <w:r>
        <w:rPr>
          <w:sz w:val="22"/>
          <w:szCs w:val="22"/>
        </w:rPr>
        <w:t xml:space="preserve">The </w:t>
      </w:r>
      <w:r w:rsidR="000A423B">
        <w:rPr>
          <w:sz w:val="22"/>
          <w:szCs w:val="22"/>
        </w:rPr>
        <w:t>XEOMIN</w:t>
      </w:r>
      <w:r>
        <w:rPr>
          <w:sz w:val="22"/>
          <w:szCs w:val="22"/>
        </w:rPr>
        <w:t xml:space="preserve"> EU-Risk Management Plan (RMP) (version 17.1, dated 26 April 2021; DLP15 July 2020), with Australian Specific Annex (version 3.0, dated June 2023), included with submission PM-2022-03519-1-1, and any subsequent revisions, as agreed with the TGA will be implemented in Australia.</w:t>
      </w:r>
    </w:p>
    <w:p w14:paraId="451DC3FC" w14:textId="292BA44B" w:rsidR="00C22214" w:rsidRDefault="00C22214" w:rsidP="00300404">
      <w:pPr>
        <w:pStyle w:val="Heading4"/>
      </w:pPr>
      <w:bookmarkStart w:id="80" w:name="_Toc170887919"/>
      <w:r>
        <w:lastRenderedPageBreak/>
        <w:t>Product Information</w:t>
      </w:r>
      <w:bookmarkEnd w:id="79"/>
      <w:bookmarkEnd w:id="80"/>
    </w:p>
    <w:p w14:paraId="5EC75A6F" w14:textId="78113C18" w:rsidR="00300404" w:rsidRPr="00300404" w:rsidRDefault="00300404" w:rsidP="00300404">
      <w:pPr>
        <w:rPr>
          <w:szCs w:val="22"/>
        </w:rPr>
      </w:pPr>
      <w:r w:rsidRPr="00300404">
        <w:rPr>
          <w:szCs w:val="22"/>
        </w:rPr>
        <w:t xml:space="preserve">The </w:t>
      </w:r>
      <w:hyperlink r:id="rId40" w:history="1">
        <w:r w:rsidRPr="00300404">
          <w:rPr>
            <w:rStyle w:val="Hyperlink"/>
            <w:szCs w:val="22"/>
          </w:rPr>
          <w:t>Product Information</w:t>
        </w:r>
      </w:hyperlink>
      <w:r w:rsidRPr="00300404">
        <w:rPr>
          <w:szCs w:val="22"/>
        </w:rPr>
        <w:t xml:space="preserve"> (</w:t>
      </w:r>
      <w:hyperlink r:id="rId41" w:history="1">
        <w:r w:rsidRPr="00300404">
          <w:rPr>
            <w:rStyle w:val="Hyperlink"/>
            <w:szCs w:val="22"/>
          </w:rPr>
          <w:t>PI</w:t>
        </w:r>
      </w:hyperlink>
      <w:r w:rsidRPr="00300404">
        <w:rPr>
          <w:szCs w:val="22"/>
        </w:rPr>
        <w:t xml:space="preserve">) approved with this submission for </w:t>
      </w:r>
      <w:r w:rsidR="00616104" w:rsidRPr="00616104">
        <w:rPr>
          <w:szCs w:val="22"/>
        </w:rPr>
        <w:t xml:space="preserve">XEOMIN </w:t>
      </w:r>
      <w:r w:rsidRPr="00300404">
        <w:rPr>
          <w:szCs w:val="22"/>
        </w:rPr>
        <w:t xml:space="preserve">which is referred to in this AusPAR (and can be accessed on this AusPAR’s webpage) may have been superseded. For the most recent PI and </w:t>
      </w:r>
      <w:hyperlink r:id="rId42" w:history="1">
        <w:r w:rsidRPr="00300404">
          <w:rPr>
            <w:rStyle w:val="Hyperlink"/>
            <w:szCs w:val="22"/>
          </w:rPr>
          <w:t>Consumer Medicines Information</w:t>
        </w:r>
      </w:hyperlink>
      <w:r w:rsidRPr="00300404">
        <w:rPr>
          <w:szCs w:val="22"/>
        </w:rPr>
        <w:t xml:space="preserve"> (CMI), please refer to the TGA </w:t>
      </w:r>
      <w:hyperlink r:id="rId43" w:history="1">
        <w:r w:rsidRPr="00300404">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9086FE4" w:rsidR="00F02AEC" w:rsidRDefault="00F02AEC">
            <w:pPr>
              <w:pStyle w:val="Address"/>
              <w:jc w:val="center"/>
              <w:rPr>
                <w:sz w:val="22"/>
                <w:szCs w:val="22"/>
              </w:rPr>
            </w:pPr>
            <w:r w:rsidRPr="00215D48">
              <w:t xml:space="preserve">Email: </w:t>
            </w:r>
            <w:hyperlink r:id="rId46"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8A47AB">
            <w:pPr>
              <w:pStyle w:val="Address"/>
              <w:jc w:val="center"/>
              <w:rPr>
                <w:rStyle w:val="Hyperlink"/>
                <w:b/>
                <w:color w:val="auto"/>
                <w:sz w:val="22"/>
              </w:rPr>
            </w:pPr>
            <w:hyperlink r:id="rId47"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0586" w14:textId="77777777" w:rsidR="00BE0976" w:rsidRDefault="00BE0976" w:rsidP="00F02AEC">
      <w:pPr>
        <w:spacing w:after="0" w:line="240" w:lineRule="auto"/>
      </w:pPr>
      <w:r>
        <w:separator/>
      </w:r>
    </w:p>
  </w:endnote>
  <w:endnote w:type="continuationSeparator" w:id="0">
    <w:p w14:paraId="7FFAB0E5" w14:textId="77777777" w:rsidR="00BE0976" w:rsidRDefault="00BE0976" w:rsidP="00F02AEC">
      <w:pPr>
        <w:spacing w:after="0" w:line="240" w:lineRule="auto"/>
      </w:pPr>
      <w:r>
        <w:continuationSeparator/>
      </w:r>
    </w:p>
  </w:endnote>
  <w:endnote w:type="continuationNotice" w:id="1">
    <w:p w14:paraId="61CE8929" w14:textId="77777777" w:rsidR="00BE0976" w:rsidRDefault="00BE09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00AEBA9B" w14:textId="0F9ACF8F" w:rsidR="009C1A04" w:rsidRDefault="007452E8" w:rsidP="007452E8">
          <w:pPr>
            <w:pStyle w:val="Footer"/>
          </w:pPr>
          <w:r w:rsidRPr="00487162">
            <w:t>AusPA</w:t>
          </w:r>
          <w:r>
            <w:t xml:space="preserve">R - </w:t>
          </w:r>
          <w:r w:rsidR="000A423B">
            <w:t>XEOMIN</w:t>
          </w:r>
          <w:r>
            <w:t xml:space="preserve"> </w:t>
          </w:r>
          <w:r w:rsidR="000D28D7">
            <w:t>–</w:t>
          </w:r>
          <w:r w:rsidRPr="00460036">
            <w:t xml:space="preserve"> </w:t>
          </w:r>
          <w:r w:rsidR="000D28D7">
            <w:t>incobotulinumtoxin A –</w:t>
          </w:r>
          <w:r>
            <w:t xml:space="preserve"> </w:t>
          </w:r>
          <w:r w:rsidR="000D28D7">
            <w:t>Merz Pty Lt</w:t>
          </w:r>
          <w:r w:rsidR="00FE58EB">
            <w:t>d</w:t>
          </w:r>
          <w:r w:rsidR="000D28D7">
            <w:t xml:space="preserve"> </w:t>
          </w:r>
          <w:r>
            <w:t>- PM-202</w:t>
          </w:r>
          <w:r w:rsidR="000D28D7">
            <w:t>2</w:t>
          </w:r>
          <w:r w:rsidRPr="00487162">
            <w:t>-</w:t>
          </w:r>
          <w:r w:rsidR="009C1A04">
            <w:t>03519-1-1</w:t>
          </w:r>
        </w:p>
        <w:p w14:paraId="3C421323" w14:textId="00E967D4" w:rsidR="007452E8" w:rsidRPr="004A3084" w:rsidRDefault="007452E8" w:rsidP="007452E8">
          <w:pPr>
            <w:pStyle w:val="Footer"/>
          </w:pPr>
          <w:r w:rsidRPr="00487162">
            <w:t>Date of Finalisation</w:t>
          </w:r>
          <w:r w:rsidR="00FE58EB">
            <w:t>: 24 June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9EA1" w14:textId="77777777" w:rsidR="00BE0976" w:rsidRDefault="00BE0976" w:rsidP="00F02AEC">
      <w:pPr>
        <w:spacing w:after="0" w:line="240" w:lineRule="auto"/>
      </w:pPr>
      <w:r>
        <w:separator/>
      </w:r>
    </w:p>
  </w:footnote>
  <w:footnote w:type="continuationSeparator" w:id="0">
    <w:p w14:paraId="6848A76D" w14:textId="77777777" w:rsidR="00BE0976" w:rsidRDefault="00BE0976" w:rsidP="00F02AEC">
      <w:pPr>
        <w:spacing w:after="0" w:line="240" w:lineRule="auto"/>
      </w:pPr>
      <w:r>
        <w:continuationSeparator/>
      </w:r>
    </w:p>
  </w:footnote>
  <w:footnote w:type="continuationNotice" w:id="1">
    <w:p w14:paraId="6A018A16" w14:textId="77777777" w:rsidR="00BE0976" w:rsidRDefault="00BE0976">
      <w:pPr>
        <w:spacing w:after="0" w:line="240" w:lineRule="auto"/>
      </w:pPr>
    </w:p>
  </w:footnote>
  <w:footnote w:id="2">
    <w:p w14:paraId="68402A9B" w14:textId="7911A42D"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616104">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013851FE" w14:textId="750B25E0" w:rsidR="00352D16" w:rsidRDefault="00352D16">
      <w:pPr>
        <w:pStyle w:val="FootnoteText"/>
      </w:pPr>
      <w:r>
        <w:rPr>
          <w:rStyle w:val="FootnoteReference"/>
        </w:rPr>
        <w:footnoteRef/>
      </w:r>
      <w:r>
        <w:t xml:space="preserve"> AusPAR</w:t>
      </w:r>
      <w:r w:rsidR="004201CB">
        <w:t xml:space="preserve"> for </w:t>
      </w:r>
      <w:r w:rsidR="000A423B">
        <w:t>XEOMIN</w:t>
      </w:r>
      <w:r w:rsidR="004201CB">
        <w:t xml:space="preserve"> </w:t>
      </w:r>
      <w:r>
        <w:t xml:space="preserve">for previous indications </w:t>
      </w:r>
      <w:r w:rsidR="004201CB">
        <w:t>(17 September 2015):</w:t>
      </w:r>
      <w:r>
        <w:t xml:space="preserve"> </w:t>
      </w:r>
      <w:r w:rsidRPr="00352D16">
        <w:t>https://www.tga.gov.au/resources/auspar/auspar-botulinum-toxin-type-2</w:t>
      </w:r>
    </w:p>
  </w:footnote>
  <w:footnote w:id="4">
    <w:p w14:paraId="224CD836" w14:textId="2E9A58DF"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Delegate of the Secretary of the Department of Health and Aged Care who</w:t>
      </w:r>
      <w:r w:rsidR="004951C9">
        <w:t xml:space="preserve">, </w:t>
      </w:r>
      <w:r w:rsidR="004951C9" w:rsidRPr="004951C9">
        <w:t>under section 25 of the Act.</w:t>
      </w:r>
      <w:r w:rsidR="004951C9">
        <w:t>,</w:t>
      </w:r>
      <w:r w:rsidR="00AD0111" w:rsidRPr="00C133A3">
        <w:t xml:space="preserve"> </w:t>
      </w:r>
      <w:r w:rsidR="00AD0111">
        <w:t>decide</w:t>
      </w:r>
      <w:r w:rsidR="004951C9">
        <w:t>s</w:t>
      </w:r>
      <w:r w:rsidR="00AD0111">
        <w:t xml:space="preserve"> </w:t>
      </w:r>
      <w:r w:rsidR="004951C9">
        <w:t xml:space="preserve">whether an application is either approved or rejected. </w:t>
      </w:r>
      <w:r w:rsidR="00AD0111" w:rsidRPr="00C133A3">
        <w:t xml:space="preserve"> </w:t>
      </w:r>
      <w:r w:rsidR="004951C9">
        <w:t>I</w:t>
      </w:r>
    </w:p>
  </w:footnote>
  <w:footnote w:id="5">
    <w:p w14:paraId="5462BAE9" w14:textId="72503189" w:rsidR="001D2BDC" w:rsidRDefault="00301D9A" w:rsidP="001D2BDC">
      <w:pPr>
        <w:pStyle w:val="FootnoteText"/>
      </w:pPr>
      <w:r>
        <w:rPr>
          <w:rStyle w:val="FootnoteReference"/>
        </w:rPr>
        <w:footnoteRef/>
      </w:r>
      <w:r>
        <w:t xml:space="preserve"> </w:t>
      </w:r>
      <w:r w:rsidR="001D2BDC">
        <w:t xml:space="preserve">AusPAR for </w:t>
      </w:r>
      <w:r w:rsidR="000A423B">
        <w:t>XEOMIN</w:t>
      </w:r>
      <w:r w:rsidR="001D2BDC">
        <w:t xml:space="preserve"> (17 September 2015): </w:t>
      </w:r>
      <w:r w:rsidR="001D2BDC" w:rsidRPr="00352D16">
        <w:t>https://www.tga.gov.au/resources/auspar/auspar-botulinum-toxin-type-2</w:t>
      </w:r>
    </w:p>
    <w:p w14:paraId="67BFD4AE" w14:textId="6AA95150" w:rsidR="00301D9A" w:rsidRDefault="00301D9A">
      <w:pPr>
        <w:pStyle w:val="FootnoteText"/>
      </w:pPr>
    </w:p>
  </w:footnote>
  <w:footnote w:id="6">
    <w:p w14:paraId="2EDA4769" w14:textId="77777777" w:rsidR="006142DC" w:rsidRDefault="006142DC" w:rsidP="006142DC">
      <w:pPr>
        <w:pStyle w:val="FootnoteText"/>
      </w:pPr>
      <w:r>
        <w:rPr>
          <w:rStyle w:val="FootnoteReference"/>
        </w:rPr>
        <w:footnoteRef/>
      </w:r>
      <w:r>
        <w:t xml:space="preserve"> The AS is a validated scale to categorise the severity of spasticity by judging resistance to passive movement and widely used to assess treatment effects of BoNT in clinical studies on adult spasticity. Assessed on a 5-point Likert scale where 0 = no increase in tone to 4 = limb rigid in flexion or extension. Performed by the same Investigator in this study.</w:t>
      </w:r>
    </w:p>
  </w:footnote>
  <w:footnote w:id="7">
    <w:p w14:paraId="06F265B5" w14:textId="77777777" w:rsidR="006142DC" w:rsidRDefault="006142DC" w:rsidP="006142DC">
      <w:pPr>
        <w:pStyle w:val="FootnoteText"/>
      </w:pPr>
      <w:r>
        <w:rPr>
          <w:rStyle w:val="FootnoteReference"/>
        </w:rPr>
        <w:footnoteRef/>
      </w:r>
      <w:r>
        <w:t xml:space="preserve"> The GICS-PF is a 7-Point Likert Scale for the assessment of the functional change due to treatment of plantar flexor spasticity only undertaken by Investigators. For subjects with bilateral treatment of plantar flexor spasticity GICS-PF for both sides were assessed and recorded separately.</w:t>
      </w:r>
      <w:r w:rsidRPr="000D079A">
        <w:t xml:space="preserve"> </w:t>
      </w:r>
      <w:r>
        <w:t>Performed by the same Investigator in this study and undertaken before the AS and MTS assessments in order to minimise confounding and bias. The scale was scored from +3 = very much improved function to 0 = no change in function and -3 = very much worse function.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A47A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889347433" name="Picture 188934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657898474" name="Picture 65789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820329621" name="Picture 82032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55B"/>
    <w:multiLevelType w:val="hybridMultilevel"/>
    <w:tmpl w:val="5A4A2E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34D0D"/>
    <w:multiLevelType w:val="hybridMultilevel"/>
    <w:tmpl w:val="4FC009F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0A3B28AB"/>
    <w:multiLevelType w:val="hybridMultilevel"/>
    <w:tmpl w:val="B8FE61E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3E02528"/>
    <w:multiLevelType w:val="hybridMultilevel"/>
    <w:tmpl w:val="382AF8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87912E5"/>
    <w:multiLevelType w:val="hybridMultilevel"/>
    <w:tmpl w:val="3962B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B63C5"/>
    <w:multiLevelType w:val="hybridMultilevel"/>
    <w:tmpl w:val="A7722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343563"/>
    <w:multiLevelType w:val="hybridMultilevel"/>
    <w:tmpl w:val="9EB87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852B65"/>
    <w:multiLevelType w:val="hybridMultilevel"/>
    <w:tmpl w:val="F0CEA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613BFE"/>
    <w:multiLevelType w:val="hybridMultilevel"/>
    <w:tmpl w:val="A4B06C8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7" w15:restartNumberingAfterBreak="0">
    <w:nsid w:val="485D56F6"/>
    <w:multiLevelType w:val="hybridMultilevel"/>
    <w:tmpl w:val="BC1E40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341351"/>
    <w:multiLevelType w:val="hybridMultilevel"/>
    <w:tmpl w:val="A1DE2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D41B81"/>
    <w:multiLevelType w:val="hybridMultilevel"/>
    <w:tmpl w:val="C31485E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4AA01D53"/>
    <w:multiLevelType w:val="hybridMultilevel"/>
    <w:tmpl w:val="80D4B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733EB0"/>
    <w:multiLevelType w:val="hybridMultilevel"/>
    <w:tmpl w:val="3712F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6" w15:restartNumberingAfterBreak="0">
    <w:nsid w:val="5E1103F5"/>
    <w:multiLevelType w:val="hybridMultilevel"/>
    <w:tmpl w:val="FA1E1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BF3B93"/>
    <w:multiLevelType w:val="hybridMultilevel"/>
    <w:tmpl w:val="54CA55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8" w15:restartNumberingAfterBreak="0">
    <w:nsid w:val="67D82828"/>
    <w:multiLevelType w:val="hybridMultilevel"/>
    <w:tmpl w:val="10E8E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2206FB"/>
    <w:multiLevelType w:val="hybridMultilevel"/>
    <w:tmpl w:val="FE1AE9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1A2086"/>
    <w:multiLevelType w:val="hybridMultilevel"/>
    <w:tmpl w:val="E6503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75475F"/>
    <w:multiLevelType w:val="hybridMultilevel"/>
    <w:tmpl w:val="8970F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AE53BD"/>
    <w:multiLevelType w:val="hybridMultilevel"/>
    <w:tmpl w:val="29C4A69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4" w15:restartNumberingAfterBreak="0">
    <w:nsid w:val="6FB95ADE"/>
    <w:multiLevelType w:val="hybridMultilevel"/>
    <w:tmpl w:val="43963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093BA8"/>
    <w:multiLevelType w:val="hybridMultilevel"/>
    <w:tmpl w:val="9D74E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7" w15:restartNumberingAfterBreak="0">
    <w:nsid w:val="7B7462E6"/>
    <w:multiLevelType w:val="hybridMultilevel"/>
    <w:tmpl w:val="B830B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EA2A54"/>
    <w:multiLevelType w:val="hybridMultilevel"/>
    <w:tmpl w:val="49828C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7"/>
  </w:num>
  <w:num w:numId="2" w16cid:durableId="1856573705">
    <w:abstractNumId w:val="3"/>
  </w:num>
  <w:num w:numId="3" w16cid:durableId="357703499">
    <w:abstractNumId w:val="6"/>
  </w:num>
  <w:num w:numId="4" w16cid:durableId="1869176708">
    <w:abstractNumId w:val="23"/>
  </w:num>
  <w:num w:numId="5" w16cid:durableId="1652950129">
    <w:abstractNumId w:val="12"/>
  </w:num>
  <w:num w:numId="6" w16cid:durableId="1053193207">
    <w:abstractNumId w:val="21"/>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2"/>
  </w:num>
  <w:num w:numId="9" w16cid:durableId="173421270">
    <w:abstractNumId w:val="4"/>
  </w:num>
  <w:num w:numId="10" w16cid:durableId="2108043357">
    <w:abstractNumId w:val="8"/>
  </w:num>
  <w:num w:numId="11" w16cid:durableId="1725904230">
    <w:abstractNumId w:val="16"/>
  </w:num>
  <w:num w:numId="12" w16cid:durableId="141579354">
    <w:abstractNumId w:val="25"/>
  </w:num>
  <w:num w:numId="13" w16cid:durableId="283735081">
    <w:abstractNumId w:val="36"/>
  </w:num>
  <w:num w:numId="14" w16cid:durableId="871651155">
    <w:abstractNumId w:val="17"/>
  </w:num>
  <w:num w:numId="15" w16cid:durableId="1928540413">
    <w:abstractNumId w:val="2"/>
  </w:num>
  <w:num w:numId="16" w16cid:durableId="1402215252">
    <w:abstractNumId w:val="10"/>
  </w:num>
  <w:num w:numId="17" w16cid:durableId="1848405495">
    <w:abstractNumId w:val="27"/>
  </w:num>
  <w:num w:numId="18" w16cid:durableId="2003004986">
    <w:abstractNumId w:val="33"/>
  </w:num>
  <w:num w:numId="19" w16cid:durableId="1968311055">
    <w:abstractNumId w:val="35"/>
  </w:num>
  <w:num w:numId="20" w16cid:durableId="2016033261">
    <w:abstractNumId w:val="1"/>
  </w:num>
  <w:num w:numId="21" w16cid:durableId="1822379028">
    <w:abstractNumId w:val="24"/>
  </w:num>
  <w:num w:numId="22" w16cid:durableId="445543396">
    <w:abstractNumId w:val="15"/>
  </w:num>
  <w:num w:numId="23" w16cid:durableId="132298">
    <w:abstractNumId w:val="29"/>
  </w:num>
  <w:num w:numId="24" w16cid:durableId="466706062">
    <w:abstractNumId w:val="19"/>
  </w:num>
  <w:num w:numId="25" w16cid:durableId="1243836605">
    <w:abstractNumId w:val="20"/>
  </w:num>
  <w:num w:numId="26" w16cid:durableId="1529370038">
    <w:abstractNumId w:val="14"/>
  </w:num>
  <w:num w:numId="27" w16cid:durableId="512646597">
    <w:abstractNumId w:val="11"/>
  </w:num>
  <w:num w:numId="28" w16cid:durableId="771242794">
    <w:abstractNumId w:val="0"/>
  </w:num>
  <w:num w:numId="29" w16cid:durableId="881670174">
    <w:abstractNumId w:val="9"/>
  </w:num>
  <w:num w:numId="30" w16cid:durableId="64187499">
    <w:abstractNumId w:val="38"/>
  </w:num>
  <w:num w:numId="31" w16cid:durableId="277178202">
    <w:abstractNumId w:val="37"/>
  </w:num>
  <w:num w:numId="32" w16cid:durableId="1796832144">
    <w:abstractNumId w:val="31"/>
  </w:num>
  <w:num w:numId="33" w16cid:durableId="166023917">
    <w:abstractNumId w:val="26"/>
  </w:num>
  <w:num w:numId="34" w16cid:durableId="649989032">
    <w:abstractNumId w:val="18"/>
  </w:num>
  <w:num w:numId="35" w16cid:durableId="1383291708">
    <w:abstractNumId w:val="28"/>
  </w:num>
  <w:num w:numId="36" w16cid:durableId="247232981">
    <w:abstractNumId w:val="30"/>
  </w:num>
  <w:num w:numId="37" w16cid:durableId="203103553">
    <w:abstractNumId w:val="13"/>
  </w:num>
  <w:num w:numId="38" w16cid:durableId="3036289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15860576">
    <w:abstractNumId w:val="5"/>
  </w:num>
  <w:num w:numId="40" w16cid:durableId="250043477">
    <w:abstractNumId w:val="32"/>
  </w:num>
  <w:num w:numId="41" w16cid:durableId="12942093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420"/>
    <w:rsid w:val="00003482"/>
    <w:rsid w:val="00004431"/>
    <w:rsid w:val="00004E89"/>
    <w:rsid w:val="00005062"/>
    <w:rsid w:val="00005B8A"/>
    <w:rsid w:val="0001064C"/>
    <w:rsid w:val="0001384A"/>
    <w:rsid w:val="00015621"/>
    <w:rsid w:val="00020FF2"/>
    <w:rsid w:val="00021430"/>
    <w:rsid w:val="000227C0"/>
    <w:rsid w:val="000303DF"/>
    <w:rsid w:val="00032A0F"/>
    <w:rsid w:val="00040D8D"/>
    <w:rsid w:val="000414E7"/>
    <w:rsid w:val="00043E1D"/>
    <w:rsid w:val="00046423"/>
    <w:rsid w:val="000503E6"/>
    <w:rsid w:val="000523B0"/>
    <w:rsid w:val="00054D6B"/>
    <w:rsid w:val="0005595F"/>
    <w:rsid w:val="0006104E"/>
    <w:rsid w:val="00061213"/>
    <w:rsid w:val="000640BD"/>
    <w:rsid w:val="00065839"/>
    <w:rsid w:val="00065FDF"/>
    <w:rsid w:val="0006640C"/>
    <w:rsid w:val="00066C96"/>
    <w:rsid w:val="00067782"/>
    <w:rsid w:val="00070037"/>
    <w:rsid w:val="000721E4"/>
    <w:rsid w:val="00077844"/>
    <w:rsid w:val="00083BA2"/>
    <w:rsid w:val="00085F61"/>
    <w:rsid w:val="00090510"/>
    <w:rsid w:val="000917AE"/>
    <w:rsid w:val="00094B81"/>
    <w:rsid w:val="00096385"/>
    <w:rsid w:val="000975AA"/>
    <w:rsid w:val="000A423B"/>
    <w:rsid w:val="000A48CD"/>
    <w:rsid w:val="000A4A76"/>
    <w:rsid w:val="000A6640"/>
    <w:rsid w:val="000B2880"/>
    <w:rsid w:val="000B2B20"/>
    <w:rsid w:val="000B505E"/>
    <w:rsid w:val="000B6B15"/>
    <w:rsid w:val="000C25A7"/>
    <w:rsid w:val="000C2B00"/>
    <w:rsid w:val="000C333E"/>
    <w:rsid w:val="000C523F"/>
    <w:rsid w:val="000D1783"/>
    <w:rsid w:val="000D28D7"/>
    <w:rsid w:val="000D52E4"/>
    <w:rsid w:val="000D58C8"/>
    <w:rsid w:val="000D5D54"/>
    <w:rsid w:val="000D64C5"/>
    <w:rsid w:val="000D78EC"/>
    <w:rsid w:val="000D7934"/>
    <w:rsid w:val="000E235E"/>
    <w:rsid w:val="000E2597"/>
    <w:rsid w:val="000E448D"/>
    <w:rsid w:val="000E6746"/>
    <w:rsid w:val="000F0914"/>
    <w:rsid w:val="000F4CA4"/>
    <w:rsid w:val="000F5A7F"/>
    <w:rsid w:val="000F7B51"/>
    <w:rsid w:val="00101BEE"/>
    <w:rsid w:val="00101CE6"/>
    <w:rsid w:val="00101FB1"/>
    <w:rsid w:val="00103C02"/>
    <w:rsid w:val="0010558A"/>
    <w:rsid w:val="001101FF"/>
    <w:rsid w:val="00110782"/>
    <w:rsid w:val="00116D20"/>
    <w:rsid w:val="00117D16"/>
    <w:rsid w:val="0012473C"/>
    <w:rsid w:val="00125252"/>
    <w:rsid w:val="001268F4"/>
    <w:rsid w:val="001275BE"/>
    <w:rsid w:val="00127A74"/>
    <w:rsid w:val="0013132F"/>
    <w:rsid w:val="00132AFB"/>
    <w:rsid w:val="0013306D"/>
    <w:rsid w:val="001336DA"/>
    <w:rsid w:val="00134813"/>
    <w:rsid w:val="0013528C"/>
    <w:rsid w:val="0013676B"/>
    <w:rsid w:val="00140508"/>
    <w:rsid w:val="00141E70"/>
    <w:rsid w:val="001442A2"/>
    <w:rsid w:val="001468CA"/>
    <w:rsid w:val="001500A8"/>
    <w:rsid w:val="00151445"/>
    <w:rsid w:val="001537C5"/>
    <w:rsid w:val="00155D85"/>
    <w:rsid w:val="00157DDC"/>
    <w:rsid w:val="00165D28"/>
    <w:rsid w:val="0017005C"/>
    <w:rsid w:val="00172392"/>
    <w:rsid w:val="00175CD8"/>
    <w:rsid w:val="00182BD8"/>
    <w:rsid w:val="0018372E"/>
    <w:rsid w:val="0018509E"/>
    <w:rsid w:val="0018575F"/>
    <w:rsid w:val="00186AB4"/>
    <w:rsid w:val="00190F6D"/>
    <w:rsid w:val="00197677"/>
    <w:rsid w:val="001A22CB"/>
    <w:rsid w:val="001A59F6"/>
    <w:rsid w:val="001A76F9"/>
    <w:rsid w:val="001B06FF"/>
    <w:rsid w:val="001B09C7"/>
    <w:rsid w:val="001B1703"/>
    <w:rsid w:val="001B325F"/>
    <w:rsid w:val="001B4646"/>
    <w:rsid w:val="001B5AEA"/>
    <w:rsid w:val="001C1C2E"/>
    <w:rsid w:val="001C31A1"/>
    <w:rsid w:val="001C3FA2"/>
    <w:rsid w:val="001C517F"/>
    <w:rsid w:val="001C5EE2"/>
    <w:rsid w:val="001D0077"/>
    <w:rsid w:val="001D159C"/>
    <w:rsid w:val="001D1638"/>
    <w:rsid w:val="001D2A53"/>
    <w:rsid w:val="001D2BDC"/>
    <w:rsid w:val="001D664C"/>
    <w:rsid w:val="001E1D88"/>
    <w:rsid w:val="001E2BC7"/>
    <w:rsid w:val="001E3B2F"/>
    <w:rsid w:val="001E407B"/>
    <w:rsid w:val="001E4B93"/>
    <w:rsid w:val="001E7FC6"/>
    <w:rsid w:val="001F12A3"/>
    <w:rsid w:val="001F174A"/>
    <w:rsid w:val="001F2502"/>
    <w:rsid w:val="001F44BE"/>
    <w:rsid w:val="001F588D"/>
    <w:rsid w:val="001F70A5"/>
    <w:rsid w:val="001F73FB"/>
    <w:rsid w:val="0020235D"/>
    <w:rsid w:val="0020369B"/>
    <w:rsid w:val="0020688B"/>
    <w:rsid w:val="00207B4D"/>
    <w:rsid w:val="002117B1"/>
    <w:rsid w:val="00214425"/>
    <w:rsid w:val="00217CCE"/>
    <w:rsid w:val="002203B1"/>
    <w:rsid w:val="00221C4F"/>
    <w:rsid w:val="00222FF0"/>
    <w:rsid w:val="002231DA"/>
    <w:rsid w:val="00226F39"/>
    <w:rsid w:val="002334AD"/>
    <w:rsid w:val="00233B29"/>
    <w:rsid w:val="00241B60"/>
    <w:rsid w:val="002475D2"/>
    <w:rsid w:val="00254011"/>
    <w:rsid w:val="0025450A"/>
    <w:rsid w:val="00254966"/>
    <w:rsid w:val="0025511B"/>
    <w:rsid w:val="0025785B"/>
    <w:rsid w:val="00257969"/>
    <w:rsid w:val="00265C84"/>
    <w:rsid w:val="00270DCE"/>
    <w:rsid w:val="002714B1"/>
    <w:rsid w:val="00275A87"/>
    <w:rsid w:val="002760AE"/>
    <w:rsid w:val="002761F4"/>
    <w:rsid w:val="00280048"/>
    <w:rsid w:val="00283D9E"/>
    <w:rsid w:val="0028489E"/>
    <w:rsid w:val="002848DE"/>
    <w:rsid w:val="0028794E"/>
    <w:rsid w:val="00290084"/>
    <w:rsid w:val="00293F08"/>
    <w:rsid w:val="00294EAB"/>
    <w:rsid w:val="002956CD"/>
    <w:rsid w:val="002A523D"/>
    <w:rsid w:val="002A529F"/>
    <w:rsid w:val="002A5841"/>
    <w:rsid w:val="002A7DD0"/>
    <w:rsid w:val="002B1EDF"/>
    <w:rsid w:val="002B2061"/>
    <w:rsid w:val="002B2683"/>
    <w:rsid w:val="002B7AF3"/>
    <w:rsid w:val="002C1232"/>
    <w:rsid w:val="002C1E44"/>
    <w:rsid w:val="002C59A5"/>
    <w:rsid w:val="002C5C92"/>
    <w:rsid w:val="002C5E29"/>
    <w:rsid w:val="002C6041"/>
    <w:rsid w:val="002D0478"/>
    <w:rsid w:val="002D1FE8"/>
    <w:rsid w:val="002D34DC"/>
    <w:rsid w:val="002D7127"/>
    <w:rsid w:val="002E0764"/>
    <w:rsid w:val="002E0F9F"/>
    <w:rsid w:val="002F10C7"/>
    <w:rsid w:val="002F4D42"/>
    <w:rsid w:val="002F599E"/>
    <w:rsid w:val="00300404"/>
    <w:rsid w:val="003008D8"/>
    <w:rsid w:val="00301D9A"/>
    <w:rsid w:val="0030294F"/>
    <w:rsid w:val="00302D5D"/>
    <w:rsid w:val="00303959"/>
    <w:rsid w:val="00305B64"/>
    <w:rsid w:val="00306E72"/>
    <w:rsid w:val="003116DB"/>
    <w:rsid w:val="00312AC3"/>
    <w:rsid w:val="00314430"/>
    <w:rsid w:val="003153E1"/>
    <w:rsid w:val="003163BC"/>
    <w:rsid w:val="0032351A"/>
    <w:rsid w:val="00324B33"/>
    <w:rsid w:val="00327488"/>
    <w:rsid w:val="00327F64"/>
    <w:rsid w:val="00330935"/>
    <w:rsid w:val="00330C1E"/>
    <w:rsid w:val="00330CB9"/>
    <w:rsid w:val="00336FE1"/>
    <w:rsid w:val="00337C9C"/>
    <w:rsid w:val="00341B2B"/>
    <w:rsid w:val="00342D56"/>
    <w:rsid w:val="003452A8"/>
    <w:rsid w:val="003456E7"/>
    <w:rsid w:val="00346EC2"/>
    <w:rsid w:val="003477F9"/>
    <w:rsid w:val="003521A9"/>
    <w:rsid w:val="00352D16"/>
    <w:rsid w:val="0035444D"/>
    <w:rsid w:val="00354EDE"/>
    <w:rsid w:val="00356D62"/>
    <w:rsid w:val="00363EE3"/>
    <w:rsid w:val="00364246"/>
    <w:rsid w:val="00373096"/>
    <w:rsid w:val="003735F3"/>
    <w:rsid w:val="00374729"/>
    <w:rsid w:val="00382568"/>
    <w:rsid w:val="00382838"/>
    <w:rsid w:val="003828FA"/>
    <w:rsid w:val="003835B2"/>
    <w:rsid w:val="00383BF2"/>
    <w:rsid w:val="00385638"/>
    <w:rsid w:val="00387298"/>
    <w:rsid w:val="00387984"/>
    <w:rsid w:val="00395140"/>
    <w:rsid w:val="00396B1A"/>
    <w:rsid w:val="003A2009"/>
    <w:rsid w:val="003A209B"/>
    <w:rsid w:val="003A2422"/>
    <w:rsid w:val="003A3B54"/>
    <w:rsid w:val="003A6E11"/>
    <w:rsid w:val="003B147A"/>
    <w:rsid w:val="003B149C"/>
    <w:rsid w:val="003B3E29"/>
    <w:rsid w:val="003B5FCD"/>
    <w:rsid w:val="003B6016"/>
    <w:rsid w:val="003C0FDB"/>
    <w:rsid w:val="003C1192"/>
    <w:rsid w:val="003C55E2"/>
    <w:rsid w:val="003C63D5"/>
    <w:rsid w:val="003C7298"/>
    <w:rsid w:val="003C7AA8"/>
    <w:rsid w:val="003D27A5"/>
    <w:rsid w:val="003D27D6"/>
    <w:rsid w:val="003D71A1"/>
    <w:rsid w:val="003D7FC9"/>
    <w:rsid w:val="003E19C0"/>
    <w:rsid w:val="003E6C66"/>
    <w:rsid w:val="003F674E"/>
    <w:rsid w:val="0040099B"/>
    <w:rsid w:val="0040445D"/>
    <w:rsid w:val="0040631C"/>
    <w:rsid w:val="00410481"/>
    <w:rsid w:val="00411E87"/>
    <w:rsid w:val="00414627"/>
    <w:rsid w:val="00414D56"/>
    <w:rsid w:val="00415A29"/>
    <w:rsid w:val="0041688F"/>
    <w:rsid w:val="004201CB"/>
    <w:rsid w:val="00420444"/>
    <w:rsid w:val="00422AB0"/>
    <w:rsid w:val="0042376F"/>
    <w:rsid w:val="004246B8"/>
    <w:rsid w:val="004248F1"/>
    <w:rsid w:val="0042512B"/>
    <w:rsid w:val="004259C4"/>
    <w:rsid w:val="00433318"/>
    <w:rsid w:val="00437B93"/>
    <w:rsid w:val="00442A56"/>
    <w:rsid w:val="00443C09"/>
    <w:rsid w:val="004444B0"/>
    <w:rsid w:val="0044521E"/>
    <w:rsid w:val="004504BB"/>
    <w:rsid w:val="0045060B"/>
    <w:rsid w:val="004539E3"/>
    <w:rsid w:val="004541A3"/>
    <w:rsid w:val="0045523D"/>
    <w:rsid w:val="004560D4"/>
    <w:rsid w:val="004626FF"/>
    <w:rsid w:val="00470A52"/>
    <w:rsid w:val="00470C59"/>
    <w:rsid w:val="00471BD5"/>
    <w:rsid w:val="0047501E"/>
    <w:rsid w:val="00476866"/>
    <w:rsid w:val="00477C4E"/>
    <w:rsid w:val="00477F07"/>
    <w:rsid w:val="00481503"/>
    <w:rsid w:val="00481D12"/>
    <w:rsid w:val="004854A6"/>
    <w:rsid w:val="00485E0A"/>
    <w:rsid w:val="004876BB"/>
    <w:rsid w:val="00491A55"/>
    <w:rsid w:val="00494C3E"/>
    <w:rsid w:val="004951C9"/>
    <w:rsid w:val="0049523D"/>
    <w:rsid w:val="00496009"/>
    <w:rsid w:val="00497DF1"/>
    <w:rsid w:val="004A0754"/>
    <w:rsid w:val="004A226B"/>
    <w:rsid w:val="004A318E"/>
    <w:rsid w:val="004A4E96"/>
    <w:rsid w:val="004A52E6"/>
    <w:rsid w:val="004A57E8"/>
    <w:rsid w:val="004B3081"/>
    <w:rsid w:val="004B4A09"/>
    <w:rsid w:val="004C41CE"/>
    <w:rsid w:val="004C4836"/>
    <w:rsid w:val="004C631B"/>
    <w:rsid w:val="004C7A77"/>
    <w:rsid w:val="004D2F00"/>
    <w:rsid w:val="004D31D8"/>
    <w:rsid w:val="004D3EB0"/>
    <w:rsid w:val="004D5388"/>
    <w:rsid w:val="004D55EE"/>
    <w:rsid w:val="004E16D3"/>
    <w:rsid w:val="004E7C33"/>
    <w:rsid w:val="004E7F16"/>
    <w:rsid w:val="004F18EC"/>
    <w:rsid w:val="004F24DA"/>
    <w:rsid w:val="004F2803"/>
    <w:rsid w:val="004F3F1B"/>
    <w:rsid w:val="004F7308"/>
    <w:rsid w:val="004F7C5E"/>
    <w:rsid w:val="00500D68"/>
    <w:rsid w:val="00503598"/>
    <w:rsid w:val="00503ABF"/>
    <w:rsid w:val="00504551"/>
    <w:rsid w:val="00513DF9"/>
    <w:rsid w:val="005202FF"/>
    <w:rsid w:val="00524C8E"/>
    <w:rsid w:val="00526D60"/>
    <w:rsid w:val="0052772C"/>
    <w:rsid w:val="00530B75"/>
    <w:rsid w:val="005325CF"/>
    <w:rsid w:val="005331A9"/>
    <w:rsid w:val="0053377D"/>
    <w:rsid w:val="00533991"/>
    <w:rsid w:val="00533EDD"/>
    <w:rsid w:val="00535DFE"/>
    <w:rsid w:val="00535EEE"/>
    <w:rsid w:val="005373B5"/>
    <w:rsid w:val="00537AB7"/>
    <w:rsid w:val="00544B3C"/>
    <w:rsid w:val="00544CD7"/>
    <w:rsid w:val="0054669B"/>
    <w:rsid w:val="0055230B"/>
    <w:rsid w:val="0055659E"/>
    <w:rsid w:val="00557048"/>
    <w:rsid w:val="005610D1"/>
    <w:rsid w:val="00562594"/>
    <w:rsid w:val="00562F42"/>
    <w:rsid w:val="0056450A"/>
    <w:rsid w:val="0056480A"/>
    <w:rsid w:val="00564CE6"/>
    <w:rsid w:val="00565739"/>
    <w:rsid w:val="0056766D"/>
    <w:rsid w:val="005706B9"/>
    <w:rsid w:val="005713BF"/>
    <w:rsid w:val="00574852"/>
    <w:rsid w:val="00575215"/>
    <w:rsid w:val="00584C1D"/>
    <w:rsid w:val="0058575E"/>
    <w:rsid w:val="005858CA"/>
    <w:rsid w:val="0058783C"/>
    <w:rsid w:val="005911AE"/>
    <w:rsid w:val="005926E2"/>
    <w:rsid w:val="0059313A"/>
    <w:rsid w:val="00594F02"/>
    <w:rsid w:val="00597983"/>
    <w:rsid w:val="005A0338"/>
    <w:rsid w:val="005A2B06"/>
    <w:rsid w:val="005A54EA"/>
    <w:rsid w:val="005B023F"/>
    <w:rsid w:val="005B02A2"/>
    <w:rsid w:val="005B11AD"/>
    <w:rsid w:val="005B1417"/>
    <w:rsid w:val="005B4B23"/>
    <w:rsid w:val="005B5D48"/>
    <w:rsid w:val="005B63F6"/>
    <w:rsid w:val="005B669A"/>
    <w:rsid w:val="005B69CF"/>
    <w:rsid w:val="005B74E5"/>
    <w:rsid w:val="005C1D9D"/>
    <w:rsid w:val="005C3F07"/>
    <w:rsid w:val="005C4072"/>
    <w:rsid w:val="005C40AC"/>
    <w:rsid w:val="005C44CB"/>
    <w:rsid w:val="005C4B46"/>
    <w:rsid w:val="005C5DC5"/>
    <w:rsid w:val="005D1050"/>
    <w:rsid w:val="005D14EC"/>
    <w:rsid w:val="005D2089"/>
    <w:rsid w:val="005D4248"/>
    <w:rsid w:val="005D7514"/>
    <w:rsid w:val="005D7543"/>
    <w:rsid w:val="005E0EB7"/>
    <w:rsid w:val="005E0FC6"/>
    <w:rsid w:val="005E1A7B"/>
    <w:rsid w:val="005E231F"/>
    <w:rsid w:val="005F1153"/>
    <w:rsid w:val="005F1DC8"/>
    <w:rsid w:val="005F3080"/>
    <w:rsid w:val="005F6B87"/>
    <w:rsid w:val="00602674"/>
    <w:rsid w:val="00602D6E"/>
    <w:rsid w:val="00605C05"/>
    <w:rsid w:val="00607E5A"/>
    <w:rsid w:val="00611351"/>
    <w:rsid w:val="0061217D"/>
    <w:rsid w:val="006141D2"/>
    <w:rsid w:val="006142DC"/>
    <w:rsid w:val="00616104"/>
    <w:rsid w:val="00616B9C"/>
    <w:rsid w:val="0062022D"/>
    <w:rsid w:val="006277A1"/>
    <w:rsid w:val="00627ED6"/>
    <w:rsid w:val="0063124E"/>
    <w:rsid w:val="006330BA"/>
    <w:rsid w:val="00633A56"/>
    <w:rsid w:val="00633BD7"/>
    <w:rsid w:val="00634580"/>
    <w:rsid w:val="00634884"/>
    <w:rsid w:val="006351D9"/>
    <w:rsid w:val="00637130"/>
    <w:rsid w:val="00637964"/>
    <w:rsid w:val="00637F0E"/>
    <w:rsid w:val="006423F2"/>
    <w:rsid w:val="006426AA"/>
    <w:rsid w:val="0064653B"/>
    <w:rsid w:val="00646940"/>
    <w:rsid w:val="006475D9"/>
    <w:rsid w:val="006475E6"/>
    <w:rsid w:val="00650234"/>
    <w:rsid w:val="00656158"/>
    <w:rsid w:val="00656AB2"/>
    <w:rsid w:val="00656DC0"/>
    <w:rsid w:val="0066044B"/>
    <w:rsid w:val="00662C39"/>
    <w:rsid w:val="006630AA"/>
    <w:rsid w:val="00663544"/>
    <w:rsid w:val="00664C08"/>
    <w:rsid w:val="00666539"/>
    <w:rsid w:val="00666911"/>
    <w:rsid w:val="006714A9"/>
    <w:rsid w:val="00675F81"/>
    <w:rsid w:val="006800AE"/>
    <w:rsid w:val="0068143E"/>
    <w:rsid w:val="00681EFC"/>
    <w:rsid w:val="0068507D"/>
    <w:rsid w:val="00686CE8"/>
    <w:rsid w:val="00686EF0"/>
    <w:rsid w:val="00691135"/>
    <w:rsid w:val="00691AF2"/>
    <w:rsid w:val="00692B80"/>
    <w:rsid w:val="00692CCD"/>
    <w:rsid w:val="00692D51"/>
    <w:rsid w:val="00694BCD"/>
    <w:rsid w:val="00694DD7"/>
    <w:rsid w:val="006955EF"/>
    <w:rsid w:val="006956C2"/>
    <w:rsid w:val="00695ACC"/>
    <w:rsid w:val="0069636B"/>
    <w:rsid w:val="006A1762"/>
    <w:rsid w:val="006A1F0B"/>
    <w:rsid w:val="006A277A"/>
    <w:rsid w:val="006A5973"/>
    <w:rsid w:val="006A6406"/>
    <w:rsid w:val="006A7943"/>
    <w:rsid w:val="006B0E5B"/>
    <w:rsid w:val="006B5606"/>
    <w:rsid w:val="006B7126"/>
    <w:rsid w:val="006C0205"/>
    <w:rsid w:val="006C1D57"/>
    <w:rsid w:val="006C6716"/>
    <w:rsid w:val="006C6B86"/>
    <w:rsid w:val="006D4553"/>
    <w:rsid w:val="006D4A35"/>
    <w:rsid w:val="006D4B4D"/>
    <w:rsid w:val="006D6B44"/>
    <w:rsid w:val="006E27FE"/>
    <w:rsid w:val="006E5DE6"/>
    <w:rsid w:val="006F1773"/>
    <w:rsid w:val="006F56AD"/>
    <w:rsid w:val="00701110"/>
    <w:rsid w:val="00702E91"/>
    <w:rsid w:val="0070330F"/>
    <w:rsid w:val="00703624"/>
    <w:rsid w:val="007046ED"/>
    <w:rsid w:val="00705635"/>
    <w:rsid w:val="007072A1"/>
    <w:rsid w:val="00710806"/>
    <w:rsid w:val="00710BC5"/>
    <w:rsid w:val="00711B4D"/>
    <w:rsid w:val="007121CA"/>
    <w:rsid w:val="00712728"/>
    <w:rsid w:val="0072002F"/>
    <w:rsid w:val="0072003B"/>
    <w:rsid w:val="00721059"/>
    <w:rsid w:val="007211E6"/>
    <w:rsid w:val="00721A3B"/>
    <w:rsid w:val="007220C4"/>
    <w:rsid w:val="0072677F"/>
    <w:rsid w:val="00726EAB"/>
    <w:rsid w:val="00730A70"/>
    <w:rsid w:val="00732361"/>
    <w:rsid w:val="007357B9"/>
    <w:rsid w:val="00737478"/>
    <w:rsid w:val="00737C93"/>
    <w:rsid w:val="00741AB9"/>
    <w:rsid w:val="00742D03"/>
    <w:rsid w:val="00744216"/>
    <w:rsid w:val="007452E8"/>
    <w:rsid w:val="007465FB"/>
    <w:rsid w:val="00746990"/>
    <w:rsid w:val="00747093"/>
    <w:rsid w:val="00750D70"/>
    <w:rsid w:val="007575D0"/>
    <w:rsid w:val="0076161E"/>
    <w:rsid w:val="007662E0"/>
    <w:rsid w:val="00772A79"/>
    <w:rsid w:val="00773459"/>
    <w:rsid w:val="0077381B"/>
    <w:rsid w:val="00775F96"/>
    <w:rsid w:val="00776E9C"/>
    <w:rsid w:val="0078000B"/>
    <w:rsid w:val="007816D8"/>
    <w:rsid w:val="007827C8"/>
    <w:rsid w:val="007833D4"/>
    <w:rsid w:val="00783BA5"/>
    <w:rsid w:val="00784150"/>
    <w:rsid w:val="007900FE"/>
    <w:rsid w:val="00791E76"/>
    <w:rsid w:val="00793272"/>
    <w:rsid w:val="00793496"/>
    <w:rsid w:val="00794B64"/>
    <w:rsid w:val="007967C3"/>
    <w:rsid w:val="00796ADA"/>
    <w:rsid w:val="007973DE"/>
    <w:rsid w:val="007974F7"/>
    <w:rsid w:val="0079756E"/>
    <w:rsid w:val="007A0A33"/>
    <w:rsid w:val="007A13FF"/>
    <w:rsid w:val="007A3E09"/>
    <w:rsid w:val="007A5AB1"/>
    <w:rsid w:val="007B04DE"/>
    <w:rsid w:val="007B0AE6"/>
    <w:rsid w:val="007B4A88"/>
    <w:rsid w:val="007B7D61"/>
    <w:rsid w:val="007C0F0B"/>
    <w:rsid w:val="007C57BC"/>
    <w:rsid w:val="007C624B"/>
    <w:rsid w:val="007C7BF1"/>
    <w:rsid w:val="007D04CA"/>
    <w:rsid w:val="007D0A2B"/>
    <w:rsid w:val="007D12A1"/>
    <w:rsid w:val="007D2B42"/>
    <w:rsid w:val="007D40E5"/>
    <w:rsid w:val="007D4138"/>
    <w:rsid w:val="007D7584"/>
    <w:rsid w:val="007E281C"/>
    <w:rsid w:val="007E372D"/>
    <w:rsid w:val="007E4178"/>
    <w:rsid w:val="007E4EE6"/>
    <w:rsid w:val="007E653F"/>
    <w:rsid w:val="007F0A77"/>
    <w:rsid w:val="007F1764"/>
    <w:rsid w:val="007F228D"/>
    <w:rsid w:val="007F50D3"/>
    <w:rsid w:val="007F6B1F"/>
    <w:rsid w:val="007F7F09"/>
    <w:rsid w:val="00804897"/>
    <w:rsid w:val="00804F39"/>
    <w:rsid w:val="008050F6"/>
    <w:rsid w:val="008136E3"/>
    <w:rsid w:val="00816F32"/>
    <w:rsid w:val="00820DAA"/>
    <w:rsid w:val="008219DC"/>
    <w:rsid w:val="00823C77"/>
    <w:rsid w:val="00827794"/>
    <w:rsid w:val="008327B4"/>
    <w:rsid w:val="008329DB"/>
    <w:rsid w:val="00832D18"/>
    <w:rsid w:val="00833EDB"/>
    <w:rsid w:val="008361C5"/>
    <w:rsid w:val="0083628F"/>
    <w:rsid w:val="00837AB9"/>
    <w:rsid w:val="00841514"/>
    <w:rsid w:val="008423A8"/>
    <w:rsid w:val="00847C2E"/>
    <w:rsid w:val="00850637"/>
    <w:rsid w:val="00854D98"/>
    <w:rsid w:val="0085751E"/>
    <w:rsid w:val="00860B29"/>
    <w:rsid w:val="00860C03"/>
    <w:rsid w:val="008622E8"/>
    <w:rsid w:val="00863EEC"/>
    <w:rsid w:val="008645EE"/>
    <w:rsid w:val="008645FF"/>
    <w:rsid w:val="00866EA9"/>
    <w:rsid w:val="00867901"/>
    <w:rsid w:val="00867C98"/>
    <w:rsid w:val="00870144"/>
    <w:rsid w:val="00871785"/>
    <w:rsid w:val="008734B8"/>
    <w:rsid w:val="00873D7A"/>
    <w:rsid w:val="00876253"/>
    <w:rsid w:val="00877B59"/>
    <w:rsid w:val="00877CB3"/>
    <w:rsid w:val="008804CF"/>
    <w:rsid w:val="00882325"/>
    <w:rsid w:val="00882D58"/>
    <w:rsid w:val="00882F19"/>
    <w:rsid w:val="00883D35"/>
    <w:rsid w:val="00884569"/>
    <w:rsid w:val="00886C7A"/>
    <w:rsid w:val="00887A51"/>
    <w:rsid w:val="00890D9B"/>
    <w:rsid w:val="00891C6C"/>
    <w:rsid w:val="00892BDC"/>
    <w:rsid w:val="00893CCD"/>
    <w:rsid w:val="008964B3"/>
    <w:rsid w:val="008A47AB"/>
    <w:rsid w:val="008B0DD1"/>
    <w:rsid w:val="008B1CB5"/>
    <w:rsid w:val="008B3159"/>
    <w:rsid w:val="008B3265"/>
    <w:rsid w:val="008B530C"/>
    <w:rsid w:val="008C0CBB"/>
    <w:rsid w:val="008C1087"/>
    <w:rsid w:val="008C2D69"/>
    <w:rsid w:val="008C49C6"/>
    <w:rsid w:val="008C7233"/>
    <w:rsid w:val="008C7254"/>
    <w:rsid w:val="008C754C"/>
    <w:rsid w:val="008D56C9"/>
    <w:rsid w:val="008D6A54"/>
    <w:rsid w:val="008D7A92"/>
    <w:rsid w:val="008E2585"/>
    <w:rsid w:val="008E2800"/>
    <w:rsid w:val="008E2D7A"/>
    <w:rsid w:val="008E4C4B"/>
    <w:rsid w:val="008E7FE2"/>
    <w:rsid w:val="008F3215"/>
    <w:rsid w:val="008F4A62"/>
    <w:rsid w:val="008F7256"/>
    <w:rsid w:val="0090424C"/>
    <w:rsid w:val="0090605E"/>
    <w:rsid w:val="0090748D"/>
    <w:rsid w:val="009079D9"/>
    <w:rsid w:val="009108CE"/>
    <w:rsid w:val="00912818"/>
    <w:rsid w:val="009133D1"/>
    <w:rsid w:val="009152FB"/>
    <w:rsid w:val="00915A9F"/>
    <w:rsid w:val="00915BBB"/>
    <w:rsid w:val="009160F4"/>
    <w:rsid w:val="00921753"/>
    <w:rsid w:val="009226E4"/>
    <w:rsid w:val="0092660A"/>
    <w:rsid w:val="0092777C"/>
    <w:rsid w:val="00930D58"/>
    <w:rsid w:val="00931484"/>
    <w:rsid w:val="00934E8D"/>
    <w:rsid w:val="00935AAA"/>
    <w:rsid w:val="0093696B"/>
    <w:rsid w:val="00947379"/>
    <w:rsid w:val="0095031E"/>
    <w:rsid w:val="00954297"/>
    <w:rsid w:val="0095656B"/>
    <w:rsid w:val="00957B1C"/>
    <w:rsid w:val="00960A56"/>
    <w:rsid w:val="00961F98"/>
    <w:rsid w:val="00964180"/>
    <w:rsid w:val="009641F9"/>
    <w:rsid w:val="00966EF1"/>
    <w:rsid w:val="00967223"/>
    <w:rsid w:val="009706F3"/>
    <w:rsid w:val="0097300B"/>
    <w:rsid w:val="00973DAB"/>
    <w:rsid w:val="009751F7"/>
    <w:rsid w:val="009804E0"/>
    <w:rsid w:val="0098350E"/>
    <w:rsid w:val="00984FEF"/>
    <w:rsid w:val="009853F0"/>
    <w:rsid w:val="00990D18"/>
    <w:rsid w:val="009915E8"/>
    <w:rsid w:val="00993A1B"/>
    <w:rsid w:val="0099404F"/>
    <w:rsid w:val="00996FA5"/>
    <w:rsid w:val="009A02CA"/>
    <w:rsid w:val="009A51B7"/>
    <w:rsid w:val="009A564C"/>
    <w:rsid w:val="009A582B"/>
    <w:rsid w:val="009A5C99"/>
    <w:rsid w:val="009A7E88"/>
    <w:rsid w:val="009B1829"/>
    <w:rsid w:val="009B1BCB"/>
    <w:rsid w:val="009B34F7"/>
    <w:rsid w:val="009B4A10"/>
    <w:rsid w:val="009B5662"/>
    <w:rsid w:val="009B6E63"/>
    <w:rsid w:val="009B71C1"/>
    <w:rsid w:val="009C1448"/>
    <w:rsid w:val="009C1A04"/>
    <w:rsid w:val="009C1B65"/>
    <w:rsid w:val="009C1E57"/>
    <w:rsid w:val="009C2211"/>
    <w:rsid w:val="009C2EB3"/>
    <w:rsid w:val="009C3E3F"/>
    <w:rsid w:val="009C40E8"/>
    <w:rsid w:val="009C45C5"/>
    <w:rsid w:val="009C48FF"/>
    <w:rsid w:val="009C55B9"/>
    <w:rsid w:val="009C7398"/>
    <w:rsid w:val="009D7246"/>
    <w:rsid w:val="009E33C3"/>
    <w:rsid w:val="009E4884"/>
    <w:rsid w:val="009E6120"/>
    <w:rsid w:val="009E6858"/>
    <w:rsid w:val="009E6C4E"/>
    <w:rsid w:val="009E6F8C"/>
    <w:rsid w:val="009F054B"/>
    <w:rsid w:val="009F2914"/>
    <w:rsid w:val="009F405F"/>
    <w:rsid w:val="00A00EA7"/>
    <w:rsid w:val="00A01C56"/>
    <w:rsid w:val="00A03D9A"/>
    <w:rsid w:val="00A13664"/>
    <w:rsid w:val="00A13A4C"/>
    <w:rsid w:val="00A22EC0"/>
    <w:rsid w:val="00A316BD"/>
    <w:rsid w:val="00A32497"/>
    <w:rsid w:val="00A32C50"/>
    <w:rsid w:val="00A33A06"/>
    <w:rsid w:val="00A358E7"/>
    <w:rsid w:val="00A36C57"/>
    <w:rsid w:val="00A42075"/>
    <w:rsid w:val="00A4380B"/>
    <w:rsid w:val="00A46FC2"/>
    <w:rsid w:val="00A51A2D"/>
    <w:rsid w:val="00A547E5"/>
    <w:rsid w:val="00A54A74"/>
    <w:rsid w:val="00A5596B"/>
    <w:rsid w:val="00A60C0A"/>
    <w:rsid w:val="00A61309"/>
    <w:rsid w:val="00A6259F"/>
    <w:rsid w:val="00A63916"/>
    <w:rsid w:val="00A63C07"/>
    <w:rsid w:val="00A63D9B"/>
    <w:rsid w:val="00A649BB"/>
    <w:rsid w:val="00A704DC"/>
    <w:rsid w:val="00A75D10"/>
    <w:rsid w:val="00A77916"/>
    <w:rsid w:val="00A84B02"/>
    <w:rsid w:val="00A859DF"/>
    <w:rsid w:val="00A86700"/>
    <w:rsid w:val="00A87461"/>
    <w:rsid w:val="00A90324"/>
    <w:rsid w:val="00A93DC6"/>
    <w:rsid w:val="00A9411A"/>
    <w:rsid w:val="00AA1E4E"/>
    <w:rsid w:val="00AA2B5D"/>
    <w:rsid w:val="00AA4A4B"/>
    <w:rsid w:val="00AA63F2"/>
    <w:rsid w:val="00AA6682"/>
    <w:rsid w:val="00AB1130"/>
    <w:rsid w:val="00AB3F74"/>
    <w:rsid w:val="00AB48BB"/>
    <w:rsid w:val="00AB4CB1"/>
    <w:rsid w:val="00AB6EE2"/>
    <w:rsid w:val="00AB785E"/>
    <w:rsid w:val="00AB7C5C"/>
    <w:rsid w:val="00AB7CBF"/>
    <w:rsid w:val="00AC2DBF"/>
    <w:rsid w:val="00AC3883"/>
    <w:rsid w:val="00AC60A8"/>
    <w:rsid w:val="00AD0111"/>
    <w:rsid w:val="00AD0E87"/>
    <w:rsid w:val="00AD1679"/>
    <w:rsid w:val="00AD24B7"/>
    <w:rsid w:val="00AD417C"/>
    <w:rsid w:val="00AD4C72"/>
    <w:rsid w:val="00AD5451"/>
    <w:rsid w:val="00AE0A93"/>
    <w:rsid w:val="00AE1947"/>
    <w:rsid w:val="00AE370C"/>
    <w:rsid w:val="00AE6364"/>
    <w:rsid w:val="00AE6667"/>
    <w:rsid w:val="00AF1463"/>
    <w:rsid w:val="00AF1C8B"/>
    <w:rsid w:val="00AF299B"/>
    <w:rsid w:val="00AF5C27"/>
    <w:rsid w:val="00AF7E43"/>
    <w:rsid w:val="00B02AE0"/>
    <w:rsid w:val="00B05326"/>
    <w:rsid w:val="00B0743D"/>
    <w:rsid w:val="00B14545"/>
    <w:rsid w:val="00B14E60"/>
    <w:rsid w:val="00B17BA2"/>
    <w:rsid w:val="00B228DE"/>
    <w:rsid w:val="00B2497D"/>
    <w:rsid w:val="00B26DC3"/>
    <w:rsid w:val="00B30B9D"/>
    <w:rsid w:val="00B43AFD"/>
    <w:rsid w:val="00B43B89"/>
    <w:rsid w:val="00B4574D"/>
    <w:rsid w:val="00B468E1"/>
    <w:rsid w:val="00B46BC0"/>
    <w:rsid w:val="00B46DFB"/>
    <w:rsid w:val="00B5141B"/>
    <w:rsid w:val="00B514F0"/>
    <w:rsid w:val="00B55681"/>
    <w:rsid w:val="00B55C25"/>
    <w:rsid w:val="00B57AAD"/>
    <w:rsid w:val="00B63371"/>
    <w:rsid w:val="00B660C4"/>
    <w:rsid w:val="00B72B16"/>
    <w:rsid w:val="00B73368"/>
    <w:rsid w:val="00B74EF9"/>
    <w:rsid w:val="00B75634"/>
    <w:rsid w:val="00B760F5"/>
    <w:rsid w:val="00B77601"/>
    <w:rsid w:val="00B80408"/>
    <w:rsid w:val="00B81397"/>
    <w:rsid w:val="00B813DB"/>
    <w:rsid w:val="00B8412C"/>
    <w:rsid w:val="00B847D4"/>
    <w:rsid w:val="00B84C37"/>
    <w:rsid w:val="00B8537F"/>
    <w:rsid w:val="00B861F0"/>
    <w:rsid w:val="00B9254A"/>
    <w:rsid w:val="00B925DB"/>
    <w:rsid w:val="00B92C7A"/>
    <w:rsid w:val="00B94B46"/>
    <w:rsid w:val="00B967FF"/>
    <w:rsid w:val="00B974B9"/>
    <w:rsid w:val="00BA0345"/>
    <w:rsid w:val="00BA3F6D"/>
    <w:rsid w:val="00BA4AB0"/>
    <w:rsid w:val="00BA4BE6"/>
    <w:rsid w:val="00BA4FC0"/>
    <w:rsid w:val="00BA61E0"/>
    <w:rsid w:val="00BA7F7D"/>
    <w:rsid w:val="00BB1C14"/>
    <w:rsid w:val="00BB6847"/>
    <w:rsid w:val="00BB7F8F"/>
    <w:rsid w:val="00BC039B"/>
    <w:rsid w:val="00BC2B5B"/>
    <w:rsid w:val="00BC32F1"/>
    <w:rsid w:val="00BC60D2"/>
    <w:rsid w:val="00BC716A"/>
    <w:rsid w:val="00BD07DF"/>
    <w:rsid w:val="00BD1376"/>
    <w:rsid w:val="00BD155A"/>
    <w:rsid w:val="00BD26F4"/>
    <w:rsid w:val="00BD4A69"/>
    <w:rsid w:val="00BD5DBD"/>
    <w:rsid w:val="00BD5DF6"/>
    <w:rsid w:val="00BD67A1"/>
    <w:rsid w:val="00BE0041"/>
    <w:rsid w:val="00BE0976"/>
    <w:rsid w:val="00BE640F"/>
    <w:rsid w:val="00BE758D"/>
    <w:rsid w:val="00BF289F"/>
    <w:rsid w:val="00BF4638"/>
    <w:rsid w:val="00BF541D"/>
    <w:rsid w:val="00C018DE"/>
    <w:rsid w:val="00C059D0"/>
    <w:rsid w:val="00C0643C"/>
    <w:rsid w:val="00C07551"/>
    <w:rsid w:val="00C10BEA"/>
    <w:rsid w:val="00C1109F"/>
    <w:rsid w:val="00C12D65"/>
    <w:rsid w:val="00C133AB"/>
    <w:rsid w:val="00C15CB2"/>
    <w:rsid w:val="00C16AAD"/>
    <w:rsid w:val="00C20B56"/>
    <w:rsid w:val="00C21780"/>
    <w:rsid w:val="00C218A5"/>
    <w:rsid w:val="00C22214"/>
    <w:rsid w:val="00C26F72"/>
    <w:rsid w:val="00C309A7"/>
    <w:rsid w:val="00C327D5"/>
    <w:rsid w:val="00C335AB"/>
    <w:rsid w:val="00C335F7"/>
    <w:rsid w:val="00C37DB2"/>
    <w:rsid w:val="00C40729"/>
    <w:rsid w:val="00C407AB"/>
    <w:rsid w:val="00C439CA"/>
    <w:rsid w:val="00C45F1A"/>
    <w:rsid w:val="00C51917"/>
    <w:rsid w:val="00C52B7B"/>
    <w:rsid w:val="00C547CD"/>
    <w:rsid w:val="00C55674"/>
    <w:rsid w:val="00C570FF"/>
    <w:rsid w:val="00C57CEA"/>
    <w:rsid w:val="00C60FEC"/>
    <w:rsid w:val="00C6303E"/>
    <w:rsid w:val="00C6574E"/>
    <w:rsid w:val="00C707FD"/>
    <w:rsid w:val="00C72C11"/>
    <w:rsid w:val="00C76DEB"/>
    <w:rsid w:val="00C80800"/>
    <w:rsid w:val="00C816C6"/>
    <w:rsid w:val="00C840B1"/>
    <w:rsid w:val="00C863A7"/>
    <w:rsid w:val="00C863F2"/>
    <w:rsid w:val="00C90965"/>
    <w:rsid w:val="00C912F4"/>
    <w:rsid w:val="00C9156F"/>
    <w:rsid w:val="00C91777"/>
    <w:rsid w:val="00C91E48"/>
    <w:rsid w:val="00C9581A"/>
    <w:rsid w:val="00C97D29"/>
    <w:rsid w:val="00CA4582"/>
    <w:rsid w:val="00CA5E7E"/>
    <w:rsid w:val="00CA6B3B"/>
    <w:rsid w:val="00CB0550"/>
    <w:rsid w:val="00CB6813"/>
    <w:rsid w:val="00CB7EF5"/>
    <w:rsid w:val="00CC0316"/>
    <w:rsid w:val="00CC24D0"/>
    <w:rsid w:val="00CC2EF1"/>
    <w:rsid w:val="00CC3C73"/>
    <w:rsid w:val="00CC45D5"/>
    <w:rsid w:val="00CD04BD"/>
    <w:rsid w:val="00CD1FFC"/>
    <w:rsid w:val="00CE3F0E"/>
    <w:rsid w:val="00CE4449"/>
    <w:rsid w:val="00CE65EC"/>
    <w:rsid w:val="00CF4040"/>
    <w:rsid w:val="00CF62D8"/>
    <w:rsid w:val="00CF65E3"/>
    <w:rsid w:val="00CF6A55"/>
    <w:rsid w:val="00CF6DC6"/>
    <w:rsid w:val="00CF6DCF"/>
    <w:rsid w:val="00D01DDB"/>
    <w:rsid w:val="00D03733"/>
    <w:rsid w:val="00D055B3"/>
    <w:rsid w:val="00D056FF"/>
    <w:rsid w:val="00D078BE"/>
    <w:rsid w:val="00D13F8A"/>
    <w:rsid w:val="00D1558D"/>
    <w:rsid w:val="00D16476"/>
    <w:rsid w:val="00D16F60"/>
    <w:rsid w:val="00D179BA"/>
    <w:rsid w:val="00D17F17"/>
    <w:rsid w:val="00D2091A"/>
    <w:rsid w:val="00D22445"/>
    <w:rsid w:val="00D22760"/>
    <w:rsid w:val="00D22879"/>
    <w:rsid w:val="00D22981"/>
    <w:rsid w:val="00D23809"/>
    <w:rsid w:val="00D2532B"/>
    <w:rsid w:val="00D25A54"/>
    <w:rsid w:val="00D3349B"/>
    <w:rsid w:val="00D42388"/>
    <w:rsid w:val="00D424A8"/>
    <w:rsid w:val="00D51046"/>
    <w:rsid w:val="00D5271B"/>
    <w:rsid w:val="00D6036F"/>
    <w:rsid w:val="00D62877"/>
    <w:rsid w:val="00D6374F"/>
    <w:rsid w:val="00D63760"/>
    <w:rsid w:val="00D6430A"/>
    <w:rsid w:val="00D6703F"/>
    <w:rsid w:val="00D734EB"/>
    <w:rsid w:val="00D74B3D"/>
    <w:rsid w:val="00D758BB"/>
    <w:rsid w:val="00D76468"/>
    <w:rsid w:val="00D77950"/>
    <w:rsid w:val="00D810BF"/>
    <w:rsid w:val="00D81A63"/>
    <w:rsid w:val="00D82713"/>
    <w:rsid w:val="00D83FA9"/>
    <w:rsid w:val="00D86F00"/>
    <w:rsid w:val="00D91352"/>
    <w:rsid w:val="00D918D5"/>
    <w:rsid w:val="00D94C8E"/>
    <w:rsid w:val="00DA0B5E"/>
    <w:rsid w:val="00DA3344"/>
    <w:rsid w:val="00DA5BB9"/>
    <w:rsid w:val="00DA6E11"/>
    <w:rsid w:val="00DB1372"/>
    <w:rsid w:val="00DB191E"/>
    <w:rsid w:val="00DB192C"/>
    <w:rsid w:val="00DB1CF3"/>
    <w:rsid w:val="00DB41BC"/>
    <w:rsid w:val="00DB5425"/>
    <w:rsid w:val="00DB5C73"/>
    <w:rsid w:val="00DB72A6"/>
    <w:rsid w:val="00DC09B0"/>
    <w:rsid w:val="00DC4C87"/>
    <w:rsid w:val="00DC6611"/>
    <w:rsid w:val="00DC6C41"/>
    <w:rsid w:val="00DC7972"/>
    <w:rsid w:val="00DC7BAD"/>
    <w:rsid w:val="00DE1344"/>
    <w:rsid w:val="00DF0612"/>
    <w:rsid w:val="00DF2BD2"/>
    <w:rsid w:val="00DF3903"/>
    <w:rsid w:val="00DF392D"/>
    <w:rsid w:val="00DF5BFE"/>
    <w:rsid w:val="00E00010"/>
    <w:rsid w:val="00E018B5"/>
    <w:rsid w:val="00E01E1E"/>
    <w:rsid w:val="00E030D1"/>
    <w:rsid w:val="00E032A4"/>
    <w:rsid w:val="00E03434"/>
    <w:rsid w:val="00E04BC7"/>
    <w:rsid w:val="00E0523F"/>
    <w:rsid w:val="00E1079D"/>
    <w:rsid w:val="00E118FA"/>
    <w:rsid w:val="00E13E03"/>
    <w:rsid w:val="00E1462B"/>
    <w:rsid w:val="00E224F7"/>
    <w:rsid w:val="00E22E9B"/>
    <w:rsid w:val="00E23E50"/>
    <w:rsid w:val="00E26213"/>
    <w:rsid w:val="00E274DF"/>
    <w:rsid w:val="00E3477E"/>
    <w:rsid w:val="00E34D66"/>
    <w:rsid w:val="00E3529D"/>
    <w:rsid w:val="00E362C4"/>
    <w:rsid w:val="00E46CC2"/>
    <w:rsid w:val="00E47B1C"/>
    <w:rsid w:val="00E47E0C"/>
    <w:rsid w:val="00E5175F"/>
    <w:rsid w:val="00E51813"/>
    <w:rsid w:val="00E52C0B"/>
    <w:rsid w:val="00E532C5"/>
    <w:rsid w:val="00E53D3F"/>
    <w:rsid w:val="00E54D8B"/>
    <w:rsid w:val="00E5506F"/>
    <w:rsid w:val="00E5579B"/>
    <w:rsid w:val="00E57FF4"/>
    <w:rsid w:val="00E6361C"/>
    <w:rsid w:val="00E641C7"/>
    <w:rsid w:val="00E679D1"/>
    <w:rsid w:val="00E67C1C"/>
    <w:rsid w:val="00E72BE0"/>
    <w:rsid w:val="00E77E79"/>
    <w:rsid w:val="00E91F11"/>
    <w:rsid w:val="00E96615"/>
    <w:rsid w:val="00E9706D"/>
    <w:rsid w:val="00EA3AF4"/>
    <w:rsid w:val="00EB140F"/>
    <w:rsid w:val="00EB1FFA"/>
    <w:rsid w:val="00EB6D11"/>
    <w:rsid w:val="00EC63F3"/>
    <w:rsid w:val="00EC7A22"/>
    <w:rsid w:val="00ED77E0"/>
    <w:rsid w:val="00EE2043"/>
    <w:rsid w:val="00EE4966"/>
    <w:rsid w:val="00EF22E8"/>
    <w:rsid w:val="00EF30AF"/>
    <w:rsid w:val="00EF30FF"/>
    <w:rsid w:val="00EF3F0B"/>
    <w:rsid w:val="00EF5583"/>
    <w:rsid w:val="00F0087F"/>
    <w:rsid w:val="00F0242F"/>
    <w:rsid w:val="00F0289D"/>
    <w:rsid w:val="00F02AEC"/>
    <w:rsid w:val="00F03436"/>
    <w:rsid w:val="00F05E0B"/>
    <w:rsid w:val="00F05FDA"/>
    <w:rsid w:val="00F07572"/>
    <w:rsid w:val="00F134FF"/>
    <w:rsid w:val="00F157FC"/>
    <w:rsid w:val="00F1745F"/>
    <w:rsid w:val="00F23E72"/>
    <w:rsid w:val="00F25507"/>
    <w:rsid w:val="00F25763"/>
    <w:rsid w:val="00F27660"/>
    <w:rsid w:val="00F30AF3"/>
    <w:rsid w:val="00F35CFB"/>
    <w:rsid w:val="00F407E4"/>
    <w:rsid w:val="00F40A5B"/>
    <w:rsid w:val="00F43CD1"/>
    <w:rsid w:val="00F45AE0"/>
    <w:rsid w:val="00F46566"/>
    <w:rsid w:val="00F530BD"/>
    <w:rsid w:val="00F55D2E"/>
    <w:rsid w:val="00F56C8F"/>
    <w:rsid w:val="00F60CF2"/>
    <w:rsid w:val="00F64133"/>
    <w:rsid w:val="00F656DC"/>
    <w:rsid w:val="00F657B4"/>
    <w:rsid w:val="00F72D6A"/>
    <w:rsid w:val="00F744AC"/>
    <w:rsid w:val="00F74E11"/>
    <w:rsid w:val="00F762CC"/>
    <w:rsid w:val="00F7649F"/>
    <w:rsid w:val="00F80268"/>
    <w:rsid w:val="00F8083B"/>
    <w:rsid w:val="00F80F51"/>
    <w:rsid w:val="00F865A7"/>
    <w:rsid w:val="00F90377"/>
    <w:rsid w:val="00F95419"/>
    <w:rsid w:val="00FA0754"/>
    <w:rsid w:val="00FA0F0A"/>
    <w:rsid w:val="00FA1BC9"/>
    <w:rsid w:val="00FA49C3"/>
    <w:rsid w:val="00FA672B"/>
    <w:rsid w:val="00FB086C"/>
    <w:rsid w:val="00FB0C3F"/>
    <w:rsid w:val="00FB236E"/>
    <w:rsid w:val="00FB3F7B"/>
    <w:rsid w:val="00FB4C2A"/>
    <w:rsid w:val="00FB5405"/>
    <w:rsid w:val="00FB5B7F"/>
    <w:rsid w:val="00FC2107"/>
    <w:rsid w:val="00FC3B5E"/>
    <w:rsid w:val="00FC48FE"/>
    <w:rsid w:val="00FC5434"/>
    <w:rsid w:val="00FC6F56"/>
    <w:rsid w:val="00FD39F6"/>
    <w:rsid w:val="00FD3E3F"/>
    <w:rsid w:val="00FD48B6"/>
    <w:rsid w:val="00FD57A3"/>
    <w:rsid w:val="00FE0359"/>
    <w:rsid w:val="00FE087C"/>
    <w:rsid w:val="00FE2771"/>
    <w:rsid w:val="00FE2E68"/>
    <w:rsid w:val="00FE4667"/>
    <w:rsid w:val="00FE5250"/>
    <w:rsid w:val="00FE58EB"/>
    <w:rsid w:val="00FE79A0"/>
    <w:rsid w:val="00FF0939"/>
    <w:rsid w:val="00FF1EEE"/>
    <w:rsid w:val="00FF1F01"/>
    <w:rsid w:val="00FF317C"/>
    <w:rsid w:val="00FF53FB"/>
    <w:rsid w:val="00FF5BA4"/>
    <w:rsid w:val="00FF7557"/>
    <w:rsid w:val="00FF79DB"/>
    <w:rsid w:val="0179D321"/>
    <w:rsid w:val="09BE7D10"/>
    <w:rsid w:val="4195E295"/>
    <w:rsid w:val="686654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2CC9AE23-EE52-494E-AE46-8AA1810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14050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405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Proxima Nova" w:hAnsi="Proxima Nov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8A47AB"/>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Default">
    <w:name w:val="Default"/>
    <w:rsid w:val="00C55674"/>
    <w:pPr>
      <w:autoSpaceDE w:val="0"/>
      <w:autoSpaceDN w:val="0"/>
      <w:adjustRightInd w:val="0"/>
      <w:spacing w:after="0" w:line="240" w:lineRule="auto"/>
    </w:pPr>
    <w:rPr>
      <w:rFonts w:ascii="Cambria" w:hAnsi="Cambria" w:cs="Cambria"/>
      <w:color w:val="000000"/>
      <w:sz w:val="24"/>
      <w:szCs w:val="24"/>
    </w:rPr>
  </w:style>
  <w:style w:type="paragraph" w:customStyle="1" w:styleId="TableBullet">
    <w:name w:val="Table Bullet"/>
    <w:basedOn w:val="Normal"/>
    <w:rsid w:val="00D810BF"/>
    <w:pPr>
      <w:numPr>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eastAsia="Times New Roman" w:cs="Times New Roman"/>
      <w:kern w:val="16"/>
      <w:sz w:val="20"/>
      <w:szCs w:val="24"/>
      <w:lang w:eastAsia="en-AU"/>
    </w:rPr>
  </w:style>
  <w:style w:type="paragraph" w:customStyle="1" w:styleId="Standard1">
    <w:name w:val="Standard1"/>
    <w:basedOn w:val="Normal"/>
    <w:link w:val="StandardChar"/>
    <w:qFormat/>
    <w:rsid w:val="0093696B"/>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1"/>
    <w:rsid w:val="0093696B"/>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140508"/>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14050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21099376">
      <w:bodyDiv w:val="1"/>
      <w:marLeft w:val="0"/>
      <w:marRight w:val="0"/>
      <w:marTop w:val="0"/>
      <w:marBottom w:val="0"/>
      <w:divBdr>
        <w:top w:val="none" w:sz="0" w:space="0" w:color="auto"/>
        <w:left w:val="none" w:sz="0" w:space="0" w:color="auto"/>
        <w:bottom w:val="none" w:sz="0" w:space="0" w:color="auto"/>
        <w:right w:val="none" w:sz="0" w:space="0" w:color="auto"/>
      </w:divBdr>
    </w:div>
    <w:div w:id="1516963686">
      <w:bodyDiv w:val="1"/>
      <w:marLeft w:val="0"/>
      <w:marRight w:val="0"/>
      <w:marTop w:val="0"/>
      <w:marBottom w:val="0"/>
      <w:divBdr>
        <w:top w:val="none" w:sz="0" w:space="0" w:color="auto"/>
        <w:left w:val="none" w:sz="0" w:space="0" w:color="auto"/>
        <w:bottom w:val="none" w:sz="0" w:space="0" w:color="auto"/>
        <w:right w:val="none" w:sz="0" w:space="0" w:color="auto"/>
      </w:divBdr>
    </w:div>
    <w:div w:id="1558082842">
      <w:bodyDiv w:val="1"/>
      <w:marLeft w:val="0"/>
      <w:marRight w:val="0"/>
      <w:marTop w:val="0"/>
      <w:marBottom w:val="0"/>
      <w:divBdr>
        <w:top w:val="none" w:sz="0" w:space="0" w:color="auto"/>
        <w:left w:val="none" w:sz="0" w:space="0" w:color="auto"/>
        <w:bottom w:val="none" w:sz="0" w:space="0" w:color="auto"/>
        <w:right w:val="none" w:sz="0" w:space="0" w:color="auto"/>
      </w:divBdr>
    </w:div>
    <w:div w:id="1640454346">
      <w:bodyDiv w:val="1"/>
      <w:marLeft w:val="0"/>
      <w:marRight w:val="0"/>
      <w:marTop w:val="0"/>
      <w:marBottom w:val="0"/>
      <w:divBdr>
        <w:top w:val="none" w:sz="0" w:space="0" w:color="auto"/>
        <w:left w:val="none" w:sz="0" w:space="0" w:color="auto"/>
        <w:bottom w:val="none" w:sz="0" w:space="0" w:color="auto"/>
        <w:right w:val="none" w:sz="0" w:space="0" w:color="auto"/>
      </w:divBdr>
    </w:div>
    <w:div w:id="176576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6.png"/><Relationship Id="rId39" Type="http://schemas.openxmlformats.org/officeDocument/2006/relationships/hyperlink" Target="https://www.tga.gov.au/committee/advisory-committee-medicines-acm" TargetMode="External"/><Relationship Id="rId3" Type="http://schemas.openxmlformats.org/officeDocument/2006/relationships/customXml" Target="../customXml/item3.xml"/><Relationship Id="rId21" Type="http://schemas.openxmlformats.org/officeDocument/2006/relationships/hyperlink" Target="https://www.tga.gov.au/products/australian-register-therapeutic-goods-artg" TargetMode="External"/><Relationship Id="rId34" Type="http://schemas.openxmlformats.org/officeDocument/2006/relationships/image" Target="media/image14.png"/><Relationship Id="rId42" Type="http://schemas.openxmlformats.org/officeDocument/2006/relationships/hyperlink" Target="https://www.tga.gov.au/products/australian-register-therapeutic-goods-artg/consumer-medicines-information-cmi" TargetMode="External"/><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tga.gov.au/resources/resource/guidance/risk-management-plans-medicines-and-biologicals/australia-specific-annex-eu-rmp" TargetMode="External"/><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9.png"/><Relationship Id="rId41" Type="http://schemas.openxmlformats.org/officeDocument/2006/relationships/hyperlink" Target="https://www.tga.gov.au/products/australian-register-therapeutic-goods-artg/product-information-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www.tga.gov.au/resources/resource/guidance/risk-management-plans-medicines-and-biologicals/australia-specific-annex-eu-rmp" TargetMode="External"/><Relationship Id="rId40" Type="http://schemas.openxmlformats.org/officeDocument/2006/relationships/hyperlink" Target="https://www.tga.gov.au/products/australian-register-therapeutic-goods-artg/product-information-one"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how-we-regulate/supply-therapeutic-good/supply-prescription-medicine/application-process/prescription-medicines-registration-process" TargetMode="External"/><Relationship Id="rId28" Type="http://schemas.openxmlformats.org/officeDocument/2006/relationships/image" Target="media/image8.png"/><Relationship Id="rId36" Type="http://schemas.openxmlformats.org/officeDocument/2006/relationships/hyperlink" Target="https://www.tga.gov.au/tgas-risk-management-approach"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1.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tga.gov.au/publication/risk-management-plans-medicines-and-biologicals" TargetMode="External"/><Relationship Id="rId43" Type="http://schemas.openxmlformats.org/officeDocument/2006/relationships/hyperlink" Target="https://www.ebs.tga.gov.au/"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959D66403F3746AB5642CC83282BD4" ma:contentTypeVersion="6" ma:contentTypeDescription="Create a new document." ma:contentTypeScope="" ma:versionID="4197873a61e35afc1c65346c1a853dac">
  <xsd:schema xmlns:xsd="http://www.w3.org/2001/XMLSchema" xmlns:xs="http://www.w3.org/2001/XMLSchema" xmlns:p="http://schemas.microsoft.com/office/2006/metadata/properties" xmlns:ns2="83ba2549-1cfd-46b7-8e7c-04ba721bf70b" xmlns:ns3="3db4b258-cc92-427e-b823-d24919d9df97" targetNamespace="http://schemas.microsoft.com/office/2006/metadata/properties" ma:root="true" ma:fieldsID="7460f3cab8108ae21511bd06cfc1b62e" ns2:_="" ns3:_="">
    <xsd:import namespace="83ba2549-1cfd-46b7-8e7c-04ba721bf70b"/>
    <xsd:import namespace="3db4b258-cc92-427e-b823-d24919d9df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a2549-1cfd-46b7-8e7c-04ba721bf7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b4b258-cc92-427e-b823-d24919d9df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4B8B7-C71F-461E-AC4A-845CE4E6BB97}">
  <ds:schemaRefs>
    <ds:schemaRef ds:uri="http://schemas.microsoft.com/sharepoint/v3/contenttype/forms"/>
  </ds:schemaRefs>
</ds:datastoreItem>
</file>

<file path=customXml/itemProps2.xml><?xml version="1.0" encoding="utf-8"?>
<ds:datastoreItem xmlns:ds="http://schemas.openxmlformats.org/officeDocument/2006/customXml" ds:itemID="{76DDF9D1-A643-456D-9FA0-F20C13AB0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a2549-1cfd-46b7-8e7c-04ba721bf70b"/>
    <ds:schemaRef ds:uri="3db4b258-cc92-427e-b823-d24919d9df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C5895F-2586-4B35-9B00-7DC8F328E5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Metadata/LabelInfo.xml><?xml version="1.0" encoding="utf-8"?>
<clbl:labelList xmlns:clbl="http://schemas.microsoft.com/office/2020/mipLabelMetadata">
  <clbl:label id="{d48bff22-6d84-4942-a4fb-e6b9bcd0ac00}" enabled="0" method="" siteId="{d48bff22-6d84-4942-a4fb-e6b9bcd0ac00}"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34</Pages>
  <Words>10531</Words>
  <Characters>60030</Characters>
  <Application>Microsoft Office Word</Application>
  <DocSecurity>0</DocSecurity>
  <Lines>500</Lines>
  <Paragraphs>140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report for XEOMIN</vt:lpstr>
      <vt:lpstr>Australian public assessment report for</vt:lpstr>
    </vt:vector>
  </TitlesOfParts>
  <Company>Department of Health and Aged Care</Company>
  <LinksUpToDate>false</LinksUpToDate>
  <CharactersWithSpaces>70421</CharactersWithSpaces>
  <SharedDoc>false</SharedDoc>
  <HLinks>
    <vt:vector size="276" baseType="variant">
      <vt:variant>
        <vt:i4>3473445</vt:i4>
      </vt:variant>
      <vt:variant>
        <vt:i4>243</vt:i4>
      </vt:variant>
      <vt:variant>
        <vt:i4>0</vt:i4>
      </vt:variant>
      <vt:variant>
        <vt:i4>5</vt:i4>
      </vt:variant>
      <vt:variant>
        <vt:lpwstr>https://www.tga.gov.au/</vt:lpwstr>
      </vt:variant>
      <vt:variant>
        <vt:lpwstr/>
      </vt:variant>
      <vt:variant>
        <vt:i4>5242926</vt:i4>
      </vt:variant>
      <vt:variant>
        <vt:i4>240</vt:i4>
      </vt:variant>
      <vt:variant>
        <vt:i4>0</vt:i4>
      </vt:variant>
      <vt:variant>
        <vt:i4>5</vt:i4>
      </vt:variant>
      <vt:variant>
        <vt:lpwstr>mailto:info@tga.gov.au</vt:lpwstr>
      </vt:variant>
      <vt:variant>
        <vt:lpwstr/>
      </vt:variant>
      <vt:variant>
        <vt:i4>720961</vt:i4>
      </vt:variant>
      <vt:variant>
        <vt:i4>237</vt:i4>
      </vt:variant>
      <vt:variant>
        <vt:i4>0</vt:i4>
      </vt:variant>
      <vt:variant>
        <vt:i4>5</vt:i4>
      </vt:variant>
      <vt:variant>
        <vt:lpwstr>https://www.tga.gov.au/picmi-search-facility</vt:lpwstr>
      </vt:variant>
      <vt:variant>
        <vt:lpwstr/>
      </vt:variant>
      <vt:variant>
        <vt:i4>983049</vt:i4>
      </vt:variant>
      <vt:variant>
        <vt:i4>234</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231</vt:i4>
      </vt:variant>
      <vt:variant>
        <vt:i4>0</vt:i4>
      </vt:variant>
      <vt:variant>
        <vt:i4>5</vt:i4>
      </vt:variant>
      <vt:variant>
        <vt:lpwstr>https://www.tga.gov.au/products/australian-register-therapeutic-goods-artg/product-information-one</vt:lpwstr>
      </vt:variant>
      <vt:variant>
        <vt:lpwstr/>
      </vt:variant>
      <vt:variant>
        <vt:i4>2752617</vt:i4>
      </vt:variant>
      <vt:variant>
        <vt:i4>228</vt:i4>
      </vt:variant>
      <vt:variant>
        <vt:i4>0</vt:i4>
      </vt:variant>
      <vt:variant>
        <vt:i4>5</vt:i4>
      </vt:variant>
      <vt:variant>
        <vt:lpwstr>https://www.tga.gov.au/products/australian-register-therapeutic-goods-artg/product-information-one</vt:lpwstr>
      </vt:variant>
      <vt:variant>
        <vt:lpwstr/>
      </vt:variant>
      <vt:variant>
        <vt:i4>524365</vt:i4>
      </vt:variant>
      <vt:variant>
        <vt:i4>225</vt:i4>
      </vt:variant>
      <vt:variant>
        <vt:i4>0</vt:i4>
      </vt:variant>
      <vt:variant>
        <vt:i4>5</vt:i4>
      </vt:variant>
      <vt:variant>
        <vt:lpwstr>https://www.tga.gov.au/committee/advisory-committee-medicines-acm</vt:lpwstr>
      </vt:variant>
      <vt:variant>
        <vt:lpwstr/>
      </vt:variant>
      <vt:variant>
        <vt:i4>2424877</vt:i4>
      </vt:variant>
      <vt:variant>
        <vt:i4>222</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219</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216</vt:i4>
      </vt:variant>
      <vt:variant>
        <vt:i4>0</vt:i4>
      </vt:variant>
      <vt:variant>
        <vt:i4>5</vt:i4>
      </vt:variant>
      <vt:variant>
        <vt:lpwstr>https://www.tga.gov.au/tgas-risk-management-approach</vt:lpwstr>
      </vt:variant>
      <vt:variant>
        <vt:lpwstr/>
      </vt:variant>
      <vt:variant>
        <vt:i4>7929888</vt:i4>
      </vt:variant>
      <vt:variant>
        <vt:i4>213</vt:i4>
      </vt:variant>
      <vt:variant>
        <vt:i4>0</vt:i4>
      </vt:variant>
      <vt:variant>
        <vt:i4>5</vt:i4>
      </vt:variant>
      <vt:variant>
        <vt:lpwstr>https://www.tga.gov.au/publication/risk-management-plans-medicines-and-biologicals</vt:lpwstr>
      </vt:variant>
      <vt:variant>
        <vt:lpwstr/>
      </vt:variant>
      <vt:variant>
        <vt:i4>2883700</vt:i4>
      </vt:variant>
      <vt:variant>
        <vt:i4>186</vt:i4>
      </vt:variant>
      <vt:variant>
        <vt:i4>0</vt:i4>
      </vt:variant>
      <vt:variant>
        <vt:i4>5</vt:i4>
      </vt:variant>
      <vt:variant>
        <vt:lpwstr>https://www.tga.gov.au/how-we-regulate/supply-therapeutic-good/supply-prescription-medicine/application-process/prescription-medicines-registration-process</vt:lpwstr>
      </vt:variant>
      <vt:variant>
        <vt:lpwstr/>
      </vt:variant>
      <vt:variant>
        <vt:i4>2424874</vt:i4>
      </vt:variant>
      <vt:variant>
        <vt:i4>180</vt:i4>
      </vt:variant>
      <vt:variant>
        <vt:i4>0</vt:i4>
      </vt:variant>
      <vt:variant>
        <vt:i4>5</vt:i4>
      </vt:variant>
      <vt:variant>
        <vt:lpwstr>https://www.tga.gov.au/products/australian-register-therapeutic-goods-artg</vt:lpwstr>
      </vt:variant>
      <vt:variant>
        <vt:lpwstr/>
      </vt:variant>
      <vt:variant>
        <vt:i4>2424874</vt:i4>
      </vt:variant>
      <vt:variant>
        <vt:i4>177</vt:i4>
      </vt:variant>
      <vt:variant>
        <vt:i4>0</vt:i4>
      </vt:variant>
      <vt:variant>
        <vt:i4>5</vt:i4>
      </vt:variant>
      <vt:variant>
        <vt:lpwstr>https://www.tga.gov.au/products/australian-register-therapeutic-goods-artg</vt:lpwstr>
      </vt:variant>
      <vt:variant>
        <vt:lpwstr/>
      </vt:variant>
      <vt:variant>
        <vt:i4>3670063</vt:i4>
      </vt:variant>
      <vt:variant>
        <vt:i4>174</vt:i4>
      </vt:variant>
      <vt:variant>
        <vt:i4>0</vt:i4>
      </vt:variant>
      <vt:variant>
        <vt:i4>5</vt:i4>
      </vt:variant>
      <vt:variant>
        <vt:lpwstr>https://www.tga.gov.au/obstetric-drug-information-services</vt:lpwstr>
      </vt:variant>
      <vt:variant>
        <vt:lpwstr/>
      </vt:variant>
      <vt:variant>
        <vt:i4>2949173</vt:i4>
      </vt:variant>
      <vt:variant>
        <vt:i4>171</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168</vt:i4>
      </vt:variant>
      <vt:variant>
        <vt:i4>0</vt:i4>
      </vt:variant>
      <vt:variant>
        <vt:i4>5</vt:i4>
      </vt:variant>
      <vt:variant>
        <vt:lpwstr>https://www.tga.gov.au/black-triangle-scheme</vt:lpwstr>
      </vt:variant>
      <vt:variant>
        <vt:lpwstr/>
      </vt:variant>
      <vt:variant>
        <vt:i4>1769535</vt:i4>
      </vt:variant>
      <vt:variant>
        <vt:i4>161</vt:i4>
      </vt:variant>
      <vt:variant>
        <vt:i4>0</vt:i4>
      </vt:variant>
      <vt:variant>
        <vt:i4>5</vt:i4>
      </vt:variant>
      <vt:variant>
        <vt:lpwstr/>
      </vt:variant>
      <vt:variant>
        <vt:lpwstr>_Toc168906659</vt:lpwstr>
      </vt:variant>
      <vt:variant>
        <vt:i4>1769535</vt:i4>
      </vt:variant>
      <vt:variant>
        <vt:i4>155</vt:i4>
      </vt:variant>
      <vt:variant>
        <vt:i4>0</vt:i4>
      </vt:variant>
      <vt:variant>
        <vt:i4>5</vt:i4>
      </vt:variant>
      <vt:variant>
        <vt:lpwstr/>
      </vt:variant>
      <vt:variant>
        <vt:lpwstr>_Toc168906658</vt:lpwstr>
      </vt:variant>
      <vt:variant>
        <vt:i4>1769535</vt:i4>
      </vt:variant>
      <vt:variant>
        <vt:i4>149</vt:i4>
      </vt:variant>
      <vt:variant>
        <vt:i4>0</vt:i4>
      </vt:variant>
      <vt:variant>
        <vt:i4>5</vt:i4>
      </vt:variant>
      <vt:variant>
        <vt:lpwstr/>
      </vt:variant>
      <vt:variant>
        <vt:lpwstr>_Toc168906657</vt:lpwstr>
      </vt:variant>
      <vt:variant>
        <vt:i4>1769535</vt:i4>
      </vt:variant>
      <vt:variant>
        <vt:i4>143</vt:i4>
      </vt:variant>
      <vt:variant>
        <vt:i4>0</vt:i4>
      </vt:variant>
      <vt:variant>
        <vt:i4>5</vt:i4>
      </vt:variant>
      <vt:variant>
        <vt:lpwstr/>
      </vt:variant>
      <vt:variant>
        <vt:lpwstr>_Toc168906656</vt:lpwstr>
      </vt:variant>
      <vt:variant>
        <vt:i4>1769535</vt:i4>
      </vt:variant>
      <vt:variant>
        <vt:i4>137</vt:i4>
      </vt:variant>
      <vt:variant>
        <vt:i4>0</vt:i4>
      </vt:variant>
      <vt:variant>
        <vt:i4>5</vt:i4>
      </vt:variant>
      <vt:variant>
        <vt:lpwstr/>
      </vt:variant>
      <vt:variant>
        <vt:lpwstr>_Toc168906655</vt:lpwstr>
      </vt:variant>
      <vt:variant>
        <vt:i4>1769535</vt:i4>
      </vt:variant>
      <vt:variant>
        <vt:i4>131</vt:i4>
      </vt:variant>
      <vt:variant>
        <vt:i4>0</vt:i4>
      </vt:variant>
      <vt:variant>
        <vt:i4>5</vt:i4>
      </vt:variant>
      <vt:variant>
        <vt:lpwstr/>
      </vt:variant>
      <vt:variant>
        <vt:lpwstr>_Toc168906654</vt:lpwstr>
      </vt:variant>
      <vt:variant>
        <vt:i4>1769535</vt:i4>
      </vt:variant>
      <vt:variant>
        <vt:i4>125</vt:i4>
      </vt:variant>
      <vt:variant>
        <vt:i4>0</vt:i4>
      </vt:variant>
      <vt:variant>
        <vt:i4>5</vt:i4>
      </vt:variant>
      <vt:variant>
        <vt:lpwstr/>
      </vt:variant>
      <vt:variant>
        <vt:lpwstr>_Toc168906653</vt:lpwstr>
      </vt:variant>
      <vt:variant>
        <vt:i4>1769535</vt:i4>
      </vt:variant>
      <vt:variant>
        <vt:i4>119</vt:i4>
      </vt:variant>
      <vt:variant>
        <vt:i4>0</vt:i4>
      </vt:variant>
      <vt:variant>
        <vt:i4>5</vt:i4>
      </vt:variant>
      <vt:variant>
        <vt:lpwstr/>
      </vt:variant>
      <vt:variant>
        <vt:lpwstr>_Toc168906652</vt:lpwstr>
      </vt:variant>
      <vt:variant>
        <vt:i4>1769535</vt:i4>
      </vt:variant>
      <vt:variant>
        <vt:i4>113</vt:i4>
      </vt:variant>
      <vt:variant>
        <vt:i4>0</vt:i4>
      </vt:variant>
      <vt:variant>
        <vt:i4>5</vt:i4>
      </vt:variant>
      <vt:variant>
        <vt:lpwstr/>
      </vt:variant>
      <vt:variant>
        <vt:lpwstr>_Toc168906651</vt:lpwstr>
      </vt:variant>
      <vt:variant>
        <vt:i4>1769535</vt:i4>
      </vt:variant>
      <vt:variant>
        <vt:i4>107</vt:i4>
      </vt:variant>
      <vt:variant>
        <vt:i4>0</vt:i4>
      </vt:variant>
      <vt:variant>
        <vt:i4>5</vt:i4>
      </vt:variant>
      <vt:variant>
        <vt:lpwstr/>
      </vt:variant>
      <vt:variant>
        <vt:lpwstr>_Toc168906650</vt:lpwstr>
      </vt:variant>
      <vt:variant>
        <vt:i4>1703999</vt:i4>
      </vt:variant>
      <vt:variant>
        <vt:i4>101</vt:i4>
      </vt:variant>
      <vt:variant>
        <vt:i4>0</vt:i4>
      </vt:variant>
      <vt:variant>
        <vt:i4>5</vt:i4>
      </vt:variant>
      <vt:variant>
        <vt:lpwstr/>
      </vt:variant>
      <vt:variant>
        <vt:lpwstr>_Toc168906649</vt:lpwstr>
      </vt:variant>
      <vt:variant>
        <vt:i4>1703999</vt:i4>
      </vt:variant>
      <vt:variant>
        <vt:i4>95</vt:i4>
      </vt:variant>
      <vt:variant>
        <vt:i4>0</vt:i4>
      </vt:variant>
      <vt:variant>
        <vt:i4>5</vt:i4>
      </vt:variant>
      <vt:variant>
        <vt:lpwstr/>
      </vt:variant>
      <vt:variant>
        <vt:lpwstr>_Toc168906648</vt:lpwstr>
      </vt:variant>
      <vt:variant>
        <vt:i4>1703999</vt:i4>
      </vt:variant>
      <vt:variant>
        <vt:i4>89</vt:i4>
      </vt:variant>
      <vt:variant>
        <vt:i4>0</vt:i4>
      </vt:variant>
      <vt:variant>
        <vt:i4>5</vt:i4>
      </vt:variant>
      <vt:variant>
        <vt:lpwstr/>
      </vt:variant>
      <vt:variant>
        <vt:lpwstr>_Toc168906647</vt:lpwstr>
      </vt:variant>
      <vt:variant>
        <vt:i4>1703999</vt:i4>
      </vt:variant>
      <vt:variant>
        <vt:i4>83</vt:i4>
      </vt:variant>
      <vt:variant>
        <vt:i4>0</vt:i4>
      </vt:variant>
      <vt:variant>
        <vt:i4>5</vt:i4>
      </vt:variant>
      <vt:variant>
        <vt:lpwstr/>
      </vt:variant>
      <vt:variant>
        <vt:lpwstr>_Toc168906646</vt:lpwstr>
      </vt:variant>
      <vt:variant>
        <vt:i4>1703999</vt:i4>
      </vt:variant>
      <vt:variant>
        <vt:i4>77</vt:i4>
      </vt:variant>
      <vt:variant>
        <vt:i4>0</vt:i4>
      </vt:variant>
      <vt:variant>
        <vt:i4>5</vt:i4>
      </vt:variant>
      <vt:variant>
        <vt:lpwstr/>
      </vt:variant>
      <vt:variant>
        <vt:lpwstr>_Toc168906645</vt:lpwstr>
      </vt:variant>
      <vt:variant>
        <vt:i4>1703999</vt:i4>
      </vt:variant>
      <vt:variant>
        <vt:i4>71</vt:i4>
      </vt:variant>
      <vt:variant>
        <vt:i4>0</vt:i4>
      </vt:variant>
      <vt:variant>
        <vt:i4>5</vt:i4>
      </vt:variant>
      <vt:variant>
        <vt:lpwstr/>
      </vt:variant>
      <vt:variant>
        <vt:lpwstr>_Toc168906644</vt:lpwstr>
      </vt:variant>
      <vt:variant>
        <vt:i4>1703999</vt:i4>
      </vt:variant>
      <vt:variant>
        <vt:i4>65</vt:i4>
      </vt:variant>
      <vt:variant>
        <vt:i4>0</vt:i4>
      </vt:variant>
      <vt:variant>
        <vt:i4>5</vt:i4>
      </vt:variant>
      <vt:variant>
        <vt:lpwstr/>
      </vt:variant>
      <vt:variant>
        <vt:lpwstr>_Toc168906643</vt:lpwstr>
      </vt:variant>
      <vt:variant>
        <vt:i4>1703999</vt:i4>
      </vt:variant>
      <vt:variant>
        <vt:i4>59</vt:i4>
      </vt:variant>
      <vt:variant>
        <vt:i4>0</vt:i4>
      </vt:variant>
      <vt:variant>
        <vt:i4>5</vt:i4>
      </vt:variant>
      <vt:variant>
        <vt:lpwstr/>
      </vt:variant>
      <vt:variant>
        <vt:lpwstr>_Toc168906642</vt:lpwstr>
      </vt:variant>
      <vt:variant>
        <vt:i4>1703999</vt:i4>
      </vt:variant>
      <vt:variant>
        <vt:i4>53</vt:i4>
      </vt:variant>
      <vt:variant>
        <vt:i4>0</vt:i4>
      </vt:variant>
      <vt:variant>
        <vt:i4>5</vt:i4>
      </vt:variant>
      <vt:variant>
        <vt:lpwstr/>
      </vt:variant>
      <vt:variant>
        <vt:lpwstr>_Toc168906641</vt:lpwstr>
      </vt:variant>
      <vt:variant>
        <vt:i4>1703999</vt:i4>
      </vt:variant>
      <vt:variant>
        <vt:i4>47</vt:i4>
      </vt:variant>
      <vt:variant>
        <vt:i4>0</vt:i4>
      </vt:variant>
      <vt:variant>
        <vt:i4>5</vt:i4>
      </vt:variant>
      <vt:variant>
        <vt:lpwstr/>
      </vt:variant>
      <vt:variant>
        <vt:lpwstr>_Toc168906640</vt:lpwstr>
      </vt:variant>
      <vt:variant>
        <vt:i4>1900607</vt:i4>
      </vt:variant>
      <vt:variant>
        <vt:i4>41</vt:i4>
      </vt:variant>
      <vt:variant>
        <vt:i4>0</vt:i4>
      </vt:variant>
      <vt:variant>
        <vt:i4>5</vt:i4>
      </vt:variant>
      <vt:variant>
        <vt:lpwstr/>
      </vt:variant>
      <vt:variant>
        <vt:lpwstr>_Toc168906639</vt:lpwstr>
      </vt:variant>
      <vt:variant>
        <vt:i4>1900607</vt:i4>
      </vt:variant>
      <vt:variant>
        <vt:i4>35</vt:i4>
      </vt:variant>
      <vt:variant>
        <vt:i4>0</vt:i4>
      </vt:variant>
      <vt:variant>
        <vt:i4>5</vt:i4>
      </vt:variant>
      <vt:variant>
        <vt:lpwstr/>
      </vt:variant>
      <vt:variant>
        <vt:lpwstr>_Toc168906638</vt:lpwstr>
      </vt:variant>
      <vt:variant>
        <vt:i4>1900607</vt:i4>
      </vt:variant>
      <vt:variant>
        <vt:i4>29</vt:i4>
      </vt:variant>
      <vt:variant>
        <vt:i4>0</vt:i4>
      </vt:variant>
      <vt:variant>
        <vt:i4>5</vt:i4>
      </vt:variant>
      <vt:variant>
        <vt:lpwstr/>
      </vt:variant>
      <vt:variant>
        <vt:lpwstr>_Toc168906637</vt:lpwstr>
      </vt:variant>
      <vt:variant>
        <vt:i4>1900607</vt:i4>
      </vt:variant>
      <vt:variant>
        <vt:i4>23</vt:i4>
      </vt:variant>
      <vt:variant>
        <vt:i4>0</vt:i4>
      </vt:variant>
      <vt:variant>
        <vt:i4>5</vt:i4>
      </vt:variant>
      <vt:variant>
        <vt:lpwstr/>
      </vt:variant>
      <vt:variant>
        <vt:lpwstr>_Toc168906636</vt:lpwstr>
      </vt:variant>
      <vt:variant>
        <vt:i4>1900607</vt:i4>
      </vt:variant>
      <vt:variant>
        <vt:i4>17</vt:i4>
      </vt:variant>
      <vt:variant>
        <vt:i4>0</vt:i4>
      </vt:variant>
      <vt:variant>
        <vt:i4>5</vt:i4>
      </vt:variant>
      <vt:variant>
        <vt:lpwstr/>
      </vt:variant>
      <vt:variant>
        <vt:lpwstr>_Toc168906635</vt:lpwstr>
      </vt:variant>
      <vt:variant>
        <vt:i4>1900607</vt:i4>
      </vt:variant>
      <vt:variant>
        <vt:i4>11</vt:i4>
      </vt:variant>
      <vt:variant>
        <vt:i4>0</vt:i4>
      </vt:variant>
      <vt:variant>
        <vt:i4>5</vt:i4>
      </vt:variant>
      <vt:variant>
        <vt:lpwstr/>
      </vt:variant>
      <vt:variant>
        <vt:lpwstr>_Toc168906634</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XEOMIN</dc:title>
  <dc:subject>Prescription medicines</dc:subject>
  <dc:creator>Therapeutic Goods Administration</dc:creator>
  <cp:keywords/>
  <dc:description/>
  <cp:lastModifiedBy>LACK, Janet</cp:lastModifiedBy>
  <cp:revision>3</cp:revision>
  <dcterms:created xsi:type="dcterms:W3CDTF">2024-07-02T22:09:00Z</dcterms:created>
  <dcterms:modified xsi:type="dcterms:W3CDTF">2024-07-02T22:31:00Z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0x01010044959D66403F3746AB5642CC83282BD4</vt:lpwstr>
  </property>
</Properties>
</file>